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C5E07" w14:textId="77777777" w:rsidR="006C6C10" w:rsidRPr="00EF4580" w:rsidRDefault="00784784" w:rsidP="001D71CF">
      <w:pPr>
        <w:pStyle w:val="1-MainHeading"/>
        <w:rPr>
          <w:rFonts w:eastAsia="Calibri" w:cstheme="minorHAnsi"/>
          <w:sz w:val="24"/>
          <w:szCs w:val="24"/>
          <w:lang w:eastAsia="en-US"/>
        </w:rPr>
      </w:pPr>
      <w:r>
        <w:rPr>
          <w:rFonts w:eastAsia="Calibri"/>
          <w:lang w:eastAsia="en-US"/>
        </w:rPr>
        <w:t>6.09</w:t>
      </w:r>
      <w:r w:rsidR="00872E8F" w:rsidRPr="00BF27A0">
        <w:rPr>
          <w:rFonts w:eastAsia="Calibri"/>
          <w:lang w:eastAsia="en-US"/>
        </w:rPr>
        <w:tab/>
      </w:r>
      <w:r>
        <w:rPr>
          <w:rFonts w:eastAsia="Calibri"/>
          <w:lang w:eastAsia="en-US"/>
        </w:rPr>
        <w:t>PROGESTERONE</w:t>
      </w:r>
      <w:r w:rsidR="00872E8F" w:rsidRPr="00BF27A0">
        <w:rPr>
          <w:rFonts w:eastAsia="Calibri"/>
          <w:lang w:eastAsia="en-US"/>
        </w:rPr>
        <w:t>,</w:t>
      </w:r>
      <w:r w:rsidR="00872E8F">
        <w:rPr>
          <w:rFonts w:eastAsia="Calibri"/>
          <w:lang w:eastAsia="en-US"/>
        </w:rPr>
        <w:t xml:space="preserve"> </w:t>
      </w:r>
      <w:r w:rsidR="00872E8F">
        <w:rPr>
          <w:rFonts w:ascii="Calibri" w:eastAsia="Times New Roman" w:hAnsi="Calibri" w:cs="Calibri"/>
          <w:bCs/>
          <w:color w:val="FF0000"/>
          <w:spacing w:val="0"/>
          <w:kern w:val="0"/>
          <w:sz w:val="24"/>
          <w:szCs w:val="24"/>
          <w:lang w:eastAsia="en-US"/>
        </w:rPr>
        <w:br/>
      </w:r>
      <w:r>
        <w:rPr>
          <w:rFonts w:eastAsia="Calibri"/>
          <w:lang w:eastAsia="en-US"/>
        </w:rPr>
        <w:t>Pessary 200 mg</w:t>
      </w:r>
      <w:r w:rsidR="00872E8F" w:rsidRPr="00BF27A0">
        <w:rPr>
          <w:rFonts w:eastAsia="Calibri"/>
          <w:lang w:eastAsia="en-US"/>
        </w:rPr>
        <w:t>,</w:t>
      </w:r>
      <w:r w:rsidR="00872E8F">
        <w:rPr>
          <w:rFonts w:eastAsia="Calibri"/>
          <w:lang w:eastAsia="en-US"/>
        </w:rPr>
        <w:br/>
      </w:r>
      <w:r>
        <w:t>Oripro</w:t>
      </w:r>
      <w:r w:rsidR="00872E8F">
        <w:t>®</w:t>
      </w:r>
      <w:r>
        <w:t>,</w:t>
      </w:r>
      <w:r>
        <w:br/>
        <w:t>Orion Laboratories Pty Ltd.</w:t>
      </w:r>
    </w:p>
    <w:p w14:paraId="36B018F9" w14:textId="77777777" w:rsidR="00E11F44" w:rsidRPr="00174006" w:rsidRDefault="007E490F" w:rsidP="00174006">
      <w:pPr>
        <w:pStyle w:val="2-SectionHeading"/>
        <w:numPr>
          <w:ilvl w:val="0"/>
          <w:numId w:val="2"/>
        </w:numPr>
      </w:pPr>
      <w:r w:rsidRPr="0033263D">
        <w:t xml:space="preserve">Purpose of </w:t>
      </w:r>
      <w:r w:rsidR="00FA0B04">
        <w:t>Submission</w:t>
      </w:r>
      <w:r>
        <w:t xml:space="preserve"> </w:t>
      </w:r>
    </w:p>
    <w:p w14:paraId="1CBAC78D" w14:textId="77777777" w:rsidR="00925BED" w:rsidRDefault="00146B53" w:rsidP="00925BED">
      <w:pPr>
        <w:pStyle w:val="3Bodytext"/>
        <w:jc w:val="both"/>
        <w:rPr>
          <w:rFonts w:cstheme="minorHAnsi"/>
          <w:szCs w:val="24"/>
        </w:rPr>
      </w:pPr>
      <w:r w:rsidRPr="00146B53">
        <w:rPr>
          <w:rFonts w:cstheme="minorHAnsi"/>
          <w:szCs w:val="24"/>
        </w:rPr>
        <w:t>The Category 4 submission requested an increase in the maximum quantity from 30</w:t>
      </w:r>
      <w:r w:rsidR="001D71CF">
        <w:rPr>
          <w:rFonts w:cstheme="minorHAnsi"/>
          <w:szCs w:val="24"/>
        </w:rPr>
        <w:t> </w:t>
      </w:r>
      <w:r w:rsidR="00643980">
        <w:rPr>
          <w:rFonts w:cstheme="minorHAnsi"/>
          <w:szCs w:val="24"/>
        </w:rPr>
        <w:t xml:space="preserve">pessaries </w:t>
      </w:r>
      <w:r w:rsidRPr="00146B53">
        <w:rPr>
          <w:rFonts w:cstheme="minorHAnsi"/>
          <w:szCs w:val="24"/>
        </w:rPr>
        <w:t>(2 packs) to 45</w:t>
      </w:r>
      <w:r w:rsidR="00643980">
        <w:rPr>
          <w:rFonts w:cstheme="minorHAnsi"/>
          <w:szCs w:val="24"/>
        </w:rPr>
        <w:t xml:space="preserve"> pessaries</w:t>
      </w:r>
      <w:r w:rsidRPr="00146B53">
        <w:rPr>
          <w:rFonts w:cstheme="minorHAnsi"/>
          <w:szCs w:val="24"/>
        </w:rPr>
        <w:t xml:space="preserve"> (3 packs) and a reduction in the number of repeats from 5 to 3 for the PBS-listed progesterone 200 mg pessary (Oripro</w:t>
      </w:r>
      <w:r w:rsidR="00925BED">
        <w:rPr>
          <w:rFonts w:cstheme="minorHAnsi"/>
          <w:szCs w:val="24"/>
        </w:rPr>
        <w:t>®</w:t>
      </w:r>
      <w:r w:rsidRPr="00146B53">
        <w:rPr>
          <w:rFonts w:cstheme="minorHAnsi"/>
          <w:szCs w:val="24"/>
        </w:rPr>
        <w:t xml:space="preserve">) for the prevention of preterm birth. </w:t>
      </w:r>
    </w:p>
    <w:p w14:paraId="44861D73" w14:textId="77777777" w:rsidR="00925BED" w:rsidRPr="00925BED" w:rsidRDefault="00925BED" w:rsidP="00925BED">
      <w:pPr>
        <w:pStyle w:val="3Bodytext"/>
        <w:jc w:val="both"/>
        <w:rPr>
          <w:rFonts w:cstheme="minorHAnsi"/>
          <w:szCs w:val="24"/>
        </w:rPr>
      </w:pPr>
      <w:r>
        <w:t>The submission has made the request in the context of discrepancies between the PBS listings for Oripro and another brand of progesterone (Utrogestan®), in terms of maximum quantities per script. The submission requested the PBS listings for the two medicines to provide a similar number of doses (units) with the same number of repeats, in order to align the number of patient co-payments.</w:t>
      </w:r>
    </w:p>
    <w:p w14:paraId="6824AB94" w14:textId="77777777" w:rsidR="007E490F" w:rsidRPr="00FD6D8E" w:rsidRDefault="007E490F" w:rsidP="002B0A25">
      <w:pPr>
        <w:pStyle w:val="2-SectionHeading"/>
        <w:numPr>
          <w:ilvl w:val="0"/>
          <w:numId w:val="2"/>
        </w:numPr>
      </w:pPr>
      <w:r w:rsidRPr="009E2E8E">
        <w:t>Background</w:t>
      </w:r>
      <w:r>
        <w:t xml:space="preserve"> </w:t>
      </w:r>
    </w:p>
    <w:p w14:paraId="61D72EB2" w14:textId="77777777" w:rsidR="007E490F" w:rsidRDefault="007E490F" w:rsidP="007E490F">
      <w:pPr>
        <w:pStyle w:val="4-SubsectionHeading"/>
      </w:pPr>
      <w:r>
        <w:t>Registration</w:t>
      </w:r>
      <w:r w:rsidRPr="009324A6">
        <w:t xml:space="preserve"> status</w:t>
      </w:r>
    </w:p>
    <w:p w14:paraId="17274C04" w14:textId="77777777" w:rsidR="006A39CA" w:rsidRPr="009F5A46" w:rsidRDefault="006A39CA" w:rsidP="00CA2750">
      <w:pPr>
        <w:pStyle w:val="3Bodytext"/>
        <w:jc w:val="both"/>
      </w:pPr>
      <w:r w:rsidRPr="009F5A46">
        <w:t xml:space="preserve">Oripro received TGA approval for use in women at risk of preterm birth in singleton pregnancies on 12 November 2019. The TGA approved indication is: “For the prevention of preterm birth in singleton pregnancies at risk due to shortened cervix (midtrimester sonographic cervix </w:t>
      </w:r>
      <w:r w:rsidRPr="009F5A46">
        <w:rPr>
          <w:rFonts w:eastAsia="MS MinNew Roman"/>
        </w:rPr>
        <w:t>≤25 mm) and/or where there is a history of spontaneous preterm birth.”</w:t>
      </w:r>
    </w:p>
    <w:p w14:paraId="599BF7C3" w14:textId="77777777" w:rsidR="007E490F" w:rsidRPr="009F5A46" w:rsidRDefault="007E490F" w:rsidP="007E490F">
      <w:pPr>
        <w:pStyle w:val="4-SubsectionHeading"/>
      </w:pPr>
      <w:r w:rsidRPr="009F5A46">
        <w:t xml:space="preserve">Previous PBAC consideration </w:t>
      </w:r>
    </w:p>
    <w:p w14:paraId="4F7CEA87" w14:textId="77777777" w:rsidR="00AF6F0E" w:rsidRPr="00AF6F0E" w:rsidRDefault="006A39CA" w:rsidP="00CA2750">
      <w:pPr>
        <w:pStyle w:val="3Bodytext"/>
        <w:jc w:val="both"/>
        <w:rPr>
          <w:i/>
        </w:rPr>
      </w:pPr>
      <w:r w:rsidRPr="009F5A46">
        <w:t>Oripro</w:t>
      </w:r>
      <w:r w:rsidR="007E490F" w:rsidRPr="009F5A46">
        <w:t xml:space="preserve"> was </w:t>
      </w:r>
      <w:r w:rsidRPr="009F5A46">
        <w:t xml:space="preserve">recommended for the prevention of preterm birth </w:t>
      </w:r>
      <w:r w:rsidR="007E490F" w:rsidRPr="009F5A46">
        <w:t xml:space="preserve">by the PBAC at its </w:t>
      </w:r>
      <w:r w:rsidRPr="009F5A46">
        <w:t>November 2020</w:t>
      </w:r>
      <w:r w:rsidR="007E490F" w:rsidRPr="009F5A46">
        <w:t xml:space="preserve"> meeting</w:t>
      </w:r>
      <w:r w:rsidR="009A4D1B">
        <w:t xml:space="preserve"> (and was listed on the PBS from 1 June 2021 for this indication).</w:t>
      </w:r>
      <w:r w:rsidRPr="009F5A46">
        <w:t xml:space="preserve"> </w:t>
      </w:r>
    </w:p>
    <w:p w14:paraId="063E0C19" w14:textId="77777777" w:rsidR="006554B3" w:rsidRPr="004055C5" w:rsidRDefault="006554B3" w:rsidP="00CA2750">
      <w:pPr>
        <w:pStyle w:val="3Bodytext"/>
        <w:jc w:val="both"/>
        <w:rPr>
          <w:i/>
        </w:rPr>
      </w:pPr>
      <w:r w:rsidRPr="009F5A46">
        <w:t xml:space="preserve">At its November 2020 meeting, the PBAC recommended </w:t>
      </w:r>
      <w:r>
        <w:t>Utrogestan</w:t>
      </w:r>
      <w:r w:rsidRPr="009F5A46">
        <w:t xml:space="preserve"> for the same indication</w:t>
      </w:r>
      <w:r>
        <w:t xml:space="preserve"> (which was listed on the PBS from 1 July 2021).</w:t>
      </w:r>
    </w:p>
    <w:p w14:paraId="1562C066" w14:textId="77777777" w:rsidR="006554B3" w:rsidRPr="006554B3" w:rsidRDefault="006554B3" w:rsidP="00CA2750">
      <w:pPr>
        <w:pStyle w:val="3-BodyText"/>
        <w:numPr>
          <w:ilvl w:val="1"/>
          <w:numId w:val="2"/>
        </w:numPr>
      </w:pPr>
      <w:r>
        <w:t>The PBAC’s recommendation for Oripro was based on, among other matters, its assessment that the cost-effectiveness of Oripro would be acceptable if it were cost-minimised against Utrogestan (paragraph 7.1, Oripro P</w:t>
      </w:r>
      <w:r w:rsidR="0057137F">
        <w:t>ublic Summary Document (P</w:t>
      </w:r>
      <w:r>
        <w:t>SD</w:t>
      </w:r>
      <w:r w:rsidR="0057137F">
        <w:t>)</w:t>
      </w:r>
      <w:r>
        <w:t xml:space="preserve">, November 2020 PBAC meeting). </w:t>
      </w:r>
    </w:p>
    <w:p w14:paraId="087BCE11" w14:textId="77777777" w:rsidR="006554B3" w:rsidRPr="00CB6D1F" w:rsidRDefault="00FC1C32" w:rsidP="00CA2750">
      <w:pPr>
        <w:pStyle w:val="3-BodyText"/>
        <w:numPr>
          <w:ilvl w:val="1"/>
          <w:numId w:val="2"/>
        </w:numPr>
      </w:pPr>
      <w:r>
        <w:rPr>
          <w:iCs/>
        </w:rPr>
        <w:t>At the time, t</w:t>
      </w:r>
      <w:r w:rsidR="006554B3" w:rsidRPr="009E6625">
        <w:rPr>
          <w:iCs/>
        </w:rPr>
        <w:t xml:space="preserve">he PBAC noted that </w:t>
      </w:r>
      <w:r w:rsidR="006554B3" w:rsidRPr="009E6625">
        <w:t xml:space="preserve">there </w:t>
      </w:r>
      <w:r>
        <w:t>were</w:t>
      </w:r>
      <w:r w:rsidR="006554B3" w:rsidRPr="009E6625">
        <w:t xml:space="preserve"> no other pharmacologic treatments prescribed to reduce the risk of preterm birth, and that there is a clinical need for </w:t>
      </w:r>
      <w:r w:rsidR="006554B3" w:rsidRPr="009E6625">
        <w:lastRenderedPageBreak/>
        <w:t>prevention of preterm birth in at-risk women</w:t>
      </w:r>
      <w:r w:rsidR="006554B3" w:rsidRPr="009E6625">
        <w:rPr>
          <w:iCs/>
        </w:rPr>
        <w:t xml:space="preserve">. </w:t>
      </w:r>
      <w:r w:rsidR="006554B3" w:rsidRPr="009E6625">
        <w:t>The PBAC noted this was supported by the consumer comments received for this submission</w:t>
      </w:r>
      <w:r w:rsidR="006554B3">
        <w:t xml:space="preserve"> (paragraph 7.3, Oripro PSD, November 2020 PBAC meeting). </w:t>
      </w:r>
    </w:p>
    <w:p w14:paraId="109D20D2" w14:textId="77777777" w:rsidR="004055C5" w:rsidRPr="006041AF" w:rsidRDefault="006554B3" w:rsidP="00CA2750">
      <w:pPr>
        <w:pStyle w:val="3Bodytext"/>
        <w:jc w:val="both"/>
        <w:rPr>
          <w:i/>
        </w:rPr>
      </w:pPr>
      <w:r w:rsidRPr="006554B3">
        <w:t xml:space="preserve">The PBAC considered that the price of Oripro should be no more than for Utrogestan. The equi-effective doses are: one 200 mg Oripro pessary and one 200 mg Utrogestan soft capsule (paragraph 7.10, Oripro PSD, November 2020 PBAC meeting). </w:t>
      </w:r>
    </w:p>
    <w:p w14:paraId="7700C611" w14:textId="77777777" w:rsidR="006041AF" w:rsidRPr="006041AF" w:rsidRDefault="006041AF" w:rsidP="006041AF">
      <w:pPr>
        <w:spacing w:after="120"/>
        <w:ind w:firstLine="709"/>
        <w:rPr>
          <w:rFonts w:asciiTheme="minorHAnsi" w:hAnsiTheme="minorHAnsi"/>
          <w:i/>
          <w:lang w:eastAsia="en-US"/>
        </w:rPr>
      </w:pPr>
      <w:bookmarkStart w:id="0" w:name="_Hlk76375324"/>
      <w:r w:rsidRPr="006041AF">
        <w:rPr>
          <w:rFonts w:asciiTheme="minorHAnsi" w:hAnsiTheme="minorHAnsi"/>
          <w:i/>
          <w:lang w:eastAsia="en-US"/>
        </w:rPr>
        <w:t xml:space="preserve">For more detail on PBAC’s view, see section </w:t>
      </w:r>
      <w:r w:rsidR="007A493E">
        <w:rPr>
          <w:rFonts w:asciiTheme="minorHAnsi" w:hAnsiTheme="minorHAnsi"/>
          <w:i/>
          <w:lang w:eastAsia="en-US"/>
        </w:rPr>
        <w:t>5</w:t>
      </w:r>
      <w:r w:rsidRPr="006041AF">
        <w:rPr>
          <w:rFonts w:asciiTheme="minorHAnsi" w:hAnsiTheme="minorHAnsi"/>
          <w:i/>
          <w:lang w:eastAsia="en-US"/>
        </w:rPr>
        <w:t xml:space="preserve"> PBAC outcome.</w:t>
      </w:r>
    </w:p>
    <w:bookmarkEnd w:id="0"/>
    <w:p w14:paraId="73BB79B3" w14:textId="77777777" w:rsidR="00964A9F" w:rsidRDefault="00964A9F" w:rsidP="00964A9F">
      <w:pPr>
        <w:pStyle w:val="2-SectionHeading"/>
      </w:pPr>
      <w:r w:rsidRPr="009D507A">
        <w:t xml:space="preserve">Requested listing </w:t>
      </w:r>
    </w:p>
    <w:p w14:paraId="7A38CE38" w14:textId="77777777" w:rsidR="00AA2728" w:rsidRDefault="00964A9F" w:rsidP="00CA2750">
      <w:pPr>
        <w:pStyle w:val="3Bodytext"/>
        <w:jc w:val="both"/>
      </w:pPr>
      <w:r w:rsidRPr="00E0207E">
        <w:t xml:space="preserve">The submission requested </w:t>
      </w:r>
      <w:r w:rsidR="00A90E2C">
        <w:t>amending</w:t>
      </w:r>
      <w:r w:rsidR="00A5071D">
        <w:t xml:space="preserve"> t</w:t>
      </w:r>
      <w:r w:rsidR="00A90E2C">
        <w:t xml:space="preserve">he maximum quantity and </w:t>
      </w:r>
      <w:r w:rsidR="00A5071D">
        <w:t>number of repeats</w:t>
      </w:r>
      <w:r w:rsidRPr="00AC4DE5">
        <w:rPr>
          <w:color w:val="FF0000"/>
        </w:rPr>
        <w:t xml:space="preserve"> </w:t>
      </w:r>
      <w:r w:rsidR="00A90E2C">
        <w:t>a</w:t>
      </w:r>
      <w:r w:rsidR="00776772">
        <w:t>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0"/>
        <w:gridCol w:w="858"/>
        <w:gridCol w:w="716"/>
        <w:gridCol w:w="716"/>
        <w:gridCol w:w="716"/>
        <w:gridCol w:w="2290"/>
      </w:tblGrid>
      <w:tr w:rsidR="00A90E2C" w:rsidRPr="009E6625" w14:paraId="1301AA99" w14:textId="77777777" w:rsidTr="00FB1418">
        <w:trPr>
          <w:cantSplit/>
          <w:trHeight w:val="471"/>
        </w:trPr>
        <w:tc>
          <w:tcPr>
            <w:tcW w:w="2063" w:type="pct"/>
          </w:tcPr>
          <w:p w14:paraId="704C46D5" w14:textId="77777777" w:rsidR="00A90E2C" w:rsidRPr="007C15DB" w:rsidRDefault="00A90E2C" w:rsidP="00FB1418">
            <w:pPr>
              <w:pStyle w:val="BodyText"/>
              <w:ind w:left="57"/>
              <w:rPr>
                <w:rFonts w:ascii="Arial Narrow" w:hAnsi="Arial Narrow"/>
                <w:b/>
                <w:sz w:val="20"/>
                <w:szCs w:val="20"/>
              </w:rPr>
            </w:pPr>
            <w:r w:rsidRPr="007C15DB">
              <w:rPr>
                <w:rFonts w:ascii="Arial Narrow" w:hAnsi="Arial Narrow"/>
                <w:b/>
                <w:sz w:val="20"/>
                <w:szCs w:val="20"/>
              </w:rPr>
              <w:t>MEDICINAL PRODUCT,</w:t>
            </w:r>
          </w:p>
          <w:p w14:paraId="39464966" w14:textId="77777777" w:rsidR="00A90E2C" w:rsidRPr="007C15DB" w:rsidRDefault="00A90E2C" w:rsidP="00FB1418">
            <w:pPr>
              <w:pStyle w:val="BodyText"/>
              <w:ind w:left="57"/>
              <w:rPr>
                <w:color w:val="000000" w:themeColor="text1"/>
                <w:sz w:val="20"/>
                <w:szCs w:val="20"/>
              </w:rPr>
            </w:pPr>
            <w:r w:rsidRPr="007C15DB">
              <w:rPr>
                <w:rFonts w:ascii="Arial Narrow" w:hAnsi="Arial Narrow"/>
                <w:b/>
                <w:sz w:val="20"/>
                <w:szCs w:val="20"/>
              </w:rPr>
              <w:t>medicinal product pack</w:t>
            </w:r>
          </w:p>
        </w:tc>
        <w:tc>
          <w:tcPr>
            <w:tcW w:w="476" w:type="pct"/>
          </w:tcPr>
          <w:p w14:paraId="587A96CF" w14:textId="77777777" w:rsidR="00A90E2C" w:rsidRPr="007C15DB" w:rsidRDefault="00A90E2C" w:rsidP="00FB1418">
            <w:pPr>
              <w:keepNext/>
              <w:ind w:left="-108"/>
              <w:jc w:val="center"/>
              <w:rPr>
                <w:rFonts w:ascii="Arial Narrow" w:hAnsi="Arial Narrow" w:cs="Arial"/>
                <w:b/>
                <w:color w:val="000000" w:themeColor="text1"/>
                <w:sz w:val="20"/>
                <w:szCs w:val="20"/>
              </w:rPr>
            </w:pPr>
            <w:r w:rsidRPr="007C15DB">
              <w:rPr>
                <w:rFonts w:ascii="Arial Narrow" w:hAnsi="Arial Narrow" w:cs="Arial"/>
                <w:b/>
                <w:color w:val="000000" w:themeColor="text1"/>
                <w:sz w:val="20"/>
                <w:szCs w:val="20"/>
              </w:rPr>
              <w:t>PBS item code</w:t>
            </w:r>
          </w:p>
        </w:tc>
        <w:tc>
          <w:tcPr>
            <w:tcW w:w="397" w:type="pct"/>
          </w:tcPr>
          <w:p w14:paraId="71F86B59" w14:textId="77777777" w:rsidR="00A90E2C" w:rsidRPr="007C15DB" w:rsidRDefault="00A90E2C" w:rsidP="00FB1418">
            <w:pPr>
              <w:keepNext/>
              <w:ind w:left="-108"/>
              <w:jc w:val="center"/>
              <w:rPr>
                <w:rFonts w:ascii="Arial Narrow" w:hAnsi="Arial Narrow" w:cs="Arial"/>
                <w:b/>
                <w:color w:val="000000" w:themeColor="text1"/>
                <w:sz w:val="20"/>
                <w:szCs w:val="20"/>
              </w:rPr>
            </w:pPr>
            <w:r w:rsidRPr="007C15DB">
              <w:rPr>
                <w:rFonts w:ascii="Arial Narrow" w:hAnsi="Arial Narrow" w:cs="Arial"/>
                <w:b/>
                <w:color w:val="000000" w:themeColor="text1"/>
                <w:sz w:val="20"/>
                <w:szCs w:val="20"/>
              </w:rPr>
              <w:t>Max. qty packs</w:t>
            </w:r>
          </w:p>
        </w:tc>
        <w:tc>
          <w:tcPr>
            <w:tcW w:w="397" w:type="pct"/>
          </w:tcPr>
          <w:p w14:paraId="623B219A" w14:textId="77777777" w:rsidR="00A90E2C" w:rsidRPr="007C15DB" w:rsidRDefault="00A90E2C" w:rsidP="00FB1418">
            <w:pPr>
              <w:keepNext/>
              <w:ind w:left="-108"/>
              <w:jc w:val="center"/>
              <w:rPr>
                <w:rFonts w:ascii="Arial Narrow" w:hAnsi="Arial Narrow" w:cs="Arial"/>
                <w:b/>
                <w:color w:val="000000" w:themeColor="text1"/>
                <w:sz w:val="20"/>
                <w:szCs w:val="20"/>
              </w:rPr>
            </w:pPr>
            <w:r w:rsidRPr="007C15DB">
              <w:rPr>
                <w:rFonts w:ascii="Arial Narrow" w:hAnsi="Arial Narrow" w:cs="Arial"/>
                <w:b/>
                <w:color w:val="000000" w:themeColor="text1"/>
                <w:sz w:val="20"/>
                <w:szCs w:val="20"/>
              </w:rPr>
              <w:t>Max. qty units</w:t>
            </w:r>
          </w:p>
        </w:tc>
        <w:tc>
          <w:tcPr>
            <w:tcW w:w="397" w:type="pct"/>
          </w:tcPr>
          <w:p w14:paraId="1184FCEC" w14:textId="77777777" w:rsidR="00A90E2C" w:rsidRPr="007C15DB" w:rsidRDefault="00A90E2C" w:rsidP="00FB1418">
            <w:pPr>
              <w:keepNext/>
              <w:ind w:left="-108"/>
              <w:jc w:val="center"/>
              <w:rPr>
                <w:rFonts w:ascii="Arial Narrow" w:hAnsi="Arial Narrow" w:cs="Arial"/>
                <w:b/>
                <w:color w:val="000000" w:themeColor="text1"/>
                <w:sz w:val="20"/>
                <w:szCs w:val="20"/>
              </w:rPr>
            </w:pPr>
            <w:r w:rsidRPr="007C15DB">
              <w:rPr>
                <w:rFonts w:ascii="Arial Narrow" w:hAnsi="Arial Narrow" w:cs="Arial"/>
                <w:b/>
                <w:color w:val="000000" w:themeColor="text1"/>
                <w:sz w:val="20"/>
                <w:szCs w:val="20"/>
              </w:rPr>
              <w:t>№.of</w:t>
            </w:r>
          </w:p>
          <w:p w14:paraId="35E79365" w14:textId="77777777" w:rsidR="00A90E2C" w:rsidRPr="007C15DB" w:rsidRDefault="00A90E2C" w:rsidP="00FB1418">
            <w:pPr>
              <w:keepNext/>
              <w:ind w:left="-108"/>
              <w:jc w:val="center"/>
              <w:rPr>
                <w:rFonts w:ascii="Arial Narrow" w:hAnsi="Arial Narrow" w:cs="Arial"/>
                <w:b/>
                <w:color w:val="000000" w:themeColor="text1"/>
                <w:sz w:val="20"/>
                <w:szCs w:val="20"/>
              </w:rPr>
            </w:pPr>
            <w:r w:rsidRPr="007C15DB">
              <w:rPr>
                <w:rFonts w:ascii="Arial Narrow" w:hAnsi="Arial Narrow" w:cs="Arial"/>
                <w:b/>
                <w:color w:val="000000" w:themeColor="text1"/>
                <w:sz w:val="20"/>
                <w:szCs w:val="20"/>
              </w:rPr>
              <w:t>Rpts</w:t>
            </w:r>
          </w:p>
        </w:tc>
        <w:tc>
          <w:tcPr>
            <w:tcW w:w="1270" w:type="pct"/>
          </w:tcPr>
          <w:p w14:paraId="100E633C" w14:textId="77777777" w:rsidR="00A90E2C" w:rsidRPr="007C15DB" w:rsidRDefault="00A90E2C" w:rsidP="00FB1418">
            <w:pPr>
              <w:keepNext/>
              <w:rPr>
                <w:rFonts w:ascii="Arial Narrow" w:hAnsi="Arial Narrow" w:cs="Arial"/>
                <w:b/>
                <w:color w:val="000000" w:themeColor="text1"/>
                <w:sz w:val="20"/>
                <w:szCs w:val="20"/>
              </w:rPr>
            </w:pPr>
            <w:r w:rsidRPr="007C15DB">
              <w:rPr>
                <w:rFonts w:ascii="Arial Narrow" w:hAnsi="Arial Narrow" w:cs="Arial"/>
                <w:b/>
                <w:sz w:val="20"/>
                <w:szCs w:val="20"/>
              </w:rPr>
              <w:t>Available brands</w:t>
            </w:r>
          </w:p>
        </w:tc>
      </w:tr>
      <w:tr w:rsidR="00A90E2C" w:rsidRPr="009E6625" w14:paraId="5B035704" w14:textId="77777777" w:rsidTr="00FB1418">
        <w:trPr>
          <w:cantSplit/>
          <w:trHeight w:val="346"/>
        </w:trPr>
        <w:tc>
          <w:tcPr>
            <w:tcW w:w="2063" w:type="pct"/>
          </w:tcPr>
          <w:p w14:paraId="41FA7318" w14:textId="77777777" w:rsidR="00A90E2C" w:rsidRPr="007C15DB" w:rsidRDefault="00A90E2C" w:rsidP="00FB1418">
            <w:pPr>
              <w:keepNext/>
              <w:ind w:left="57"/>
              <w:rPr>
                <w:rFonts w:ascii="Arial Narrow" w:hAnsi="Arial Narrow" w:cstheme="minorHAnsi"/>
                <w:sz w:val="20"/>
                <w:szCs w:val="20"/>
              </w:rPr>
            </w:pPr>
            <w:r w:rsidRPr="007C15DB">
              <w:rPr>
                <w:rFonts w:ascii="Arial Narrow" w:hAnsi="Arial Narrow" w:cstheme="minorHAnsi"/>
                <w:sz w:val="20"/>
                <w:szCs w:val="20"/>
              </w:rPr>
              <w:t xml:space="preserve">PROGESTERONE </w:t>
            </w:r>
          </w:p>
          <w:p w14:paraId="401E2C72" w14:textId="77777777" w:rsidR="00A90E2C" w:rsidRPr="007C15DB" w:rsidRDefault="00A90E2C" w:rsidP="00FB1418">
            <w:pPr>
              <w:keepNext/>
              <w:ind w:left="57"/>
              <w:rPr>
                <w:rFonts w:ascii="Arial Narrow" w:hAnsi="Arial Narrow" w:cs="Arial"/>
                <w:sz w:val="20"/>
                <w:szCs w:val="20"/>
              </w:rPr>
            </w:pPr>
            <w:r w:rsidRPr="007C15DB">
              <w:rPr>
                <w:rFonts w:ascii="Arial Narrow" w:hAnsi="Arial Narrow" w:cstheme="minorHAnsi"/>
                <w:sz w:val="20"/>
                <w:szCs w:val="20"/>
              </w:rPr>
              <w:t xml:space="preserve">progesterone 200 mg pessary, 15 </w:t>
            </w:r>
          </w:p>
          <w:p w14:paraId="609BEB40" w14:textId="77777777" w:rsidR="00A90E2C" w:rsidRPr="007C15DB" w:rsidRDefault="00A90E2C" w:rsidP="00FB1418">
            <w:pPr>
              <w:keepNext/>
              <w:ind w:left="30"/>
              <w:rPr>
                <w:rFonts w:ascii="Arial Narrow" w:hAnsi="Arial Narrow" w:cs="Arial"/>
                <w:color w:val="000000" w:themeColor="text1"/>
                <w:sz w:val="20"/>
                <w:szCs w:val="20"/>
              </w:rPr>
            </w:pPr>
          </w:p>
        </w:tc>
        <w:tc>
          <w:tcPr>
            <w:tcW w:w="476" w:type="pct"/>
          </w:tcPr>
          <w:p w14:paraId="589CEE49" w14:textId="77777777" w:rsidR="00A90E2C" w:rsidRPr="007C15DB" w:rsidRDefault="00A90E2C" w:rsidP="00FB1418">
            <w:pPr>
              <w:keepNext/>
              <w:ind w:left="-108"/>
              <w:jc w:val="center"/>
              <w:rPr>
                <w:rFonts w:ascii="Arial Narrow" w:hAnsi="Arial Narrow" w:cs="Arial"/>
                <w:sz w:val="20"/>
                <w:szCs w:val="20"/>
              </w:rPr>
            </w:pPr>
          </w:p>
          <w:p w14:paraId="176E3FE9" w14:textId="77777777" w:rsidR="00A90E2C" w:rsidRPr="007C15DB" w:rsidRDefault="00F07ECC" w:rsidP="00FB1418">
            <w:pPr>
              <w:keepNext/>
              <w:ind w:left="-108"/>
              <w:jc w:val="center"/>
              <w:rPr>
                <w:rFonts w:ascii="Arial Narrow" w:hAnsi="Arial Narrow" w:cs="Arial"/>
                <w:sz w:val="20"/>
                <w:szCs w:val="20"/>
              </w:rPr>
            </w:pPr>
            <w:r w:rsidRPr="007C15DB">
              <w:rPr>
                <w:rFonts w:ascii="Arial Narrow" w:hAnsi="Arial Narrow" w:cs="Arial"/>
                <w:sz w:val="20"/>
                <w:szCs w:val="20"/>
              </w:rPr>
              <w:t>12465C</w:t>
            </w:r>
          </w:p>
          <w:p w14:paraId="7B969BDE" w14:textId="77777777" w:rsidR="00A90E2C" w:rsidRPr="007C15DB" w:rsidRDefault="00A90E2C" w:rsidP="00FB1418">
            <w:pPr>
              <w:keepNext/>
              <w:ind w:left="-108"/>
              <w:rPr>
                <w:rFonts w:ascii="Arial Narrow" w:hAnsi="Arial Narrow" w:cs="Arial"/>
                <w:i/>
                <w:color w:val="000000" w:themeColor="text1"/>
                <w:sz w:val="20"/>
                <w:szCs w:val="20"/>
              </w:rPr>
            </w:pPr>
          </w:p>
        </w:tc>
        <w:tc>
          <w:tcPr>
            <w:tcW w:w="397" w:type="pct"/>
          </w:tcPr>
          <w:p w14:paraId="5BE685C3" w14:textId="77777777" w:rsidR="00A90E2C" w:rsidRPr="007C15DB" w:rsidRDefault="00A90E2C" w:rsidP="00FB1418">
            <w:pPr>
              <w:keepNext/>
              <w:jc w:val="center"/>
              <w:rPr>
                <w:rFonts w:ascii="Arial Narrow" w:hAnsi="Arial Narrow" w:cs="Arial"/>
                <w:strike/>
                <w:color w:val="000000" w:themeColor="text1"/>
                <w:sz w:val="20"/>
                <w:szCs w:val="20"/>
              </w:rPr>
            </w:pPr>
          </w:p>
          <w:p w14:paraId="35A67C42" w14:textId="77777777" w:rsidR="00A90E2C" w:rsidRPr="007C15DB" w:rsidRDefault="00A90E2C" w:rsidP="005E4648">
            <w:pPr>
              <w:keepNext/>
              <w:jc w:val="center"/>
              <w:rPr>
                <w:rFonts w:ascii="Arial Narrow" w:hAnsi="Arial Narrow" w:cs="Arial"/>
                <w:color w:val="000000" w:themeColor="text1"/>
                <w:sz w:val="20"/>
                <w:szCs w:val="20"/>
              </w:rPr>
            </w:pPr>
            <w:r w:rsidRPr="007C15DB">
              <w:rPr>
                <w:rFonts w:ascii="Arial Narrow" w:hAnsi="Arial Narrow" w:cs="Arial"/>
                <w:strike/>
                <w:color w:val="000000" w:themeColor="text1"/>
                <w:sz w:val="20"/>
                <w:szCs w:val="20"/>
              </w:rPr>
              <w:t>2</w:t>
            </w:r>
            <w:r w:rsidR="005E4648" w:rsidRPr="007C15DB">
              <w:rPr>
                <w:rFonts w:ascii="Arial Narrow" w:hAnsi="Arial Narrow" w:cs="Arial"/>
                <w:color w:val="000000" w:themeColor="text1"/>
                <w:sz w:val="20"/>
                <w:szCs w:val="20"/>
              </w:rPr>
              <w:t xml:space="preserve"> </w:t>
            </w:r>
            <w:r w:rsidR="005E4648" w:rsidRPr="007C15DB">
              <w:rPr>
                <w:rFonts w:ascii="Arial Narrow" w:hAnsi="Arial Narrow" w:cs="Arial"/>
                <w:i/>
                <w:color w:val="000000" w:themeColor="text1"/>
                <w:sz w:val="20"/>
                <w:szCs w:val="20"/>
              </w:rPr>
              <w:t>3</w:t>
            </w:r>
          </w:p>
        </w:tc>
        <w:tc>
          <w:tcPr>
            <w:tcW w:w="397" w:type="pct"/>
          </w:tcPr>
          <w:p w14:paraId="4EF9B177" w14:textId="77777777" w:rsidR="00A90E2C" w:rsidRPr="007C15DB" w:rsidRDefault="00A90E2C" w:rsidP="00FB1418">
            <w:pPr>
              <w:keepNext/>
              <w:ind w:left="-108"/>
              <w:jc w:val="center"/>
              <w:rPr>
                <w:rFonts w:ascii="Arial Narrow" w:hAnsi="Arial Narrow" w:cs="Arial"/>
                <w:strike/>
                <w:sz w:val="20"/>
                <w:szCs w:val="20"/>
              </w:rPr>
            </w:pPr>
          </w:p>
          <w:p w14:paraId="5C19F2A1" w14:textId="77777777" w:rsidR="00A90E2C" w:rsidRPr="007C15DB" w:rsidRDefault="00A90E2C" w:rsidP="00FB1418">
            <w:pPr>
              <w:keepNext/>
              <w:ind w:left="-108"/>
              <w:jc w:val="center"/>
              <w:rPr>
                <w:rFonts w:ascii="Arial Narrow" w:hAnsi="Arial Narrow" w:cs="Arial"/>
                <w:strike/>
                <w:color w:val="000000" w:themeColor="text1"/>
                <w:sz w:val="20"/>
                <w:szCs w:val="20"/>
              </w:rPr>
            </w:pPr>
            <w:r w:rsidRPr="007C15DB">
              <w:rPr>
                <w:rFonts w:ascii="Arial Narrow" w:hAnsi="Arial Narrow" w:cs="Arial"/>
                <w:strike/>
                <w:sz w:val="20"/>
                <w:szCs w:val="20"/>
              </w:rPr>
              <w:t>30</w:t>
            </w:r>
            <w:r w:rsidR="005E4648" w:rsidRPr="007C15DB">
              <w:rPr>
                <w:rFonts w:ascii="Arial Narrow" w:hAnsi="Arial Narrow" w:cs="Arial"/>
                <w:sz w:val="20"/>
                <w:szCs w:val="20"/>
              </w:rPr>
              <w:t xml:space="preserve"> </w:t>
            </w:r>
            <w:r w:rsidR="005E4648" w:rsidRPr="007C15DB">
              <w:rPr>
                <w:rFonts w:ascii="Arial Narrow" w:hAnsi="Arial Narrow" w:cs="Arial"/>
                <w:i/>
                <w:sz w:val="20"/>
                <w:szCs w:val="20"/>
              </w:rPr>
              <w:t>45</w:t>
            </w:r>
          </w:p>
        </w:tc>
        <w:tc>
          <w:tcPr>
            <w:tcW w:w="397" w:type="pct"/>
          </w:tcPr>
          <w:p w14:paraId="6A7DE081" w14:textId="77777777" w:rsidR="00A90E2C" w:rsidRPr="007C15DB" w:rsidRDefault="00A90E2C" w:rsidP="00FB1418">
            <w:pPr>
              <w:keepNext/>
              <w:ind w:left="-108"/>
              <w:jc w:val="center"/>
              <w:rPr>
                <w:rFonts w:ascii="Arial Narrow" w:hAnsi="Arial Narrow" w:cs="Arial"/>
                <w:strike/>
                <w:sz w:val="20"/>
                <w:szCs w:val="20"/>
              </w:rPr>
            </w:pPr>
          </w:p>
          <w:p w14:paraId="7A1AA2C8" w14:textId="77777777" w:rsidR="00A90E2C" w:rsidRPr="007C15DB" w:rsidRDefault="00A90E2C" w:rsidP="00FB1418">
            <w:pPr>
              <w:keepNext/>
              <w:ind w:left="-108"/>
              <w:jc w:val="center"/>
              <w:rPr>
                <w:rFonts w:ascii="Arial Narrow" w:hAnsi="Arial Narrow" w:cs="Arial"/>
                <w:i/>
                <w:sz w:val="20"/>
                <w:szCs w:val="20"/>
              </w:rPr>
            </w:pPr>
            <w:r w:rsidRPr="007C15DB">
              <w:rPr>
                <w:rFonts w:ascii="Arial Narrow" w:hAnsi="Arial Narrow" w:cs="Arial"/>
                <w:strike/>
                <w:sz w:val="20"/>
                <w:szCs w:val="20"/>
              </w:rPr>
              <w:t>5</w:t>
            </w:r>
            <w:r w:rsidR="005E4648" w:rsidRPr="007C15DB">
              <w:rPr>
                <w:rFonts w:ascii="Arial Narrow" w:hAnsi="Arial Narrow" w:cs="Arial"/>
                <w:sz w:val="20"/>
                <w:szCs w:val="20"/>
              </w:rPr>
              <w:t xml:space="preserve"> </w:t>
            </w:r>
            <w:r w:rsidR="005E4648" w:rsidRPr="007C15DB">
              <w:rPr>
                <w:rFonts w:ascii="Arial Narrow" w:hAnsi="Arial Narrow" w:cs="Arial"/>
                <w:i/>
                <w:sz w:val="20"/>
                <w:szCs w:val="20"/>
              </w:rPr>
              <w:t>3</w:t>
            </w:r>
          </w:p>
          <w:p w14:paraId="6AE3BE67" w14:textId="77777777" w:rsidR="00A90E2C" w:rsidRPr="007C15DB" w:rsidRDefault="00A90E2C" w:rsidP="00FB1418">
            <w:pPr>
              <w:keepNext/>
              <w:rPr>
                <w:rFonts w:ascii="Arial Narrow" w:hAnsi="Arial Narrow" w:cs="Arial"/>
                <w:strike/>
                <w:color w:val="000000" w:themeColor="text1"/>
                <w:sz w:val="20"/>
                <w:szCs w:val="20"/>
              </w:rPr>
            </w:pPr>
          </w:p>
        </w:tc>
        <w:tc>
          <w:tcPr>
            <w:tcW w:w="1270" w:type="pct"/>
          </w:tcPr>
          <w:p w14:paraId="3E0C570D" w14:textId="77777777" w:rsidR="00A90E2C" w:rsidRPr="007C15DB" w:rsidRDefault="00A90E2C" w:rsidP="00FB1418">
            <w:pPr>
              <w:keepNext/>
              <w:rPr>
                <w:rFonts w:ascii="Arial Narrow" w:hAnsi="Arial Narrow" w:cs="Arial"/>
                <w:sz w:val="20"/>
                <w:szCs w:val="20"/>
              </w:rPr>
            </w:pPr>
          </w:p>
          <w:p w14:paraId="7A745B45" w14:textId="77777777" w:rsidR="00A90E2C" w:rsidRPr="007C15DB" w:rsidRDefault="00A90E2C" w:rsidP="00FB1418">
            <w:pPr>
              <w:keepNext/>
              <w:rPr>
                <w:rFonts w:ascii="Arial Narrow" w:hAnsi="Arial Narrow" w:cs="Arial"/>
                <w:color w:val="000000" w:themeColor="text1"/>
                <w:sz w:val="20"/>
                <w:szCs w:val="20"/>
              </w:rPr>
            </w:pPr>
            <w:r w:rsidRPr="007C15DB">
              <w:rPr>
                <w:rFonts w:ascii="Arial Narrow" w:hAnsi="Arial Narrow" w:cs="Arial"/>
                <w:sz w:val="20"/>
                <w:szCs w:val="20"/>
              </w:rPr>
              <w:t>Oripro</w:t>
            </w:r>
          </w:p>
          <w:p w14:paraId="5CDE6631" w14:textId="77777777" w:rsidR="00A90E2C" w:rsidRPr="007C15DB" w:rsidRDefault="00A90E2C" w:rsidP="00FB1418">
            <w:pPr>
              <w:keepNext/>
              <w:rPr>
                <w:rFonts w:ascii="Arial Narrow" w:hAnsi="Arial Narrow" w:cs="Arial"/>
                <w:color w:val="000000" w:themeColor="text1"/>
                <w:sz w:val="20"/>
                <w:szCs w:val="20"/>
              </w:rPr>
            </w:pPr>
          </w:p>
        </w:tc>
      </w:tr>
    </w:tbl>
    <w:p w14:paraId="2A2E1FE7" w14:textId="77777777" w:rsidR="001140AA" w:rsidRDefault="001140AA" w:rsidP="001140AA">
      <w:pPr>
        <w:pStyle w:val="3-BodyText"/>
        <w:numPr>
          <w:ilvl w:val="0"/>
          <w:numId w:val="0"/>
        </w:numPr>
        <w:rPr>
          <w:i/>
          <w:iCs/>
        </w:rPr>
      </w:pPr>
    </w:p>
    <w:p w14:paraId="468AA687" w14:textId="77777777" w:rsidR="00E00EE3" w:rsidRPr="003415EB" w:rsidRDefault="00350303" w:rsidP="00CA2750">
      <w:pPr>
        <w:pStyle w:val="3-BodyText"/>
        <w:numPr>
          <w:ilvl w:val="1"/>
          <w:numId w:val="2"/>
        </w:numPr>
        <w:rPr>
          <w:iCs/>
        </w:rPr>
      </w:pPr>
      <w:r w:rsidRPr="003415EB">
        <w:rPr>
          <w:iCs/>
        </w:rPr>
        <w:t>The current Oripro restriction for prevention of preterm birth pr</w:t>
      </w:r>
      <w:r w:rsidR="006F239F" w:rsidRPr="003415EB">
        <w:rPr>
          <w:iCs/>
        </w:rPr>
        <w:t xml:space="preserve">ovides </w:t>
      </w:r>
      <w:r w:rsidR="00E00EE3" w:rsidRPr="003415EB">
        <w:rPr>
          <w:iCs/>
        </w:rPr>
        <w:t>a maximum quantity of 2 packs, which allows for 30 days</w:t>
      </w:r>
      <w:r w:rsidR="007456A6" w:rsidRPr="003415EB">
        <w:rPr>
          <w:iCs/>
        </w:rPr>
        <w:t xml:space="preserve"> (</w:t>
      </w:r>
      <w:r w:rsidR="00925BED" w:rsidRPr="003415EB">
        <w:rPr>
          <w:iCs/>
        </w:rPr>
        <w:t>1</w:t>
      </w:r>
      <w:r w:rsidR="007456A6" w:rsidRPr="003415EB">
        <w:rPr>
          <w:iCs/>
        </w:rPr>
        <w:t xml:space="preserve"> month)</w:t>
      </w:r>
      <w:r w:rsidR="00E00EE3" w:rsidRPr="003415EB">
        <w:rPr>
          <w:iCs/>
        </w:rPr>
        <w:t xml:space="preserve"> of therapy (2 </w:t>
      </w:r>
      <w:r w:rsidR="00E00EE3" w:rsidRPr="003415EB">
        <w:rPr>
          <w:rFonts w:cs="Calibri"/>
          <w:iCs/>
        </w:rPr>
        <w:t>×</w:t>
      </w:r>
      <w:r w:rsidR="00E00EE3" w:rsidRPr="003415EB">
        <w:rPr>
          <w:iCs/>
        </w:rPr>
        <w:t xml:space="preserve"> 15 pessaries), and 5 repeats allows for 6 months of therapy</w:t>
      </w:r>
      <w:r w:rsidR="00913781" w:rsidRPr="003415EB">
        <w:rPr>
          <w:iCs/>
        </w:rPr>
        <w:t xml:space="preserve"> (or approximately 6.4 months based on 28 days/month). </w:t>
      </w:r>
      <w:r w:rsidR="00E00EE3" w:rsidRPr="003415EB">
        <w:rPr>
          <w:iCs/>
        </w:rPr>
        <w:t xml:space="preserve">The Oripro Product Information (PI) states that </w:t>
      </w:r>
      <w:r w:rsidR="004C0C9B" w:rsidRPr="003415EB">
        <w:rPr>
          <w:iCs/>
        </w:rPr>
        <w:t xml:space="preserve">dosage of progesterone for this indication is 200 mg daily (at night), and </w:t>
      </w:r>
      <w:r w:rsidR="00E00EE3" w:rsidRPr="003415EB">
        <w:rPr>
          <w:iCs/>
        </w:rPr>
        <w:t>treatment can be initiated at 16 weeks and go through to 36 weeks or delivery</w:t>
      </w:r>
      <w:r w:rsidR="00CA797E" w:rsidRPr="003415EB">
        <w:rPr>
          <w:iCs/>
        </w:rPr>
        <w:t xml:space="preserve"> </w:t>
      </w:r>
      <w:r w:rsidR="00CA2750" w:rsidRPr="003415EB">
        <w:rPr>
          <w:iCs/>
        </w:rPr>
        <w:t>(</w:t>
      </w:r>
      <w:r w:rsidR="003A51AB" w:rsidRPr="003415EB">
        <w:rPr>
          <w:iCs/>
        </w:rPr>
        <w:t xml:space="preserve">up to </w:t>
      </w:r>
      <w:r w:rsidR="00CA797E" w:rsidRPr="003415EB">
        <w:rPr>
          <w:iCs/>
        </w:rPr>
        <w:t xml:space="preserve">24 weeks </w:t>
      </w:r>
      <w:r w:rsidR="009F0DFF" w:rsidRPr="003415EB">
        <w:rPr>
          <w:iCs/>
        </w:rPr>
        <w:t>of</w:t>
      </w:r>
      <w:r w:rsidR="00081E83" w:rsidRPr="003415EB">
        <w:rPr>
          <w:iCs/>
        </w:rPr>
        <w:t xml:space="preserve"> </w:t>
      </w:r>
      <w:r w:rsidR="003A51AB" w:rsidRPr="003415EB">
        <w:rPr>
          <w:iCs/>
        </w:rPr>
        <w:t>treatment</w:t>
      </w:r>
      <w:r w:rsidR="00CA2750" w:rsidRPr="003415EB">
        <w:rPr>
          <w:iCs/>
        </w:rPr>
        <w:t>).</w:t>
      </w:r>
    </w:p>
    <w:p w14:paraId="50235911" w14:textId="77777777" w:rsidR="006D2B6E" w:rsidRPr="003415EB" w:rsidRDefault="00AD2193" w:rsidP="00EE56C6">
      <w:pPr>
        <w:pStyle w:val="3Bodytext"/>
      </w:pPr>
      <w:r w:rsidRPr="003415EB">
        <w:t xml:space="preserve">The </w:t>
      </w:r>
      <w:r w:rsidR="001E0DFC" w:rsidRPr="003415EB">
        <w:t xml:space="preserve">current Utrogestan </w:t>
      </w:r>
      <w:r w:rsidR="004C0C9B" w:rsidRPr="003415EB">
        <w:t xml:space="preserve">restriction for prevention of preterm birth provides a </w:t>
      </w:r>
      <w:r w:rsidRPr="003415EB">
        <w:t>maximum quantity of 1 pack of 42 capsules and 3 repeats</w:t>
      </w:r>
      <w:r w:rsidR="004C0C9B" w:rsidRPr="003415EB">
        <w:t>, which</w:t>
      </w:r>
      <w:r w:rsidRPr="003415EB">
        <w:t xml:space="preserve"> allow</w:t>
      </w:r>
      <w:r w:rsidR="001E0DFC" w:rsidRPr="003415EB">
        <w:t>s</w:t>
      </w:r>
      <w:r w:rsidRPr="003415EB">
        <w:t xml:space="preserve"> for the maximum recommended duration of treatment</w:t>
      </w:r>
      <w:r w:rsidR="00CA2750" w:rsidRPr="003415EB">
        <w:t xml:space="preserve">. </w:t>
      </w:r>
      <w:r w:rsidR="00734FD8" w:rsidRPr="003415EB">
        <w:t xml:space="preserve">Each prescription allows for approximately 6 weeks of therapy. </w:t>
      </w:r>
      <w:r w:rsidRPr="003415EB">
        <w:t>Treatment is initiated during the second trimester (16-24 weeks gestation) and is to be continued to the end of gestation. The requested amount, including the 3 repeats, provide</w:t>
      </w:r>
      <w:r w:rsidR="001E0DFC" w:rsidRPr="003415EB">
        <w:t>s</w:t>
      </w:r>
      <w:r w:rsidRPr="003415EB">
        <w:t xml:space="preserve"> for</w:t>
      </w:r>
      <w:r w:rsidR="00734FD8" w:rsidRPr="003415EB">
        <w:t xml:space="preserve"> </w:t>
      </w:r>
      <w:r w:rsidRPr="003415EB">
        <w:t>24 weeks of treatment</w:t>
      </w:r>
      <w:r w:rsidR="00913781" w:rsidRPr="003415EB">
        <w:t xml:space="preserve"> (</w:t>
      </w:r>
      <w:r w:rsidR="0000462F" w:rsidRPr="003415EB">
        <w:t>equivalent to 5.6 months based on 30 days/month</w:t>
      </w:r>
      <w:r w:rsidR="006D2B6E" w:rsidRPr="003415EB">
        <w:t>, or 6 months based on 28 days/month</w:t>
      </w:r>
      <w:r w:rsidR="00913781" w:rsidRPr="003415EB">
        <w:t>)</w:t>
      </w:r>
      <w:r w:rsidR="006D2B6E" w:rsidRPr="003415EB">
        <w:t xml:space="preserve">. </w:t>
      </w:r>
      <w:r w:rsidR="004C0C9B" w:rsidRPr="003415EB">
        <w:t>Like Oripro, t</w:t>
      </w:r>
      <w:r w:rsidRPr="003415EB">
        <w:t xml:space="preserve">he </w:t>
      </w:r>
      <w:r w:rsidR="001E0DFC" w:rsidRPr="003415EB">
        <w:t xml:space="preserve">Utrogestan </w:t>
      </w:r>
      <w:r w:rsidRPr="003415EB">
        <w:t>PI state</w:t>
      </w:r>
      <w:r w:rsidR="001E0DFC" w:rsidRPr="003415EB">
        <w:t>s</w:t>
      </w:r>
      <w:r w:rsidRPr="003415EB">
        <w:t xml:space="preserve"> that the usual dose is 200 mg/day, and that treatment is to be continued until the end of the 36</w:t>
      </w:r>
      <w:r w:rsidRPr="003415EB">
        <w:rPr>
          <w:vertAlign w:val="superscript"/>
        </w:rPr>
        <w:t>th</w:t>
      </w:r>
      <w:r w:rsidRPr="003415EB">
        <w:t xml:space="preserve"> week of gestation or until delivery.</w:t>
      </w:r>
    </w:p>
    <w:p w14:paraId="771CBAB6" w14:textId="77777777" w:rsidR="006D2B6E" w:rsidRPr="003415EB" w:rsidRDefault="006D2B6E" w:rsidP="00EE56C6">
      <w:pPr>
        <w:pStyle w:val="3Bodytext"/>
        <w:jc w:val="both"/>
        <w:rPr>
          <w:iCs/>
        </w:rPr>
      </w:pPr>
      <w:r w:rsidRPr="003415EB">
        <w:rPr>
          <w:iCs/>
        </w:rPr>
        <w:t>Currently, both the Oripro</w:t>
      </w:r>
      <w:r w:rsidR="00E25D6A" w:rsidRPr="003415EB">
        <w:rPr>
          <w:iCs/>
        </w:rPr>
        <w:t xml:space="preserve"> and Utrogestan</w:t>
      </w:r>
      <w:r w:rsidRPr="003415EB">
        <w:rPr>
          <w:iCs/>
        </w:rPr>
        <w:t xml:space="preserve"> (prevention of preterm birth) listings provide for </w:t>
      </w:r>
      <w:r w:rsidR="005F1EE9" w:rsidRPr="003415EB">
        <w:rPr>
          <w:iCs/>
        </w:rPr>
        <w:t xml:space="preserve">roughly </w:t>
      </w:r>
      <w:r w:rsidRPr="003415EB">
        <w:rPr>
          <w:iCs/>
        </w:rPr>
        <w:t xml:space="preserve">the same total duration of therapy. </w:t>
      </w:r>
    </w:p>
    <w:p w14:paraId="2433DAA5" w14:textId="77777777" w:rsidR="009B53EC" w:rsidRPr="003415EB" w:rsidRDefault="002C7683" w:rsidP="00EE56C6">
      <w:pPr>
        <w:pStyle w:val="3Bodytext"/>
        <w:jc w:val="both"/>
        <w:rPr>
          <w:iCs/>
        </w:rPr>
      </w:pPr>
      <w:r w:rsidRPr="003415EB">
        <w:rPr>
          <w:iCs/>
        </w:rPr>
        <w:t>The</w:t>
      </w:r>
      <w:r w:rsidR="00D215E9" w:rsidRPr="003415EB">
        <w:rPr>
          <w:iCs/>
        </w:rPr>
        <w:t xml:space="preserve"> </w:t>
      </w:r>
      <w:r w:rsidRPr="003415EB">
        <w:rPr>
          <w:iCs/>
        </w:rPr>
        <w:t xml:space="preserve">requested change </w:t>
      </w:r>
      <w:r w:rsidR="00D215E9" w:rsidRPr="003415EB">
        <w:rPr>
          <w:iCs/>
        </w:rPr>
        <w:t xml:space="preserve">for Oripro </w:t>
      </w:r>
      <w:r w:rsidRPr="003415EB">
        <w:rPr>
          <w:iCs/>
        </w:rPr>
        <w:t>would</w:t>
      </w:r>
      <w:r w:rsidR="00D215E9" w:rsidRPr="003415EB">
        <w:rPr>
          <w:iCs/>
        </w:rPr>
        <w:t xml:space="preserve"> provide a maximum quantity of 45 pessaries</w:t>
      </w:r>
      <w:r w:rsidR="006E3BCE" w:rsidRPr="003415EB">
        <w:rPr>
          <w:iCs/>
        </w:rPr>
        <w:t xml:space="preserve"> (compared to 42 pessaries for Utrogestan)</w:t>
      </w:r>
      <w:r w:rsidR="00D215E9" w:rsidRPr="003415EB">
        <w:rPr>
          <w:iCs/>
        </w:rPr>
        <w:t>. Each prescription would therefore supply approximately 6</w:t>
      </w:r>
      <w:r w:rsidR="00316C4B" w:rsidRPr="003415EB">
        <w:rPr>
          <w:iCs/>
        </w:rPr>
        <w:t xml:space="preserve">-7 </w:t>
      </w:r>
      <w:r w:rsidR="00D215E9" w:rsidRPr="003415EB">
        <w:rPr>
          <w:iCs/>
        </w:rPr>
        <w:t>weeks of therapy</w:t>
      </w:r>
      <w:r w:rsidR="00734FD8" w:rsidRPr="003415EB">
        <w:rPr>
          <w:iCs/>
        </w:rPr>
        <w:t xml:space="preserve"> (as opposed to the current 1 month of therapy). </w:t>
      </w:r>
      <w:r w:rsidR="00CB5CBA" w:rsidRPr="003415EB">
        <w:rPr>
          <w:iCs/>
        </w:rPr>
        <w:lastRenderedPageBreak/>
        <w:t>However, t</w:t>
      </w:r>
      <w:r w:rsidR="00D233A8" w:rsidRPr="003415EB">
        <w:rPr>
          <w:iCs/>
        </w:rPr>
        <w:t>he total number of pessaries (45 x 4 = 180) remains the same as the current listing (30 x 6 = 180)</w:t>
      </w:r>
      <w:r w:rsidR="00913781" w:rsidRPr="003415EB">
        <w:rPr>
          <w:iCs/>
        </w:rPr>
        <w:t xml:space="preserve">, and would </w:t>
      </w:r>
      <w:r w:rsidR="005F1EE9" w:rsidRPr="003415EB">
        <w:rPr>
          <w:iCs/>
        </w:rPr>
        <w:t xml:space="preserve">still </w:t>
      </w:r>
      <w:r w:rsidR="00913781" w:rsidRPr="003415EB">
        <w:rPr>
          <w:iCs/>
        </w:rPr>
        <w:t>provide for approximately 6 months of therapy</w:t>
      </w:r>
      <w:r w:rsidR="0000462F" w:rsidRPr="003415EB">
        <w:rPr>
          <w:iCs/>
        </w:rPr>
        <w:t xml:space="preserve"> in total</w:t>
      </w:r>
      <w:r w:rsidR="00913781" w:rsidRPr="003415EB">
        <w:rPr>
          <w:iCs/>
        </w:rPr>
        <w:t xml:space="preserve">. </w:t>
      </w:r>
    </w:p>
    <w:p w14:paraId="7457AF99" w14:textId="77777777" w:rsidR="004C0C9B" w:rsidRDefault="009B53EC" w:rsidP="00CA2750">
      <w:pPr>
        <w:pStyle w:val="3Bodytext"/>
        <w:jc w:val="both"/>
        <w:rPr>
          <w:i/>
          <w:iCs/>
        </w:rPr>
      </w:pPr>
      <w:r w:rsidRPr="003415EB">
        <w:rPr>
          <w:iCs/>
        </w:rPr>
        <w:t>In accordance with the PBAC Guidelines</w:t>
      </w:r>
      <w:r w:rsidR="005F1EE9" w:rsidRPr="003415EB">
        <w:rPr>
          <w:iCs/>
        </w:rPr>
        <w:t xml:space="preserve"> Version 5.0</w:t>
      </w:r>
      <w:r w:rsidR="004C0C9B" w:rsidRPr="003415EB">
        <w:rPr>
          <w:iCs/>
        </w:rPr>
        <w:t xml:space="preserve"> </w:t>
      </w:r>
      <w:r w:rsidRPr="003415EB">
        <w:rPr>
          <w:iCs/>
        </w:rPr>
        <w:t xml:space="preserve">, </w:t>
      </w:r>
      <w:r w:rsidR="00FF040B" w:rsidRPr="003415EB">
        <w:rPr>
          <w:iCs/>
        </w:rPr>
        <w:t>the maximum quantity and number of repeats should account for whether the medicine is an</w:t>
      </w:r>
      <w:r w:rsidRPr="003415EB">
        <w:rPr>
          <w:iCs/>
        </w:rPr>
        <w:t xml:space="preserve"> acute-use therapy (such that the requested maximum quantity/amount is consistent with the likely use of the proposed medicine for a normal course</w:t>
      </w:r>
      <w:r w:rsidRPr="00FC1C32">
        <w:rPr>
          <w:i/>
          <w:iCs/>
        </w:rPr>
        <w:t xml:space="preserve"> </w:t>
      </w:r>
      <w:r w:rsidRPr="003415EB">
        <w:rPr>
          <w:iCs/>
        </w:rPr>
        <w:t xml:space="preserve">of therapy), or </w:t>
      </w:r>
      <w:r w:rsidR="00FC1C32" w:rsidRPr="003415EB">
        <w:rPr>
          <w:iCs/>
        </w:rPr>
        <w:t xml:space="preserve">a </w:t>
      </w:r>
      <w:r w:rsidRPr="003415EB">
        <w:rPr>
          <w:iCs/>
        </w:rPr>
        <w:t>chronic-use therapy (such that maximum quantity/amount is consistent with the likely use of the proposed medicine for one month of therapy between each dispensing by the pharmacist, and that the number of repeats (usually) permits six months of therapy</w:t>
      </w:r>
      <w:r w:rsidRPr="00FC1C32">
        <w:rPr>
          <w:i/>
          <w:iCs/>
        </w:rPr>
        <w:t xml:space="preserve"> </w:t>
      </w:r>
      <w:r w:rsidRPr="003415EB">
        <w:rPr>
          <w:iCs/>
        </w:rPr>
        <w:t xml:space="preserve">between each prescription). </w:t>
      </w:r>
      <w:r w:rsidR="002B0C05" w:rsidRPr="003415EB">
        <w:rPr>
          <w:iCs/>
        </w:rPr>
        <w:t>The PBAC Guidelines</w:t>
      </w:r>
      <w:r w:rsidR="00483F37" w:rsidRPr="003415EB">
        <w:rPr>
          <w:iCs/>
        </w:rPr>
        <w:t xml:space="preserve"> </w:t>
      </w:r>
      <w:r w:rsidR="002B0C05" w:rsidRPr="003415EB">
        <w:rPr>
          <w:iCs/>
        </w:rPr>
        <w:t>state that a</w:t>
      </w:r>
      <w:r w:rsidR="004C0C9B" w:rsidRPr="003415EB">
        <w:rPr>
          <w:iCs/>
        </w:rPr>
        <w:t>ny deviations from this general approach should be justified (e.g. to minimise wastage or to facilitate intermittent therapy).</w:t>
      </w:r>
      <w:r w:rsidR="004C0C9B">
        <w:rPr>
          <w:i/>
          <w:iCs/>
        </w:rPr>
        <w:t xml:space="preserve"> </w:t>
      </w:r>
    </w:p>
    <w:p w14:paraId="62F8819B" w14:textId="77777777" w:rsidR="006041AF" w:rsidRPr="006041AF" w:rsidRDefault="006041AF" w:rsidP="006041AF">
      <w:pPr>
        <w:spacing w:after="120"/>
        <w:ind w:firstLine="709"/>
        <w:rPr>
          <w:rFonts w:asciiTheme="minorHAnsi" w:hAnsiTheme="minorHAnsi"/>
          <w:i/>
          <w:lang w:eastAsia="en-US"/>
        </w:rPr>
      </w:pPr>
      <w:r w:rsidRPr="006041AF">
        <w:rPr>
          <w:rFonts w:asciiTheme="minorHAnsi" w:hAnsiTheme="minorHAnsi"/>
          <w:i/>
          <w:lang w:eastAsia="en-US"/>
        </w:rPr>
        <w:t>For more detail on PBAC’s view, see sect</w:t>
      </w:r>
      <w:r w:rsidR="007A493E">
        <w:rPr>
          <w:rFonts w:asciiTheme="minorHAnsi" w:hAnsiTheme="minorHAnsi"/>
          <w:i/>
          <w:lang w:eastAsia="en-US"/>
        </w:rPr>
        <w:t>ion 5</w:t>
      </w:r>
      <w:r w:rsidRPr="006041AF">
        <w:rPr>
          <w:rFonts w:asciiTheme="minorHAnsi" w:hAnsiTheme="minorHAnsi"/>
          <w:i/>
          <w:lang w:eastAsia="en-US"/>
        </w:rPr>
        <w:t xml:space="preserve"> PBAC outcome.</w:t>
      </w:r>
    </w:p>
    <w:p w14:paraId="72910F6A" w14:textId="77777777" w:rsidR="00FC1C31" w:rsidRDefault="00C27C1C" w:rsidP="00FC1C32">
      <w:pPr>
        <w:pStyle w:val="Heading1"/>
        <w:keepLines/>
        <w:numPr>
          <w:ilvl w:val="0"/>
          <w:numId w:val="2"/>
        </w:numPr>
        <w:spacing w:before="240"/>
        <w:ind w:left="709" w:hanging="709"/>
        <w:rPr>
          <w:sz w:val="32"/>
          <w:szCs w:val="32"/>
        </w:rPr>
      </w:pPr>
      <w:r w:rsidRPr="003C2FB5">
        <w:rPr>
          <w:sz w:val="32"/>
          <w:szCs w:val="32"/>
        </w:rPr>
        <w:t>Consideration of the evidence</w:t>
      </w:r>
    </w:p>
    <w:p w14:paraId="42095C3B" w14:textId="77777777" w:rsidR="006041AF" w:rsidRDefault="006041AF" w:rsidP="006041AF">
      <w:pPr>
        <w:pStyle w:val="4-SubsectionHeading"/>
        <w:rPr>
          <w:lang w:eastAsia="en-US"/>
        </w:rPr>
      </w:pPr>
      <w:r>
        <w:rPr>
          <w:lang w:eastAsia="en-US"/>
        </w:rPr>
        <w:t>Sponsor hearing</w:t>
      </w:r>
    </w:p>
    <w:p w14:paraId="7C240DAF" w14:textId="77777777" w:rsidR="006041AF" w:rsidRPr="006041AF" w:rsidRDefault="006041AF" w:rsidP="006041AF">
      <w:pPr>
        <w:pStyle w:val="3Bodytext"/>
        <w:numPr>
          <w:ilvl w:val="1"/>
          <w:numId w:val="18"/>
        </w:numPr>
        <w:jc w:val="both"/>
      </w:pPr>
      <w:r>
        <w:t xml:space="preserve">There was no hearing for this item. </w:t>
      </w:r>
    </w:p>
    <w:p w14:paraId="0E2DF301" w14:textId="77777777" w:rsidR="006041AF" w:rsidRDefault="006041AF" w:rsidP="006041AF">
      <w:pPr>
        <w:pStyle w:val="4-SubsectionHeading"/>
        <w:rPr>
          <w:lang w:eastAsia="en-US"/>
        </w:rPr>
      </w:pPr>
      <w:r>
        <w:rPr>
          <w:lang w:eastAsia="en-US"/>
        </w:rPr>
        <w:t>Consumer Comments</w:t>
      </w:r>
    </w:p>
    <w:p w14:paraId="13D02DBB" w14:textId="77777777" w:rsidR="006041AF" w:rsidRDefault="00F66F9F" w:rsidP="006041AF">
      <w:pPr>
        <w:pStyle w:val="3Bodytext"/>
        <w:numPr>
          <w:ilvl w:val="1"/>
          <w:numId w:val="18"/>
        </w:numPr>
        <w:jc w:val="both"/>
      </w:pPr>
      <w:r>
        <w:t xml:space="preserve">The PBAC noted that no consumer comments were received for this item. </w:t>
      </w:r>
    </w:p>
    <w:p w14:paraId="34771389" w14:textId="77777777" w:rsidR="00452561" w:rsidRDefault="00452561" w:rsidP="00452561">
      <w:pPr>
        <w:pStyle w:val="4-SubsectionHeading"/>
        <w:rPr>
          <w:lang w:eastAsia="en-US"/>
        </w:rPr>
      </w:pPr>
      <w:r>
        <w:rPr>
          <w:lang w:eastAsia="en-US"/>
        </w:rPr>
        <w:t>Co-payment considerations</w:t>
      </w:r>
    </w:p>
    <w:p w14:paraId="573535E0" w14:textId="77777777" w:rsidR="00FC1C31" w:rsidRDefault="00FC1C31" w:rsidP="00CA2750">
      <w:pPr>
        <w:pStyle w:val="3Bodytext"/>
        <w:numPr>
          <w:ilvl w:val="1"/>
          <w:numId w:val="18"/>
        </w:numPr>
        <w:jc w:val="both"/>
      </w:pPr>
      <w:r w:rsidRPr="005F1EE9">
        <w:t>The requested amendment for a maximum quantity of 45 pessaries with 3 repeats fo</w:t>
      </w:r>
      <w:r w:rsidR="00185F22">
        <w:t xml:space="preserve">r Oripro </w:t>
      </w:r>
      <w:r w:rsidRPr="005F1EE9">
        <w:t xml:space="preserve">would reduce the number of patient co-payments </w:t>
      </w:r>
      <w:r w:rsidR="005F1EE9" w:rsidRPr="005F1EE9">
        <w:t>from 6 to</w:t>
      </w:r>
      <w:r w:rsidRPr="005F1EE9">
        <w:t xml:space="preserve"> 4</w:t>
      </w:r>
      <w:r w:rsidR="005F1EE9" w:rsidRPr="005F1EE9">
        <w:t>.</w:t>
      </w:r>
      <w:r w:rsidRPr="005F1EE9">
        <w:t xml:space="preserve"> Currently, the total co-payment costs</w:t>
      </w:r>
      <w:r w:rsidR="00AA2728">
        <w:t xml:space="preserve"> for </w:t>
      </w:r>
      <w:r w:rsidR="005F1EE9" w:rsidRPr="005F1EE9">
        <w:t>Oripro is</w:t>
      </w:r>
      <w:r w:rsidRPr="005F1EE9">
        <w:t xml:space="preserve"> $247.80</w:t>
      </w:r>
      <w:r w:rsidR="00AA2728">
        <w:t xml:space="preserve"> </w:t>
      </w:r>
      <w:r w:rsidR="002B0C05">
        <w:t>for</w:t>
      </w:r>
      <w:r w:rsidR="00AA2728">
        <w:t xml:space="preserve"> 6 months</w:t>
      </w:r>
      <w:r w:rsidR="005F1EE9" w:rsidRPr="005F1EE9">
        <w:t xml:space="preserve"> </w:t>
      </w:r>
      <w:r w:rsidR="002B0C05">
        <w:t xml:space="preserve">of treatment </w:t>
      </w:r>
      <w:r w:rsidR="005F1EE9" w:rsidRPr="005F1EE9">
        <w:t>(general patient)</w:t>
      </w:r>
      <w:r w:rsidRPr="005F1EE9">
        <w:t xml:space="preserve"> compared with $165.20 for a general patient on Utrogestan.</w:t>
      </w:r>
    </w:p>
    <w:p w14:paraId="2CE652B2" w14:textId="1971B8D1" w:rsidR="00B10034" w:rsidRPr="00A474BD" w:rsidRDefault="005F1EE9" w:rsidP="00A474BD">
      <w:pPr>
        <w:pStyle w:val="3Bodytext"/>
        <w:numPr>
          <w:ilvl w:val="1"/>
          <w:numId w:val="18"/>
        </w:numPr>
        <w:jc w:val="both"/>
      </w:pPr>
      <w:r>
        <w:t xml:space="preserve">The difference in co-payments are summarised in Table 1. </w:t>
      </w:r>
      <w:r w:rsidR="00B10034">
        <w:br w:type="page"/>
      </w:r>
    </w:p>
    <w:p w14:paraId="1AFF33F5" w14:textId="77777777" w:rsidR="00B10034" w:rsidRPr="00AA2728" w:rsidRDefault="00B10034" w:rsidP="0063474E">
      <w:pPr>
        <w:pStyle w:val="3Bodytext"/>
        <w:numPr>
          <w:ilvl w:val="0"/>
          <w:numId w:val="0"/>
        </w:numPr>
        <w:ind w:left="720"/>
        <w:jc w:val="both"/>
      </w:pPr>
    </w:p>
    <w:p w14:paraId="4B7907CF" w14:textId="77777777" w:rsidR="00FC1C31" w:rsidRPr="009341F7" w:rsidRDefault="00FC1C31" w:rsidP="00FC1C31">
      <w:pPr>
        <w:pStyle w:val="In-tableHeading"/>
        <w:rPr>
          <w:szCs w:val="20"/>
        </w:rPr>
      </w:pPr>
      <w:r w:rsidRPr="00FC1C32">
        <w:rPr>
          <w:szCs w:val="20"/>
          <w:lang w:val="en-AU"/>
        </w:rPr>
        <w:t>Table 1: Patient co-payment costs of Oripro versus Utrogestan (6 months of treatment)</w:t>
      </w:r>
    </w:p>
    <w:tbl>
      <w:tblPr>
        <w:tblStyle w:val="TableGrid"/>
        <w:tblW w:w="5000" w:type="pct"/>
        <w:tblLayout w:type="fixed"/>
        <w:tblLook w:val="04A0" w:firstRow="1" w:lastRow="0" w:firstColumn="1" w:lastColumn="0" w:noHBand="0" w:noVBand="1"/>
        <w:tblCaption w:val="Table 1: Patient co-payment costs of Oripro versus Utrogestan (6 months of treatment)"/>
      </w:tblPr>
      <w:tblGrid>
        <w:gridCol w:w="2230"/>
        <w:gridCol w:w="1780"/>
        <w:gridCol w:w="1562"/>
        <w:gridCol w:w="1742"/>
        <w:gridCol w:w="1702"/>
      </w:tblGrid>
      <w:tr w:rsidR="002B0C05" w:rsidRPr="00232D6E" w14:paraId="1F94240A" w14:textId="77777777" w:rsidTr="00F21BEA">
        <w:trPr>
          <w:trHeight w:val="235"/>
          <w:tblHeader/>
        </w:trPr>
        <w:tc>
          <w:tcPr>
            <w:tcW w:w="1237" w:type="pct"/>
            <w:vMerge w:val="restart"/>
          </w:tcPr>
          <w:p w14:paraId="7D2D66D0" w14:textId="77777777" w:rsidR="002B0C05" w:rsidRPr="00232D6E" w:rsidRDefault="002B0C05" w:rsidP="00782B65">
            <w:pPr>
              <w:pStyle w:val="In-tableHeading"/>
              <w:rPr>
                <w:rFonts w:cstheme="minorHAnsi"/>
                <w:szCs w:val="20"/>
              </w:rPr>
            </w:pPr>
          </w:p>
        </w:tc>
        <w:tc>
          <w:tcPr>
            <w:tcW w:w="987" w:type="pct"/>
            <w:vMerge w:val="restart"/>
            <w:vAlign w:val="center"/>
          </w:tcPr>
          <w:p w14:paraId="51CE38DD" w14:textId="5DDA2A32" w:rsidR="002B0C05" w:rsidRPr="00232D6E" w:rsidRDefault="002B0C05" w:rsidP="00782B65">
            <w:pPr>
              <w:pStyle w:val="table"/>
              <w:spacing w:after="0" w:line="240" w:lineRule="auto"/>
              <w:jc w:val="center"/>
              <w:rPr>
                <w:rFonts w:ascii="Arial Narrow" w:hAnsi="Arial Narrow" w:cstheme="minorHAnsi"/>
                <w:b/>
                <w:sz w:val="20"/>
                <w:szCs w:val="20"/>
              </w:rPr>
            </w:pPr>
            <w:r w:rsidRPr="00232D6E">
              <w:rPr>
                <w:rFonts w:ascii="Arial Narrow" w:hAnsi="Arial Narrow" w:cstheme="minorHAnsi"/>
                <w:b/>
                <w:sz w:val="20"/>
                <w:szCs w:val="20"/>
              </w:rPr>
              <w:t>Tx duration</w:t>
            </w:r>
            <w:r>
              <w:rPr>
                <w:rFonts w:ascii="Arial Narrow" w:hAnsi="Arial Narrow" w:cstheme="minorHAnsi"/>
                <w:b/>
                <w:sz w:val="20"/>
                <w:szCs w:val="20"/>
              </w:rPr>
              <w:t xml:space="preserve"> </w:t>
            </w:r>
            <w:r w:rsidRPr="00232D6E">
              <w:rPr>
                <w:rFonts w:ascii="Arial Narrow" w:hAnsi="Arial Narrow" w:cstheme="minorHAnsi"/>
                <w:b/>
                <w:sz w:val="20"/>
                <w:szCs w:val="20"/>
              </w:rPr>
              <w:t>/</w:t>
            </w:r>
            <w:r>
              <w:rPr>
                <w:rFonts w:ascii="Arial Narrow" w:hAnsi="Arial Narrow" w:cstheme="minorHAnsi"/>
                <w:b/>
                <w:sz w:val="20"/>
                <w:szCs w:val="20"/>
              </w:rPr>
              <w:t xml:space="preserve"> </w:t>
            </w:r>
            <w:r w:rsidRPr="00232D6E">
              <w:rPr>
                <w:rFonts w:ascii="Arial Narrow" w:hAnsi="Arial Narrow" w:cstheme="minorHAnsi"/>
                <w:b/>
                <w:sz w:val="20"/>
                <w:szCs w:val="20"/>
              </w:rPr>
              <w:t>Script</w:t>
            </w:r>
          </w:p>
        </w:tc>
        <w:tc>
          <w:tcPr>
            <w:tcW w:w="866" w:type="pct"/>
            <w:vMerge w:val="restart"/>
            <w:vAlign w:val="center"/>
          </w:tcPr>
          <w:p w14:paraId="6F686780" w14:textId="77777777" w:rsidR="002B0C05" w:rsidRPr="00232D6E" w:rsidRDefault="002B0C05" w:rsidP="00782B65">
            <w:pPr>
              <w:pStyle w:val="table"/>
              <w:spacing w:after="0" w:line="240" w:lineRule="auto"/>
              <w:jc w:val="center"/>
              <w:rPr>
                <w:rFonts w:ascii="Arial Narrow" w:hAnsi="Arial Narrow" w:cstheme="minorHAnsi"/>
                <w:b/>
                <w:sz w:val="20"/>
                <w:szCs w:val="20"/>
              </w:rPr>
            </w:pPr>
            <w:r w:rsidRPr="00232D6E">
              <w:rPr>
                <w:rFonts w:ascii="Arial Narrow" w:hAnsi="Arial Narrow" w:cstheme="minorHAnsi"/>
                <w:b/>
                <w:sz w:val="20"/>
                <w:szCs w:val="20"/>
              </w:rPr>
              <w:t>Scripts</w:t>
            </w:r>
            <w:r>
              <w:rPr>
                <w:rFonts w:ascii="Arial Narrow" w:hAnsi="Arial Narrow" w:cstheme="minorHAnsi"/>
                <w:b/>
                <w:sz w:val="20"/>
                <w:szCs w:val="20"/>
              </w:rPr>
              <w:t xml:space="preserve"> </w:t>
            </w:r>
            <w:r w:rsidRPr="00232D6E">
              <w:rPr>
                <w:rFonts w:ascii="Arial Narrow" w:hAnsi="Arial Narrow" w:cstheme="minorHAnsi"/>
                <w:b/>
                <w:sz w:val="20"/>
                <w:szCs w:val="20"/>
              </w:rPr>
              <w:t>/</w:t>
            </w:r>
            <w:r>
              <w:rPr>
                <w:rFonts w:ascii="Arial Narrow" w:hAnsi="Arial Narrow" w:cstheme="minorHAnsi"/>
                <w:b/>
                <w:sz w:val="20"/>
                <w:szCs w:val="20"/>
              </w:rPr>
              <w:t xml:space="preserve"> </w:t>
            </w:r>
            <w:r>
              <w:rPr>
                <w:rFonts w:ascii="Arial Narrow" w:hAnsi="Arial Narrow" w:cstheme="minorHAnsi"/>
                <w:b/>
                <w:sz w:val="20"/>
                <w:szCs w:val="20"/>
              </w:rPr>
              <w:br/>
              <w:t>6 months</w:t>
            </w:r>
          </w:p>
        </w:tc>
        <w:tc>
          <w:tcPr>
            <w:tcW w:w="1910" w:type="pct"/>
            <w:gridSpan w:val="2"/>
          </w:tcPr>
          <w:p w14:paraId="135784F3" w14:textId="77777777" w:rsidR="002B0C05" w:rsidRPr="00680CE7" w:rsidRDefault="002B0C05" w:rsidP="00782B65">
            <w:pPr>
              <w:pStyle w:val="table"/>
              <w:spacing w:after="0" w:line="240" w:lineRule="auto"/>
              <w:jc w:val="center"/>
              <w:rPr>
                <w:rFonts w:ascii="Arial Narrow" w:hAnsi="Arial Narrow" w:cstheme="minorHAnsi"/>
                <w:b/>
                <w:sz w:val="20"/>
                <w:szCs w:val="20"/>
              </w:rPr>
            </w:pPr>
            <w:r w:rsidRPr="00680CE7">
              <w:rPr>
                <w:rFonts w:ascii="Arial Narrow" w:hAnsi="Arial Narrow" w:cstheme="minorHAnsi"/>
                <w:b/>
                <w:sz w:val="20"/>
                <w:szCs w:val="20"/>
              </w:rPr>
              <w:t>Co-payment</w:t>
            </w:r>
          </w:p>
        </w:tc>
      </w:tr>
      <w:tr w:rsidR="002B0C05" w:rsidRPr="00232D6E" w14:paraId="64C499B9" w14:textId="77777777" w:rsidTr="00F21BEA">
        <w:trPr>
          <w:trHeight w:val="484"/>
          <w:tblHeader/>
        </w:trPr>
        <w:tc>
          <w:tcPr>
            <w:tcW w:w="1237" w:type="pct"/>
            <w:vMerge/>
          </w:tcPr>
          <w:p w14:paraId="11374B3C" w14:textId="77777777" w:rsidR="002B0C05" w:rsidRPr="00232D6E" w:rsidRDefault="002B0C05" w:rsidP="00782B65">
            <w:pPr>
              <w:pStyle w:val="table"/>
              <w:spacing w:after="0" w:line="240" w:lineRule="auto"/>
              <w:jc w:val="left"/>
              <w:rPr>
                <w:rFonts w:ascii="Arial Narrow" w:hAnsi="Arial Narrow" w:cstheme="minorHAnsi"/>
                <w:b/>
                <w:sz w:val="20"/>
                <w:szCs w:val="20"/>
              </w:rPr>
            </w:pPr>
          </w:p>
        </w:tc>
        <w:tc>
          <w:tcPr>
            <w:tcW w:w="987" w:type="pct"/>
            <w:vMerge/>
          </w:tcPr>
          <w:p w14:paraId="114DE7BC" w14:textId="77777777" w:rsidR="002B0C05" w:rsidRPr="00232D6E" w:rsidRDefault="002B0C05" w:rsidP="00782B65">
            <w:pPr>
              <w:pStyle w:val="table"/>
              <w:spacing w:after="0" w:line="240" w:lineRule="auto"/>
              <w:jc w:val="center"/>
              <w:rPr>
                <w:rFonts w:ascii="Arial Narrow" w:hAnsi="Arial Narrow" w:cstheme="minorHAnsi"/>
                <w:b/>
                <w:sz w:val="20"/>
                <w:szCs w:val="20"/>
              </w:rPr>
            </w:pPr>
          </w:p>
        </w:tc>
        <w:tc>
          <w:tcPr>
            <w:tcW w:w="866" w:type="pct"/>
            <w:vMerge/>
          </w:tcPr>
          <w:p w14:paraId="74BFCDD7" w14:textId="77777777" w:rsidR="002B0C05" w:rsidRPr="00232D6E" w:rsidRDefault="002B0C05" w:rsidP="00782B65">
            <w:pPr>
              <w:pStyle w:val="table"/>
              <w:spacing w:after="0" w:line="240" w:lineRule="auto"/>
              <w:jc w:val="center"/>
              <w:rPr>
                <w:rFonts w:ascii="Arial Narrow" w:hAnsi="Arial Narrow" w:cstheme="minorHAnsi"/>
                <w:b/>
                <w:sz w:val="20"/>
                <w:szCs w:val="20"/>
              </w:rPr>
            </w:pPr>
          </w:p>
        </w:tc>
        <w:tc>
          <w:tcPr>
            <w:tcW w:w="966" w:type="pct"/>
          </w:tcPr>
          <w:p w14:paraId="7D48BA4C" w14:textId="77777777" w:rsidR="002B0C05" w:rsidRPr="00232D6E" w:rsidRDefault="002B0C05" w:rsidP="00782B65">
            <w:pPr>
              <w:pStyle w:val="table"/>
              <w:spacing w:after="0" w:line="240" w:lineRule="auto"/>
              <w:jc w:val="center"/>
              <w:rPr>
                <w:rFonts w:ascii="Arial Narrow" w:hAnsi="Arial Narrow" w:cstheme="minorHAnsi"/>
                <w:b/>
                <w:sz w:val="20"/>
                <w:szCs w:val="20"/>
              </w:rPr>
            </w:pPr>
            <w:r w:rsidRPr="00232D6E">
              <w:rPr>
                <w:rFonts w:ascii="Arial Narrow" w:hAnsi="Arial Narrow" w:cstheme="minorHAnsi"/>
                <w:b/>
                <w:sz w:val="20"/>
                <w:szCs w:val="20"/>
              </w:rPr>
              <w:t>General patients</w:t>
            </w:r>
          </w:p>
        </w:tc>
        <w:tc>
          <w:tcPr>
            <w:tcW w:w="944" w:type="pct"/>
          </w:tcPr>
          <w:p w14:paraId="6A1FE5ED" w14:textId="77777777" w:rsidR="002B0C05" w:rsidRPr="00232D6E" w:rsidRDefault="002B0C05" w:rsidP="00782B65">
            <w:pPr>
              <w:pStyle w:val="table"/>
              <w:spacing w:after="0" w:line="240" w:lineRule="auto"/>
              <w:jc w:val="center"/>
              <w:rPr>
                <w:rFonts w:ascii="Arial Narrow" w:hAnsi="Arial Narrow" w:cstheme="minorHAnsi"/>
                <w:b/>
                <w:sz w:val="20"/>
                <w:szCs w:val="20"/>
              </w:rPr>
            </w:pPr>
            <w:r>
              <w:rPr>
                <w:rFonts w:ascii="Arial Narrow" w:hAnsi="Arial Narrow" w:cstheme="minorHAnsi"/>
                <w:b/>
                <w:sz w:val="20"/>
                <w:szCs w:val="20"/>
              </w:rPr>
              <w:t>Concessional patients</w:t>
            </w:r>
          </w:p>
        </w:tc>
      </w:tr>
      <w:tr w:rsidR="002B0C05" w:rsidRPr="00232D6E" w14:paraId="758413EC" w14:textId="77777777" w:rsidTr="00CA2750">
        <w:trPr>
          <w:trHeight w:val="237"/>
        </w:trPr>
        <w:tc>
          <w:tcPr>
            <w:tcW w:w="1237" w:type="pct"/>
            <w:vAlign w:val="center"/>
          </w:tcPr>
          <w:p w14:paraId="654A4C3C" w14:textId="77777777" w:rsidR="002B0C05" w:rsidRPr="00232D6E" w:rsidRDefault="002B0C05" w:rsidP="00782B65">
            <w:pPr>
              <w:pStyle w:val="table"/>
              <w:spacing w:after="0" w:line="240" w:lineRule="auto"/>
              <w:jc w:val="left"/>
              <w:rPr>
                <w:rFonts w:ascii="Arial Narrow" w:hAnsi="Arial Narrow" w:cstheme="minorHAnsi"/>
                <w:b/>
                <w:sz w:val="20"/>
                <w:szCs w:val="20"/>
              </w:rPr>
            </w:pPr>
            <w:r>
              <w:rPr>
                <w:rFonts w:ascii="Arial Narrow" w:hAnsi="Arial Narrow" w:cstheme="minorHAnsi"/>
                <w:b/>
                <w:sz w:val="20"/>
                <w:szCs w:val="20"/>
              </w:rPr>
              <w:t>Oripro</w:t>
            </w:r>
          </w:p>
        </w:tc>
        <w:tc>
          <w:tcPr>
            <w:tcW w:w="987" w:type="pct"/>
            <w:vAlign w:val="center"/>
          </w:tcPr>
          <w:p w14:paraId="6E5B8790" w14:textId="77777777" w:rsidR="002B0C05" w:rsidRPr="00232D6E" w:rsidRDefault="002B0C05" w:rsidP="00782B65">
            <w:pPr>
              <w:pStyle w:val="table"/>
              <w:spacing w:after="0" w:line="240" w:lineRule="auto"/>
              <w:jc w:val="center"/>
              <w:rPr>
                <w:rFonts w:ascii="Arial Narrow" w:hAnsi="Arial Narrow" w:cstheme="minorHAnsi"/>
                <w:sz w:val="20"/>
                <w:szCs w:val="20"/>
              </w:rPr>
            </w:pPr>
            <w:r w:rsidRPr="00232D6E">
              <w:rPr>
                <w:rFonts w:ascii="Arial Narrow" w:hAnsi="Arial Narrow" w:cstheme="minorHAnsi"/>
                <w:sz w:val="20"/>
                <w:szCs w:val="20"/>
              </w:rPr>
              <w:t>4 weeks</w:t>
            </w:r>
          </w:p>
        </w:tc>
        <w:tc>
          <w:tcPr>
            <w:tcW w:w="866" w:type="pct"/>
            <w:vAlign w:val="center"/>
          </w:tcPr>
          <w:p w14:paraId="486CA37C" w14:textId="77777777" w:rsidR="002B0C05" w:rsidRPr="00232D6E" w:rsidRDefault="002B0C05" w:rsidP="009E229E">
            <w:pPr>
              <w:pStyle w:val="table"/>
              <w:spacing w:after="0" w:line="240" w:lineRule="auto"/>
              <w:jc w:val="center"/>
              <w:rPr>
                <w:rFonts w:ascii="Arial Narrow" w:hAnsi="Arial Narrow" w:cstheme="minorHAnsi"/>
                <w:sz w:val="20"/>
                <w:szCs w:val="20"/>
              </w:rPr>
            </w:pPr>
            <w:r>
              <w:rPr>
                <w:rFonts w:ascii="Arial Narrow" w:hAnsi="Arial Narrow" w:cstheme="minorHAnsi"/>
                <w:sz w:val="20"/>
                <w:szCs w:val="20"/>
              </w:rPr>
              <w:t>6</w:t>
            </w:r>
          </w:p>
        </w:tc>
        <w:tc>
          <w:tcPr>
            <w:tcW w:w="966" w:type="pct"/>
            <w:vAlign w:val="center"/>
          </w:tcPr>
          <w:p w14:paraId="0AC8B5C6" w14:textId="77777777" w:rsidR="002B0C05" w:rsidRPr="00232D6E" w:rsidRDefault="002B0C05" w:rsidP="009E229E">
            <w:pPr>
              <w:pStyle w:val="table"/>
              <w:spacing w:after="0" w:line="240" w:lineRule="auto"/>
              <w:jc w:val="right"/>
              <w:rPr>
                <w:rFonts w:ascii="Arial Narrow" w:hAnsi="Arial Narrow" w:cstheme="minorHAnsi"/>
                <w:sz w:val="20"/>
                <w:szCs w:val="20"/>
              </w:rPr>
            </w:pPr>
            <w:r>
              <w:rPr>
                <w:rFonts w:ascii="Arial Narrow" w:hAnsi="Arial Narrow" w:cstheme="minorHAnsi"/>
                <w:sz w:val="20"/>
                <w:szCs w:val="20"/>
              </w:rPr>
              <w:t>$247.80</w:t>
            </w:r>
          </w:p>
        </w:tc>
        <w:tc>
          <w:tcPr>
            <w:tcW w:w="944" w:type="pct"/>
          </w:tcPr>
          <w:p w14:paraId="50F22BB8" w14:textId="77777777" w:rsidR="002B0C05" w:rsidRDefault="002B0C05" w:rsidP="009E229E">
            <w:pPr>
              <w:pStyle w:val="table"/>
              <w:spacing w:after="0" w:line="240" w:lineRule="auto"/>
              <w:jc w:val="right"/>
              <w:rPr>
                <w:rFonts w:ascii="Arial Narrow" w:hAnsi="Arial Narrow" w:cstheme="minorHAnsi"/>
                <w:sz w:val="20"/>
                <w:szCs w:val="20"/>
              </w:rPr>
            </w:pPr>
            <w:r>
              <w:rPr>
                <w:rFonts w:ascii="Arial Narrow" w:hAnsi="Arial Narrow" w:cstheme="minorHAnsi"/>
                <w:sz w:val="20"/>
                <w:szCs w:val="20"/>
              </w:rPr>
              <w:t>$39.60</w:t>
            </w:r>
          </w:p>
        </w:tc>
      </w:tr>
      <w:tr w:rsidR="002B0C05" w:rsidRPr="00232D6E" w14:paraId="580BED53" w14:textId="77777777" w:rsidTr="00CA2750">
        <w:trPr>
          <w:trHeight w:val="127"/>
        </w:trPr>
        <w:tc>
          <w:tcPr>
            <w:tcW w:w="1237" w:type="pct"/>
            <w:vAlign w:val="center"/>
          </w:tcPr>
          <w:p w14:paraId="66FD3C05" w14:textId="77777777" w:rsidR="002B0C05" w:rsidRPr="00B04D2D" w:rsidRDefault="002B0C05" w:rsidP="00782B65">
            <w:pPr>
              <w:pStyle w:val="In-tableHeading"/>
            </w:pPr>
            <w:r>
              <w:t xml:space="preserve">Utrogestan </w:t>
            </w:r>
          </w:p>
        </w:tc>
        <w:tc>
          <w:tcPr>
            <w:tcW w:w="987" w:type="pct"/>
            <w:vAlign w:val="center"/>
          </w:tcPr>
          <w:p w14:paraId="1BF46C40" w14:textId="77777777" w:rsidR="002B0C05" w:rsidRPr="00232D6E" w:rsidRDefault="002B0C05" w:rsidP="00782B65">
            <w:pPr>
              <w:pStyle w:val="table"/>
              <w:spacing w:after="0" w:line="240" w:lineRule="auto"/>
              <w:jc w:val="center"/>
              <w:rPr>
                <w:rStyle w:val="form-strength"/>
                <w:rFonts w:ascii="Arial Narrow" w:eastAsiaTheme="majorEastAsia" w:hAnsi="Arial Narrow" w:cstheme="minorHAnsi"/>
                <w:color w:val="222222"/>
                <w:sz w:val="20"/>
                <w:szCs w:val="20"/>
              </w:rPr>
            </w:pPr>
            <w:r>
              <w:rPr>
                <w:rStyle w:val="form-strength"/>
                <w:rFonts w:ascii="Arial Narrow" w:eastAsiaTheme="majorEastAsia" w:hAnsi="Arial Narrow" w:cstheme="minorHAnsi"/>
                <w:color w:val="222222"/>
                <w:sz w:val="20"/>
                <w:szCs w:val="20"/>
              </w:rPr>
              <w:t>6</w:t>
            </w:r>
            <w:r w:rsidRPr="00232D6E">
              <w:rPr>
                <w:rStyle w:val="form-strength"/>
                <w:rFonts w:ascii="Arial Narrow" w:eastAsiaTheme="majorEastAsia" w:hAnsi="Arial Narrow" w:cstheme="minorHAnsi"/>
                <w:color w:val="222222"/>
                <w:sz w:val="20"/>
                <w:szCs w:val="20"/>
              </w:rPr>
              <w:t xml:space="preserve"> weeks</w:t>
            </w:r>
          </w:p>
        </w:tc>
        <w:tc>
          <w:tcPr>
            <w:tcW w:w="866" w:type="pct"/>
            <w:vAlign w:val="center"/>
          </w:tcPr>
          <w:p w14:paraId="0AE9A453" w14:textId="77777777" w:rsidR="002B0C05" w:rsidRPr="00232D6E" w:rsidRDefault="002B0C05" w:rsidP="009E229E">
            <w:pPr>
              <w:pStyle w:val="table"/>
              <w:spacing w:after="0" w:line="240" w:lineRule="auto"/>
              <w:jc w:val="center"/>
              <w:rPr>
                <w:rStyle w:val="form-strength"/>
                <w:rFonts w:ascii="Arial Narrow" w:eastAsiaTheme="majorEastAsia" w:hAnsi="Arial Narrow" w:cstheme="minorHAnsi"/>
                <w:color w:val="222222"/>
                <w:sz w:val="20"/>
                <w:szCs w:val="20"/>
              </w:rPr>
            </w:pPr>
            <w:r>
              <w:rPr>
                <w:rStyle w:val="form-strength"/>
                <w:rFonts w:ascii="Arial Narrow" w:eastAsiaTheme="majorEastAsia" w:hAnsi="Arial Narrow" w:cstheme="minorHAnsi"/>
                <w:color w:val="222222"/>
                <w:sz w:val="20"/>
                <w:szCs w:val="20"/>
              </w:rPr>
              <w:t>4</w:t>
            </w:r>
          </w:p>
        </w:tc>
        <w:tc>
          <w:tcPr>
            <w:tcW w:w="966" w:type="pct"/>
            <w:vAlign w:val="center"/>
          </w:tcPr>
          <w:p w14:paraId="4051CC29" w14:textId="77777777" w:rsidR="002B0C05" w:rsidRPr="00232D6E" w:rsidRDefault="002B0C05" w:rsidP="009E229E">
            <w:pPr>
              <w:pStyle w:val="table"/>
              <w:spacing w:after="0" w:line="240" w:lineRule="auto"/>
              <w:jc w:val="right"/>
              <w:rPr>
                <w:rFonts w:ascii="Arial Narrow" w:hAnsi="Arial Narrow" w:cstheme="minorHAnsi"/>
                <w:sz w:val="20"/>
                <w:szCs w:val="20"/>
              </w:rPr>
            </w:pPr>
            <w:r>
              <w:rPr>
                <w:rFonts w:ascii="Arial Narrow" w:hAnsi="Arial Narrow" w:cstheme="minorHAnsi"/>
                <w:sz w:val="20"/>
                <w:szCs w:val="20"/>
              </w:rPr>
              <w:t>$165.20</w:t>
            </w:r>
          </w:p>
        </w:tc>
        <w:tc>
          <w:tcPr>
            <w:tcW w:w="944" w:type="pct"/>
          </w:tcPr>
          <w:p w14:paraId="1D1209BA" w14:textId="77777777" w:rsidR="002B0C05" w:rsidRDefault="002B0C05" w:rsidP="009E229E">
            <w:pPr>
              <w:pStyle w:val="table"/>
              <w:spacing w:after="0" w:line="240" w:lineRule="auto"/>
              <w:jc w:val="right"/>
              <w:rPr>
                <w:rFonts w:ascii="Arial Narrow" w:hAnsi="Arial Narrow" w:cstheme="minorHAnsi"/>
                <w:sz w:val="20"/>
                <w:szCs w:val="20"/>
              </w:rPr>
            </w:pPr>
            <w:r>
              <w:rPr>
                <w:rFonts w:ascii="Arial Narrow" w:hAnsi="Arial Narrow" w:cstheme="minorHAnsi"/>
                <w:sz w:val="20"/>
                <w:szCs w:val="20"/>
              </w:rPr>
              <w:t>$26.40</w:t>
            </w:r>
          </w:p>
        </w:tc>
      </w:tr>
      <w:tr w:rsidR="002B0C05" w:rsidRPr="00232D6E" w14:paraId="3DC60D49" w14:textId="77777777" w:rsidTr="00CA2750">
        <w:trPr>
          <w:trHeight w:val="403"/>
        </w:trPr>
        <w:tc>
          <w:tcPr>
            <w:tcW w:w="1237" w:type="pct"/>
            <w:vAlign w:val="center"/>
          </w:tcPr>
          <w:p w14:paraId="5C9C714D" w14:textId="77777777" w:rsidR="002B0C05" w:rsidRPr="00232D6E" w:rsidRDefault="002B0C05" w:rsidP="00782B65">
            <w:pPr>
              <w:pStyle w:val="table"/>
              <w:spacing w:after="0" w:line="240" w:lineRule="auto"/>
              <w:ind w:right="400"/>
              <w:jc w:val="left"/>
              <w:rPr>
                <w:rFonts w:ascii="Arial Narrow" w:hAnsi="Arial Narrow" w:cstheme="minorHAnsi"/>
                <w:b/>
                <w:sz w:val="20"/>
                <w:szCs w:val="20"/>
              </w:rPr>
            </w:pPr>
            <w:r w:rsidRPr="00232D6E">
              <w:rPr>
                <w:rFonts w:ascii="Arial Narrow" w:hAnsi="Arial Narrow" w:cstheme="minorHAnsi"/>
                <w:b/>
                <w:sz w:val="20"/>
                <w:szCs w:val="20"/>
              </w:rPr>
              <w:t xml:space="preserve">Difference  </w:t>
            </w:r>
          </w:p>
        </w:tc>
        <w:tc>
          <w:tcPr>
            <w:tcW w:w="987" w:type="pct"/>
            <w:vAlign w:val="center"/>
          </w:tcPr>
          <w:p w14:paraId="78B3833E" w14:textId="77777777" w:rsidR="002B0C05" w:rsidRPr="00232D6E" w:rsidRDefault="002B0C05" w:rsidP="00782B65">
            <w:pPr>
              <w:pStyle w:val="table"/>
              <w:spacing w:after="0" w:line="240" w:lineRule="auto"/>
              <w:jc w:val="center"/>
              <w:rPr>
                <w:rStyle w:val="form-strength"/>
                <w:rFonts w:ascii="Arial Narrow" w:eastAsiaTheme="majorEastAsia" w:hAnsi="Arial Narrow" w:cstheme="minorHAnsi"/>
                <w:color w:val="222222"/>
                <w:sz w:val="20"/>
                <w:szCs w:val="20"/>
              </w:rPr>
            </w:pPr>
            <w:r>
              <w:rPr>
                <w:rStyle w:val="form-strength"/>
                <w:rFonts w:ascii="Arial Narrow" w:eastAsiaTheme="majorEastAsia" w:hAnsi="Arial Narrow" w:cstheme="minorHAnsi"/>
                <w:color w:val="222222"/>
                <w:sz w:val="20"/>
                <w:szCs w:val="20"/>
              </w:rPr>
              <w:t>2</w:t>
            </w:r>
            <w:r w:rsidRPr="00232D6E">
              <w:rPr>
                <w:rStyle w:val="form-strength"/>
                <w:rFonts w:ascii="Arial Narrow" w:eastAsiaTheme="majorEastAsia" w:hAnsi="Arial Narrow" w:cstheme="minorHAnsi"/>
                <w:color w:val="222222"/>
                <w:sz w:val="20"/>
                <w:szCs w:val="20"/>
              </w:rPr>
              <w:t xml:space="preserve"> weeks less</w:t>
            </w:r>
            <w:r>
              <w:rPr>
                <w:rStyle w:val="form-strength"/>
                <w:rFonts w:ascii="Arial Narrow" w:eastAsiaTheme="majorEastAsia" w:hAnsi="Arial Narrow" w:cstheme="minorHAnsi"/>
                <w:color w:val="222222"/>
                <w:sz w:val="20"/>
                <w:szCs w:val="20"/>
              </w:rPr>
              <w:t xml:space="preserve"> / </w:t>
            </w:r>
            <w:r w:rsidRPr="00232D6E">
              <w:rPr>
                <w:rStyle w:val="form-strength"/>
                <w:rFonts w:ascii="Arial Narrow" w:eastAsiaTheme="majorEastAsia" w:hAnsi="Arial Narrow" w:cstheme="minorHAnsi"/>
                <w:color w:val="222222"/>
                <w:sz w:val="20"/>
                <w:szCs w:val="20"/>
              </w:rPr>
              <w:t>script</w:t>
            </w:r>
          </w:p>
        </w:tc>
        <w:tc>
          <w:tcPr>
            <w:tcW w:w="866" w:type="pct"/>
            <w:vAlign w:val="center"/>
          </w:tcPr>
          <w:p w14:paraId="19BECD6C" w14:textId="77777777" w:rsidR="002B0C05" w:rsidRPr="00232D6E" w:rsidRDefault="002B0C05" w:rsidP="009E229E">
            <w:pPr>
              <w:pStyle w:val="table"/>
              <w:spacing w:after="0" w:line="240" w:lineRule="auto"/>
              <w:jc w:val="center"/>
              <w:rPr>
                <w:rStyle w:val="form-strength"/>
                <w:rFonts w:ascii="Arial Narrow" w:eastAsiaTheme="majorEastAsia" w:hAnsi="Arial Narrow" w:cstheme="minorHAnsi"/>
                <w:color w:val="222222"/>
                <w:sz w:val="20"/>
                <w:szCs w:val="20"/>
              </w:rPr>
            </w:pPr>
            <w:r>
              <w:rPr>
                <w:rStyle w:val="form-strength"/>
                <w:rFonts w:ascii="Arial Narrow" w:eastAsiaTheme="majorEastAsia" w:hAnsi="Arial Narrow" w:cstheme="minorHAnsi"/>
                <w:color w:val="222222"/>
                <w:sz w:val="20"/>
                <w:szCs w:val="20"/>
              </w:rPr>
              <w:t>2</w:t>
            </w:r>
          </w:p>
        </w:tc>
        <w:tc>
          <w:tcPr>
            <w:tcW w:w="966" w:type="pct"/>
            <w:vAlign w:val="center"/>
          </w:tcPr>
          <w:p w14:paraId="47DB714A" w14:textId="77777777" w:rsidR="002B0C05" w:rsidRPr="00232D6E" w:rsidRDefault="002B0C05" w:rsidP="009E229E">
            <w:pPr>
              <w:pStyle w:val="table"/>
              <w:spacing w:after="0" w:line="240" w:lineRule="auto"/>
              <w:jc w:val="right"/>
              <w:rPr>
                <w:rFonts w:ascii="Arial Narrow" w:hAnsi="Arial Narrow" w:cstheme="minorHAnsi"/>
                <w:sz w:val="20"/>
                <w:szCs w:val="20"/>
              </w:rPr>
            </w:pPr>
            <w:r>
              <w:rPr>
                <w:rFonts w:ascii="Arial Narrow" w:hAnsi="Arial Narrow" w:cstheme="minorHAnsi"/>
                <w:sz w:val="20"/>
                <w:szCs w:val="20"/>
              </w:rPr>
              <w:t>$82.60</w:t>
            </w:r>
          </w:p>
        </w:tc>
        <w:tc>
          <w:tcPr>
            <w:tcW w:w="944" w:type="pct"/>
            <w:vAlign w:val="center"/>
          </w:tcPr>
          <w:p w14:paraId="4896018B" w14:textId="77777777" w:rsidR="002B0C05" w:rsidRDefault="002B0C05" w:rsidP="009E229E">
            <w:pPr>
              <w:pStyle w:val="table"/>
              <w:spacing w:after="0" w:line="240" w:lineRule="auto"/>
              <w:jc w:val="right"/>
              <w:rPr>
                <w:rFonts w:ascii="Arial Narrow" w:hAnsi="Arial Narrow" w:cstheme="minorHAnsi"/>
                <w:sz w:val="20"/>
                <w:szCs w:val="20"/>
              </w:rPr>
            </w:pPr>
            <w:r>
              <w:rPr>
                <w:rFonts w:ascii="Arial Narrow" w:hAnsi="Arial Narrow" w:cstheme="minorHAnsi"/>
                <w:sz w:val="20"/>
                <w:szCs w:val="20"/>
              </w:rPr>
              <w:t>$13.20</w:t>
            </w:r>
          </w:p>
        </w:tc>
      </w:tr>
    </w:tbl>
    <w:p w14:paraId="71F8708D" w14:textId="77777777" w:rsidR="00FC1C31" w:rsidRDefault="00FC1C31" w:rsidP="00FC1C31">
      <w:pPr>
        <w:pStyle w:val="TableFigureFooter"/>
      </w:pPr>
      <w:r>
        <w:t xml:space="preserve">Source: Submission body </w:t>
      </w:r>
    </w:p>
    <w:p w14:paraId="6302B28D" w14:textId="77777777" w:rsidR="00FC1C32" w:rsidRPr="00FC1C32" w:rsidRDefault="00FC1C31" w:rsidP="00AA2728">
      <w:pPr>
        <w:pStyle w:val="TableFigureFooter"/>
      </w:pPr>
      <w:r w:rsidRPr="00232D6E">
        <w:t>Tx = Treatment</w:t>
      </w:r>
    </w:p>
    <w:p w14:paraId="7988C9A0" w14:textId="77777777" w:rsidR="00D70349" w:rsidRDefault="00D70349" w:rsidP="00D70349">
      <w:pPr>
        <w:pStyle w:val="4-SubsectionHeading"/>
        <w:rPr>
          <w:lang w:eastAsia="en-US"/>
        </w:rPr>
      </w:pPr>
      <w:r w:rsidRPr="009D507A">
        <w:rPr>
          <w:lang w:eastAsia="en-US"/>
        </w:rPr>
        <w:t>Estimated PBS utilisation and financial implications</w:t>
      </w:r>
    </w:p>
    <w:p w14:paraId="0FABE960" w14:textId="77777777" w:rsidR="00663B87" w:rsidRPr="00D86D61" w:rsidRDefault="00D72DC8" w:rsidP="00CA2750">
      <w:pPr>
        <w:pStyle w:val="3Bodytext"/>
        <w:jc w:val="both"/>
      </w:pPr>
      <w:r>
        <w:t xml:space="preserve">The submission </w:t>
      </w:r>
      <w:r w:rsidR="00663B87">
        <w:t xml:space="preserve">used an epidemiological approach for the utilisation and financial estimates, and stated that the market has not been fully established. The calculations and assumptions used in the November 2020 PBAC submission were </w:t>
      </w:r>
      <w:r w:rsidR="00663B87" w:rsidRPr="00D86D61">
        <w:t xml:space="preserve">also applied in </w:t>
      </w:r>
      <w:bookmarkStart w:id="1" w:name="_GoBack"/>
      <w:bookmarkEnd w:id="1"/>
      <w:r w:rsidR="00663B87" w:rsidRPr="00D86D61">
        <w:t xml:space="preserve">this submission. </w:t>
      </w:r>
    </w:p>
    <w:p w14:paraId="5124D13B" w14:textId="77777777" w:rsidR="0000462F" w:rsidRPr="003415EB" w:rsidRDefault="003E06A6" w:rsidP="00CA2750">
      <w:pPr>
        <w:pStyle w:val="3Bodytext"/>
        <w:jc w:val="both"/>
      </w:pPr>
      <w:r w:rsidRPr="003415EB">
        <w:t xml:space="preserve">The </w:t>
      </w:r>
      <w:r w:rsidR="00D86D61" w:rsidRPr="003415EB">
        <w:t xml:space="preserve">weighted </w:t>
      </w:r>
      <w:r w:rsidRPr="003415EB">
        <w:t>AEMP of Oripro remains unchanged ($</w:t>
      </w:r>
      <w:r w:rsidRPr="009F02B1">
        <w:t>35.40</w:t>
      </w:r>
      <w:r w:rsidRPr="003415EB">
        <w:t>)</w:t>
      </w:r>
      <w:r w:rsidR="00063BF0" w:rsidRPr="003415EB">
        <w:t xml:space="preserve">. The </w:t>
      </w:r>
      <w:r w:rsidR="008C639F" w:rsidRPr="003415EB">
        <w:t>increased</w:t>
      </w:r>
      <w:r w:rsidR="00063BF0" w:rsidRPr="003415EB">
        <w:t xml:space="preserve"> maximum quantity results in</w:t>
      </w:r>
      <w:r w:rsidR="00D86D61" w:rsidRPr="003415EB">
        <w:t xml:space="preserve"> a DPMQ of $126.97 (increased from $88.20). </w:t>
      </w:r>
      <w:r w:rsidR="006D2B6E" w:rsidRPr="003415EB">
        <w:rPr>
          <w:iCs/>
        </w:rPr>
        <w:t xml:space="preserve">The PBAC </w:t>
      </w:r>
      <w:r w:rsidR="00CA2750" w:rsidRPr="003415EB">
        <w:rPr>
          <w:iCs/>
        </w:rPr>
        <w:t>consider</w:t>
      </w:r>
      <w:r w:rsidR="00F927E7">
        <w:rPr>
          <w:iCs/>
        </w:rPr>
        <w:t xml:space="preserve">ed the increased in DPMQ </w:t>
      </w:r>
      <w:r w:rsidR="006D2B6E" w:rsidRPr="003415EB">
        <w:rPr>
          <w:iCs/>
        </w:rPr>
        <w:t>appropriate in the context of its previous recommendation, where it considered that the price of Oripro should be no more than for Utrogestan. The equi-effective doses are: one 200 mg Oripro pessary and one 200 mg Utrogestan soft capsule (paragraph 7.10, Oripro PSD, November 2020 PBAC meeting).</w:t>
      </w:r>
    </w:p>
    <w:p w14:paraId="0C7B979C" w14:textId="77777777" w:rsidR="00AA2728" w:rsidRPr="00D86D61" w:rsidRDefault="007E7A02" w:rsidP="00CA2750">
      <w:pPr>
        <w:pStyle w:val="3Bodytext"/>
        <w:jc w:val="both"/>
      </w:pPr>
      <w:r w:rsidRPr="00D86D61">
        <w:t xml:space="preserve">Based on the </w:t>
      </w:r>
      <w:r w:rsidR="00D86D61" w:rsidRPr="00D86D61">
        <w:t>requested amendments to the Oripro (prevention of preterm birth</w:t>
      </w:r>
      <w:r w:rsidR="00D86D61">
        <w:t>)</w:t>
      </w:r>
      <w:r w:rsidR="00D86D61" w:rsidRPr="00D86D61">
        <w:t xml:space="preserve"> listing</w:t>
      </w:r>
      <w:r w:rsidRPr="00D86D61">
        <w:t>, t</w:t>
      </w:r>
      <w:r w:rsidR="00B70090" w:rsidRPr="00D86D61">
        <w:t xml:space="preserve">he submission </w:t>
      </w:r>
      <w:r w:rsidRPr="00D86D61">
        <w:t xml:space="preserve">estimated there would be </w:t>
      </w:r>
      <w:r w:rsidR="00471B3A" w:rsidRPr="00D86D61">
        <w:t xml:space="preserve">a net cost to the PBS/RPBS of </w:t>
      </w:r>
      <w:r w:rsidR="00AA2728">
        <w:br/>
      </w:r>
      <w:r w:rsidR="00471B3A" w:rsidRPr="00D86D61">
        <w:t>$</w:t>
      </w:r>
      <w:r w:rsidR="007107FF">
        <w:t>0 to &lt; $10 million</w:t>
      </w:r>
      <w:r w:rsidR="00471B3A" w:rsidRPr="00D86D61">
        <w:t xml:space="preserve"> over six years.</w:t>
      </w:r>
      <w:r w:rsidR="001C4C30">
        <w:t xml:space="preserve"> T</w:t>
      </w:r>
      <w:r w:rsidR="001C4C30">
        <w:rPr>
          <w:rFonts w:cs="Arial"/>
          <w:snapToGrid w:val="0"/>
          <w:lang w:val="en-GB"/>
        </w:rPr>
        <w:t>he loss in average co-payments per patient ($38.43) offsets the save from the reduction in DPMQ per patient (-$13.27). This results in a net cost per patient of $25.16 and hence the net cost to the PBS</w:t>
      </w:r>
      <w:r w:rsidR="00E14A65">
        <w:rPr>
          <w:rFonts w:cs="Arial"/>
          <w:snapToGrid w:val="0"/>
          <w:lang w:val="en-GB"/>
        </w:rPr>
        <w:t>/RPBS</w:t>
      </w:r>
      <w:r w:rsidR="001C4C30">
        <w:rPr>
          <w:rFonts w:cs="Arial"/>
          <w:snapToGrid w:val="0"/>
          <w:lang w:val="en-GB"/>
        </w:rPr>
        <w:t xml:space="preserve"> of $</w:t>
      </w:r>
      <w:r w:rsidR="007107FF">
        <w:rPr>
          <w:rFonts w:cs="Arial"/>
          <w:snapToGrid w:val="0"/>
          <w:lang w:val="en-GB"/>
        </w:rPr>
        <w:t>0 to &lt; $10 million</w:t>
      </w:r>
      <w:r w:rsidR="001C4C30">
        <w:rPr>
          <w:rFonts w:cs="Arial"/>
          <w:snapToGrid w:val="0"/>
          <w:lang w:val="en-GB"/>
        </w:rPr>
        <w:t xml:space="preserve"> over six years. </w:t>
      </w:r>
    </w:p>
    <w:p w14:paraId="7C73E09C" w14:textId="77777777" w:rsidR="00D70349" w:rsidRPr="00167C39" w:rsidRDefault="00D70349" w:rsidP="00D70349">
      <w:pPr>
        <w:pStyle w:val="Tabletitles"/>
        <w:keepNext/>
      </w:pPr>
      <w:r w:rsidRPr="00167C39">
        <w:rPr>
          <w:rStyle w:val="CommentReference"/>
          <w:sz w:val="20"/>
          <w:szCs w:val="22"/>
        </w:rPr>
        <w:t>Table</w:t>
      </w:r>
      <w:r w:rsidRPr="00167C39">
        <w:rPr>
          <w:rFonts w:eastAsiaTheme="majorEastAsia"/>
        </w:rPr>
        <w:t xml:space="preserve"> </w:t>
      </w:r>
      <w:r w:rsidR="00AA2728">
        <w:rPr>
          <w:rFonts w:eastAsiaTheme="majorEastAsia"/>
        </w:rPr>
        <w:t>2</w:t>
      </w:r>
      <w:r w:rsidRPr="00167C39">
        <w:rPr>
          <w:rFonts w:eastAsiaTheme="majorEastAsia"/>
        </w:rPr>
        <w:t xml:space="preserve">: </w:t>
      </w:r>
      <w:r w:rsidRPr="00167C39">
        <w:rPr>
          <w:rStyle w:val="CommentReference"/>
          <w:sz w:val="20"/>
          <w:szCs w:val="22"/>
        </w:rPr>
        <w:t>Estimated use and financial implications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Estimated use and financial implications"/>
      </w:tblPr>
      <w:tblGrid>
        <w:gridCol w:w="1979"/>
        <w:gridCol w:w="1199"/>
        <w:gridCol w:w="1167"/>
        <w:gridCol w:w="1167"/>
        <w:gridCol w:w="1167"/>
        <w:gridCol w:w="1167"/>
        <w:gridCol w:w="1170"/>
      </w:tblGrid>
      <w:tr w:rsidR="00D70349" w:rsidRPr="00197F03" w14:paraId="411B5F8E" w14:textId="77777777" w:rsidTr="00740289">
        <w:trPr>
          <w:trHeight w:val="228"/>
          <w:tblHeader/>
          <w:jc w:val="center"/>
        </w:trPr>
        <w:tc>
          <w:tcPr>
            <w:tcW w:w="1098" w:type="pct"/>
            <w:shd w:val="clear" w:color="auto" w:fill="auto"/>
            <w:vAlign w:val="center"/>
          </w:tcPr>
          <w:p w14:paraId="047CAF92" w14:textId="77777777" w:rsidR="00D70349" w:rsidRPr="00167C39" w:rsidRDefault="00D70349" w:rsidP="00740289">
            <w:pPr>
              <w:pStyle w:val="TableText0"/>
              <w:jc w:val="center"/>
            </w:pPr>
          </w:p>
        </w:tc>
        <w:tc>
          <w:tcPr>
            <w:tcW w:w="665" w:type="pct"/>
            <w:shd w:val="clear" w:color="auto" w:fill="auto"/>
            <w:vAlign w:val="center"/>
          </w:tcPr>
          <w:p w14:paraId="3E6820EC" w14:textId="77777777" w:rsidR="00806E93" w:rsidRDefault="00D70349" w:rsidP="00740289">
            <w:pPr>
              <w:pStyle w:val="TableText0"/>
              <w:jc w:val="center"/>
              <w:rPr>
                <w:b/>
              </w:rPr>
            </w:pPr>
            <w:r w:rsidRPr="00167C39">
              <w:rPr>
                <w:b/>
              </w:rPr>
              <w:t>Year 1</w:t>
            </w:r>
          </w:p>
          <w:p w14:paraId="3BC3D002" w14:textId="77777777" w:rsidR="00D70349" w:rsidRPr="00167C39" w:rsidRDefault="00740289" w:rsidP="00740289">
            <w:pPr>
              <w:pStyle w:val="TableText0"/>
              <w:jc w:val="center"/>
              <w:rPr>
                <w:b/>
              </w:rPr>
            </w:pPr>
            <w:r>
              <w:rPr>
                <w:b/>
              </w:rPr>
              <w:t>(2022)</w:t>
            </w:r>
          </w:p>
        </w:tc>
        <w:tc>
          <w:tcPr>
            <w:tcW w:w="647" w:type="pct"/>
            <w:shd w:val="clear" w:color="auto" w:fill="auto"/>
            <w:vAlign w:val="center"/>
          </w:tcPr>
          <w:p w14:paraId="620FA122" w14:textId="77777777" w:rsidR="00806E93" w:rsidRDefault="00D70349" w:rsidP="00740289">
            <w:pPr>
              <w:pStyle w:val="TableText0"/>
              <w:jc w:val="center"/>
              <w:rPr>
                <w:b/>
              </w:rPr>
            </w:pPr>
            <w:r w:rsidRPr="00167C39">
              <w:rPr>
                <w:b/>
              </w:rPr>
              <w:t>Year 2</w:t>
            </w:r>
          </w:p>
          <w:p w14:paraId="0CA58F57" w14:textId="77777777" w:rsidR="00D70349" w:rsidRPr="00167C39" w:rsidRDefault="00740289" w:rsidP="00740289">
            <w:pPr>
              <w:pStyle w:val="TableText0"/>
              <w:jc w:val="center"/>
              <w:rPr>
                <w:b/>
              </w:rPr>
            </w:pPr>
            <w:r>
              <w:rPr>
                <w:b/>
              </w:rPr>
              <w:t>(2023)</w:t>
            </w:r>
          </w:p>
        </w:tc>
        <w:tc>
          <w:tcPr>
            <w:tcW w:w="647" w:type="pct"/>
            <w:shd w:val="clear" w:color="auto" w:fill="auto"/>
            <w:vAlign w:val="center"/>
          </w:tcPr>
          <w:p w14:paraId="4678A4FE" w14:textId="77777777" w:rsidR="00806E93" w:rsidRDefault="00D70349" w:rsidP="00740289">
            <w:pPr>
              <w:pStyle w:val="TableText0"/>
              <w:jc w:val="center"/>
              <w:rPr>
                <w:b/>
              </w:rPr>
            </w:pPr>
            <w:r w:rsidRPr="00167C39">
              <w:rPr>
                <w:b/>
              </w:rPr>
              <w:t>Year 3</w:t>
            </w:r>
          </w:p>
          <w:p w14:paraId="1D5E7A72" w14:textId="77777777" w:rsidR="00D70349" w:rsidRPr="00167C39" w:rsidRDefault="00740289" w:rsidP="00740289">
            <w:pPr>
              <w:pStyle w:val="TableText0"/>
              <w:jc w:val="center"/>
              <w:rPr>
                <w:b/>
              </w:rPr>
            </w:pPr>
            <w:r>
              <w:rPr>
                <w:b/>
              </w:rPr>
              <w:t>(2024)</w:t>
            </w:r>
          </w:p>
        </w:tc>
        <w:tc>
          <w:tcPr>
            <w:tcW w:w="647" w:type="pct"/>
            <w:shd w:val="clear" w:color="auto" w:fill="auto"/>
            <w:vAlign w:val="center"/>
          </w:tcPr>
          <w:p w14:paraId="4C8C168B" w14:textId="77777777" w:rsidR="00806E93" w:rsidRDefault="00D70349" w:rsidP="00740289">
            <w:pPr>
              <w:pStyle w:val="TableText0"/>
              <w:jc w:val="center"/>
              <w:rPr>
                <w:b/>
              </w:rPr>
            </w:pPr>
            <w:r w:rsidRPr="00167C39">
              <w:rPr>
                <w:b/>
              </w:rPr>
              <w:t>Year 4</w:t>
            </w:r>
          </w:p>
          <w:p w14:paraId="3549B600" w14:textId="77777777" w:rsidR="00D70349" w:rsidRPr="00167C39" w:rsidRDefault="00740289" w:rsidP="00740289">
            <w:pPr>
              <w:pStyle w:val="TableText0"/>
              <w:jc w:val="center"/>
              <w:rPr>
                <w:b/>
              </w:rPr>
            </w:pPr>
            <w:r>
              <w:rPr>
                <w:b/>
              </w:rPr>
              <w:t>(2025)</w:t>
            </w:r>
          </w:p>
        </w:tc>
        <w:tc>
          <w:tcPr>
            <w:tcW w:w="647" w:type="pct"/>
            <w:shd w:val="clear" w:color="auto" w:fill="auto"/>
            <w:vAlign w:val="center"/>
          </w:tcPr>
          <w:p w14:paraId="67D8003B" w14:textId="77777777" w:rsidR="00806E93" w:rsidRDefault="00D70349" w:rsidP="00740289">
            <w:pPr>
              <w:pStyle w:val="TableText0"/>
              <w:jc w:val="center"/>
              <w:rPr>
                <w:b/>
              </w:rPr>
            </w:pPr>
            <w:r w:rsidRPr="00167C39">
              <w:rPr>
                <w:b/>
              </w:rPr>
              <w:t>Year 5</w:t>
            </w:r>
          </w:p>
          <w:p w14:paraId="648DB64A" w14:textId="77777777" w:rsidR="00D70349" w:rsidRPr="00167C39" w:rsidRDefault="00740289" w:rsidP="00740289">
            <w:pPr>
              <w:pStyle w:val="TableText0"/>
              <w:jc w:val="center"/>
              <w:rPr>
                <w:b/>
              </w:rPr>
            </w:pPr>
            <w:r>
              <w:rPr>
                <w:b/>
              </w:rPr>
              <w:t>(2026)</w:t>
            </w:r>
          </w:p>
        </w:tc>
        <w:tc>
          <w:tcPr>
            <w:tcW w:w="648" w:type="pct"/>
          </w:tcPr>
          <w:p w14:paraId="2B973370" w14:textId="77777777" w:rsidR="00806E93" w:rsidRDefault="00D70349" w:rsidP="00740289">
            <w:pPr>
              <w:pStyle w:val="TableText0"/>
              <w:jc w:val="center"/>
              <w:rPr>
                <w:b/>
              </w:rPr>
            </w:pPr>
            <w:r w:rsidRPr="00167C39">
              <w:rPr>
                <w:b/>
              </w:rPr>
              <w:t>Year 6</w:t>
            </w:r>
          </w:p>
          <w:p w14:paraId="629D2182" w14:textId="77777777" w:rsidR="00D70349" w:rsidRPr="00167C39" w:rsidRDefault="00740289" w:rsidP="00740289">
            <w:pPr>
              <w:pStyle w:val="TableText0"/>
              <w:jc w:val="center"/>
              <w:rPr>
                <w:b/>
              </w:rPr>
            </w:pPr>
            <w:r>
              <w:rPr>
                <w:b/>
              </w:rPr>
              <w:t>(2027)</w:t>
            </w:r>
          </w:p>
        </w:tc>
      </w:tr>
      <w:tr w:rsidR="00D70349" w:rsidRPr="00197F03" w14:paraId="390FFD8B" w14:textId="77777777" w:rsidTr="00740289">
        <w:trPr>
          <w:trHeight w:val="237"/>
          <w:jc w:val="center"/>
        </w:trPr>
        <w:tc>
          <w:tcPr>
            <w:tcW w:w="5000" w:type="pct"/>
            <w:gridSpan w:val="7"/>
            <w:shd w:val="clear" w:color="auto" w:fill="auto"/>
            <w:vAlign w:val="center"/>
          </w:tcPr>
          <w:p w14:paraId="522D9091" w14:textId="77777777" w:rsidR="00D70349" w:rsidRPr="00167C39" w:rsidRDefault="000A466B" w:rsidP="000A466B">
            <w:pPr>
              <w:pStyle w:val="TableText0"/>
              <w:rPr>
                <w:b/>
                <w:color w:val="000000"/>
              </w:rPr>
            </w:pPr>
            <w:r>
              <w:rPr>
                <w:b/>
                <w:color w:val="000000"/>
              </w:rPr>
              <w:t>New listing</w:t>
            </w:r>
          </w:p>
        </w:tc>
      </w:tr>
      <w:tr w:rsidR="00D70349" w:rsidRPr="008D35F6" w14:paraId="70F0ABE9" w14:textId="77777777" w:rsidTr="00740289">
        <w:trPr>
          <w:trHeight w:val="228"/>
          <w:jc w:val="center"/>
        </w:trPr>
        <w:tc>
          <w:tcPr>
            <w:tcW w:w="1098" w:type="pct"/>
            <w:shd w:val="clear" w:color="auto" w:fill="auto"/>
            <w:vAlign w:val="center"/>
          </w:tcPr>
          <w:p w14:paraId="357E826E" w14:textId="77777777" w:rsidR="00D70349" w:rsidRPr="008D35F6" w:rsidRDefault="000A466B" w:rsidP="004A1431">
            <w:pPr>
              <w:pStyle w:val="TableText0"/>
              <w:rPr>
                <w:vertAlign w:val="superscript"/>
              </w:rPr>
            </w:pPr>
            <w:r>
              <w:t>Total number of scripts</w:t>
            </w:r>
          </w:p>
        </w:tc>
        <w:tc>
          <w:tcPr>
            <w:tcW w:w="665" w:type="pct"/>
            <w:shd w:val="clear" w:color="auto" w:fill="auto"/>
            <w:vAlign w:val="center"/>
          </w:tcPr>
          <w:p w14:paraId="515E93FF" w14:textId="77777777" w:rsidR="00D70349" w:rsidRPr="0063474E" w:rsidRDefault="00611F69" w:rsidP="00E63171">
            <w:pPr>
              <w:pStyle w:val="TableText0"/>
              <w:jc w:val="right"/>
              <w:rPr>
                <w:color w:val="000000"/>
                <w:vertAlign w:val="superscript"/>
              </w:rPr>
            </w:pPr>
            <w:r>
              <w:rPr>
                <w:noProof/>
                <w:color w:val="000000"/>
                <w:highlight w:val="black"/>
              </w:rPr>
              <w:t>''''''''''''''''</w:t>
            </w:r>
            <w:r w:rsidR="007107FF" w:rsidRPr="0063474E">
              <w:rPr>
                <w:color w:val="000000"/>
                <w:vertAlign w:val="superscript"/>
              </w:rPr>
              <w:t>1</w:t>
            </w:r>
          </w:p>
        </w:tc>
        <w:tc>
          <w:tcPr>
            <w:tcW w:w="647" w:type="pct"/>
            <w:shd w:val="clear" w:color="auto" w:fill="auto"/>
            <w:vAlign w:val="center"/>
          </w:tcPr>
          <w:p w14:paraId="346075E7" w14:textId="77777777" w:rsidR="00D70349" w:rsidRPr="008D35F6" w:rsidRDefault="00611F69" w:rsidP="00E63171">
            <w:pPr>
              <w:pStyle w:val="TableText0"/>
              <w:jc w:val="right"/>
              <w:rPr>
                <w:color w:val="000000"/>
              </w:rPr>
            </w:pPr>
            <w:r>
              <w:rPr>
                <w:noProof/>
                <w:color w:val="000000"/>
                <w:highlight w:val="black"/>
              </w:rPr>
              <w:t>''''''''''''''''</w:t>
            </w:r>
            <w:r w:rsidR="007107FF" w:rsidRPr="00E20E39">
              <w:rPr>
                <w:color w:val="000000"/>
                <w:vertAlign w:val="superscript"/>
              </w:rPr>
              <w:t>1</w:t>
            </w:r>
          </w:p>
        </w:tc>
        <w:tc>
          <w:tcPr>
            <w:tcW w:w="647" w:type="pct"/>
            <w:shd w:val="clear" w:color="auto" w:fill="auto"/>
            <w:vAlign w:val="center"/>
          </w:tcPr>
          <w:p w14:paraId="7397F7B5" w14:textId="77777777" w:rsidR="00D70349" w:rsidRPr="008D35F6" w:rsidRDefault="00611F69" w:rsidP="00E63171">
            <w:pPr>
              <w:pStyle w:val="TableText0"/>
              <w:jc w:val="right"/>
              <w:rPr>
                <w:color w:val="000000"/>
              </w:rPr>
            </w:pPr>
            <w:r>
              <w:rPr>
                <w:noProof/>
                <w:color w:val="000000"/>
                <w:highlight w:val="black"/>
              </w:rPr>
              <w:t>''''''''''''''''</w:t>
            </w:r>
            <w:r w:rsidR="007107FF" w:rsidRPr="00E20E39">
              <w:rPr>
                <w:color w:val="000000"/>
                <w:vertAlign w:val="superscript"/>
              </w:rPr>
              <w:t>1</w:t>
            </w:r>
          </w:p>
        </w:tc>
        <w:tc>
          <w:tcPr>
            <w:tcW w:w="647" w:type="pct"/>
            <w:shd w:val="clear" w:color="auto" w:fill="auto"/>
            <w:vAlign w:val="center"/>
          </w:tcPr>
          <w:p w14:paraId="2806BDF6" w14:textId="77777777" w:rsidR="00D70349" w:rsidRPr="008D35F6" w:rsidRDefault="00611F69" w:rsidP="00E63171">
            <w:pPr>
              <w:pStyle w:val="TableText0"/>
              <w:jc w:val="right"/>
              <w:rPr>
                <w:color w:val="000000"/>
              </w:rPr>
            </w:pPr>
            <w:r>
              <w:rPr>
                <w:noProof/>
                <w:color w:val="000000"/>
                <w:highlight w:val="black"/>
              </w:rPr>
              <w:t>'''''''''''''''</w:t>
            </w:r>
            <w:r w:rsidR="0045715D">
              <w:rPr>
                <w:color w:val="000000"/>
                <w:vertAlign w:val="superscript"/>
              </w:rPr>
              <w:t>2</w:t>
            </w:r>
          </w:p>
        </w:tc>
        <w:tc>
          <w:tcPr>
            <w:tcW w:w="647" w:type="pct"/>
            <w:shd w:val="clear" w:color="auto" w:fill="auto"/>
            <w:vAlign w:val="center"/>
          </w:tcPr>
          <w:p w14:paraId="25B24CBA" w14:textId="77777777" w:rsidR="00D70349" w:rsidRPr="008D35F6" w:rsidRDefault="00611F69" w:rsidP="00E63171">
            <w:pPr>
              <w:pStyle w:val="TableText0"/>
              <w:jc w:val="right"/>
              <w:rPr>
                <w:color w:val="000000"/>
              </w:rPr>
            </w:pPr>
            <w:r>
              <w:rPr>
                <w:noProof/>
                <w:color w:val="000000"/>
                <w:highlight w:val="black"/>
              </w:rPr>
              <w:t>'''''''''''''''''</w:t>
            </w:r>
            <w:r w:rsidR="0045715D">
              <w:rPr>
                <w:color w:val="000000"/>
                <w:vertAlign w:val="superscript"/>
              </w:rPr>
              <w:t>2</w:t>
            </w:r>
          </w:p>
        </w:tc>
        <w:tc>
          <w:tcPr>
            <w:tcW w:w="648" w:type="pct"/>
            <w:vAlign w:val="center"/>
          </w:tcPr>
          <w:p w14:paraId="4436448D" w14:textId="77777777" w:rsidR="00D70349" w:rsidRPr="008D35F6" w:rsidRDefault="00611F69" w:rsidP="00E63171">
            <w:pPr>
              <w:pStyle w:val="TableText0"/>
              <w:jc w:val="right"/>
              <w:rPr>
                <w:color w:val="000000"/>
              </w:rPr>
            </w:pPr>
            <w:r>
              <w:rPr>
                <w:noProof/>
                <w:color w:val="000000"/>
                <w:highlight w:val="black"/>
              </w:rPr>
              <w:t>'''''''''''''''</w:t>
            </w:r>
            <w:r w:rsidR="0045715D">
              <w:rPr>
                <w:color w:val="000000"/>
                <w:vertAlign w:val="superscript"/>
              </w:rPr>
              <w:t>2</w:t>
            </w:r>
          </w:p>
        </w:tc>
      </w:tr>
      <w:tr w:rsidR="000A466B" w:rsidRPr="008D35F6" w14:paraId="5670A9FA" w14:textId="77777777" w:rsidTr="00740289">
        <w:trPr>
          <w:trHeight w:val="686"/>
          <w:jc w:val="center"/>
        </w:trPr>
        <w:tc>
          <w:tcPr>
            <w:tcW w:w="1098" w:type="pct"/>
            <w:shd w:val="clear" w:color="auto" w:fill="auto"/>
            <w:vAlign w:val="center"/>
          </w:tcPr>
          <w:p w14:paraId="5C000FEA" w14:textId="77777777" w:rsidR="000A466B" w:rsidRDefault="000A466B" w:rsidP="004A1431">
            <w:pPr>
              <w:pStyle w:val="TableText0"/>
            </w:pPr>
            <w:r>
              <w:t>Costs of Oripro to PBS/RPBS (</w:t>
            </w:r>
            <w:r w:rsidR="00B77222">
              <w:t>less</w:t>
            </w:r>
            <w:r>
              <w:t xml:space="preserve"> patient co</w:t>
            </w:r>
            <w:r w:rsidR="00471B3A">
              <w:t>-</w:t>
            </w:r>
            <w:r>
              <w:t>payments)</w:t>
            </w:r>
          </w:p>
        </w:tc>
        <w:tc>
          <w:tcPr>
            <w:tcW w:w="665" w:type="pct"/>
            <w:shd w:val="clear" w:color="auto" w:fill="auto"/>
            <w:vAlign w:val="center"/>
          </w:tcPr>
          <w:p w14:paraId="096F7108" w14:textId="77777777" w:rsidR="000A466B" w:rsidRDefault="00611F69" w:rsidP="00E63171">
            <w:pPr>
              <w:pStyle w:val="TableText0"/>
              <w:jc w:val="right"/>
              <w:rPr>
                <w:color w:val="000000"/>
              </w:rPr>
            </w:pPr>
            <w:r>
              <w:rPr>
                <w:noProof/>
                <w:color w:val="000000"/>
                <w:highlight w:val="black"/>
              </w:rPr>
              <w:t>''''''''''''''''''''''''</w:t>
            </w:r>
            <w:r w:rsidR="000A7A41">
              <w:rPr>
                <w:color w:val="000000"/>
                <w:vertAlign w:val="superscript"/>
              </w:rPr>
              <w:t>5</w:t>
            </w:r>
          </w:p>
        </w:tc>
        <w:tc>
          <w:tcPr>
            <w:tcW w:w="647" w:type="pct"/>
            <w:shd w:val="clear" w:color="auto" w:fill="auto"/>
            <w:vAlign w:val="center"/>
          </w:tcPr>
          <w:p w14:paraId="134FFE66" w14:textId="77777777" w:rsidR="000A466B" w:rsidRDefault="00611F69" w:rsidP="00E63171">
            <w:pPr>
              <w:pStyle w:val="TableText0"/>
              <w:jc w:val="right"/>
              <w:rPr>
                <w:color w:val="000000"/>
              </w:rPr>
            </w:pPr>
            <w:r>
              <w:rPr>
                <w:noProof/>
                <w:color w:val="000000"/>
                <w:highlight w:val="black"/>
              </w:rPr>
              <w:t>''''''''''''''''''''''''''</w:t>
            </w:r>
            <w:r w:rsidR="000A7A41">
              <w:rPr>
                <w:color w:val="000000"/>
                <w:vertAlign w:val="superscript"/>
              </w:rPr>
              <w:t>5</w:t>
            </w:r>
          </w:p>
        </w:tc>
        <w:tc>
          <w:tcPr>
            <w:tcW w:w="647" w:type="pct"/>
            <w:shd w:val="clear" w:color="auto" w:fill="auto"/>
            <w:vAlign w:val="center"/>
          </w:tcPr>
          <w:p w14:paraId="7EDF5542" w14:textId="77777777" w:rsidR="000A466B" w:rsidRDefault="00611F69" w:rsidP="00E63171">
            <w:pPr>
              <w:pStyle w:val="TableText0"/>
              <w:jc w:val="right"/>
              <w:rPr>
                <w:color w:val="000000"/>
              </w:rPr>
            </w:pPr>
            <w:r>
              <w:rPr>
                <w:noProof/>
                <w:color w:val="000000"/>
                <w:highlight w:val="black"/>
              </w:rPr>
              <w:t>''''''''''''''''''''''''''</w:t>
            </w:r>
            <w:r w:rsidR="000A7A41">
              <w:rPr>
                <w:color w:val="000000"/>
                <w:vertAlign w:val="superscript"/>
              </w:rPr>
              <w:t>5</w:t>
            </w:r>
          </w:p>
        </w:tc>
        <w:tc>
          <w:tcPr>
            <w:tcW w:w="647" w:type="pct"/>
            <w:shd w:val="clear" w:color="auto" w:fill="auto"/>
            <w:vAlign w:val="center"/>
          </w:tcPr>
          <w:p w14:paraId="58D6CCBF" w14:textId="77777777" w:rsidR="000A466B" w:rsidRDefault="00611F69" w:rsidP="00E63171">
            <w:pPr>
              <w:pStyle w:val="TableText0"/>
              <w:jc w:val="right"/>
              <w:rPr>
                <w:color w:val="000000"/>
              </w:rPr>
            </w:pPr>
            <w:r>
              <w:rPr>
                <w:noProof/>
                <w:color w:val="000000"/>
                <w:highlight w:val="black"/>
              </w:rPr>
              <w:t>'''''''''''''''''''''''''</w:t>
            </w:r>
            <w:r w:rsidR="000A7A41">
              <w:rPr>
                <w:color w:val="000000"/>
                <w:vertAlign w:val="superscript"/>
              </w:rPr>
              <w:t>5</w:t>
            </w:r>
          </w:p>
        </w:tc>
        <w:tc>
          <w:tcPr>
            <w:tcW w:w="647" w:type="pct"/>
            <w:shd w:val="clear" w:color="auto" w:fill="auto"/>
            <w:vAlign w:val="center"/>
          </w:tcPr>
          <w:p w14:paraId="43799A52" w14:textId="77777777" w:rsidR="000A466B" w:rsidRDefault="00611F69" w:rsidP="00E63171">
            <w:pPr>
              <w:pStyle w:val="TableText0"/>
              <w:jc w:val="right"/>
              <w:rPr>
                <w:color w:val="000000"/>
              </w:rPr>
            </w:pPr>
            <w:r>
              <w:rPr>
                <w:noProof/>
                <w:color w:val="000000"/>
                <w:highlight w:val="black"/>
              </w:rPr>
              <w:t>'''''''''''''''''''''''''''</w:t>
            </w:r>
            <w:r w:rsidR="000A7A41">
              <w:rPr>
                <w:color w:val="000000"/>
                <w:vertAlign w:val="superscript"/>
              </w:rPr>
              <w:t>5</w:t>
            </w:r>
          </w:p>
        </w:tc>
        <w:tc>
          <w:tcPr>
            <w:tcW w:w="648" w:type="pct"/>
            <w:vAlign w:val="center"/>
          </w:tcPr>
          <w:p w14:paraId="2B221AF3" w14:textId="77777777" w:rsidR="000A466B" w:rsidRDefault="00611F69" w:rsidP="00E63171">
            <w:pPr>
              <w:pStyle w:val="TableText0"/>
              <w:jc w:val="right"/>
              <w:rPr>
                <w:color w:val="000000"/>
              </w:rPr>
            </w:pPr>
            <w:r>
              <w:rPr>
                <w:noProof/>
                <w:color w:val="000000"/>
                <w:highlight w:val="black"/>
              </w:rPr>
              <w:t>''''''''''''''''''''''''''</w:t>
            </w:r>
            <w:r w:rsidR="000A7A41">
              <w:rPr>
                <w:color w:val="000000"/>
                <w:vertAlign w:val="superscript"/>
              </w:rPr>
              <w:t>5</w:t>
            </w:r>
          </w:p>
        </w:tc>
      </w:tr>
      <w:tr w:rsidR="00D70349" w:rsidRPr="00197F03" w14:paraId="189AAE25" w14:textId="77777777" w:rsidTr="00740289">
        <w:trPr>
          <w:trHeight w:val="237"/>
          <w:jc w:val="center"/>
        </w:trPr>
        <w:tc>
          <w:tcPr>
            <w:tcW w:w="5000" w:type="pct"/>
            <w:gridSpan w:val="7"/>
            <w:shd w:val="clear" w:color="auto" w:fill="auto"/>
            <w:vAlign w:val="center"/>
          </w:tcPr>
          <w:p w14:paraId="3B35C386" w14:textId="77777777" w:rsidR="00D70349" w:rsidRPr="00167C39" w:rsidRDefault="00AA7407" w:rsidP="00740289">
            <w:pPr>
              <w:pStyle w:val="TableText0"/>
              <w:rPr>
                <w:b/>
                <w:color w:val="000000"/>
              </w:rPr>
            </w:pPr>
            <w:r>
              <w:rPr>
                <w:b/>
                <w:color w:val="000000"/>
              </w:rPr>
              <w:t>Affected listing</w:t>
            </w:r>
          </w:p>
        </w:tc>
      </w:tr>
      <w:tr w:rsidR="00D70349" w:rsidRPr="00197F03" w14:paraId="0FCFB2FA" w14:textId="77777777" w:rsidTr="00740289">
        <w:trPr>
          <w:trHeight w:val="228"/>
          <w:jc w:val="center"/>
        </w:trPr>
        <w:tc>
          <w:tcPr>
            <w:tcW w:w="1098" w:type="pct"/>
            <w:shd w:val="clear" w:color="auto" w:fill="auto"/>
            <w:vAlign w:val="center"/>
          </w:tcPr>
          <w:p w14:paraId="01177958" w14:textId="77777777" w:rsidR="00D70349" w:rsidRPr="00167C39" w:rsidRDefault="00AA7407" w:rsidP="009534C7">
            <w:pPr>
              <w:pStyle w:val="TableText0"/>
            </w:pPr>
            <w:r>
              <w:t>Total number of scripts</w:t>
            </w:r>
          </w:p>
        </w:tc>
        <w:tc>
          <w:tcPr>
            <w:tcW w:w="665" w:type="pct"/>
            <w:shd w:val="clear" w:color="auto" w:fill="auto"/>
            <w:vAlign w:val="center"/>
          </w:tcPr>
          <w:p w14:paraId="7C96C569" w14:textId="77777777" w:rsidR="00D70349" w:rsidRPr="00167C39" w:rsidRDefault="00AA7407" w:rsidP="00E63171">
            <w:pPr>
              <w:pStyle w:val="TableText0"/>
              <w:jc w:val="right"/>
              <w:rPr>
                <w:color w:val="000000"/>
              </w:rPr>
            </w:pPr>
            <w:r>
              <w:rPr>
                <w:color w:val="000000"/>
              </w:rPr>
              <w:t>-</w:t>
            </w:r>
            <w:r w:rsidR="00611F69">
              <w:rPr>
                <w:noProof/>
                <w:color w:val="000000"/>
                <w:highlight w:val="black"/>
              </w:rPr>
              <w:t>''''''''''''''''</w:t>
            </w:r>
            <w:r w:rsidR="0045715D">
              <w:rPr>
                <w:color w:val="000000"/>
                <w:vertAlign w:val="superscript"/>
              </w:rPr>
              <w:t>2</w:t>
            </w:r>
          </w:p>
        </w:tc>
        <w:tc>
          <w:tcPr>
            <w:tcW w:w="647" w:type="pct"/>
            <w:shd w:val="clear" w:color="auto" w:fill="auto"/>
            <w:vAlign w:val="center"/>
          </w:tcPr>
          <w:p w14:paraId="3F203FF0" w14:textId="77777777" w:rsidR="00D70349" w:rsidRPr="00167C39" w:rsidRDefault="00AA7407" w:rsidP="00E63171">
            <w:pPr>
              <w:pStyle w:val="TableText0"/>
              <w:jc w:val="right"/>
              <w:rPr>
                <w:color w:val="000000"/>
              </w:rPr>
            </w:pPr>
            <w:r>
              <w:rPr>
                <w:color w:val="000000"/>
              </w:rPr>
              <w:t>-</w:t>
            </w:r>
            <w:r w:rsidR="00611F69">
              <w:rPr>
                <w:noProof/>
                <w:color w:val="000000"/>
                <w:highlight w:val="black"/>
              </w:rPr>
              <w:t>'''''''''''''''''</w:t>
            </w:r>
            <w:r w:rsidR="0045715D">
              <w:rPr>
                <w:color w:val="000000"/>
                <w:vertAlign w:val="superscript"/>
              </w:rPr>
              <w:t>3</w:t>
            </w:r>
          </w:p>
        </w:tc>
        <w:tc>
          <w:tcPr>
            <w:tcW w:w="647" w:type="pct"/>
            <w:shd w:val="clear" w:color="auto" w:fill="auto"/>
            <w:vAlign w:val="center"/>
          </w:tcPr>
          <w:p w14:paraId="5341A3B1" w14:textId="77777777" w:rsidR="00D70349" w:rsidRPr="00167C39" w:rsidRDefault="00AA7407" w:rsidP="00E63171">
            <w:pPr>
              <w:pStyle w:val="TableText0"/>
              <w:jc w:val="right"/>
              <w:rPr>
                <w:color w:val="000000"/>
              </w:rPr>
            </w:pPr>
            <w:r>
              <w:rPr>
                <w:color w:val="000000"/>
              </w:rPr>
              <w:t>-</w:t>
            </w:r>
            <w:r w:rsidR="00611F69">
              <w:rPr>
                <w:noProof/>
                <w:color w:val="000000"/>
                <w:highlight w:val="black"/>
              </w:rPr>
              <w:t>'''''''''''''''</w:t>
            </w:r>
            <w:r w:rsidR="0045715D">
              <w:rPr>
                <w:color w:val="000000"/>
                <w:vertAlign w:val="superscript"/>
              </w:rPr>
              <w:t>3</w:t>
            </w:r>
          </w:p>
        </w:tc>
        <w:tc>
          <w:tcPr>
            <w:tcW w:w="647" w:type="pct"/>
            <w:shd w:val="clear" w:color="auto" w:fill="auto"/>
            <w:vAlign w:val="center"/>
          </w:tcPr>
          <w:p w14:paraId="18319E69" w14:textId="77777777" w:rsidR="00D70349" w:rsidRPr="00167C39" w:rsidRDefault="00AA7407" w:rsidP="00E63171">
            <w:pPr>
              <w:pStyle w:val="TableText0"/>
              <w:jc w:val="right"/>
              <w:rPr>
                <w:color w:val="000000"/>
              </w:rPr>
            </w:pPr>
            <w:r>
              <w:rPr>
                <w:color w:val="000000"/>
              </w:rPr>
              <w:t>-</w:t>
            </w:r>
            <w:r w:rsidR="00611F69">
              <w:rPr>
                <w:noProof/>
                <w:color w:val="000000"/>
                <w:highlight w:val="black"/>
              </w:rPr>
              <w:t>'''''''''''''''''</w:t>
            </w:r>
            <w:r w:rsidR="0045715D">
              <w:rPr>
                <w:color w:val="000000"/>
                <w:vertAlign w:val="superscript"/>
              </w:rPr>
              <w:t>4</w:t>
            </w:r>
          </w:p>
        </w:tc>
        <w:tc>
          <w:tcPr>
            <w:tcW w:w="647" w:type="pct"/>
            <w:shd w:val="clear" w:color="auto" w:fill="auto"/>
            <w:vAlign w:val="center"/>
          </w:tcPr>
          <w:p w14:paraId="4296E535" w14:textId="77777777" w:rsidR="00D70349" w:rsidRPr="00167C39" w:rsidRDefault="00AA7407" w:rsidP="00E63171">
            <w:pPr>
              <w:pStyle w:val="TableText0"/>
              <w:jc w:val="right"/>
              <w:rPr>
                <w:color w:val="000000"/>
              </w:rPr>
            </w:pPr>
            <w:r>
              <w:rPr>
                <w:color w:val="000000"/>
              </w:rPr>
              <w:t>-</w:t>
            </w:r>
            <w:r w:rsidR="00611F69">
              <w:rPr>
                <w:noProof/>
                <w:color w:val="000000"/>
                <w:highlight w:val="black"/>
              </w:rPr>
              <w:t>''''''''''''''''</w:t>
            </w:r>
            <w:r w:rsidR="0045715D">
              <w:rPr>
                <w:color w:val="000000"/>
                <w:vertAlign w:val="superscript"/>
              </w:rPr>
              <w:t>4</w:t>
            </w:r>
          </w:p>
        </w:tc>
        <w:tc>
          <w:tcPr>
            <w:tcW w:w="648" w:type="pct"/>
            <w:vAlign w:val="center"/>
          </w:tcPr>
          <w:p w14:paraId="31E3EB89" w14:textId="77777777" w:rsidR="00D70349" w:rsidRPr="00167C39" w:rsidRDefault="00AA7407" w:rsidP="00E63171">
            <w:pPr>
              <w:pStyle w:val="TableText0"/>
              <w:jc w:val="right"/>
              <w:rPr>
                <w:color w:val="000000"/>
              </w:rPr>
            </w:pPr>
            <w:r>
              <w:rPr>
                <w:color w:val="000000"/>
              </w:rPr>
              <w:t>-</w:t>
            </w:r>
            <w:r w:rsidR="00611F69">
              <w:rPr>
                <w:noProof/>
                <w:color w:val="000000"/>
                <w:highlight w:val="black"/>
              </w:rPr>
              <w:t>''''''''''''''''</w:t>
            </w:r>
            <w:r w:rsidR="0045715D">
              <w:rPr>
                <w:color w:val="000000"/>
                <w:vertAlign w:val="superscript"/>
              </w:rPr>
              <w:t>4</w:t>
            </w:r>
          </w:p>
        </w:tc>
      </w:tr>
      <w:tr w:rsidR="00062E88" w:rsidRPr="00197F03" w14:paraId="3FA8D611" w14:textId="77777777" w:rsidTr="00740289">
        <w:trPr>
          <w:trHeight w:val="695"/>
          <w:jc w:val="center"/>
        </w:trPr>
        <w:tc>
          <w:tcPr>
            <w:tcW w:w="1098" w:type="pct"/>
            <w:shd w:val="clear" w:color="auto" w:fill="auto"/>
            <w:vAlign w:val="center"/>
          </w:tcPr>
          <w:p w14:paraId="2E11C9E2" w14:textId="77777777" w:rsidR="009534C7" w:rsidRPr="00167C39" w:rsidRDefault="00AA7407" w:rsidP="009534C7">
            <w:pPr>
              <w:pStyle w:val="TableText0"/>
            </w:pPr>
            <w:r>
              <w:t>Cost of Oripro to PBS/RPBS (</w:t>
            </w:r>
            <w:r w:rsidR="00B77222">
              <w:t>less</w:t>
            </w:r>
            <w:r>
              <w:t xml:space="preserve"> patient co</w:t>
            </w:r>
            <w:r w:rsidR="00471B3A">
              <w:t>-</w:t>
            </w:r>
            <w:r>
              <w:t>payments)</w:t>
            </w:r>
          </w:p>
        </w:tc>
        <w:tc>
          <w:tcPr>
            <w:tcW w:w="665" w:type="pct"/>
            <w:shd w:val="clear" w:color="auto" w:fill="auto"/>
            <w:vAlign w:val="center"/>
          </w:tcPr>
          <w:p w14:paraId="7B7AAB41" w14:textId="77777777" w:rsidR="00062E88" w:rsidRPr="00167C39" w:rsidRDefault="00AA7407" w:rsidP="00E63171">
            <w:pPr>
              <w:pStyle w:val="TableText0"/>
              <w:jc w:val="right"/>
              <w:rPr>
                <w:color w:val="000000"/>
              </w:rPr>
            </w:pPr>
            <w:r>
              <w:rPr>
                <w:color w:val="000000"/>
              </w:rPr>
              <w:t>-</w:t>
            </w:r>
            <w:r w:rsidR="00611F69">
              <w:rPr>
                <w:noProof/>
                <w:color w:val="000000"/>
                <w:highlight w:val="black"/>
              </w:rPr>
              <w:t>''''''''''''''''''''''''''</w:t>
            </w:r>
            <w:r w:rsidR="000A7A41">
              <w:rPr>
                <w:color w:val="000000"/>
                <w:vertAlign w:val="superscript"/>
              </w:rPr>
              <w:t>5</w:t>
            </w:r>
          </w:p>
        </w:tc>
        <w:tc>
          <w:tcPr>
            <w:tcW w:w="647" w:type="pct"/>
            <w:shd w:val="clear" w:color="auto" w:fill="auto"/>
            <w:vAlign w:val="center"/>
          </w:tcPr>
          <w:p w14:paraId="2C08D9BF" w14:textId="77777777" w:rsidR="00062E88" w:rsidRPr="00167C39" w:rsidRDefault="00AA7407" w:rsidP="00E63171">
            <w:pPr>
              <w:pStyle w:val="TableText0"/>
              <w:jc w:val="right"/>
              <w:rPr>
                <w:color w:val="000000"/>
              </w:rPr>
            </w:pPr>
            <w:r>
              <w:rPr>
                <w:color w:val="000000"/>
              </w:rPr>
              <w:t>-</w:t>
            </w:r>
            <w:r w:rsidR="00611F69">
              <w:rPr>
                <w:noProof/>
                <w:color w:val="000000"/>
                <w:highlight w:val="black"/>
              </w:rPr>
              <w:t>''''''''''''''''''''''''''''</w:t>
            </w:r>
            <w:r w:rsidR="000A7A41">
              <w:rPr>
                <w:color w:val="000000"/>
                <w:vertAlign w:val="superscript"/>
              </w:rPr>
              <w:t>5</w:t>
            </w:r>
          </w:p>
        </w:tc>
        <w:tc>
          <w:tcPr>
            <w:tcW w:w="647" w:type="pct"/>
            <w:shd w:val="clear" w:color="auto" w:fill="auto"/>
            <w:vAlign w:val="center"/>
          </w:tcPr>
          <w:p w14:paraId="6A96350C" w14:textId="77777777" w:rsidR="00062E88" w:rsidRPr="00167C39" w:rsidRDefault="00AA7407" w:rsidP="00E63171">
            <w:pPr>
              <w:pStyle w:val="TableText0"/>
              <w:jc w:val="right"/>
              <w:rPr>
                <w:color w:val="000000"/>
              </w:rPr>
            </w:pPr>
            <w:r>
              <w:rPr>
                <w:color w:val="000000"/>
              </w:rPr>
              <w:t>-</w:t>
            </w:r>
            <w:r w:rsidR="00611F69">
              <w:rPr>
                <w:noProof/>
                <w:color w:val="000000"/>
                <w:highlight w:val="black"/>
              </w:rPr>
              <w:t>'''''''''''''''''''''''''''''</w:t>
            </w:r>
            <w:r w:rsidR="000A7A41">
              <w:rPr>
                <w:color w:val="000000"/>
                <w:vertAlign w:val="superscript"/>
              </w:rPr>
              <w:t>5</w:t>
            </w:r>
          </w:p>
        </w:tc>
        <w:tc>
          <w:tcPr>
            <w:tcW w:w="647" w:type="pct"/>
            <w:shd w:val="clear" w:color="auto" w:fill="auto"/>
            <w:vAlign w:val="center"/>
          </w:tcPr>
          <w:p w14:paraId="1F7E0433" w14:textId="77777777" w:rsidR="00062E88" w:rsidRPr="00167C39" w:rsidRDefault="00AA7407" w:rsidP="00E63171">
            <w:pPr>
              <w:pStyle w:val="TableText0"/>
              <w:jc w:val="right"/>
              <w:rPr>
                <w:color w:val="000000"/>
              </w:rPr>
            </w:pPr>
            <w:r>
              <w:rPr>
                <w:color w:val="000000"/>
              </w:rPr>
              <w:t>-</w:t>
            </w:r>
            <w:r w:rsidR="00611F69">
              <w:rPr>
                <w:noProof/>
                <w:color w:val="000000"/>
                <w:highlight w:val="black"/>
              </w:rPr>
              <w:t>'''''''''''''''''''''''''''</w:t>
            </w:r>
            <w:r w:rsidR="000A7A41">
              <w:rPr>
                <w:color w:val="000000"/>
                <w:vertAlign w:val="superscript"/>
              </w:rPr>
              <w:t>5</w:t>
            </w:r>
          </w:p>
        </w:tc>
        <w:tc>
          <w:tcPr>
            <w:tcW w:w="647" w:type="pct"/>
            <w:shd w:val="clear" w:color="auto" w:fill="auto"/>
            <w:vAlign w:val="center"/>
          </w:tcPr>
          <w:p w14:paraId="4073CF26" w14:textId="77777777" w:rsidR="00062E88" w:rsidRPr="00167C39" w:rsidRDefault="00AA7407" w:rsidP="00E63171">
            <w:pPr>
              <w:pStyle w:val="TableText0"/>
              <w:jc w:val="right"/>
              <w:rPr>
                <w:color w:val="000000"/>
              </w:rPr>
            </w:pPr>
            <w:r>
              <w:rPr>
                <w:color w:val="000000"/>
              </w:rPr>
              <w:t>-</w:t>
            </w:r>
            <w:r w:rsidR="00611F69">
              <w:rPr>
                <w:noProof/>
                <w:color w:val="000000"/>
                <w:highlight w:val="black"/>
              </w:rPr>
              <w:t>''''''''''''''''''''''''''''</w:t>
            </w:r>
            <w:r w:rsidR="000A7A41">
              <w:rPr>
                <w:color w:val="000000"/>
                <w:vertAlign w:val="superscript"/>
              </w:rPr>
              <w:t>5</w:t>
            </w:r>
          </w:p>
        </w:tc>
        <w:tc>
          <w:tcPr>
            <w:tcW w:w="648" w:type="pct"/>
            <w:vAlign w:val="center"/>
          </w:tcPr>
          <w:p w14:paraId="35DECE9B" w14:textId="77777777" w:rsidR="00062E88" w:rsidRPr="00167C39" w:rsidRDefault="00AA7407" w:rsidP="00E63171">
            <w:pPr>
              <w:pStyle w:val="TableText0"/>
              <w:jc w:val="right"/>
              <w:rPr>
                <w:color w:val="000000"/>
              </w:rPr>
            </w:pPr>
            <w:r>
              <w:rPr>
                <w:color w:val="000000"/>
              </w:rPr>
              <w:t>-</w:t>
            </w:r>
            <w:r w:rsidR="00611F69">
              <w:rPr>
                <w:noProof/>
                <w:color w:val="000000"/>
                <w:highlight w:val="black"/>
              </w:rPr>
              <w:t>'''''''''''''''''''''''''''</w:t>
            </w:r>
            <w:r w:rsidR="000A7A41">
              <w:rPr>
                <w:color w:val="000000"/>
                <w:vertAlign w:val="superscript"/>
              </w:rPr>
              <w:t>5</w:t>
            </w:r>
          </w:p>
        </w:tc>
      </w:tr>
      <w:tr w:rsidR="00062E88" w:rsidRPr="00197F03" w14:paraId="04F59804" w14:textId="77777777" w:rsidTr="00740289">
        <w:trPr>
          <w:trHeight w:val="228"/>
          <w:jc w:val="center"/>
        </w:trPr>
        <w:tc>
          <w:tcPr>
            <w:tcW w:w="5000" w:type="pct"/>
            <w:gridSpan w:val="7"/>
            <w:shd w:val="clear" w:color="auto" w:fill="auto"/>
            <w:vAlign w:val="center"/>
          </w:tcPr>
          <w:p w14:paraId="4B292823" w14:textId="77777777" w:rsidR="00062E88" w:rsidRPr="00167C39" w:rsidRDefault="00062E88" w:rsidP="00062E88">
            <w:pPr>
              <w:pStyle w:val="TableText0"/>
              <w:rPr>
                <w:b/>
                <w:color w:val="000000"/>
              </w:rPr>
            </w:pPr>
            <w:r w:rsidRPr="00167C39">
              <w:rPr>
                <w:b/>
                <w:color w:val="000000"/>
              </w:rPr>
              <w:t xml:space="preserve">Estimated net financial implications </w:t>
            </w:r>
          </w:p>
        </w:tc>
      </w:tr>
      <w:tr w:rsidR="00062E88" w:rsidRPr="00197F03" w14:paraId="75FC38EC" w14:textId="77777777" w:rsidTr="00740289">
        <w:trPr>
          <w:trHeight w:val="228"/>
          <w:jc w:val="center"/>
        </w:trPr>
        <w:tc>
          <w:tcPr>
            <w:tcW w:w="1098" w:type="pct"/>
            <w:shd w:val="clear" w:color="auto" w:fill="auto"/>
            <w:vAlign w:val="center"/>
          </w:tcPr>
          <w:p w14:paraId="5CD58800" w14:textId="77777777" w:rsidR="00062E88" w:rsidRPr="00167C39" w:rsidRDefault="00740289" w:rsidP="00062E88">
            <w:pPr>
              <w:pStyle w:val="TableText0"/>
            </w:pPr>
            <w:r>
              <w:t>Net cost to PBS/RPBS</w:t>
            </w:r>
          </w:p>
        </w:tc>
        <w:tc>
          <w:tcPr>
            <w:tcW w:w="665" w:type="pct"/>
            <w:shd w:val="clear" w:color="auto" w:fill="auto"/>
            <w:vAlign w:val="center"/>
          </w:tcPr>
          <w:p w14:paraId="06CF4AD6" w14:textId="77777777" w:rsidR="00062E88" w:rsidRPr="00167C39" w:rsidRDefault="00611F69" w:rsidP="00E63171">
            <w:pPr>
              <w:pStyle w:val="TableText0"/>
              <w:jc w:val="right"/>
              <w:rPr>
                <w:color w:val="000000"/>
              </w:rPr>
            </w:pPr>
            <w:r>
              <w:rPr>
                <w:noProof/>
                <w:color w:val="000000"/>
                <w:highlight w:val="black"/>
              </w:rPr>
              <w:t>'''''''''''''''''''''''</w:t>
            </w:r>
            <w:r w:rsidR="000A7A41">
              <w:rPr>
                <w:color w:val="000000"/>
                <w:vertAlign w:val="superscript"/>
              </w:rPr>
              <w:t>5</w:t>
            </w:r>
          </w:p>
        </w:tc>
        <w:tc>
          <w:tcPr>
            <w:tcW w:w="647" w:type="pct"/>
            <w:shd w:val="clear" w:color="auto" w:fill="auto"/>
            <w:vAlign w:val="center"/>
          </w:tcPr>
          <w:p w14:paraId="59769742" w14:textId="77777777" w:rsidR="00062E88" w:rsidRPr="00167C39" w:rsidRDefault="00611F69" w:rsidP="00E63171">
            <w:pPr>
              <w:pStyle w:val="TableText0"/>
              <w:jc w:val="right"/>
              <w:rPr>
                <w:color w:val="000000"/>
              </w:rPr>
            </w:pPr>
            <w:r>
              <w:rPr>
                <w:noProof/>
                <w:color w:val="000000"/>
                <w:highlight w:val="black"/>
              </w:rPr>
              <w:t>'''''''''''''''''''''''''</w:t>
            </w:r>
            <w:r w:rsidR="000A7A41">
              <w:rPr>
                <w:color w:val="000000"/>
                <w:vertAlign w:val="superscript"/>
              </w:rPr>
              <w:t>5</w:t>
            </w:r>
          </w:p>
        </w:tc>
        <w:tc>
          <w:tcPr>
            <w:tcW w:w="647" w:type="pct"/>
            <w:shd w:val="clear" w:color="auto" w:fill="auto"/>
            <w:vAlign w:val="center"/>
          </w:tcPr>
          <w:p w14:paraId="35959C90" w14:textId="77777777" w:rsidR="00062E88" w:rsidRPr="00167C39" w:rsidRDefault="00611F69" w:rsidP="00E63171">
            <w:pPr>
              <w:pStyle w:val="TableText0"/>
              <w:jc w:val="right"/>
              <w:rPr>
                <w:color w:val="000000"/>
              </w:rPr>
            </w:pPr>
            <w:r>
              <w:rPr>
                <w:noProof/>
                <w:color w:val="000000"/>
                <w:highlight w:val="black"/>
              </w:rPr>
              <w:t>''''''''''''''''''''''''</w:t>
            </w:r>
            <w:r w:rsidR="000A7A41">
              <w:rPr>
                <w:color w:val="000000"/>
                <w:vertAlign w:val="superscript"/>
              </w:rPr>
              <w:t>5</w:t>
            </w:r>
          </w:p>
        </w:tc>
        <w:tc>
          <w:tcPr>
            <w:tcW w:w="647" w:type="pct"/>
            <w:shd w:val="clear" w:color="auto" w:fill="auto"/>
            <w:vAlign w:val="center"/>
          </w:tcPr>
          <w:p w14:paraId="47A41522" w14:textId="77777777" w:rsidR="00062E88" w:rsidRPr="00167C39" w:rsidRDefault="00611F69" w:rsidP="00E63171">
            <w:pPr>
              <w:pStyle w:val="TableText0"/>
              <w:jc w:val="right"/>
              <w:rPr>
                <w:color w:val="000000"/>
              </w:rPr>
            </w:pPr>
            <w:r>
              <w:rPr>
                <w:noProof/>
                <w:color w:val="000000"/>
                <w:highlight w:val="black"/>
              </w:rPr>
              <w:t>'''''''''''''''''''''''</w:t>
            </w:r>
            <w:r w:rsidR="000A7A41">
              <w:rPr>
                <w:color w:val="000000"/>
                <w:vertAlign w:val="superscript"/>
              </w:rPr>
              <w:t>5</w:t>
            </w:r>
          </w:p>
        </w:tc>
        <w:tc>
          <w:tcPr>
            <w:tcW w:w="647" w:type="pct"/>
            <w:shd w:val="clear" w:color="auto" w:fill="auto"/>
            <w:vAlign w:val="center"/>
          </w:tcPr>
          <w:p w14:paraId="7CCB8480" w14:textId="77777777" w:rsidR="00062E88" w:rsidRPr="00167C39" w:rsidRDefault="00611F69" w:rsidP="00E63171">
            <w:pPr>
              <w:pStyle w:val="TableText0"/>
              <w:jc w:val="right"/>
              <w:rPr>
                <w:color w:val="000000"/>
              </w:rPr>
            </w:pPr>
            <w:r>
              <w:rPr>
                <w:noProof/>
                <w:color w:val="000000"/>
                <w:highlight w:val="black"/>
              </w:rPr>
              <w:t>'''''''''''''''''''''</w:t>
            </w:r>
            <w:r w:rsidR="000A7A41">
              <w:rPr>
                <w:color w:val="000000"/>
                <w:vertAlign w:val="superscript"/>
              </w:rPr>
              <w:t>5</w:t>
            </w:r>
          </w:p>
        </w:tc>
        <w:tc>
          <w:tcPr>
            <w:tcW w:w="648" w:type="pct"/>
          </w:tcPr>
          <w:p w14:paraId="26A729D3" w14:textId="77777777" w:rsidR="00062E88" w:rsidRPr="00167C39" w:rsidRDefault="00611F69" w:rsidP="00E63171">
            <w:pPr>
              <w:pStyle w:val="TableText0"/>
              <w:jc w:val="right"/>
              <w:rPr>
                <w:color w:val="000000"/>
              </w:rPr>
            </w:pPr>
            <w:r>
              <w:rPr>
                <w:noProof/>
                <w:color w:val="000000"/>
                <w:highlight w:val="black"/>
              </w:rPr>
              <w:t>''''''''''''''''''''</w:t>
            </w:r>
            <w:r w:rsidR="000A7A41">
              <w:rPr>
                <w:color w:val="000000"/>
                <w:vertAlign w:val="superscript"/>
              </w:rPr>
              <w:t>5</w:t>
            </w:r>
          </w:p>
        </w:tc>
      </w:tr>
    </w:tbl>
    <w:p w14:paraId="6820BB8E" w14:textId="77777777" w:rsidR="00D70349" w:rsidRPr="00167C39" w:rsidRDefault="00AB4684" w:rsidP="00D70349">
      <w:pPr>
        <w:pStyle w:val="TableFigureFooter"/>
        <w:keepNext/>
        <w:jc w:val="left"/>
      </w:pPr>
      <w:r w:rsidRPr="00AB4684">
        <w:t>Abbreviations: PBS = Pharmaceutical Benefits Scheme; RPBS = Repatriation Pharmaceutical Benefits Scheme.</w:t>
      </w:r>
    </w:p>
    <w:p w14:paraId="4AC8204F" w14:textId="1591A4DF" w:rsidR="007107FF" w:rsidRDefault="00D70349" w:rsidP="00D70349">
      <w:pPr>
        <w:pStyle w:val="TableFigureFooter"/>
        <w:keepNext/>
      </w:pPr>
      <w:r w:rsidRPr="002A2E7B">
        <w:t>Source:</w:t>
      </w:r>
      <w:r w:rsidR="002A2E7B" w:rsidRPr="002A2E7B">
        <w:t xml:space="preserve"> Submission utili</w:t>
      </w:r>
      <w:r w:rsidR="00D86D61">
        <w:t>s</w:t>
      </w:r>
      <w:r w:rsidR="002A2E7B" w:rsidRPr="002A2E7B">
        <w:t>ation and cost model workbook - Sheet 3a. Scripts proposed, 4a.Scripts-affected; Table 21: Net cost to the government of Oripro.</w:t>
      </w:r>
    </w:p>
    <w:p w14:paraId="7A8C5BD9" w14:textId="77777777" w:rsidR="009A455D" w:rsidRPr="0063474E" w:rsidRDefault="009A455D" w:rsidP="00D70349">
      <w:pPr>
        <w:pStyle w:val="TableFigureFooter"/>
        <w:keepNext/>
        <w:rPr>
          <w:i/>
        </w:rPr>
      </w:pPr>
      <w:r w:rsidRPr="0063474E">
        <w:rPr>
          <w:i/>
        </w:rPr>
        <w:t>The redacted values correspond to the following ranges:</w:t>
      </w:r>
    </w:p>
    <w:p w14:paraId="75AC9C46" w14:textId="77777777" w:rsidR="00D70349" w:rsidRPr="0063474E" w:rsidRDefault="007107FF" w:rsidP="00D70349">
      <w:pPr>
        <w:pStyle w:val="TableFigureFooter"/>
        <w:keepNext/>
        <w:rPr>
          <w:i/>
        </w:rPr>
      </w:pPr>
      <w:r w:rsidRPr="0063474E">
        <w:rPr>
          <w:i/>
          <w:vertAlign w:val="superscript"/>
        </w:rPr>
        <w:t>1</w:t>
      </w:r>
      <w:r w:rsidRPr="0063474E">
        <w:rPr>
          <w:i/>
        </w:rPr>
        <w:t xml:space="preserve"> 30,000 to &lt; 40,000</w:t>
      </w:r>
    </w:p>
    <w:p w14:paraId="79F420CA" w14:textId="77777777" w:rsidR="0045715D" w:rsidRPr="0063474E" w:rsidRDefault="0045715D" w:rsidP="00D70349">
      <w:pPr>
        <w:pStyle w:val="TableFigureFooter"/>
        <w:keepNext/>
        <w:rPr>
          <w:i/>
        </w:rPr>
      </w:pPr>
      <w:r w:rsidRPr="0063474E">
        <w:rPr>
          <w:i/>
          <w:vertAlign w:val="superscript"/>
        </w:rPr>
        <w:t>2</w:t>
      </w:r>
      <w:r w:rsidRPr="0063474E">
        <w:rPr>
          <w:i/>
        </w:rPr>
        <w:t xml:space="preserve"> 40,000 to &lt; 50,000</w:t>
      </w:r>
    </w:p>
    <w:p w14:paraId="259ACCDC" w14:textId="77777777" w:rsidR="0045715D" w:rsidRPr="0063474E" w:rsidRDefault="0045715D" w:rsidP="00D70349">
      <w:pPr>
        <w:pStyle w:val="TableFigureFooter"/>
        <w:keepNext/>
        <w:rPr>
          <w:i/>
        </w:rPr>
      </w:pPr>
      <w:r w:rsidRPr="0063474E">
        <w:rPr>
          <w:i/>
          <w:vertAlign w:val="superscript"/>
        </w:rPr>
        <w:t>3</w:t>
      </w:r>
      <w:r w:rsidRPr="0063474E">
        <w:rPr>
          <w:i/>
        </w:rPr>
        <w:t xml:space="preserve"> 50,000 to &lt; 60,000</w:t>
      </w:r>
    </w:p>
    <w:p w14:paraId="3EB1E7EB" w14:textId="77777777" w:rsidR="0045715D" w:rsidRPr="0063474E" w:rsidRDefault="0045715D" w:rsidP="00D70349">
      <w:pPr>
        <w:pStyle w:val="TableFigureFooter"/>
        <w:keepNext/>
        <w:rPr>
          <w:i/>
        </w:rPr>
      </w:pPr>
      <w:r w:rsidRPr="0063474E">
        <w:rPr>
          <w:i/>
          <w:vertAlign w:val="superscript"/>
        </w:rPr>
        <w:t>4</w:t>
      </w:r>
      <w:r w:rsidRPr="0063474E">
        <w:rPr>
          <w:i/>
        </w:rPr>
        <w:t xml:space="preserve"> 60,000 to &lt; 70,000</w:t>
      </w:r>
    </w:p>
    <w:p w14:paraId="4A1AED99" w14:textId="77777777" w:rsidR="002353A8" w:rsidRPr="0063474E" w:rsidRDefault="002353A8" w:rsidP="00D70349">
      <w:pPr>
        <w:pStyle w:val="TableFigureFooter"/>
        <w:keepNext/>
        <w:rPr>
          <w:i/>
        </w:rPr>
      </w:pPr>
      <w:r w:rsidRPr="0063474E">
        <w:rPr>
          <w:i/>
          <w:vertAlign w:val="superscript"/>
        </w:rPr>
        <w:t>5</w:t>
      </w:r>
      <w:r w:rsidRPr="0063474E">
        <w:rPr>
          <w:i/>
        </w:rPr>
        <w:t xml:space="preserve"> </w:t>
      </w:r>
      <w:r w:rsidR="000A7A41" w:rsidRPr="0063474E">
        <w:rPr>
          <w:i/>
        </w:rPr>
        <w:t>$0 to &lt; $10 million</w:t>
      </w:r>
    </w:p>
    <w:p w14:paraId="0619EE83" w14:textId="77777777" w:rsidR="00AA2728" w:rsidRPr="00AA2728" w:rsidRDefault="00AA2728" w:rsidP="00CA2750">
      <w:pPr>
        <w:pStyle w:val="3Bodytext"/>
        <w:jc w:val="both"/>
      </w:pPr>
      <w:r w:rsidRPr="00FE20D7">
        <w:t xml:space="preserve">A Deed of Agreement between the </w:t>
      </w:r>
      <w:r>
        <w:t>s</w:t>
      </w:r>
      <w:r w:rsidRPr="00FE20D7">
        <w:t>ponsor and the Commonwealth was proposed and accepted during the negotiations for listing O</w:t>
      </w:r>
      <w:r>
        <w:t>ripro</w:t>
      </w:r>
      <w:r w:rsidRPr="00FE20D7">
        <w:t xml:space="preserve">. The </w:t>
      </w:r>
      <w:r>
        <w:t xml:space="preserve">submission </w:t>
      </w:r>
      <w:r w:rsidRPr="00FE20D7">
        <w:t>d</w:t>
      </w:r>
      <w:r>
        <w:t>id</w:t>
      </w:r>
      <w:r w:rsidRPr="00FE20D7">
        <w:t xml:space="preserve"> not request any changes to the subsidisation caps for O</w:t>
      </w:r>
      <w:r>
        <w:t xml:space="preserve">ripro. </w:t>
      </w:r>
    </w:p>
    <w:p w14:paraId="2BDFC898" w14:textId="77777777" w:rsidR="00AA2728" w:rsidRPr="003415EB" w:rsidRDefault="00AA2728" w:rsidP="00CA2750">
      <w:pPr>
        <w:pStyle w:val="3Bodytext"/>
        <w:jc w:val="both"/>
        <w:rPr>
          <w:iCs/>
        </w:rPr>
      </w:pPr>
      <w:r w:rsidRPr="003415EB">
        <w:rPr>
          <w:iCs/>
        </w:rPr>
        <w:t xml:space="preserve">As a Category 4 submission, the financial estimates have not been independently evaluated. </w:t>
      </w:r>
    </w:p>
    <w:p w14:paraId="431F411E" w14:textId="77777777" w:rsidR="006041AF" w:rsidRPr="006041AF" w:rsidRDefault="006041AF" w:rsidP="006041AF">
      <w:pPr>
        <w:spacing w:after="120"/>
        <w:ind w:firstLine="709"/>
        <w:rPr>
          <w:rFonts w:asciiTheme="minorHAnsi" w:hAnsiTheme="minorHAnsi"/>
          <w:i/>
          <w:lang w:eastAsia="en-US"/>
        </w:rPr>
      </w:pPr>
      <w:r w:rsidRPr="006041AF">
        <w:rPr>
          <w:rFonts w:asciiTheme="minorHAnsi" w:hAnsiTheme="minorHAnsi"/>
          <w:i/>
          <w:lang w:eastAsia="en-US"/>
        </w:rPr>
        <w:t>For more deta</w:t>
      </w:r>
      <w:r w:rsidR="007A493E">
        <w:rPr>
          <w:rFonts w:asciiTheme="minorHAnsi" w:hAnsiTheme="minorHAnsi"/>
          <w:i/>
          <w:lang w:eastAsia="en-US"/>
        </w:rPr>
        <w:t>il on PBAC’s view, see section 5</w:t>
      </w:r>
      <w:r w:rsidRPr="006041AF">
        <w:rPr>
          <w:rFonts w:asciiTheme="minorHAnsi" w:hAnsiTheme="minorHAnsi"/>
          <w:i/>
          <w:lang w:eastAsia="en-US"/>
        </w:rPr>
        <w:t xml:space="preserve"> PBAC outcome.</w:t>
      </w:r>
    </w:p>
    <w:p w14:paraId="2111E3D5" w14:textId="77777777" w:rsidR="00AF3DE7" w:rsidRPr="00AF3DE7" w:rsidRDefault="00AF3DE7" w:rsidP="00AF3DE7">
      <w:pPr>
        <w:pStyle w:val="Heading1"/>
        <w:keepLines/>
        <w:numPr>
          <w:ilvl w:val="0"/>
          <w:numId w:val="2"/>
        </w:numPr>
        <w:spacing w:before="240"/>
        <w:ind w:left="709" w:hanging="709"/>
        <w:rPr>
          <w:sz w:val="32"/>
          <w:szCs w:val="32"/>
        </w:rPr>
      </w:pPr>
      <w:r>
        <w:rPr>
          <w:sz w:val="32"/>
          <w:szCs w:val="32"/>
        </w:rPr>
        <w:t>P</w:t>
      </w:r>
      <w:r w:rsidRPr="00AF3DE7">
        <w:rPr>
          <w:sz w:val="32"/>
          <w:szCs w:val="32"/>
        </w:rPr>
        <w:t>BAC Outcome</w:t>
      </w:r>
    </w:p>
    <w:p w14:paraId="465E243E" w14:textId="77777777" w:rsidR="00AF3DE7" w:rsidRDefault="00A07D7E" w:rsidP="00AF3DE7">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recommended increasing the maximum quantity from 30 pessaries (2 packs) to 45 pessaries (3 packs)</w:t>
      </w:r>
      <w:r w:rsidR="007A493E">
        <w:rPr>
          <w:rFonts w:asciiTheme="minorHAnsi" w:hAnsiTheme="minorHAnsi" w:cs="Arial"/>
          <w:snapToGrid w:val="0"/>
          <w:lang w:val="en-GB"/>
        </w:rPr>
        <w:t xml:space="preserve"> and </w:t>
      </w:r>
      <w:r>
        <w:rPr>
          <w:rFonts w:asciiTheme="minorHAnsi" w:hAnsiTheme="minorHAnsi" w:cs="Arial"/>
          <w:snapToGrid w:val="0"/>
          <w:lang w:val="en-GB"/>
        </w:rPr>
        <w:t xml:space="preserve">reducing the number of repeats from 5 to 3 of the PBS listed progesterone 200 mg pessary (Oripro) for </w:t>
      </w:r>
      <w:r w:rsidR="00ED7C31">
        <w:rPr>
          <w:rFonts w:asciiTheme="minorHAnsi" w:hAnsiTheme="minorHAnsi" w:cs="Arial"/>
          <w:snapToGrid w:val="0"/>
          <w:lang w:val="en-GB"/>
        </w:rPr>
        <w:t xml:space="preserve">the prevention of preterm birth, </w:t>
      </w:r>
      <w:r w:rsidR="00FA5394">
        <w:rPr>
          <w:rFonts w:asciiTheme="minorHAnsi" w:hAnsiTheme="minorHAnsi" w:cs="Arial"/>
          <w:snapToGrid w:val="0"/>
          <w:lang w:val="en-GB"/>
        </w:rPr>
        <w:t>to align</w:t>
      </w:r>
      <w:r w:rsidR="00ED7C31">
        <w:rPr>
          <w:rFonts w:asciiTheme="minorHAnsi" w:hAnsiTheme="minorHAnsi" w:cs="Arial"/>
          <w:snapToGrid w:val="0"/>
          <w:lang w:val="en-GB"/>
        </w:rPr>
        <w:t xml:space="preserve"> the number of patient co-payments</w:t>
      </w:r>
      <w:r w:rsidR="00CD2E37">
        <w:rPr>
          <w:rFonts w:asciiTheme="minorHAnsi" w:hAnsiTheme="minorHAnsi" w:cs="Arial"/>
          <w:snapToGrid w:val="0"/>
          <w:lang w:val="en-GB"/>
        </w:rPr>
        <w:t xml:space="preserve"> with another brand of progesterone (Utrogestan).</w:t>
      </w:r>
    </w:p>
    <w:p w14:paraId="24A12B67" w14:textId="77777777" w:rsidR="00CD2E37" w:rsidRPr="00FB4F27" w:rsidRDefault="00F324F3" w:rsidP="00225BC7">
      <w:pPr>
        <w:widowControl w:val="0"/>
        <w:numPr>
          <w:ilvl w:val="1"/>
          <w:numId w:val="2"/>
        </w:numPr>
        <w:spacing w:after="120"/>
        <w:rPr>
          <w:rFonts w:asciiTheme="minorHAnsi" w:hAnsiTheme="minorHAnsi" w:cs="Arial"/>
          <w:snapToGrid w:val="0"/>
          <w:lang w:val="en-GB"/>
        </w:rPr>
      </w:pPr>
      <w:r w:rsidRPr="00FB4F27">
        <w:rPr>
          <w:rFonts w:asciiTheme="minorHAnsi" w:hAnsiTheme="minorHAnsi" w:cs="Arial"/>
          <w:snapToGrid w:val="0"/>
          <w:lang w:val="en-GB"/>
        </w:rPr>
        <w:t xml:space="preserve">The PBAC noted that the </w:t>
      </w:r>
      <w:r w:rsidR="00AA440E">
        <w:rPr>
          <w:rFonts w:asciiTheme="minorHAnsi" w:hAnsiTheme="minorHAnsi" w:cs="Arial"/>
          <w:snapToGrid w:val="0"/>
          <w:lang w:val="en-GB"/>
        </w:rPr>
        <w:t>ex-manufacturer price</w:t>
      </w:r>
      <w:r w:rsidR="00AA440E" w:rsidRPr="00FB4F27">
        <w:rPr>
          <w:rFonts w:asciiTheme="minorHAnsi" w:hAnsiTheme="minorHAnsi" w:cs="Arial"/>
          <w:snapToGrid w:val="0"/>
          <w:lang w:val="en-GB"/>
        </w:rPr>
        <w:t xml:space="preserve"> </w:t>
      </w:r>
      <w:r w:rsidRPr="00FB4F27">
        <w:rPr>
          <w:rFonts w:asciiTheme="minorHAnsi" w:hAnsiTheme="minorHAnsi" w:cs="Arial"/>
          <w:snapToGrid w:val="0"/>
          <w:lang w:val="en-GB"/>
        </w:rPr>
        <w:t xml:space="preserve">of Oripro </w:t>
      </w:r>
      <w:r w:rsidR="00F927E7" w:rsidRPr="00FB4F27">
        <w:rPr>
          <w:rFonts w:asciiTheme="minorHAnsi" w:hAnsiTheme="minorHAnsi" w:cs="Arial"/>
          <w:snapToGrid w:val="0"/>
          <w:lang w:val="en-GB"/>
        </w:rPr>
        <w:t xml:space="preserve">remained unchanged. </w:t>
      </w:r>
      <w:r w:rsidR="007A493E" w:rsidRPr="00FB4F27">
        <w:rPr>
          <w:rFonts w:asciiTheme="minorHAnsi" w:hAnsiTheme="minorHAnsi" w:cs="Arial"/>
          <w:snapToGrid w:val="0"/>
          <w:lang w:val="en-GB"/>
        </w:rPr>
        <w:t xml:space="preserve"> </w:t>
      </w:r>
    </w:p>
    <w:p w14:paraId="560ACFD4" w14:textId="77777777" w:rsidR="00F324F3" w:rsidRDefault="00CD2E37" w:rsidP="00AF3DE7">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w:t>
      </w:r>
      <w:r w:rsidR="001C4C30">
        <w:rPr>
          <w:rFonts w:asciiTheme="minorHAnsi" w:hAnsiTheme="minorHAnsi" w:cs="Arial"/>
          <w:snapToGrid w:val="0"/>
          <w:lang w:val="en-GB"/>
        </w:rPr>
        <w:t xml:space="preserve">noted </w:t>
      </w:r>
      <w:r>
        <w:rPr>
          <w:rFonts w:asciiTheme="minorHAnsi" w:hAnsiTheme="minorHAnsi" w:cs="Arial"/>
          <w:snapToGrid w:val="0"/>
          <w:lang w:val="en-GB"/>
        </w:rPr>
        <w:t>an estimated net cost to the PBS/RPBS of $</w:t>
      </w:r>
      <w:r w:rsidR="00B55322">
        <w:rPr>
          <w:rFonts w:asciiTheme="minorHAnsi" w:hAnsiTheme="minorHAnsi" w:cs="Arial"/>
          <w:snapToGrid w:val="0"/>
          <w:lang w:val="en-GB"/>
        </w:rPr>
        <w:t>0 to &lt; $10</w:t>
      </w:r>
      <w:r>
        <w:rPr>
          <w:rFonts w:asciiTheme="minorHAnsi" w:hAnsiTheme="minorHAnsi" w:cs="Arial"/>
          <w:snapToGrid w:val="0"/>
          <w:lang w:val="en-GB"/>
        </w:rPr>
        <w:t xml:space="preserve"> million over six years </w:t>
      </w:r>
      <w:r w:rsidR="00FB4F27">
        <w:rPr>
          <w:rFonts w:asciiTheme="minorHAnsi" w:hAnsiTheme="minorHAnsi" w:cs="Arial"/>
          <w:snapToGrid w:val="0"/>
          <w:lang w:val="en-GB"/>
        </w:rPr>
        <w:t>due to the loss of patient co-payments</w:t>
      </w:r>
      <w:r w:rsidR="007A493E">
        <w:rPr>
          <w:rFonts w:asciiTheme="minorHAnsi" w:hAnsiTheme="minorHAnsi" w:cs="Arial"/>
          <w:snapToGrid w:val="0"/>
          <w:lang w:val="en-GB"/>
        </w:rPr>
        <w:t xml:space="preserve">. </w:t>
      </w:r>
      <w:r>
        <w:rPr>
          <w:rFonts w:asciiTheme="minorHAnsi" w:hAnsiTheme="minorHAnsi" w:cs="Arial"/>
          <w:snapToGrid w:val="0"/>
          <w:lang w:val="en-GB"/>
        </w:rPr>
        <w:t xml:space="preserve">The PBAC noted </w:t>
      </w:r>
      <w:r w:rsidR="00FB4F27">
        <w:rPr>
          <w:rFonts w:asciiTheme="minorHAnsi" w:hAnsiTheme="minorHAnsi" w:cs="Arial"/>
          <w:snapToGrid w:val="0"/>
          <w:lang w:val="en-GB"/>
        </w:rPr>
        <w:t xml:space="preserve">that </w:t>
      </w:r>
      <w:r>
        <w:rPr>
          <w:rFonts w:asciiTheme="minorHAnsi" w:hAnsiTheme="minorHAnsi" w:cs="Arial"/>
          <w:snapToGrid w:val="0"/>
          <w:lang w:val="en-GB"/>
        </w:rPr>
        <w:t>the loss in average co-payments per patient ($38.43) offsets the save from the reduction in</w:t>
      </w:r>
      <w:r w:rsidR="007A493E">
        <w:rPr>
          <w:rFonts w:asciiTheme="minorHAnsi" w:hAnsiTheme="minorHAnsi" w:cs="Arial"/>
          <w:snapToGrid w:val="0"/>
          <w:lang w:val="en-GB"/>
        </w:rPr>
        <w:t xml:space="preserve"> DPMQ per patient (-$13.27). This</w:t>
      </w:r>
      <w:r>
        <w:rPr>
          <w:rFonts w:asciiTheme="minorHAnsi" w:hAnsiTheme="minorHAnsi" w:cs="Arial"/>
          <w:snapToGrid w:val="0"/>
          <w:lang w:val="en-GB"/>
        </w:rPr>
        <w:t xml:space="preserve"> results in a net cost per patient of $25.16 and hence the net cost to the PBS</w:t>
      </w:r>
      <w:r w:rsidR="00E14A65">
        <w:rPr>
          <w:rFonts w:asciiTheme="minorHAnsi" w:hAnsiTheme="minorHAnsi" w:cs="Arial"/>
          <w:snapToGrid w:val="0"/>
          <w:lang w:val="en-GB"/>
        </w:rPr>
        <w:t>/RPBS</w:t>
      </w:r>
      <w:r>
        <w:rPr>
          <w:rFonts w:asciiTheme="minorHAnsi" w:hAnsiTheme="minorHAnsi" w:cs="Arial"/>
          <w:snapToGrid w:val="0"/>
          <w:lang w:val="en-GB"/>
        </w:rPr>
        <w:t xml:space="preserve"> of $</w:t>
      </w:r>
      <w:r w:rsidR="00B55322">
        <w:rPr>
          <w:rFonts w:asciiTheme="minorHAnsi" w:hAnsiTheme="minorHAnsi" w:cs="Arial"/>
          <w:snapToGrid w:val="0"/>
          <w:lang w:val="en-GB"/>
        </w:rPr>
        <w:t>0 to &lt; $10</w:t>
      </w:r>
      <w:r>
        <w:rPr>
          <w:rFonts w:asciiTheme="minorHAnsi" w:hAnsiTheme="minorHAnsi" w:cs="Arial"/>
          <w:snapToGrid w:val="0"/>
          <w:lang w:val="en-GB"/>
        </w:rPr>
        <w:t xml:space="preserve"> million over six years. </w:t>
      </w:r>
    </w:p>
    <w:p w14:paraId="77D3E7CE" w14:textId="77777777" w:rsidR="000012B5" w:rsidRPr="009639EE" w:rsidRDefault="000012B5" w:rsidP="000012B5">
      <w:pPr>
        <w:widowControl w:val="0"/>
        <w:numPr>
          <w:ilvl w:val="1"/>
          <w:numId w:val="2"/>
        </w:numPr>
        <w:spacing w:after="120" w:line="259" w:lineRule="auto"/>
        <w:rPr>
          <w:rFonts w:eastAsia="Calibri" w:cs="Arial"/>
          <w:bCs/>
          <w:snapToGrid w:val="0"/>
          <w:lang w:eastAsia="en-US"/>
        </w:rPr>
      </w:pPr>
      <w:r w:rsidRPr="009639EE">
        <w:t xml:space="preserve">The PBAC noted that its recommendation was </w:t>
      </w:r>
      <w:r w:rsidR="00312780">
        <w:t xml:space="preserve">to align the number of co-payments with Utrogestan </w:t>
      </w:r>
      <w:r w:rsidRPr="009639EE">
        <w:t>an</w:t>
      </w:r>
      <w:r>
        <w:t>d advised that, because Oripro</w:t>
      </w:r>
      <w:r w:rsidRPr="009639EE">
        <w:t xml:space="preserve"> is not expected to provide a substantial and clinically relevant improvement in efficacy, or r</w:t>
      </w:r>
      <w:r>
        <w:t>eduction of toxicity over Utrogestan</w:t>
      </w:r>
      <w:r w:rsidRPr="009639EE">
        <w:t xml:space="preserve">, or not expected to address a high and urgent unmet clinical need given the presence of an alternative therapy, the criteria prescribed by the </w:t>
      </w:r>
      <w:r w:rsidRPr="009639EE">
        <w:rPr>
          <w:i/>
        </w:rPr>
        <w:t>National Health (Pharmaceuticals and Vaccines – Cost Recovery) Regulations 2009</w:t>
      </w:r>
      <w:r w:rsidRPr="009639EE">
        <w:t xml:space="preserve"> for Pricing Pathway A were not met.</w:t>
      </w:r>
    </w:p>
    <w:p w14:paraId="1770CA57" w14:textId="77777777" w:rsidR="00480FFF" w:rsidRDefault="00480FFF" w:rsidP="00480FFF">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noted that the submission is not eligible for an Independent Review because it receive</w:t>
      </w:r>
      <w:r w:rsidR="001C4C30">
        <w:rPr>
          <w:rFonts w:asciiTheme="minorHAnsi" w:hAnsiTheme="minorHAnsi" w:cs="Arial"/>
          <w:snapToGrid w:val="0"/>
          <w:lang w:val="en-GB"/>
        </w:rPr>
        <w:t>d</w:t>
      </w:r>
      <w:r>
        <w:rPr>
          <w:rFonts w:asciiTheme="minorHAnsi" w:hAnsiTheme="minorHAnsi" w:cs="Arial"/>
          <w:snapToGrid w:val="0"/>
          <w:lang w:val="en-GB"/>
        </w:rPr>
        <w:t xml:space="preserve"> a positive recommendation.</w:t>
      </w:r>
    </w:p>
    <w:p w14:paraId="5D0F32DC" w14:textId="77777777" w:rsidR="00480FFF" w:rsidRPr="003978C7" w:rsidRDefault="00480FFF" w:rsidP="00480FFF">
      <w:pPr>
        <w:widowControl w:val="0"/>
        <w:spacing w:after="120"/>
        <w:rPr>
          <w:rFonts w:asciiTheme="minorHAnsi" w:hAnsiTheme="minorHAnsi" w:cs="Arial"/>
          <w:b/>
          <w:snapToGrid w:val="0"/>
          <w:lang w:val="en-GB"/>
        </w:rPr>
      </w:pPr>
      <w:r w:rsidRPr="003978C7">
        <w:rPr>
          <w:rFonts w:asciiTheme="minorHAnsi" w:hAnsiTheme="minorHAnsi" w:cs="Arial"/>
          <w:b/>
          <w:snapToGrid w:val="0"/>
          <w:lang w:val="en-GB"/>
        </w:rPr>
        <w:t>Outcome:</w:t>
      </w:r>
    </w:p>
    <w:p w14:paraId="2B1F1829" w14:textId="77777777" w:rsidR="00480FFF" w:rsidRDefault="00480FFF" w:rsidP="00480FFF">
      <w:pPr>
        <w:widowControl w:val="0"/>
        <w:spacing w:after="120"/>
        <w:rPr>
          <w:rFonts w:asciiTheme="minorHAnsi" w:hAnsiTheme="minorHAnsi" w:cs="Arial"/>
          <w:snapToGrid w:val="0"/>
          <w:lang w:val="en-GB"/>
        </w:rPr>
      </w:pPr>
      <w:r>
        <w:rPr>
          <w:rFonts w:asciiTheme="minorHAnsi" w:hAnsiTheme="minorHAnsi" w:cs="Arial"/>
          <w:snapToGrid w:val="0"/>
          <w:lang w:val="en-GB"/>
        </w:rPr>
        <w:t>Recommended</w:t>
      </w:r>
    </w:p>
    <w:p w14:paraId="62EEA87F" w14:textId="77777777" w:rsidR="00942AA3" w:rsidRDefault="00942AA3" w:rsidP="00942AA3">
      <w:pPr>
        <w:pStyle w:val="Heading1"/>
        <w:keepLines/>
        <w:numPr>
          <w:ilvl w:val="0"/>
          <w:numId w:val="2"/>
        </w:numPr>
        <w:spacing w:before="240"/>
        <w:ind w:left="709" w:hanging="709"/>
        <w:rPr>
          <w:sz w:val="32"/>
          <w:szCs w:val="32"/>
        </w:rPr>
      </w:pPr>
      <w:r>
        <w:rPr>
          <w:sz w:val="32"/>
          <w:szCs w:val="32"/>
        </w:rPr>
        <w:t xml:space="preserve">Recommended listing </w:t>
      </w:r>
    </w:p>
    <w:p w14:paraId="78C2F48A" w14:textId="77777777" w:rsidR="00942AA3" w:rsidRDefault="00942AA3" w:rsidP="00942AA3">
      <w:pPr>
        <w:widowControl w:val="0"/>
        <w:numPr>
          <w:ilvl w:val="1"/>
          <w:numId w:val="2"/>
        </w:numPr>
        <w:spacing w:after="120"/>
      </w:pPr>
      <w:r w:rsidRPr="00942AA3">
        <w:rPr>
          <w:rFonts w:asciiTheme="minorHAnsi" w:hAnsiTheme="minorHAnsi" w:cs="Arial"/>
          <w:snapToGrid w:val="0"/>
          <w:lang w:val="en-GB"/>
        </w:rPr>
        <w:t xml:space="preserve">Amend maximum quantity and number of repeats as follows: </w:t>
      </w:r>
    </w:p>
    <w:p w14:paraId="6A2C3B41" w14:textId="77777777" w:rsidR="00942AA3" w:rsidRPr="00942AA3" w:rsidRDefault="00942AA3" w:rsidP="00942A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0"/>
        <w:gridCol w:w="858"/>
        <w:gridCol w:w="716"/>
        <w:gridCol w:w="716"/>
        <w:gridCol w:w="716"/>
        <w:gridCol w:w="2290"/>
      </w:tblGrid>
      <w:tr w:rsidR="00942AA3" w:rsidRPr="009E6625" w14:paraId="174F4FD3" w14:textId="77777777" w:rsidTr="00666F71">
        <w:trPr>
          <w:cantSplit/>
          <w:trHeight w:val="471"/>
        </w:trPr>
        <w:tc>
          <w:tcPr>
            <w:tcW w:w="2063" w:type="pct"/>
          </w:tcPr>
          <w:p w14:paraId="3DEA26D2" w14:textId="77777777" w:rsidR="00942AA3" w:rsidRPr="007C15DB" w:rsidRDefault="00942AA3" w:rsidP="00666F71">
            <w:pPr>
              <w:pStyle w:val="BodyText"/>
              <w:ind w:left="57"/>
              <w:rPr>
                <w:rFonts w:ascii="Arial Narrow" w:hAnsi="Arial Narrow"/>
                <w:b/>
                <w:sz w:val="20"/>
                <w:szCs w:val="20"/>
              </w:rPr>
            </w:pPr>
            <w:r w:rsidRPr="007C15DB">
              <w:rPr>
                <w:rFonts w:ascii="Arial Narrow" w:hAnsi="Arial Narrow"/>
                <w:b/>
                <w:sz w:val="20"/>
                <w:szCs w:val="20"/>
              </w:rPr>
              <w:t>MEDICINAL PRODUCT,</w:t>
            </w:r>
          </w:p>
          <w:p w14:paraId="5AE029F1" w14:textId="77777777" w:rsidR="00942AA3" w:rsidRPr="007C15DB" w:rsidRDefault="00942AA3" w:rsidP="00666F71">
            <w:pPr>
              <w:pStyle w:val="BodyText"/>
              <w:ind w:left="57"/>
              <w:rPr>
                <w:color w:val="000000" w:themeColor="text1"/>
                <w:sz w:val="20"/>
                <w:szCs w:val="20"/>
              </w:rPr>
            </w:pPr>
            <w:r w:rsidRPr="007C15DB">
              <w:rPr>
                <w:rFonts w:ascii="Arial Narrow" w:hAnsi="Arial Narrow"/>
                <w:b/>
                <w:sz w:val="20"/>
                <w:szCs w:val="20"/>
              </w:rPr>
              <w:t>medicinal product pack</w:t>
            </w:r>
          </w:p>
        </w:tc>
        <w:tc>
          <w:tcPr>
            <w:tcW w:w="476" w:type="pct"/>
          </w:tcPr>
          <w:p w14:paraId="64B5F2B7" w14:textId="77777777" w:rsidR="00942AA3" w:rsidRPr="007C15DB" w:rsidRDefault="00942AA3" w:rsidP="00666F71">
            <w:pPr>
              <w:keepNext/>
              <w:ind w:left="-108"/>
              <w:jc w:val="center"/>
              <w:rPr>
                <w:rFonts w:ascii="Arial Narrow" w:hAnsi="Arial Narrow" w:cs="Arial"/>
                <w:b/>
                <w:color w:val="000000" w:themeColor="text1"/>
                <w:sz w:val="20"/>
                <w:szCs w:val="20"/>
              </w:rPr>
            </w:pPr>
            <w:r w:rsidRPr="007C15DB">
              <w:rPr>
                <w:rFonts w:ascii="Arial Narrow" w:hAnsi="Arial Narrow" w:cs="Arial"/>
                <w:b/>
                <w:color w:val="000000" w:themeColor="text1"/>
                <w:sz w:val="20"/>
                <w:szCs w:val="20"/>
              </w:rPr>
              <w:t>PBS item code</w:t>
            </w:r>
          </w:p>
        </w:tc>
        <w:tc>
          <w:tcPr>
            <w:tcW w:w="397" w:type="pct"/>
          </w:tcPr>
          <w:p w14:paraId="332D5376" w14:textId="77777777" w:rsidR="00942AA3" w:rsidRPr="007C15DB" w:rsidRDefault="00942AA3" w:rsidP="00666F71">
            <w:pPr>
              <w:keepNext/>
              <w:ind w:left="-108"/>
              <w:jc w:val="center"/>
              <w:rPr>
                <w:rFonts w:ascii="Arial Narrow" w:hAnsi="Arial Narrow" w:cs="Arial"/>
                <w:b/>
                <w:color w:val="000000" w:themeColor="text1"/>
                <w:sz w:val="20"/>
                <w:szCs w:val="20"/>
              </w:rPr>
            </w:pPr>
            <w:r w:rsidRPr="007C15DB">
              <w:rPr>
                <w:rFonts w:ascii="Arial Narrow" w:hAnsi="Arial Narrow" w:cs="Arial"/>
                <w:b/>
                <w:color w:val="000000" w:themeColor="text1"/>
                <w:sz w:val="20"/>
                <w:szCs w:val="20"/>
              </w:rPr>
              <w:t>Max. qty packs</w:t>
            </w:r>
          </w:p>
        </w:tc>
        <w:tc>
          <w:tcPr>
            <w:tcW w:w="397" w:type="pct"/>
          </w:tcPr>
          <w:p w14:paraId="6CE7AECE" w14:textId="77777777" w:rsidR="00942AA3" w:rsidRPr="007C15DB" w:rsidRDefault="00942AA3" w:rsidP="00666F71">
            <w:pPr>
              <w:keepNext/>
              <w:ind w:left="-108"/>
              <w:jc w:val="center"/>
              <w:rPr>
                <w:rFonts w:ascii="Arial Narrow" w:hAnsi="Arial Narrow" w:cs="Arial"/>
                <w:b/>
                <w:color w:val="000000" w:themeColor="text1"/>
                <w:sz w:val="20"/>
                <w:szCs w:val="20"/>
              </w:rPr>
            </w:pPr>
            <w:r w:rsidRPr="007C15DB">
              <w:rPr>
                <w:rFonts w:ascii="Arial Narrow" w:hAnsi="Arial Narrow" w:cs="Arial"/>
                <w:b/>
                <w:color w:val="000000" w:themeColor="text1"/>
                <w:sz w:val="20"/>
                <w:szCs w:val="20"/>
              </w:rPr>
              <w:t>Max. qty units</w:t>
            </w:r>
          </w:p>
        </w:tc>
        <w:tc>
          <w:tcPr>
            <w:tcW w:w="397" w:type="pct"/>
          </w:tcPr>
          <w:p w14:paraId="0F2A05FB" w14:textId="77777777" w:rsidR="00942AA3" w:rsidRPr="007C15DB" w:rsidRDefault="00942AA3" w:rsidP="00666F71">
            <w:pPr>
              <w:keepNext/>
              <w:ind w:left="-108"/>
              <w:jc w:val="center"/>
              <w:rPr>
                <w:rFonts w:ascii="Arial Narrow" w:hAnsi="Arial Narrow" w:cs="Arial"/>
                <w:b/>
                <w:color w:val="000000" w:themeColor="text1"/>
                <w:sz w:val="20"/>
                <w:szCs w:val="20"/>
              </w:rPr>
            </w:pPr>
            <w:r w:rsidRPr="007C15DB">
              <w:rPr>
                <w:rFonts w:ascii="Arial Narrow" w:hAnsi="Arial Narrow" w:cs="Arial"/>
                <w:b/>
                <w:color w:val="000000" w:themeColor="text1"/>
                <w:sz w:val="20"/>
                <w:szCs w:val="20"/>
              </w:rPr>
              <w:t>№.of</w:t>
            </w:r>
          </w:p>
          <w:p w14:paraId="5A342C73" w14:textId="77777777" w:rsidR="00942AA3" w:rsidRPr="007C15DB" w:rsidRDefault="00942AA3" w:rsidP="00666F71">
            <w:pPr>
              <w:keepNext/>
              <w:ind w:left="-108"/>
              <w:jc w:val="center"/>
              <w:rPr>
                <w:rFonts w:ascii="Arial Narrow" w:hAnsi="Arial Narrow" w:cs="Arial"/>
                <w:b/>
                <w:color w:val="000000" w:themeColor="text1"/>
                <w:sz w:val="20"/>
                <w:szCs w:val="20"/>
              </w:rPr>
            </w:pPr>
            <w:r w:rsidRPr="007C15DB">
              <w:rPr>
                <w:rFonts w:ascii="Arial Narrow" w:hAnsi="Arial Narrow" w:cs="Arial"/>
                <w:b/>
                <w:color w:val="000000" w:themeColor="text1"/>
                <w:sz w:val="20"/>
                <w:szCs w:val="20"/>
              </w:rPr>
              <w:t>Rpts</w:t>
            </w:r>
          </w:p>
        </w:tc>
        <w:tc>
          <w:tcPr>
            <w:tcW w:w="1270" w:type="pct"/>
          </w:tcPr>
          <w:p w14:paraId="1E9A0F72" w14:textId="77777777" w:rsidR="00942AA3" w:rsidRPr="007C15DB" w:rsidRDefault="00942AA3" w:rsidP="00666F71">
            <w:pPr>
              <w:keepNext/>
              <w:rPr>
                <w:rFonts w:ascii="Arial Narrow" w:hAnsi="Arial Narrow" w:cs="Arial"/>
                <w:b/>
                <w:color w:val="000000" w:themeColor="text1"/>
                <w:sz w:val="20"/>
                <w:szCs w:val="20"/>
              </w:rPr>
            </w:pPr>
            <w:r w:rsidRPr="007C15DB">
              <w:rPr>
                <w:rFonts w:ascii="Arial Narrow" w:hAnsi="Arial Narrow" w:cs="Arial"/>
                <w:b/>
                <w:sz w:val="20"/>
                <w:szCs w:val="20"/>
              </w:rPr>
              <w:t>Available brands</w:t>
            </w:r>
          </w:p>
        </w:tc>
      </w:tr>
      <w:tr w:rsidR="00942AA3" w:rsidRPr="009E6625" w14:paraId="5D04BA53" w14:textId="77777777" w:rsidTr="00666F71">
        <w:trPr>
          <w:cantSplit/>
          <w:trHeight w:val="346"/>
        </w:trPr>
        <w:tc>
          <w:tcPr>
            <w:tcW w:w="2063" w:type="pct"/>
          </w:tcPr>
          <w:p w14:paraId="58B60919" w14:textId="77777777" w:rsidR="00942AA3" w:rsidRPr="007C15DB" w:rsidRDefault="00942AA3" w:rsidP="00666F71">
            <w:pPr>
              <w:keepNext/>
              <w:ind w:left="57"/>
              <w:rPr>
                <w:rFonts w:ascii="Arial Narrow" w:hAnsi="Arial Narrow" w:cstheme="minorHAnsi"/>
                <w:sz w:val="20"/>
                <w:szCs w:val="20"/>
              </w:rPr>
            </w:pPr>
            <w:r w:rsidRPr="007C15DB">
              <w:rPr>
                <w:rFonts w:ascii="Arial Narrow" w:hAnsi="Arial Narrow" w:cstheme="minorHAnsi"/>
                <w:sz w:val="20"/>
                <w:szCs w:val="20"/>
              </w:rPr>
              <w:t xml:space="preserve">PROGESTERONE </w:t>
            </w:r>
          </w:p>
          <w:p w14:paraId="5A87EDCE" w14:textId="77777777" w:rsidR="00942AA3" w:rsidRPr="007C15DB" w:rsidRDefault="00942AA3" w:rsidP="00666F71">
            <w:pPr>
              <w:keepNext/>
              <w:ind w:left="57"/>
              <w:rPr>
                <w:rFonts w:ascii="Arial Narrow" w:hAnsi="Arial Narrow" w:cs="Arial"/>
                <w:sz w:val="20"/>
                <w:szCs w:val="20"/>
              </w:rPr>
            </w:pPr>
            <w:r w:rsidRPr="007C15DB">
              <w:rPr>
                <w:rFonts w:ascii="Arial Narrow" w:hAnsi="Arial Narrow" w:cstheme="minorHAnsi"/>
                <w:sz w:val="20"/>
                <w:szCs w:val="20"/>
              </w:rPr>
              <w:t xml:space="preserve">progesterone 200 mg pessary, 15 </w:t>
            </w:r>
          </w:p>
          <w:p w14:paraId="2BBADCFE" w14:textId="77777777" w:rsidR="00942AA3" w:rsidRPr="007C15DB" w:rsidRDefault="00942AA3" w:rsidP="00666F71">
            <w:pPr>
              <w:keepNext/>
              <w:ind w:left="30"/>
              <w:rPr>
                <w:rFonts w:ascii="Arial Narrow" w:hAnsi="Arial Narrow" w:cs="Arial"/>
                <w:color w:val="000000" w:themeColor="text1"/>
                <w:sz w:val="20"/>
                <w:szCs w:val="20"/>
              </w:rPr>
            </w:pPr>
          </w:p>
        </w:tc>
        <w:tc>
          <w:tcPr>
            <w:tcW w:w="476" w:type="pct"/>
          </w:tcPr>
          <w:p w14:paraId="3ABCB7FE" w14:textId="77777777" w:rsidR="00942AA3" w:rsidRPr="007C15DB" w:rsidRDefault="00942AA3" w:rsidP="00666F71">
            <w:pPr>
              <w:keepNext/>
              <w:ind w:left="-108"/>
              <w:jc w:val="center"/>
              <w:rPr>
                <w:rFonts w:ascii="Arial Narrow" w:hAnsi="Arial Narrow" w:cs="Arial"/>
                <w:sz w:val="20"/>
                <w:szCs w:val="20"/>
              </w:rPr>
            </w:pPr>
          </w:p>
          <w:p w14:paraId="74EB5C31" w14:textId="77777777" w:rsidR="00942AA3" w:rsidRPr="007C15DB" w:rsidRDefault="00942AA3" w:rsidP="00666F71">
            <w:pPr>
              <w:keepNext/>
              <w:ind w:left="-108"/>
              <w:jc w:val="center"/>
              <w:rPr>
                <w:rFonts w:ascii="Arial Narrow" w:hAnsi="Arial Narrow" w:cs="Arial"/>
                <w:sz w:val="20"/>
                <w:szCs w:val="20"/>
              </w:rPr>
            </w:pPr>
            <w:r w:rsidRPr="007C15DB">
              <w:rPr>
                <w:rFonts w:ascii="Arial Narrow" w:hAnsi="Arial Narrow" w:cs="Arial"/>
                <w:sz w:val="20"/>
                <w:szCs w:val="20"/>
              </w:rPr>
              <w:t>12465C</w:t>
            </w:r>
          </w:p>
          <w:p w14:paraId="043CCA9A" w14:textId="77777777" w:rsidR="00942AA3" w:rsidRPr="007C15DB" w:rsidRDefault="00942AA3" w:rsidP="00666F71">
            <w:pPr>
              <w:keepNext/>
              <w:ind w:left="-108"/>
              <w:rPr>
                <w:rFonts w:ascii="Arial Narrow" w:hAnsi="Arial Narrow" w:cs="Arial"/>
                <w:i/>
                <w:color w:val="000000" w:themeColor="text1"/>
                <w:sz w:val="20"/>
                <w:szCs w:val="20"/>
              </w:rPr>
            </w:pPr>
          </w:p>
        </w:tc>
        <w:tc>
          <w:tcPr>
            <w:tcW w:w="397" w:type="pct"/>
          </w:tcPr>
          <w:p w14:paraId="2B3520BB" w14:textId="77777777" w:rsidR="00942AA3" w:rsidRPr="00E82AC4" w:rsidRDefault="00942AA3" w:rsidP="00666F71">
            <w:pPr>
              <w:keepNext/>
              <w:jc w:val="center"/>
              <w:rPr>
                <w:rFonts w:ascii="Arial Narrow" w:hAnsi="Arial Narrow" w:cs="Arial"/>
                <w:strike/>
                <w:color w:val="000000" w:themeColor="text1"/>
                <w:sz w:val="20"/>
                <w:szCs w:val="20"/>
              </w:rPr>
            </w:pPr>
          </w:p>
          <w:p w14:paraId="303574E9" w14:textId="77777777" w:rsidR="00942AA3" w:rsidRPr="00E82AC4" w:rsidRDefault="00942AA3" w:rsidP="00666F71">
            <w:pPr>
              <w:keepNext/>
              <w:jc w:val="center"/>
              <w:rPr>
                <w:rFonts w:ascii="Arial Narrow" w:hAnsi="Arial Narrow" w:cs="Arial"/>
                <w:color w:val="000000" w:themeColor="text1"/>
                <w:sz w:val="20"/>
                <w:szCs w:val="20"/>
              </w:rPr>
            </w:pPr>
            <w:r w:rsidRPr="0011311D">
              <w:rPr>
                <w:rFonts w:ascii="Arial Narrow" w:hAnsi="Arial Narrow" w:cs="Arial"/>
                <w:color w:val="000000" w:themeColor="text1"/>
                <w:sz w:val="20"/>
                <w:szCs w:val="20"/>
              </w:rPr>
              <w:t>3</w:t>
            </w:r>
          </w:p>
        </w:tc>
        <w:tc>
          <w:tcPr>
            <w:tcW w:w="397" w:type="pct"/>
          </w:tcPr>
          <w:p w14:paraId="0DD2D35B" w14:textId="77777777" w:rsidR="00942AA3" w:rsidRPr="0011311D" w:rsidRDefault="00942AA3" w:rsidP="00666F71">
            <w:pPr>
              <w:keepNext/>
              <w:ind w:left="-108"/>
              <w:jc w:val="center"/>
              <w:rPr>
                <w:rFonts w:ascii="Arial Narrow" w:hAnsi="Arial Narrow" w:cs="Arial"/>
                <w:strike/>
                <w:sz w:val="20"/>
                <w:szCs w:val="20"/>
              </w:rPr>
            </w:pPr>
          </w:p>
          <w:p w14:paraId="6C031330" w14:textId="77777777" w:rsidR="00942AA3" w:rsidRPr="00E82AC4" w:rsidRDefault="00942AA3" w:rsidP="00666F71">
            <w:pPr>
              <w:keepNext/>
              <w:ind w:left="-108"/>
              <w:jc w:val="center"/>
              <w:rPr>
                <w:rFonts w:ascii="Arial Narrow" w:hAnsi="Arial Narrow" w:cs="Arial"/>
                <w:strike/>
                <w:color w:val="000000" w:themeColor="text1"/>
                <w:sz w:val="20"/>
                <w:szCs w:val="20"/>
              </w:rPr>
            </w:pPr>
            <w:r w:rsidRPr="0011311D">
              <w:rPr>
                <w:rFonts w:ascii="Arial Narrow" w:hAnsi="Arial Narrow" w:cs="Arial"/>
                <w:sz w:val="20"/>
                <w:szCs w:val="20"/>
              </w:rPr>
              <w:t>45</w:t>
            </w:r>
          </w:p>
        </w:tc>
        <w:tc>
          <w:tcPr>
            <w:tcW w:w="397" w:type="pct"/>
          </w:tcPr>
          <w:p w14:paraId="4D03FD11" w14:textId="77777777" w:rsidR="00942AA3" w:rsidRPr="0011311D" w:rsidRDefault="00942AA3" w:rsidP="00666F71">
            <w:pPr>
              <w:keepNext/>
              <w:ind w:left="-108"/>
              <w:jc w:val="center"/>
              <w:rPr>
                <w:rFonts w:ascii="Arial Narrow" w:hAnsi="Arial Narrow" w:cs="Arial"/>
                <w:strike/>
                <w:sz w:val="20"/>
                <w:szCs w:val="20"/>
              </w:rPr>
            </w:pPr>
          </w:p>
          <w:p w14:paraId="2D104CEB" w14:textId="77777777" w:rsidR="00942AA3" w:rsidRPr="0011311D" w:rsidRDefault="00942AA3" w:rsidP="00666F71">
            <w:pPr>
              <w:keepNext/>
              <w:ind w:left="-108"/>
              <w:jc w:val="center"/>
              <w:rPr>
                <w:rFonts w:ascii="Arial Narrow" w:hAnsi="Arial Narrow" w:cs="Arial"/>
                <w:sz w:val="20"/>
                <w:szCs w:val="20"/>
              </w:rPr>
            </w:pPr>
            <w:r w:rsidRPr="0011311D">
              <w:rPr>
                <w:rFonts w:ascii="Arial Narrow" w:hAnsi="Arial Narrow" w:cs="Arial"/>
                <w:sz w:val="20"/>
                <w:szCs w:val="20"/>
              </w:rPr>
              <w:t>3</w:t>
            </w:r>
          </w:p>
          <w:p w14:paraId="6563A1BE" w14:textId="77777777" w:rsidR="00942AA3" w:rsidRPr="00E82AC4" w:rsidRDefault="00942AA3" w:rsidP="00666F71">
            <w:pPr>
              <w:keepNext/>
              <w:rPr>
                <w:rFonts w:ascii="Arial Narrow" w:hAnsi="Arial Narrow" w:cs="Arial"/>
                <w:strike/>
                <w:color w:val="000000" w:themeColor="text1"/>
                <w:sz w:val="20"/>
                <w:szCs w:val="20"/>
              </w:rPr>
            </w:pPr>
          </w:p>
        </w:tc>
        <w:tc>
          <w:tcPr>
            <w:tcW w:w="1270" w:type="pct"/>
          </w:tcPr>
          <w:p w14:paraId="3A40F614" w14:textId="77777777" w:rsidR="00942AA3" w:rsidRPr="007C15DB" w:rsidRDefault="00942AA3" w:rsidP="00666F71">
            <w:pPr>
              <w:keepNext/>
              <w:rPr>
                <w:rFonts w:ascii="Arial Narrow" w:hAnsi="Arial Narrow" w:cs="Arial"/>
                <w:sz w:val="20"/>
                <w:szCs w:val="20"/>
              </w:rPr>
            </w:pPr>
          </w:p>
          <w:p w14:paraId="692D2100" w14:textId="77777777" w:rsidR="00942AA3" w:rsidRPr="007C15DB" w:rsidRDefault="00942AA3" w:rsidP="00666F71">
            <w:pPr>
              <w:keepNext/>
              <w:rPr>
                <w:rFonts w:ascii="Arial Narrow" w:hAnsi="Arial Narrow" w:cs="Arial"/>
                <w:color w:val="000000" w:themeColor="text1"/>
                <w:sz w:val="20"/>
                <w:szCs w:val="20"/>
              </w:rPr>
            </w:pPr>
            <w:r w:rsidRPr="007C15DB">
              <w:rPr>
                <w:rFonts w:ascii="Arial Narrow" w:hAnsi="Arial Narrow" w:cs="Arial"/>
                <w:sz w:val="20"/>
                <w:szCs w:val="20"/>
              </w:rPr>
              <w:t>Oripro</w:t>
            </w:r>
          </w:p>
          <w:p w14:paraId="0357DEA3" w14:textId="77777777" w:rsidR="00942AA3" w:rsidRPr="007C15DB" w:rsidRDefault="00942AA3" w:rsidP="00666F71">
            <w:pPr>
              <w:keepNext/>
              <w:rPr>
                <w:rFonts w:ascii="Arial Narrow" w:hAnsi="Arial Narrow" w:cs="Arial"/>
                <w:color w:val="000000" w:themeColor="text1"/>
                <w:sz w:val="20"/>
                <w:szCs w:val="20"/>
              </w:rPr>
            </w:pPr>
          </w:p>
        </w:tc>
      </w:tr>
    </w:tbl>
    <w:p w14:paraId="196CFB50" w14:textId="77777777" w:rsidR="00925BED" w:rsidRDefault="00925BED" w:rsidP="00201FB8">
      <w:pPr>
        <w:spacing w:after="120"/>
        <w:jc w:val="left"/>
        <w:rPr>
          <w:rFonts w:cs="Calibri"/>
          <w:lang w:eastAsia="en-US"/>
        </w:rPr>
      </w:pPr>
    </w:p>
    <w:p w14:paraId="04F1FAE4" w14:textId="77777777" w:rsidR="00C93BA9" w:rsidRPr="009639EE" w:rsidRDefault="00C93BA9" w:rsidP="00C93BA9">
      <w:pPr>
        <w:spacing w:after="160" w:line="259" w:lineRule="auto"/>
        <w:jc w:val="left"/>
        <w:rPr>
          <w:rFonts w:eastAsia="Calibri" w:cs="Calibri"/>
          <w:b/>
          <w:i/>
          <w:lang w:eastAsia="en-US"/>
        </w:rPr>
      </w:pPr>
      <w:r w:rsidRPr="009639EE">
        <w:rPr>
          <w:b/>
          <w:i/>
        </w:rPr>
        <w:t>This restriction may be subject to further review. Should there be any changes made to the restriction the Sponsor will be informed.</w:t>
      </w:r>
    </w:p>
    <w:p w14:paraId="5232B39A" w14:textId="77777777" w:rsidR="003645CD" w:rsidRPr="003645CD" w:rsidRDefault="003645CD" w:rsidP="003645CD">
      <w:pPr>
        <w:pStyle w:val="Heading1"/>
        <w:keepLines/>
        <w:numPr>
          <w:ilvl w:val="0"/>
          <w:numId w:val="2"/>
        </w:numPr>
        <w:spacing w:before="240"/>
        <w:ind w:left="709" w:hanging="709"/>
        <w:rPr>
          <w:sz w:val="32"/>
          <w:szCs w:val="32"/>
        </w:rPr>
      </w:pPr>
      <w:r w:rsidRPr="003645CD">
        <w:rPr>
          <w:sz w:val="32"/>
          <w:szCs w:val="32"/>
        </w:rPr>
        <w:t>Context for Decision</w:t>
      </w:r>
    </w:p>
    <w:p w14:paraId="7E20EC50" w14:textId="77777777" w:rsidR="003645CD" w:rsidRPr="007129F2" w:rsidRDefault="003645CD" w:rsidP="003645CD">
      <w:pPr>
        <w:spacing w:after="120"/>
        <w:ind w:left="709"/>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016C34E" w14:textId="77777777" w:rsidR="003645CD" w:rsidRPr="003645CD" w:rsidRDefault="003645CD" w:rsidP="003645CD">
      <w:pPr>
        <w:pStyle w:val="Heading1"/>
        <w:keepLines/>
        <w:numPr>
          <w:ilvl w:val="0"/>
          <w:numId w:val="2"/>
        </w:numPr>
        <w:spacing w:before="240"/>
        <w:ind w:left="709" w:hanging="709"/>
        <w:rPr>
          <w:sz w:val="32"/>
          <w:szCs w:val="32"/>
        </w:rPr>
      </w:pPr>
      <w:r w:rsidRPr="003645CD">
        <w:rPr>
          <w:sz w:val="32"/>
          <w:szCs w:val="32"/>
        </w:rPr>
        <w:t>Sponsor’s Comment</w:t>
      </w:r>
    </w:p>
    <w:p w14:paraId="144F6620" w14:textId="77777777" w:rsidR="00201FB8" w:rsidRPr="00EF4580" w:rsidRDefault="00B10034" w:rsidP="00A474BD">
      <w:pPr>
        <w:ind w:left="709"/>
      </w:pPr>
      <w:r w:rsidRPr="006F3F47">
        <w:rPr>
          <w:rFonts w:asciiTheme="minorHAnsi" w:hAnsiTheme="minorHAnsi" w:cs="Arial"/>
          <w:bCs/>
          <w:lang w:val="en-GB"/>
        </w:rPr>
        <w:t>Orion Laboratories welcomes the PBAC’s decisions to increase the maximum quantity per script of Oripro as this ensures equity for women at risk of preterm birth and provides a choice of medication to meet patient’s personal needs</w:t>
      </w:r>
      <w:r w:rsidR="004E7980">
        <w:rPr>
          <w:rFonts w:asciiTheme="minorHAnsi" w:hAnsiTheme="minorHAnsi" w:cs="Arial"/>
          <w:bCs/>
          <w:lang w:val="en-GB"/>
        </w:rPr>
        <w:t>.</w:t>
      </w:r>
    </w:p>
    <w:sectPr w:rsidR="00201FB8" w:rsidRPr="00EF4580"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D3707" w14:textId="77777777" w:rsidR="00611F69" w:rsidRDefault="00611F69">
      <w:r>
        <w:separator/>
      </w:r>
    </w:p>
    <w:p w14:paraId="0364CFB4" w14:textId="77777777" w:rsidR="00611F69" w:rsidRDefault="00611F69"/>
  </w:endnote>
  <w:endnote w:type="continuationSeparator" w:id="0">
    <w:p w14:paraId="63A33E9F" w14:textId="77777777" w:rsidR="00611F69" w:rsidRDefault="00611F69">
      <w:r>
        <w:continuationSeparator/>
      </w:r>
    </w:p>
    <w:p w14:paraId="08A642AA" w14:textId="77777777" w:rsidR="00611F69" w:rsidRDefault="00611F69"/>
  </w:endnote>
  <w:endnote w:type="continuationNotice" w:id="1">
    <w:p w14:paraId="6B9AE6CF" w14:textId="77777777" w:rsidR="00611F69" w:rsidRDefault="00611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Sabon">
    <w:altName w:val="Constantia"/>
    <w:charset w:val="00"/>
    <w:family w:val="roman"/>
    <w:pitch w:val="variable"/>
    <w:sig w:usb0="00000287" w:usb1="00000000" w:usb2="00000000" w:usb3="00000000" w:csb0="0000009F" w:csb1="00000000"/>
  </w:font>
  <w:font w:name="MS MinNew Roman">
    <w:altName w:val="Roman"/>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FB1418" w14:paraId="3E503CDD" w14:textId="77777777" w:rsidTr="005A3173">
      <w:trPr>
        <w:trHeight w:val="151"/>
      </w:trPr>
      <w:tc>
        <w:tcPr>
          <w:tcW w:w="2250" w:type="pct"/>
          <w:tcBorders>
            <w:top w:val="nil"/>
            <w:left w:val="nil"/>
            <w:bottom w:val="single" w:sz="4" w:space="0" w:color="4F81BD"/>
            <w:right w:val="nil"/>
          </w:tcBorders>
        </w:tcPr>
        <w:p w14:paraId="54C66AF3" w14:textId="77777777" w:rsidR="00FB1418" w:rsidRPr="005A3173" w:rsidRDefault="00FB1418" w:rsidP="005A3173">
          <w:pPr>
            <w:pStyle w:val="Header"/>
            <w:spacing w:line="276" w:lineRule="auto"/>
            <w:rPr>
              <w:rFonts w:eastAsia="MS Gothic"/>
              <w:b/>
              <w:bCs/>
              <w:color w:val="4F81BD"/>
            </w:rPr>
          </w:pPr>
        </w:p>
      </w:tc>
      <w:tc>
        <w:tcPr>
          <w:tcW w:w="500" w:type="pct"/>
          <w:vMerge w:val="restart"/>
          <w:noWrap/>
          <w:vAlign w:val="center"/>
          <w:hideMark/>
        </w:tcPr>
        <w:p w14:paraId="5B01DD1E" w14:textId="77777777" w:rsidR="00FB1418" w:rsidRPr="005A3173" w:rsidRDefault="00FB141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718CB6DD" w14:textId="77777777" w:rsidR="00FB1418" w:rsidRPr="005A3173" w:rsidRDefault="00FB1418" w:rsidP="005A3173">
          <w:pPr>
            <w:pStyle w:val="Header"/>
            <w:spacing w:line="276" w:lineRule="auto"/>
            <w:rPr>
              <w:rFonts w:eastAsia="MS Gothic"/>
              <w:b/>
              <w:bCs/>
              <w:color w:val="4F81BD"/>
            </w:rPr>
          </w:pPr>
        </w:p>
      </w:tc>
    </w:tr>
    <w:tr w:rsidR="00FB1418" w14:paraId="6F703097" w14:textId="77777777" w:rsidTr="005A3173">
      <w:trPr>
        <w:trHeight w:val="150"/>
      </w:trPr>
      <w:tc>
        <w:tcPr>
          <w:tcW w:w="2250" w:type="pct"/>
          <w:tcBorders>
            <w:top w:val="single" w:sz="4" w:space="0" w:color="4F81BD"/>
            <w:left w:val="nil"/>
            <w:bottom w:val="nil"/>
            <w:right w:val="nil"/>
          </w:tcBorders>
        </w:tcPr>
        <w:p w14:paraId="273BB870" w14:textId="77777777" w:rsidR="00FB1418" w:rsidRPr="005A3173" w:rsidRDefault="00FB1418" w:rsidP="005A3173">
          <w:pPr>
            <w:pStyle w:val="Header"/>
            <w:spacing w:line="276" w:lineRule="auto"/>
            <w:rPr>
              <w:rFonts w:eastAsia="MS Gothic"/>
              <w:b/>
              <w:bCs/>
              <w:color w:val="4F81BD"/>
            </w:rPr>
          </w:pPr>
        </w:p>
      </w:tc>
      <w:tc>
        <w:tcPr>
          <w:tcW w:w="0" w:type="auto"/>
          <w:vMerge/>
          <w:vAlign w:val="center"/>
          <w:hideMark/>
        </w:tcPr>
        <w:p w14:paraId="391F6579" w14:textId="77777777" w:rsidR="00FB1418" w:rsidRPr="005A3173" w:rsidRDefault="00FB1418" w:rsidP="005A3173">
          <w:pPr>
            <w:rPr>
              <w:color w:val="365F91"/>
              <w:sz w:val="22"/>
              <w:szCs w:val="22"/>
            </w:rPr>
          </w:pPr>
        </w:p>
      </w:tc>
      <w:tc>
        <w:tcPr>
          <w:tcW w:w="2250" w:type="pct"/>
          <w:tcBorders>
            <w:top w:val="single" w:sz="4" w:space="0" w:color="4F81BD"/>
            <w:left w:val="nil"/>
            <w:bottom w:val="nil"/>
            <w:right w:val="nil"/>
          </w:tcBorders>
        </w:tcPr>
        <w:p w14:paraId="0484A30F" w14:textId="77777777" w:rsidR="00FB1418" w:rsidRPr="005A3173" w:rsidRDefault="00FB1418" w:rsidP="005A3173">
          <w:pPr>
            <w:pStyle w:val="Header"/>
            <w:spacing w:line="276" w:lineRule="auto"/>
            <w:rPr>
              <w:rFonts w:eastAsia="MS Gothic"/>
              <w:b/>
              <w:bCs/>
              <w:color w:val="4F81BD"/>
            </w:rPr>
          </w:pPr>
        </w:p>
      </w:tc>
    </w:tr>
  </w:tbl>
  <w:p w14:paraId="3E050F43" w14:textId="77777777" w:rsidR="00FB1418" w:rsidRDefault="00FB141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27414C" w14:textId="77777777" w:rsidR="00FB1418" w:rsidRDefault="00FB1418">
    <w:pPr>
      <w:pStyle w:val="Footer"/>
    </w:pPr>
  </w:p>
  <w:p w14:paraId="7400F725" w14:textId="77777777" w:rsidR="00FB1418" w:rsidRDefault="00FB141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C645E" w14:textId="77777777" w:rsidR="003415EB" w:rsidRDefault="003415EB">
    <w:pPr>
      <w:pStyle w:val="Footer"/>
      <w:jc w:val="center"/>
    </w:pPr>
  </w:p>
  <w:p w14:paraId="24D33561" w14:textId="6C729CA0" w:rsidR="003415EB" w:rsidRPr="00EE56C6" w:rsidRDefault="00F21BEA">
    <w:pPr>
      <w:pStyle w:val="Footer"/>
      <w:jc w:val="center"/>
      <w:rPr>
        <w:b/>
        <w:bCs/>
      </w:rPr>
    </w:pPr>
    <w:sdt>
      <w:sdtPr>
        <w:id w:val="-1113742593"/>
        <w:docPartObj>
          <w:docPartGallery w:val="Page Numbers (Bottom of Page)"/>
          <w:docPartUnique/>
        </w:docPartObj>
      </w:sdtPr>
      <w:sdtEndPr>
        <w:rPr>
          <w:b/>
          <w:bCs/>
          <w:noProof/>
        </w:rPr>
      </w:sdtEndPr>
      <w:sdtContent>
        <w:r w:rsidR="003415EB" w:rsidRPr="00EE56C6">
          <w:rPr>
            <w:b/>
            <w:bCs/>
          </w:rPr>
          <w:fldChar w:fldCharType="begin"/>
        </w:r>
        <w:r w:rsidR="003415EB" w:rsidRPr="00EE56C6">
          <w:rPr>
            <w:b/>
            <w:bCs/>
          </w:rPr>
          <w:instrText xml:space="preserve"> PAGE   \* MERGEFORMAT </w:instrText>
        </w:r>
        <w:r w:rsidR="003415EB" w:rsidRPr="00EE56C6">
          <w:rPr>
            <w:b/>
            <w:bCs/>
          </w:rPr>
          <w:fldChar w:fldCharType="separate"/>
        </w:r>
        <w:r>
          <w:rPr>
            <w:b/>
            <w:bCs/>
            <w:noProof/>
          </w:rPr>
          <w:t>6</w:t>
        </w:r>
        <w:r w:rsidR="003415EB" w:rsidRPr="00EE56C6">
          <w:rPr>
            <w:b/>
            <w:bCs/>
            <w:noProof/>
          </w:rPr>
          <w:fldChar w:fldCharType="end"/>
        </w:r>
      </w:sdtContent>
    </w:sdt>
  </w:p>
  <w:p w14:paraId="55B38BCD" w14:textId="77777777" w:rsidR="00FB1418" w:rsidRPr="00D429EC" w:rsidRDefault="00FB1418" w:rsidP="00A510E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FB1418" w14:paraId="0F77F3F7" w14:textId="77777777" w:rsidTr="005A3173">
      <w:trPr>
        <w:trHeight w:val="151"/>
      </w:trPr>
      <w:tc>
        <w:tcPr>
          <w:tcW w:w="2250" w:type="pct"/>
          <w:tcBorders>
            <w:top w:val="nil"/>
            <w:left w:val="nil"/>
            <w:bottom w:val="single" w:sz="4" w:space="0" w:color="4F81BD"/>
            <w:right w:val="nil"/>
          </w:tcBorders>
        </w:tcPr>
        <w:p w14:paraId="67F0BB78" w14:textId="77777777" w:rsidR="00FB1418" w:rsidRPr="005A3173" w:rsidRDefault="00FB1418" w:rsidP="005A3173">
          <w:pPr>
            <w:pStyle w:val="Header"/>
            <w:spacing w:line="276" w:lineRule="auto"/>
            <w:rPr>
              <w:rFonts w:eastAsia="MS Gothic"/>
              <w:b/>
              <w:bCs/>
              <w:color w:val="4F81BD"/>
            </w:rPr>
          </w:pPr>
        </w:p>
      </w:tc>
      <w:tc>
        <w:tcPr>
          <w:tcW w:w="500" w:type="pct"/>
          <w:vMerge w:val="restart"/>
          <w:noWrap/>
          <w:vAlign w:val="center"/>
          <w:hideMark/>
        </w:tcPr>
        <w:p w14:paraId="1954DDD6" w14:textId="77777777" w:rsidR="00FB1418" w:rsidRPr="005A3173" w:rsidRDefault="00FB141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CF1C27" w14:textId="77777777" w:rsidR="00FB1418" w:rsidRPr="005A3173" w:rsidRDefault="00FB1418" w:rsidP="005A3173">
          <w:pPr>
            <w:pStyle w:val="Header"/>
            <w:spacing w:line="276" w:lineRule="auto"/>
            <w:rPr>
              <w:rFonts w:eastAsia="MS Gothic"/>
              <w:b/>
              <w:bCs/>
              <w:color w:val="4F81BD"/>
            </w:rPr>
          </w:pPr>
        </w:p>
      </w:tc>
    </w:tr>
    <w:tr w:rsidR="00FB1418" w14:paraId="02D9DB73" w14:textId="77777777" w:rsidTr="005A3173">
      <w:trPr>
        <w:trHeight w:val="150"/>
      </w:trPr>
      <w:tc>
        <w:tcPr>
          <w:tcW w:w="2250" w:type="pct"/>
          <w:tcBorders>
            <w:top w:val="single" w:sz="4" w:space="0" w:color="4F81BD"/>
            <w:left w:val="nil"/>
            <w:bottom w:val="nil"/>
            <w:right w:val="nil"/>
          </w:tcBorders>
        </w:tcPr>
        <w:p w14:paraId="07D6FE82" w14:textId="77777777" w:rsidR="00FB1418" w:rsidRPr="005A3173" w:rsidRDefault="00FB1418" w:rsidP="005A3173">
          <w:pPr>
            <w:pStyle w:val="Header"/>
            <w:spacing w:line="276" w:lineRule="auto"/>
            <w:rPr>
              <w:rFonts w:eastAsia="MS Gothic"/>
              <w:b/>
              <w:bCs/>
              <w:color w:val="4F81BD"/>
            </w:rPr>
          </w:pPr>
        </w:p>
      </w:tc>
      <w:tc>
        <w:tcPr>
          <w:tcW w:w="0" w:type="auto"/>
          <w:vMerge/>
          <w:vAlign w:val="center"/>
          <w:hideMark/>
        </w:tcPr>
        <w:p w14:paraId="5DEE8868" w14:textId="77777777" w:rsidR="00FB1418" w:rsidRPr="005A3173" w:rsidRDefault="00FB1418" w:rsidP="005A3173">
          <w:pPr>
            <w:rPr>
              <w:color w:val="365F91"/>
              <w:sz w:val="22"/>
              <w:szCs w:val="22"/>
            </w:rPr>
          </w:pPr>
        </w:p>
      </w:tc>
      <w:tc>
        <w:tcPr>
          <w:tcW w:w="2250" w:type="pct"/>
          <w:tcBorders>
            <w:top w:val="single" w:sz="4" w:space="0" w:color="4F81BD"/>
            <w:left w:val="nil"/>
            <w:bottom w:val="nil"/>
            <w:right w:val="nil"/>
          </w:tcBorders>
        </w:tcPr>
        <w:p w14:paraId="22F3ED0D" w14:textId="77777777" w:rsidR="00FB1418" w:rsidRPr="005A3173" w:rsidRDefault="00FB1418"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FB1418" w14:paraId="1E396E9E" w14:textId="77777777" w:rsidTr="005A3173">
      <w:trPr>
        <w:trHeight w:val="151"/>
      </w:trPr>
      <w:tc>
        <w:tcPr>
          <w:tcW w:w="2250" w:type="pct"/>
          <w:tcBorders>
            <w:top w:val="nil"/>
            <w:left w:val="nil"/>
            <w:bottom w:val="single" w:sz="4" w:space="0" w:color="4F81BD"/>
            <w:right w:val="nil"/>
          </w:tcBorders>
        </w:tcPr>
        <w:p w14:paraId="7AC48871" w14:textId="77777777" w:rsidR="00FB1418" w:rsidRPr="005A3173" w:rsidRDefault="00FB1418" w:rsidP="005A3173">
          <w:pPr>
            <w:pStyle w:val="Header"/>
            <w:spacing w:line="276" w:lineRule="auto"/>
            <w:rPr>
              <w:rFonts w:eastAsia="MS Gothic"/>
              <w:b/>
              <w:bCs/>
              <w:color w:val="4F81BD"/>
            </w:rPr>
          </w:pPr>
        </w:p>
      </w:tc>
      <w:tc>
        <w:tcPr>
          <w:tcW w:w="500" w:type="pct"/>
          <w:vMerge w:val="restart"/>
          <w:noWrap/>
          <w:vAlign w:val="center"/>
          <w:hideMark/>
        </w:tcPr>
        <w:p w14:paraId="60B343B3" w14:textId="77777777" w:rsidR="00FB1418" w:rsidRPr="005A3173" w:rsidRDefault="00FB141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839031E" w14:textId="77777777" w:rsidR="00FB1418" w:rsidRPr="005A3173" w:rsidRDefault="00FB1418" w:rsidP="005A3173">
          <w:pPr>
            <w:pStyle w:val="Header"/>
            <w:spacing w:line="276" w:lineRule="auto"/>
            <w:rPr>
              <w:rFonts w:eastAsia="MS Gothic"/>
              <w:b/>
              <w:bCs/>
              <w:color w:val="4F81BD"/>
            </w:rPr>
          </w:pPr>
        </w:p>
      </w:tc>
    </w:tr>
    <w:tr w:rsidR="00FB1418" w14:paraId="13E0F477" w14:textId="77777777" w:rsidTr="005A3173">
      <w:trPr>
        <w:trHeight w:val="150"/>
      </w:trPr>
      <w:tc>
        <w:tcPr>
          <w:tcW w:w="2250" w:type="pct"/>
          <w:tcBorders>
            <w:top w:val="single" w:sz="4" w:space="0" w:color="4F81BD"/>
            <w:left w:val="nil"/>
            <w:bottom w:val="nil"/>
            <w:right w:val="nil"/>
          </w:tcBorders>
        </w:tcPr>
        <w:p w14:paraId="1C555946" w14:textId="77777777" w:rsidR="00FB1418" w:rsidRPr="005A3173" w:rsidRDefault="00FB1418" w:rsidP="005A3173">
          <w:pPr>
            <w:pStyle w:val="Header"/>
            <w:spacing w:line="276" w:lineRule="auto"/>
            <w:rPr>
              <w:rFonts w:eastAsia="MS Gothic"/>
              <w:b/>
              <w:bCs/>
              <w:color w:val="4F81BD"/>
            </w:rPr>
          </w:pPr>
        </w:p>
      </w:tc>
      <w:tc>
        <w:tcPr>
          <w:tcW w:w="0" w:type="auto"/>
          <w:vMerge/>
          <w:vAlign w:val="center"/>
          <w:hideMark/>
        </w:tcPr>
        <w:p w14:paraId="114E9CE9" w14:textId="77777777" w:rsidR="00FB1418" w:rsidRPr="005A3173" w:rsidRDefault="00FB1418" w:rsidP="005A3173">
          <w:pPr>
            <w:rPr>
              <w:color w:val="365F91"/>
              <w:sz w:val="22"/>
              <w:szCs w:val="22"/>
            </w:rPr>
          </w:pPr>
        </w:p>
      </w:tc>
      <w:tc>
        <w:tcPr>
          <w:tcW w:w="2250" w:type="pct"/>
          <w:tcBorders>
            <w:top w:val="single" w:sz="4" w:space="0" w:color="4F81BD"/>
            <w:left w:val="nil"/>
            <w:bottom w:val="nil"/>
            <w:right w:val="nil"/>
          </w:tcBorders>
        </w:tcPr>
        <w:p w14:paraId="0FE65F41" w14:textId="77777777" w:rsidR="00FB1418" w:rsidRPr="005A3173" w:rsidRDefault="00FB1418" w:rsidP="005A3173">
          <w:pPr>
            <w:pStyle w:val="Header"/>
            <w:spacing w:line="276" w:lineRule="auto"/>
            <w:rPr>
              <w:rFonts w:eastAsia="MS Gothic"/>
              <w:b/>
              <w:bCs/>
              <w:color w:val="4F81BD"/>
            </w:rPr>
          </w:pPr>
        </w:p>
      </w:tc>
    </w:tr>
  </w:tbl>
  <w:p w14:paraId="380F4762" w14:textId="77777777" w:rsidR="00FB1418" w:rsidRPr="007C0F57" w:rsidRDefault="00FB141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B55322">
      <w:rPr>
        <w:rStyle w:val="PageNumber"/>
        <w:noProof/>
      </w:rPr>
      <w:t>1</w:t>
    </w:r>
    <w:r>
      <w:rPr>
        <w:rStyle w:val="PageNumber"/>
      </w:rPr>
      <w:fldChar w:fldCharType="end"/>
    </w:r>
    <w:r w:rsidRPr="007C0F57">
      <w:rPr>
        <w:b/>
        <w:i/>
        <w:sz w:val="20"/>
        <w:szCs w:val="20"/>
      </w:rPr>
      <w:t>BAC Meeting</w:t>
    </w:r>
  </w:p>
  <w:p w14:paraId="3D323F63" w14:textId="77777777" w:rsidR="00FB1418" w:rsidRPr="007C0F57" w:rsidRDefault="00FB1418" w:rsidP="007C0F57">
    <w:pPr>
      <w:pStyle w:val="Footer"/>
      <w:jc w:val="center"/>
      <w:rPr>
        <w:b/>
        <w:i/>
        <w:sz w:val="20"/>
        <w:szCs w:val="20"/>
      </w:rPr>
    </w:pPr>
    <w:r w:rsidRPr="007C0F57">
      <w:rPr>
        <w:b/>
        <w:i/>
        <w:sz w:val="20"/>
        <w:szCs w:val="20"/>
      </w:rPr>
      <w:t>Commercial-in-Confidence</w:t>
    </w:r>
  </w:p>
  <w:p w14:paraId="4BB68910" w14:textId="77777777" w:rsidR="00FB1418" w:rsidRDefault="00FB141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D847C" w14:textId="77777777" w:rsidR="00611F69" w:rsidRDefault="00611F69">
      <w:r>
        <w:separator/>
      </w:r>
    </w:p>
    <w:p w14:paraId="32A05EFE" w14:textId="77777777" w:rsidR="00611F69" w:rsidRDefault="00611F69"/>
  </w:footnote>
  <w:footnote w:type="continuationSeparator" w:id="0">
    <w:p w14:paraId="4ED345CA" w14:textId="77777777" w:rsidR="00611F69" w:rsidRDefault="00611F69">
      <w:r>
        <w:continuationSeparator/>
      </w:r>
    </w:p>
    <w:p w14:paraId="1A29377E" w14:textId="77777777" w:rsidR="00611F69" w:rsidRDefault="00611F69"/>
  </w:footnote>
  <w:footnote w:type="continuationNotice" w:id="1">
    <w:p w14:paraId="28FA9E06" w14:textId="77777777" w:rsidR="00611F69" w:rsidRDefault="00611F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FB1418" w:rsidRPr="008E0D90" w14:paraId="50617344" w14:textId="77777777" w:rsidTr="00A06225">
      <w:trPr>
        <w:trHeight w:val="151"/>
      </w:trPr>
      <w:tc>
        <w:tcPr>
          <w:tcW w:w="2389" w:type="pct"/>
          <w:tcBorders>
            <w:top w:val="nil"/>
            <w:left w:val="nil"/>
            <w:bottom w:val="single" w:sz="4" w:space="0" w:color="4F81BD"/>
            <w:right w:val="nil"/>
          </w:tcBorders>
        </w:tcPr>
        <w:p w14:paraId="73563E68" w14:textId="77777777" w:rsidR="00FB1418" w:rsidRPr="00A06225" w:rsidRDefault="00FB1418">
          <w:pPr>
            <w:pStyle w:val="Header"/>
            <w:spacing w:line="276" w:lineRule="auto"/>
            <w:rPr>
              <w:rFonts w:ascii="Cambria" w:eastAsia="MS Gothic" w:hAnsi="Cambria"/>
              <w:b/>
              <w:bCs/>
              <w:color w:val="4F81BD"/>
            </w:rPr>
          </w:pPr>
        </w:p>
      </w:tc>
      <w:tc>
        <w:tcPr>
          <w:tcW w:w="333" w:type="pct"/>
          <w:vMerge w:val="restart"/>
          <w:noWrap/>
          <w:vAlign w:val="center"/>
          <w:hideMark/>
        </w:tcPr>
        <w:p w14:paraId="4EA50E6C" w14:textId="77777777" w:rsidR="00FB1418" w:rsidRPr="00A06225" w:rsidRDefault="00FB141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D271BC7" w14:textId="77777777" w:rsidR="00FB1418" w:rsidRPr="00A06225" w:rsidRDefault="00FB1418">
          <w:pPr>
            <w:pStyle w:val="Header"/>
            <w:spacing w:line="276" w:lineRule="auto"/>
            <w:rPr>
              <w:rFonts w:ascii="Cambria" w:eastAsia="MS Gothic" w:hAnsi="Cambria"/>
              <w:b/>
              <w:bCs/>
              <w:color w:val="4F81BD"/>
            </w:rPr>
          </w:pPr>
        </w:p>
      </w:tc>
    </w:tr>
    <w:tr w:rsidR="00FB1418" w:rsidRPr="008E0D90" w14:paraId="65BC2DB6" w14:textId="77777777" w:rsidTr="00A06225">
      <w:trPr>
        <w:trHeight w:val="150"/>
      </w:trPr>
      <w:tc>
        <w:tcPr>
          <w:tcW w:w="2389" w:type="pct"/>
          <w:tcBorders>
            <w:top w:val="single" w:sz="4" w:space="0" w:color="4F81BD"/>
            <w:left w:val="nil"/>
            <w:bottom w:val="nil"/>
            <w:right w:val="nil"/>
          </w:tcBorders>
        </w:tcPr>
        <w:p w14:paraId="458FC69A" w14:textId="77777777" w:rsidR="00FB1418" w:rsidRPr="00A06225" w:rsidRDefault="00FB1418">
          <w:pPr>
            <w:pStyle w:val="Header"/>
            <w:spacing w:line="276" w:lineRule="auto"/>
            <w:rPr>
              <w:rFonts w:ascii="Cambria" w:eastAsia="MS Gothic" w:hAnsi="Cambria"/>
              <w:b/>
              <w:bCs/>
              <w:color w:val="4F81BD"/>
            </w:rPr>
          </w:pPr>
        </w:p>
      </w:tc>
      <w:tc>
        <w:tcPr>
          <w:tcW w:w="0" w:type="auto"/>
          <w:vMerge/>
          <w:vAlign w:val="center"/>
          <w:hideMark/>
        </w:tcPr>
        <w:p w14:paraId="37C2E60D" w14:textId="77777777" w:rsidR="00FB1418" w:rsidRPr="00A06225" w:rsidRDefault="00FB1418">
          <w:pPr>
            <w:rPr>
              <w:rFonts w:ascii="Cambria" w:hAnsi="Cambria"/>
              <w:color w:val="4F81BD"/>
              <w:sz w:val="22"/>
              <w:szCs w:val="22"/>
            </w:rPr>
          </w:pPr>
        </w:p>
      </w:tc>
      <w:tc>
        <w:tcPr>
          <w:tcW w:w="2278" w:type="pct"/>
          <w:tcBorders>
            <w:top w:val="single" w:sz="4" w:space="0" w:color="4F81BD"/>
            <w:left w:val="nil"/>
            <w:bottom w:val="nil"/>
            <w:right w:val="nil"/>
          </w:tcBorders>
        </w:tcPr>
        <w:p w14:paraId="4B004DF9" w14:textId="77777777" w:rsidR="00FB1418" w:rsidRPr="00A06225" w:rsidRDefault="00FB1418">
          <w:pPr>
            <w:pStyle w:val="Header"/>
            <w:spacing w:line="276" w:lineRule="auto"/>
            <w:rPr>
              <w:rFonts w:ascii="Cambria" w:eastAsia="MS Gothic" w:hAnsi="Cambria"/>
              <w:b/>
              <w:bCs/>
              <w:color w:val="4F81BD"/>
            </w:rPr>
          </w:pPr>
        </w:p>
      </w:tc>
    </w:tr>
  </w:tbl>
  <w:p w14:paraId="7F327A4D" w14:textId="77777777" w:rsidR="00FB1418" w:rsidRDefault="00FB1418">
    <w:pPr>
      <w:pStyle w:val="Header"/>
    </w:pPr>
  </w:p>
  <w:p w14:paraId="4E8ADE59" w14:textId="77777777" w:rsidR="00FB1418" w:rsidRDefault="00FB141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A409" w14:textId="77777777" w:rsidR="00FB1418" w:rsidRPr="003415EB" w:rsidRDefault="003645CD" w:rsidP="003415EB">
    <w:pPr>
      <w:pStyle w:val="NoSpacing"/>
      <w:jc w:val="center"/>
      <w:rPr>
        <w:rFonts w:asciiTheme="minorHAnsi" w:hAnsiTheme="minorHAnsi" w:cstheme="minorHAnsi"/>
        <w:i/>
        <w:sz w:val="24"/>
      </w:rPr>
    </w:pPr>
    <w:r>
      <w:rPr>
        <w:rFonts w:asciiTheme="minorHAnsi" w:hAnsiTheme="minorHAnsi" w:cstheme="minorHAnsi"/>
        <w:i/>
        <w:sz w:val="24"/>
      </w:rPr>
      <w:t>Public Summary Document</w:t>
    </w:r>
    <w:r w:rsidR="003415EB" w:rsidRPr="003415EB">
      <w:rPr>
        <w:rFonts w:asciiTheme="minorHAnsi" w:hAnsiTheme="minorHAnsi" w:cstheme="minorHAnsi"/>
        <w:i/>
        <w:sz w:val="24"/>
      </w:rPr>
      <w:t xml:space="preserve"> –</w:t>
    </w:r>
    <w:r w:rsidR="003415EB">
      <w:rPr>
        <w:rFonts w:asciiTheme="minorHAnsi" w:hAnsiTheme="minorHAnsi" w:cstheme="minorHAnsi"/>
        <w:i/>
        <w:sz w:val="24"/>
      </w:rPr>
      <w:t xml:space="preserve"> November</w:t>
    </w:r>
    <w:r w:rsidR="003415EB" w:rsidRPr="003415EB">
      <w:rPr>
        <w:rFonts w:asciiTheme="minorHAnsi" w:hAnsiTheme="minorHAnsi" w:cstheme="minorHAnsi"/>
        <w:i/>
        <w:sz w:val="24"/>
      </w:rPr>
      <w:t xml:space="preserve"> 2021 PBAC Meeting</w:t>
    </w:r>
  </w:p>
  <w:p w14:paraId="4FA2C65C" w14:textId="77777777" w:rsidR="003415EB" w:rsidRPr="003415EB" w:rsidRDefault="003415EB" w:rsidP="003415EB">
    <w:pPr>
      <w:pStyle w:val="NoSpacing"/>
      <w:jc w:val="center"/>
      <w:rPr>
        <w:rFonts w:asciiTheme="minorHAnsi" w:hAnsiTheme="minorHAnsi" w:cstheme="minorHAnsi"/>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7A27EDD"/>
    <w:multiLevelType w:val="hybridMultilevel"/>
    <w:tmpl w:val="88048F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C611D51"/>
    <w:multiLevelType w:val="multilevel"/>
    <w:tmpl w:val="E1982DF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D6233D"/>
    <w:multiLevelType w:val="hybridMultilevel"/>
    <w:tmpl w:val="90EE9A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36244933"/>
    <w:multiLevelType w:val="hybridMultilevel"/>
    <w:tmpl w:val="9C141E06"/>
    <w:lvl w:ilvl="0" w:tplc="109223A6">
      <w:start w:val="1"/>
      <w:numFmt w:val="upperLetter"/>
      <w:lvlText w:val="%1."/>
      <w:lvlJc w:val="left"/>
      <w:pPr>
        <w:ind w:left="720" w:hanging="360"/>
      </w:pPr>
      <w:rPr>
        <w:i w:val="0"/>
        <w:iCs w:val="0"/>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6" w15:restartNumberingAfterBreak="0">
    <w:nsid w:val="3A755F2C"/>
    <w:multiLevelType w:val="hybridMultilevel"/>
    <w:tmpl w:val="BD1424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8" w15:restartNumberingAfterBreak="0">
    <w:nsid w:val="3F1721A1"/>
    <w:multiLevelType w:val="hybridMultilevel"/>
    <w:tmpl w:val="8D22C1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A05CCD"/>
    <w:multiLevelType w:val="hybridMultilevel"/>
    <w:tmpl w:val="FB8E2D1C"/>
    <w:lvl w:ilvl="0" w:tplc="0C09000F">
      <w:start w:val="2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107275A"/>
    <w:multiLevelType w:val="hybridMultilevel"/>
    <w:tmpl w:val="682E3F72"/>
    <w:lvl w:ilvl="0" w:tplc="9F3C2E24">
      <w:start w:val="1"/>
      <w:numFmt w:val="decimal"/>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14"/>
  </w:num>
  <w:num w:numId="3">
    <w:abstractNumId w:val="0"/>
  </w:num>
  <w:num w:numId="4">
    <w:abstractNumId w:val="11"/>
  </w:num>
  <w:num w:numId="5">
    <w:abstractNumId w:val="15"/>
  </w:num>
  <w:num w:numId="6">
    <w:abstractNumId w:val="9"/>
  </w:num>
  <w:num w:numId="7">
    <w:abstractNumId w:val="7"/>
  </w:num>
  <w:num w:numId="8">
    <w:abstractNumId w:val="1"/>
  </w:num>
  <w:num w:numId="9">
    <w:abstractNumId w:val="14"/>
  </w:num>
  <w:num w:numId="10">
    <w:abstractNumId w:val="13"/>
  </w:num>
  <w:num w:numId="11">
    <w:abstractNumId w:val="14"/>
  </w:num>
  <w:num w:numId="12">
    <w:abstractNumId w:val="4"/>
  </w:num>
  <w:num w:numId="13">
    <w:abstractNumId w:val="14"/>
  </w:num>
  <w:num w:numId="14">
    <w:abstractNumId w:val="3"/>
  </w:num>
  <w:num w:numId="15">
    <w:abstractNumId w:val="2"/>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8"/>
  </w:num>
  <w:num w:numId="22">
    <w:abstractNumId w:val="10"/>
  </w:num>
  <w:num w:numId="23">
    <w:abstractNumId w:val="12"/>
  </w:num>
  <w:num w:numId="2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12B5"/>
    <w:rsid w:val="00001663"/>
    <w:rsid w:val="000025AD"/>
    <w:rsid w:val="0000335D"/>
    <w:rsid w:val="0000462F"/>
    <w:rsid w:val="00004843"/>
    <w:rsid w:val="00006782"/>
    <w:rsid w:val="000071B8"/>
    <w:rsid w:val="00011A59"/>
    <w:rsid w:val="00014D69"/>
    <w:rsid w:val="00016A41"/>
    <w:rsid w:val="000214D1"/>
    <w:rsid w:val="0002464A"/>
    <w:rsid w:val="00024917"/>
    <w:rsid w:val="00025A04"/>
    <w:rsid w:val="0002693D"/>
    <w:rsid w:val="0003050E"/>
    <w:rsid w:val="0003106B"/>
    <w:rsid w:val="00034905"/>
    <w:rsid w:val="000421A1"/>
    <w:rsid w:val="0004240E"/>
    <w:rsid w:val="00044917"/>
    <w:rsid w:val="00044EC4"/>
    <w:rsid w:val="00045E26"/>
    <w:rsid w:val="0004751C"/>
    <w:rsid w:val="000514B5"/>
    <w:rsid w:val="0005322E"/>
    <w:rsid w:val="00054E2B"/>
    <w:rsid w:val="00060E64"/>
    <w:rsid w:val="00062E88"/>
    <w:rsid w:val="00063BF0"/>
    <w:rsid w:val="00066193"/>
    <w:rsid w:val="00066755"/>
    <w:rsid w:val="00071A5B"/>
    <w:rsid w:val="00072730"/>
    <w:rsid w:val="0007337F"/>
    <w:rsid w:val="00073BC3"/>
    <w:rsid w:val="00074320"/>
    <w:rsid w:val="000750B9"/>
    <w:rsid w:val="000763D5"/>
    <w:rsid w:val="00076C38"/>
    <w:rsid w:val="00077143"/>
    <w:rsid w:val="00077DF7"/>
    <w:rsid w:val="0008050C"/>
    <w:rsid w:val="000814E1"/>
    <w:rsid w:val="00081E83"/>
    <w:rsid w:val="00082169"/>
    <w:rsid w:val="000834BE"/>
    <w:rsid w:val="00083F01"/>
    <w:rsid w:val="00087C4C"/>
    <w:rsid w:val="000918CB"/>
    <w:rsid w:val="00091B06"/>
    <w:rsid w:val="00091BCC"/>
    <w:rsid w:val="000927E0"/>
    <w:rsid w:val="000951C4"/>
    <w:rsid w:val="00095ADA"/>
    <w:rsid w:val="000969AD"/>
    <w:rsid w:val="000975FB"/>
    <w:rsid w:val="000A02F8"/>
    <w:rsid w:val="000A3AA2"/>
    <w:rsid w:val="000A44B2"/>
    <w:rsid w:val="000A466B"/>
    <w:rsid w:val="000A52F6"/>
    <w:rsid w:val="000A7A41"/>
    <w:rsid w:val="000B44C3"/>
    <w:rsid w:val="000B558D"/>
    <w:rsid w:val="000B5A89"/>
    <w:rsid w:val="000B65F6"/>
    <w:rsid w:val="000B7767"/>
    <w:rsid w:val="000C5F95"/>
    <w:rsid w:val="000C6996"/>
    <w:rsid w:val="000C7C46"/>
    <w:rsid w:val="000D09E9"/>
    <w:rsid w:val="000D113F"/>
    <w:rsid w:val="000D23BA"/>
    <w:rsid w:val="000D4B74"/>
    <w:rsid w:val="000D55C3"/>
    <w:rsid w:val="000E19B7"/>
    <w:rsid w:val="000E20FC"/>
    <w:rsid w:val="000E31EF"/>
    <w:rsid w:val="000E3DFB"/>
    <w:rsid w:val="000E5EA1"/>
    <w:rsid w:val="000E681E"/>
    <w:rsid w:val="000E7E52"/>
    <w:rsid w:val="000F0003"/>
    <w:rsid w:val="000F3384"/>
    <w:rsid w:val="000F4E6A"/>
    <w:rsid w:val="000F7354"/>
    <w:rsid w:val="00101ABE"/>
    <w:rsid w:val="00102202"/>
    <w:rsid w:val="00102700"/>
    <w:rsid w:val="00102A78"/>
    <w:rsid w:val="00103118"/>
    <w:rsid w:val="00104227"/>
    <w:rsid w:val="001107BF"/>
    <w:rsid w:val="0011311D"/>
    <w:rsid w:val="00113649"/>
    <w:rsid w:val="00113D5C"/>
    <w:rsid w:val="001140AA"/>
    <w:rsid w:val="00117FEA"/>
    <w:rsid w:val="0012417C"/>
    <w:rsid w:val="00124BF2"/>
    <w:rsid w:val="0012549C"/>
    <w:rsid w:val="0012597F"/>
    <w:rsid w:val="00125E85"/>
    <w:rsid w:val="0012749D"/>
    <w:rsid w:val="00127E99"/>
    <w:rsid w:val="001306A5"/>
    <w:rsid w:val="00130918"/>
    <w:rsid w:val="00130AC8"/>
    <w:rsid w:val="001311AE"/>
    <w:rsid w:val="00132108"/>
    <w:rsid w:val="00132284"/>
    <w:rsid w:val="00132E89"/>
    <w:rsid w:val="00140B74"/>
    <w:rsid w:val="00140D94"/>
    <w:rsid w:val="00142395"/>
    <w:rsid w:val="00142714"/>
    <w:rsid w:val="00144D09"/>
    <w:rsid w:val="001452ED"/>
    <w:rsid w:val="00146B53"/>
    <w:rsid w:val="00147D84"/>
    <w:rsid w:val="001549C1"/>
    <w:rsid w:val="00155842"/>
    <w:rsid w:val="00156C8D"/>
    <w:rsid w:val="00160F4D"/>
    <w:rsid w:val="00162BDD"/>
    <w:rsid w:val="00162D4E"/>
    <w:rsid w:val="00163329"/>
    <w:rsid w:val="00164623"/>
    <w:rsid w:val="001652DE"/>
    <w:rsid w:val="00165B64"/>
    <w:rsid w:val="00167C39"/>
    <w:rsid w:val="00174006"/>
    <w:rsid w:val="00176B9D"/>
    <w:rsid w:val="00180713"/>
    <w:rsid w:val="00180720"/>
    <w:rsid w:val="001830CE"/>
    <w:rsid w:val="001836E3"/>
    <w:rsid w:val="001859D2"/>
    <w:rsid w:val="00185F22"/>
    <w:rsid w:val="0018643B"/>
    <w:rsid w:val="00196307"/>
    <w:rsid w:val="00197F03"/>
    <w:rsid w:val="001A0D10"/>
    <w:rsid w:val="001A33EA"/>
    <w:rsid w:val="001A4413"/>
    <w:rsid w:val="001A4C4F"/>
    <w:rsid w:val="001A5A2B"/>
    <w:rsid w:val="001A5D89"/>
    <w:rsid w:val="001A76FB"/>
    <w:rsid w:val="001B017F"/>
    <w:rsid w:val="001B0B79"/>
    <w:rsid w:val="001B0C53"/>
    <w:rsid w:val="001B2BBC"/>
    <w:rsid w:val="001B2BCD"/>
    <w:rsid w:val="001B3A40"/>
    <w:rsid w:val="001B3FFE"/>
    <w:rsid w:val="001B5129"/>
    <w:rsid w:val="001B5F12"/>
    <w:rsid w:val="001C0B4C"/>
    <w:rsid w:val="001C0EC4"/>
    <w:rsid w:val="001C1195"/>
    <w:rsid w:val="001C12AE"/>
    <w:rsid w:val="001C1E84"/>
    <w:rsid w:val="001C2E42"/>
    <w:rsid w:val="001C4C30"/>
    <w:rsid w:val="001D1F5F"/>
    <w:rsid w:val="001D71CF"/>
    <w:rsid w:val="001E06D2"/>
    <w:rsid w:val="001E0DFC"/>
    <w:rsid w:val="001E17C4"/>
    <w:rsid w:val="001E719E"/>
    <w:rsid w:val="001F005B"/>
    <w:rsid w:val="001F1850"/>
    <w:rsid w:val="001F1FBF"/>
    <w:rsid w:val="001F2B80"/>
    <w:rsid w:val="001F2F1C"/>
    <w:rsid w:val="001F3189"/>
    <w:rsid w:val="001F3704"/>
    <w:rsid w:val="001F4B37"/>
    <w:rsid w:val="00200176"/>
    <w:rsid w:val="00201FB8"/>
    <w:rsid w:val="00203049"/>
    <w:rsid w:val="00203FAC"/>
    <w:rsid w:val="00213CFB"/>
    <w:rsid w:val="0021553C"/>
    <w:rsid w:val="0021557B"/>
    <w:rsid w:val="00216B87"/>
    <w:rsid w:val="002174FD"/>
    <w:rsid w:val="00217BE1"/>
    <w:rsid w:val="002214B9"/>
    <w:rsid w:val="00223370"/>
    <w:rsid w:val="00230F63"/>
    <w:rsid w:val="00234252"/>
    <w:rsid w:val="0023466E"/>
    <w:rsid w:val="002353A8"/>
    <w:rsid w:val="00237AC6"/>
    <w:rsid w:val="00243086"/>
    <w:rsid w:val="00244139"/>
    <w:rsid w:val="00244490"/>
    <w:rsid w:val="00245B9C"/>
    <w:rsid w:val="00253499"/>
    <w:rsid w:val="00254ED0"/>
    <w:rsid w:val="002551A4"/>
    <w:rsid w:val="00257664"/>
    <w:rsid w:val="00260165"/>
    <w:rsid w:val="00265151"/>
    <w:rsid w:val="00265C2C"/>
    <w:rsid w:val="00266509"/>
    <w:rsid w:val="0027171B"/>
    <w:rsid w:val="00271BA1"/>
    <w:rsid w:val="00272FB7"/>
    <w:rsid w:val="00273AC5"/>
    <w:rsid w:val="002762FA"/>
    <w:rsid w:val="00277505"/>
    <w:rsid w:val="0028158C"/>
    <w:rsid w:val="002823B6"/>
    <w:rsid w:val="002908C4"/>
    <w:rsid w:val="00290C03"/>
    <w:rsid w:val="00294274"/>
    <w:rsid w:val="0029458F"/>
    <w:rsid w:val="002A018F"/>
    <w:rsid w:val="002A0E04"/>
    <w:rsid w:val="002A104C"/>
    <w:rsid w:val="002A1EF7"/>
    <w:rsid w:val="002A2E7B"/>
    <w:rsid w:val="002A494D"/>
    <w:rsid w:val="002A4960"/>
    <w:rsid w:val="002A636A"/>
    <w:rsid w:val="002A6A0E"/>
    <w:rsid w:val="002B0A25"/>
    <w:rsid w:val="002B0AE0"/>
    <w:rsid w:val="002B0C05"/>
    <w:rsid w:val="002B1AE6"/>
    <w:rsid w:val="002B1D51"/>
    <w:rsid w:val="002B2DE8"/>
    <w:rsid w:val="002B30F8"/>
    <w:rsid w:val="002B388A"/>
    <w:rsid w:val="002B3C1A"/>
    <w:rsid w:val="002B5596"/>
    <w:rsid w:val="002B73AC"/>
    <w:rsid w:val="002B77D7"/>
    <w:rsid w:val="002C212F"/>
    <w:rsid w:val="002C2F35"/>
    <w:rsid w:val="002C371A"/>
    <w:rsid w:val="002C6AA9"/>
    <w:rsid w:val="002C7485"/>
    <w:rsid w:val="002C7683"/>
    <w:rsid w:val="002D029B"/>
    <w:rsid w:val="002D22B0"/>
    <w:rsid w:val="002D2641"/>
    <w:rsid w:val="002D283A"/>
    <w:rsid w:val="002D39D7"/>
    <w:rsid w:val="002D4543"/>
    <w:rsid w:val="002E3153"/>
    <w:rsid w:val="002E316F"/>
    <w:rsid w:val="002E4A02"/>
    <w:rsid w:val="002E5292"/>
    <w:rsid w:val="002E72CA"/>
    <w:rsid w:val="002F1D07"/>
    <w:rsid w:val="002F600D"/>
    <w:rsid w:val="002F6F0F"/>
    <w:rsid w:val="002F7E47"/>
    <w:rsid w:val="00300AD6"/>
    <w:rsid w:val="00300B1B"/>
    <w:rsid w:val="003019D0"/>
    <w:rsid w:val="003064AF"/>
    <w:rsid w:val="00307DC6"/>
    <w:rsid w:val="00310A8B"/>
    <w:rsid w:val="00310B68"/>
    <w:rsid w:val="00312780"/>
    <w:rsid w:val="003153B0"/>
    <w:rsid w:val="003160D2"/>
    <w:rsid w:val="003167A5"/>
    <w:rsid w:val="00316C4B"/>
    <w:rsid w:val="003173FC"/>
    <w:rsid w:val="003174CC"/>
    <w:rsid w:val="00317C6C"/>
    <w:rsid w:val="00320B80"/>
    <w:rsid w:val="00320CD3"/>
    <w:rsid w:val="00326E79"/>
    <w:rsid w:val="0032748A"/>
    <w:rsid w:val="003301B1"/>
    <w:rsid w:val="00331189"/>
    <w:rsid w:val="0033263D"/>
    <w:rsid w:val="00334E69"/>
    <w:rsid w:val="0033518A"/>
    <w:rsid w:val="00335535"/>
    <w:rsid w:val="003356A6"/>
    <w:rsid w:val="003367EF"/>
    <w:rsid w:val="003400C8"/>
    <w:rsid w:val="003415EB"/>
    <w:rsid w:val="00341AE4"/>
    <w:rsid w:val="003476EE"/>
    <w:rsid w:val="00347F1A"/>
    <w:rsid w:val="003500E5"/>
    <w:rsid w:val="00350303"/>
    <w:rsid w:val="003541DD"/>
    <w:rsid w:val="00356E5B"/>
    <w:rsid w:val="003615FE"/>
    <w:rsid w:val="003645CD"/>
    <w:rsid w:val="00366563"/>
    <w:rsid w:val="003736C9"/>
    <w:rsid w:val="00383B77"/>
    <w:rsid w:val="00384988"/>
    <w:rsid w:val="003872CF"/>
    <w:rsid w:val="00396EEE"/>
    <w:rsid w:val="0039782C"/>
    <w:rsid w:val="003978C7"/>
    <w:rsid w:val="003A13A6"/>
    <w:rsid w:val="003A2165"/>
    <w:rsid w:val="003A3AF3"/>
    <w:rsid w:val="003A51AB"/>
    <w:rsid w:val="003A5B4A"/>
    <w:rsid w:val="003A5D95"/>
    <w:rsid w:val="003B0670"/>
    <w:rsid w:val="003B0D3A"/>
    <w:rsid w:val="003B2302"/>
    <w:rsid w:val="003B23C5"/>
    <w:rsid w:val="003B2A75"/>
    <w:rsid w:val="003B49B2"/>
    <w:rsid w:val="003B6124"/>
    <w:rsid w:val="003B6B36"/>
    <w:rsid w:val="003B7960"/>
    <w:rsid w:val="003C0908"/>
    <w:rsid w:val="003C093A"/>
    <w:rsid w:val="003C1ECF"/>
    <w:rsid w:val="003C2FB5"/>
    <w:rsid w:val="003D24C5"/>
    <w:rsid w:val="003D4594"/>
    <w:rsid w:val="003D4AC4"/>
    <w:rsid w:val="003D63B7"/>
    <w:rsid w:val="003D659A"/>
    <w:rsid w:val="003D74C5"/>
    <w:rsid w:val="003E06A6"/>
    <w:rsid w:val="003E4374"/>
    <w:rsid w:val="003E468B"/>
    <w:rsid w:val="003E61E7"/>
    <w:rsid w:val="003E62BD"/>
    <w:rsid w:val="003F044F"/>
    <w:rsid w:val="003F0C3A"/>
    <w:rsid w:val="003F15F0"/>
    <w:rsid w:val="003F3228"/>
    <w:rsid w:val="003F5C8C"/>
    <w:rsid w:val="003F63CE"/>
    <w:rsid w:val="003F775A"/>
    <w:rsid w:val="00400E55"/>
    <w:rsid w:val="0040128E"/>
    <w:rsid w:val="0040216B"/>
    <w:rsid w:val="004039D7"/>
    <w:rsid w:val="004055C5"/>
    <w:rsid w:val="0040590E"/>
    <w:rsid w:val="00414F0C"/>
    <w:rsid w:val="00415552"/>
    <w:rsid w:val="00420400"/>
    <w:rsid w:val="004252EC"/>
    <w:rsid w:val="00430D39"/>
    <w:rsid w:val="004415F8"/>
    <w:rsid w:val="00442C91"/>
    <w:rsid w:val="004465BD"/>
    <w:rsid w:val="00446938"/>
    <w:rsid w:val="00452561"/>
    <w:rsid w:val="004528FA"/>
    <w:rsid w:val="0045715D"/>
    <w:rsid w:val="00461A44"/>
    <w:rsid w:val="0046263D"/>
    <w:rsid w:val="00462D26"/>
    <w:rsid w:val="0046385A"/>
    <w:rsid w:val="00464039"/>
    <w:rsid w:val="00466ADA"/>
    <w:rsid w:val="004702BB"/>
    <w:rsid w:val="00471B3A"/>
    <w:rsid w:val="00473EA5"/>
    <w:rsid w:val="0047494B"/>
    <w:rsid w:val="00476245"/>
    <w:rsid w:val="00476C46"/>
    <w:rsid w:val="00477A9B"/>
    <w:rsid w:val="00480FFF"/>
    <w:rsid w:val="00483035"/>
    <w:rsid w:val="00483F37"/>
    <w:rsid w:val="00485863"/>
    <w:rsid w:val="00485940"/>
    <w:rsid w:val="00486C95"/>
    <w:rsid w:val="004877C2"/>
    <w:rsid w:val="004904B9"/>
    <w:rsid w:val="00496662"/>
    <w:rsid w:val="004A1431"/>
    <w:rsid w:val="004A15A1"/>
    <w:rsid w:val="004A2484"/>
    <w:rsid w:val="004A5A85"/>
    <w:rsid w:val="004A71D1"/>
    <w:rsid w:val="004A7C5B"/>
    <w:rsid w:val="004B0A90"/>
    <w:rsid w:val="004B1845"/>
    <w:rsid w:val="004B2348"/>
    <w:rsid w:val="004B2E01"/>
    <w:rsid w:val="004B2E98"/>
    <w:rsid w:val="004B54D4"/>
    <w:rsid w:val="004B5640"/>
    <w:rsid w:val="004B6084"/>
    <w:rsid w:val="004BCF29"/>
    <w:rsid w:val="004C0206"/>
    <w:rsid w:val="004C03D0"/>
    <w:rsid w:val="004C0C9B"/>
    <w:rsid w:val="004C1BD7"/>
    <w:rsid w:val="004C239C"/>
    <w:rsid w:val="004C31FE"/>
    <w:rsid w:val="004C524C"/>
    <w:rsid w:val="004C5FFA"/>
    <w:rsid w:val="004C691D"/>
    <w:rsid w:val="004C6C07"/>
    <w:rsid w:val="004C7E15"/>
    <w:rsid w:val="004D2CD1"/>
    <w:rsid w:val="004D4FF6"/>
    <w:rsid w:val="004D5ADD"/>
    <w:rsid w:val="004D6D0D"/>
    <w:rsid w:val="004D7552"/>
    <w:rsid w:val="004E2C87"/>
    <w:rsid w:val="004E692D"/>
    <w:rsid w:val="004E7230"/>
    <w:rsid w:val="004E7980"/>
    <w:rsid w:val="004E7D87"/>
    <w:rsid w:val="004F2553"/>
    <w:rsid w:val="004F306A"/>
    <w:rsid w:val="004F63E2"/>
    <w:rsid w:val="004F720C"/>
    <w:rsid w:val="00501554"/>
    <w:rsid w:val="00502AFE"/>
    <w:rsid w:val="00502E64"/>
    <w:rsid w:val="00503AD7"/>
    <w:rsid w:val="00503E89"/>
    <w:rsid w:val="00504E0C"/>
    <w:rsid w:val="00504E13"/>
    <w:rsid w:val="005109D4"/>
    <w:rsid w:val="00514CD7"/>
    <w:rsid w:val="005167EC"/>
    <w:rsid w:val="005170DA"/>
    <w:rsid w:val="00520D6A"/>
    <w:rsid w:val="00522DB6"/>
    <w:rsid w:val="005264A7"/>
    <w:rsid w:val="0052792D"/>
    <w:rsid w:val="005319B2"/>
    <w:rsid w:val="00532402"/>
    <w:rsid w:val="00532C74"/>
    <w:rsid w:val="00534111"/>
    <w:rsid w:val="00534E2E"/>
    <w:rsid w:val="00535133"/>
    <w:rsid w:val="0054064C"/>
    <w:rsid w:val="00540E4D"/>
    <w:rsid w:val="00544552"/>
    <w:rsid w:val="00545130"/>
    <w:rsid w:val="0055243E"/>
    <w:rsid w:val="0055286A"/>
    <w:rsid w:val="00555745"/>
    <w:rsid w:val="00557D4F"/>
    <w:rsid w:val="0056122E"/>
    <w:rsid w:val="0056484E"/>
    <w:rsid w:val="00567D8A"/>
    <w:rsid w:val="0057137F"/>
    <w:rsid w:val="005764CD"/>
    <w:rsid w:val="00577C4D"/>
    <w:rsid w:val="00580532"/>
    <w:rsid w:val="00581932"/>
    <w:rsid w:val="005963BB"/>
    <w:rsid w:val="005A15D2"/>
    <w:rsid w:val="005A3173"/>
    <w:rsid w:val="005A3223"/>
    <w:rsid w:val="005A3DA3"/>
    <w:rsid w:val="005A52C4"/>
    <w:rsid w:val="005A63A1"/>
    <w:rsid w:val="005B1473"/>
    <w:rsid w:val="005C1A0D"/>
    <w:rsid w:val="005C4F73"/>
    <w:rsid w:val="005D03AB"/>
    <w:rsid w:val="005D401D"/>
    <w:rsid w:val="005D5017"/>
    <w:rsid w:val="005D63FA"/>
    <w:rsid w:val="005D73C7"/>
    <w:rsid w:val="005E0C2D"/>
    <w:rsid w:val="005E0D82"/>
    <w:rsid w:val="005E0F59"/>
    <w:rsid w:val="005E1333"/>
    <w:rsid w:val="005E3136"/>
    <w:rsid w:val="005E4648"/>
    <w:rsid w:val="005E507D"/>
    <w:rsid w:val="005F0AD0"/>
    <w:rsid w:val="005F1EE9"/>
    <w:rsid w:val="00601A91"/>
    <w:rsid w:val="00602BA3"/>
    <w:rsid w:val="006041AF"/>
    <w:rsid w:val="00605B63"/>
    <w:rsid w:val="00605F9A"/>
    <w:rsid w:val="00606442"/>
    <w:rsid w:val="00606EED"/>
    <w:rsid w:val="00610B71"/>
    <w:rsid w:val="00611F69"/>
    <w:rsid w:val="00612A95"/>
    <w:rsid w:val="00612E34"/>
    <w:rsid w:val="006139D9"/>
    <w:rsid w:val="00614159"/>
    <w:rsid w:val="006158A3"/>
    <w:rsid w:val="00616C5F"/>
    <w:rsid w:val="00616DAC"/>
    <w:rsid w:val="00617725"/>
    <w:rsid w:val="00617C00"/>
    <w:rsid w:val="006263BF"/>
    <w:rsid w:val="0062748A"/>
    <w:rsid w:val="00630546"/>
    <w:rsid w:val="00630A2C"/>
    <w:rsid w:val="006336C1"/>
    <w:rsid w:val="0063474E"/>
    <w:rsid w:val="0063682E"/>
    <w:rsid w:val="00640088"/>
    <w:rsid w:val="00642672"/>
    <w:rsid w:val="00642DA8"/>
    <w:rsid w:val="006436CD"/>
    <w:rsid w:val="00643980"/>
    <w:rsid w:val="0064433B"/>
    <w:rsid w:val="00651169"/>
    <w:rsid w:val="00653D69"/>
    <w:rsid w:val="006552E6"/>
    <w:rsid w:val="006554B3"/>
    <w:rsid w:val="00655794"/>
    <w:rsid w:val="00656F2F"/>
    <w:rsid w:val="0065736B"/>
    <w:rsid w:val="00657C63"/>
    <w:rsid w:val="00661CBC"/>
    <w:rsid w:val="0066290B"/>
    <w:rsid w:val="00662B85"/>
    <w:rsid w:val="00663B87"/>
    <w:rsid w:val="006670BE"/>
    <w:rsid w:val="00670A76"/>
    <w:rsid w:val="006711AA"/>
    <w:rsid w:val="00672A04"/>
    <w:rsid w:val="00672B57"/>
    <w:rsid w:val="00673F1F"/>
    <w:rsid w:val="00675622"/>
    <w:rsid w:val="0067747D"/>
    <w:rsid w:val="00680284"/>
    <w:rsid w:val="00680CE7"/>
    <w:rsid w:val="006818D5"/>
    <w:rsid w:val="00681CA4"/>
    <w:rsid w:val="00683E76"/>
    <w:rsid w:val="0069039D"/>
    <w:rsid w:val="006906DB"/>
    <w:rsid w:val="00691900"/>
    <w:rsid w:val="00691E6C"/>
    <w:rsid w:val="0069342D"/>
    <w:rsid w:val="00693DFB"/>
    <w:rsid w:val="00694FD5"/>
    <w:rsid w:val="0069501D"/>
    <w:rsid w:val="00696129"/>
    <w:rsid w:val="00697CF2"/>
    <w:rsid w:val="006A12A5"/>
    <w:rsid w:val="006A2515"/>
    <w:rsid w:val="006A39CA"/>
    <w:rsid w:val="006A4F64"/>
    <w:rsid w:val="006A5E20"/>
    <w:rsid w:val="006A5E60"/>
    <w:rsid w:val="006B0523"/>
    <w:rsid w:val="006B0D94"/>
    <w:rsid w:val="006B2E52"/>
    <w:rsid w:val="006B3065"/>
    <w:rsid w:val="006B35DD"/>
    <w:rsid w:val="006B485D"/>
    <w:rsid w:val="006B56A2"/>
    <w:rsid w:val="006C0C45"/>
    <w:rsid w:val="006C334C"/>
    <w:rsid w:val="006C6C10"/>
    <w:rsid w:val="006C708E"/>
    <w:rsid w:val="006D14E7"/>
    <w:rsid w:val="006D2B6E"/>
    <w:rsid w:val="006D4444"/>
    <w:rsid w:val="006D6493"/>
    <w:rsid w:val="006D6EC7"/>
    <w:rsid w:val="006E1127"/>
    <w:rsid w:val="006E1BCD"/>
    <w:rsid w:val="006E2732"/>
    <w:rsid w:val="006E3BCE"/>
    <w:rsid w:val="006E59CD"/>
    <w:rsid w:val="006F0A71"/>
    <w:rsid w:val="006F1C6B"/>
    <w:rsid w:val="006F239F"/>
    <w:rsid w:val="006F40C2"/>
    <w:rsid w:val="006F5125"/>
    <w:rsid w:val="006F733D"/>
    <w:rsid w:val="00700765"/>
    <w:rsid w:val="0070082C"/>
    <w:rsid w:val="00702959"/>
    <w:rsid w:val="00702B6F"/>
    <w:rsid w:val="00704069"/>
    <w:rsid w:val="00706A2F"/>
    <w:rsid w:val="0070718E"/>
    <w:rsid w:val="00707E52"/>
    <w:rsid w:val="00710259"/>
    <w:rsid w:val="0071031F"/>
    <w:rsid w:val="007107FF"/>
    <w:rsid w:val="0071340B"/>
    <w:rsid w:val="0071436D"/>
    <w:rsid w:val="00715BBB"/>
    <w:rsid w:val="007174BB"/>
    <w:rsid w:val="0072025D"/>
    <w:rsid w:val="00721CCB"/>
    <w:rsid w:val="00723328"/>
    <w:rsid w:val="0073137C"/>
    <w:rsid w:val="007340B9"/>
    <w:rsid w:val="00734FD8"/>
    <w:rsid w:val="007353D3"/>
    <w:rsid w:val="00740289"/>
    <w:rsid w:val="0074156B"/>
    <w:rsid w:val="00741619"/>
    <w:rsid w:val="007456A6"/>
    <w:rsid w:val="00747092"/>
    <w:rsid w:val="007526E6"/>
    <w:rsid w:val="00754DF9"/>
    <w:rsid w:val="007555E8"/>
    <w:rsid w:val="00755CC5"/>
    <w:rsid w:val="00761102"/>
    <w:rsid w:val="0076420C"/>
    <w:rsid w:val="00771D07"/>
    <w:rsid w:val="00773BE3"/>
    <w:rsid w:val="007743DD"/>
    <w:rsid w:val="00774E2C"/>
    <w:rsid w:val="0077518D"/>
    <w:rsid w:val="007753C2"/>
    <w:rsid w:val="00776772"/>
    <w:rsid w:val="00777625"/>
    <w:rsid w:val="007815B1"/>
    <w:rsid w:val="007838B8"/>
    <w:rsid w:val="00784784"/>
    <w:rsid w:val="00784B3C"/>
    <w:rsid w:val="00787FD8"/>
    <w:rsid w:val="007915BA"/>
    <w:rsid w:val="00791844"/>
    <w:rsid w:val="007979BD"/>
    <w:rsid w:val="007A493E"/>
    <w:rsid w:val="007A6A2F"/>
    <w:rsid w:val="007B024E"/>
    <w:rsid w:val="007B3DDC"/>
    <w:rsid w:val="007B72A6"/>
    <w:rsid w:val="007B790B"/>
    <w:rsid w:val="007C06D2"/>
    <w:rsid w:val="007C08E0"/>
    <w:rsid w:val="007C0F57"/>
    <w:rsid w:val="007C15DB"/>
    <w:rsid w:val="007C40B6"/>
    <w:rsid w:val="007C729F"/>
    <w:rsid w:val="007D503D"/>
    <w:rsid w:val="007D59E7"/>
    <w:rsid w:val="007D5F2A"/>
    <w:rsid w:val="007E1D28"/>
    <w:rsid w:val="007E490F"/>
    <w:rsid w:val="007E7A02"/>
    <w:rsid w:val="007F0021"/>
    <w:rsid w:val="007F2641"/>
    <w:rsid w:val="007F5F2E"/>
    <w:rsid w:val="007F7C36"/>
    <w:rsid w:val="008055AF"/>
    <w:rsid w:val="008057CD"/>
    <w:rsid w:val="00806796"/>
    <w:rsid w:val="00806E93"/>
    <w:rsid w:val="00810167"/>
    <w:rsid w:val="00811CC0"/>
    <w:rsid w:val="00813049"/>
    <w:rsid w:val="00814359"/>
    <w:rsid w:val="008151D6"/>
    <w:rsid w:val="00821527"/>
    <w:rsid w:val="00822696"/>
    <w:rsid w:val="00825A6C"/>
    <w:rsid w:val="0082617E"/>
    <w:rsid w:val="008268BB"/>
    <w:rsid w:val="00826F6D"/>
    <w:rsid w:val="008306F3"/>
    <w:rsid w:val="00830E40"/>
    <w:rsid w:val="00832D9A"/>
    <w:rsid w:val="00835C62"/>
    <w:rsid w:val="008368A1"/>
    <w:rsid w:val="00840EF7"/>
    <w:rsid w:val="00844C0A"/>
    <w:rsid w:val="00846056"/>
    <w:rsid w:val="0084681F"/>
    <w:rsid w:val="00847EC0"/>
    <w:rsid w:val="00853217"/>
    <w:rsid w:val="00855FD6"/>
    <w:rsid w:val="00856DDD"/>
    <w:rsid w:val="0086215C"/>
    <w:rsid w:val="00863E68"/>
    <w:rsid w:val="008647B5"/>
    <w:rsid w:val="008647D3"/>
    <w:rsid w:val="00867D64"/>
    <w:rsid w:val="00872E8F"/>
    <w:rsid w:val="00875C50"/>
    <w:rsid w:val="00875D66"/>
    <w:rsid w:val="00875DCB"/>
    <w:rsid w:val="008768EC"/>
    <w:rsid w:val="0087755A"/>
    <w:rsid w:val="00882085"/>
    <w:rsid w:val="00883188"/>
    <w:rsid w:val="008849CE"/>
    <w:rsid w:val="00884A0C"/>
    <w:rsid w:val="00886ACA"/>
    <w:rsid w:val="00887D95"/>
    <w:rsid w:val="0089031E"/>
    <w:rsid w:val="00893D55"/>
    <w:rsid w:val="0089460B"/>
    <w:rsid w:val="00897D58"/>
    <w:rsid w:val="00897F22"/>
    <w:rsid w:val="008A0B39"/>
    <w:rsid w:val="008A17A3"/>
    <w:rsid w:val="008A1956"/>
    <w:rsid w:val="008A1E85"/>
    <w:rsid w:val="008A2419"/>
    <w:rsid w:val="008A4937"/>
    <w:rsid w:val="008A50F1"/>
    <w:rsid w:val="008A59D9"/>
    <w:rsid w:val="008A643E"/>
    <w:rsid w:val="008A6819"/>
    <w:rsid w:val="008B2EC0"/>
    <w:rsid w:val="008B6DCF"/>
    <w:rsid w:val="008C639F"/>
    <w:rsid w:val="008D0945"/>
    <w:rsid w:val="008D1409"/>
    <w:rsid w:val="008D15CC"/>
    <w:rsid w:val="008D1729"/>
    <w:rsid w:val="008D1B5C"/>
    <w:rsid w:val="008D3C82"/>
    <w:rsid w:val="008D447E"/>
    <w:rsid w:val="008D6ACF"/>
    <w:rsid w:val="008D7A41"/>
    <w:rsid w:val="008E2C72"/>
    <w:rsid w:val="008E3680"/>
    <w:rsid w:val="008E5870"/>
    <w:rsid w:val="008E77E4"/>
    <w:rsid w:val="008F0213"/>
    <w:rsid w:val="008F07ED"/>
    <w:rsid w:val="008F11F8"/>
    <w:rsid w:val="008F1434"/>
    <w:rsid w:val="008F2BB9"/>
    <w:rsid w:val="008F3D6A"/>
    <w:rsid w:val="008F462E"/>
    <w:rsid w:val="008F54C3"/>
    <w:rsid w:val="008F7355"/>
    <w:rsid w:val="009023DC"/>
    <w:rsid w:val="009027C5"/>
    <w:rsid w:val="00904413"/>
    <w:rsid w:val="009067B7"/>
    <w:rsid w:val="0090775A"/>
    <w:rsid w:val="00907DFD"/>
    <w:rsid w:val="00913781"/>
    <w:rsid w:val="00913C99"/>
    <w:rsid w:val="00917D69"/>
    <w:rsid w:val="00920B6D"/>
    <w:rsid w:val="00923D09"/>
    <w:rsid w:val="00925BED"/>
    <w:rsid w:val="00926560"/>
    <w:rsid w:val="00926B15"/>
    <w:rsid w:val="00930291"/>
    <w:rsid w:val="00930937"/>
    <w:rsid w:val="009324A6"/>
    <w:rsid w:val="00933E6C"/>
    <w:rsid w:val="009341F7"/>
    <w:rsid w:val="00935A6E"/>
    <w:rsid w:val="00937958"/>
    <w:rsid w:val="009406E5"/>
    <w:rsid w:val="00941602"/>
    <w:rsid w:val="00942160"/>
    <w:rsid w:val="00942AA3"/>
    <w:rsid w:val="00942C51"/>
    <w:rsid w:val="00946921"/>
    <w:rsid w:val="00947343"/>
    <w:rsid w:val="009511FF"/>
    <w:rsid w:val="0095146F"/>
    <w:rsid w:val="009534C7"/>
    <w:rsid w:val="009566FC"/>
    <w:rsid w:val="00957944"/>
    <w:rsid w:val="009602C5"/>
    <w:rsid w:val="00962223"/>
    <w:rsid w:val="0096252B"/>
    <w:rsid w:val="00964A9F"/>
    <w:rsid w:val="00966D0D"/>
    <w:rsid w:val="00967732"/>
    <w:rsid w:val="0096783C"/>
    <w:rsid w:val="009722B3"/>
    <w:rsid w:val="00973E24"/>
    <w:rsid w:val="00974C21"/>
    <w:rsid w:val="00975948"/>
    <w:rsid w:val="00977BF3"/>
    <w:rsid w:val="009803E4"/>
    <w:rsid w:val="00980B0E"/>
    <w:rsid w:val="00982B39"/>
    <w:rsid w:val="009836A3"/>
    <w:rsid w:val="00983C57"/>
    <w:rsid w:val="00984C58"/>
    <w:rsid w:val="009855A8"/>
    <w:rsid w:val="00985D1A"/>
    <w:rsid w:val="009913F4"/>
    <w:rsid w:val="00991782"/>
    <w:rsid w:val="009937F7"/>
    <w:rsid w:val="0099465B"/>
    <w:rsid w:val="009951A1"/>
    <w:rsid w:val="009960B7"/>
    <w:rsid w:val="00997A44"/>
    <w:rsid w:val="009A08D0"/>
    <w:rsid w:val="009A0CDD"/>
    <w:rsid w:val="009A3168"/>
    <w:rsid w:val="009A455D"/>
    <w:rsid w:val="009A4BDF"/>
    <w:rsid w:val="009A4D1B"/>
    <w:rsid w:val="009A5D04"/>
    <w:rsid w:val="009A61CA"/>
    <w:rsid w:val="009B0C64"/>
    <w:rsid w:val="009B0F67"/>
    <w:rsid w:val="009B2756"/>
    <w:rsid w:val="009B3D56"/>
    <w:rsid w:val="009B3F8C"/>
    <w:rsid w:val="009B533B"/>
    <w:rsid w:val="009B53EC"/>
    <w:rsid w:val="009B57AE"/>
    <w:rsid w:val="009C703C"/>
    <w:rsid w:val="009D0C29"/>
    <w:rsid w:val="009D206E"/>
    <w:rsid w:val="009D3CAA"/>
    <w:rsid w:val="009D507A"/>
    <w:rsid w:val="009D6532"/>
    <w:rsid w:val="009D71FD"/>
    <w:rsid w:val="009E10AD"/>
    <w:rsid w:val="009E229E"/>
    <w:rsid w:val="009E2588"/>
    <w:rsid w:val="009E2E8E"/>
    <w:rsid w:val="009E40E1"/>
    <w:rsid w:val="009E486A"/>
    <w:rsid w:val="009F02B1"/>
    <w:rsid w:val="009F0DFF"/>
    <w:rsid w:val="009F0EFA"/>
    <w:rsid w:val="009F4E46"/>
    <w:rsid w:val="009F5A46"/>
    <w:rsid w:val="009F5B65"/>
    <w:rsid w:val="009F5DE3"/>
    <w:rsid w:val="009F5F2E"/>
    <w:rsid w:val="00A01432"/>
    <w:rsid w:val="00A01CA9"/>
    <w:rsid w:val="00A04F8A"/>
    <w:rsid w:val="00A06225"/>
    <w:rsid w:val="00A06B84"/>
    <w:rsid w:val="00A07D7E"/>
    <w:rsid w:val="00A110D1"/>
    <w:rsid w:val="00A11564"/>
    <w:rsid w:val="00A12587"/>
    <w:rsid w:val="00A128E6"/>
    <w:rsid w:val="00A144D3"/>
    <w:rsid w:val="00A22AC3"/>
    <w:rsid w:val="00A23F3F"/>
    <w:rsid w:val="00A24067"/>
    <w:rsid w:val="00A24A4B"/>
    <w:rsid w:val="00A2579B"/>
    <w:rsid w:val="00A2744D"/>
    <w:rsid w:val="00A30D16"/>
    <w:rsid w:val="00A34E6C"/>
    <w:rsid w:val="00A34FD0"/>
    <w:rsid w:val="00A36398"/>
    <w:rsid w:val="00A37C8D"/>
    <w:rsid w:val="00A4020E"/>
    <w:rsid w:val="00A408E8"/>
    <w:rsid w:val="00A40FB5"/>
    <w:rsid w:val="00A42826"/>
    <w:rsid w:val="00A429B3"/>
    <w:rsid w:val="00A44EC1"/>
    <w:rsid w:val="00A474BD"/>
    <w:rsid w:val="00A5071D"/>
    <w:rsid w:val="00A510E4"/>
    <w:rsid w:val="00A5273B"/>
    <w:rsid w:val="00A53A9D"/>
    <w:rsid w:val="00A55FEE"/>
    <w:rsid w:val="00A57422"/>
    <w:rsid w:val="00A62C1A"/>
    <w:rsid w:val="00A6426D"/>
    <w:rsid w:val="00A665C1"/>
    <w:rsid w:val="00A673A4"/>
    <w:rsid w:val="00A7001A"/>
    <w:rsid w:val="00A70622"/>
    <w:rsid w:val="00A70977"/>
    <w:rsid w:val="00A70D58"/>
    <w:rsid w:val="00A74484"/>
    <w:rsid w:val="00A744F9"/>
    <w:rsid w:val="00A77613"/>
    <w:rsid w:val="00A77B87"/>
    <w:rsid w:val="00A81851"/>
    <w:rsid w:val="00A8390C"/>
    <w:rsid w:val="00A85060"/>
    <w:rsid w:val="00A86AE0"/>
    <w:rsid w:val="00A90E2C"/>
    <w:rsid w:val="00A91362"/>
    <w:rsid w:val="00A9151C"/>
    <w:rsid w:val="00A919C6"/>
    <w:rsid w:val="00A928BD"/>
    <w:rsid w:val="00A929B8"/>
    <w:rsid w:val="00A97DE9"/>
    <w:rsid w:val="00AA12CD"/>
    <w:rsid w:val="00AA2728"/>
    <w:rsid w:val="00AA440E"/>
    <w:rsid w:val="00AA4D1C"/>
    <w:rsid w:val="00AA52FD"/>
    <w:rsid w:val="00AA567F"/>
    <w:rsid w:val="00AA6060"/>
    <w:rsid w:val="00AA7006"/>
    <w:rsid w:val="00AA7407"/>
    <w:rsid w:val="00AB4684"/>
    <w:rsid w:val="00AB5856"/>
    <w:rsid w:val="00AC081D"/>
    <w:rsid w:val="00AC193C"/>
    <w:rsid w:val="00AC30C1"/>
    <w:rsid w:val="00AC4DE5"/>
    <w:rsid w:val="00AC5206"/>
    <w:rsid w:val="00AC586A"/>
    <w:rsid w:val="00AD1425"/>
    <w:rsid w:val="00AD2193"/>
    <w:rsid w:val="00AD3106"/>
    <w:rsid w:val="00AD4322"/>
    <w:rsid w:val="00AD6B0D"/>
    <w:rsid w:val="00AE0725"/>
    <w:rsid w:val="00AE07F9"/>
    <w:rsid w:val="00AE11A5"/>
    <w:rsid w:val="00AE13E2"/>
    <w:rsid w:val="00AE22D3"/>
    <w:rsid w:val="00AE330B"/>
    <w:rsid w:val="00AE4DD7"/>
    <w:rsid w:val="00AE5A49"/>
    <w:rsid w:val="00AF11D8"/>
    <w:rsid w:val="00AF1E67"/>
    <w:rsid w:val="00AF2BD0"/>
    <w:rsid w:val="00AF3DE7"/>
    <w:rsid w:val="00AF5867"/>
    <w:rsid w:val="00AF62DF"/>
    <w:rsid w:val="00AF68CC"/>
    <w:rsid w:val="00AF6F0E"/>
    <w:rsid w:val="00AF70D7"/>
    <w:rsid w:val="00B00CD0"/>
    <w:rsid w:val="00B00E7F"/>
    <w:rsid w:val="00B01FF4"/>
    <w:rsid w:val="00B0326D"/>
    <w:rsid w:val="00B06478"/>
    <w:rsid w:val="00B07533"/>
    <w:rsid w:val="00B07CFB"/>
    <w:rsid w:val="00B10034"/>
    <w:rsid w:val="00B1059E"/>
    <w:rsid w:val="00B125C4"/>
    <w:rsid w:val="00B14A36"/>
    <w:rsid w:val="00B16273"/>
    <w:rsid w:val="00B170A5"/>
    <w:rsid w:val="00B1725F"/>
    <w:rsid w:val="00B176C8"/>
    <w:rsid w:val="00B17EE5"/>
    <w:rsid w:val="00B205AA"/>
    <w:rsid w:val="00B22E84"/>
    <w:rsid w:val="00B233AD"/>
    <w:rsid w:val="00B23E25"/>
    <w:rsid w:val="00B25F75"/>
    <w:rsid w:val="00B26B3F"/>
    <w:rsid w:val="00B26D76"/>
    <w:rsid w:val="00B2778F"/>
    <w:rsid w:val="00B3032E"/>
    <w:rsid w:val="00B327E2"/>
    <w:rsid w:val="00B33635"/>
    <w:rsid w:val="00B42AF4"/>
    <w:rsid w:val="00B43E90"/>
    <w:rsid w:val="00B44308"/>
    <w:rsid w:val="00B45722"/>
    <w:rsid w:val="00B467DC"/>
    <w:rsid w:val="00B50E18"/>
    <w:rsid w:val="00B52BE4"/>
    <w:rsid w:val="00B5392A"/>
    <w:rsid w:val="00B53E8C"/>
    <w:rsid w:val="00B55322"/>
    <w:rsid w:val="00B56118"/>
    <w:rsid w:val="00B566E1"/>
    <w:rsid w:val="00B5671A"/>
    <w:rsid w:val="00B602F6"/>
    <w:rsid w:val="00B6773F"/>
    <w:rsid w:val="00B70090"/>
    <w:rsid w:val="00B70EB3"/>
    <w:rsid w:val="00B72906"/>
    <w:rsid w:val="00B74F48"/>
    <w:rsid w:val="00B7525E"/>
    <w:rsid w:val="00B760FB"/>
    <w:rsid w:val="00B76765"/>
    <w:rsid w:val="00B767AB"/>
    <w:rsid w:val="00B77222"/>
    <w:rsid w:val="00B77ED9"/>
    <w:rsid w:val="00B801BA"/>
    <w:rsid w:val="00B812D6"/>
    <w:rsid w:val="00B81C03"/>
    <w:rsid w:val="00B845FA"/>
    <w:rsid w:val="00B84D5C"/>
    <w:rsid w:val="00B85AF6"/>
    <w:rsid w:val="00B90541"/>
    <w:rsid w:val="00B93BD7"/>
    <w:rsid w:val="00B956ED"/>
    <w:rsid w:val="00BA2DA8"/>
    <w:rsid w:val="00BA347C"/>
    <w:rsid w:val="00BA702F"/>
    <w:rsid w:val="00BB298A"/>
    <w:rsid w:val="00BB3469"/>
    <w:rsid w:val="00BB5C49"/>
    <w:rsid w:val="00BB6117"/>
    <w:rsid w:val="00BB6240"/>
    <w:rsid w:val="00BB6285"/>
    <w:rsid w:val="00BB69F5"/>
    <w:rsid w:val="00BB7EC3"/>
    <w:rsid w:val="00BC04B1"/>
    <w:rsid w:val="00BC470E"/>
    <w:rsid w:val="00BC4B9A"/>
    <w:rsid w:val="00BC7906"/>
    <w:rsid w:val="00BD02C3"/>
    <w:rsid w:val="00BD6551"/>
    <w:rsid w:val="00BD7483"/>
    <w:rsid w:val="00BD784C"/>
    <w:rsid w:val="00BE020A"/>
    <w:rsid w:val="00BE07BB"/>
    <w:rsid w:val="00BE13DF"/>
    <w:rsid w:val="00BE25D7"/>
    <w:rsid w:val="00BE2954"/>
    <w:rsid w:val="00BF092C"/>
    <w:rsid w:val="00BF27A0"/>
    <w:rsid w:val="00BF4CB6"/>
    <w:rsid w:val="00BF6CBD"/>
    <w:rsid w:val="00C00DA7"/>
    <w:rsid w:val="00C03EEC"/>
    <w:rsid w:val="00C04CDE"/>
    <w:rsid w:val="00C068A6"/>
    <w:rsid w:val="00C12768"/>
    <w:rsid w:val="00C12D70"/>
    <w:rsid w:val="00C16724"/>
    <w:rsid w:val="00C21B09"/>
    <w:rsid w:val="00C2673A"/>
    <w:rsid w:val="00C27B58"/>
    <w:rsid w:val="00C27C1C"/>
    <w:rsid w:val="00C33186"/>
    <w:rsid w:val="00C35996"/>
    <w:rsid w:val="00C41FEA"/>
    <w:rsid w:val="00C421C5"/>
    <w:rsid w:val="00C4747E"/>
    <w:rsid w:val="00C5056A"/>
    <w:rsid w:val="00C5151E"/>
    <w:rsid w:val="00C5342C"/>
    <w:rsid w:val="00C53B2B"/>
    <w:rsid w:val="00C57465"/>
    <w:rsid w:val="00C60272"/>
    <w:rsid w:val="00C603D4"/>
    <w:rsid w:val="00C6256A"/>
    <w:rsid w:val="00C6438D"/>
    <w:rsid w:val="00C64EBC"/>
    <w:rsid w:val="00C664D2"/>
    <w:rsid w:val="00C710E2"/>
    <w:rsid w:val="00C71C3F"/>
    <w:rsid w:val="00C7409E"/>
    <w:rsid w:val="00C745D9"/>
    <w:rsid w:val="00C74D6D"/>
    <w:rsid w:val="00C76E76"/>
    <w:rsid w:val="00C77891"/>
    <w:rsid w:val="00C829A9"/>
    <w:rsid w:val="00C87B80"/>
    <w:rsid w:val="00C90330"/>
    <w:rsid w:val="00C91449"/>
    <w:rsid w:val="00C92D10"/>
    <w:rsid w:val="00C93BA9"/>
    <w:rsid w:val="00C96EC0"/>
    <w:rsid w:val="00CA2750"/>
    <w:rsid w:val="00CA48D9"/>
    <w:rsid w:val="00CA797E"/>
    <w:rsid w:val="00CB0CEA"/>
    <w:rsid w:val="00CB1193"/>
    <w:rsid w:val="00CB4767"/>
    <w:rsid w:val="00CB493D"/>
    <w:rsid w:val="00CB55AA"/>
    <w:rsid w:val="00CB5CBA"/>
    <w:rsid w:val="00CB6D1F"/>
    <w:rsid w:val="00CC0298"/>
    <w:rsid w:val="00CC3B97"/>
    <w:rsid w:val="00CC3E8D"/>
    <w:rsid w:val="00CD2E37"/>
    <w:rsid w:val="00CD3563"/>
    <w:rsid w:val="00CD6257"/>
    <w:rsid w:val="00CD7C0B"/>
    <w:rsid w:val="00CE10C4"/>
    <w:rsid w:val="00CE222D"/>
    <w:rsid w:val="00CE2343"/>
    <w:rsid w:val="00CE27B5"/>
    <w:rsid w:val="00CE6303"/>
    <w:rsid w:val="00CE6DAF"/>
    <w:rsid w:val="00CF410A"/>
    <w:rsid w:val="00CF7528"/>
    <w:rsid w:val="00CF7FDE"/>
    <w:rsid w:val="00D0321E"/>
    <w:rsid w:val="00D069EB"/>
    <w:rsid w:val="00D07A8A"/>
    <w:rsid w:val="00D11199"/>
    <w:rsid w:val="00D1455A"/>
    <w:rsid w:val="00D14A70"/>
    <w:rsid w:val="00D207EA"/>
    <w:rsid w:val="00D21341"/>
    <w:rsid w:val="00D215E9"/>
    <w:rsid w:val="00D22093"/>
    <w:rsid w:val="00D233A8"/>
    <w:rsid w:val="00D31150"/>
    <w:rsid w:val="00D3138B"/>
    <w:rsid w:val="00D31FCE"/>
    <w:rsid w:val="00D3280C"/>
    <w:rsid w:val="00D3406A"/>
    <w:rsid w:val="00D36031"/>
    <w:rsid w:val="00D4031B"/>
    <w:rsid w:val="00D40B11"/>
    <w:rsid w:val="00D429EC"/>
    <w:rsid w:val="00D441F1"/>
    <w:rsid w:val="00D4572C"/>
    <w:rsid w:val="00D469B2"/>
    <w:rsid w:val="00D51CD9"/>
    <w:rsid w:val="00D52B24"/>
    <w:rsid w:val="00D54B09"/>
    <w:rsid w:val="00D6243E"/>
    <w:rsid w:val="00D65658"/>
    <w:rsid w:val="00D67EB2"/>
    <w:rsid w:val="00D70349"/>
    <w:rsid w:val="00D72B6F"/>
    <w:rsid w:val="00D72DC8"/>
    <w:rsid w:val="00D72DF3"/>
    <w:rsid w:val="00D741EB"/>
    <w:rsid w:val="00D7679C"/>
    <w:rsid w:val="00D820F3"/>
    <w:rsid w:val="00D83605"/>
    <w:rsid w:val="00D84934"/>
    <w:rsid w:val="00D866EB"/>
    <w:rsid w:val="00D86D61"/>
    <w:rsid w:val="00D87D1A"/>
    <w:rsid w:val="00D91271"/>
    <w:rsid w:val="00D919F5"/>
    <w:rsid w:val="00D945F6"/>
    <w:rsid w:val="00D94F03"/>
    <w:rsid w:val="00D95161"/>
    <w:rsid w:val="00DA03E9"/>
    <w:rsid w:val="00DA0A82"/>
    <w:rsid w:val="00DA0D14"/>
    <w:rsid w:val="00DA1FC9"/>
    <w:rsid w:val="00DA2CB5"/>
    <w:rsid w:val="00DA4BAC"/>
    <w:rsid w:val="00DB0151"/>
    <w:rsid w:val="00DB04D7"/>
    <w:rsid w:val="00DB50E1"/>
    <w:rsid w:val="00DC0566"/>
    <w:rsid w:val="00DC05E1"/>
    <w:rsid w:val="00DC1499"/>
    <w:rsid w:val="00DC2C3E"/>
    <w:rsid w:val="00DC3137"/>
    <w:rsid w:val="00DC4880"/>
    <w:rsid w:val="00DD26F9"/>
    <w:rsid w:val="00DD42AB"/>
    <w:rsid w:val="00DD4AD3"/>
    <w:rsid w:val="00DE06AF"/>
    <w:rsid w:val="00DE6D27"/>
    <w:rsid w:val="00DF01F8"/>
    <w:rsid w:val="00DF021D"/>
    <w:rsid w:val="00DF14EE"/>
    <w:rsid w:val="00DF217D"/>
    <w:rsid w:val="00DF26A7"/>
    <w:rsid w:val="00DF3277"/>
    <w:rsid w:val="00DF6A31"/>
    <w:rsid w:val="00DF77A1"/>
    <w:rsid w:val="00DF7919"/>
    <w:rsid w:val="00E00EE3"/>
    <w:rsid w:val="00E0207E"/>
    <w:rsid w:val="00E02AE6"/>
    <w:rsid w:val="00E03912"/>
    <w:rsid w:val="00E04748"/>
    <w:rsid w:val="00E05AD4"/>
    <w:rsid w:val="00E078D9"/>
    <w:rsid w:val="00E10293"/>
    <w:rsid w:val="00E103A0"/>
    <w:rsid w:val="00E1043F"/>
    <w:rsid w:val="00E11F44"/>
    <w:rsid w:val="00E13E60"/>
    <w:rsid w:val="00E14A65"/>
    <w:rsid w:val="00E15627"/>
    <w:rsid w:val="00E164B3"/>
    <w:rsid w:val="00E16910"/>
    <w:rsid w:val="00E21C70"/>
    <w:rsid w:val="00E239E2"/>
    <w:rsid w:val="00E24E09"/>
    <w:rsid w:val="00E25D6A"/>
    <w:rsid w:val="00E27234"/>
    <w:rsid w:val="00E3186F"/>
    <w:rsid w:val="00E32C99"/>
    <w:rsid w:val="00E3495C"/>
    <w:rsid w:val="00E42BDB"/>
    <w:rsid w:val="00E506CB"/>
    <w:rsid w:val="00E51408"/>
    <w:rsid w:val="00E55E07"/>
    <w:rsid w:val="00E5642C"/>
    <w:rsid w:val="00E5726D"/>
    <w:rsid w:val="00E57EEB"/>
    <w:rsid w:val="00E62D94"/>
    <w:rsid w:val="00E62ECC"/>
    <w:rsid w:val="00E63171"/>
    <w:rsid w:val="00E64F37"/>
    <w:rsid w:val="00E65091"/>
    <w:rsid w:val="00E65E54"/>
    <w:rsid w:val="00E661C7"/>
    <w:rsid w:val="00E732C4"/>
    <w:rsid w:val="00E74E41"/>
    <w:rsid w:val="00E80155"/>
    <w:rsid w:val="00E8134B"/>
    <w:rsid w:val="00E81E0D"/>
    <w:rsid w:val="00E81F28"/>
    <w:rsid w:val="00E82AC4"/>
    <w:rsid w:val="00E848C0"/>
    <w:rsid w:val="00E84BB8"/>
    <w:rsid w:val="00E84EF3"/>
    <w:rsid w:val="00E86F92"/>
    <w:rsid w:val="00E91B96"/>
    <w:rsid w:val="00E935DA"/>
    <w:rsid w:val="00E93D1E"/>
    <w:rsid w:val="00E941A1"/>
    <w:rsid w:val="00E95CE3"/>
    <w:rsid w:val="00E95F9A"/>
    <w:rsid w:val="00EA0856"/>
    <w:rsid w:val="00EA252F"/>
    <w:rsid w:val="00EA2825"/>
    <w:rsid w:val="00EA6518"/>
    <w:rsid w:val="00EA71A2"/>
    <w:rsid w:val="00EA7466"/>
    <w:rsid w:val="00EA7784"/>
    <w:rsid w:val="00EA7EDE"/>
    <w:rsid w:val="00EB0B63"/>
    <w:rsid w:val="00EB1936"/>
    <w:rsid w:val="00EB3545"/>
    <w:rsid w:val="00EB37BE"/>
    <w:rsid w:val="00EB4BAE"/>
    <w:rsid w:val="00EB5088"/>
    <w:rsid w:val="00EB570F"/>
    <w:rsid w:val="00EB7210"/>
    <w:rsid w:val="00EC2726"/>
    <w:rsid w:val="00EC681C"/>
    <w:rsid w:val="00ED0B3A"/>
    <w:rsid w:val="00ED1644"/>
    <w:rsid w:val="00ED2593"/>
    <w:rsid w:val="00ED3709"/>
    <w:rsid w:val="00ED510E"/>
    <w:rsid w:val="00ED722E"/>
    <w:rsid w:val="00ED7C31"/>
    <w:rsid w:val="00ED7D55"/>
    <w:rsid w:val="00ED7D9C"/>
    <w:rsid w:val="00EE31A2"/>
    <w:rsid w:val="00EE56C6"/>
    <w:rsid w:val="00EF0069"/>
    <w:rsid w:val="00EF44A0"/>
    <w:rsid w:val="00EF4580"/>
    <w:rsid w:val="00EF4D00"/>
    <w:rsid w:val="00EF4FED"/>
    <w:rsid w:val="00EF5F45"/>
    <w:rsid w:val="00EF6843"/>
    <w:rsid w:val="00EF6FB3"/>
    <w:rsid w:val="00EF7D95"/>
    <w:rsid w:val="00F0068B"/>
    <w:rsid w:val="00F007C6"/>
    <w:rsid w:val="00F0172E"/>
    <w:rsid w:val="00F050BD"/>
    <w:rsid w:val="00F05657"/>
    <w:rsid w:val="00F05AB0"/>
    <w:rsid w:val="00F07ECC"/>
    <w:rsid w:val="00F10831"/>
    <w:rsid w:val="00F12C74"/>
    <w:rsid w:val="00F1556B"/>
    <w:rsid w:val="00F1559A"/>
    <w:rsid w:val="00F16C1D"/>
    <w:rsid w:val="00F17ED6"/>
    <w:rsid w:val="00F20676"/>
    <w:rsid w:val="00F209E2"/>
    <w:rsid w:val="00F21BEA"/>
    <w:rsid w:val="00F25578"/>
    <w:rsid w:val="00F2565C"/>
    <w:rsid w:val="00F258E5"/>
    <w:rsid w:val="00F25B9C"/>
    <w:rsid w:val="00F2675A"/>
    <w:rsid w:val="00F26CC6"/>
    <w:rsid w:val="00F300BC"/>
    <w:rsid w:val="00F324F3"/>
    <w:rsid w:val="00F3263C"/>
    <w:rsid w:val="00F3334E"/>
    <w:rsid w:val="00F36CCB"/>
    <w:rsid w:val="00F374E5"/>
    <w:rsid w:val="00F37B93"/>
    <w:rsid w:val="00F37BAD"/>
    <w:rsid w:val="00F37ECA"/>
    <w:rsid w:val="00F40A1C"/>
    <w:rsid w:val="00F43508"/>
    <w:rsid w:val="00F43AF2"/>
    <w:rsid w:val="00F45216"/>
    <w:rsid w:val="00F5007E"/>
    <w:rsid w:val="00F50EC4"/>
    <w:rsid w:val="00F52232"/>
    <w:rsid w:val="00F52777"/>
    <w:rsid w:val="00F52DC2"/>
    <w:rsid w:val="00F550CF"/>
    <w:rsid w:val="00F553D2"/>
    <w:rsid w:val="00F57A6D"/>
    <w:rsid w:val="00F6044B"/>
    <w:rsid w:val="00F62ADC"/>
    <w:rsid w:val="00F62F19"/>
    <w:rsid w:val="00F633B9"/>
    <w:rsid w:val="00F638CC"/>
    <w:rsid w:val="00F64928"/>
    <w:rsid w:val="00F64C9E"/>
    <w:rsid w:val="00F64CC1"/>
    <w:rsid w:val="00F65B2C"/>
    <w:rsid w:val="00F66F9F"/>
    <w:rsid w:val="00F72317"/>
    <w:rsid w:val="00F73DC1"/>
    <w:rsid w:val="00F75BB8"/>
    <w:rsid w:val="00F77714"/>
    <w:rsid w:val="00F80475"/>
    <w:rsid w:val="00F80E6E"/>
    <w:rsid w:val="00F81390"/>
    <w:rsid w:val="00F81F7A"/>
    <w:rsid w:val="00F8247A"/>
    <w:rsid w:val="00F82E5C"/>
    <w:rsid w:val="00F83F58"/>
    <w:rsid w:val="00F85206"/>
    <w:rsid w:val="00F87CEA"/>
    <w:rsid w:val="00F927E7"/>
    <w:rsid w:val="00F95FEB"/>
    <w:rsid w:val="00F9629A"/>
    <w:rsid w:val="00F97EFC"/>
    <w:rsid w:val="00FA0B04"/>
    <w:rsid w:val="00FA0C7C"/>
    <w:rsid w:val="00FA1BDD"/>
    <w:rsid w:val="00FA305C"/>
    <w:rsid w:val="00FA462E"/>
    <w:rsid w:val="00FA4DD5"/>
    <w:rsid w:val="00FA5394"/>
    <w:rsid w:val="00FA5883"/>
    <w:rsid w:val="00FA6055"/>
    <w:rsid w:val="00FA6956"/>
    <w:rsid w:val="00FB0B39"/>
    <w:rsid w:val="00FB1418"/>
    <w:rsid w:val="00FB322F"/>
    <w:rsid w:val="00FB442F"/>
    <w:rsid w:val="00FB4F27"/>
    <w:rsid w:val="00FC118C"/>
    <w:rsid w:val="00FC1929"/>
    <w:rsid w:val="00FC1C31"/>
    <w:rsid w:val="00FC1C32"/>
    <w:rsid w:val="00FC5B46"/>
    <w:rsid w:val="00FD1D4F"/>
    <w:rsid w:val="00FD24BF"/>
    <w:rsid w:val="00FD3B6E"/>
    <w:rsid w:val="00FD57EB"/>
    <w:rsid w:val="00FD6D8E"/>
    <w:rsid w:val="00FD70E6"/>
    <w:rsid w:val="00FE0663"/>
    <w:rsid w:val="00FE0E94"/>
    <w:rsid w:val="00FE20D7"/>
    <w:rsid w:val="00FE369C"/>
    <w:rsid w:val="00FE3CD9"/>
    <w:rsid w:val="00FE65B1"/>
    <w:rsid w:val="00FF00BD"/>
    <w:rsid w:val="00FF040B"/>
    <w:rsid w:val="00FF0B13"/>
    <w:rsid w:val="00FF1ED4"/>
    <w:rsid w:val="00FF2801"/>
    <w:rsid w:val="00FF799B"/>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885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qFormat/>
    <w:rsid w:val="00C603D4"/>
    <w:pPr>
      <w:ind w:left="0"/>
      <w:outlineLvl w:val="0"/>
    </w:pPr>
    <w:rPr>
      <w:b/>
      <w:szCs w:val="22"/>
    </w:rPr>
  </w:style>
  <w:style w:type="paragraph" w:styleId="Heading2">
    <w:name w:val="heading 2"/>
    <w:aliases w:val="Subsection Headings"/>
    <w:basedOn w:val="Normal"/>
    <w:next w:val="Normal"/>
    <w:link w:val="Heading2Char"/>
    <w:qFormat/>
    <w:rsid w:val="00B1059E"/>
    <w:pPr>
      <w:keepNext/>
      <w:outlineLvl w:val="1"/>
    </w:pPr>
    <w:rPr>
      <w:rFonts w:ascii="Arial" w:hAnsi="Arial"/>
      <w:b/>
      <w:i/>
      <w:sz w:val="22"/>
    </w:rPr>
  </w:style>
  <w:style w:type="paragraph" w:styleId="Heading3">
    <w:name w:val="heading 3"/>
    <w:aliases w:val="H3"/>
    <w:basedOn w:val="Normal"/>
    <w:next w:val="Normal"/>
    <w:link w:val="Heading3Char"/>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paragraph" w:styleId="Heading7">
    <w:name w:val="heading 7"/>
    <w:aliases w:val="DO NOT USE3,DO NOT USE31"/>
    <w:basedOn w:val="Normal"/>
    <w:next w:val="Normal"/>
    <w:link w:val="Heading7Char"/>
    <w:qFormat/>
    <w:rsid w:val="00146B53"/>
    <w:pPr>
      <w:spacing w:before="240" w:after="60" w:line="360" w:lineRule="auto"/>
      <w:contextualSpacing/>
      <w:outlineLvl w:val="6"/>
    </w:pPr>
    <w:rPr>
      <w:rFonts w:ascii="Garamond" w:hAnsi="Garamond"/>
      <w:sz w:val="22"/>
      <w:lang w:eastAsia="en-US"/>
    </w:rPr>
  </w:style>
  <w:style w:type="paragraph" w:styleId="Heading9">
    <w:name w:val="heading 9"/>
    <w:aliases w:val="DO NOT USE1,DO NOT USE11"/>
    <w:basedOn w:val="Normal"/>
    <w:next w:val="Normal"/>
    <w:link w:val="Heading9Char"/>
    <w:qFormat/>
    <w:rsid w:val="00146B53"/>
    <w:pPr>
      <w:spacing w:before="240" w:after="60" w:line="360" w:lineRule="auto"/>
      <w:contextualSpacing/>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rPr>
      <w:lang w:val="en-AU" w:eastAsia="en-US" w:bidi="ar-SA"/>
    </w:rPr>
  </w:style>
  <w:style w:type="paragraph" w:styleId="Subtitle">
    <w:name w:val="Subtitle"/>
    <w:basedOn w:val="Normal"/>
    <w:link w:val="SubtitleChar"/>
    <w:qFormat/>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 1,Bullets,CV text,Dot pt,F5 List Paragraph,FooterText,L,List Paragraph111,List Paragraph2,列"/>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aliases w:val="H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 1 Char,Bullets Char,CV text Char,Dot pt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9"/>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Heading7Char">
    <w:name w:val="Heading 7 Char"/>
    <w:aliases w:val="DO NOT USE3 Char,DO NOT USE31 Char"/>
    <w:basedOn w:val="DefaultParagraphFont"/>
    <w:link w:val="Heading7"/>
    <w:rsid w:val="00146B53"/>
    <w:rPr>
      <w:rFonts w:ascii="Garamond" w:hAnsi="Garamond"/>
      <w:sz w:val="22"/>
      <w:szCs w:val="24"/>
      <w:lang w:eastAsia="en-US"/>
    </w:rPr>
  </w:style>
  <w:style w:type="character" w:customStyle="1" w:styleId="Heading9Char">
    <w:name w:val="Heading 9 Char"/>
    <w:aliases w:val="DO NOT USE1 Char,DO NOT USE11 Char"/>
    <w:basedOn w:val="DefaultParagraphFont"/>
    <w:link w:val="Heading9"/>
    <w:rsid w:val="00146B53"/>
    <w:rPr>
      <w:rFonts w:ascii="Arial" w:hAnsi="Arial" w:cs="Arial"/>
      <w:sz w:val="22"/>
      <w:szCs w:val="22"/>
      <w:lang w:eastAsia="en-US"/>
    </w:rPr>
  </w:style>
  <w:style w:type="paragraph" w:customStyle="1" w:styleId="table">
    <w:name w:val="table"/>
    <w:basedOn w:val="Normal"/>
    <w:link w:val="tableChar"/>
    <w:qFormat/>
    <w:rsid w:val="00680CE7"/>
    <w:pPr>
      <w:spacing w:after="220" w:line="360" w:lineRule="auto"/>
    </w:pPr>
    <w:rPr>
      <w:rFonts w:ascii="Sabon" w:hAnsi="Sabon"/>
      <w:sz w:val="22"/>
      <w:szCs w:val="22"/>
      <w:lang w:eastAsia="en-US"/>
    </w:rPr>
  </w:style>
  <w:style w:type="character" w:customStyle="1" w:styleId="form-strength">
    <w:name w:val="form-strength"/>
    <w:basedOn w:val="DefaultParagraphFont"/>
    <w:rsid w:val="00680CE7"/>
  </w:style>
  <w:style w:type="character" w:customStyle="1" w:styleId="tableChar">
    <w:name w:val="table Char"/>
    <w:basedOn w:val="DefaultParagraphFont"/>
    <w:link w:val="table"/>
    <w:rsid w:val="00680CE7"/>
    <w:rPr>
      <w:rFonts w:ascii="Sabon" w:hAnsi="Sabo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47965725">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7412-2AD2-432C-A6DA-76ABD970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1892</Words>
  <Characters>10212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2022-02-24T02:04:00Z</dcterms:created>
  <dcterms:modified xsi:type="dcterms:W3CDTF">2022-03-02T03:27:00Z</dcterms:modified>
</cp:coreProperties>
</file>