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75DA6" w14:textId="72FFC86F" w:rsidR="00DC33F2" w:rsidRDefault="0090602D" w:rsidP="00DC33F2">
      <w:pPr>
        <w:pStyle w:val="1-MainHeading"/>
      </w:pPr>
      <w:bookmarkStart w:id="0" w:name="_Toc82598844"/>
      <w:r>
        <w:t>7.10</w:t>
      </w:r>
      <w:r w:rsidR="00EA560F">
        <w:t xml:space="preserve"> </w:t>
      </w:r>
      <w:r w:rsidR="001171D5">
        <w:t>REGORAFENIB,</w:t>
      </w:r>
      <w:r w:rsidR="001171D5">
        <w:br/>
      </w:r>
      <w:r w:rsidR="007F7221">
        <w:t>T</w:t>
      </w:r>
      <w:r w:rsidR="001171D5">
        <w:t>ablet</w:t>
      </w:r>
      <w:r w:rsidR="00030C95">
        <w:t xml:space="preserve"> </w:t>
      </w:r>
      <w:r w:rsidR="001171D5" w:rsidRPr="00030C95">
        <w:t>40 mg (as monohydrate)</w:t>
      </w:r>
      <w:r w:rsidR="001171D5">
        <w:t>,</w:t>
      </w:r>
      <w:r w:rsidR="001171D5">
        <w:br/>
        <w:t>Stivarga</w:t>
      </w:r>
      <w:r w:rsidR="001171D5" w:rsidRPr="004A6040">
        <w:rPr>
          <w:vertAlign w:val="superscript"/>
        </w:rPr>
        <w:t>®</w:t>
      </w:r>
      <w:r w:rsidR="001171D5" w:rsidRPr="004A6040">
        <w:t>,</w:t>
      </w:r>
      <w:r w:rsidR="001171D5" w:rsidRPr="004A6040">
        <w:br/>
      </w:r>
      <w:r w:rsidR="001171D5">
        <w:t>Bayer Australia L</w:t>
      </w:r>
      <w:bookmarkEnd w:id="0"/>
      <w:r w:rsidR="00B15B3A">
        <w:t>td</w:t>
      </w:r>
    </w:p>
    <w:p w14:paraId="52C09C65" w14:textId="77777777" w:rsidR="00DC33F2" w:rsidRPr="00407F2D" w:rsidRDefault="00DC33F2" w:rsidP="00DC33F2">
      <w:pPr>
        <w:pStyle w:val="2-SectionHeading"/>
        <w:numPr>
          <w:ilvl w:val="0"/>
          <w:numId w:val="1"/>
        </w:numPr>
      </w:pPr>
      <w:bookmarkStart w:id="1" w:name="_Toc22898844"/>
      <w:bookmarkStart w:id="2" w:name="_Toc82598846"/>
      <w:r w:rsidRPr="00407F2D">
        <w:t xml:space="preserve">Purpose of </w:t>
      </w:r>
      <w:r>
        <w:t>submission</w:t>
      </w:r>
      <w:bookmarkEnd w:id="1"/>
      <w:bookmarkEnd w:id="2"/>
    </w:p>
    <w:p w14:paraId="423CA888" w14:textId="77777777" w:rsidR="00DC33F2" w:rsidRDefault="00DC33F2" w:rsidP="00DC33F2">
      <w:pPr>
        <w:pStyle w:val="3-BodyText"/>
      </w:pPr>
      <w:r w:rsidRPr="00CF137A">
        <w:t>The</w:t>
      </w:r>
      <w:r w:rsidR="007E5CB8">
        <w:t xml:space="preserve"> standard re-entry</w:t>
      </w:r>
      <w:r w:rsidRPr="00CF137A">
        <w:t xml:space="preserve"> resubmission requested</w:t>
      </w:r>
      <w:r w:rsidR="00671CF3">
        <w:t xml:space="preserve"> a </w:t>
      </w:r>
      <w:r w:rsidR="00671CF3" w:rsidRPr="008830F6">
        <w:t>General Schedule,</w:t>
      </w:r>
      <w:r w:rsidRPr="008830F6">
        <w:t xml:space="preserve"> Authority Required (</w:t>
      </w:r>
      <w:r w:rsidR="00671CF3" w:rsidRPr="008830F6">
        <w:t>STREAMLINED</w:t>
      </w:r>
      <w:r w:rsidRPr="008830F6">
        <w:t>)</w:t>
      </w:r>
      <w:r w:rsidRPr="00CF137A">
        <w:t xml:space="preserve"> listing for regorafenib for the treatment of patients with metastatic colorectal cancer (mCRC) who have been previously treated with, or are not considered suitable candidates for, available therapies including fluoropyrimidine, oxaliplatin and irinotecan-based chemotherapy, anti-vascular endothelial growth factor (VEGF) therapy and if RAS wildtype, anti-epidermal growth factor receptor (EGFR) therapy</w:t>
      </w:r>
      <w:r>
        <w:t xml:space="preserve">. </w:t>
      </w:r>
    </w:p>
    <w:p w14:paraId="055947A9" w14:textId="24C34AF2" w:rsidR="00D77851" w:rsidRPr="00754394" w:rsidRDefault="00DC33F2" w:rsidP="00754394">
      <w:pPr>
        <w:pStyle w:val="3-BodyText"/>
        <w:rPr>
          <w:rStyle w:val="CommentReference"/>
          <w:rFonts w:asciiTheme="minorHAnsi" w:hAnsiTheme="minorHAnsi"/>
          <w:b w:val="0"/>
          <w:sz w:val="24"/>
          <w:szCs w:val="24"/>
        </w:rPr>
      </w:pPr>
      <w:r w:rsidRPr="005750C5">
        <w:t xml:space="preserve">Listing was requested </w:t>
      </w:r>
      <w:r w:rsidR="007C4DE5">
        <w:t>based on a cost minimisation approach</w:t>
      </w:r>
      <w:r w:rsidRPr="005750C5">
        <w:t xml:space="preserve"> versus</w:t>
      </w:r>
      <w:r>
        <w:t xml:space="preserve"> trifluridine/tipiracil.</w:t>
      </w:r>
      <w:r w:rsidRPr="005750C5">
        <w:t xml:space="preserve"> </w:t>
      </w:r>
    </w:p>
    <w:p w14:paraId="4D1EC642" w14:textId="77777777" w:rsidR="00DC33F2" w:rsidRPr="004A6040" w:rsidRDefault="00DC33F2" w:rsidP="00DC33F2">
      <w:pPr>
        <w:pStyle w:val="TableFigureHeading"/>
        <w:rPr>
          <w:rStyle w:val="CommentReference"/>
          <w:b/>
          <w:szCs w:val="24"/>
        </w:rPr>
      </w:pPr>
      <w:r w:rsidRPr="004A6040">
        <w:rPr>
          <w:rStyle w:val="CommentReference"/>
          <w:b/>
          <w:szCs w:val="24"/>
        </w:rPr>
        <w:t xml:space="preserve">Table </w:t>
      </w:r>
      <w:r>
        <w:rPr>
          <w:rStyle w:val="CommentReference"/>
          <w:b/>
          <w:szCs w:val="24"/>
        </w:rPr>
        <w:t>1</w:t>
      </w:r>
      <w:r w:rsidRPr="004A6040">
        <w:rPr>
          <w:rStyle w:val="CommentReference"/>
          <w:b/>
          <w:szCs w:val="24"/>
        </w:rPr>
        <w:t xml:space="preserve">: Key components of the clinical issue addressed by the </w:t>
      </w:r>
      <w:r w:rsidR="00B91398">
        <w:rPr>
          <w:rStyle w:val="CommentReference"/>
          <w:b/>
          <w:szCs w:val="24"/>
        </w:rPr>
        <w:t>re</w:t>
      </w:r>
      <w:r w:rsidRPr="004A6040">
        <w:rPr>
          <w:rStyle w:val="CommentReference"/>
          <w:b/>
          <w:szCs w:val="24"/>
        </w:rPr>
        <w:t xml:space="preserve">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
      </w:tblPr>
      <w:tblGrid>
        <w:gridCol w:w="1643"/>
        <w:gridCol w:w="7374"/>
      </w:tblGrid>
      <w:tr w:rsidR="00DC33F2" w:rsidRPr="00A518F3" w14:paraId="5B55FD87" w14:textId="77777777" w:rsidTr="0090602D">
        <w:trPr>
          <w:tblHeader/>
        </w:trPr>
        <w:tc>
          <w:tcPr>
            <w:tcW w:w="911" w:type="pct"/>
            <w:vAlign w:val="center"/>
          </w:tcPr>
          <w:p w14:paraId="30A89DBB" w14:textId="77777777" w:rsidR="00DC33F2" w:rsidRPr="00A518F3" w:rsidRDefault="00DC33F2" w:rsidP="00963376">
            <w:pPr>
              <w:pStyle w:val="In-tableHeading"/>
              <w:keepNext w:val="0"/>
            </w:pPr>
            <w:bookmarkStart w:id="3" w:name="_Toc22898845"/>
            <w:r w:rsidRPr="00A518F3">
              <w:t>Component</w:t>
            </w:r>
          </w:p>
        </w:tc>
        <w:tc>
          <w:tcPr>
            <w:tcW w:w="4089" w:type="pct"/>
            <w:vAlign w:val="center"/>
          </w:tcPr>
          <w:p w14:paraId="4FB7DAE9" w14:textId="77777777" w:rsidR="00DC33F2" w:rsidRPr="00A518F3" w:rsidRDefault="00DC33F2" w:rsidP="00963376">
            <w:pPr>
              <w:pStyle w:val="In-tableHeading"/>
              <w:keepNext w:val="0"/>
            </w:pPr>
            <w:r w:rsidRPr="00A518F3">
              <w:t>Description</w:t>
            </w:r>
          </w:p>
        </w:tc>
      </w:tr>
      <w:tr w:rsidR="00DC33F2" w14:paraId="75A55F14" w14:textId="77777777" w:rsidTr="00AD478D">
        <w:tc>
          <w:tcPr>
            <w:tcW w:w="911" w:type="pct"/>
            <w:vAlign w:val="center"/>
          </w:tcPr>
          <w:p w14:paraId="0CEBF891" w14:textId="77777777" w:rsidR="00DC33F2" w:rsidRDefault="00DC33F2" w:rsidP="00963376">
            <w:pPr>
              <w:pStyle w:val="TableText0"/>
              <w:keepNext w:val="0"/>
            </w:pPr>
            <w:r>
              <w:t>Population</w:t>
            </w:r>
          </w:p>
        </w:tc>
        <w:tc>
          <w:tcPr>
            <w:tcW w:w="4089" w:type="pct"/>
            <w:vAlign w:val="center"/>
          </w:tcPr>
          <w:p w14:paraId="53AB81F4" w14:textId="77777777" w:rsidR="00DC33F2" w:rsidRPr="006A1C67" w:rsidRDefault="00DC33F2" w:rsidP="00963376">
            <w:pPr>
              <w:pStyle w:val="TableText0"/>
              <w:keepNext w:val="0"/>
            </w:pPr>
            <w:r w:rsidRPr="006A1C67">
              <w:t>Patients with mCRC who have been previously treated with, or are not considered suitable candidates for, fluoropyrimidine-, oxaliplatin- and irinotecan-based chemotherapy, an anti-VEGF therapy, and, if RAS wild type, an anti-EGFR therapy.</w:t>
            </w:r>
            <w:r w:rsidRPr="006A1C67">
              <w:rPr>
                <w:szCs w:val="20"/>
              </w:rPr>
              <w:t xml:space="preserve"> </w:t>
            </w:r>
          </w:p>
        </w:tc>
      </w:tr>
      <w:tr w:rsidR="00DC33F2" w14:paraId="7F8A48BE" w14:textId="77777777" w:rsidTr="00AD478D">
        <w:tc>
          <w:tcPr>
            <w:tcW w:w="911" w:type="pct"/>
            <w:vAlign w:val="center"/>
          </w:tcPr>
          <w:p w14:paraId="643D829E" w14:textId="77777777" w:rsidR="00DC33F2" w:rsidRDefault="00DC33F2" w:rsidP="00963376">
            <w:pPr>
              <w:pStyle w:val="TableText0"/>
              <w:keepNext w:val="0"/>
            </w:pPr>
            <w:r>
              <w:t>Intervention</w:t>
            </w:r>
          </w:p>
        </w:tc>
        <w:tc>
          <w:tcPr>
            <w:tcW w:w="4089" w:type="pct"/>
            <w:vAlign w:val="center"/>
          </w:tcPr>
          <w:p w14:paraId="26C8C715" w14:textId="77777777" w:rsidR="00DC33F2" w:rsidRPr="006A1C67" w:rsidRDefault="00DC33F2" w:rsidP="00963376">
            <w:pPr>
              <w:pStyle w:val="TableText0"/>
              <w:keepNext w:val="0"/>
            </w:pPr>
            <w:r w:rsidRPr="006A1C67">
              <w:rPr>
                <w:szCs w:val="20"/>
              </w:rPr>
              <w:t xml:space="preserve">Regorafenib </w:t>
            </w:r>
            <w:r>
              <w:rPr>
                <w:szCs w:val="20"/>
              </w:rPr>
              <w:t xml:space="preserve">40 mg oral tablets; administered as </w:t>
            </w:r>
            <w:r w:rsidRPr="00880807">
              <w:rPr>
                <w:szCs w:val="20"/>
              </w:rPr>
              <w:t xml:space="preserve">four tablets at the same time each day </w:t>
            </w:r>
            <w:r>
              <w:rPr>
                <w:szCs w:val="20"/>
              </w:rPr>
              <w:t>(</w:t>
            </w:r>
            <w:r w:rsidRPr="00880807">
              <w:rPr>
                <w:szCs w:val="20"/>
              </w:rPr>
              <w:t>total daily dose of 160 mg</w:t>
            </w:r>
            <w:r>
              <w:rPr>
                <w:szCs w:val="20"/>
              </w:rPr>
              <w:t xml:space="preserve">) </w:t>
            </w:r>
            <w:r w:rsidRPr="00880807">
              <w:rPr>
                <w:szCs w:val="20"/>
              </w:rPr>
              <w:t>for three weeks on therapy (21 days) followed by one week off therapy (7 days) to comprise a cycle of four weeks (28 days)</w:t>
            </w:r>
            <w:r>
              <w:rPr>
                <w:szCs w:val="20"/>
              </w:rPr>
              <w:t>.</w:t>
            </w:r>
          </w:p>
        </w:tc>
      </w:tr>
      <w:tr w:rsidR="00DC33F2" w14:paraId="131E1B3B" w14:textId="77777777" w:rsidTr="00AD478D">
        <w:tc>
          <w:tcPr>
            <w:tcW w:w="911" w:type="pct"/>
            <w:vAlign w:val="center"/>
          </w:tcPr>
          <w:p w14:paraId="7715923D" w14:textId="77777777" w:rsidR="00DC33F2" w:rsidRDefault="00DC33F2" w:rsidP="00963376">
            <w:pPr>
              <w:pStyle w:val="TableText0"/>
              <w:keepNext w:val="0"/>
            </w:pPr>
            <w:r>
              <w:t>Comparator</w:t>
            </w:r>
          </w:p>
        </w:tc>
        <w:tc>
          <w:tcPr>
            <w:tcW w:w="4089" w:type="pct"/>
            <w:vAlign w:val="center"/>
          </w:tcPr>
          <w:p w14:paraId="119819AF" w14:textId="77777777" w:rsidR="00DC33F2" w:rsidRPr="00671CF3" w:rsidRDefault="00DC33F2" w:rsidP="00963376">
            <w:pPr>
              <w:pStyle w:val="TableText0"/>
              <w:keepNext w:val="0"/>
            </w:pPr>
            <w:r w:rsidRPr="00671CF3">
              <w:rPr>
                <w:szCs w:val="20"/>
              </w:rPr>
              <w:t>Trifluridine/tipiracil oral tablets (trifluridine 15 mg + tipiracil 6.14 mg &amp; trifluridine 20 mg + tipiracil 8.19 mg) given at 35 mg/m</w:t>
            </w:r>
            <w:r w:rsidRPr="00671CF3">
              <w:rPr>
                <w:szCs w:val="20"/>
                <w:vertAlign w:val="superscript"/>
              </w:rPr>
              <w:t>2</w:t>
            </w:r>
            <w:r w:rsidRPr="00671CF3">
              <w:rPr>
                <w:szCs w:val="20"/>
              </w:rPr>
              <w:t> (based on the trifluridine component) twice daily on days 1 to 5 and days 8 to 12 of a 28-day cycle.</w:t>
            </w:r>
          </w:p>
        </w:tc>
      </w:tr>
      <w:tr w:rsidR="00DC33F2" w14:paraId="01E1E24C" w14:textId="77777777" w:rsidTr="00AD478D">
        <w:tc>
          <w:tcPr>
            <w:tcW w:w="911" w:type="pct"/>
            <w:vAlign w:val="center"/>
          </w:tcPr>
          <w:p w14:paraId="050752F2" w14:textId="77777777" w:rsidR="00DC33F2" w:rsidRDefault="00DC33F2" w:rsidP="00963376">
            <w:pPr>
              <w:pStyle w:val="TableText0"/>
              <w:keepNext w:val="0"/>
            </w:pPr>
            <w:r>
              <w:t>Outcomes</w:t>
            </w:r>
          </w:p>
        </w:tc>
        <w:tc>
          <w:tcPr>
            <w:tcW w:w="4089" w:type="pct"/>
            <w:vAlign w:val="center"/>
          </w:tcPr>
          <w:p w14:paraId="0505BD59" w14:textId="77777777" w:rsidR="00DC33F2" w:rsidRPr="00671CF3" w:rsidRDefault="00DC33F2" w:rsidP="00963376">
            <w:pPr>
              <w:pStyle w:val="Default"/>
              <w:rPr>
                <w:rFonts w:ascii="Arial Narrow" w:eastAsiaTheme="majorEastAsia" w:hAnsi="Arial Narrow" w:cstheme="majorBidi"/>
                <w:bCs/>
                <w:color w:val="auto"/>
                <w:sz w:val="20"/>
                <w:szCs w:val="20"/>
                <w:lang w:val="en-AU"/>
              </w:rPr>
            </w:pPr>
            <w:r w:rsidRPr="00671CF3">
              <w:rPr>
                <w:rFonts w:ascii="Arial Narrow" w:eastAsiaTheme="majorEastAsia" w:hAnsi="Arial Narrow" w:cstheme="majorBidi"/>
                <w:bCs/>
                <w:color w:val="auto"/>
                <w:sz w:val="20"/>
                <w:szCs w:val="20"/>
                <w:lang w:val="en-AU"/>
              </w:rPr>
              <w:t xml:space="preserve">Primary outcome: OS </w:t>
            </w:r>
          </w:p>
          <w:p w14:paraId="483DB1FC" w14:textId="77777777" w:rsidR="00DC33F2" w:rsidRPr="00671CF3" w:rsidRDefault="00DC33F2" w:rsidP="00963376">
            <w:pPr>
              <w:pStyle w:val="TableText0"/>
              <w:keepNext w:val="0"/>
            </w:pPr>
            <w:r w:rsidRPr="00671CF3">
              <w:rPr>
                <w:szCs w:val="20"/>
              </w:rPr>
              <w:t xml:space="preserve">Secondary and other outcomes: PFS; QoL; Safety </w:t>
            </w:r>
          </w:p>
        </w:tc>
      </w:tr>
      <w:tr w:rsidR="00DC33F2" w14:paraId="4E1B68A3" w14:textId="77777777" w:rsidTr="00671CF3">
        <w:trPr>
          <w:trHeight w:val="187"/>
        </w:trPr>
        <w:tc>
          <w:tcPr>
            <w:tcW w:w="911" w:type="pct"/>
            <w:vAlign w:val="center"/>
          </w:tcPr>
          <w:p w14:paraId="51B3379A" w14:textId="77777777" w:rsidR="00DC33F2" w:rsidRDefault="00DC33F2" w:rsidP="00963376">
            <w:pPr>
              <w:pStyle w:val="TableText0"/>
              <w:keepNext w:val="0"/>
            </w:pPr>
            <w:r>
              <w:t>Clinical claim</w:t>
            </w:r>
          </w:p>
        </w:tc>
        <w:tc>
          <w:tcPr>
            <w:tcW w:w="4089" w:type="pct"/>
          </w:tcPr>
          <w:p w14:paraId="6368FF6A" w14:textId="77777777" w:rsidR="00DC33F2" w:rsidRPr="00671CF3" w:rsidRDefault="00DC33F2" w:rsidP="00963376">
            <w:pPr>
              <w:pStyle w:val="TableText0"/>
              <w:keepNext w:val="0"/>
            </w:pPr>
            <w:r w:rsidRPr="00671CF3">
              <w:t>In patients with mCRC who have failed, or who are not considered suitable for, available first- and second-line therapies, regorafenib is non-inferior in its effectiveness compared to</w:t>
            </w:r>
            <w:r w:rsidR="00133D78" w:rsidRPr="00671CF3">
              <w:t xml:space="preserve"> </w:t>
            </w:r>
            <w:r w:rsidRPr="00671CF3">
              <w:t xml:space="preserve">trifluridine/tipiracil, with a non-inferior safety profile. </w:t>
            </w:r>
          </w:p>
        </w:tc>
      </w:tr>
    </w:tbl>
    <w:p w14:paraId="0C8A1AF9" w14:textId="77777777" w:rsidR="00DC33F2" w:rsidRPr="0037314A" w:rsidRDefault="00DC33F2" w:rsidP="00DC33F2">
      <w:pPr>
        <w:pStyle w:val="TableFigureFooter"/>
      </w:pPr>
      <w:r w:rsidRPr="0037314A">
        <w:t xml:space="preserve">Source: Table 1-1, p4 of the </w:t>
      </w:r>
      <w:r>
        <w:t>re</w:t>
      </w:r>
      <w:r w:rsidRPr="0037314A">
        <w:t>submission.</w:t>
      </w:r>
    </w:p>
    <w:p w14:paraId="29396932" w14:textId="77777777" w:rsidR="007009ED" w:rsidRPr="0037314A" w:rsidRDefault="007009ED" w:rsidP="007009ED">
      <w:pPr>
        <w:pStyle w:val="TableFigureFooter"/>
        <w:rPr>
          <w:szCs w:val="18"/>
        </w:rPr>
      </w:pPr>
      <w:r w:rsidRPr="0037314A">
        <w:rPr>
          <w:szCs w:val="18"/>
        </w:rPr>
        <w:t>EGFR = epidermal growth factor receptor,</w:t>
      </w:r>
      <w:r>
        <w:rPr>
          <w:szCs w:val="18"/>
        </w:rPr>
        <w:t xml:space="preserve"> </w:t>
      </w:r>
      <w:r w:rsidRPr="0037314A">
        <w:rPr>
          <w:szCs w:val="18"/>
        </w:rPr>
        <w:t>mCRC = metastatic colorectal cancer, OS = overall survival, PFS = progression-free survival, QoL= quality of lif</w:t>
      </w:r>
      <w:r>
        <w:rPr>
          <w:szCs w:val="18"/>
        </w:rPr>
        <w:t xml:space="preserve">e, </w:t>
      </w:r>
      <w:r w:rsidRPr="0037314A">
        <w:rPr>
          <w:szCs w:val="18"/>
        </w:rPr>
        <w:t>VEGF = vascular endothelial growth facto</w:t>
      </w:r>
      <w:r>
        <w:rPr>
          <w:szCs w:val="18"/>
        </w:rPr>
        <w:t>r.</w:t>
      </w:r>
    </w:p>
    <w:p w14:paraId="0D92471E" w14:textId="77777777" w:rsidR="00DC33F2" w:rsidRPr="00BC55B8" w:rsidRDefault="00DC33F2" w:rsidP="00DC33F2">
      <w:pPr>
        <w:pStyle w:val="2-SectionHeading"/>
        <w:numPr>
          <w:ilvl w:val="0"/>
          <w:numId w:val="1"/>
        </w:numPr>
      </w:pPr>
      <w:bookmarkStart w:id="4" w:name="_Toc82598847"/>
      <w:r w:rsidRPr="00BC55B8">
        <w:t>Background</w:t>
      </w:r>
      <w:bookmarkEnd w:id="3"/>
      <w:bookmarkEnd w:id="4"/>
    </w:p>
    <w:p w14:paraId="3FBEFECC" w14:textId="77777777" w:rsidR="00DC33F2" w:rsidRPr="00BC55B8" w:rsidRDefault="00DC33F2" w:rsidP="00DC33F2">
      <w:pPr>
        <w:pStyle w:val="4-SubsectionHeading"/>
      </w:pPr>
      <w:bookmarkStart w:id="5" w:name="_Toc22897638"/>
      <w:bookmarkStart w:id="6" w:name="_Toc22898846"/>
      <w:bookmarkStart w:id="7" w:name="_Toc82598848"/>
      <w:r w:rsidRPr="00BC55B8">
        <w:t>Registration status</w:t>
      </w:r>
      <w:bookmarkEnd w:id="5"/>
      <w:bookmarkEnd w:id="6"/>
      <w:bookmarkEnd w:id="7"/>
    </w:p>
    <w:p w14:paraId="1D41BB18" w14:textId="77777777" w:rsidR="00DC33F2" w:rsidRDefault="00DC33F2" w:rsidP="00DC33F2">
      <w:pPr>
        <w:pStyle w:val="3-BodyText"/>
      </w:pPr>
      <w:r>
        <w:t>Regorafenib</w:t>
      </w:r>
      <w:r w:rsidRPr="00BC55B8">
        <w:t xml:space="preserve"> was TGA registered on </w:t>
      </w:r>
      <w:r>
        <w:t>29</w:t>
      </w:r>
      <w:r w:rsidRPr="00BC55B8">
        <w:rPr>
          <w:vertAlign w:val="superscript"/>
        </w:rPr>
        <w:t>th</w:t>
      </w:r>
      <w:r>
        <w:t xml:space="preserve"> November 2013</w:t>
      </w:r>
      <w:r w:rsidRPr="00BC55B8">
        <w:t xml:space="preserve"> for </w:t>
      </w:r>
      <w:r>
        <w:t xml:space="preserve">the following </w:t>
      </w:r>
      <w:r w:rsidRPr="00BC55B8">
        <w:t>indications</w:t>
      </w:r>
      <w:r>
        <w:t>:</w:t>
      </w:r>
    </w:p>
    <w:p w14:paraId="7DB3392B" w14:textId="77777777" w:rsidR="00DC33F2" w:rsidRPr="006611CE" w:rsidRDefault="00DC33F2" w:rsidP="005A7F8B">
      <w:pPr>
        <w:pStyle w:val="3-BodyText"/>
        <w:numPr>
          <w:ilvl w:val="0"/>
          <w:numId w:val="10"/>
        </w:numPr>
        <w:spacing w:after="0"/>
        <w:ind w:left="1077" w:hanging="357"/>
      </w:pPr>
      <w:r w:rsidRPr="006611CE">
        <w:lastRenderedPageBreak/>
        <w:t>The treatment of patients with mCRC who have been previously treated with fluoropyrimidine-</w:t>
      </w:r>
      <w:r>
        <w:t>,</w:t>
      </w:r>
      <w:r w:rsidRPr="006611CE">
        <w:t xml:space="preserve"> oxaliplatin- and irinotecan-based chemotherapy, an anti-VEGF therapy, and, if RAS wild type, an anti-EGFR therapy. </w:t>
      </w:r>
    </w:p>
    <w:p w14:paraId="5FA52253" w14:textId="77777777" w:rsidR="00DC33F2" w:rsidRPr="006611CE" w:rsidRDefault="00DC33F2" w:rsidP="005A7F8B">
      <w:pPr>
        <w:pStyle w:val="3-BodyText"/>
        <w:numPr>
          <w:ilvl w:val="0"/>
          <w:numId w:val="9"/>
        </w:numPr>
        <w:spacing w:after="0"/>
        <w:ind w:left="1077" w:hanging="357"/>
      </w:pPr>
      <w:r w:rsidRPr="006611CE">
        <w:t>The treatment of patients with unresectable or metastatic gastrointestinal stromal tumours (GIST) who progressed on or are intolerant to prior treatment with imatinib and sunitinib.</w:t>
      </w:r>
    </w:p>
    <w:p w14:paraId="5D22C628" w14:textId="77777777" w:rsidR="00DC33F2" w:rsidRDefault="00DC33F2" w:rsidP="005A7F8B">
      <w:pPr>
        <w:pStyle w:val="3-BodyText"/>
        <w:numPr>
          <w:ilvl w:val="0"/>
          <w:numId w:val="9"/>
        </w:numPr>
        <w:spacing w:after="0"/>
        <w:ind w:left="1077" w:hanging="357"/>
      </w:pPr>
      <w:r w:rsidRPr="006611CE">
        <w:t>The treatment of patients with hepatocellular carcinoma (HCC) who have been previously treated with sorafenib.</w:t>
      </w:r>
    </w:p>
    <w:p w14:paraId="1A18DDFA" w14:textId="77777777" w:rsidR="00DC33F2" w:rsidRDefault="00DC33F2" w:rsidP="00DC33F2">
      <w:pPr>
        <w:pStyle w:val="3-BodyText"/>
        <w:numPr>
          <w:ilvl w:val="0"/>
          <w:numId w:val="0"/>
        </w:numPr>
        <w:spacing w:after="0"/>
        <w:ind w:left="720"/>
      </w:pPr>
    </w:p>
    <w:p w14:paraId="47087372" w14:textId="77777777" w:rsidR="00DC33F2" w:rsidRPr="00621ADA" w:rsidRDefault="00DC33F2" w:rsidP="00DC33F2">
      <w:pPr>
        <w:pStyle w:val="4-SubsectionHeading"/>
      </w:pPr>
      <w:bookmarkStart w:id="8" w:name="_Toc22897639"/>
      <w:bookmarkStart w:id="9" w:name="_Toc22898847"/>
      <w:bookmarkStart w:id="10" w:name="_Toc82598849"/>
      <w:r w:rsidRPr="00BC55B8">
        <w:t>Previous PBAC consideration</w:t>
      </w:r>
      <w:bookmarkEnd w:id="8"/>
      <w:bookmarkEnd w:id="9"/>
      <w:bookmarkEnd w:id="10"/>
    </w:p>
    <w:p w14:paraId="2A41BC06" w14:textId="77777777" w:rsidR="00DC33F2" w:rsidRPr="00967CAD" w:rsidRDefault="00DC33F2" w:rsidP="00DC33F2">
      <w:pPr>
        <w:pStyle w:val="3-BodyText"/>
      </w:pPr>
      <w:r w:rsidRPr="00967CAD">
        <w:rPr>
          <w:snapToGrid/>
          <w:lang w:val="en-US"/>
        </w:rPr>
        <w:t xml:space="preserve">Regorafenib was previously considered by the PBAC for the treatment of patients with mCRC </w:t>
      </w:r>
      <w:r w:rsidRPr="00967CAD">
        <w:rPr>
          <w:snapToGrid/>
        </w:rPr>
        <w:t xml:space="preserve">following failure of, or intolerance to, other treatment options. </w:t>
      </w:r>
    </w:p>
    <w:p w14:paraId="36D70354" w14:textId="77777777" w:rsidR="00DC33F2" w:rsidRDefault="00DC33F2" w:rsidP="00DC33F2">
      <w:pPr>
        <w:pStyle w:val="3-BodyText"/>
      </w:pPr>
      <w:r>
        <w:t xml:space="preserve">At the July 2014 meeting, regorafenib was not recommended </w:t>
      </w:r>
      <w:r w:rsidRPr="00241ED0">
        <w:t>on the basis that</w:t>
      </w:r>
      <w:r>
        <w:t xml:space="preserve"> compared with best supportive care (BSC)</w:t>
      </w:r>
      <w:r w:rsidRPr="00241ED0">
        <w:t xml:space="preserve"> </w:t>
      </w:r>
      <w:r>
        <w:t>“</w:t>
      </w:r>
      <w:r w:rsidRPr="00241ED0">
        <w:t xml:space="preserve">the observed improvement in comparative effectiveness associated with regorafenib was of uncertain clinical significance especially in the context of the increase in serious adverse effects associated with treatment” (paragraph 7.1, regorafenib, Public Summary Document, </w:t>
      </w:r>
      <w:r>
        <w:t xml:space="preserve">July 2014 PBAC meeting). </w:t>
      </w:r>
    </w:p>
    <w:p w14:paraId="71A77C7D" w14:textId="77777777" w:rsidR="00DC33F2" w:rsidRDefault="00DC33F2" w:rsidP="003F2EED">
      <w:pPr>
        <w:pStyle w:val="3-BodyText"/>
      </w:pPr>
      <w:r>
        <w:t xml:space="preserve">Table 2 summarises the key matters of concern regarding the previous submission and </w:t>
      </w:r>
      <w:r w:rsidRPr="00A47C37">
        <w:t>how the resubmission has addressed those concerns.</w:t>
      </w:r>
    </w:p>
    <w:p w14:paraId="415FB27C" w14:textId="77777777" w:rsidR="00DC33F2" w:rsidRPr="00A47C37" w:rsidRDefault="00DC33F2" w:rsidP="008E64A9">
      <w:pPr>
        <w:pStyle w:val="TableFigureHeading"/>
        <w:rPr>
          <w:rStyle w:val="CommentReference"/>
          <w:b/>
          <w:szCs w:val="24"/>
        </w:rPr>
      </w:pPr>
      <w:r w:rsidRPr="00A47C37">
        <w:rPr>
          <w:rStyle w:val="CommentReference"/>
          <w:b/>
          <w:szCs w:val="24"/>
        </w:rPr>
        <w:lastRenderedPageBreak/>
        <w:t>Table 2: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of concern"/>
      </w:tblPr>
      <w:tblGrid>
        <w:gridCol w:w="1980"/>
        <w:gridCol w:w="3827"/>
        <w:gridCol w:w="3210"/>
      </w:tblGrid>
      <w:tr w:rsidR="00DC33F2" w:rsidRPr="00A47C37" w14:paraId="39158305" w14:textId="77777777" w:rsidTr="00AD478D">
        <w:trPr>
          <w:cantSplit/>
          <w:tblHeader/>
        </w:trPr>
        <w:tc>
          <w:tcPr>
            <w:tcW w:w="1098" w:type="pct"/>
            <w:vAlign w:val="center"/>
          </w:tcPr>
          <w:p w14:paraId="0F4F0841" w14:textId="77777777" w:rsidR="00DC33F2" w:rsidRPr="00A47C37" w:rsidRDefault="00DC33F2" w:rsidP="008E64A9">
            <w:pPr>
              <w:pStyle w:val="In-tableHeading"/>
            </w:pPr>
            <w:r w:rsidRPr="00A47C37">
              <w:t>Component</w:t>
            </w:r>
          </w:p>
        </w:tc>
        <w:tc>
          <w:tcPr>
            <w:tcW w:w="2122" w:type="pct"/>
            <w:vAlign w:val="center"/>
          </w:tcPr>
          <w:p w14:paraId="65FC6AD8" w14:textId="77777777" w:rsidR="00DC33F2" w:rsidRPr="00A47C37" w:rsidRDefault="00DC33F2" w:rsidP="008E64A9">
            <w:pPr>
              <w:pStyle w:val="In-tableHeading"/>
            </w:pPr>
            <w:r w:rsidRPr="00A47C37">
              <w:t>Matter of concern</w:t>
            </w:r>
          </w:p>
        </w:tc>
        <w:tc>
          <w:tcPr>
            <w:tcW w:w="1780" w:type="pct"/>
            <w:vAlign w:val="center"/>
          </w:tcPr>
          <w:p w14:paraId="1F9BDA61" w14:textId="77777777" w:rsidR="00DC33F2" w:rsidRPr="008705DE" w:rsidRDefault="00DC33F2" w:rsidP="008E64A9">
            <w:pPr>
              <w:pStyle w:val="In-tableHeading"/>
            </w:pPr>
            <w:r w:rsidRPr="008705DE">
              <w:t>How the resubmission addresses it</w:t>
            </w:r>
          </w:p>
        </w:tc>
      </w:tr>
      <w:tr w:rsidR="00DC33F2" w:rsidRPr="00A47C37" w14:paraId="39035019" w14:textId="77777777" w:rsidTr="00AD478D">
        <w:trPr>
          <w:cantSplit/>
        </w:trPr>
        <w:tc>
          <w:tcPr>
            <w:tcW w:w="1098" w:type="pct"/>
          </w:tcPr>
          <w:p w14:paraId="0950311C" w14:textId="77777777" w:rsidR="00DC33F2" w:rsidRPr="00A47C37" w:rsidRDefault="00DC33F2" w:rsidP="008E64A9">
            <w:pPr>
              <w:pStyle w:val="TableText0"/>
              <w:rPr>
                <w:b/>
                <w:bCs w:val="0"/>
              </w:rPr>
            </w:pPr>
            <w:r w:rsidRPr="00A47C37">
              <w:rPr>
                <w:b/>
                <w:bCs w:val="0"/>
              </w:rPr>
              <w:t>Restriction</w:t>
            </w:r>
          </w:p>
        </w:tc>
        <w:tc>
          <w:tcPr>
            <w:tcW w:w="2122" w:type="pct"/>
          </w:tcPr>
          <w:p w14:paraId="6478ADED" w14:textId="77777777" w:rsidR="00DC33F2" w:rsidRPr="00A47C37" w:rsidRDefault="00DC33F2" w:rsidP="008E64A9">
            <w:pPr>
              <w:pStyle w:val="TableText0"/>
              <w:rPr>
                <w:rFonts w:eastAsia="Times New Roman" w:cs="Arial"/>
                <w:bCs w:val="0"/>
                <w:snapToGrid w:val="0"/>
                <w:szCs w:val="20"/>
              </w:rPr>
            </w:pPr>
          </w:p>
        </w:tc>
        <w:tc>
          <w:tcPr>
            <w:tcW w:w="1780" w:type="pct"/>
          </w:tcPr>
          <w:p w14:paraId="04B54421" w14:textId="77777777" w:rsidR="00DC33F2" w:rsidRPr="008705DE" w:rsidRDefault="00DC33F2" w:rsidP="008E64A9">
            <w:pPr>
              <w:pStyle w:val="TableText0"/>
              <w:rPr>
                <w:snapToGrid w:val="0"/>
                <w:szCs w:val="20"/>
              </w:rPr>
            </w:pPr>
          </w:p>
        </w:tc>
      </w:tr>
      <w:tr w:rsidR="00DC33F2" w:rsidRPr="00A47C37" w14:paraId="5AE610B9" w14:textId="77777777" w:rsidTr="00AD478D">
        <w:trPr>
          <w:cantSplit/>
        </w:trPr>
        <w:tc>
          <w:tcPr>
            <w:tcW w:w="1098" w:type="pct"/>
          </w:tcPr>
          <w:p w14:paraId="4F24AC11" w14:textId="77777777" w:rsidR="00DC33F2" w:rsidRPr="00A47C37" w:rsidRDefault="00DC33F2" w:rsidP="008E64A9">
            <w:pPr>
              <w:pStyle w:val="TableText0"/>
            </w:pPr>
            <w:r w:rsidRPr="00A47C37">
              <w:t>Requested PBS listing</w:t>
            </w:r>
          </w:p>
        </w:tc>
        <w:tc>
          <w:tcPr>
            <w:tcW w:w="2122" w:type="pct"/>
          </w:tcPr>
          <w:p w14:paraId="4CE9F1F9" w14:textId="77777777" w:rsidR="00DC33F2" w:rsidRPr="00A47C37" w:rsidRDefault="00DC33F2" w:rsidP="008E64A9">
            <w:pPr>
              <w:pStyle w:val="TableText0"/>
              <w:rPr>
                <w:szCs w:val="20"/>
              </w:rPr>
            </w:pPr>
            <w:r w:rsidRPr="00A47C37">
              <w:rPr>
                <w:rFonts w:eastAsia="Times New Roman" w:cs="Arial"/>
                <w:bCs w:val="0"/>
                <w:snapToGrid w:val="0"/>
                <w:szCs w:val="20"/>
              </w:rPr>
              <w:t>Risk of use outside the requested listing, in patients with WHO performance status &gt;1 and in the post-progression setting (Para 7.4, July 2014 PSD)</w:t>
            </w:r>
          </w:p>
        </w:tc>
        <w:tc>
          <w:tcPr>
            <w:tcW w:w="1780" w:type="pct"/>
          </w:tcPr>
          <w:p w14:paraId="45F4C994" w14:textId="77777777" w:rsidR="00DC33F2" w:rsidRPr="008705DE" w:rsidRDefault="00DC33F2" w:rsidP="008E64A9">
            <w:pPr>
              <w:pStyle w:val="TableText0"/>
              <w:rPr>
                <w:iCs/>
              </w:rPr>
            </w:pPr>
            <w:r w:rsidRPr="008705DE">
              <w:rPr>
                <w:iCs/>
                <w:snapToGrid w:val="0"/>
                <w:szCs w:val="20"/>
              </w:rPr>
              <w:t xml:space="preserve">Not addressed. </w:t>
            </w:r>
            <w:r w:rsidR="00F50050" w:rsidRPr="008705DE">
              <w:rPr>
                <w:iCs/>
                <w:snapToGrid w:val="0"/>
                <w:szCs w:val="20"/>
              </w:rPr>
              <w:t>However, this</w:t>
            </w:r>
            <w:r w:rsidR="007C4DE5">
              <w:rPr>
                <w:iCs/>
                <w:snapToGrid w:val="0"/>
                <w:szCs w:val="20"/>
              </w:rPr>
              <w:t xml:space="preserve"> was</w:t>
            </w:r>
            <w:r w:rsidR="00F50050" w:rsidRPr="008705DE">
              <w:rPr>
                <w:iCs/>
                <w:snapToGrid w:val="0"/>
                <w:szCs w:val="20"/>
              </w:rPr>
              <w:t xml:space="preserve"> consistent with the listing of trifluridine/tipiracil.</w:t>
            </w:r>
          </w:p>
        </w:tc>
      </w:tr>
      <w:tr w:rsidR="00DC33F2" w:rsidRPr="00A47C37" w14:paraId="2B88A190" w14:textId="77777777" w:rsidTr="00AD478D">
        <w:trPr>
          <w:cantSplit/>
        </w:trPr>
        <w:tc>
          <w:tcPr>
            <w:tcW w:w="5000" w:type="pct"/>
            <w:gridSpan w:val="3"/>
          </w:tcPr>
          <w:p w14:paraId="471C80DE" w14:textId="77777777" w:rsidR="00DC33F2" w:rsidRPr="008705DE" w:rsidRDefault="00DC33F2" w:rsidP="008E64A9">
            <w:pPr>
              <w:pStyle w:val="TableText0"/>
              <w:rPr>
                <w:b/>
                <w:bCs w:val="0"/>
              </w:rPr>
            </w:pPr>
            <w:r w:rsidRPr="008705DE">
              <w:rPr>
                <w:b/>
                <w:bCs w:val="0"/>
              </w:rPr>
              <w:t xml:space="preserve">Clinical evidence </w:t>
            </w:r>
          </w:p>
        </w:tc>
      </w:tr>
      <w:tr w:rsidR="00DC33F2" w:rsidRPr="00A47C37" w14:paraId="78847BE0" w14:textId="77777777" w:rsidTr="00AD478D">
        <w:trPr>
          <w:cantSplit/>
        </w:trPr>
        <w:tc>
          <w:tcPr>
            <w:tcW w:w="1098" w:type="pct"/>
          </w:tcPr>
          <w:p w14:paraId="33AACDC8" w14:textId="77777777" w:rsidR="00DC33F2" w:rsidRPr="00A47C37" w:rsidRDefault="00DC33F2" w:rsidP="008E64A9">
            <w:pPr>
              <w:pStyle w:val="TableText0"/>
            </w:pPr>
            <w:r w:rsidRPr="00A47C37">
              <w:t>Clinical effectiveness</w:t>
            </w:r>
          </w:p>
        </w:tc>
        <w:tc>
          <w:tcPr>
            <w:tcW w:w="2122" w:type="pct"/>
          </w:tcPr>
          <w:p w14:paraId="3AA53B89" w14:textId="77777777" w:rsidR="00DC33F2" w:rsidRPr="00A47C37" w:rsidRDefault="00DC33F2" w:rsidP="008E64A9">
            <w:pPr>
              <w:pStyle w:val="TableText0"/>
              <w:rPr>
                <w:rFonts w:eastAsia="Times New Roman" w:cs="Arial"/>
                <w:bCs w:val="0"/>
                <w:snapToGrid w:val="0"/>
                <w:color w:val="0066FF"/>
                <w:szCs w:val="20"/>
              </w:rPr>
            </w:pPr>
            <w:r w:rsidRPr="00A47C37">
              <w:t>The PBAC noted</w:t>
            </w:r>
            <w:r>
              <w:t xml:space="preserve"> the</w:t>
            </w:r>
            <w:r w:rsidRPr="00A47C37">
              <w:t xml:space="preserve"> small gain in median PFS of 0.2 months and median OS of 1.4 months</w:t>
            </w:r>
            <w:r w:rsidR="008F07AF">
              <w:t xml:space="preserve"> compared with BSC</w:t>
            </w:r>
            <w:r w:rsidRPr="00A47C37">
              <w:t xml:space="preserve"> in </w:t>
            </w:r>
            <w:r w:rsidR="008F07AF">
              <w:t xml:space="preserve">the </w:t>
            </w:r>
            <w:r w:rsidRPr="00A47C37">
              <w:t>CORRECT</w:t>
            </w:r>
            <w:r w:rsidR="008F07AF">
              <w:t xml:space="preserve"> trial</w:t>
            </w:r>
            <w:r w:rsidRPr="00A47C37">
              <w:t xml:space="preserve"> (para 7.6, July 2014 PSD).</w:t>
            </w:r>
          </w:p>
        </w:tc>
        <w:tc>
          <w:tcPr>
            <w:tcW w:w="1780" w:type="pct"/>
          </w:tcPr>
          <w:p w14:paraId="6FE9D45A" w14:textId="77777777" w:rsidR="00DC33F2" w:rsidRPr="008705DE" w:rsidRDefault="00DC33F2" w:rsidP="008E64A9">
            <w:pPr>
              <w:pStyle w:val="TableText0"/>
              <w:rPr>
                <w:rFonts w:eastAsia="Times New Roman" w:cs="Arial"/>
                <w:bCs w:val="0"/>
                <w:iCs/>
                <w:snapToGrid w:val="0"/>
                <w:color w:val="0066FF"/>
                <w:szCs w:val="20"/>
              </w:rPr>
            </w:pPr>
            <w:r w:rsidRPr="008705DE">
              <w:rPr>
                <w:iCs/>
              </w:rPr>
              <w:t>The resubmission presented additional data from the CONCUR trial</w:t>
            </w:r>
            <w:r w:rsidR="008838D5" w:rsidRPr="008705DE">
              <w:rPr>
                <w:iCs/>
              </w:rPr>
              <w:t>.</w:t>
            </w:r>
            <w:r w:rsidRPr="008705DE">
              <w:rPr>
                <w:iCs/>
              </w:rPr>
              <w:t xml:space="preserve"> The resubmission presented an indirect comparison of regorafenib and trifluridine/tipiracil</w:t>
            </w:r>
            <w:r w:rsidR="008838D5" w:rsidRPr="008705DE">
              <w:rPr>
                <w:iCs/>
              </w:rPr>
              <w:t>.</w:t>
            </w:r>
          </w:p>
        </w:tc>
      </w:tr>
      <w:tr w:rsidR="00DC33F2" w:rsidRPr="00A47C37" w14:paraId="518CFF68" w14:textId="77777777" w:rsidTr="00AD478D">
        <w:trPr>
          <w:cantSplit/>
        </w:trPr>
        <w:tc>
          <w:tcPr>
            <w:tcW w:w="1098" w:type="pct"/>
          </w:tcPr>
          <w:p w14:paraId="0D9131E5" w14:textId="77777777" w:rsidR="00DC33F2" w:rsidRPr="00A47C37" w:rsidRDefault="00DC33F2" w:rsidP="008E64A9">
            <w:pPr>
              <w:pStyle w:val="TableText0"/>
            </w:pPr>
            <w:r w:rsidRPr="00A47C37">
              <w:t>Clinical safety</w:t>
            </w:r>
          </w:p>
        </w:tc>
        <w:tc>
          <w:tcPr>
            <w:tcW w:w="2122" w:type="pct"/>
          </w:tcPr>
          <w:p w14:paraId="1633D8DD" w14:textId="77777777" w:rsidR="00DC33F2" w:rsidRPr="00A47C37" w:rsidRDefault="00DC33F2" w:rsidP="008E64A9">
            <w:pPr>
              <w:pStyle w:val="TableText0"/>
              <w:rPr>
                <w:rFonts w:eastAsia="Times New Roman" w:cs="Arial"/>
                <w:bCs w:val="0"/>
                <w:snapToGrid w:val="0"/>
                <w:color w:val="0066FF"/>
                <w:szCs w:val="20"/>
              </w:rPr>
            </w:pPr>
            <w:r w:rsidRPr="00A47C37">
              <w:t xml:space="preserve">The PBAC noted the severe adverse effects associated with </w:t>
            </w:r>
            <w:r>
              <w:t>regorafenib</w:t>
            </w:r>
            <w:r w:rsidRPr="00A47C37">
              <w:t>, particularly hepatotoxicity and hand-foot skin reactions (para 7.7, July 2014 PSD)</w:t>
            </w:r>
          </w:p>
        </w:tc>
        <w:tc>
          <w:tcPr>
            <w:tcW w:w="1780" w:type="pct"/>
          </w:tcPr>
          <w:p w14:paraId="5E135260" w14:textId="77777777" w:rsidR="00DC33F2" w:rsidRPr="008705DE" w:rsidRDefault="00FA1B1A" w:rsidP="008E64A9">
            <w:pPr>
              <w:pStyle w:val="TableText0"/>
              <w:rPr>
                <w:iCs/>
              </w:rPr>
            </w:pPr>
            <w:r w:rsidRPr="008705DE">
              <w:rPr>
                <w:iCs/>
              </w:rPr>
              <w:t>T</w:t>
            </w:r>
            <w:r w:rsidR="00DC33F2" w:rsidRPr="008705DE">
              <w:rPr>
                <w:iCs/>
              </w:rPr>
              <w:t xml:space="preserve">he resubmission presented post hoc safety analyses from CORRECT </w:t>
            </w:r>
            <w:r w:rsidR="008838D5" w:rsidRPr="008705DE">
              <w:rPr>
                <w:iCs/>
              </w:rPr>
              <w:t>and CONCUR trials.</w:t>
            </w:r>
            <w:r w:rsidR="00DC33F2" w:rsidRPr="008705DE">
              <w:rPr>
                <w:iCs/>
              </w:rPr>
              <w:t xml:space="preserve"> </w:t>
            </w:r>
          </w:p>
          <w:p w14:paraId="264C20A4" w14:textId="77777777" w:rsidR="00DC33F2" w:rsidRPr="008705DE" w:rsidRDefault="00DC33F2" w:rsidP="008E64A9">
            <w:pPr>
              <w:pStyle w:val="TableText0"/>
              <w:rPr>
                <w:rFonts w:eastAsia="Times New Roman" w:cs="Arial"/>
                <w:bCs w:val="0"/>
                <w:iCs/>
                <w:snapToGrid w:val="0"/>
                <w:color w:val="0066FF"/>
                <w:szCs w:val="20"/>
              </w:rPr>
            </w:pPr>
          </w:p>
        </w:tc>
      </w:tr>
      <w:tr w:rsidR="00DC33F2" w:rsidRPr="00A47C37" w14:paraId="0844FE0E" w14:textId="77777777" w:rsidTr="00AD478D">
        <w:trPr>
          <w:cantSplit/>
        </w:trPr>
        <w:tc>
          <w:tcPr>
            <w:tcW w:w="1098" w:type="pct"/>
          </w:tcPr>
          <w:p w14:paraId="292F0BBB" w14:textId="77777777" w:rsidR="00DC33F2" w:rsidRPr="00A47C37" w:rsidRDefault="00DC33F2" w:rsidP="008E64A9">
            <w:pPr>
              <w:pStyle w:val="TableText0"/>
            </w:pPr>
            <w:r w:rsidRPr="00A47C37">
              <w:t>Quality of Life</w:t>
            </w:r>
          </w:p>
        </w:tc>
        <w:tc>
          <w:tcPr>
            <w:tcW w:w="2122" w:type="pct"/>
          </w:tcPr>
          <w:p w14:paraId="0CE1BB56" w14:textId="77777777" w:rsidR="00DC33F2" w:rsidRPr="00A47C37" w:rsidRDefault="00DC33F2" w:rsidP="008E64A9">
            <w:pPr>
              <w:pStyle w:val="TableText0"/>
              <w:rPr>
                <w:rFonts w:eastAsia="Times New Roman" w:cs="Arial"/>
                <w:bCs w:val="0"/>
                <w:snapToGrid w:val="0"/>
                <w:color w:val="0066FF"/>
                <w:szCs w:val="20"/>
              </w:rPr>
            </w:pPr>
            <w:r w:rsidRPr="00A47C37">
              <w:t>The PBAC noted that no patients in the CORRECT trial had a complete response and that EQ-5D data showed no improvement in QoL with regorafenib (para 7.6, July 2014 PSD).</w:t>
            </w:r>
          </w:p>
        </w:tc>
        <w:tc>
          <w:tcPr>
            <w:tcW w:w="1780" w:type="pct"/>
          </w:tcPr>
          <w:p w14:paraId="4ADC80C6" w14:textId="77777777" w:rsidR="00DC33F2" w:rsidRPr="008705DE" w:rsidRDefault="00DC33F2" w:rsidP="008E64A9">
            <w:pPr>
              <w:pStyle w:val="TableText0"/>
              <w:rPr>
                <w:rFonts w:eastAsia="Times New Roman" w:cs="Arial"/>
                <w:bCs w:val="0"/>
                <w:iCs/>
                <w:snapToGrid w:val="0"/>
                <w:color w:val="0066FF"/>
                <w:szCs w:val="20"/>
              </w:rPr>
            </w:pPr>
            <w:r w:rsidRPr="008705DE">
              <w:rPr>
                <w:iCs/>
              </w:rPr>
              <w:t>The resubmission present</w:t>
            </w:r>
            <w:r w:rsidR="008838D5" w:rsidRPr="008705DE">
              <w:rPr>
                <w:iCs/>
              </w:rPr>
              <w:t>ed</w:t>
            </w:r>
            <w:r w:rsidRPr="008705DE">
              <w:rPr>
                <w:iCs/>
              </w:rPr>
              <w:t xml:space="preserve"> post hoc analyses of patient reported outcomes from CORRECT and CONCUR, by treatment cycle.</w:t>
            </w:r>
          </w:p>
        </w:tc>
      </w:tr>
      <w:tr w:rsidR="00DC33F2" w:rsidRPr="00A47C37" w14:paraId="11EEEAD0" w14:textId="77777777" w:rsidTr="00AD478D">
        <w:trPr>
          <w:cantSplit/>
        </w:trPr>
        <w:tc>
          <w:tcPr>
            <w:tcW w:w="5000" w:type="pct"/>
            <w:gridSpan w:val="3"/>
          </w:tcPr>
          <w:p w14:paraId="59D3158F" w14:textId="77777777" w:rsidR="00DC33F2" w:rsidRPr="008705DE" w:rsidRDefault="00DC33F2" w:rsidP="008E64A9">
            <w:pPr>
              <w:pStyle w:val="TableText0"/>
              <w:rPr>
                <w:b/>
                <w:bCs w:val="0"/>
              </w:rPr>
            </w:pPr>
            <w:r w:rsidRPr="008705DE">
              <w:rPr>
                <w:b/>
                <w:bCs w:val="0"/>
              </w:rPr>
              <w:t>Economic evaluation</w:t>
            </w:r>
          </w:p>
        </w:tc>
      </w:tr>
      <w:tr w:rsidR="00DC33F2" w:rsidRPr="00A47C37" w14:paraId="05405894" w14:textId="77777777" w:rsidTr="00AD478D">
        <w:trPr>
          <w:cantSplit/>
        </w:trPr>
        <w:tc>
          <w:tcPr>
            <w:tcW w:w="1098" w:type="pct"/>
          </w:tcPr>
          <w:p w14:paraId="15B2FB91" w14:textId="77777777" w:rsidR="00DC33F2" w:rsidRPr="00A47C37" w:rsidRDefault="00DC33F2" w:rsidP="008E64A9">
            <w:pPr>
              <w:pStyle w:val="TableText0"/>
            </w:pPr>
            <w:r>
              <w:t xml:space="preserve">Economic evaluation </w:t>
            </w:r>
          </w:p>
        </w:tc>
        <w:tc>
          <w:tcPr>
            <w:tcW w:w="2122" w:type="pct"/>
          </w:tcPr>
          <w:p w14:paraId="0E69A087" w14:textId="77777777" w:rsidR="00DC33F2" w:rsidRPr="00A47C37" w:rsidRDefault="00DC33F2" w:rsidP="008E64A9">
            <w:pPr>
              <w:pStyle w:val="TableText0"/>
            </w:pPr>
            <w:r w:rsidRPr="00A47C37">
              <w:rPr>
                <w:snapToGrid w:val="0"/>
                <w:szCs w:val="20"/>
              </w:rPr>
              <w:t>The PBAC considered that use of regorafenib was associated with an unacceptably high ICER (para 7.8, July 2014 PSD).</w:t>
            </w:r>
          </w:p>
        </w:tc>
        <w:tc>
          <w:tcPr>
            <w:tcW w:w="1780" w:type="pct"/>
          </w:tcPr>
          <w:p w14:paraId="05400D06" w14:textId="77777777" w:rsidR="00DC33F2" w:rsidRPr="008705DE" w:rsidRDefault="00DC33F2" w:rsidP="008E64A9">
            <w:pPr>
              <w:pStyle w:val="TableText0"/>
            </w:pPr>
            <w:r w:rsidRPr="008705DE">
              <w:rPr>
                <w:iCs/>
              </w:rPr>
              <w:t xml:space="preserve">A cost minimisation to trifluridine/tipiracil was presented </w:t>
            </w:r>
            <w:r w:rsidR="008838D5" w:rsidRPr="008705DE">
              <w:rPr>
                <w:iCs/>
              </w:rPr>
              <w:t>based on</w:t>
            </w:r>
            <w:r w:rsidRPr="008705DE">
              <w:rPr>
                <w:iCs/>
              </w:rPr>
              <w:t xml:space="preserve"> indirect comparison.</w:t>
            </w:r>
          </w:p>
        </w:tc>
      </w:tr>
      <w:tr w:rsidR="00DC33F2" w:rsidRPr="00A47C37" w14:paraId="3FBBD814" w14:textId="77777777" w:rsidTr="00AD478D">
        <w:trPr>
          <w:cantSplit/>
        </w:trPr>
        <w:tc>
          <w:tcPr>
            <w:tcW w:w="1098" w:type="pct"/>
          </w:tcPr>
          <w:p w14:paraId="1092DE7D" w14:textId="77777777" w:rsidR="00DC33F2" w:rsidRPr="00A47C37" w:rsidRDefault="00DC33F2" w:rsidP="008E64A9">
            <w:pPr>
              <w:pStyle w:val="TableText0"/>
            </w:pPr>
            <w:r w:rsidRPr="00A47C37">
              <w:t>Inclusion of cost associated with the management and monitoring of adverse events</w:t>
            </w:r>
          </w:p>
        </w:tc>
        <w:tc>
          <w:tcPr>
            <w:tcW w:w="2122" w:type="pct"/>
          </w:tcPr>
          <w:p w14:paraId="6D6E2824" w14:textId="77777777" w:rsidR="00DC33F2" w:rsidRPr="00A47C37" w:rsidRDefault="00DC33F2" w:rsidP="008E64A9">
            <w:pPr>
              <w:pStyle w:val="TableText0"/>
            </w:pPr>
            <w:r w:rsidRPr="00A47C37">
              <w:rPr>
                <w:snapToGrid w:val="0"/>
                <w:szCs w:val="20"/>
              </w:rPr>
              <w:t>The ESC considered that the cost of adverse events was likely to be underestimated as the model does not include palliative care costs or costs associated with adverse events that require hospitalisation (para 6.22, July 2014 PSD).</w:t>
            </w:r>
          </w:p>
        </w:tc>
        <w:tc>
          <w:tcPr>
            <w:tcW w:w="1780" w:type="pct"/>
          </w:tcPr>
          <w:p w14:paraId="3606D8E7" w14:textId="77777777" w:rsidR="00DC33F2" w:rsidRPr="008705DE" w:rsidRDefault="00DC33F2" w:rsidP="008E64A9">
            <w:pPr>
              <w:pStyle w:val="TableText0"/>
            </w:pPr>
            <w:r w:rsidRPr="008705DE">
              <w:rPr>
                <w:rFonts w:eastAsia="Times New Roman" w:cs="Arial"/>
                <w:bCs w:val="0"/>
                <w:iCs/>
                <w:snapToGrid w:val="0"/>
                <w:szCs w:val="20"/>
              </w:rPr>
              <w:t>The resubmission did not include the costs for the management and monitoring of adverse events</w:t>
            </w:r>
            <w:r w:rsidR="008838D5" w:rsidRPr="008705DE">
              <w:rPr>
                <w:rFonts w:eastAsia="Times New Roman" w:cs="Arial"/>
                <w:bCs w:val="0"/>
                <w:iCs/>
                <w:snapToGrid w:val="0"/>
                <w:szCs w:val="20"/>
              </w:rPr>
              <w:t>.</w:t>
            </w:r>
          </w:p>
        </w:tc>
      </w:tr>
      <w:tr w:rsidR="00DC33F2" w:rsidRPr="00A47C37" w14:paraId="2D3950BF" w14:textId="77777777" w:rsidTr="00AD478D">
        <w:trPr>
          <w:cantSplit/>
        </w:trPr>
        <w:tc>
          <w:tcPr>
            <w:tcW w:w="5000" w:type="pct"/>
            <w:gridSpan w:val="3"/>
          </w:tcPr>
          <w:p w14:paraId="245D6004" w14:textId="77777777" w:rsidR="00DC33F2" w:rsidRPr="008705DE" w:rsidRDefault="00DC33F2" w:rsidP="008E64A9">
            <w:pPr>
              <w:pStyle w:val="TableText0"/>
              <w:rPr>
                <w:rFonts w:eastAsia="Times New Roman" w:cs="Arial"/>
                <w:b/>
                <w:snapToGrid w:val="0"/>
                <w:szCs w:val="20"/>
              </w:rPr>
            </w:pPr>
            <w:r w:rsidRPr="008705DE">
              <w:rPr>
                <w:rFonts w:eastAsia="Times New Roman" w:cs="Arial"/>
                <w:b/>
                <w:snapToGrid w:val="0"/>
                <w:szCs w:val="20"/>
              </w:rPr>
              <w:t>Financial estimates</w:t>
            </w:r>
          </w:p>
        </w:tc>
      </w:tr>
      <w:tr w:rsidR="00DC33F2" w:rsidRPr="00A47C37" w14:paraId="5227E162" w14:textId="77777777" w:rsidTr="00AD478D">
        <w:trPr>
          <w:cantSplit/>
        </w:trPr>
        <w:tc>
          <w:tcPr>
            <w:tcW w:w="1098" w:type="pct"/>
          </w:tcPr>
          <w:p w14:paraId="0ADB7A52" w14:textId="77777777" w:rsidR="00DC33F2" w:rsidRPr="00A47C37" w:rsidRDefault="00DC33F2" w:rsidP="008E64A9">
            <w:pPr>
              <w:pStyle w:val="TableText0"/>
            </w:pPr>
            <w:r w:rsidRPr="00A47C37">
              <w:t>Financial impact</w:t>
            </w:r>
          </w:p>
        </w:tc>
        <w:tc>
          <w:tcPr>
            <w:tcW w:w="2122" w:type="pct"/>
          </w:tcPr>
          <w:p w14:paraId="20F0417B" w14:textId="77777777" w:rsidR="00DC33F2" w:rsidRPr="00A47C37" w:rsidRDefault="00DC33F2" w:rsidP="008E64A9">
            <w:pPr>
              <w:pStyle w:val="TableText0"/>
              <w:rPr>
                <w:snapToGrid w:val="0"/>
                <w:szCs w:val="20"/>
              </w:rPr>
            </w:pPr>
            <w:r w:rsidRPr="00A47C37">
              <w:rPr>
                <w:snapToGrid w:val="0"/>
                <w:szCs w:val="20"/>
              </w:rPr>
              <w:t>The PBAC noted that the sensitivity analysis showed that there is considerable variation in the financial estimates of cost to the Commonwealth (para 7.9, July 2014 PSD).</w:t>
            </w:r>
          </w:p>
        </w:tc>
        <w:tc>
          <w:tcPr>
            <w:tcW w:w="1780" w:type="pct"/>
          </w:tcPr>
          <w:p w14:paraId="3C0CCD2C" w14:textId="77777777" w:rsidR="00DC33F2" w:rsidRPr="008705DE" w:rsidRDefault="008838D5" w:rsidP="008E64A9">
            <w:pPr>
              <w:pStyle w:val="TableText0"/>
              <w:rPr>
                <w:rFonts w:eastAsia="Times New Roman" w:cs="Arial"/>
                <w:bCs w:val="0"/>
                <w:iCs/>
                <w:snapToGrid w:val="0"/>
                <w:szCs w:val="20"/>
              </w:rPr>
            </w:pPr>
            <w:r w:rsidRPr="008705DE">
              <w:rPr>
                <w:rFonts w:eastAsia="Times New Roman" w:cs="Arial"/>
                <w:bCs w:val="0"/>
                <w:iCs/>
                <w:snapToGrid w:val="0"/>
                <w:szCs w:val="20"/>
              </w:rPr>
              <w:t xml:space="preserve">A </w:t>
            </w:r>
            <w:r w:rsidR="00DC33F2" w:rsidRPr="008705DE">
              <w:rPr>
                <w:rFonts w:eastAsia="Times New Roman" w:cs="Arial"/>
                <w:bCs w:val="0"/>
                <w:iCs/>
                <w:snapToGrid w:val="0"/>
                <w:szCs w:val="20"/>
              </w:rPr>
              <w:t xml:space="preserve">market share approach in reference to </w:t>
            </w:r>
            <w:r w:rsidR="00DC33F2" w:rsidRPr="008705DE">
              <w:rPr>
                <w:iCs/>
              </w:rPr>
              <w:t xml:space="preserve">trifluridine/tipiracil </w:t>
            </w:r>
            <w:r w:rsidR="00DC33F2" w:rsidRPr="008705DE">
              <w:rPr>
                <w:rFonts w:eastAsia="Times New Roman" w:cs="Arial"/>
                <w:bCs w:val="0"/>
                <w:iCs/>
                <w:snapToGrid w:val="0"/>
                <w:szCs w:val="20"/>
              </w:rPr>
              <w:t xml:space="preserve">was used. </w:t>
            </w:r>
            <w:r w:rsidRPr="008705DE">
              <w:rPr>
                <w:rFonts w:eastAsia="Times New Roman" w:cs="Arial"/>
                <w:bCs w:val="0"/>
                <w:iCs/>
                <w:snapToGrid w:val="0"/>
                <w:szCs w:val="20"/>
              </w:rPr>
              <w:t>No</w:t>
            </w:r>
            <w:r w:rsidR="00DC33F2" w:rsidRPr="008705DE">
              <w:rPr>
                <w:rFonts w:eastAsia="Times New Roman" w:cs="Arial"/>
                <w:bCs w:val="0"/>
                <w:iCs/>
                <w:snapToGrid w:val="0"/>
                <w:szCs w:val="20"/>
              </w:rPr>
              <w:t xml:space="preserve"> consideration of additional cost</w:t>
            </w:r>
            <w:r w:rsidRPr="008705DE">
              <w:rPr>
                <w:rFonts w:eastAsia="Times New Roman" w:cs="Arial"/>
                <w:bCs w:val="0"/>
                <w:iCs/>
                <w:snapToGrid w:val="0"/>
                <w:szCs w:val="20"/>
              </w:rPr>
              <w:t>s</w:t>
            </w:r>
            <w:r w:rsidR="00DC33F2" w:rsidRPr="008705DE">
              <w:rPr>
                <w:rFonts w:eastAsia="Times New Roman" w:cs="Arial"/>
                <w:bCs w:val="0"/>
                <w:iCs/>
                <w:snapToGrid w:val="0"/>
                <w:szCs w:val="20"/>
              </w:rPr>
              <w:t xml:space="preserve"> </w:t>
            </w:r>
            <w:r w:rsidRPr="008705DE">
              <w:rPr>
                <w:rFonts w:eastAsia="Times New Roman" w:cs="Arial"/>
                <w:bCs w:val="0"/>
                <w:iCs/>
                <w:snapToGrid w:val="0"/>
                <w:szCs w:val="20"/>
              </w:rPr>
              <w:t>to the Commonwealth</w:t>
            </w:r>
            <w:r w:rsidR="00FA0F8C" w:rsidRPr="008705DE">
              <w:rPr>
                <w:rFonts w:eastAsia="Times New Roman" w:cs="Arial"/>
                <w:bCs w:val="0"/>
                <w:iCs/>
                <w:snapToGrid w:val="0"/>
                <w:szCs w:val="20"/>
              </w:rPr>
              <w:t>. No sensitivity analyses of financial estimates were presented</w:t>
            </w:r>
            <w:r w:rsidR="00337568" w:rsidRPr="008705DE">
              <w:rPr>
                <w:rFonts w:eastAsia="Times New Roman" w:cs="Arial"/>
                <w:bCs w:val="0"/>
                <w:iCs/>
                <w:snapToGrid w:val="0"/>
                <w:szCs w:val="20"/>
              </w:rPr>
              <w:t>.</w:t>
            </w:r>
            <w:r w:rsidR="00DC33F2" w:rsidRPr="008705DE">
              <w:rPr>
                <w:rFonts w:eastAsia="Times New Roman" w:cs="Arial"/>
                <w:bCs w:val="0"/>
                <w:iCs/>
                <w:snapToGrid w:val="0"/>
                <w:szCs w:val="20"/>
              </w:rPr>
              <w:t xml:space="preserve"> </w:t>
            </w:r>
          </w:p>
        </w:tc>
      </w:tr>
    </w:tbl>
    <w:p w14:paraId="5EFE429E" w14:textId="77777777" w:rsidR="00DC33F2" w:rsidRPr="00A47C37" w:rsidRDefault="00DC33F2" w:rsidP="008E64A9">
      <w:pPr>
        <w:pStyle w:val="TableFigureFooter"/>
        <w:keepNext/>
      </w:pPr>
      <w:r w:rsidRPr="00A47C37">
        <w:t>Source: Executive summary, ppxv-xxvi of the resubmission; Regorafenib Public Summary Document, July 2014 PBAC meeting.</w:t>
      </w:r>
    </w:p>
    <w:p w14:paraId="70C3302C" w14:textId="731EF15D" w:rsidR="00601213" w:rsidRDefault="007009ED" w:rsidP="00754394">
      <w:pPr>
        <w:pStyle w:val="TableFigureFooter"/>
        <w:keepNext/>
      </w:pPr>
      <w:r>
        <w:t xml:space="preserve">BSC = best supportive care, </w:t>
      </w:r>
      <w:r w:rsidRPr="00A47C37">
        <w:t>EQ-5D = Euro QoL</w:t>
      </w:r>
      <w:r>
        <w:t xml:space="preserve">, </w:t>
      </w:r>
      <w:r w:rsidRPr="00A47C37">
        <w:t>5-dimensional QoL measurement,</w:t>
      </w:r>
      <w:r>
        <w:t xml:space="preserve"> </w:t>
      </w:r>
      <w:r w:rsidR="00DC33F2" w:rsidRPr="00A47C37">
        <w:t>ICER = incremental cost-effectiveness ratio, OS = overall survival, PFS = progression free survival, QoL = Quality of Life.</w:t>
      </w:r>
    </w:p>
    <w:p w14:paraId="0B1BE978" w14:textId="77777777" w:rsidR="00DC33F2" w:rsidRDefault="00DC33F2" w:rsidP="00DC33F2">
      <w:pPr>
        <w:pStyle w:val="2-SectionHeading"/>
        <w:numPr>
          <w:ilvl w:val="0"/>
          <w:numId w:val="1"/>
        </w:numPr>
      </w:pPr>
      <w:bookmarkStart w:id="11" w:name="_Toc22898848"/>
      <w:bookmarkStart w:id="12" w:name="_Toc82598850"/>
      <w:r w:rsidRPr="00407F2D">
        <w:t>Requested listing</w:t>
      </w:r>
      <w:bookmarkEnd w:id="11"/>
      <w:bookmarkEnd w:id="12"/>
    </w:p>
    <w:p w14:paraId="48D86035" w14:textId="77777777" w:rsidR="006D4B48" w:rsidRPr="00742759" w:rsidRDefault="00742759" w:rsidP="006D4B48">
      <w:pPr>
        <w:pStyle w:val="3-BodyText"/>
        <w:rPr>
          <w:i/>
        </w:rPr>
      </w:pPr>
      <w:r w:rsidRPr="00742759">
        <w:rPr>
          <w:iCs/>
        </w:rPr>
        <w:t>The submission requested a listing consistent with that of trifluridine/tipiracil</w:t>
      </w:r>
      <w:r>
        <w:rPr>
          <w:iCs/>
        </w:rPr>
        <w:t xml:space="preserve"> for mCRC</w:t>
      </w:r>
      <w:r w:rsidRPr="00742759">
        <w:rPr>
          <w:iCs/>
        </w:rPr>
        <w:t>.</w:t>
      </w:r>
    </w:p>
    <w:tbl>
      <w:tblPr>
        <w:tblW w:w="4984" w:type="pct"/>
        <w:tblInd w:w="28" w:type="dxa"/>
        <w:tblCellMar>
          <w:left w:w="28" w:type="dxa"/>
          <w:right w:w="28" w:type="dxa"/>
        </w:tblCellMar>
        <w:tblLook w:val="0000" w:firstRow="0" w:lastRow="0" w:firstColumn="0" w:lastColumn="0" w:noHBand="0" w:noVBand="0"/>
      </w:tblPr>
      <w:tblGrid>
        <w:gridCol w:w="1568"/>
        <w:gridCol w:w="214"/>
        <w:gridCol w:w="1049"/>
        <w:gridCol w:w="948"/>
        <w:gridCol w:w="623"/>
        <w:gridCol w:w="2599"/>
        <w:gridCol w:w="779"/>
        <w:gridCol w:w="1218"/>
      </w:tblGrid>
      <w:tr w:rsidR="00DC33F2" w:rsidRPr="00413860" w14:paraId="611C9F99" w14:textId="77777777" w:rsidTr="00AD478D">
        <w:trPr>
          <w:cantSplit/>
          <w:trHeight w:val="463"/>
        </w:trPr>
        <w:tc>
          <w:tcPr>
            <w:tcW w:w="871" w:type="pct"/>
            <w:tcBorders>
              <w:top w:val="single" w:sz="4" w:space="0" w:color="auto"/>
              <w:bottom w:val="single" w:sz="4" w:space="0" w:color="auto"/>
              <w:right w:val="single" w:sz="4" w:space="0" w:color="auto"/>
            </w:tcBorders>
            <w:vAlign w:val="center"/>
          </w:tcPr>
          <w:p w14:paraId="2FEFB343" w14:textId="77777777" w:rsidR="00DC33F2" w:rsidRPr="00C7151A" w:rsidRDefault="00DC33F2" w:rsidP="00AD478D">
            <w:pPr>
              <w:keepNext/>
              <w:jc w:val="left"/>
              <w:rPr>
                <w:rFonts w:ascii="Arial Narrow" w:hAnsi="Arial Narrow"/>
                <w:b/>
                <w:sz w:val="20"/>
              </w:rPr>
            </w:pPr>
            <w:r w:rsidRPr="00C7151A">
              <w:rPr>
                <w:rFonts w:ascii="Arial Narrow" w:hAnsi="Arial Narrow"/>
                <w:b/>
                <w:sz w:val="20"/>
              </w:rPr>
              <w:t>Name, Restriction,</w:t>
            </w:r>
          </w:p>
          <w:p w14:paraId="19BCDB4C" w14:textId="77777777" w:rsidR="00DC33F2" w:rsidRPr="00C7151A" w:rsidRDefault="00DC33F2" w:rsidP="00AD478D">
            <w:pPr>
              <w:keepNext/>
              <w:jc w:val="left"/>
              <w:rPr>
                <w:rFonts w:ascii="Arial Narrow" w:hAnsi="Arial Narrow"/>
                <w:b/>
                <w:sz w:val="20"/>
              </w:rPr>
            </w:pPr>
            <w:r w:rsidRPr="00C7151A">
              <w:rPr>
                <w:rFonts w:ascii="Arial Narrow" w:hAnsi="Arial Narrow"/>
                <w:b/>
                <w:sz w:val="20"/>
              </w:rPr>
              <w:t>Manner of administration and form</w:t>
            </w:r>
          </w:p>
        </w:tc>
        <w:tc>
          <w:tcPr>
            <w:tcW w:w="702" w:type="pct"/>
            <w:gridSpan w:val="2"/>
            <w:tcBorders>
              <w:top w:val="single" w:sz="4" w:space="0" w:color="auto"/>
              <w:left w:val="single" w:sz="4" w:space="0" w:color="auto"/>
              <w:bottom w:val="single" w:sz="4" w:space="0" w:color="auto"/>
              <w:right w:val="single" w:sz="4" w:space="0" w:color="auto"/>
            </w:tcBorders>
            <w:vAlign w:val="center"/>
          </w:tcPr>
          <w:p w14:paraId="7D35B0CC" w14:textId="77777777" w:rsidR="00DC33F2" w:rsidRPr="00C7151A" w:rsidRDefault="00DC33F2" w:rsidP="00AD478D">
            <w:pPr>
              <w:keepNext/>
              <w:jc w:val="center"/>
              <w:rPr>
                <w:rFonts w:ascii="Arial Narrow" w:hAnsi="Arial Narrow"/>
                <w:b/>
                <w:sz w:val="20"/>
              </w:rPr>
            </w:pPr>
            <w:r w:rsidRPr="00C7151A">
              <w:rPr>
                <w:rFonts w:ascii="Arial Narrow" w:hAnsi="Arial Narrow"/>
                <w:b/>
                <w:sz w:val="20"/>
              </w:rPr>
              <w:t>Max.</w:t>
            </w:r>
          </w:p>
          <w:p w14:paraId="0FCC792C" w14:textId="77777777" w:rsidR="00DC33F2" w:rsidRPr="00C7151A" w:rsidRDefault="00DC33F2" w:rsidP="00AD478D">
            <w:pPr>
              <w:keepNext/>
              <w:jc w:val="center"/>
              <w:rPr>
                <w:rFonts w:ascii="Arial Narrow" w:hAnsi="Arial Narrow"/>
                <w:b/>
                <w:sz w:val="20"/>
              </w:rPr>
            </w:pPr>
            <w:r w:rsidRPr="00C7151A">
              <w:rPr>
                <w:rFonts w:ascii="Arial Narrow" w:hAnsi="Arial Narrow"/>
                <w:b/>
                <w:sz w:val="20"/>
              </w:rPr>
              <w:t xml:space="preserve">Qty </w:t>
            </w:r>
            <w:r>
              <w:rPr>
                <w:rFonts w:ascii="Arial Narrow" w:hAnsi="Arial Narrow"/>
                <w:b/>
                <w:sz w:val="20"/>
              </w:rPr>
              <w:t>(packs)</w:t>
            </w:r>
          </w:p>
        </w:tc>
        <w:tc>
          <w:tcPr>
            <w:tcW w:w="527" w:type="pct"/>
            <w:tcBorders>
              <w:top w:val="single" w:sz="4" w:space="0" w:color="auto"/>
              <w:left w:val="single" w:sz="4" w:space="0" w:color="auto"/>
              <w:bottom w:val="single" w:sz="4" w:space="0" w:color="auto"/>
              <w:right w:val="single" w:sz="4" w:space="0" w:color="auto"/>
            </w:tcBorders>
            <w:vAlign w:val="center"/>
          </w:tcPr>
          <w:p w14:paraId="32515897" w14:textId="77777777" w:rsidR="00DC33F2" w:rsidRPr="00C7151A" w:rsidRDefault="00DC33F2" w:rsidP="00AD478D">
            <w:pPr>
              <w:keepNext/>
              <w:jc w:val="center"/>
              <w:rPr>
                <w:rFonts w:ascii="Arial Narrow" w:hAnsi="Arial Narrow"/>
                <w:b/>
                <w:sz w:val="20"/>
              </w:rPr>
            </w:pPr>
            <w:r w:rsidRPr="00C7151A">
              <w:rPr>
                <w:rFonts w:ascii="Arial Narrow" w:hAnsi="Arial Narrow"/>
                <w:b/>
                <w:sz w:val="20"/>
              </w:rPr>
              <w:t>Max.</w:t>
            </w:r>
          </w:p>
          <w:p w14:paraId="75C056E5" w14:textId="77777777" w:rsidR="00DC33F2" w:rsidRPr="00C7151A" w:rsidRDefault="00DC33F2" w:rsidP="00AD478D">
            <w:pPr>
              <w:keepNext/>
              <w:jc w:val="center"/>
              <w:rPr>
                <w:rFonts w:ascii="Arial Narrow" w:hAnsi="Arial Narrow"/>
                <w:b/>
                <w:sz w:val="20"/>
              </w:rPr>
            </w:pPr>
            <w:r w:rsidRPr="00C7151A">
              <w:rPr>
                <w:rFonts w:ascii="Arial Narrow" w:hAnsi="Arial Narrow"/>
                <w:b/>
                <w:sz w:val="20"/>
              </w:rPr>
              <w:t xml:space="preserve">Qty </w:t>
            </w:r>
            <w:r>
              <w:rPr>
                <w:rFonts w:ascii="Arial Narrow" w:hAnsi="Arial Narrow"/>
                <w:b/>
                <w:sz w:val="20"/>
              </w:rPr>
              <w:t>(units)</w:t>
            </w:r>
          </w:p>
        </w:tc>
        <w:tc>
          <w:tcPr>
            <w:tcW w:w="346" w:type="pct"/>
            <w:tcBorders>
              <w:top w:val="single" w:sz="4" w:space="0" w:color="auto"/>
              <w:left w:val="single" w:sz="4" w:space="0" w:color="auto"/>
              <w:bottom w:val="single" w:sz="4" w:space="0" w:color="auto"/>
              <w:right w:val="single" w:sz="4" w:space="0" w:color="auto"/>
            </w:tcBorders>
            <w:vAlign w:val="center"/>
          </w:tcPr>
          <w:p w14:paraId="6ED27850" w14:textId="77777777" w:rsidR="00DC33F2" w:rsidRPr="00C7151A" w:rsidRDefault="00DC33F2" w:rsidP="00AD478D">
            <w:pPr>
              <w:keepNext/>
              <w:jc w:val="center"/>
              <w:rPr>
                <w:rFonts w:ascii="Arial Narrow" w:hAnsi="Arial Narrow"/>
                <w:b/>
                <w:sz w:val="20"/>
              </w:rPr>
            </w:pPr>
            <w:r>
              <w:rPr>
                <w:rFonts w:ascii="Arial Narrow" w:hAnsi="Arial Narrow"/>
                <w:b/>
                <w:sz w:val="20"/>
              </w:rPr>
              <w:t>No</w:t>
            </w:r>
            <w:r w:rsidRPr="00C7151A">
              <w:rPr>
                <w:rFonts w:ascii="Arial Narrow" w:hAnsi="Arial Narrow"/>
                <w:b/>
                <w:sz w:val="20"/>
              </w:rPr>
              <w:t>.</w:t>
            </w:r>
            <w:r>
              <w:rPr>
                <w:rFonts w:ascii="Arial Narrow" w:hAnsi="Arial Narrow"/>
                <w:b/>
                <w:sz w:val="20"/>
              </w:rPr>
              <w:t xml:space="preserve"> </w:t>
            </w:r>
            <w:r w:rsidRPr="00C7151A">
              <w:rPr>
                <w:rFonts w:ascii="Arial Narrow" w:hAnsi="Arial Narrow"/>
                <w:b/>
                <w:sz w:val="20"/>
              </w:rPr>
              <w:t>of</w:t>
            </w:r>
          </w:p>
          <w:p w14:paraId="1B5E8F46" w14:textId="77777777" w:rsidR="00DC33F2" w:rsidRPr="00C7151A" w:rsidRDefault="00DC33F2" w:rsidP="00AD478D">
            <w:pPr>
              <w:keepNext/>
              <w:jc w:val="center"/>
              <w:rPr>
                <w:rFonts w:ascii="Arial Narrow" w:hAnsi="Arial Narrow"/>
                <w:b/>
                <w:sz w:val="20"/>
              </w:rPr>
            </w:pPr>
            <w:r w:rsidRPr="00C7151A">
              <w:rPr>
                <w:rFonts w:ascii="Arial Narrow" w:hAnsi="Arial Narrow"/>
                <w:b/>
                <w:sz w:val="20"/>
              </w:rPr>
              <w:t>Rpts</w:t>
            </w:r>
          </w:p>
        </w:tc>
        <w:tc>
          <w:tcPr>
            <w:tcW w:w="1444" w:type="pct"/>
            <w:tcBorders>
              <w:top w:val="single" w:sz="4" w:space="0" w:color="auto"/>
              <w:left w:val="single" w:sz="4" w:space="0" w:color="auto"/>
              <w:bottom w:val="single" w:sz="4" w:space="0" w:color="auto"/>
              <w:right w:val="single" w:sz="4" w:space="0" w:color="auto"/>
            </w:tcBorders>
            <w:vAlign w:val="center"/>
          </w:tcPr>
          <w:p w14:paraId="15AB2DCD" w14:textId="77777777" w:rsidR="00DC33F2" w:rsidRPr="00C7151A" w:rsidRDefault="00DC33F2" w:rsidP="00AD478D">
            <w:pPr>
              <w:keepNext/>
              <w:jc w:val="center"/>
              <w:rPr>
                <w:rFonts w:ascii="Arial Narrow" w:hAnsi="Arial Narrow"/>
                <w:b/>
                <w:sz w:val="20"/>
              </w:rPr>
            </w:pPr>
            <w:r w:rsidRPr="00C7151A">
              <w:rPr>
                <w:rFonts w:ascii="Arial Narrow" w:hAnsi="Arial Narrow"/>
                <w:b/>
                <w:sz w:val="20"/>
              </w:rPr>
              <w:t xml:space="preserve">Dispensed Price for Max. Qty </w:t>
            </w:r>
          </w:p>
        </w:tc>
        <w:tc>
          <w:tcPr>
            <w:tcW w:w="1110" w:type="pct"/>
            <w:gridSpan w:val="2"/>
            <w:tcBorders>
              <w:top w:val="single" w:sz="4" w:space="0" w:color="auto"/>
              <w:left w:val="single" w:sz="4" w:space="0" w:color="auto"/>
              <w:bottom w:val="single" w:sz="4" w:space="0" w:color="auto"/>
            </w:tcBorders>
            <w:vAlign w:val="center"/>
          </w:tcPr>
          <w:p w14:paraId="6308BBE1" w14:textId="77777777" w:rsidR="00DC33F2" w:rsidRPr="00C7151A" w:rsidRDefault="00DC33F2" w:rsidP="00AD478D">
            <w:pPr>
              <w:keepNext/>
              <w:jc w:val="center"/>
              <w:rPr>
                <w:rFonts w:ascii="Arial Narrow" w:hAnsi="Arial Narrow"/>
                <w:b/>
                <w:sz w:val="20"/>
                <w:lang w:val="fr-FR"/>
              </w:rPr>
            </w:pPr>
            <w:r w:rsidRPr="00C7151A">
              <w:rPr>
                <w:rFonts w:ascii="Arial Narrow" w:hAnsi="Arial Narrow"/>
                <w:b/>
                <w:sz w:val="20"/>
              </w:rPr>
              <w:t>Proprietary Name and Manufacturer</w:t>
            </w:r>
          </w:p>
        </w:tc>
      </w:tr>
      <w:tr w:rsidR="00DC33F2" w:rsidRPr="00413860" w14:paraId="484D53F4" w14:textId="77777777" w:rsidTr="00AD478D">
        <w:trPr>
          <w:cantSplit/>
          <w:trHeight w:val="567"/>
        </w:trPr>
        <w:tc>
          <w:tcPr>
            <w:tcW w:w="871" w:type="pct"/>
            <w:vAlign w:val="center"/>
          </w:tcPr>
          <w:p w14:paraId="222389E6" w14:textId="77777777" w:rsidR="00DC33F2" w:rsidRPr="00591957" w:rsidRDefault="00DC33F2" w:rsidP="00AD478D">
            <w:pPr>
              <w:keepNext/>
              <w:jc w:val="left"/>
              <w:rPr>
                <w:rFonts w:ascii="Arial Narrow" w:hAnsi="Arial Narrow"/>
                <w:sz w:val="20"/>
              </w:rPr>
            </w:pPr>
            <w:r>
              <w:rPr>
                <w:rFonts w:ascii="Arial Narrow" w:hAnsi="Arial Narrow"/>
                <w:smallCaps/>
                <w:sz w:val="20"/>
              </w:rPr>
              <w:t>REGORAFENIB</w:t>
            </w:r>
          </w:p>
          <w:p w14:paraId="486E03D0" w14:textId="77777777" w:rsidR="00DC33F2" w:rsidRPr="00591957" w:rsidRDefault="00DC33F2" w:rsidP="00AD478D">
            <w:pPr>
              <w:pStyle w:val="Tabletext"/>
            </w:pPr>
            <w:r>
              <w:t>40 mg</w:t>
            </w:r>
            <w:r w:rsidRPr="00CD47D9">
              <w:rPr>
                <w:rFonts w:ascii="Calibri" w:hAnsi="Calibri" w:cs="Arial"/>
                <w:snapToGrid/>
                <w:sz w:val="24"/>
              </w:rPr>
              <w:t xml:space="preserve"> </w:t>
            </w:r>
            <w:r w:rsidRPr="00CD47D9">
              <w:t>(as monohydrate)</w:t>
            </w:r>
            <w:r>
              <w:t xml:space="preserve"> oral tablets, 28</w:t>
            </w:r>
          </w:p>
        </w:tc>
        <w:tc>
          <w:tcPr>
            <w:tcW w:w="702" w:type="pct"/>
            <w:gridSpan w:val="2"/>
            <w:vAlign w:val="center"/>
          </w:tcPr>
          <w:p w14:paraId="3F951270" w14:textId="77777777" w:rsidR="00DC33F2" w:rsidRDefault="00DC33F2" w:rsidP="00AD478D">
            <w:pPr>
              <w:keepNext/>
              <w:jc w:val="center"/>
              <w:rPr>
                <w:rFonts w:ascii="Arial Narrow" w:hAnsi="Arial Narrow"/>
                <w:sz w:val="20"/>
              </w:rPr>
            </w:pPr>
            <w:r>
              <w:rPr>
                <w:rFonts w:ascii="Arial Narrow" w:hAnsi="Arial Narrow"/>
                <w:sz w:val="20"/>
              </w:rPr>
              <w:t>3</w:t>
            </w:r>
          </w:p>
        </w:tc>
        <w:tc>
          <w:tcPr>
            <w:tcW w:w="527" w:type="pct"/>
            <w:vAlign w:val="center"/>
          </w:tcPr>
          <w:p w14:paraId="54F11E4A" w14:textId="77777777" w:rsidR="00DC33F2" w:rsidRPr="00591957" w:rsidRDefault="00DC33F2" w:rsidP="00AD478D">
            <w:pPr>
              <w:keepNext/>
              <w:jc w:val="center"/>
              <w:rPr>
                <w:rFonts w:ascii="Arial Narrow" w:hAnsi="Arial Narrow"/>
                <w:sz w:val="20"/>
              </w:rPr>
            </w:pPr>
            <w:r>
              <w:rPr>
                <w:rFonts w:ascii="Arial Narrow" w:hAnsi="Arial Narrow"/>
                <w:sz w:val="20"/>
              </w:rPr>
              <w:t>84</w:t>
            </w:r>
          </w:p>
        </w:tc>
        <w:tc>
          <w:tcPr>
            <w:tcW w:w="346" w:type="pct"/>
            <w:vAlign w:val="center"/>
          </w:tcPr>
          <w:p w14:paraId="4123E149" w14:textId="77777777" w:rsidR="00DC33F2" w:rsidRPr="00591957" w:rsidRDefault="00DC33F2" w:rsidP="00AD478D">
            <w:pPr>
              <w:keepNext/>
              <w:jc w:val="center"/>
              <w:rPr>
                <w:rFonts w:ascii="Arial Narrow" w:hAnsi="Arial Narrow"/>
                <w:sz w:val="20"/>
              </w:rPr>
            </w:pPr>
            <w:r>
              <w:rPr>
                <w:rFonts w:ascii="Arial Narrow" w:hAnsi="Arial Narrow"/>
                <w:sz w:val="20"/>
              </w:rPr>
              <w:t>2</w:t>
            </w:r>
          </w:p>
        </w:tc>
        <w:tc>
          <w:tcPr>
            <w:tcW w:w="1444" w:type="pct"/>
            <w:vAlign w:val="center"/>
          </w:tcPr>
          <w:p w14:paraId="188696A6" w14:textId="77777777" w:rsidR="00DC33F2" w:rsidRPr="006B7862" w:rsidRDefault="00DC33F2" w:rsidP="00AD478D">
            <w:pPr>
              <w:keepNext/>
              <w:jc w:val="center"/>
              <w:rPr>
                <w:rFonts w:ascii="Arial Narrow" w:hAnsi="Arial Narrow"/>
                <w:sz w:val="20"/>
              </w:rPr>
            </w:pPr>
            <w:r w:rsidRPr="006B7862">
              <w:rPr>
                <w:rFonts w:ascii="Arial Narrow" w:hAnsi="Arial Narrow"/>
                <w:sz w:val="20"/>
              </w:rPr>
              <w:t>$</w:t>
            </w:r>
            <w:r w:rsidR="003A414F">
              <w:rPr>
                <w:rFonts w:ascii="Arial Narrow" w:hAnsi="Arial Narrow"/>
                <w:noProof/>
                <w:color w:val="000000"/>
                <w:sz w:val="20"/>
                <w:highlight w:val="black"/>
              </w:rPr>
              <w:t>''''''''''''''''''''''</w:t>
            </w:r>
            <w:r w:rsidRPr="006B7862">
              <w:rPr>
                <w:rFonts w:ascii="Arial Narrow" w:hAnsi="Arial Narrow"/>
                <w:sz w:val="20"/>
              </w:rPr>
              <w:t xml:space="preserve"> published price</w:t>
            </w:r>
          </w:p>
          <w:p w14:paraId="7E4E0BB5" w14:textId="77777777" w:rsidR="00DC33F2" w:rsidRPr="00742759" w:rsidRDefault="00DC33F2" w:rsidP="00AD478D">
            <w:pPr>
              <w:keepNext/>
              <w:jc w:val="center"/>
              <w:rPr>
                <w:rFonts w:ascii="Arial Narrow" w:hAnsi="Arial Narrow"/>
                <w:sz w:val="20"/>
              </w:rPr>
            </w:pPr>
            <w:r w:rsidRPr="00742759">
              <w:rPr>
                <w:rFonts w:ascii="Arial Narrow" w:hAnsi="Arial Narrow"/>
                <w:sz w:val="20"/>
              </w:rPr>
              <w:t>Effective price to be determined</w:t>
            </w:r>
          </w:p>
        </w:tc>
        <w:tc>
          <w:tcPr>
            <w:tcW w:w="433" w:type="pct"/>
            <w:vAlign w:val="center"/>
          </w:tcPr>
          <w:p w14:paraId="132421CE" w14:textId="77777777" w:rsidR="00DC33F2" w:rsidRPr="00591957" w:rsidRDefault="00DC33F2" w:rsidP="00AD478D">
            <w:pPr>
              <w:keepNext/>
              <w:jc w:val="center"/>
              <w:rPr>
                <w:rFonts w:ascii="Arial Narrow" w:hAnsi="Arial Narrow"/>
                <w:sz w:val="20"/>
              </w:rPr>
            </w:pPr>
            <w:r w:rsidRPr="006B7862">
              <w:rPr>
                <w:rFonts w:ascii="Arial Narrow" w:hAnsi="Arial Narrow"/>
                <w:sz w:val="20"/>
              </w:rPr>
              <w:t>Stivarga®</w:t>
            </w:r>
          </w:p>
        </w:tc>
        <w:tc>
          <w:tcPr>
            <w:tcW w:w="677" w:type="pct"/>
            <w:vAlign w:val="center"/>
          </w:tcPr>
          <w:p w14:paraId="6C31A9D5" w14:textId="77777777" w:rsidR="00DC33F2" w:rsidRPr="00591957" w:rsidRDefault="00DC33F2" w:rsidP="00AD478D">
            <w:pPr>
              <w:keepNext/>
              <w:jc w:val="center"/>
              <w:rPr>
                <w:rFonts w:ascii="Arial Narrow" w:hAnsi="Arial Narrow"/>
                <w:sz w:val="20"/>
              </w:rPr>
            </w:pPr>
            <w:r>
              <w:rPr>
                <w:rFonts w:ascii="Arial Narrow" w:hAnsi="Arial Narrow"/>
                <w:sz w:val="20"/>
              </w:rPr>
              <w:t>Bayer</w:t>
            </w:r>
            <w:r w:rsidR="00337568">
              <w:rPr>
                <w:rFonts w:ascii="Arial Narrow" w:hAnsi="Arial Narrow"/>
                <w:sz w:val="20"/>
              </w:rPr>
              <w:t xml:space="preserve"> Australia Ltd</w:t>
            </w:r>
          </w:p>
        </w:tc>
      </w:tr>
      <w:tr w:rsidR="00DC33F2" w:rsidRPr="00A30A33" w14:paraId="21DD4FA3" w14:textId="77777777" w:rsidTr="00AD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90" w:type="pct"/>
            <w:gridSpan w:val="2"/>
            <w:tcBorders>
              <w:top w:val="single" w:sz="4" w:space="0" w:color="auto"/>
              <w:left w:val="single" w:sz="4" w:space="0" w:color="auto"/>
              <w:bottom w:val="single" w:sz="4" w:space="0" w:color="auto"/>
              <w:right w:val="single" w:sz="4" w:space="0" w:color="auto"/>
            </w:tcBorders>
          </w:tcPr>
          <w:p w14:paraId="599A8FFB" w14:textId="77777777" w:rsidR="00DC33F2" w:rsidRPr="00746BC0" w:rsidRDefault="00DC33F2" w:rsidP="00AD478D">
            <w:pPr>
              <w:pStyle w:val="Tabletext"/>
              <w:rPr>
                <w:b/>
              </w:rPr>
            </w:pPr>
            <w:r w:rsidRPr="00746BC0">
              <w:rPr>
                <w:b/>
              </w:rPr>
              <w:t>Category / Program:</w:t>
            </w:r>
          </w:p>
        </w:tc>
        <w:tc>
          <w:tcPr>
            <w:tcW w:w="4010" w:type="pct"/>
            <w:gridSpan w:val="6"/>
            <w:tcBorders>
              <w:top w:val="single" w:sz="4" w:space="0" w:color="auto"/>
              <w:left w:val="single" w:sz="4" w:space="0" w:color="auto"/>
              <w:bottom w:val="single" w:sz="4" w:space="0" w:color="auto"/>
              <w:right w:val="single" w:sz="4" w:space="0" w:color="auto"/>
            </w:tcBorders>
          </w:tcPr>
          <w:p w14:paraId="19926FF2" w14:textId="77777777" w:rsidR="00DC33F2" w:rsidRPr="00B43577" w:rsidRDefault="00DC33F2" w:rsidP="00AD478D">
            <w:pPr>
              <w:pStyle w:val="TableText0"/>
            </w:pPr>
            <w:r>
              <w:t>GENERAL – General Schedule (Code GE)</w:t>
            </w:r>
          </w:p>
        </w:tc>
      </w:tr>
      <w:tr w:rsidR="00DC33F2" w:rsidRPr="00A30A33" w14:paraId="7D672A2A" w14:textId="77777777" w:rsidTr="00AD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90" w:type="pct"/>
            <w:gridSpan w:val="2"/>
            <w:tcBorders>
              <w:top w:val="single" w:sz="4" w:space="0" w:color="auto"/>
              <w:left w:val="single" w:sz="4" w:space="0" w:color="auto"/>
              <w:bottom w:val="single" w:sz="4" w:space="0" w:color="auto"/>
              <w:right w:val="single" w:sz="4" w:space="0" w:color="auto"/>
            </w:tcBorders>
            <w:hideMark/>
          </w:tcPr>
          <w:p w14:paraId="4244E6F3" w14:textId="77777777" w:rsidR="00DC33F2" w:rsidRPr="00A30A33" w:rsidRDefault="00DC33F2" w:rsidP="00AD478D">
            <w:pPr>
              <w:pStyle w:val="Tabletext"/>
            </w:pPr>
            <w:r w:rsidRPr="00746BC0">
              <w:rPr>
                <w:b/>
              </w:rPr>
              <w:t>Prescriber type:</w:t>
            </w:r>
          </w:p>
        </w:tc>
        <w:tc>
          <w:tcPr>
            <w:tcW w:w="4010" w:type="pct"/>
            <w:gridSpan w:val="6"/>
            <w:tcBorders>
              <w:top w:val="single" w:sz="4" w:space="0" w:color="auto"/>
              <w:left w:val="single" w:sz="4" w:space="0" w:color="auto"/>
              <w:bottom w:val="single" w:sz="4" w:space="0" w:color="auto"/>
              <w:right w:val="single" w:sz="4" w:space="0" w:color="auto"/>
            </w:tcBorders>
          </w:tcPr>
          <w:p w14:paraId="685CBDBC" w14:textId="77777777" w:rsidR="00DC33F2" w:rsidRDefault="00DC33F2" w:rsidP="00AD478D">
            <w:pPr>
              <w:pStyle w:val="TableText0"/>
            </w:pPr>
            <w:r w:rsidRPr="00B43577">
              <w:fldChar w:fldCharType="begin">
                <w:ffData>
                  <w:name w:val="Check1"/>
                  <w:enabled/>
                  <w:calcOnExit w:val="0"/>
                  <w:checkBox>
                    <w:sizeAuto/>
                    <w:default w:val="0"/>
                  </w:checkBox>
                </w:ffData>
              </w:fldChar>
            </w:r>
            <w:r w:rsidRPr="00B43577">
              <w:instrText xml:space="preserve"> FORMCHECKBOX </w:instrText>
            </w:r>
            <w:r w:rsidR="00BC502B">
              <w:fldChar w:fldCharType="separate"/>
            </w:r>
            <w:r w:rsidRPr="00B43577">
              <w:fldChar w:fldCharType="end"/>
            </w:r>
            <w:r>
              <w:t xml:space="preserve">Dental  </w:t>
            </w:r>
            <w:r>
              <w:fldChar w:fldCharType="begin">
                <w:ffData>
                  <w:name w:val="Check1"/>
                  <w:enabled/>
                  <w:calcOnExit w:val="0"/>
                  <w:checkBox>
                    <w:sizeAuto/>
                    <w:default w:val="1"/>
                  </w:checkBox>
                </w:ffData>
              </w:fldChar>
            </w:r>
            <w:r>
              <w:instrText xml:space="preserve"> FORMCHECKBOX </w:instrText>
            </w:r>
            <w:r w:rsidR="00BC502B">
              <w:fldChar w:fldCharType="separate"/>
            </w:r>
            <w:r>
              <w:fldChar w:fldCharType="end"/>
            </w:r>
            <w:r>
              <w:t xml:space="preserve">Medical Practitioners  </w:t>
            </w:r>
            <w:r w:rsidRPr="00B43577">
              <w:fldChar w:fldCharType="begin">
                <w:ffData>
                  <w:name w:val="Check1"/>
                  <w:enabled/>
                  <w:calcOnExit w:val="0"/>
                  <w:checkBox>
                    <w:sizeAuto/>
                    <w:default w:val="0"/>
                  </w:checkBox>
                </w:ffData>
              </w:fldChar>
            </w:r>
            <w:r w:rsidRPr="00B43577">
              <w:instrText xml:space="preserve"> FORMCHECKBOX </w:instrText>
            </w:r>
            <w:r w:rsidR="00BC502B">
              <w:fldChar w:fldCharType="separate"/>
            </w:r>
            <w:r w:rsidRPr="00B43577">
              <w:fldChar w:fldCharType="end"/>
            </w:r>
            <w:r>
              <w:t xml:space="preserve">Nurse practitioners </w:t>
            </w:r>
          </w:p>
          <w:p w14:paraId="48E7BDBF" w14:textId="77777777" w:rsidR="00DC33F2" w:rsidRPr="00A30A33" w:rsidRDefault="00DC33F2" w:rsidP="00AD478D">
            <w:pPr>
              <w:pStyle w:val="Tabletext"/>
            </w:pPr>
            <w:r w:rsidRPr="00B43577">
              <w:fldChar w:fldCharType="begin">
                <w:ffData>
                  <w:name w:val="Check1"/>
                  <w:enabled/>
                  <w:calcOnExit w:val="0"/>
                  <w:checkBox>
                    <w:sizeAuto/>
                    <w:default w:val="0"/>
                  </w:checkBox>
                </w:ffData>
              </w:fldChar>
            </w:r>
            <w:r w:rsidRPr="00B43577">
              <w:instrText xml:space="preserve"> FORMCHECKBOX </w:instrText>
            </w:r>
            <w:r w:rsidR="00BC502B">
              <w:fldChar w:fldCharType="separate"/>
            </w:r>
            <w:r w:rsidRPr="00B43577">
              <w:fldChar w:fldCharType="end"/>
            </w:r>
            <w:r>
              <w:t xml:space="preserve">Optometrists </w:t>
            </w:r>
            <w:r w:rsidRPr="00B43577">
              <w:fldChar w:fldCharType="begin">
                <w:ffData>
                  <w:name w:val="Check1"/>
                  <w:enabled/>
                  <w:calcOnExit w:val="0"/>
                  <w:checkBox>
                    <w:sizeAuto/>
                    <w:default w:val="0"/>
                  </w:checkBox>
                </w:ffData>
              </w:fldChar>
            </w:r>
            <w:r w:rsidRPr="00B43577">
              <w:instrText xml:space="preserve"> FORMCHECKBOX </w:instrText>
            </w:r>
            <w:r w:rsidR="00BC502B">
              <w:fldChar w:fldCharType="separate"/>
            </w:r>
            <w:r w:rsidRPr="00B43577">
              <w:fldChar w:fldCharType="end"/>
            </w:r>
            <w:r>
              <w:t>Midwives</w:t>
            </w:r>
          </w:p>
        </w:tc>
      </w:tr>
      <w:tr w:rsidR="00DC33F2" w:rsidRPr="00A30A33" w14:paraId="27556C4E" w14:textId="77777777" w:rsidTr="00AD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90" w:type="pct"/>
            <w:gridSpan w:val="2"/>
            <w:tcBorders>
              <w:top w:val="single" w:sz="4" w:space="0" w:color="auto"/>
              <w:left w:val="single" w:sz="4" w:space="0" w:color="auto"/>
              <w:bottom w:val="single" w:sz="4" w:space="0" w:color="auto"/>
              <w:right w:val="single" w:sz="4" w:space="0" w:color="auto"/>
            </w:tcBorders>
            <w:hideMark/>
          </w:tcPr>
          <w:p w14:paraId="79C98F08" w14:textId="77777777" w:rsidR="00DC33F2" w:rsidRPr="00A30A33" w:rsidRDefault="00DC33F2" w:rsidP="00AD478D">
            <w:pPr>
              <w:pStyle w:val="Tabletext"/>
            </w:pPr>
            <w:r w:rsidRPr="006C3255">
              <w:rPr>
                <w:b/>
              </w:rPr>
              <w:t>Severity:</w:t>
            </w:r>
          </w:p>
        </w:tc>
        <w:tc>
          <w:tcPr>
            <w:tcW w:w="4010" w:type="pct"/>
            <w:gridSpan w:val="6"/>
            <w:tcBorders>
              <w:top w:val="single" w:sz="4" w:space="0" w:color="auto"/>
              <w:left w:val="single" w:sz="4" w:space="0" w:color="auto"/>
              <w:bottom w:val="single" w:sz="4" w:space="0" w:color="auto"/>
              <w:right w:val="single" w:sz="4" w:space="0" w:color="auto"/>
            </w:tcBorders>
          </w:tcPr>
          <w:p w14:paraId="448116D3" w14:textId="77777777" w:rsidR="00DC33F2" w:rsidRPr="00A30A33" w:rsidRDefault="00DC33F2" w:rsidP="00AD478D">
            <w:pPr>
              <w:pStyle w:val="Tabletext"/>
            </w:pPr>
            <w:r>
              <w:t>Metastatic</w:t>
            </w:r>
          </w:p>
        </w:tc>
      </w:tr>
      <w:tr w:rsidR="00DC33F2" w:rsidRPr="00A30A33" w14:paraId="30BA607C" w14:textId="77777777" w:rsidTr="00AD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90" w:type="pct"/>
            <w:gridSpan w:val="2"/>
            <w:tcBorders>
              <w:top w:val="single" w:sz="4" w:space="0" w:color="auto"/>
              <w:left w:val="single" w:sz="4" w:space="0" w:color="auto"/>
              <w:bottom w:val="single" w:sz="4" w:space="0" w:color="auto"/>
              <w:right w:val="single" w:sz="4" w:space="0" w:color="auto"/>
            </w:tcBorders>
            <w:hideMark/>
          </w:tcPr>
          <w:p w14:paraId="1328A309" w14:textId="77777777" w:rsidR="00DC33F2" w:rsidRPr="00A30A33" w:rsidRDefault="00DC33F2" w:rsidP="00AD478D">
            <w:pPr>
              <w:pStyle w:val="Tabletext"/>
            </w:pPr>
            <w:r w:rsidRPr="006C3255">
              <w:rPr>
                <w:b/>
              </w:rPr>
              <w:t>Condition:</w:t>
            </w:r>
          </w:p>
        </w:tc>
        <w:tc>
          <w:tcPr>
            <w:tcW w:w="4010" w:type="pct"/>
            <w:gridSpan w:val="6"/>
            <w:tcBorders>
              <w:top w:val="single" w:sz="4" w:space="0" w:color="auto"/>
              <w:left w:val="single" w:sz="4" w:space="0" w:color="auto"/>
              <w:bottom w:val="single" w:sz="4" w:space="0" w:color="auto"/>
              <w:right w:val="single" w:sz="4" w:space="0" w:color="auto"/>
            </w:tcBorders>
          </w:tcPr>
          <w:p w14:paraId="19035AAD" w14:textId="77777777" w:rsidR="00DC33F2" w:rsidRPr="00A30A33" w:rsidRDefault="00DC33F2" w:rsidP="00AD478D">
            <w:pPr>
              <w:pStyle w:val="Tabletext"/>
            </w:pPr>
            <w:r>
              <w:t>Metastatic colorectal cancer</w:t>
            </w:r>
          </w:p>
        </w:tc>
      </w:tr>
      <w:tr w:rsidR="00DC33F2" w:rsidRPr="00A30A33" w14:paraId="07E1E5B3" w14:textId="77777777" w:rsidTr="00AD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90" w:type="pct"/>
            <w:gridSpan w:val="2"/>
            <w:tcBorders>
              <w:top w:val="single" w:sz="4" w:space="0" w:color="auto"/>
              <w:left w:val="single" w:sz="4" w:space="0" w:color="auto"/>
              <w:bottom w:val="single" w:sz="4" w:space="0" w:color="auto"/>
              <w:right w:val="single" w:sz="4" w:space="0" w:color="auto"/>
            </w:tcBorders>
            <w:hideMark/>
          </w:tcPr>
          <w:p w14:paraId="79145361" w14:textId="77777777" w:rsidR="00DC33F2" w:rsidRPr="00A30A33" w:rsidRDefault="00DC33F2" w:rsidP="00AD478D">
            <w:pPr>
              <w:pStyle w:val="Tabletext"/>
            </w:pPr>
            <w:r w:rsidRPr="006C3255">
              <w:rPr>
                <w:b/>
              </w:rPr>
              <w:t>PBS Indication:</w:t>
            </w:r>
          </w:p>
        </w:tc>
        <w:tc>
          <w:tcPr>
            <w:tcW w:w="4010" w:type="pct"/>
            <w:gridSpan w:val="6"/>
            <w:tcBorders>
              <w:top w:val="single" w:sz="4" w:space="0" w:color="auto"/>
              <w:left w:val="single" w:sz="4" w:space="0" w:color="auto"/>
              <w:bottom w:val="single" w:sz="4" w:space="0" w:color="auto"/>
              <w:right w:val="single" w:sz="4" w:space="0" w:color="auto"/>
            </w:tcBorders>
          </w:tcPr>
          <w:p w14:paraId="1BCFA461" w14:textId="77777777" w:rsidR="00DC33F2" w:rsidRPr="00A30A33" w:rsidRDefault="00DC33F2" w:rsidP="00AD478D">
            <w:pPr>
              <w:pStyle w:val="Tabletext"/>
            </w:pPr>
            <w:r>
              <w:t>Metastatic colorectal cancer</w:t>
            </w:r>
          </w:p>
        </w:tc>
      </w:tr>
      <w:tr w:rsidR="00DC33F2" w:rsidRPr="00A30A33" w14:paraId="1EF1FFF4" w14:textId="77777777" w:rsidTr="00AD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90" w:type="pct"/>
            <w:gridSpan w:val="2"/>
            <w:tcBorders>
              <w:top w:val="single" w:sz="4" w:space="0" w:color="auto"/>
              <w:left w:val="single" w:sz="4" w:space="0" w:color="auto"/>
              <w:bottom w:val="single" w:sz="4" w:space="0" w:color="auto"/>
              <w:right w:val="single" w:sz="4" w:space="0" w:color="auto"/>
            </w:tcBorders>
            <w:hideMark/>
          </w:tcPr>
          <w:p w14:paraId="0035A9F2" w14:textId="77777777" w:rsidR="00DC33F2" w:rsidRPr="00A30A33" w:rsidRDefault="00DC33F2" w:rsidP="00AD478D">
            <w:pPr>
              <w:pStyle w:val="Tabletext"/>
            </w:pPr>
            <w:r w:rsidRPr="006C3255">
              <w:rPr>
                <w:b/>
              </w:rPr>
              <w:t>Treatment phase:</w:t>
            </w:r>
          </w:p>
        </w:tc>
        <w:tc>
          <w:tcPr>
            <w:tcW w:w="4010" w:type="pct"/>
            <w:gridSpan w:val="6"/>
            <w:tcBorders>
              <w:top w:val="single" w:sz="4" w:space="0" w:color="auto"/>
              <w:left w:val="single" w:sz="4" w:space="0" w:color="auto"/>
              <w:bottom w:val="single" w:sz="4" w:space="0" w:color="auto"/>
              <w:right w:val="single" w:sz="4" w:space="0" w:color="auto"/>
            </w:tcBorders>
          </w:tcPr>
          <w:p w14:paraId="25C558F2" w14:textId="77777777" w:rsidR="00DC33F2" w:rsidRPr="00A30A33" w:rsidRDefault="00DC33F2" w:rsidP="00AD478D">
            <w:pPr>
              <w:pStyle w:val="Tabletext"/>
            </w:pPr>
            <w:r>
              <w:t>Initial treatment</w:t>
            </w:r>
          </w:p>
        </w:tc>
      </w:tr>
      <w:tr w:rsidR="00DC33F2" w:rsidRPr="00A30A33" w14:paraId="6084C4CC" w14:textId="77777777" w:rsidTr="00AD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90" w:type="pct"/>
            <w:gridSpan w:val="2"/>
            <w:tcBorders>
              <w:top w:val="single" w:sz="4" w:space="0" w:color="auto"/>
              <w:left w:val="single" w:sz="4" w:space="0" w:color="auto"/>
              <w:bottom w:val="single" w:sz="4" w:space="0" w:color="auto"/>
              <w:right w:val="single" w:sz="4" w:space="0" w:color="auto"/>
            </w:tcBorders>
            <w:hideMark/>
          </w:tcPr>
          <w:p w14:paraId="44F4F2CE" w14:textId="77777777" w:rsidR="00DC33F2" w:rsidRPr="00A30A33" w:rsidRDefault="00DC33F2" w:rsidP="00AD478D">
            <w:pPr>
              <w:pStyle w:val="Tabletext"/>
            </w:pPr>
            <w:r w:rsidRPr="006C3255">
              <w:rPr>
                <w:b/>
              </w:rPr>
              <w:t>Restriction:</w:t>
            </w:r>
          </w:p>
        </w:tc>
        <w:tc>
          <w:tcPr>
            <w:tcW w:w="4010" w:type="pct"/>
            <w:gridSpan w:val="6"/>
            <w:tcBorders>
              <w:top w:val="single" w:sz="4" w:space="0" w:color="auto"/>
              <w:left w:val="single" w:sz="4" w:space="0" w:color="auto"/>
              <w:bottom w:val="single" w:sz="4" w:space="0" w:color="auto"/>
              <w:right w:val="single" w:sz="4" w:space="0" w:color="auto"/>
            </w:tcBorders>
          </w:tcPr>
          <w:p w14:paraId="0413A766" w14:textId="77777777" w:rsidR="00DC33F2" w:rsidRPr="00B43577" w:rsidRDefault="00DC33F2" w:rsidP="00AD478D">
            <w:pPr>
              <w:pStyle w:val="TableText0"/>
            </w:pPr>
            <w:r w:rsidRPr="00B43577">
              <w:fldChar w:fldCharType="begin">
                <w:ffData>
                  <w:name w:val="Check1"/>
                  <w:enabled/>
                  <w:calcOnExit w:val="0"/>
                  <w:checkBox>
                    <w:sizeAuto/>
                    <w:default w:val="0"/>
                  </w:checkBox>
                </w:ffData>
              </w:fldChar>
            </w:r>
            <w:r w:rsidRPr="00B43577">
              <w:instrText xml:space="preserve"> FORMCHECKBOX </w:instrText>
            </w:r>
            <w:r w:rsidR="00BC502B">
              <w:fldChar w:fldCharType="separate"/>
            </w:r>
            <w:r w:rsidRPr="00B43577">
              <w:fldChar w:fldCharType="end"/>
            </w:r>
            <w:r w:rsidRPr="00B43577">
              <w:t>Restricted benefit</w:t>
            </w:r>
          </w:p>
          <w:p w14:paraId="0109B060" w14:textId="77777777" w:rsidR="00DC33F2" w:rsidRPr="00B43577" w:rsidRDefault="00DC33F2" w:rsidP="00AD478D">
            <w:pPr>
              <w:pStyle w:val="TableText0"/>
            </w:pPr>
            <w:r>
              <w:fldChar w:fldCharType="begin">
                <w:ffData>
                  <w:name w:val=""/>
                  <w:enabled/>
                  <w:calcOnExit w:val="0"/>
                  <w:checkBox>
                    <w:sizeAuto/>
                    <w:default w:val="0"/>
                  </w:checkBox>
                </w:ffData>
              </w:fldChar>
            </w:r>
            <w:r>
              <w:instrText xml:space="preserve"> FORMCHECKBOX </w:instrText>
            </w:r>
            <w:r w:rsidR="00BC502B">
              <w:fldChar w:fldCharType="separate"/>
            </w:r>
            <w:r>
              <w:fldChar w:fldCharType="end"/>
            </w:r>
            <w:r w:rsidRPr="00B43577">
              <w:t>Authority Required - In Writing</w:t>
            </w:r>
          </w:p>
          <w:p w14:paraId="6BC00ED1" w14:textId="77777777" w:rsidR="00DC33F2" w:rsidRPr="00B43577" w:rsidRDefault="00DC33F2" w:rsidP="00AD478D">
            <w:pPr>
              <w:pStyle w:val="TableText0"/>
            </w:pPr>
            <w:r w:rsidRPr="00B43577">
              <w:fldChar w:fldCharType="begin">
                <w:ffData>
                  <w:name w:val="Check3"/>
                  <w:enabled/>
                  <w:calcOnExit w:val="0"/>
                  <w:checkBox>
                    <w:sizeAuto/>
                    <w:default w:val="0"/>
                  </w:checkBox>
                </w:ffData>
              </w:fldChar>
            </w:r>
            <w:r w:rsidRPr="00B43577">
              <w:instrText xml:space="preserve"> FORMCHECKBOX </w:instrText>
            </w:r>
            <w:r w:rsidR="00BC502B">
              <w:fldChar w:fldCharType="separate"/>
            </w:r>
            <w:r w:rsidRPr="00B43577">
              <w:fldChar w:fldCharType="end"/>
            </w:r>
            <w:r w:rsidRPr="00B43577">
              <w:t xml:space="preserve">Authority Required </w:t>
            </w:r>
            <w:r>
              <w:t>–</w:t>
            </w:r>
            <w:r w:rsidRPr="00B43577">
              <w:t xml:space="preserve"> Telephone</w:t>
            </w:r>
            <w:r>
              <w:t>, Electronic</w:t>
            </w:r>
          </w:p>
          <w:p w14:paraId="42054DC1" w14:textId="77777777" w:rsidR="00DC33F2" w:rsidRPr="00A30A33" w:rsidRDefault="00DC33F2" w:rsidP="00AD478D">
            <w:pPr>
              <w:pStyle w:val="Tabletext"/>
            </w:pPr>
            <w:r>
              <w:fldChar w:fldCharType="begin">
                <w:ffData>
                  <w:name w:val="Check5"/>
                  <w:enabled/>
                  <w:calcOnExit w:val="0"/>
                  <w:checkBox>
                    <w:sizeAuto/>
                    <w:default w:val="1"/>
                  </w:checkBox>
                </w:ffData>
              </w:fldChar>
            </w:r>
            <w:r>
              <w:instrText xml:space="preserve"> FORMCHECKBOX </w:instrText>
            </w:r>
            <w:r w:rsidR="00BC502B">
              <w:fldChar w:fldCharType="separate"/>
            </w:r>
            <w:r>
              <w:fldChar w:fldCharType="end"/>
            </w:r>
            <w:r w:rsidRPr="00B43577">
              <w:t>Streamlined</w:t>
            </w:r>
          </w:p>
        </w:tc>
      </w:tr>
      <w:tr w:rsidR="00DC33F2" w:rsidRPr="00A30A33" w14:paraId="5F4BF0CB" w14:textId="77777777" w:rsidTr="00AD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90" w:type="pct"/>
            <w:gridSpan w:val="2"/>
            <w:tcBorders>
              <w:top w:val="single" w:sz="4" w:space="0" w:color="auto"/>
              <w:left w:val="single" w:sz="4" w:space="0" w:color="auto"/>
              <w:bottom w:val="single" w:sz="4" w:space="0" w:color="auto"/>
              <w:right w:val="single" w:sz="4" w:space="0" w:color="auto"/>
            </w:tcBorders>
          </w:tcPr>
          <w:p w14:paraId="607E9E39" w14:textId="77777777" w:rsidR="00DC33F2" w:rsidRPr="006C3255" w:rsidRDefault="00DC33F2" w:rsidP="00AD478D">
            <w:pPr>
              <w:pStyle w:val="TableText0"/>
              <w:rPr>
                <w:b/>
              </w:rPr>
            </w:pPr>
            <w:r w:rsidRPr="006C3255">
              <w:rPr>
                <w:b/>
              </w:rPr>
              <w:t>Clinical criteria:</w:t>
            </w:r>
          </w:p>
          <w:p w14:paraId="7488E1EC" w14:textId="77777777" w:rsidR="00DC33F2" w:rsidRPr="00A30A33" w:rsidRDefault="00DC33F2" w:rsidP="00AD478D">
            <w:pPr>
              <w:pStyle w:val="Tabletext"/>
            </w:pPr>
          </w:p>
        </w:tc>
        <w:tc>
          <w:tcPr>
            <w:tcW w:w="4010" w:type="pct"/>
            <w:gridSpan w:val="6"/>
            <w:tcBorders>
              <w:top w:val="single" w:sz="4" w:space="0" w:color="auto"/>
              <w:left w:val="single" w:sz="4" w:space="0" w:color="auto"/>
              <w:bottom w:val="single" w:sz="4" w:space="0" w:color="auto"/>
              <w:right w:val="single" w:sz="4" w:space="0" w:color="auto"/>
            </w:tcBorders>
          </w:tcPr>
          <w:p w14:paraId="4250062F" w14:textId="77777777" w:rsidR="00DC33F2" w:rsidRDefault="00DC33F2" w:rsidP="00AD478D">
            <w:pPr>
              <w:pStyle w:val="TableText0"/>
            </w:pPr>
            <w:r>
              <w:t xml:space="preserve">Patient must have a WHO performance status of 1 or less, </w:t>
            </w:r>
          </w:p>
          <w:p w14:paraId="1309FED6" w14:textId="77777777" w:rsidR="00DC33F2" w:rsidRPr="000D7877" w:rsidRDefault="00DC33F2" w:rsidP="00AD478D">
            <w:pPr>
              <w:pStyle w:val="TableText0"/>
              <w:rPr>
                <w:b/>
                <w:bCs w:val="0"/>
              </w:rPr>
            </w:pPr>
            <w:r w:rsidRPr="000D7877">
              <w:rPr>
                <w:b/>
                <w:bCs w:val="0"/>
              </w:rPr>
              <w:t xml:space="preserve">AND </w:t>
            </w:r>
          </w:p>
          <w:p w14:paraId="01820F58" w14:textId="77777777" w:rsidR="00DC33F2" w:rsidRDefault="00DC33F2" w:rsidP="00AD478D">
            <w:pPr>
              <w:pStyle w:val="TableText0"/>
              <w:rPr>
                <w:b/>
                <w:bCs w:val="0"/>
              </w:rPr>
            </w:pPr>
            <w:r>
              <w:t xml:space="preserve">Patient must have previously received treatment with fluoropyrimidine, oxaliplatin, irinotecan-based chemotherapies, an anti-vascular endothelial growth factor (anti-VEGF) agent and an anti-epidermal growth factor receptor (anti-EGFR) agent for this condition, </w:t>
            </w:r>
            <w:r w:rsidRPr="000D7877">
              <w:rPr>
                <w:b/>
                <w:bCs w:val="0"/>
              </w:rPr>
              <w:t xml:space="preserve">OR </w:t>
            </w:r>
          </w:p>
          <w:p w14:paraId="75934DE6" w14:textId="77777777" w:rsidR="00DC33F2" w:rsidRDefault="00DC33F2" w:rsidP="00AD478D">
            <w:pPr>
              <w:pStyle w:val="TableText0"/>
            </w:pPr>
            <w:r>
              <w:t xml:space="preserve">Patient must not be a suitable candidate for treatment with fluoropyrimidine, oxaliplatin, irinotecan-based chemotherapies, an anti-VEGF agent and an anti-EGFR agent for this condition, </w:t>
            </w:r>
          </w:p>
          <w:p w14:paraId="2F2073D5" w14:textId="77777777" w:rsidR="00DC33F2" w:rsidRPr="000D7877" w:rsidRDefault="00DC33F2" w:rsidP="00AD478D">
            <w:pPr>
              <w:pStyle w:val="TableText0"/>
              <w:rPr>
                <w:b/>
                <w:bCs w:val="0"/>
              </w:rPr>
            </w:pPr>
            <w:r w:rsidRPr="000D7877">
              <w:rPr>
                <w:b/>
                <w:bCs w:val="0"/>
              </w:rPr>
              <w:t xml:space="preserve">AND </w:t>
            </w:r>
          </w:p>
          <w:p w14:paraId="0B087A63" w14:textId="77777777" w:rsidR="00DC33F2" w:rsidRPr="00A30A33" w:rsidRDefault="00DC33F2" w:rsidP="00AD478D">
            <w:pPr>
              <w:pStyle w:val="Tabletext"/>
              <w:rPr>
                <w:color w:val="000000"/>
              </w:rPr>
            </w:pPr>
            <w:r>
              <w:t>The treatment must be the sole PBS-subsidised therapy for this condition.</w:t>
            </w:r>
          </w:p>
        </w:tc>
      </w:tr>
      <w:tr w:rsidR="00DC33F2" w:rsidRPr="00A30A33" w14:paraId="4C3116BF" w14:textId="77777777" w:rsidTr="00AD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90" w:type="pct"/>
            <w:gridSpan w:val="2"/>
            <w:tcBorders>
              <w:top w:val="single" w:sz="4" w:space="0" w:color="auto"/>
              <w:left w:val="single" w:sz="4" w:space="0" w:color="auto"/>
              <w:bottom w:val="single" w:sz="4" w:space="0" w:color="auto"/>
              <w:right w:val="single" w:sz="4" w:space="0" w:color="auto"/>
            </w:tcBorders>
            <w:hideMark/>
          </w:tcPr>
          <w:p w14:paraId="7F618ADC" w14:textId="77777777" w:rsidR="00DC33F2" w:rsidRPr="00A30A33" w:rsidRDefault="00DC33F2" w:rsidP="00AD478D">
            <w:pPr>
              <w:pStyle w:val="Tabletext"/>
            </w:pPr>
            <w:r w:rsidRPr="006C3255">
              <w:rPr>
                <w:b/>
              </w:rPr>
              <w:t>Prescriber Instructions:</w:t>
            </w:r>
          </w:p>
        </w:tc>
        <w:tc>
          <w:tcPr>
            <w:tcW w:w="4010" w:type="pct"/>
            <w:gridSpan w:val="6"/>
            <w:tcBorders>
              <w:top w:val="single" w:sz="4" w:space="0" w:color="auto"/>
              <w:left w:val="single" w:sz="4" w:space="0" w:color="auto"/>
              <w:bottom w:val="single" w:sz="4" w:space="0" w:color="auto"/>
              <w:right w:val="single" w:sz="4" w:space="0" w:color="auto"/>
            </w:tcBorders>
          </w:tcPr>
          <w:p w14:paraId="5C19286F" w14:textId="77777777" w:rsidR="00DC33F2" w:rsidRPr="00A30A33" w:rsidRDefault="00DC33F2" w:rsidP="00AD478D">
            <w:pPr>
              <w:pStyle w:val="Tabletext"/>
              <w:rPr>
                <w:color w:val="000000"/>
              </w:rPr>
            </w:pPr>
            <w:r>
              <w:t>The patient's WHO performance status and body weight must be documented in the patient's medical records at the time the treatment cycle is initiated.</w:t>
            </w:r>
          </w:p>
        </w:tc>
      </w:tr>
      <w:tr w:rsidR="00DC33F2" w:rsidRPr="00A30A33" w14:paraId="36EED2B5" w14:textId="77777777" w:rsidTr="00AD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90" w:type="pct"/>
            <w:gridSpan w:val="2"/>
            <w:tcBorders>
              <w:top w:val="single" w:sz="4" w:space="0" w:color="auto"/>
              <w:left w:val="single" w:sz="4" w:space="0" w:color="auto"/>
              <w:bottom w:val="single" w:sz="4" w:space="0" w:color="auto"/>
              <w:right w:val="single" w:sz="4" w:space="0" w:color="auto"/>
            </w:tcBorders>
          </w:tcPr>
          <w:p w14:paraId="124270DC" w14:textId="77777777" w:rsidR="00DC33F2" w:rsidRPr="006C3255" w:rsidRDefault="00DC33F2" w:rsidP="00AD478D">
            <w:pPr>
              <w:pStyle w:val="Tabletext"/>
              <w:rPr>
                <w:b/>
              </w:rPr>
            </w:pPr>
            <w:r w:rsidRPr="006C3255">
              <w:rPr>
                <w:b/>
              </w:rPr>
              <w:t>Treatment phase:</w:t>
            </w:r>
          </w:p>
        </w:tc>
        <w:tc>
          <w:tcPr>
            <w:tcW w:w="4010" w:type="pct"/>
            <w:gridSpan w:val="6"/>
            <w:tcBorders>
              <w:top w:val="single" w:sz="4" w:space="0" w:color="auto"/>
              <w:left w:val="single" w:sz="4" w:space="0" w:color="auto"/>
              <w:bottom w:val="single" w:sz="4" w:space="0" w:color="auto"/>
              <w:right w:val="single" w:sz="4" w:space="0" w:color="auto"/>
            </w:tcBorders>
          </w:tcPr>
          <w:p w14:paraId="19F068BD" w14:textId="77777777" w:rsidR="00DC33F2" w:rsidRPr="00A30A33" w:rsidRDefault="00DC33F2" w:rsidP="00AD478D">
            <w:pPr>
              <w:pStyle w:val="Tabletext"/>
              <w:rPr>
                <w:color w:val="000000"/>
              </w:rPr>
            </w:pPr>
            <w:r>
              <w:t>Continuing treatment</w:t>
            </w:r>
          </w:p>
        </w:tc>
      </w:tr>
      <w:tr w:rsidR="00DC33F2" w:rsidRPr="00A30A33" w14:paraId="11697E56" w14:textId="77777777" w:rsidTr="00AD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90" w:type="pct"/>
            <w:gridSpan w:val="2"/>
            <w:tcBorders>
              <w:top w:val="single" w:sz="4" w:space="0" w:color="auto"/>
              <w:left w:val="single" w:sz="4" w:space="0" w:color="auto"/>
              <w:bottom w:val="single" w:sz="4" w:space="0" w:color="auto"/>
              <w:right w:val="single" w:sz="4" w:space="0" w:color="auto"/>
            </w:tcBorders>
          </w:tcPr>
          <w:p w14:paraId="03163E80" w14:textId="77777777" w:rsidR="00DC33F2" w:rsidRPr="006C3255" w:rsidRDefault="00DC33F2" w:rsidP="00AD478D">
            <w:pPr>
              <w:pStyle w:val="Tabletext"/>
              <w:rPr>
                <w:b/>
              </w:rPr>
            </w:pPr>
            <w:r w:rsidRPr="006C3255">
              <w:rPr>
                <w:b/>
              </w:rPr>
              <w:t>Restriction:</w:t>
            </w:r>
          </w:p>
        </w:tc>
        <w:tc>
          <w:tcPr>
            <w:tcW w:w="4010" w:type="pct"/>
            <w:gridSpan w:val="6"/>
            <w:tcBorders>
              <w:top w:val="single" w:sz="4" w:space="0" w:color="auto"/>
              <w:left w:val="single" w:sz="4" w:space="0" w:color="auto"/>
              <w:bottom w:val="single" w:sz="4" w:space="0" w:color="auto"/>
              <w:right w:val="single" w:sz="4" w:space="0" w:color="auto"/>
            </w:tcBorders>
          </w:tcPr>
          <w:p w14:paraId="076878B0" w14:textId="77777777" w:rsidR="00DC33F2" w:rsidRPr="00B43577" w:rsidRDefault="00DC33F2" w:rsidP="00AD478D">
            <w:pPr>
              <w:pStyle w:val="TableText0"/>
            </w:pPr>
            <w:r w:rsidRPr="00B43577">
              <w:fldChar w:fldCharType="begin">
                <w:ffData>
                  <w:name w:val="Check1"/>
                  <w:enabled/>
                  <w:calcOnExit w:val="0"/>
                  <w:checkBox>
                    <w:sizeAuto/>
                    <w:default w:val="0"/>
                  </w:checkBox>
                </w:ffData>
              </w:fldChar>
            </w:r>
            <w:r w:rsidRPr="00B43577">
              <w:instrText xml:space="preserve"> FORMCHECKBOX </w:instrText>
            </w:r>
            <w:r w:rsidR="00BC502B">
              <w:fldChar w:fldCharType="separate"/>
            </w:r>
            <w:r w:rsidRPr="00B43577">
              <w:fldChar w:fldCharType="end"/>
            </w:r>
            <w:r w:rsidRPr="00B43577">
              <w:t>Restricted benefit</w:t>
            </w:r>
          </w:p>
          <w:p w14:paraId="4DEAB6A8" w14:textId="77777777" w:rsidR="00DC33F2" w:rsidRPr="00B43577" w:rsidRDefault="00DC33F2" w:rsidP="00AD478D">
            <w:pPr>
              <w:pStyle w:val="TableText0"/>
            </w:pPr>
            <w:r>
              <w:fldChar w:fldCharType="begin">
                <w:ffData>
                  <w:name w:val=""/>
                  <w:enabled/>
                  <w:calcOnExit w:val="0"/>
                  <w:checkBox>
                    <w:sizeAuto/>
                    <w:default w:val="0"/>
                  </w:checkBox>
                </w:ffData>
              </w:fldChar>
            </w:r>
            <w:r>
              <w:instrText xml:space="preserve"> FORMCHECKBOX </w:instrText>
            </w:r>
            <w:r w:rsidR="00BC502B">
              <w:fldChar w:fldCharType="separate"/>
            </w:r>
            <w:r>
              <w:fldChar w:fldCharType="end"/>
            </w:r>
            <w:r w:rsidRPr="00B43577">
              <w:t>Authority Required - In Writing</w:t>
            </w:r>
          </w:p>
          <w:p w14:paraId="406E16C6" w14:textId="77777777" w:rsidR="00DC33F2" w:rsidRPr="00B43577" w:rsidRDefault="00DC33F2" w:rsidP="00AD478D">
            <w:pPr>
              <w:pStyle w:val="TableText0"/>
            </w:pPr>
            <w:r w:rsidRPr="00B43577">
              <w:fldChar w:fldCharType="begin">
                <w:ffData>
                  <w:name w:val="Check3"/>
                  <w:enabled/>
                  <w:calcOnExit w:val="0"/>
                  <w:checkBox>
                    <w:sizeAuto/>
                    <w:default w:val="0"/>
                  </w:checkBox>
                </w:ffData>
              </w:fldChar>
            </w:r>
            <w:r w:rsidRPr="00B43577">
              <w:instrText xml:space="preserve"> FORMCHECKBOX </w:instrText>
            </w:r>
            <w:r w:rsidR="00BC502B">
              <w:fldChar w:fldCharType="separate"/>
            </w:r>
            <w:r w:rsidRPr="00B43577">
              <w:fldChar w:fldCharType="end"/>
            </w:r>
            <w:r w:rsidRPr="00B43577">
              <w:t xml:space="preserve">Authority Required </w:t>
            </w:r>
            <w:r>
              <w:t>–</w:t>
            </w:r>
            <w:r w:rsidRPr="00B43577">
              <w:t xml:space="preserve"> Telephone</w:t>
            </w:r>
            <w:r>
              <w:t>, Electronic</w:t>
            </w:r>
          </w:p>
          <w:p w14:paraId="5A6C8CFC" w14:textId="77777777" w:rsidR="00DC33F2" w:rsidRPr="00A30A33" w:rsidRDefault="00DC33F2" w:rsidP="00AD478D">
            <w:pPr>
              <w:pStyle w:val="Tabletext"/>
              <w:rPr>
                <w:color w:val="000000"/>
              </w:rPr>
            </w:pPr>
            <w:r>
              <w:fldChar w:fldCharType="begin">
                <w:ffData>
                  <w:name w:val="Check5"/>
                  <w:enabled/>
                  <w:calcOnExit w:val="0"/>
                  <w:checkBox>
                    <w:sizeAuto/>
                    <w:default w:val="1"/>
                  </w:checkBox>
                </w:ffData>
              </w:fldChar>
            </w:r>
            <w:r>
              <w:instrText xml:space="preserve"> FORMCHECKBOX </w:instrText>
            </w:r>
            <w:r w:rsidR="00BC502B">
              <w:fldChar w:fldCharType="separate"/>
            </w:r>
            <w:r>
              <w:fldChar w:fldCharType="end"/>
            </w:r>
            <w:r w:rsidRPr="00B43577">
              <w:t>Streamlined</w:t>
            </w:r>
          </w:p>
        </w:tc>
      </w:tr>
      <w:tr w:rsidR="00DC33F2" w:rsidRPr="00A30A33" w14:paraId="5829E257" w14:textId="77777777" w:rsidTr="00AD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90" w:type="pct"/>
            <w:gridSpan w:val="2"/>
            <w:tcBorders>
              <w:top w:val="single" w:sz="4" w:space="0" w:color="auto"/>
              <w:left w:val="single" w:sz="4" w:space="0" w:color="auto"/>
              <w:bottom w:val="single" w:sz="4" w:space="0" w:color="auto"/>
              <w:right w:val="single" w:sz="4" w:space="0" w:color="auto"/>
            </w:tcBorders>
          </w:tcPr>
          <w:p w14:paraId="1720541B" w14:textId="77777777" w:rsidR="00DC33F2" w:rsidRPr="006C3255" w:rsidRDefault="00DC33F2" w:rsidP="00AD478D">
            <w:pPr>
              <w:pStyle w:val="TableText0"/>
              <w:rPr>
                <w:b/>
              </w:rPr>
            </w:pPr>
            <w:r w:rsidRPr="006C3255">
              <w:rPr>
                <w:b/>
              </w:rPr>
              <w:t>Clinical criteria:</w:t>
            </w:r>
          </w:p>
          <w:p w14:paraId="4E473F63" w14:textId="77777777" w:rsidR="00DC33F2" w:rsidRPr="006C3255" w:rsidRDefault="00DC33F2" w:rsidP="00AD478D">
            <w:pPr>
              <w:pStyle w:val="Tabletext"/>
              <w:rPr>
                <w:b/>
              </w:rPr>
            </w:pPr>
          </w:p>
        </w:tc>
        <w:tc>
          <w:tcPr>
            <w:tcW w:w="4010" w:type="pct"/>
            <w:gridSpan w:val="6"/>
            <w:tcBorders>
              <w:top w:val="single" w:sz="4" w:space="0" w:color="auto"/>
              <w:left w:val="single" w:sz="4" w:space="0" w:color="auto"/>
              <w:bottom w:val="single" w:sz="4" w:space="0" w:color="auto"/>
              <w:right w:val="single" w:sz="4" w:space="0" w:color="auto"/>
            </w:tcBorders>
          </w:tcPr>
          <w:p w14:paraId="1E579FEB" w14:textId="77777777" w:rsidR="00DC33F2" w:rsidRDefault="00DC33F2" w:rsidP="00AD478D">
            <w:pPr>
              <w:pStyle w:val="TableText0"/>
            </w:pPr>
            <w:r>
              <w:t xml:space="preserve">Patient must have previously been treated with PBS-subsidised treatment with this drug for this condition, </w:t>
            </w:r>
          </w:p>
          <w:p w14:paraId="229EC3E1" w14:textId="77777777" w:rsidR="00DC33F2" w:rsidRPr="000D7877" w:rsidRDefault="00DC33F2" w:rsidP="00AD478D">
            <w:pPr>
              <w:pStyle w:val="TableText0"/>
              <w:rPr>
                <w:b/>
                <w:bCs w:val="0"/>
              </w:rPr>
            </w:pPr>
            <w:r w:rsidRPr="000D7877">
              <w:rPr>
                <w:b/>
                <w:bCs w:val="0"/>
              </w:rPr>
              <w:t xml:space="preserve">AND </w:t>
            </w:r>
          </w:p>
          <w:p w14:paraId="3FCD497B" w14:textId="77777777" w:rsidR="00DC33F2" w:rsidRDefault="00DC33F2" w:rsidP="00AD478D">
            <w:pPr>
              <w:pStyle w:val="TableText0"/>
            </w:pPr>
            <w:r>
              <w:t xml:space="preserve">Patient must not develop progressive disease whilst receiving PBS-subsidised treatment with this drug for this condition, </w:t>
            </w:r>
          </w:p>
          <w:p w14:paraId="4188DD1C" w14:textId="77777777" w:rsidR="00DC33F2" w:rsidRPr="000D7877" w:rsidRDefault="00DC33F2" w:rsidP="00AD478D">
            <w:pPr>
              <w:pStyle w:val="TableText0"/>
              <w:rPr>
                <w:b/>
                <w:bCs w:val="0"/>
              </w:rPr>
            </w:pPr>
            <w:r w:rsidRPr="000D7877">
              <w:rPr>
                <w:b/>
                <w:bCs w:val="0"/>
              </w:rPr>
              <w:t>AND</w:t>
            </w:r>
          </w:p>
          <w:p w14:paraId="3A974474" w14:textId="77777777" w:rsidR="00DC33F2" w:rsidRPr="00B43577" w:rsidRDefault="00DC33F2" w:rsidP="00AD478D">
            <w:pPr>
              <w:pStyle w:val="TableText0"/>
            </w:pPr>
            <w:r>
              <w:t>The treatment must be the sole PBS-subsidised therapy for this condition.</w:t>
            </w:r>
          </w:p>
        </w:tc>
      </w:tr>
      <w:tr w:rsidR="00DC33F2" w:rsidRPr="00A30A33" w14:paraId="0A1AFE9A" w14:textId="77777777" w:rsidTr="00AD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90" w:type="pct"/>
            <w:gridSpan w:val="2"/>
            <w:tcBorders>
              <w:top w:val="single" w:sz="4" w:space="0" w:color="auto"/>
              <w:left w:val="single" w:sz="4" w:space="0" w:color="auto"/>
              <w:bottom w:val="single" w:sz="4" w:space="0" w:color="auto"/>
              <w:right w:val="single" w:sz="4" w:space="0" w:color="auto"/>
            </w:tcBorders>
          </w:tcPr>
          <w:p w14:paraId="59DD1964" w14:textId="77777777" w:rsidR="00DC33F2" w:rsidRPr="006C3255" w:rsidRDefault="00DC33F2" w:rsidP="00AD478D">
            <w:pPr>
              <w:pStyle w:val="Tabletext"/>
              <w:rPr>
                <w:b/>
              </w:rPr>
            </w:pPr>
            <w:r w:rsidRPr="006C3255">
              <w:rPr>
                <w:b/>
              </w:rPr>
              <w:t>Prescriber Instructions:</w:t>
            </w:r>
          </w:p>
        </w:tc>
        <w:tc>
          <w:tcPr>
            <w:tcW w:w="4010" w:type="pct"/>
            <w:gridSpan w:val="6"/>
            <w:tcBorders>
              <w:top w:val="single" w:sz="4" w:space="0" w:color="auto"/>
              <w:left w:val="single" w:sz="4" w:space="0" w:color="auto"/>
              <w:bottom w:val="single" w:sz="4" w:space="0" w:color="auto"/>
              <w:right w:val="single" w:sz="4" w:space="0" w:color="auto"/>
            </w:tcBorders>
          </w:tcPr>
          <w:p w14:paraId="1223FFDA" w14:textId="77777777" w:rsidR="00DC33F2" w:rsidRPr="00B43577" w:rsidRDefault="00DC33F2" w:rsidP="00AD478D">
            <w:pPr>
              <w:pStyle w:val="TableText0"/>
            </w:pPr>
            <w:r w:rsidRPr="00F42C36">
              <w:t>Patient who has progressive disease when treated with this drug is no longer eligible for PBS-subsidised treatment with this drug</w:t>
            </w:r>
            <w:r>
              <w:t>.</w:t>
            </w:r>
          </w:p>
        </w:tc>
      </w:tr>
      <w:tr w:rsidR="00DC33F2" w:rsidRPr="00A30A33" w14:paraId="0B8DCBA6" w14:textId="77777777" w:rsidTr="00AD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90" w:type="pct"/>
            <w:gridSpan w:val="2"/>
            <w:tcBorders>
              <w:top w:val="single" w:sz="4" w:space="0" w:color="auto"/>
              <w:left w:val="single" w:sz="4" w:space="0" w:color="auto"/>
              <w:bottom w:val="single" w:sz="4" w:space="0" w:color="auto"/>
              <w:right w:val="single" w:sz="4" w:space="0" w:color="auto"/>
            </w:tcBorders>
          </w:tcPr>
          <w:p w14:paraId="48A61A75" w14:textId="77777777" w:rsidR="00DC33F2" w:rsidRPr="006C3255" w:rsidRDefault="00DC33F2" w:rsidP="00AD478D">
            <w:pPr>
              <w:pStyle w:val="Tabletext"/>
              <w:rPr>
                <w:b/>
              </w:rPr>
            </w:pPr>
            <w:r w:rsidRPr="006C3255">
              <w:rPr>
                <w:b/>
              </w:rPr>
              <w:t>Treatment phase:</w:t>
            </w:r>
          </w:p>
        </w:tc>
        <w:tc>
          <w:tcPr>
            <w:tcW w:w="4010" w:type="pct"/>
            <w:gridSpan w:val="6"/>
            <w:tcBorders>
              <w:top w:val="single" w:sz="4" w:space="0" w:color="auto"/>
              <w:left w:val="single" w:sz="4" w:space="0" w:color="auto"/>
              <w:bottom w:val="single" w:sz="4" w:space="0" w:color="auto"/>
              <w:right w:val="single" w:sz="4" w:space="0" w:color="auto"/>
            </w:tcBorders>
          </w:tcPr>
          <w:p w14:paraId="2751E368" w14:textId="77777777" w:rsidR="00DC33F2" w:rsidRPr="00A30A33" w:rsidRDefault="00DC33F2" w:rsidP="00AD478D">
            <w:pPr>
              <w:pStyle w:val="Tabletext"/>
              <w:rPr>
                <w:color w:val="000000"/>
              </w:rPr>
            </w:pPr>
            <w:r>
              <w:t>Grandfathering treatment</w:t>
            </w:r>
          </w:p>
        </w:tc>
      </w:tr>
      <w:tr w:rsidR="00DC33F2" w:rsidRPr="00A30A33" w14:paraId="71AAAB30" w14:textId="77777777" w:rsidTr="00AD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90" w:type="pct"/>
            <w:gridSpan w:val="2"/>
            <w:tcBorders>
              <w:top w:val="single" w:sz="4" w:space="0" w:color="auto"/>
              <w:left w:val="single" w:sz="4" w:space="0" w:color="auto"/>
              <w:bottom w:val="single" w:sz="4" w:space="0" w:color="auto"/>
              <w:right w:val="single" w:sz="4" w:space="0" w:color="auto"/>
            </w:tcBorders>
          </w:tcPr>
          <w:p w14:paraId="59CA61FD" w14:textId="77777777" w:rsidR="00DC33F2" w:rsidRPr="006C3255" w:rsidRDefault="00DC33F2" w:rsidP="00AD478D">
            <w:pPr>
              <w:pStyle w:val="Tabletext"/>
              <w:rPr>
                <w:b/>
              </w:rPr>
            </w:pPr>
            <w:r>
              <w:rPr>
                <w:b/>
              </w:rPr>
              <w:t>Clinical criteria:</w:t>
            </w:r>
          </w:p>
        </w:tc>
        <w:tc>
          <w:tcPr>
            <w:tcW w:w="4010" w:type="pct"/>
            <w:gridSpan w:val="6"/>
            <w:tcBorders>
              <w:top w:val="single" w:sz="4" w:space="0" w:color="auto"/>
              <w:left w:val="single" w:sz="4" w:space="0" w:color="auto"/>
              <w:bottom w:val="single" w:sz="4" w:space="0" w:color="auto"/>
              <w:right w:val="single" w:sz="4" w:space="0" w:color="auto"/>
            </w:tcBorders>
          </w:tcPr>
          <w:p w14:paraId="441E1A13" w14:textId="77777777" w:rsidR="00DC33F2" w:rsidRPr="000D7877" w:rsidRDefault="00DC33F2" w:rsidP="00AD478D">
            <w:pPr>
              <w:pStyle w:val="TableText0"/>
            </w:pPr>
            <w:r>
              <w:t>Patient must have previously received treatment with fluoropyrimidine, oxaliplatin, irinotecan based chemotherapies, an anti-vascular endothelial growth factor (anti-VEGF) agent and an anti-epidermal growth factor receptor (anti-EGFR) agent for this condition,</w:t>
            </w:r>
            <w:r w:rsidRPr="000D7877">
              <w:rPr>
                <w:b/>
                <w:bCs w:val="0"/>
              </w:rPr>
              <w:t xml:space="preserve"> </w:t>
            </w:r>
          </w:p>
          <w:p w14:paraId="51DB2BB5" w14:textId="77777777" w:rsidR="00DC33F2" w:rsidRPr="000D7877" w:rsidRDefault="00DC33F2" w:rsidP="00AD478D">
            <w:pPr>
              <w:pStyle w:val="TableText0"/>
              <w:rPr>
                <w:b/>
                <w:bCs w:val="0"/>
              </w:rPr>
            </w:pPr>
            <w:r w:rsidRPr="000D7877">
              <w:rPr>
                <w:b/>
                <w:bCs w:val="0"/>
              </w:rPr>
              <w:t xml:space="preserve">AND </w:t>
            </w:r>
          </w:p>
          <w:p w14:paraId="6028B2AB" w14:textId="77777777" w:rsidR="00DC33F2" w:rsidRDefault="00DC33F2" w:rsidP="00AD478D">
            <w:pPr>
              <w:pStyle w:val="TableText0"/>
            </w:pPr>
            <w:r>
              <w:t xml:space="preserve">Patient must not be a suitable candidate for treatment with fluoropyrimidine, oxaliplatin, irinotecan-based chemotherapies, an anti-VEGF agent and an anti-EGFR agent for this condition, </w:t>
            </w:r>
          </w:p>
          <w:p w14:paraId="145B23E3" w14:textId="77777777" w:rsidR="00DC33F2" w:rsidRPr="000D7877" w:rsidRDefault="00DC33F2" w:rsidP="00AD478D">
            <w:pPr>
              <w:pStyle w:val="TableText0"/>
              <w:rPr>
                <w:b/>
                <w:bCs w:val="0"/>
              </w:rPr>
            </w:pPr>
            <w:r w:rsidRPr="000D7877">
              <w:rPr>
                <w:b/>
                <w:bCs w:val="0"/>
              </w:rPr>
              <w:t xml:space="preserve">AND </w:t>
            </w:r>
          </w:p>
          <w:p w14:paraId="077C862C" w14:textId="77777777" w:rsidR="00DC33F2" w:rsidRDefault="00DC33F2" w:rsidP="00AD478D">
            <w:pPr>
              <w:pStyle w:val="TableText0"/>
            </w:pPr>
            <w:r>
              <w:t xml:space="preserve">Patient must have been receiving non-PBS-subsidised treatment with this drug for this condition prior to (date to be determined) </w:t>
            </w:r>
          </w:p>
          <w:p w14:paraId="4F33FD22" w14:textId="77777777" w:rsidR="00DC33F2" w:rsidRPr="000D7877" w:rsidRDefault="00DC33F2" w:rsidP="00AD478D">
            <w:pPr>
              <w:pStyle w:val="TableText0"/>
              <w:rPr>
                <w:b/>
                <w:bCs w:val="0"/>
              </w:rPr>
            </w:pPr>
            <w:r w:rsidRPr="000D7877">
              <w:rPr>
                <w:b/>
                <w:bCs w:val="0"/>
              </w:rPr>
              <w:t>AND</w:t>
            </w:r>
          </w:p>
          <w:p w14:paraId="1882CF34" w14:textId="77777777" w:rsidR="00DC33F2" w:rsidRDefault="00DC33F2" w:rsidP="00AD478D">
            <w:pPr>
              <w:pStyle w:val="TableText0"/>
            </w:pPr>
            <w:r>
              <w:t xml:space="preserve">Patient must not have developed progressive disease while receiving non-PBS-subsidised treatment with this drug for this condition </w:t>
            </w:r>
          </w:p>
          <w:p w14:paraId="6D53CD2A" w14:textId="77777777" w:rsidR="00DC33F2" w:rsidRPr="000D7877" w:rsidRDefault="00DC33F2" w:rsidP="00AD478D">
            <w:pPr>
              <w:pStyle w:val="TableText0"/>
              <w:rPr>
                <w:b/>
                <w:bCs w:val="0"/>
              </w:rPr>
            </w:pPr>
            <w:r w:rsidRPr="000D7877">
              <w:rPr>
                <w:b/>
                <w:bCs w:val="0"/>
              </w:rPr>
              <w:t xml:space="preserve">AND </w:t>
            </w:r>
          </w:p>
          <w:p w14:paraId="42F2A4D7" w14:textId="77777777" w:rsidR="00DC33F2" w:rsidRDefault="00DC33F2" w:rsidP="00AD478D">
            <w:pPr>
              <w:pStyle w:val="Tabletext"/>
            </w:pPr>
            <w:r>
              <w:t>The treatment must be the sole PBS-subsidised therapy for this condition.</w:t>
            </w:r>
          </w:p>
        </w:tc>
      </w:tr>
      <w:tr w:rsidR="00DC33F2" w:rsidRPr="00A30A33" w14:paraId="4CA50B19" w14:textId="77777777" w:rsidTr="00AD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90" w:type="pct"/>
            <w:gridSpan w:val="2"/>
            <w:tcBorders>
              <w:top w:val="single" w:sz="4" w:space="0" w:color="auto"/>
              <w:left w:val="single" w:sz="4" w:space="0" w:color="auto"/>
              <w:bottom w:val="single" w:sz="4" w:space="0" w:color="auto"/>
              <w:right w:val="single" w:sz="4" w:space="0" w:color="auto"/>
            </w:tcBorders>
          </w:tcPr>
          <w:p w14:paraId="3B763D89" w14:textId="77777777" w:rsidR="00DC33F2" w:rsidRPr="006C3255" w:rsidRDefault="00DC33F2" w:rsidP="00AD478D">
            <w:pPr>
              <w:pStyle w:val="TableText0"/>
              <w:rPr>
                <w:b/>
              </w:rPr>
            </w:pPr>
            <w:r w:rsidRPr="006C3255">
              <w:rPr>
                <w:b/>
              </w:rPr>
              <w:t>Prescriber Instructions:</w:t>
            </w:r>
          </w:p>
        </w:tc>
        <w:tc>
          <w:tcPr>
            <w:tcW w:w="4010" w:type="pct"/>
            <w:gridSpan w:val="6"/>
            <w:tcBorders>
              <w:top w:val="single" w:sz="4" w:space="0" w:color="auto"/>
              <w:left w:val="single" w:sz="4" w:space="0" w:color="auto"/>
              <w:bottom w:val="single" w:sz="4" w:space="0" w:color="auto"/>
              <w:right w:val="single" w:sz="4" w:space="0" w:color="auto"/>
            </w:tcBorders>
          </w:tcPr>
          <w:p w14:paraId="4223763A" w14:textId="77777777" w:rsidR="00DC33F2" w:rsidRPr="00F42C36" w:rsidRDefault="00DC33F2" w:rsidP="00AD478D">
            <w:pPr>
              <w:pStyle w:val="TableText0"/>
            </w:pPr>
            <w:r w:rsidRPr="00F42C36">
              <w:t>A Grandfathered patient may qualify for PBS-subsidised treatment under this restriction once only.</w:t>
            </w:r>
          </w:p>
          <w:p w14:paraId="657B7785" w14:textId="77777777" w:rsidR="00DC33F2" w:rsidRPr="00A30A33" w:rsidRDefault="00DC33F2" w:rsidP="00AD478D">
            <w:pPr>
              <w:pStyle w:val="Tabletext"/>
              <w:rPr>
                <w:color w:val="000000"/>
              </w:rPr>
            </w:pPr>
            <w:r w:rsidRPr="00F42C36">
              <w:t>For continuing PBS-subsidised treatment, a Grandfathered patient must qualify under the continuing treatment criteria.</w:t>
            </w:r>
          </w:p>
        </w:tc>
      </w:tr>
    </w:tbl>
    <w:p w14:paraId="72A7997E" w14:textId="77777777" w:rsidR="00742759" w:rsidRPr="00882085" w:rsidRDefault="00742759" w:rsidP="00DC33F2"/>
    <w:p w14:paraId="22B867B1" w14:textId="77777777" w:rsidR="00DC33F2" w:rsidRDefault="00A055A8" w:rsidP="00DC33F2">
      <w:pPr>
        <w:pStyle w:val="3-BodyText"/>
        <w:rPr>
          <w:color w:val="0066FF"/>
        </w:rPr>
      </w:pPr>
      <w:r>
        <w:t>The resubmission proposed that the</w:t>
      </w:r>
      <w:r w:rsidR="00DC33F2" w:rsidRPr="009B1F3F">
        <w:t xml:space="preserve"> effective price of regorafenib would need to be calculated based on cost-minimisation </w:t>
      </w:r>
      <w:r w:rsidR="00410C49">
        <w:t>to</w:t>
      </w:r>
      <w:r w:rsidR="00DC33F2" w:rsidRPr="009B1F3F">
        <w:t xml:space="preserve"> trifluridine/tipiracil effective price</w:t>
      </w:r>
      <w:r w:rsidR="00DC33F2" w:rsidRPr="009B1F3F">
        <w:rPr>
          <w:color w:val="0066FF"/>
        </w:rPr>
        <w:t>.</w:t>
      </w:r>
    </w:p>
    <w:p w14:paraId="176EC0F4" w14:textId="77777777" w:rsidR="00DC33F2" w:rsidRDefault="00DC33F2" w:rsidP="00DC33F2">
      <w:pPr>
        <w:pStyle w:val="3-BodyText"/>
        <w:rPr>
          <w:iCs/>
        </w:rPr>
      </w:pPr>
      <w:r w:rsidRPr="008705DE">
        <w:rPr>
          <w:iCs/>
        </w:rPr>
        <w:t xml:space="preserve">The requested listing </w:t>
      </w:r>
      <w:r w:rsidR="00DC7EFE">
        <w:rPr>
          <w:iCs/>
        </w:rPr>
        <w:t>was</w:t>
      </w:r>
      <w:r w:rsidRPr="008705DE">
        <w:rPr>
          <w:iCs/>
        </w:rPr>
        <w:t xml:space="preserve"> aligned with the inclusion criteria in the CORRECT trial, which </w:t>
      </w:r>
      <w:r w:rsidR="00DC7EFE">
        <w:rPr>
          <w:iCs/>
        </w:rPr>
        <w:t>was</w:t>
      </w:r>
      <w:r w:rsidRPr="008705DE">
        <w:rPr>
          <w:iCs/>
        </w:rPr>
        <w:t xml:space="preserve"> the pivotal clinical trial evidence for regorafenib.</w:t>
      </w:r>
      <w:r w:rsidRPr="008705DE">
        <w:t xml:space="preserve"> </w:t>
      </w:r>
      <w:r w:rsidRPr="008705DE">
        <w:rPr>
          <w:iCs/>
        </w:rPr>
        <w:t>Other differences between the previous and the current restriction include</w:t>
      </w:r>
      <w:r w:rsidR="00DC7EFE">
        <w:rPr>
          <w:iCs/>
        </w:rPr>
        <w:t>d</w:t>
      </w:r>
      <w:r w:rsidRPr="008705DE">
        <w:rPr>
          <w:iCs/>
        </w:rPr>
        <w:t xml:space="preserve"> the addition of the following statement: ‘treatment must be the sole PBS-subsidised therapy for this condition’ and the restrictions for the Grandfathering phase. The PBAC previously noted that there was “a risk of use outside the requested listing, in patients with a WHO performance status greater than 1 and in the post-progression setting” (paragraph 7.4, regorafenib, Public Summary Document, July 2014 PBAC meeting). In addition, the requested restriction does not limit the potential use of regorafenib in </w:t>
      </w:r>
      <w:r w:rsidR="00FA1B1A" w:rsidRPr="008705DE">
        <w:rPr>
          <w:iCs/>
        </w:rPr>
        <w:t xml:space="preserve">a </w:t>
      </w:r>
      <w:r w:rsidRPr="008705DE">
        <w:rPr>
          <w:iCs/>
        </w:rPr>
        <w:t xml:space="preserve">subsequent line of treatment beyond the third line (e.g., after trifluridine/tipiracil).  </w:t>
      </w:r>
    </w:p>
    <w:p w14:paraId="0EED0757" w14:textId="77777777" w:rsidR="00E65AEA" w:rsidRPr="00601213" w:rsidRDefault="00580929" w:rsidP="00580929">
      <w:pPr>
        <w:pStyle w:val="3-BodyText"/>
        <w:rPr>
          <w:iCs/>
        </w:rPr>
      </w:pPr>
      <w:r w:rsidRPr="00601213">
        <w:rPr>
          <w:iCs/>
        </w:rPr>
        <w:t>The Pre-Sub-Committee Response (PSCR) argued the risk of leakage to patients with a WHO performance status &gt;1 was managed through the trifluridine/tipiracil risk sharing arrangement (RSA) and further argued the risk of sequential use could be managed through the RSA. The Sponsor indicated a willingness to join existing arrangements. The ESC considered this was reasonable and could be adequately addressed through regorafenib joining the existing trifluridine/tipiracil RSA</w:t>
      </w:r>
      <w:r w:rsidR="00DC7EFE">
        <w:rPr>
          <w:iCs/>
        </w:rPr>
        <w:t>, should regorafenib be recommended for listing</w:t>
      </w:r>
      <w:r w:rsidRPr="00601213">
        <w:rPr>
          <w:iCs/>
        </w:rPr>
        <w:t xml:space="preserve">. </w:t>
      </w:r>
    </w:p>
    <w:p w14:paraId="363F5F03" w14:textId="77777777" w:rsidR="00DC33F2" w:rsidRPr="00407F2D" w:rsidRDefault="00DC33F2" w:rsidP="00DC33F2">
      <w:pPr>
        <w:pStyle w:val="2-SectionHeading"/>
        <w:numPr>
          <w:ilvl w:val="0"/>
          <w:numId w:val="1"/>
        </w:numPr>
      </w:pPr>
      <w:bookmarkStart w:id="13" w:name="_Toc22898849"/>
      <w:bookmarkStart w:id="14" w:name="_Toc82598851"/>
      <w:r>
        <w:t>Population and disease</w:t>
      </w:r>
      <w:bookmarkEnd w:id="13"/>
      <w:bookmarkEnd w:id="14"/>
    </w:p>
    <w:p w14:paraId="382CB7BA" w14:textId="77777777" w:rsidR="00DC33F2" w:rsidRPr="009B1F3F" w:rsidRDefault="00DC33F2" w:rsidP="00DC33F2">
      <w:pPr>
        <w:pStyle w:val="3-BodyText"/>
      </w:pPr>
      <w:r w:rsidRPr="009B1F3F">
        <w:t xml:space="preserve">The target population are patients with metastatic </w:t>
      </w:r>
      <w:bookmarkStart w:id="15" w:name="_Hlk81315167"/>
      <w:r w:rsidRPr="009B1F3F">
        <w:t xml:space="preserve">colorectal cancer </w:t>
      </w:r>
      <w:bookmarkEnd w:id="15"/>
      <w:r w:rsidRPr="009B1F3F">
        <w:t xml:space="preserve">(mCRC). Colorectal cancer is a progressive multistep genetic cancer of the colon or rectum. Around </w:t>
      </w:r>
      <w:r w:rsidRPr="00FC6636">
        <w:t>1</w:t>
      </w:r>
      <w:r w:rsidR="0058360C" w:rsidRPr="00FC6636">
        <w:t>6</w:t>
      </w:r>
      <w:r w:rsidRPr="00FC6636">
        <w:t>%</w:t>
      </w:r>
      <w:r w:rsidRPr="009B1F3F">
        <w:t xml:space="preserve"> of </w:t>
      </w:r>
      <w:r w:rsidR="00A055A8" w:rsidRPr="00A055A8">
        <w:t>colorectal cancer</w:t>
      </w:r>
      <w:r w:rsidRPr="009B1F3F">
        <w:t xml:space="preserve"> patients are diagnosed with mCRC (Stage IV). The overall 5-year survival rate in mCRC is around 13% (Cancer Australia 2020; </w:t>
      </w:r>
      <w:r w:rsidRPr="009F6E11">
        <w:rPr>
          <w:i/>
          <w:iCs/>
        </w:rPr>
        <w:t>AIHW 20</w:t>
      </w:r>
      <w:r w:rsidR="0058360C" w:rsidRPr="009F6E11">
        <w:rPr>
          <w:i/>
          <w:iCs/>
        </w:rPr>
        <w:t>21</w:t>
      </w:r>
      <w:r w:rsidR="00FA23A7">
        <w:t>)</w:t>
      </w:r>
      <w:r w:rsidRPr="009B1F3F">
        <w:t xml:space="preserve">. The majority of mCRC patients will not have disease that can be surgically resected with curative intent. Thus, the goal of care is generally palliative to prolong survival and maintain </w:t>
      </w:r>
      <w:r w:rsidR="00A055A8">
        <w:t>quality of life</w:t>
      </w:r>
      <w:r w:rsidRPr="009B1F3F">
        <w:t>.</w:t>
      </w:r>
    </w:p>
    <w:p w14:paraId="269138E8" w14:textId="77777777" w:rsidR="00DC33F2" w:rsidRPr="003F2EED" w:rsidRDefault="00DC33F2" w:rsidP="00DC33F2">
      <w:pPr>
        <w:pStyle w:val="3-BodyText"/>
      </w:pPr>
      <w:r w:rsidRPr="00820DCB">
        <w:t xml:space="preserve">The clinical management algorithm was based on </w:t>
      </w:r>
      <w:bookmarkStart w:id="16" w:name="_Hlk81315296"/>
      <w:r w:rsidRPr="00820DCB">
        <w:t xml:space="preserve">Cancer Council Australia </w:t>
      </w:r>
      <w:bookmarkEnd w:id="16"/>
      <w:r w:rsidRPr="00820DCB">
        <w:t>2017 guidelines for the management of mCRC</w:t>
      </w:r>
      <w:r w:rsidR="00323520" w:rsidRPr="00323520">
        <w:rPr>
          <w:rFonts w:ascii="Calibri" w:hAnsi="Calibri"/>
          <w:snapToGrid/>
        </w:rPr>
        <w:t xml:space="preserve"> </w:t>
      </w:r>
      <w:r w:rsidR="00323520" w:rsidRPr="00323520">
        <w:t xml:space="preserve">and Price </w:t>
      </w:r>
      <w:r w:rsidR="00323520" w:rsidRPr="00323520">
        <w:rPr>
          <w:i/>
          <w:iCs/>
        </w:rPr>
        <w:t>et al</w:t>
      </w:r>
      <w:r w:rsidR="00323520" w:rsidRPr="00323520">
        <w:t xml:space="preserve"> (2020)</w:t>
      </w:r>
      <w:r w:rsidRPr="00820DCB">
        <w:t xml:space="preserve">. The resubmission proposed regorafenib as </w:t>
      </w:r>
      <w:r w:rsidR="00DE2FDA">
        <w:t xml:space="preserve">an alternative to </w:t>
      </w:r>
      <w:r w:rsidR="00DE2FDA" w:rsidRPr="00DE2FDA">
        <w:t xml:space="preserve">trifluridine/tipiracil </w:t>
      </w:r>
      <w:r w:rsidR="00DE2FDA">
        <w:t xml:space="preserve">in the </w:t>
      </w:r>
      <w:r w:rsidRPr="00820DCB">
        <w:t xml:space="preserve">third line </w:t>
      </w:r>
      <w:r w:rsidR="00DE2FDA">
        <w:t xml:space="preserve">of treatment in </w:t>
      </w:r>
      <w:r w:rsidRPr="00820DCB">
        <w:t xml:space="preserve">mCRC patients who failed, or who are not candidate for, standard chemotherapy, anti-VEGF therapy, and, if RAS wild type, an anti-EGFR therapy. </w:t>
      </w:r>
      <w:r w:rsidR="000E797E">
        <w:t>R</w:t>
      </w:r>
      <w:r w:rsidRPr="003F2EED">
        <w:t xml:space="preserve">egorafenib is recommended </w:t>
      </w:r>
      <w:r w:rsidR="00DE2FDA" w:rsidRPr="003F2EED">
        <w:t xml:space="preserve">in </w:t>
      </w:r>
      <w:r w:rsidR="00A055A8" w:rsidRPr="003F2EED">
        <w:t xml:space="preserve">Cancer Council Australia </w:t>
      </w:r>
      <w:r w:rsidR="00DE2FDA" w:rsidRPr="003F2EED">
        <w:t xml:space="preserve">guidelines </w:t>
      </w:r>
      <w:r w:rsidRPr="003F2EED">
        <w:t xml:space="preserve">in the third line of </w:t>
      </w:r>
      <w:r w:rsidR="00DE2FDA" w:rsidRPr="003F2EED">
        <w:t xml:space="preserve">mCRC </w:t>
      </w:r>
      <w:r w:rsidRPr="003F2EED">
        <w:t>treatment</w:t>
      </w:r>
      <w:r w:rsidR="00DE2FDA" w:rsidRPr="003F2EED">
        <w:t>.</w:t>
      </w:r>
    </w:p>
    <w:p w14:paraId="2C40EA0F" w14:textId="77777777" w:rsidR="00DC33F2" w:rsidRDefault="00DC33F2" w:rsidP="00DC33F2">
      <w:pPr>
        <w:pStyle w:val="3-BodyText"/>
      </w:pPr>
      <w:r w:rsidRPr="00820DCB">
        <w:t>Regorafenib is an oral anti-tumour agent that potently blocks multiple protein kinases, including kinases involved in tumour angiogenesis (VEGFR1, -2, -3, TIE2), oncogenesis (KIT, RET, RAF-1, BRAF), metastasis (VEGFR3, PDGFR, FGFR) and tumour immunity (CSF1R). By directly inhibiting the tyrosine kinases, regorafenib reduces the subsequent signalling through downstream pathways involved in angiogenesis, oncogenesis and stromal interactions, and thereby inhibits tumour growth and disease progression.</w:t>
      </w:r>
    </w:p>
    <w:p w14:paraId="516009C1" w14:textId="77777777" w:rsidR="00DC33F2" w:rsidRPr="00407F2D" w:rsidRDefault="00DC33F2" w:rsidP="00DC33F2">
      <w:pPr>
        <w:pStyle w:val="2-SectionHeading"/>
        <w:numPr>
          <w:ilvl w:val="0"/>
          <w:numId w:val="1"/>
        </w:numPr>
      </w:pPr>
      <w:bookmarkStart w:id="17" w:name="_Toc22898850"/>
      <w:bookmarkStart w:id="18" w:name="_Toc82598852"/>
      <w:r w:rsidRPr="00407F2D">
        <w:t>Comparator</w:t>
      </w:r>
      <w:bookmarkEnd w:id="17"/>
      <w:bookmarkEnd w:id="18"/>
    </w:p>
    <w:p w14:paraId="6C6315D1" w14:textId="77777777" w:rsidR="00DC33F2" w:rsidRPr="00EE613A" w:rsidRDefault="00DC33F2" w:rsidP="00DC33F2">
      <w:pPr>
        <w:pStyle w:val="3-BodyText"/>
      </w:pPr>
      <w:r w:rsidRPr="00EE613A">
        <w:t xml:space="preserve">The resubmission nominated trifluridine/tipiracil as the main comparator. </w:t>
      </w:r>
      <w:r w:rsidR="00CF110F">
        <w:t>T</w:t>
      </w:r>
      <w:r>
        <w:t>he nominated comparator in the previous submission</w:t>
      </w:r>
      <w:r w:rsidR="00CF110F">
        <w:t xml:space="preserve"> was BSC</w:t>
      </w:r>
      <w:r>
        <w:t xml:space="preserve">. </w:t>
      </w:r>
      <w:r w:rsidRPr="00EE613A">
        <w:t xml:space="preserve">The main arguments </w:t>
      </w:r>
      <w:r w:rsidR="006109BC">
        <w:t xml:space="preserve">supporting this change </w:t>
      </w:r>
      <w:r w:rsidRPr="00EE613A">
        <w:t>were as follows:</w:t>
      </w:r>
    </w:p>
    <w:p w14:paraId="3048D190" w14:textId="77777777" w:rsidR="00DC33F2" w:rsidRDefault="00DC33F2" w:rsidP="005A7F8B">
      <w:pPr>
        <w:pStyle w:val="3-BodyText"/>
        <w:numPr>
          <w:ilvl w:val="0"/>
          <w:numId w:val="11"/>
        </w:numPr>
        <w:spacing w:after="0"/>
        <w:ind w:left="1077" w:hanging="357"/>
      </w:pPr>
      <w:r w:rsidRPr="00EE613A">
        <w:t xml:space="preserve">The mCRC population targeted for regorafenib is identical to that currently considered eligible on the PBS for treatment with trifluridine/tipiracil. </w:t>
      </w:r>
    </w:p>
    <w:p w14:paraId="749C44AC" w14:textId="77777777" w:rsidR="00DC33F2" w:rsidRDefault="00DC33F2" w:rsidP="005A7F8B">
      <w:pPr>
        <w:pStyle w:val="3-BodyText"/>
        <w:numPr>
          <w:ilvl w:val="0"/>
          <w:numId w:val="11"/>
        </w:numPr>
        <w:spacing w:after="0"/>
        <w:ind w:left="1077" w:hanging="357"/>
      </w:pPr>
      <w:r w:rsidRPr="00EE613A">
        <w:t>The proposed clinical place in therapy for regorafenib is identical to that for trifluridine/tipiracil, which is PBS listed for the management of mCRC patients as a third line of treatment.</w:t>
      </w:r>
      <w:r w:rsidRPr="00EE613A">
        <w:rPr>
          <w:snapToGrid/>
          <w:lang w:val="en-US"/>
        </w:rPr>
        <w:t xml:space="preserve"> </w:t>
      </w:r>
    </w:p>
    <w:p w14:paraId="2A035FA4" w14:textId="77777777" w:rsidR="00DC33F2" w:rsidRPr="009B1F3F" w:rsidRDefault="00DC33F2" w:rsidP="00DC33F2">
      <w:pPr>
        <w:pStyle w:val="3-BodyText"/>
        <w:numPr>
          <w:ilvl w:val="0"/>
          <w:numId w:val="0"/>
        </w:numPr>
        <w:spacing w:after="0"/>
        <w:ind w:left="360"/>
      </w:pPr>
    </w:p>
    <w:p w14:paraId="5E78D272" w14:textId="77777777" w:rsidR="00DC33F2" w:rsidRPr="00601213" w:rsidRDefault="00DC33F2" w:rsidP="00DC33F2">
      <w:pPr>
        <w:pStyle w:val="3-BodyText"/>
        <w:rPr>
          <w:i/>
          <w:iCs/>
        </w:rPr>
      </w:pPr>
      <w:r w:rsidRPr="009B1F3F">
        <w:t>The choice of trifluridine/</w:t>
      </w:r>
      <w:r w:rsidRPr="008705DE">
        <w:t xml:space="preserve">tipiracil as the comparator </w:t>
      </w:r>
      <w:r w:rsidR="005E58B6">
        <w:t>was</w:t>
      </w:r>
      <w:r w:rsidRPr="008705DE">
        <w:t xml:space="preserve"> appropriate. </w:t>
      </w:r>
      <w:r w:rsidR="003F2EED" w:rsidRPr="008705DE">
        <w:rPr>
          <w:iCs/>
        </w:rPr>
        <w:t>O</w:t>
      </w:r>
      <w:r w:rsidRPr="008705DE">
        <w:rPr>
          <w:iCs/>
        </w:rPr>
        <w:t xml:space="preserve">ther subsequent therapy (e.g., chemotherapy) </w:t>
      </w:r>
      <w:r w:rsidR="006109BC" w:rsidRPr="008705DE">
        <w:rPr>
          <w:iCs/>
        </w:rPr>
        <w:t>c</w:t>
      </w:r>
      <w:r w:rsidRPr="008705DE">
        <w:rPr>
          <w:iCs/>
        </w:rPr>
        <w:t>ould</w:t>
      </w:r>
      <w:r w:rsidR="006109BC" w:rsidRPr="008705DE">
        <w:rPr>
          <w:iCs/>
        </w:rPr>
        <w:t xml:space="preserve"> also</w:t>
      </w:r>
      <w:r w:rsidRPr="008705DE">
        <w:rPr>
          <w:iCs/>
        </w:rPr>
        <w:t xml:space="preserve"> be replaced</w:t>
      </w:r>
      <w:r w:rsidR="006109BC" w:rsidRPr="008705DE">
        <w:rPr>
          <w:iCs/>
        </w:rPr>
        <w:t xml:space="preserve"> in practice</w:t>
      </w:r>
      <w:r w:rsidRPr="008705DE">
        <w:rPr>
          <w:iCs/>
        </w:rPr>
        <w:t xml:space="preserve">, </w:t>
      </w:r>
      <w:r w:rsidR="006109BC" w:rsidRPr="008705DE">
        <w:rPr>
          <w:iCs/>
        </w:rPr>
        <w:t xml:space="preserve">which occurred in </w:t>
      </w:r>
      <w:r w:rsidRPr="008705DE">
        <w:rPr>
          <w:iCs/>
        </w:rPr>
        <w:t>the</w:t>
      </w:r>
      <w:r w:rsidR="006109BC" w:rsidRPr="008705DE">
        <w:rPr>
          <w:iCs/>
        </w:rPr>
        <w:t xml:space="preserve"> clinical</w:t>
      </w:r>
      <w:r w:rsidRPr="008705DE">
        <w:rPr>
          <w:iCs/>
        </w:rPr>
        <w:t xml:space="preserve"> trial</w:t>
      </w:r>
      <w:r w:rsidR="006109BC" w:rsidRPr="008705DE">
        <w:rPr>
          <w:iCs/>
        </w:rPr>
        <w:t>s</w:t>
      </w:r>
      <w:r w:rsidRPr="008705DE">
        <w:rPr>
          <w:iCs/>
        </w:rPr>
        <w:t xml:space="preserve"> </w:t>
      </w:r>
      <w:r w:rsidR="006109BC" w:rsidRPr="008705DE">
        <w:rPr>
          <w:iCs/>
        </w:rPr>
        <w:t>but</w:t>
      </w:r>
      <w:r w:rsidRPr="008705DE">
        <w:rPr>
          <w:iCs/>
        </w:rPr>
        <w:t xml:space="preserve"> wasn’t considered in the economic analysis and financial estimates.</w:t>
      </w:r>
    </w:p>
    <w:p w14:paraId="5C2E3E46" w14:textId="77777777" w:rsidR="00DC33F2" w:rsidRPr="00407F2D" w:rsidRDefault="00DC33F2" w:rsidP="00DC33F2">
      <w:pPr>
        <w:pStyle w:val="2-SectionHeading"/>
        <w:numPr>
          <w:ilvl w:val="0"/>
          <w:numId w:val="1"/>
        </w:numPr>
      </w:pPr>
      <w:bookmarkStart w:id="19" w:name="_Toc80627038"/>
      <w:bookmarkStart w:id="20" w:name="_Toc82598853"/>
      <w:r>
        <w:t>C</w:t>
      </w:r>
      <w:r w:rsidRPr="00407F2D">
        <w:t>onsideration of the evidence</w:t>
      </w:r>
      <w:bookmarkEnd w:id="19"/>
      <w:bookmarkEnd w:id="20"/>
    </w:p>
    <w:p w14:paraId="7517DB9E" w14:textId="77777777" w:rsidR="00C97DB4" w:rsidRPr="006E1229" w:rsidRDefault="00C97DB4" w:rsidP="00C97167">
      <w:pPr>
        <w:pStyle w:val="3-SubsectionHeading"/>
        <w:outlineLvl w:val="1"/>
        <w:rPr>
          <w:lang w:eastAsia="en-AU"/>
        </w:rPr>
      </w:pPr>
      <w:bookmarkStart w:id="21" w:name="_Hlk76375935"/>
      <w:bookmarkStart w:id="22" w:name="_Toc22897640"/>
      <w:bookmarkStart w:id="23" w:name="_Toc22898852"/>
      <w:bookmarkStart w:id="24" w:name="_Toc82598854"/>
      <w:r w:rsidRPr="006E1229">
        <w:rPr>
          <w:lang w:eastAsia="en-AU"/>
        </w:rPr>
        <w:t>Sponsor hearing</w:t>
      </w:r>
    </w:p>
    <w:p w14:paraId="2F513496" w14:textId="77777777" w:rsidR="00C97DB4" w:rsidRPr="00836F75" w:rsidRDefault="00C97DB4" w:rsidP="00C97DB4">
      <w:pPr>
        <w:widowControl w:val="0"/>
        <w:numPr>
          <w:ilvl w:val="1"/>
          <w:numId w:val="1"/>
        </w:numPr>
        <w:spacing w:after="120"/>
        <w:rPr>
          <w:rFonts w:asciiTheme="minorHAnsi" w:hAnsiTheme="minorHAnsi"/>
          <w:bCs/>
          <w:snapToGrid w:val="0"/>
        </w:rPr>
      </w:pPr>
      <w:bookmarkStart w:id="25" w:name="_Hlk76382586"/>
      <w:r w:rsidRPr="00836F75">
        <w:rPr>
          <w:rFonts w:asciiTheme="minorHAnsi" w:hAnsiTheme="minorHAnsi"/>
          <w:bCs/>
          <w:snapToGrid w:val="0"/>
        </w:rPr>
        <w:t xml:space="preserve">The sponsor requested a hearing for this item.  The clinician </w:t>
      </w:r>
      <w:r w:rsidR="00C97167">
        <w:rPr>
          <w:rFonts w:asciiTheme="minorHAnsi" w:hAnsiTheme="minorHAnsi"/>
          <w:bCs/>
          <w:snapToGrid w:val="0"/>
        </w:rPr>
        <w:t>stated that regorafenib provides a genuine benefit in terms of progression free survival</w:t>
      </w:r>
      <w:r w:rsidR="00BD2487">
        <w:rPr>
          <w:rFonts w:asciiTheme="minorHAnsi" w:hAnsiTheme="minorHAnsi"/>
          <w:bCs/>
          <w:snapToGrid w:val="0"/>
        </w:rPr>
        <w:t xml:space="preserve"> in advanced, incurable and non-resectable colorectal cancer and also stated that in their clinical experience the adverse events of regorafenib can be satisfactorily managed in practice, such as through dose adjustments or a lower starting dose.</w:t>
      </w:r>
      <w:r w:rsidR="00B457B8">
        <w:rPr>
          <w:rFonts w:asciiTheme="minorHAnsi" w:hAnsiTheme="minorHAnsi"/>
          <w:bCs/>
          <w:snapToGrid w:val="0"/>
        </w:rPr>
        <w:t xml:space="preserve"> The PBAC noted </w:t>
      </w:r>
      <w:r w:rsidR="00FA0BFB">
        <w:rPr>
          <w:rFonts w:asciiTheme="minorHAnsi" w:hAnsiTheme="minorHAnsi"/>
          <w:bCs/>
          <w:snapToGrid w:val="0"/>
        </w:rPr>
        <w:t xml:space="preserve">a lower starting dose of regorafenib was not </w:t>
      </w:r>
      <w:r w:rsidR="00147FD3">
        <w:rPr>
          <w:rFonts w:asciiTheme="minorHAnsi" w:hAnsiTheme="minorHAnsi"/>
          <w:bCs/>
          <w:snapToGrid w:val="0"/>
        </w:rPr>
        <w:t>consistent with</w:t>
      </w:r>
      <w:r w:rsidR="00FA0BFB">
        <w:rPr>
          <w:rFonts w:asciiTheme="minorHAnsi" w:hAnsiTheme="minorHAnsi"/>
          <w:bCs/>
          <w:snapToGrid w:val="0"/>
        </w:rPr>
        <w:t xml:space="preserve"> the </w:t>
      </w:r>
      <w:r w:rsidR="00147FD3">
        <w:rPr>
          <w:rFonts w:asciiTheme="minorHAnsi" w:hAnsiTheme="minorHAnsi"/>
          <w:bCs/>
          <w:snapToGrid w:val="0"/>
        </w:rPr>
        <w:t xml:space="preserve">current </w:t>
      </w:r>
      <w:r w:rsidR="00FA0BFB">
        <w:rPr>
          <w:rFonts w:asciiTheme="minorHAnsi" w:hAnsiTheme="minorHAnsi"/>
          <w:bCs/>
          <w:snapToGrid w:val="0"/>
        </w:rPr>
        <w:t xml:space="preserve">TGA </w:t>
      </w:r>
      <w:r w:rsidR="00147FD3">
        <w:rPr>
          <w:rFonts w:asciiTheme="minorHAnsi" w:hAnsiTheme="minorHAnsi"/>
          <w:bCs/>
          <w:snapToGrid w:val="0"/>
        </w:rPr>
        <w:t>dosing recommendations</w:t>
      </w:r>
      <w:r w:rsidR="00FA0BFB">
        <w:rPr>
          <w:rFonts w:asciiTheme="minorHAnsi" w:hAnsiTheme="minorHAnsi"/>
          <w:bCs/>
          <w:snapToGrid w:val="0"/>
        </w:rPr>
        <w:t>.</w:t>
      </w:r>
    </w:p>
    <w:bookmarkEnd w:id="25"/>
    <w:p w14:paraId="595B1F74" w14:textId="77777777" w:rsidR="00C97DB4" w:rsidRPr="006E1229" w:rsidRDefault="00C97DB4" w:rsidP="00C97167">
      <w:pPr>
        <w:pStyle w:val="3-SubsectionHeading"/>
        <w:outlineLvl w:val="1"/>
        <w:rPr>
          <w:lang w:eastAsia="en-AU"/>
        </w:rPr>
      </w:pPr>
      <w:r w:rsidRPr="006E1229">
        <w:rPr>
          <w:lang w:eastAsia="en-AU"/>
        </w:rPr>
        <w:t>Consumer comments</w:t>
      </w:r>
    </w:p>
    <w:p w14:paraId="17D2917D" w14:textId="3CE9C766" w:rsidR="00C97DB4" w:rsidRPr="00836F75" w:rsidRDefault="00C97DB4" w:rsidP="00C97DB4">
      <w:pPr>
        <w:widowControl w:val="0"/>
        <w:numPr>
          <w:ilvl w:val="1"/>
          <w:numId w:val="1"/>
        </w:numPr>
        <w:spacing w:after="120"/>
        <w:rPr>
          <w:rFonts w:asciiTheme="minorHAnsi" w:hAnsiTheme="minorHAnsi"/>
          <w:bCs/>
          <w:snapToGrid w:val="0"/>
        </w:rPr>
      </w:pPr>
      <w:bookmarkStart w:id="26" w:name="_Hlk76382618"/>
      <w:r w:rsidRPr="00836F75">
        <w:rPr>
          <w:rFonts w:asciiTheme="minorHAnsi" w:hAnsiTheme="minorHAnsi"/>
          <w:bCs/>
          <w:snapToGrid w:val="0"/>
        </w:rPr>
        <w:t xml:space="preserve">The PBAC noted </w:t>
      </w:r>
      <w:r w:rsidR="0056650E">
        <w:rPr>
          <w:rFonts w:asciiTheme="minorHAnsi" w:hAnsiTheme="minorHAnsi"/>
          <w:bCs/>
          <w:snapToGrid w:val="0"/>
        </w:rPr>
        <w:t>and welcomed the input from Bowel Cancer Australia</w:t>
      </w:r>
      <w:r w:rsidR="00CF110F">
        <w:rPr>
          <w:rFonts w:asciiTheme="minorHAnsi" w:hAnsiTheme="minorHAnsi"/>
          <w:bCs/>
          <w:snapToGrid w:val="0"/>
        </w:rPr>
        <w:t xml:space="preserve"> </w:t>
      </w:r>
      <w:r w:rsidR="0056650E">
        <w:rPr>
          <w:rFonts w:asciiTheme="minorHAnsi" w:hAnsiTheme="minorHAnsi"/>
          <w:bCs/>
          <w:snapToGrid w:val="0"/>
        </w:rPr>
        <w:t>which broadly supported the application to increase choices for patients.</w:t>
      </w:r>
    </w:p>
    <w:bookmarkEnd w:id="21"/>
    <w:bookmarkEnd w:id="26"/>
    <w:p w14:paraId="042434EA" w14:textId="77777777" w:rsidR="00DC33F2" w:rsidRPr="00C9624D" w:rsidRDefault="00DC33F2" w:rsidP="00DC33F2">
      <w:pPr>
        <w:pStyle w:val="4-SubsectionHeading"/>
      </w:pPr>
      <w:r w:rsidRPr="00C9624D">
        <w:t>Clinical trials</w:t>
      </w:r>
      <w:bookmarkEnd w:id="22"/>
      <w:bookmarkEnd w:id="23"/>
      <w:bookmarkEnd w:id="24"/>
    </w:p>
    <w:p w14:paraId="7C0EB9F0" w14:textId="77777777" w:rsidR="00DC33F2" w:rsidRPr="009F6E11" w:rsidRDefault="00DC33F2" w:rsidP="00DC33F2">
      <w:pPr>
        <w:pStyle w:val="3-BodyText"/>
      </w:pPr>
      <w:r w:rsidRPr="00174792">
        <w:t xml:space="preserve">There were no head-to-head trials of regorafenib and trifluridine/tipiracil for the treatment of patients with mCRC. Therefore, the resubmission conducted an indirect treatment comparison of regorafenib and trifluridine/tipiracil, using placebo as a common reference. The submission identified a total of five trials, </w:t>
      </w:r>
      <w:r>
        <w:t>two trials comparing regorafenib with placebo (</w:t>
      </w:r>
      <w:r w:rsidRPr="009D1FE9">
        <w:t>CORRECT and CONCUR</w:t>
      </w:r>
      <w:r>
        <w:t xml:space="preserve"> trials) and three trials comparing t</w:t>
      </w:r>
      <w:r w:rsidRPr="009D1FE9">
        <w:t xml:space="preserve">rifluridine/tipiracil </w:t>
      </w:r>
      <w:r w:rsidR="003D1885">
        <w:t>with</w:t>
      </w:r>
      <w:r w:rsidRPr="009D1FE9">
        <w:t xml:space="preserve"> </w:t>
      </w:r>
      <w:r>
        <w:t>placebo</w:t>
      </w:r>
      <w:r w:rsidRPr="009D1FE9">
        <w:t xml:space="preserve"> </w:t>
      </w:r>
      <w:r>
        <w:t>(</w:t>
      </w:r>
      <w:r w:rsidRPr="009D1FE9">
        <w:t>RECOURSE, TERRA and J003</w:t>
      </w:r>
      <w:r>
        <w:t xml:space="preserve"> trials). The </w:t>
      </w:r>
      <w:r w:rsidRPr="00174792">
        <w:t>CORRECT</w:t>
      </w:r>
      <w:r>
        <w:t xml:space="preserve"> trial was considered by the PBAC as a part of the previous regorafenib submission</w:t>
      </w:r>
      <w:r w:rsidRPr="00174792">
        <w:t xml:space="preserve"> </w:t>
      </w:r>
      <w:r>
        <w:t>in July 2014. Although not considered in the original regorafenib submission,</w:t>
      </w:r>
      <w:r w:rsidRPr="00174792">
        <w:t xml:space="preserve"> RECOURSE and J003</w:t>
      </w:r>
      <w:r>
        <w:t xml:space="preserve"> have been previously considered in </w:t>
      </w:r>
      <w:r w:rsidR="003D1885">
        <w:t xml:space="preserve">the </w:t>
      </w:r>
      <w:r>
        <w:t>submission for trifluridine/tipiracil</w:t>
      </w:r>
      <w:r w:rsidR="003D1885">
        <w:t xml:space="preserve"> in </w:t>
      </w:r>
      <w:r>
        <w:t xml:space="preserve">November 2016. </w:t>
      </w:r>
      <w:r w:rsidRPr="009F6E11">
        <w:t>Data from CONCUR and TERRA trials have not been considered by the PBAC.</w:t>
      </w:r>
    </w:p>
    <w:p w14:paraId="5C003096" w14:textId="77777777" w:rsidR="00DC33F2" w:rsidRPr="00057F06" w:rsidRDefault="00DC33F2" w:rsidP="00DC33F2">
      <w:pPr>
        <w:pStyle w:val="3-BodyText"/>
      </w:pPr>
      <w:r>
        <w:rPr>
          <w:snapToGrid/>
          <w:lang w:val="en-US"/>
        </w:rPr>
        <w:t>Details of the included trials presented in the submission are provided in the Table 3.</w:t>
      </w:r>
    </w:p>
    <w:p w14:paraId="0E54C2D6" w14:textId="77777777" w:rsidR="00DC33F2" w:rsidRPr="002E4F02" w:rsidRDefault="00DC33F2" w:rsidP="008E64A9">
      <w:pPr>
        <w:pStyle w:val="TableFigureHeading"/>
        <w:rPr>
          <w:rStyle w:val="CommentReference"/>
          <w:b/>
          <w:szCs w:val="24"/>
        </w:rPr>
      </w:pPr>
      <w:r w:rsidRPr="002E4F02">
        <w:rPr>
          <w:rStyle w:val="CommentReference"/>
          <w:b/>
          <w:szCs w:val="24"/>
        </w:rPr>
        <w:t xml:space="preserve">Table </w:t>
      </w:r>
      <w:r>
        <w:rPr>
          <w:rStyle w:val="CommentReference"/>
          <w:b/>
          <w:szCs w:val="24"/>
        </w:rPr>
        <w:t>3</w:t>
      </w:r>
      <w:r w:rsidRPr="002E4F02">
        <w:rPr>
          <w:rStyle w:val="CommentReference"/>
          <w:b/>
          <w:szCs w:val="24"/>
        </w:rPr>
        <w:t>: Trials</w:t>
      </w:r>
      <w:r>
        <w:rPr>
          <w:rStyle w:val="CommentReference"/>
          <w:b/>
          <w:szCs w:val="24"/>
        </w:rPr>
        <w:t xml:space="preserve"> </w:t>
      </w:r>
      <w:r w:rsidRPr="002E4F02">
        <w:rPr>
          <w:rStyle w:val="CommentReference"/>
          <w:b/>
          <w:szCs w:val="24"/>
        </w:rPr>
        <w:t xml:space="preserve">and associated reports presented in the </w:t>
      </w:r>
      <w:r w:rsidR="00067723">
        <w:rPr>
          <w:rStyle w:val="CommentReference"/>
          <w:b/>
          <w:szCs w:val="24"/>
        </w:rPr>
        <w:t>re</w:t>
      </w:r>
      <w:r w:rsidRPr="002E4F02">
        <w:rPr>
          <w:rStyle w:val="CommentReference"/>
          <w:b/>
          <w:szCs w:val="24"/>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resubmission"/>
      </w:tblPr>
      <w:tblGrid>
        <w:gridCol w:w="1434"/>
        <w:gridCol w:w="5055"/>
        <w:gridCol w:w="2528"/>
      </w:tblGrid>
      <w:tr w:rsidR="00DC33F2" w:rsidRPr="00B41614" w14:paraId="1715F7B7" w14:textId="77777777" w:rsidTr="00AD478D">
        <w:trPr>
          <w:cantSplit/>
          <w:tblHeader/>
        </w:trPr>
        <w:tc>
          <w:tcPr>
            <w:tcW w:w="795" w:type="pct"/>
            <w:vAlign w:val="center"/>
          </w:tcPr>
          <w:p w14:paraId="64C34523" w14:textId="77777777" w:rsidR="00DC33F2" w:rsidRPr="00B41614" w:rsidRDefault="00DC33F2" w:rsidP="008E64A9">
            <w:pPr>
              <w:pStyle w:val="In-tableHeading"/>
              <w:jc w:val="center"/>
            </w:pPr>
            <w:r w:rsidRPr="00B41614">
              <w:t>Trial ID</w:t>
            </w:r>
          </w:p>
        </w:tc>
        <w:tc>
          <w:tcPr>
            <w:tcW w:w="2803" w:type="pct"/>
            <w:vAlign w:val="center"/>
          </w:tcPr>
          <w:p w14:paraId="32402ECD" w14:textId="77777777" w:rsidR="00DC33F2" w:rsidRPr="00B41614" w:rsidRDefault="00DC33F2" w:rsidP="008E64A9">
            <w:pPr>
              <w:pStyle w:val="In-tableHeading"/>
            </w:pPr>
            <w:r w:rsidRPr="00B41614">
              <w:t>Protocol title/ Publication title</w:t>
            </w:r>
          </w:p>
        </w:tc>
        <w:tc>
          <w:tcPr>
            <w:tcW w:w="1402" w:type="pct"/>
            <w:vAlign w:val="center"/>
          </w:tcPr>
          <w:p w14:paraId="63503534" w14:textId="77777777" w:rsidR="00DC33F2" w:rsidRPr="00B41614" w:rsidRDefault="00DC33F2" w:rsidP="008E64A9">
            <w:pPr>
              <w:pStyle w:val="In-tableHeading"/>
            </w:pPr>
            <w:r w:rsidRPr="00B41614">
              <w:t>Publication citation</w:t>
            </w:r>
          </w:p>
        </w:tc>
      </w:tr>
      <w:tr w:rsidR="00DC33F2" w:rsidRPr="00CB38A8" w14:paraId="1C4D01ED" w14:textId="77777777" w:rsidTr="00AB15A0">
        <w:trPr>
          <w:cantSplit/>
        </w:trPr>
        <w:tc>
          <w:tcPr>
            <w:tcW w:w="795" w:type="pct"/>
            <w:vMerge w:val="restart"/>
          </w:tcPr>
          <w:p w14:paraId="40CCE991" w14:textId="77777777" w:rsidR="00DC33F2" w:rsidRPr="00CB38A8" w:rsidRDefault="00DC33F2" w:rsidP="008E64A9">
            <w:pPr>
              <w:pStyle w:val="TableText0"/>
              <w:rPr>
                <w:rFonts w:ascii="Times" w:hAnsi="Times"/>
              </w:rPr>
            </w:pPr>
            <w:r>
              <w:t>CORRECT</w:t>
            </w:r>
          </w:p>
        </w:tc>
        <w:tc>
          <w:tcPr>
            <w:tcW w:w="2803" w:type="pct"/>
            <w:tcBorders>
              <w:bottom w:val="nil"/>
            </w:tcBorders>
            <w:vAlign w:val="center"/>
          </w:tcPr>
          <w:p w14:paraId="10294176" w14:textId="77777777" w:rsidR="00DC33F2" w:rsidRPr="00AB6248" w:rsidRDefault="00DC33F2" w:rsidP="008E64A9">
            <w:pPr>
              <w:pStyle w:val="TableText0"/>
            </w:pPr>
            <w:r>
              <w:t>A randomised, double-blind, placebo-controlled phase III study of regorafenib plus BSC versus placebo plus BSC in patients with metastatic colorectal cancer (CRC) who have progressed after standard therapy.</w:t>
            </w:r>
          </w:p>
        </w:tc>
        <w:tc>
          <w:tcPr>
            <w:tcW w:w="1402" w:type="pct"/>
            <w:tcBorders>
              <w:bottom w:val="nil"/>
            </w:tcBorders>
            <w:vAlign w:val="center"/>
          </w:tcPr>
          <w:p w14:paraId="19C100EB" w14:textId="77777777" w:rsidR="00DC33F2" w:rsidRPr="00CB38A8" w:rsidRDefault="00DC33F2" w:rsidP="008E64A9">
            <w:pPr>
              <w:pStyle w:val="TableText0"/>
              <w:rPr>
                <w:rFonts w:ascii="Times" w:hAnsi="Times"/>
              </w:rPr>
            </w:pPr>
            <w:r>
              <w:t>January 2014</w:t>
            </w:r>
          </w:p>
        </w:tc>
      </w:tr>
      <w:tr w:rsidR="00DC33F2" w:rsidRPr="00CB38A8" w14:paraId="46C07682" w14:textId="77777777" w:rsidTr="0090602D">
        <w:trPr>
          <w:cantSplit/>
        </w:trPr>
        <w:tc>
          <w:tcPr>
            <w:tcW w:w="795" w:type="pct"/>
            <w:vMerge/>
            <w:tcBorders>
              <w:bottom w:val="single" w:sz="4" w:space="0" w:color="auto"/>
            </w:tcBorders>
          </w:tcPr>
          <w:p w14:paraId="514FB0AC" w14:textId="77777777" w:rsidR="00DC33F2" w:rsidRPr="00CB38A8" w:rsidRDefault="00DC33F2" w:rsidP="008E64A9">
            <w:pPr>
              <w:pStyle w:val="TableText0"/>
            </w:pPr>
          </w:p>
        </w:tc>
        <w:tc>
          <w:tcPr>
            <w:tcW w:w="2803" w:type="pct"/>
            <w:tcBorders>
              <w:top w:val="nil"/>
              <w:bottom w:val="single" w:sz="4" w:space="0" w:color="auto"/>
            </w:tcBorders>
            <w:vAlign w:val="center"/>
          </w:tcPr>
          <w:p w14:paraId="79398C93" w14:textId="77777777" w:rsidR="00DC33F2" w:rsidRPr="00E34A35" w:rsidRDefault="00DC33F2" w:rsidP="008E64A9">
            <w:pPr>
              <w:pStyle w:val="TableText0"/>
            </w:pPr>
            <w:r>
              <w:t>Grothey A, Cutsem EV, Sobrero A et al. Regorafenib monotherapy for previously treated metastatic colorectal cancer (CORRECT): an international, multicentre, randomised, placebo-controlled, phase 3 trial.</w:t>
            </w:r>
          </w:p>
        </w:tc>
        <w:tc>
          <w:tcPr>
            <w:tcW w:w="1402" w:type="pct"/>
            <w:tcBorders>
              <w:top w:val="nil"/>
              <w:bottom w:val="single" w:sz="4" w:space="0" w:color="auto"/>
            </w:tcBorders>
            <w:vAlign w:val="center"/>
          </w:tcPr>
          <w:p w14:paraId="2FD2D84B" w14:textId="77777777" w:rsidR="00DC33F2" w:rsidRPr="00E34A35" w:rsidRDefault="00DC33F2" w:rsidP="008E64A9">
            <w:pPr>
              <w:pStyle w:val="TableText0"/>
            </w:pPr>
            <w:r w:rsidRPr="00147B34">
              <w:rPr>
                <w:i/>
                <w:iCs/>
              </w:rPr>
              <w:t>Lancet</w:t>
            </w:r>
            <w:r w:rsidRPr="00246FA9">
              <w:t xml:space="preserve"> (London, England)</w:t>
            </w:r>
            <w:r>
              <w:t xml:space="preserve"> 2013;</w:t>
            </w:r>
            <w:r w:rsidRPr="00246FA9">
              <w:t xml:space="preserve"> 381(9863): 303</w:t>
            </w:r>
            <w:r w:rsidRPr="00246FA9">
              <w:rPr>
                <w:rFonts w:ascii="Cambria Math" w:hAnsi="Cambria Math" w:cs="Cambria Math"/>
              </w:rPr>
              <w:t>‐</w:t>
            </w:r>
            <w:r w:rsidRPr="00246FA9">
              <w:t>312.</w:t>
            </w:r>
          </w:p>
        </w:tc>
      </w:tr>
      <w:tr w:rsidR="00DC33F2" w:rsidRPr="00CB38A8" w14:paraId="5CC708A0" w14:textId="77777777" w:rsidTr="00AB15A0">
        <w:trPr>
          <w:cantSplit/>
        </w:trPr>
        <w:tc>
          <w:tcPr>
            <w:tcW w:w="795" w:type="pct"/>
            <w:vMerge w:val="restart"/>
          </w:tcPr>
          <w:p w14:paraId="608F3B15" w14:textId="77777777" w:rsidR="00DC33F2" w:rsidRPr="00CB38A8" w:rsidRDefault="00DC33F2" w:rsidP="008E64A9">
            <w:pPr>
              <w:pStyle w:val="TableText0"/>
              <w:rPr>
                <w:rFonts w:ascii="Times" w:hAnsi="Times"/>
              </w:rPr>
            </w:pPr>
            <w:r>
              <w:t>CONCUR</w:t>
            </w:r>
          </w:p>
        </w:tc>
        <w:tc>
          <w:tcPr>
            <w:tcW w:w="2803" w:type="pct"/>
            <w:tcBorders>
              <w:bottom w:val="nil"/>
            </w:tcBorders>
            <w:vAlign w:val="center"/>
          </w:tcPr>
          <w:p w14:paraId="71DA7702" w14:textId="77777777" w:rsidR="00DC33F2" w:rsidRPr="00775EA2" w:rsidRDefault="00DC33F2" w:rsidP="008E64A9">
            <w:pPr>
              <w:pStyle w:val="TableText0"/>
            </w:pPr>
            <w:r>
              <w:t>A randomised, double-blind, placebo-controlled phase III study of regorafenib plus best supportive care (BSC) versus placebo plus BSC in Asian subjects with metastatic colorectal cancer (CRC) who have progressed after standard therapy (CONCUR).</w:t>
            </w:r>
          </w:p>
        </w:tc>
        <w:tc>
          <w:tcPr>
            <w:tcW w:w="1402" w:type="pct"/>
            <w:tcBorders>
              <w:bottom w:val="nil"/>
            </w:tcBorders>
            <w:vAlign w:val="center"/>
          </w:tcPr>
          <w:p w14:paraId="65147485" w14:textId="77777777" w:rsidR="00DC33F2" w:rsidRPr="004A2558" w:rsidRDefault="00DC33F2" w:rsidP="008E64A9">
            <w:pPr>
              <w:pStyle w:val="TableText0"/>
            </w:pPr>
            <w:r>
              <w:t>January 2016</w:t>
            </w:r>
          </w:p>
        </w:tc>
      </w:tr>
      <w:tr w:rsidR="00DC33F2" w:rsidRPr="00CB38A8" w14:paraId="79ED468E" w14:textId="77777777" w:rsidTr="00AB15A0">
        <w:trPr>
          <w:cantSplit/>
        </w:trPr>
        <w:tc>
          <w:tcPr>
            <w:tcW w:w="795" w:type="pct"/>
            <w:vMerge/>
          </w:tcPr>
          <w:p w14:paraId="5AA2DB0F" w14:textId="77777777" w:rsidR="00DC33F2" w:rsidRPr="00CB38A8" w:rsidRDefault="00DC33F2" w:rsidP="008E64A9">
            <w:pPr>
              <w:pStyle w:val="TableText0"/>
            </w:pPr>
          </w:p>
        </w:tc>
        <w:tc>
          <w:tcPr>
            <w:tcW w:w="2803" w:type="pct"/>
            <w:tcBorders>
              <w:top w:val="nil"/>
              <w:bottom w:val="nil"/>
            </w:tcBorders>
            <w:vAlign w:val="center"/>
          </w:tcPr>
          <w:p w14:paraId="34BAAEBC" w14:textId="77777777" w:rsidR="00DC33F2" w:rsidRPr="00E34A35" w:rsidRDefault="00DC33F2" w:rsidP="008E64A9">
            <w:pPr>
              <w:pStyle w:val="TableText0"/>
            </w:pPr>
            <w:r>
              <w:t>Li J, Qin S, Xu R et al. Regorafenib plus BSC versus placebo plus BSC in Asian patients with previously treated metastatic colorectal cancer (CONCUR): a randomised, double-blind, placebo-controlled, phase 3 trial.</w:t>
            </w:r>
          </w:p>
        </w:tc>
        <w:tc>
          <w:tcPr>
            <w:tcW w:w="1402" w:type="pct"/>
            <w:tcBorders>
              <w:top w:val="nil"/>
              <w:bottom w:val="nil"/>
            </w:tcBorders>
            <w:vAlign w:val="center"/>
          </w:tcPr>
          <w:p w14:paraId="78CE256E" w14:textId="77777777" w:rsidR="00DC33F2" w:rsidRDefault="00DC33F2" w:rsidP="008E64A9">
            <w:pPr>
              <w:pStyle w:val="TableText0"/>
            </w:pPr>
            <w:r w:rsidRPr="00D038E8">
              <w:rPr>
                <w:i/>
                <w:iCs/>
              </w:rPr>
              <w:t>The Lancet Oncology</w:t>
            </w:r>
            <w:r>
              <w:t xml:space="preserve"> </w:t>
            </w:r>
            <w:r w:rsidRPr="00D038E8">
              <w:t>2015</w:t>
            </w:r>
            <w:r>
              <w:rPr>
                <w:i/>
                <w:iCs/>
              </w:rPr>
              <w:t xml:space="preserve">; </w:t>
            </w:r>
            <w:r>
              <w:t>16(6): 619</w:t>
            </w:r>
            <w:r>
              <w:rPr>
                <w:rFonts w:ascii="Cambria Math" w:hAnsi="Cambria Math" w:cs="Cambria Math"/>
              </w:rPr>
              <w:t>‐</w:t>
            </w:r>
            <w:r>
              <w:t>629.</w:t>
            </w:r>
          </w:p>
          <w:p w14:paraId="177EE393" w14:textId="77777777" w:rsidR="00DC33F2" w:rsidRPr="00CB38A8" w:rsidRDefault="00DC33F2" w:rsidP="008E64A9">
            <w:pPr>
              <w:pStyle w:val="TableText0"/>
              <w:rPr>
                <w:i/>
              </w:rPr>
            </w:pPr>
          </w:p>
        </w:tc>
      </w:tr>
      <w:tr w:rsidR="00DC33F2" w:rsidRPr="00CB38A8" w14:paraId="60A09403" w14:textId="77777777" w:rsidTr="00AB15A0">
        <w:trPr>
          <w:cantSplit/>
        </w:trPr>
        <w:tc>
          <w:tcPr>
            <w:tcW w:w="795" w:type="pct"/>
            <w:vMerge/>
            <w:tcBorders>
              <w:bottom w:val="nil"/>
            </w:tcBorders>
          </w:tcPr>
          <w:p w14:paraId="1EB8B2B8" w14:textId="77777777" w:rsidR="00DC33F2" w:rsidRPr="00CB38A8" w:rsidRDefault="00DC33F2" w:rsidP="008E64A9">
            <w:pPr>
              <w:pStyle w:val="TableText0"/>
            </w:pPr>
          </w:p>
        </w:tc>
        <w:tc>
          <w:tcPr>
            <w:tcW w:w="2803" w:type="pct"/>
            <w:tcBorders>
              <w:top w:val="nil"/>
              <w:bottom w:val="nil"/>
            </w:tcBorders>
            <w:vAlign w:val="center"/>
          </w:tcPr>
          <w:p w14:paraId="2EACFD82" w14:textId="77777777" w:rsidR="0090602D" w:rsidRPr="00804917" w:rsidRDefault="00DC33F2" w:rsidP="008E64A9">
            <w:pPr>
              <w:pStyle w:val="TableText0"/>
            </w:pPr>
            <w:r>
              <w:t>Li J, Qin S, Yau T et al. Concur: a Randomized, Double-Blind, Placebo-Controlled Phase 3 Study of Regorafenib Monotherapy in Asian Patients with Previously Treated Metastatic Colorectal Cancer (MCRC).</w:t>
            </w:r>
          </w:p>
        </w:tc>
        <w:tc>
          <w:tcPr>
            <w:tcW w:w="1402" w:type="pct"/>
            <w:tcBorders>
              <w:top w:val="nil"/>
              <w:bottom w:val="nil"/>
            </w:tcBorders>
            <w:vAlign w:val="center"/>
          </w:tcPr>
          <w:p w14:paraId="3D8634B3" w14:textId="77777777" w:rsidR="0090602D" w:rsidRPr="0090602D" w:rsidRDefault="00DC33F2" w:rsidP="008E64A9">
            <w:pPr>
              <w:pStyle w:val="TableText0"/>
            </w:pPr>
            <w:r w:rsidRPr="00D038E8">
              <w:rPr>
                <w:i/>
                <w:iCs/>
              </w:rPr>
              <w:t>Annals of Oncology</w:t>
            </w:r>
            <w:r>
              <w:rPr>
                <w:i/>
                <w:iCs/>
              </w:rPr>
              <w:t xml:space="preserve"> </w:t>
            </w:r>
            <w:r>
              <w:t>2014; 25: ii114</w:t>
            </w:r>
            <w:r w:rsidR="00067723">
              <w:t>-</w:t>
            </w:r>
            <w:r>
              <w:t>.</w:t>
            </w:r>
          </w:p>
        </w:tc>
      </w:tr>
      <w:tr w:rsidR="00DC33F2" w:rsidRPr="00CB38A8" w14:paraId="0ED73B71" w14:textId="77777777" w:rsidTr="00AB15A0">
        <w:trPr>
          <w:cantSplit/>
        </w:trPr>
        <w:tc>
          <w:tcPr>
            <w:tcW w:w="795" w:type="pct"/>
            <w:vMerge w:val="restart"/>
          </w:tcPr>
          <w:p w14:paraId="0B5B20E4" w14:textId="77777777" w:rsidR="00DC33F2" w:rsidRPr="00CB38A8" w:rsidRDefault="00DC33F2" w:rsidP="008E64A9">
            <w:pPr>
              <w:pStyle w:val="TableText0"/>
            </w:pPr>
            <w:bookmarkStart w:id="27" w:name="_Hlk80174522"/>
            <w:r w:rsidRPr="00777DBD">
              <w:t>RECOURSE</w:t>
            </w:r>
          </w:p>
        </w:tc>
        <w:tc>
          <w:tcPr>
            <w:tcW w:w="2803" w:type="pct"/>
            <w:tcBorders>
              <w:bottom w:val="nil"/>
            </w:tcBorders>
            <w:vAlign w:val="center"/>
          </w:tcPr>
          <w:p w14:paraId="42099096" w14:textId="77777777" w:rsidR="00DC33F2" w:rsidRPr="00775EA2" w:rsidRDefault="00DC33F2" w:rsidP="008E64A9">
            <w:pPr>
              <w:pStyle w:val="TableText0"/>
            </w:pPr>
            <w:r w:rsidRPr="00777DBD">
              <w:t xml:space="preserve">Mayer RJ, Cutsem EV, Falcone A et al. Randomized trial of TAS-102 for refractory metastatic colorectal cancer. </w:t>
            </w:r>
          </w:p>
        </w:tc>
        <w:tc>
          <w:tcPr>
            <w:tcW w:w="1402" w:type="pct"/>
            <w:tcBorders>
              <w:bottom w:val="nil"/>
            </w:tcBorders>
            <w:vAlign w:val="center"/>
          </w:tcPr>
          <w:p w14:paraId="03FCA875" w14:textId="77777777" w:rsidR="00DC33F2" w:rsidRPr="00775EA2" w:rsidRDefault="00DC33F2" w:rsidP="008E64A9">
            <w:pPr>
              <w:pStyle w:val="TableText0"/>
            </w:pPr>
            <w:r w:rsidRPr="00777DBD">
              <w:rPr>
                <w:i/>
                <w:iCs/>
              </w:rPr>
              <w:t>NEJM</w:t>
            </w:r>
            <w:r w:rsidRPr="00777DBD">
              <w:t xml:space="preserve"> 2015; 372(20): 1909</w:t>
            </w:r>
            <w:r w:rsidRPr="00777DBD">
              <w:rPr>
                <w:rFonts w:ascii="Cambria Math" w:hAnsi="Cambria Math" w:cs="Cambria Math"/>
              </w:rPr>
              <w:t>‐</w:t>
            </w:r>
            <w:r w:rsidRPr="00777DBD">
              <w:t>1919.</w:t>
            </w:r>
          </w:p>
        </w:tc>
      </w:tr>
      <w:tr w:rsidR="00DC33F2" w:rsidRPr="00CB38A8" w14:paraId="6BAFC37E" w14:textId="77777777" w:rsidTr="00AB15A0">
        <w:trPr>
          <w:cantSplit/>
        </w:trPr>
        <w:tc>
          <w:tcPr>
            <w:tcW w:w="795" w:type="pct"/>
            <w:vMerge/>
            <w:tcBorders>
              <w:bottom w:val="single" w:sz="4" w:space="0" w:color="auto"/>
            </w:tcBorders>
          </w:tcPr>
          <w:p w14:paraId="72101499" w14:textId="77777777" w:rsidR="00DC33F2" w:rsidRPr="00CB38A8" w:rsidRDefault="00DC33F2" w:rsidP="008E64A9">
            <w:pPr>
              <w:pStyle w:val="Tabletext"/>
              <w:keepNext/>
            </w:pPr>
          </w:p>
        </w:tc>
        <w:tc>
          <w:tcPr>
            <w:tcW w:w="2803" w:type="pct"/>
            <w:tcBorders>
              <w:top w:val="nil"/>
              <w:bottom w:val="nil"/>
            </w:tcBorders>
            <w:vAlign w:val="center"/>
          </w:tcPr>
          <w:p w14:paraId="6DF31469" w14:textId="77777777" w:rsidR="00DC33F2" w:rsidRPr="00AC45E8" w:rsidRDefault="00DC33F2" w:rsidP="008E64A9">
            <w:pPr>
              <w:pStyle w:val="TableText0"/>
            </w:pPr>
            <w:r w:rsidRPr="00777DBD">
              <w:t>Yoshino T, Mayer R, Falcone A et al. Results of a Multicenter, Randomized, Double-Blind, Phase III Study of TAS-102 vs. Placebo, with Best Supportive Care (BSC), in Patients (PTS) with Metastatic Colorectal Cancer (MCRC) Refractory to Standard Therapies (RECOURSE).</w:t>
            </w:r>
          </w:p>
        </w:tc>
        <w:tc>
          <w:tcPr>
            <w:tcW w:w="1402" w:type="pct"/>
            <w:tcBorders>
              <w:top w:val="nil"/>
              <w:bottom w:val="nil"/>
            </w:tcBorders>
            <w:vAlign w:val="center"/>
          </w:tcPr>
          <w:p w14:paraId="2162F077" w14:textId="77777777" w:rsidR="00DC33F2" w:rsidRPr="00AC45E8" w:rsidRDefault="00DC33F2" w:rsidP="008E64A9">
            <w:pPr>
              <w:pStyle w:val="TableText0"/>
            </w:pPr>
            <w:r w:rsidRPr="00777DBD">
              <w:rPr>
                <w:i/>
                <w:iCs/>
              </w:rPr>
              <w:t>Annals of Oncology</w:t>
            </w:r>
            <w:r w:rsidRPr="00777DBD">
              <w:t xml:space="preserve"> 2014; 25: ii</w:t>
            </w:r>
            <w:r>
              <w:t>114</w:t>
            </w:r>
            <w:r w:rsidRPr="00777DBD">
              <w:t>.</w:t>
            </w:r>
          </w:p>
        </w:tc>
      </w:tr>
      <w:bookmarkEnd w:id="27"/>
      <w:tr w:rsidR="00DC33F2" w:rsidRPr="00775EA2" w14:paraId="3E40E689" w14:textId="77777777" w:rsidTr="00AB15A0">
        <w:trPr>
          <w:cantSplit/>
        </w:trPr>
        <w:tc>
          <w:tcPr>
            <w:tcW w:w="795" w:type="pct"/>
            <w:vMerge w:val="restart"/>
          </w:tcPr>
          <w:p w14:paraId="50EBB6CD" w14:textId="77777777" w:rsidR="00DC33F2" w:rsidRPr="00CB38A8" w:rsidRDefault="00DC33F2" w:rsidP="008E64A9">
            <w:pPr>
              <w:pStyle w:val="TableText0"/>
            </w:pPr>
            <w:r>
              <w:t>TERRA</w:t>
            </w:r>
          </w:p>
        </w:tc>
        <w:tc>
          <w:tcPr>
            <w:tcW w:w="2803" w:type="pct"/>
            <w:tcBorders>
              <w:bottom w:val="nil"/>
            </w:tcBorders>
            <w:vAlign w:val="center"/>
          </w:tcPr>
          <w:p w14:paraId="7DD0C464" w14:textId="77777777" w:rsidR="00DC33F2" w:rsidRPr="00775EA2" w:rsidRDefault="00DC33F2" w:rsidP="008E64A9">
            <w:pPr>
              <w:pStyle w:val="TableText0"/>
            </w:pPr>
            <w:r>
              <w:t>Xu J, Kim TW, Shen L et al. Results of a randomized, double-blind, placebo-controlled, phase III trial of trifluridine/tipiracil (TAS-102) monotherapy in Asian patients with previously treated metastatic colorectal cancer: the TERRA study.</w:t>
            </w:r>
          </w:p>
        </w:tc>
        <w:tc>
          <w:tcPr>
            <w:tcW w:w="1402" w:type="pct"/>
            <w:tcBorders>
              <w:bottom w:val="nil"/>
            </w:tcBorders>
            <w:vAlign w:val="center"/>
          </w:tcPr>
          <w:p w14:paraId="4D0B1C13" w14:textId="77777777" w:rsidR="00DC33F2" w:rsidRPr="00775EA2" w:rsidRDefault="00DC33F2" w:rsidP="008E64A9">
            <w:pPr>
              <w:pStyle w:val="TableText0"/>
              <w:jc w:val="both"/>
            </w:pPr>
            <w:r w:rsidRPr="00D038E8">
              <w:rPr>
                <w:i/>
                <w:iCs/>
              </w:rPr>
              <w:t>JCO</w:t>
            </w:r>
            <w:r>
              <w:t xml:space="preserve"> 2018; 36(4): 350</w:t>
            </w:r>
            <w:r>
              <w:rPr>
                <w:rFonts w:ascii="Cambria Math" w:hAnsi="Cambria Math" w:cs="Cambria Math"/>
              </w:rPr>
              <w:t>‐</w:t>
            </w:r>
            <w:r>
              <w:t>358.</w:t>
            </w:r>
          </w:p>
        </w:tc>
      </w:tr>
      <w:tr w:rsidR="00DC33F2" w:rsidRPr="00AC45E8" w14:paraId="45001831" w14:textId="77777777" w:rsidTr="00AB15A0">
        <w:trPr>
          <w:cantSplit/>
        </w:trPr>
        <w:tc>
          <w:tcPr>
            <w:tcW w:w="795" w:type="pct"/>
            <w:vMerge/>
            <w:tcBorders>
              <w:bottom w:val="single" w:sz="4" w:space="0" w:color="auto"/>
            </w:tcBorders>
          </w:tcPr>
          <w:p w14:paraId="5AD8E33E" w14:textId="77777777" w:rsidR="00DC33F2" w:rsidRPr="00CB38A8" w:rsidRDefault="00DC33F2" w:rsidP="008E64A9">
            <w:pPr>
              <w:pStyle w:val="Tabletext"/>
              <w:keepNext/>
            </w:pPr>
          </w:p>
        </w:tc>
        <w:tc>
          <w:tcPr>
            <w:tcW w:w="2803" w:type="pct"/>
            <w:tcBorders>
              <w:top w:val="nil"/>
              <w:bottom w:val="single" w:sz="4" w:space="0" w:color="auto"/>
            </w:tcBorders>
            <w:vAlign w:val="center"/>
          </w:tcPr>
          <w:p w14:paraId="4D92BAAF" w14:textId="77777777" w:rsidR="00DC33F2" w:rsidRPr="00AC45E8" w:rsidRDefault="00DC33F2" w:rsidP="008E64A9">
            <w:pPr>
              <w:pStyle w:val="TableText0"/>
            </w:pPr>
            <w:r>
              <w:t>Kim TW, Shen L, Xu JM et al. TERRA: a randomized, double- blind, placebo-controlled phase 3 study of TAS-102 in Asian patients with metastatic colorectal cancer</w:t>
            </w:r>
          </w:p>
        </w:tc>
        <w:tc>
          <w:tcPr>
            <w:tcW w:w="1402" w:type="pct"/>
            <w:tcBorders>
              <w:top w:val="nil"/>
              <w:bottom w:val="single" w:sz="4" w:space="0" w:color="auto"/>
            </w:tcBorders>
            <w:vAlign w:val="center"/>
          </w:tcPr>
          <w:p w14:paraId="11109A67" w14:textId="77777777" w:rsidR="00DC33F2" w:rsidRPr="00AC45E8" w:rsidRDefault="00DC33F2" w:rsidP="008E64A9">
            <w:pPr>
              <w:pStyle w:val="TableText0"/>
            </w:pPr>
            <w:r w:rsidRPr="00B36EBE">
              <w:rPr>
                <w:i/>
                <w:iCs/>
              </w:rPr>
              <w:t>Annals of Oncology</w:t>
            </w:r>
            <w:r>
              <w:t xml:space="preserve"> 2016; 27: vi153.</w:t>
            </w:r>
          </w:p>
        </w:tc>
      </w:tr>
      <w:tr w:rsidR="00DC33F2" w:rsidRPr="00775EA2" w14:paraId="289284E4" w14:textId="77777777" w:rsidTr="00AB15A0">
        <w:trPr>
          <w:cantSplit/>
        </w:trPr>
        <w:tc>
          <w:tcPr>
            <w:tcW w:w="795" w:type="pct"/>
            <w:tcBorders>
              <w:bottom w:val="single" w:sz="4" w:space="0" w:color="auto"/>
            </w:tcBorders>
          </w:tcPr>
          <w:p w14:paraId="2FACE12D" w14:textId="77777777" w:rsidR="00DC33F2" w:rsidRPr="00CB38A8" w:rsidRDefault="00183839" w:rsidP="008E64A9">
            <w:pPr>
              <w:pStyle w:val="TableText0"/>
            </w:pPr>
            <w:r>
              <w:t>J003</w:t>
            </w:r>
          </w:p>
        </w:tc>
        <w:tc>
          <w:tcPr>
            <w:tcW w:w="2803" w:type="pct"/>
            <w:tcBorders>
              <w:bottom w:val="single" w:sz="4" w:space="0" w:color="auto"/>
            </w:tcBorders>
          </w:tcPr>
          <w:p w14:paraId="164738DE" w14:textId="77777777" w:rsidR="00DC33F2" w:rsidRPr="00775EA2" w:rsidRDefault="00DC33F2" w:rsidP="008E64A9">
            <w:pPr>
              <w:pStyle w:val="TableText0"/>
            </w:pPr>
            <w:r w:rsidRPr="00CC5BC9">
              <w:t xml:space="preserve">Yoshino T, Mizunuma N, Yamazaki K et al. TAS-102 monotherapy for pretreated metastatic colorectal cancer: a double-blind, randomised, placebo-controlled phase 2 trial. </w:t>
            </w:r>
          </w:p>
        </w:tc>
        <w:tc>
          <w:tcPr>
            <w:tcW w:w="1402" w:type="pct"/>
            <w:tcBorders>
              <w:bottom w:val="single" w:sz="4" w:space="0" w:color="auto"/>
            </w:tcBorders>
            <w:vAlign w:val="center"/>
          </w:tcPr>
          <w:p w14:paraId="455D54FF" w14:textId="77777777" w:rsidR="00DC33F2" w:rsidRPr="00775EA2" w:rsidRDefault="00DC33F2" w:rsidP="008E64A9">
            <w:pPr>
              <w:pStyle w:val="TableText0"/>
            </w:pPr>
            <w:r w:rsidRPr="00D038E8">
              <w:rPr>
                <w:i/>
                <w:iCs/>
              </w:rPr>
              <w:t>The Lancet Oncology</w:t>
            </w:r>
            <w:r>
              <w:t xml:space="preserve"> 2012; 13(10): 993–1001.</w:t>
            </w:r>
          </w:p>
        </w:tc>
      </w:tr>
    </w:tbl>
    <w:p w14:paraId="1800F8E5" w14:textId="77777777" w:rsidR="00DC33F2" w:rsidRDefault="00DC33F2" w:rsidP="008E64A9">
      <w:pPr>
        <w:pStyle w:val="TableFigureFooter"/>
        <w:keepNext/>
      </w:pPr>
      <w:r>
        <w:t xml:space="preserve">Source: Table 2-6, pp46-48 </w:t>
      </w:r>
      <w:r w:rsidRPr="00D13A3E">
        <w:t xml:space="preserve">of the </w:t>
      </w:r>
      <w:r>
        <w:t>resubmission.</w:t>
      </w:r>
    </w:p>
    <w:p w14:paraId="0F9647D0" w14:textId="051E799F" w:rsidR="00DC33F2" w:rsidRDefault="00DC33F2" w:rsidP="00754394">
      <w:pPr>
        <w:pStyle w:val="TableFigureFooter"/>
        <w:keepNext/>
      </w:pPr>
      <w:r>
        <w:t>BSC = best supportive care, CRC = colorectal cancer</w:t>
      </w:r>
      <w:r w:rsidR="00067723">
        <w:t>.</w:t>
      </w:r>
    </w:p>
    <w:p w14:paraId="134D9F8D" w14:textId="77777777" w:rsidR="00D77851" w:rsidRPr="0017667C" w:rsidRDefault="00DC33F2" w:rsidP="0056650E">
      <w:pPr>
        <w:pStyle w:val="3-BodyText"/>
        <w:jc w:val="left"/>
        <w:rPr>
          <w:rStyle w:val="CommentReference"/>
          <w:rFonts w:eastAsiaTheme="majorEastAsia" w:cstheme="majorBidi"/>
          <w:bCs/>
          <w:szCs w:val="24"/>
        </w:rPr>
      </w:pPr>
      <w:r w:rsidRPr="00B50DB8">
        <w:t xml:space="preserve">The key features of the direct randomised trials are summarised in the </w:t>
      </w:r>
      <w:r>
        <w:t>Table 4.</w:t>
      </w:r>
    </w:p>
    <w:p w14:paraId="23EEA56A" w14:textId="77777777" w:rsidR="00DC33F2" w:rsidRDefault="00DC33F2" w:rsidP="008E64A9">
      <w:pPr>
        <w:pStyle w:val="TableFigureHeading"/>
        <w:rPr>
          <w:rStyle w:val="CommentReference"/>
          <w:b/>
          <w:szCs w:val="24"/>
        </w:rPr>
      </w:pPr>
      <w:r w:rsidRPr="00EC5836">
        <w:rPr>
          <w:rStyle w:val="CommentReference"/>
          <w:b/>
          <w:szCs w:val="24"/>
        </w:rPr>
        <w:t xml:space="preserve">Table </w:t>
      </w:r>
      <w:r>
        <w:rPr>
          <w:rStyle w:val="CommentReference"/>
          <w:b/>
          <w:szCs w:val="24"/>
        </w:rPr>
        <w:t>4</w:t>
      </w:r>
      <w:r w:rsidRPr="00EC5836">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592"/>
        <w:gridCol w:w="813"/>
        <w:gridCol w:w="1701"/>
        <w:gridCol w:w="1134"/>
        <w:gridCol w:w="1701"/>
        <w:gridCol w:w="2076"/>
      </w:tblGrid>
      <w:tr w:rsidR="00DC33F2" w:rsidRPr="00B41614" w14:paraId="1A077905" w14:textId="77777777" w:rsidTr="00AD478D">
        <w:trPr>
          <w:tblHeader/>
        </w:trPr>
        <w:tc>
          <w:tcPr>
            <w:tcW w:w="883" w:type="pct"/>
            <w:shd w:val="clear" w:color="auto" w:fill="auto"/>
            <w:vAlign w:val="center"/>
          </w:tcPr>
          <w:p w14:paraId="154C8809" w14:textId="77777777" w:rsidR="00DC33F2" w:rsidRPr="003D1885" w:rsidRDefault="00DC33F2" w:rsidP="008E64A9">
            <w:pPr>
              <w:pStyle w:val="In-tableHeading"/>
              <w:rPr>
                <w:szCs w:val="20"/>
              </w:rPr>
            </w:pPr>
            <w:r w:rsidRPr="003D1885">
              <w:rPr>
                <w:szCs w:val="20"/>
              </w:rPr>
              <w:t>Trial</w:t>
            </w:r>
          </w:p>
        </w:tc>
        <w:tc>
          <w:tcPr>
            <w:tcW w:w="451" w:type="pct"/>
            <w:shd w:val="clear" w:color="auto" w:fill="auto"/>
            <w:vAlign w:val="center"/>
          </w:tcPr>
          <w:p w14:paraId="340B8169" w14:textId="77777777" w:rsidR="00DC33F2" w:rsidRPr="003D1885" w:rsidRDefault="00DC33F2" w:rsidP="008E64A9">
            <w:pPr>
              <w:pStyle w:val="In-tableHeading"/>
              <w:jc w:val="center"/>
              <w:rPr>
                <w:szCs w:val="20"/>
              </w:rPr>
            </w:pPr>
            <w:r w:rsidRPr="003D1885">
              <w:rPr>
                <w:szCs w:val="20"/>
              </w:rPr>
              <w:t>N</w:t>
            </w:r>
          </w:p>
        </w:tc>
        <w:tc>
          <w:tcPr>
            <w:tcW w:w="943" w:type="pct"/>
            <w:shd w:val="clear" w:color="auto" w:fill="auto"/>
            <w:vAlign w:val="center"/>
          </w:tcPr>
          <w:p w14:paraId="38705F34" w14:textId="77777777" w:rsidR="00DC33F2" w:rsidRPr="003D1885" w:rsidRDefault="00DC33F2" w:rsidP="008E64A9">
            <w:pPr>
              <w:pStyle w:val="In-tableHeading"/>
              <w:jc w:val="center"/>
              <w:rPr>
                <w:szCs w:val="20"/>
              </w:rPr>
            </w:pPr>
            <w:r w:rsidRPr="003D1885">
              <w:rPr>
                <w:szCs w:val="20"/>
              </w:rPr>
              <w:t>Design/ Mean duration of treatment</w:t>
            </w:r>
          </w:p>
        </w:tc>
        <w:tc>
          <w:tcPr>
            <w:tcW w:w="629" w:type="pct"/>
            <w:shd w:val="clear" w:color="auto" w:fill="auto"/>
            <w:vAlign w:val="center"/>
          </w:tcPr>
          <w:p w14:paraId="4A01215C" w14:textId="77777777" w:rsidR="00DC33F2" w:rsidRPr="003D1885" w:rsidRDefault="00DC33F2" w:rsidP="008E64A9">
            <w:pPr>
              <w:pStyle w:val="In-tableHeading"/>
              <w:jc w:val="center"/>
              <w:rPr>
                <w:szCs w:val="20"/>
              </w:rPr>
            </w:pPr>
            <w:r w:rsidRPr="003D1885">
              <w:rPr>
                <w:szCs w:val="20"/>
              </w:rPr>
              <w:t>Risk of bias</w:t>
            </w:r>
          </w:p>
        </w:tc>
        <w:tc>
          <w:tcPr>
            <w:tcW w:w="943" w:type="pct"/>
            <w:shd w:val="clear" w:color="auto" w:fill="auto"/>
            <w:vAlign w:val="center"/>
          </w:tcPr>
          <w:p w14:paraId="2869AD9A" w14:textId="77777777" w:rsidR="00DC33F2" w:rsidRPr="003D1885" w:rsidRDefault="00DC33F2" w:rsidP="008E64A9">
            <w:pPr>
              <w:pStyle w:val="In-tableHeading"/>
              <w:jc w:val="center"/>
              <w:rPr>
                <w:szCs w:val="20"/>
              </w:rPr>
            </w:pPr>
            <w:r w:rsidRPr="003D1885">
              <w:rPr>
                <w:szCs w:val="20"/>
              </w:rPr>
              <w:t>Patient population</w:t>
            </w:r>
          </w:p>
        </w:tc>
        <w:tc>
          <w:tcPr>
            <w:tcW w:w="1151" w:type="pct"/>
            <w:shd w:val="clear" w:color="auto" w:fill="auto"/>
            <w:vAlign w:val="center"/>
          </w:tcPr>
          <w:p w14:paraId="7935A4FD" w14:textId="77777777" w:rsidR="00DC33F2" w:rsidRPr="003D1885" w:rsidRDefault="00DC33F2" w:rsidP="008E64A9">
            <w:pPr>
              <w:pStyle w:val="In-tableHeading"/>
              <w:jc w:val="center"/>
              <w:rPr>
                <w:szCs w:val="20"/>
              </w:rPr>
            </w:pPr>
            <w:r w:rsidRPr="003D1885">
              <w:rPr>
                <w:szCs w:val="20"/>
              </w:rPr>
              <w:t>Outcome(s)</w:t>
            </w:r>
          </w:p>
        </w:tc>
      </w:tr>
      <w:tr w:rsidR="00DC33F2" w:rsidRPr="00B41614" w14:paraId="2BC3B9F3" w14:textId="77777777" w:rsidTr="00AD478D">
        <w:trPr>
          <w:tblHeader/>
        </w:trPr>
        <w:tc>
          <w:tcPr>
            <w:tcW w:w="5000" w:type="pct"/>
            <w:gridSpan w:val="6"/>
            <w:shd w:val="clear" w:color="auto" w:fill="auto"/>
            <w:vAlign w:val="center"/>
          </w:tcPr>
          <w:p w14:paraId="2BBA7914" w14:textId="77777777" w:rsidR="00DC33F2" w:rsidRPr="003D1885" w:rsidRDefault="00DC33F2" w:rsidP="008E64A9">
            <w:pPr>
              <w:pStyle w:val="In-tableHeading"/>
              <w:rPr>
                <w:szCs w:val="20"/>
              </w:rPr>
            </w:pPr>
            <w:r w:rsidRPr="003D1885">
              <w:rPr>
                <w:szCs w:val="20"/>
              </w:rPr>
              <w:t>Regorafenib vs. placebo</w:t>
            </w:r>
          </w:p>
        </w:tc>
      </w:tr>
      <w:tr w:rsidR="00DC33F2" w:rsidRPr="00E2771E" w14:paraId="7CDBB3C9" w14:textId="77777777" w:rsidTr="00AD478D">
        <w:tc>
          <w:tcPr>
            <w:tcW w:w="883" w:type="pct"/>
            <w:shd w:val="clear" w:color="auto" w:fill="auto"/>
            <w:vAlign w:val="center"/>
          </w:tcPr>
          <w:p w14:paraId="0EC17646" w14:textId="77777777" w:rsidR="00DC33F2" w:rsidRPr="003D1885" w:rsidRDefault="00DC33F2" w:rsidP="008E64A9">
            <w:pPr>
              <w:pStyle w:val="TableText0"/>
              <w:rPr>
                <w:szCs w:val="20"/>
                <w:lang w:val="en-US"/>
              </w:rPr>
            </w:pPr>
            <w:r w:rsidRPr="003D1885">
              <w:rPr>
                <w:szCs w:val="20"/>
                <w:lang w:val="en-US"/>
              </w:rPr>
              <w:t>CORRECT</w:t>
            </w:r>
          </w:p>
        </w:tc>
        <w:tc>
          <w:tcPr>
            <w:tcW w:w="451" w:type="pct"/>
            <w:shd w:val="clear" w:color="auto" w:fill="auto"/>
            <w:vAlign w:val="center"/>
          </w:tcPr>
          <w:p w14:paraId="2EE30A7C" w14:textId="77777777" w:rsidR="00DC33F2" w:rsidRPr="003D1885" w:rsidRDefault="00DC33F2" w:rsidP="008E64A9">
            <w:pPr>
              <w:pStyle w:val="TableText0"/>
              <w:jc w:val="center"/>
              <w:rPr>
                <w:szCs w:val="20"/>
                <w:lang w:val="en-US"/>
              </w:rPr>
            </w:pPr>
            <w:r w:rsidRPr="003D1885">
              <w:rPr>
                <w:szCs w:val="20"/>
                <w:lang w:val="en-US"/>
              </w:rPr>
              <w:t>760</w:t>
            </w:r>
          </w:p>
        </w:tc>
        <w:tc>
          <w:tcPr>
            <w:tcW w:w="943" w:type="pct"/>
            <w:shd w:val="clear" w:color="auto" w:fill="auto"/>
            <w:vAlign w:val="center"/>
          </w:tcPr>
          <w:p w14:paraId="57161395" w14:textId="77777777" w:rsidR="00DC33F2" w:rsidRPr="003D1885" w:rsidRDefault="00DC33F2" w:rsidP="008E64A9">
            <w:pPr>
              <w:pStyle w:val="TableText0"/>
              <w:jc w:val="center"/>
              <w:rPr>
                <w:szCs w:val="20"/>
                <w:lang w:val="en-US"/>
              </w:rPr>
            </w:pPr>
            <w:r w:rsidRPr="003D1885">
              <w:rPr>
                <w:szCs w:val="20"/>
                <w:lang w:val="en-US"/>
              </w:rPr>
              <w:t>R, DB</w:t>
            </w:r>
            <w:r w:rsidR="00067723">
              <w:rPr>
                <w:szCs w:val="20"/>
                <w:lang w:val="en-US"/>
              </w:rPr>
              <w:t xml:space="preserve">, </w:t>
            </w:r>
            <w:r w:rsidRPr="003D1885">
              <w:rPr>
                <w:szCs w:val="20"/>
                <w:lang w:val="en-US"/>
              </w:rPr>
              <w:t>MC, MN, PC</w:t>
            </w:r>
          </w:p>
          <w:p w14:paraId="04FA217C" w14:textId="77777777" w:rsidR="00DC33F2" w:rsidRPr="003D1885" w:rsidRDefault="003D1885" w:rsidP="008E64A9">
            <w:pPr>
              <w:pStyle w:val="TableText0"/>
              <w:jc w:val="center"/>
              <w:rPr>
                <w:szCs w:val="20"/>
                <w:lang w:val="en-US"/>
              </w:rPr>
            </w:pPr>
            <w:r>
              <w:rPr>
                <w:rFonts w:cs="Arial"/>
                <w:snapToGrid w:val="0"/>
                <w:szCs w:val="20"/>
                <w:lang w:val="en-US" w:eastAsia="en-US"/>
              </w:rPr>
              <w:t>12</w:t>
            </w:r>
            <w:r w:rsidR="00DC33F2" w:rsidRPr="003D1885">
              <w:rPr>
                <w:rFonts w:cs="Arial"/>
                <w:snapToGrid w:val="0"/>
                <w:szCs w:val="20"/>
                <w:lang w:val="en-US" w:eastAsia="en-US"/>
              </w:rPr>
              <w:t>.</w:t>
            </w:r>
            <w:r>
              <w:rPr>
                <w:rFonts w:cs="Arial"/>
                <w:snapToGrid w:val="0"/>
                <w:szCs w:val="20"/>
                <w:lang w:val="en-US" w:eastAsia="en-US"/>
              </w:rPr>
              <w:t>08</w:t>
            </w:r>
            <w:r w:rsidR="00DC33F2" w:rsidRPr="003D1885">
              <w:rPr>
                <w:rFonts w:cs="Arial"/>
                <w:snapToGrid w:val="0"/>
                <w:szCs w:val="20"/>
                <w:lang w:val="en-US" w:eastAsia="en-US"/>
              </w:rPr>
              <w:t xml:space="preserve"> weeks</w:t>
            </w:r>
          </w:p>
        </w:tc>
        <w:tc>
          <w:tcPr>
            <w:tcW w:w="629" w:type="pct"/>
            <w:shd w:val="clear" w:color="auto" w:fill="auto"/>
            <w:vAlign w:val="center"/>
          </w:tcPr>
          <w:p w14:paraId="0AE34A2C" w14:textId="77777777" w:rsidR="00DC33F2" w:rsidRPr="003D1885" w:rsidRDefault="00DC33F2" w:rsidP="008E64A9">
            <w:pPr>
              <w:pStyle w:val="TableText0"/>
              <w:jc w:val="center"/>
              <w:rPr>
                <w:szCs w:val="20"/>
                <w:lang w:val="en-US"/>
              </w:rPr>
            </w:pPr>
            <w:r w:rsidRPr="003D1885">
              <w:rPr>
                <w:szCs w:val="20"/>
                <w:lang w:val="en-US"/>
              </w:rPr>
              <w:t>Low</w:t>
            </w:r>
          </w:p>
        </w:tc>
        <w:tc>
          <w:tcPr>
            <w:tcW w:w="943" w:type="pct"/>
            <w:shd w:val="clear" w:color="auto" w:fill="auto"/>
            <w:vAlign w:val="center"/>
          </w:tcPr>
          <w:p w14:paraId="4CA12F55" w14:textId="77777777" w:rsidR="00DC33F2" w:rsidRPr="003D1885" w:rsidRDefault="00DC33F2" w:rsidP="008E64A9">
            <w:pPr>
              <w:pStyle w:val="TableText0"/>
              <w:jc w:val="center"/>
              <w:rPr>
                <w:szCs w:val="20"/>
                <w:lang w:val="en-US"/>
              </w:rPr>
            </w:pPr>
            <w:r w:rsidRPr="003D1885">
              <w:rPr>
                <w:szCs w:val="20"/>
              </w:rPr>
              <w:t xml:space="preserve">mCRC, </w:t>
            </w:r>
            <w:r w:rsidRPr="003D1885">
              <w:rPr>
                <w:szCs w:val="20"/>
                <w:lang w:val="en-US"/>
              </w:rPr>
              <w:t>failed ≥ 2 standard therapies</w:t>
            </w:r>
          </w:p>
        </w:tc>
        <w:tc>
          <w:tcPr>
            <w:tcW w:w="1151" w:type="pct"/>
            <w:shd w:val="clear" w:color="auto" w:fill="auto"/>
            <w:vAlign w:val="center"/>
          </w:tcPr>
          <w:p w14:paraId="5EA1B64E" w14:textId="77777777" w:rsidR="00DC33F2" w:rsidRPr="003D1885" w:rsidRDefault="00DC33F2" w:rsidP="008E64A9">
            <w:pPr>
              <w:pStyle w:val="TableText0"/>
              <w:jc w:val="center"/>
              <w:rPr>
                <w:szCs w:val="20"/>
                <w:lang w:val="en-US"/>
              </w:rPr>
            </w:pPr>
            <w:r w:rsidRPr="003D1885">
              <w:rPr>
                <w:szCs w:val="20"/>
                <w:lang w:val="en-US"/>
              </w:rPr>
              <w:t>OS</w:t>
            </w:r>
            <w:r w:rsidR="003D1885">
              <w:rPr>
                <w:szCs w:val="20"/>
                <w:lang w:val="en-US"/>
              </w:rPr>
              <w:t xml:space="preserve">, </w:t>
            </w:r>
            <w:r w:rsidRPr="003D1885">
              <w:rPr>
                <w:szCs w:val="20"/>
                <w:lang w:val="en-US"/>
              </w:rPr>
              <w:t>PFS</w:t>
            </w:r>
            <w:r w:rsidR="003D1885">
              <w:rPr>
                <w:szCs w:val="20"/>
                <w:lang w:val="en-US"/>
              </w:rPr>
              <w:t xml:space="preserve">, </w:t>
            </w:r>
            <w:r w:rsidR="003A4B6C">
              <w:rPr>
                <w:szCs w:val="20"/>
                <w:lang w:val="en-US"/>
              </w:rPr>
              <w:t>HrQoL</w:t>
            </w:r>
            <w:r w:rsidRPr="003D1885">
              <w:rPr>
                <w:szCs w:val="20"/>
                <w:lang w:val="en-US"/>
              </w:rPr>
              <w:t xml:space="preserve"> </w:t>
            </w:r>
          </w:p>
        </w:tc>
      </w:tr>
      <w:tr w:rsidR="00DC33F2" w:rsidRPr="00E2771E" w14:paraId="700E638A" w14:textId="77777777" w:rsidTr="00AD478D">
        <w:tc>
          <w:tcPr>
            <w:tcW w:w="883" w:type="pct"/>
            <w:shd w:val="clear" w:color="auto" w:fill="auto"/>
            <w:vAlign w:val="center"/>
          </w:tcPr>
          <w:p w14:paraId="138D23FA" w14:textId="77777777" w:rsidR="00DC33F2" w:rsidRPr="003D1885" w:rsidRDefault="00DC33F2" w:rsidP="008E64A9">
            <w:pPr>
              <w:pStyle w:val="TableText0"/>
              <w:rPr>
                <w:szCs w:val="20"/>
                <w:lang w:val="en-US"/>
              </w:rPr>
            </w:pPr>
            <w:r w:rsidRPr="003D1885">
              <w:rPr>
                <w:szCs w:val="20"/>
                <w:lang w:val="en-US"/>
              </w:rPr>
              <w:t>CONCUR</w:t>
            </w:r>
          </w:p>
        </w:tc>
        <w:tc>
          <w:tcPr>
            <w:tcW w:w="451" w:type="pct"/>
            <w:shd w:val="clear" w:color="auto" w:fill="auto"/>
            <w:vAlign w:val="center"/>
          </w:tcPr>
          <w:p w14:paraId="28A9EE56" w14:textId="77777777" w:rsidR="00DC33F2" w:rsidRPr="003D1885" w:rsidRDefault="00DC33F2" w:rsidP="008E64A9">
            <w:pPr>
              <w:pStyle w:val="TableText0"/>
              <w:jc w:val="center"/>
              <w:rPr>
                <w:szCs w:val="20"/>
                <w:lang w:val="en-US"/>
              </w:rPr>
            </w:pPr>
            <w:r w:rsidRPr="003D1885">
              <w:rPr>
                <w:szCs w:val="20"/>
                <w:lang w:val="en-US"/>
              </w:rPr>
              <w:t>204</w:t>
            </w:r>
          </w:p>
        </w:tc>
        <w:tc>
          <w:tcPr>
            <w:tcW w:w="943" w:type="pct"/>
            <w:shd w:val="clear" w:color="auto" w:fill="auto"/>
            <w:vAlign w:val="center"/>
          </w:tcPr>
          <w:p w14:paraId="1A291BC8" w14:textId="77777777" w:rsidR="00DC33F2" w:rsidRPr="003D1885" w:rsidRDefault="00DC33F2" w:rsidP="008E64A9">
            <w:pPr>
              <w:pStyle w:val="TableText0"/>
              <w:jc w:val="center"/>
              <w:rPr>
                <w:szCs w:val="20"/>
                <w:lang w:val="en-US"/>
              </w:rPr>
            </w:pPr>
            <w:r w:rsidRPr="003D1885">
              <w:rPr>
                <w:szCs w:val="20"/>
                <w:lang w:val="en-US"/>
              </w:rPr>
              <w:t>R, DB</w:t>
            </w:r>
            <w:r w:rsidR="00067723">
              <w:rPr>
                <w:szCs w:val="20"/>
                <w:lang w:val="en-US"/>
              </w:rPr>
              <w:t xml:space="preserve">, </w:t>
            </w:r>
            <w:r w:rsidRPr="003D1885">
              <w:rPr>
                <w:szCs w:val="20"/>
                <w:lang w:val="en-US"/>
              </w:rPr>
              <w:t>MC, MN, PC</w:t>
            </w:r>
          </w:p>
          <w:p w14:paraId="361B8686" w14:textId="77777777" w:rsidR="00DC33F2" w:rsidRPr="003D1885" w:rsidRDefault="00DC33F2" w:rsidP="008E64A9">
            <w:pPr>
              <w:pStyle w:val="TableText0"/>
              <w:jc w:val="center"/>
              <w:rPr>
                <w:szCs w:val="20"/>
                <w:lang w:val="en-US"/>
              </w:rPr>
            </w:pPr>
            <w:r w:rsidRPr="003D1885">
              <w:rPr>
                <w:szCs w:val="20"/>
                <w:lang w:val="en-US"/>
              </w:rPr>
              <w:t>17.27 weeks</w:t>
            </w:r>
          </w:p>
        </w:tc>
        <w:tc>
          <w:tcPr>
            <w:tcW w:w="629" w:type="pct"/>
            <w:shd w:val="clear" w:color="auto" w:fill="auto"/>
            <w:vAlign w:val="center"/>
          </w:tcPr>
          <w:p w14:paraId="5904855D" w14:textId="77777777" w:rsidR="00DC33F2" w:rsidRPr="003D1885" w:rsidRDefault="00DC33F2" w:rsidP="008E64A9">
            <w:pPr>
              <w:pStyle w:val="TableText0"/>
              <w:jc w:val="center"/>
              <w:rPr>
                <w:szCs w:val="20"/>
                <w:lang w:val="en-US"/>
              </w:rPr>
            </w:pPr>
            <w:r w:rsidRPr="003D1885">
              <w:rPr>
                <w:szCs w:val="20"/>
                <w:lang w:val="en-US"/>
              </w:rPr>
              <w:t>Low</w:t>
            </w:r>
          </w:p>
        </w:tc>
        <w:tc>
          <w:tcPr>
            <w:tcW w:w="943" w:type="pct"/>
            <w:shd w:val="clear" w:color="auto" w:fill="auto"/>
            <w:vAlign w:val="center"/>
          </w:tcPr>
          <w:p w14:paraId="1D7D33F4" w14:textId="77777777" w:rsidR="00DC33F2" w:rsidRPr="003D1885" w:rsidRDefault="00DC33F2" w:rsidP="008E64A9">
            <w:pPr>
              <w:pStyle w:val="TableText0"/>
              <w:jc w:val="center"/>
              <w:rPr>
                <w:szCs w:val="20"/>
                <w:lang w:val="en-US"/>
              </w:rPr>
            </w:pPr>
            <w:r w:rsidRPr="003D1885">
              <w:rPr>
                <w:szCs w:val="20"/>
              </w:rPr>
              <w:t xml:space="preserve">mCRC, </w:t>
            </w:r>
            <w:r w:rsidRPr="003D1885">
              <w:rPr>
                <w:szCs w:val="20"/>
                <w:lang w:val="en-US"/>
              </w:rPr>
              <w:t>failed ≥ 2 standard therapies</w:t>
            </w:r>
          </w:p>
        </w:tc>
        <w:tc>
          <w:tcPr>
            <w:tcW w:w="1151" w:type="pct"/>
            <w:shd w:val="clear" w:color="auto" w:fill="auto"/>
            <w:vAlign w:val="center"/>
          </w:tcPr>
          <w:p w14:paraId="673ED215" w14:textId="77777777" w:rsidR="00DC33F2" w:rsidRPr="003D1885" w:rsidRDefault="003D1885" w:rsidP="008E64A9">
            <w:pPr>
              <w:pStyle w:val="Default"/>
              <w:keepNext/>
              <w:jc w:val="center"/>
              <w:rPr>
                <w:rFonts w:ascii="Arial Narrow" w:hAnsi="Arial Narrow"/>
                <w:sz w:val="20"/>
                <w:szCs w:val="20"/>
                <w:lang w:val="en-US"/>
              </w:rPr>
            </w:pPr>
            <w:r w:rsidRPr="003D1885">
              <w:rPr>
                <w:rFonts w:ascii="Arial Narrow" w:eastAsiaTheme="majorEastAsia" w:hAnsi="Arial Narrow" w:cstheme="majorBidi"/>
                <w:bCs/>
                <w:color w:val="auto"/>
                <w:sz w:val="20"/>
                <w:szCs w:val="20"/>
                <w:lang w:val="en-US"/>
              </w:rPr>
              <w:t xml:space="preserve">OS, PFS, </w:t>
            </w:r>
            <w:r w:rsidR="003A4B6C">
              <w:rPr>
                <w:rFonts w:ascii="Arial Narrow" w:eastAsiaTheme="majorEastAsia" w:hAnsi="Arial Narrow" w:cstheme="majorBidi"/>
                <w:bCs/>
                <w:color w:val="auto"/>
                <w:sz w:val="20"/>
                <w:szCs w:val="20"/>
                <w:lang w:val="en-US"/>
              </w:rPr>
              <w:t>HrQoL</w:t>
            </w:r>
            <w:r w:rsidRPr="003D1885">
              <w:rPr>
                <w:rFonts w:ascii="Arial Narrow" w:eastAsiaTheme="majorEastAsia" w:hAnsi="Arial Narrow" w:cstheme="majorBidi"/>
                <w:bCs/>
                <w:color w:val="auto"/>
                <w:sz w:val="20"/>
                <w:szCs w:val="20"/>
                <w:lang w:val="en-US"/>
              </w:rPr>
              <w:t xml:space="preserve"> </w:t>
            </w:r>
          </w:p>
        </w:tc>
      </w:tr>
      <w:tr w:rsidR="00DC33F2" w:rsidRPr="00E2771E" w14:paraId="65C209CD" w14:textId="77777777" w:rsidTr="00AD478D">
        <w:tc>
          <w:tcPr>
            <w:tcW w:w="883" w:type="pct"/>
            <w:shd w:val="clear" w:color="auto" w:fill="auto"/>
            <w:vAlign w:val="center"/>
          </w:tcPr>
          <w:p w14:paraId="730DA542" w14:textId="77777777" w:rsidR="00DC33F2" w:rsidRPr="003D1885" w:rsidRDefault="00DC33F2" w:rsidP="008E64A9">
            <w:pPr>
              <w:pStyle w:val="TableText0"/>
              <w:rPr>
                <w:szCs w:val="20"/>
                <w:lang w:val="en-US"/>
              </w:rPr>
            </w:pPr>
            <w:r w:rsidRPr="003D1885">
              <w:rPr>
                <w:szCs w:val="20"/>
                <w:lang w:val="en-US"/>
              </w:rPr>
              <w:t>Meta-analysis</w:t>
            </w:r>
          </w:p>
        </w:tc>
        <w:tc>
          <w:tcPr>
            <w:tcW w:w="451" w:type="pct"/>
            <w:shd w:val="clear" w:color="auto" w:fill="auto"/>
            <w:vAlign w:val="center"/>
          </w:tcPr>
          <w:p w14:paraId="6D89C631" w14:textId="77777777" w:rsidR="00DC33F2" w:rsidRPr="003D1885" w:rsidRDefault="00DC33F2" w:rsidP="008E64A9">
            <w:pPr>
              <w:pStyle w:val="TableText0"/>
              <w:jc w:val="center"/>
              <w:rPr>
                <w:szCs w:val="20"/>
                <w:lang w:val="en-US"/>
              </w:rPr>
            </w:pPr>
            <w:r w:rsidRPr="003D1885">
              <w:rPr>
                <w:szCs w:val="20"/>
                <w:lang w:val="en-US"/>
              </w:rPr>
              <w:t>961</w:t>
            </w:r>
          </w:p>
        </w:tc>
        <w:tc>
          <w:tcPr>
            <w:tcW w:w="3666" w:type="pct"/>
            <w:gridSpan w:val="4"/>
            <w:shd w:val="clear" w:color="auto" w:fill="auto"/>
            <w:vAlign w:val="center"/>
          </w:tcPr>
          <w:p w14:paraId="59853152" w14:textId="77777777" w:rsidR="00DC33F2" w:rsidRPr="003D1885" w:rsidRDefault="00DC33F2" w:rsidP="008E64A9">
            <w:pPr>
              <w:pStyle w:val="TableText0"/>
              <w:jc w:val="center"/>
              <w:rPr>
                <w:szCs w:val="20"/>
                <w:lang w:val="en-US"/>
              </w:rPr>
            </w:pPr>
            <w:r w:rsidRPr="003D1885">
              <w:rPr>
                <w:szCs w:val="20"/>
                <w:lang w:val="en-US"/>
              </w:rPr>
              <w:t>Included CORRECT and CONCUR; assessed OS and PFS</w:t>
            </w:r>
          </w:p>
        </w:tc>
      </w:tr>
      <w:tr w:rsidR="00DC33F2" w:rsidRPr="00E2771E" w14:paraId="534B538C" w14:textId="77777777" w:rsidTr="00AD478D">
        <w:tc>
          <w:tcPr>
            <w:tcW w:w="5000" w:type="pct"/>
            <w:gridSpan w:val="6"/>
            <w:shd w:val="clear" w:color="auto" w:fill="auto"/>
            <w:vAlign w:val="center"/>
          </w:tcPr>
          <w:p w14:paraId="5FFEF6B4" w14:textId="77777777" w:rsidR="00DC33F2" w:rsidRPr="003D1885" w:rsidRDefault="00DC33F2" w:rsidP="008E64A9">
            <w:pPr>
              <w:pStyle w:val="TableText0"/>
              <w:rPr>
                <w:szCs w:val="20"/>
                <w:lang w:val="en-US"/>
              </w:rPr>
            </w:pPr>
            <w:r w:rsidRPr="003D1885">
              <w:rPr>
                <w:b/>
                <w:bCs w:val="0"/>
                <w:szCs w:val="20"/>
              </w:rPr>
              <w:t>Trifluridine/tipiracil vs. placebo</w:t>
            </w:r>
          </w:p>
        </w:tc>
      </w:tr>
      <w:tr w:rsidR="00DC33F2" w:rsidRPr="00E2771E" w14:paraId="2B22A0E1" w14:textId="77777777" w:rsidTr="00AD478D">
        <w:tc>
          <w:tcPr>
            <w:tcW w:w="883" w:type="pct"/>
            <w:shd w:val="clear" w:color="auto" w:fill="auto"/>
            <w:vAlign w:val="center"/>
          </w:tcPr>
          <w:p w14:paraId="0BD0FAE1" w14:textId="77777777" w:rsidR="00DC33F2" w:rsidRPr="003D1885" w:rsidRDefault="00DC33F2" w:rsidP="008E64A9">
            <w:pPr>
              <w:pStyle w:val="TableText0"/>
              <w:rPr>
                <w:szCs w:val="20"/>
                <w:lang w:val="en-US"/>
              </w:rPr>
            </w:pPr>
            <w:r w:rsidRPr="003D1885">
              <w:rPr>
                <w:szCs w:val="20"/>
                <w:lang w:val="en-US"/>
              </w:rPr>
              <w:t>RECOURSE</w:t>
            </w:r>
          </w:p>
        </w:tc>
        <w:tc>
          <w:tcPr>
            <w:tcW w:w="451" w:type="pct"/>
            <w:shd w:val="clear" w:color="auto" w:fill="auto"/>
            <w:vAlign w:val="center"/>
          </w:tcPr>
          <w:p w14:paraId="6B35351F" w14:textId="77777777" w:rsidR="00DC33F2" w:rsidRPr="003D1885" w:rsidRDefault="00DC33F2" w:rsidP="008E64A9">
            <w:pPr>
              <w:pStyle w:val="TableText0"/>
              <w:jc w:val="center"/>
              <w:rPr>
                <w:szCs w:val="20"/>
                <w:lang w:val="en-US"/>
              </w:rPr>
            </w:pPr>
            <w:r w:rsidRPr="003D1885">
              <w:rPr>
                <w:szCs w:val="20"/>
                <w:lang w:val="en-US"/>
              </w:rPr>
              <w:t>800</w:t>
            </w:r>
          </w:p>
        </w:tc>
        <w:tc>
          <w:tcPr>
            <w:tcW w:w="943" w:type="pct"/>
            <w:shd w:val="clear" w:color="auto" w:fill="auto"/>
            <w:vAlign w:val="center"/>
          </w:tcPr>
          <w:p w14:paraId="7343C69E" w14:textId="77777777" w:rsidR="00DC33F2" w:rsidRPr="003D1885" w:rsidRDefault="00DC33F2" w:rsidP="008E64A9">
            <w:pPr>
              <w:pStyle w:val="TableText0"/>
              <w:jc w:val="center"/>
              <w:rPr>
                <w:szCs w:val="20"/>
                <w:lang w:val="en-US"/>
              </w:rPr>
            </w:pPr>
            <w:r w:rsidRPr="003D1885">
              <w:rPr>
                <w:szCs w:val="20"/>
                <w:lang w:val="en-US"/>
              </w:rPr>
              <w:t>R, DB</w:t>
            </w:r>
            <w:r w:rsidR="00067723">
              <w:rPr>
                <w:szCs w:val="20"/>
                <w:lang w:val="en-US"/>
              </w:rPr>
              <w:t xml:space="preserve">, </w:t>
            </w:r>
            <w:r w:rsidRPr="003D1885">
              <w:rPr>
                <w:szCs w:val="20"/>
                <w:lang w:val="en-US"/>
              </w:rPr>
              <w:t>MC, MN, PC</w:t>
            </w:r>
          </w:p>
          <w:p w14:paraId="0A278C05" w14:textId="77777777" w:rsidR="00DC33F2" w:rsidRPr="003D1885" w:rsidRDefault="003D1885" w:rsidP="008E64A9">
            <w:pPr>
              <w:pStyle w:val="TableText0"/>
              <w:jc w:val="center"/>
              <w:rPr>
                <w:szCs w:val="20"/>
                <w:lang w:val="en-US"/>
              </w:rPr>
            </w:pPr>
            <w:r>
              <w:rPr>
                <w:szCs w:val="20"/>
                <w:lang w:val="en-US"/>
              </w:rPr>
              <w:t>12</w:t>
            </w:r>
            <w:r w:rsidR="00DC33F2" w:rsidRPr="003D1885">
              <w:rPr>
                <w:szCs w:val="20"/>
                <w:lang w:val="en-US"/>
              </w:rPr>
              <w:t>.7 weeks</w:t>
            </w:r>
          </w:p>
        </w:tc>
        <w:tc>
          <w:tcPr>
            <w:tcW w:w="629" w:type="pct"/>
            <w:shd w:val="clear" w:color="auto" w:fill="auto"/>
            <w:vAlign w:val="center"/>
          </w:tcPr>
          <w:p w14:paraId="2A334F98" w14:textId="77777777" w:rsidR="00DC33F2" w:rsidRPr="003D1885" w:rsidRDefault="00DC33F2" w:rsidP="008E64A9">
            <w:pPr>
              <w:pStyle w:val="TableText0"/>
              <w:jc w:val="center"/>
              <w:rPr>
                <w:szCs w:val="20"/>
                <w:lang w:val="en-US"/>
              </w:rPr>
            </w:pPr>
            <w:r w:rsidRPr="003D1885">
              <w:rPr>
                <w:szCs w:val="20"/>
                <w:lang w:val="en-US"/>
              </w:rPr>
              <w:t>Low</w:t>
            </w:r>
          </w:p>
        </w:tc>
        <w:tc>
          <w:tcPr>
            <w:tcW w:w="943" w:type="pct"/>
            <w:shd w:val="clear" w:color="auto" w:fill="auto"/>
            <w:vAlign w:val="center"/>
          </w:tcPr>
          <w:p w14:paraId="0D814167" w14:textId="77777777" w:rsidR="00DC33F2" w:rsidRPr="003D1885" w:rsidRDefault="00DC33F2" w:rsidP="008E64A9">
            <w:pPr>
              <w:pStyle w:val="TableText0"/>
              <w:jc w:val="center"/>
              <w:rPr>
                <w:szCs w:val="20"/>
                <w:lang w:val="en-US"/>
              </w:rPr>
            </w:pPr>
            <w:r w:rsidRPr="003D1885">
              <w:rPr>
                <w:szCs w:val="20"/>
              </w:rPr>
              <w:t xml:space="preserve">mCRC, </w:t>
            </w:r>
            <w:r w:rsidRPr="003D1885">
              <w:rPr>
                <w:szCs w:val="20"/>
                <w:lang w:val="en-US"/>
              </w:rPr>
              <w:t>failed ≥ 2 standard therapies</w:t>
            </w:r>
          </w:p>
        </w:tc>
        <w:tc>
          <w:tcPr>
            <w:tcW w:w="1151" w:type="pct"/>
            <w:shd w:val="clear" w:color="auto" w:fill="auto"/>
            <w:vAlign w:val="center"/>
          </w:tcPr>
          <w:p w14:paraId="32B6D553" w14:textId="77777777" w:rsidR="00DC33F2" w:rsidRPr="003D1885" w:rsidRDefault="003D1885" w:rsidP="008E64A9">
            <w:pPr>
              <w:pStyle w:val="TableText0"/>
              <w:jc w:val="center"/>
              <w:rPr>
                <w:szCs w:val="20"/>
                <w:lang w:val="en-US"/>
              </w:rPr>
            </w:pPr>
            <w:r w:rsidRPr="003D1885">
              <w:rPr>
                <w:szCs w:val="20"/>
                <w:lang w:val="en-US"/>
              </w:rPr>
              <w:t>OS</w:t>
            </w:r>
            <w:r>
              <w:rPr>
                <w:szCs w:val="20"/>
                <w:lang w:val="en-US"/>
              </w:rPr>
              <w:t xml:space="preserve">, </w:t>
            </w:r>
            <w:r w:rsidRPr="003D1885">
              <w:rPr>
                <w:szCs w:val="20"/>
                <w:lang w:val="en-US"/>
              </w:rPr>
              <w:t>PFS</w:t>
            </w:r>
          </w:p>
        </w:tc>
      </w:tr>
      <w:tr w:rsidR="00DC33F2" w:rsidRPr="00E2771E" w14:paraId="18B5D95A" w14:textId="77777777" w:rsidTr="003D1885">
        <w:tc>
          <w:tcPr>
            <w:tcW w:w="883" w:type="pct"/>
            <w:shd w:val="clear" w:color="auto" w:fill="auto"/>
            <w:vAlign w:val="center"/>
          </w:tcPr>
          <w:p w14:paraId="6A829567" w14:textId="77777777" w:rsidR="00DC33F2" w:rsidRPr="003D1885" w:rsidRDefault="00DC33F2" w:rsidP="008E64A9">
            <w:pPr>
              <w:pStyle w:val="TableText0"/>
              <w:rPr>
                <w:szCs w:val="20"/>
                <w:lang w:val="en-US"/>
              </w:rPr>
            </w:pPr>
            <w:r w:rsidRPr="003D1885">
              <w:rPr>
                <w:szCs w:val="20"/>
                <w:lang w:val="en-US"/>
              </w:rPr>
              <w:t>TERRA</w:t>
            </w:r>
          </w:p>
        </w:tc>
        <w:tc>
          <w:tcPr>
            <w:tcW w:w="451" w:type="pct"/>
            <w:shd w:val="clear" w:color="auto" w:fill="auto"/>
            <w:vAlign w:val="center"/>
          </w:tcPr>
          <w:p w14:paraId="2EAA7D11" w14:textId="77777777" w:rsidR="00DC33F2" w:rsidRPr="003D1885" w:rsidRDefault="00DC33F2" w:rsidP="008E64A9">
            <w:pPr>
              <w:pStyle w:val="TableText0"/>
              <w:jc w:val="center"/>
              <w:rPr>
                <w:szCs w:val="20"/>
                <w:lang w:val="en-US"/>
              </w:rPr>
            </w:pPr>
            <w:r w:rsidRPr="003D1885">
              <w:rPr>
                <w:szCs w:val="20"/>
                <w:lang w:val="en-US"/>
              </w:rPr>
              <w:t>406</w:t>
            </w:r>
          </w:p>
        </w:tc>
        <w:tc>
          <w:tcPr>
            <w:tcW w:w="943" w:type="pct"/>
            <w:shd w:val="clear" w:color="auto" w:fill="auto"/>
            <w:vAlign w:val="center"/>
          </w:tcPr>
          <w:p w14:paraId="5D8CB730" w14:textId="77777777" w:rsidR="00DC33F2" w:rsidRPr="003D1885" w:rsidRDefault="00DC33F2" w:rsidP="008E64A9">
            <w:pPr>
              <w:pStyle w:val="TableText0"/>
              <w:jc w:val="center"/>
              <w:rPr>
                <w:szCs w:val="20"/>
                <w:lang w:val="en-US"/>
              </w:rPr>
            </w:pPr>
            <w:r w:rsidRPr="003D1885">
              <w:rPr>
                <w:szCs w:val="20"/>
                <w:lang w:val="en-US"/>
              </w:rPr>
              <w:t>R, DB</w:t>
            </w:r>
            <w:r w:rsidR="00067723">
              <w:rPr>
                <w:szCs w:val="20"/>
                <w:lang w:val="en-US"/>
              </w:rPr>
              <w:t xml:space="preserve">, </w:t>
            </w:r>
            <w:r w:rsidRPr="003D1885">
              <w:rPr>
                <w:szCs w:val="20"/>
                <w:lang w:val="en-US"/>
              </w:rPr>
              <w:t>MC, MN, PC</w:t>
            </w:r>
          </w:p>
          <w:p w14:paraId="7A5C873F" w14:textId="77777777" w:rsidR="00DC33F2" w:rsidRPr="003D1885" w:rsidRDefault="00DC33F2" w:rsidP="008E64A9">
            <w:pPr>
              <w:pStyle w:val="TableText0"/>
              <w:jc w:val="center"/>
              <w:rPr>
                <w:szCs w:val="20"/>
                <w:lang w:val="en-US"/>
              </w:rPr>
            </w:pPr>
            <w:r w:rsidRPr="003D1885">
              <w:rPr>
                <w:szCs w:val="20"/>
                <w:lang w:val="en-US"/>
              </w:rPr>
              <w:t>14.93 weeks</w:t>
            </w:r>
          </w:p>
        </w:tc>
        <w:tc>
          <w:tcPr>
            <w:tcW w:w="629" w:type="pct"/>
            <w:shd w:val="clear" w:color="auto" w:fill="auto"/>
            <w:vAlign w:val="center"/>
          </w:tcPr>
          <w:p w14:paraId="4ABD81C9" w14:textId="77777777" w:rsidR="00DC33F2" w:rsidRPr="003D1885" w:rsidRDefault="00DC33F2" w:rsidP="008E64A9">
            <w:pPr>
              <w:pStyle w:val="TableText0"/>
              <w:jc w:val="center"/>
              <w:rPr>
                <w:szCs w:val="20"/>
                <w:lang w:val="en-US"/>
              </w:rPr>
            </w:pPr>
            <w:r w:rsidRPr="003D1885">
              <w:rPr>
                <w:szCs w:val="20"/>
                <w:lang w:val="en-US"/>
              </w:rPr>
              <w:t>Low</w:t>
            </w:r>
          </w:p>
        </w:tc>
        <w:tc>
          <w:tcPr>
            <w:tcW w:w="943" w:type="pct"/>
            <w:shd w:val="clear" w:color="auto" w:fill="auto"/>
            <w:vAlign w:val="center"/>
          </w:tcPr>
          <w:p w14:paraId="6328C646" w14:textId="77777777" w:rsidR="00DC33F2" w:rsidRPr="003D1885" w:rsidRDefault="00DC33F2" w:rsidP="008E64A9">
            <w:pPr>
              <w:pStyle w:val="TableText0"/>
              <w:jc w:val="center"/>
              <w:rPr>
                <w:szCs w:val="20"/>
                <w:lang w:val="en-US"/>
              </w:rPr>
            </w:pPr>
            <w:r w:rsidRPr="003D1885">
              <w:rPr>
                <w:szCs w:val="20"/>
              </w:rPr>
              <w:t xml:space="preserve">mCRC, </w:t>
            </w:r>
            <w:r w:rsidRPr="003D1885">
              <w:rPr>
                <w:szCs w:val="20"/>
                <w:lang w:val="en-US"/>
              </w:rPr>
              <w:t>failed ≥ 2 standard therapies</w:t>
            </w:r>
          </w:p>
        </w:tc>
        <w:tc>
          <w:tcPr>
            <w:tcW w:w="1151" w:type="pct"/>
            <w:shd w:val="clear" w:color="auto" w:fill="auto"/>
            <w:vAlign w:val="center"/>
          </w:tcPr>
          <w:p w14:paraId="2E4B457F" w14:textId="77777777" w:rsidR="00DC33F2" w:rsidRPr="003D1885" w:rsidRDefault="003D1885" w:rsidP="008E64A9">
            <w:pPr>
              <w:pStyle w:val="TableText0"/>
              <w:jc w:val="center"/>
              <w:rPr>
                <w:szCs w:val="20"/>
                <w:lang w:val="en-US"/>
              </w:rPr>
            </w:pPr>
            <w:r w:rsidRPr="003D1885">
              <w:rPr>
                <w:szCs w:val="20"/>
                <w:lang w:val="en-US"/>
              </w:rPr>
              <w:t>OS</w:t>
            </w:r>
            <w:r>
              <w:rPr>
                <w:szCs w:val="20"/>
                <w:lang w:val="en-US"/>
              </w:rPr>
              <w:t xml:space="preserve">, </w:t>
            </w:r>
            <w:r w:rsidRPr="003D1885">
              <w:rPr>
                <w:szCs w:val="20"/>
                <w:lang w:val="en-US"/>
              </w:rPr>
              <w:t>PFS</w:t>
            </w:r>
          </w:p>
        </w:tc>
      </w:tr>
      <w:tr w:rsidR="00DC33F2" w:rsidRPr="00E2771E" w14:paraId="304A84F2" w14:textId="77777777" w:rsidTr="003D1885">
        <w:tc>
          <w:tcPr>
            <w:tcW w:w="883" w:type="pct"/>
            <w:shd w:val="clear" w:color="auto" w:fill="auto"/>
            <w:vAlign w:val="center"/>
          </w:tcPr>
          <w:p w14:paraId="13601EBA" w14:textId="77777777" w:rsidR="00DC33F2" w:rsidRPr="003D1885" w:rsidRDefault="00DC33F2" w:rsidP="008E64A9">
            <w:pPr>
              <w:pStyle w:val="TableText0"/>
              <w:rPr>
                <w:szCs w:val="20"/>
                <w:lang w:val="en-US"/>
              </w:rPr>
            </w:pPr>
            <w:r w:rsidRPr="003D1885">
              <w:rPr>
                <w:szCs w:val="20"/>
                <w:lang w:val="en-US"/>
              </w:rPr>
              <w:t>J003</w:t>
            </w:r>
          </w:p>
        </w:tc>
        <w:tc>
          <w:tcPr>
            <w:tcW w:w="451" w:type="pct"/>
            <w:shd w:val="clear" w:color="auto" w:fill="auto"/>
            <w:vAlign w:val="center"/>
          </w:tcPr>
          <w:p w14:paraId="69876E8E" w14:textId="77777777" w:rsidR="00DC33F2" w:rsidRPr="003D1885" w:rsidRDefault="00DC33F2" w:rsidP="008E64A9">
            <w:pPr>
              <w:pStyle w:val="TableText0"/>
              <w:jc w:val="center"/>
              <w:rPr>
                <w:szCs w:val="20"/>
                <w:lang w:val="en-US"/>
              </w:rPr>
            </w:pPr>
            <w:r w:rsidRPr="003D1885">
              <w:rPr>
                <w:szCs w:val="20"/>
                <w:lang w:val="en-US"/>
              </w:rPr>
              <w:t>172</w:t>
            </w:r>
          </w:p>
        </w:tc>
        <w:tc>
          <w:tcPr>
            <w:tcW w:w="943" w:type="pct"/>
            <w:shd w:val="clear" w:color="auto" w:fill="auto"/>
            <w:vAlign w:val="center"/>
          </w:tcPr>
          <w:p w14:paraId="0BA92524" w14:textId="77777777" w:rsidR="00DC33F2" w:rsidRPr="003D1885" w:rsidRDefault="00DC33F2" w:rsidP="008E64A9">
            <w:pPr>
              <w:pStyle w:val="TableText0"/>
              <w:jc w:val="center"/>
              <w:rPr>
                <w:szCs w:val="20"/>
                <w:lang w:val="en-US"/>
              </w:rPr>
            </w:pPr>
            <w:r w:rsidRPr="003D1885">
              <w:rPr>
                <w:szCs w:val="20"/>
                <w:lang w:val="en-US"/>
              </w:rPr>
              <w:t>R, DB</w:t>
            </w:r>
            <w:r w:rsidR="00067723">
              <w:rPr>
                <w:szCs w:val="20"/>
                <w:lang w:val="en-US"/>
              </w:rPr>
              <w:t xml:space="preserve">, </w:t>
            </w:r>
            <w:r w:rsidRPr="003D1885">
              <w:rPr>
                <w:szCs w:val="20"/>
                <w:lang w:val="en-US"/>
              </w:rPr>
              <w:t>MC, PC</w:t>
            </w:r>
          </w:p>
          <w:p w14:paraId="73028A9A" w14:textId="77777777" w:rsidR="00DC33F2" w:rsidRPr="003D1885" w:rsidRDefault="00DC33F2" w:rsidP="008E64A9">
            <w:pPr>
              <w:pStyle w:val="TableText0"/>
              <w:jc w:val="center"/>
              <w:rPr>
                <w:szCs w:val="20"/>
                <w:lang w:val="en-US"/>
              </w:rPr>
            </w:pPr>
            <w:r w:rsidRPr="003D1885">
              <w:rPr>
                <w:szCs w:val="20"/>
                <w:lang w:val="en-US"/>
              </w:rPr>
              <w:t>NR</w:t>
            </w:r>
          </w:p>
        </w:tc>
        <w:tc>
          <w:tcPr>
            <w:tcW w:w="629" w:type="pct"/>
            <w:shd w:val="clear" w:color="auto" w:fill="auto"/>
            <w:vAlign w:val="center"/>
          </w:tcPr>
          <w:p w14:paraId="438C1C73" w14:textId="77777777" w:rsidR="00DC33F2" w:rsidRPr="003D1885" w:rsidRDefault="00DC33F2" w:rsidP="008E64A9">
            <w:pPr>
              <w:pStyle w:val="TableText0"/>
              <w:jc w:val="center"/>
              <w:rPr>
                <w:szCs w:val="20"/>
                <w:lang w:val="en-US"/>
              </w:rPr>
            </w:pPr>
            <w:r w:rsidRPr="003D1885">
              <w:rPr>
                <w:szCs w:val="20"/>
                <w:lang w:val="en-US"/>
              </w:rPr>
              <w:t>Low</w:t>
            </w:r>
          </w:p>
        </w:tc>
        <w:tc>
          <w:tcPr>
            <w:tcW w:w="943" w:type="pct"/>
            <w:shd w:val="clear" w:color="auto" w:fill="auto"/>
            <w:vAlign w:val="center"/>
          </w:tcPr>
          <w:p w14:paraId="712C2DD5" w14:textId="77777777" w:rsidR="00DC33F2" w:rsidRPr="003D1885" w:rsidRDefault="00DC33F2" w:rsidP="008E64A9">
            <w:pPr>
              <w:pStyle w:val="TableText0"/>
              <w:jc w:val="center"/>
              <w:rPr>
                <w:szCs w:val="20"/>
                <w:lang w:val="en-US"/>
              </w:rPr>
            </w:pPr>
            <w:r w:rsidRPr="003D1885">
              <w:rPr>
                <w:szCs w:val="20"/>
              </w:rPr>
              <w:t xml:space="preserve">mCRC, </w:t>
            </w:r>
            <w:r w:rsidRPr="003D1885">
              <w:rPr>
                <w:szCs w:val="20"/>
                <w:lang w:val="en-US"/>
              </w:rPr>
              <w:t>failed ≥ 2 standard therapies</w:t>
            </w:r>
          </w:p>
        </w:tc>
        <w:tc>
          <w:tcPr>
            <w:tcW w:w="1151" w:type="pct"/>
            <w:shd w:val="clear" w:color="auto" w:fill="auto"/>
            <w:vAlign w:val="center"/>
          </w:tcPr>
          <w:p w14:paraId="46E73E36" w14:textId="77777777" w:rsidR="00DC33F2" w:rsidRPr="003D1885" w:rsidRDefault="003D1885" w:rsidP="008E64A9">
            <w:pPr>
              <w:pStyle w:val="TableText0"/>
              <w:jc w:val="center"/>
              <w:rPr>
                <w:szCs w:val="20"/>
                <w:lang w:val="en-US"/>
              </w:rPr>
            </w:pPr>
            <w:r w:rsidRPr="003D1885">
              <w:rPr>
                <w:szCs w:val="20"/>
                <w:lang w:val="en-US"/>
              </w:rPr>
              <w:t>OS</w:t>
            </w:r>
            <w:r>
              <w:rPr>
                <w:szCs w:val="20"/>
                <w:lang w:val="en-US"/>
              </w:rPr>
              <w:t xml:space="preserve">, </w:t>
            </w:r>
            <w:r w:rsidRPr="003D1885">
              <w:rPr>
                <w:szCs w:val="20"/>
                <w:lang w:val="en-US"/>
              </w:rPr>
              <w:t>PFS</w:t>
            </w:r>
          </w:p>
        </w:tc>
      </w:tr>
      <w:tr w:rsidR="00DC33F2" w:rsidRPr="00E2771E" w14:paraId="4D6756A3" w14:textId="77777777" w:rsidTr="00AD478D">
        <w:tc>
          <w:tcPr>
            <w:tcW w:w="883" w:type="pct"/>
            <w:shd w:val="clear" w:color="auto" w:fill="auto"/>
            <w:vAlign w:val="center"/>
          </w:tcPr>
          <w:p w14:paraId="35DAFDE6" w14:textId="77777777" w:rsidR="00DC33F2" w:rsidRPr="003D1885" w:rsidRDefault="00DC33F2" w:rsidP="008E64A9">
            <w:pPr>
              <w:pStyle w:val="TableText0"/>
              <w:rPr>
                <w:szCs w:val="20"/>
                <w:lang w:val="en-US"/>
              </w:rPr>
            </w:pPr>
            <w:r w:rsidRPr="003D1885">
              <w:rPr>
                <w:szCs w:val="20"/>
                <w:lang w:val="en-US"/>
              </w:rPr>
              <w:t>Meta-analysis</w:t>
            </w:r>
          </w:p>
        </w:tc>
        <w:tc>
          <w:tcPr>
            <w:tcW w:w="451" w:type="pct"/>
            <w:shd w:val="clear" w:color="auto" w:fill="auto"/>
            <w:vAlign w:val="center"/>
          </w:tcPr>
          <w:p w14:paraId="2D4B2D0F" w14:textId="77777777" w:rsidR="00DC33F2" w:rsidRPr="003D1885" w:rsidRDefault="00DC33F2" w:rsidP="008E64A9">
            <w:pPr>
              <w:pStyle w:val="TableText0"/>
              <w:jc w:val="center"/>
              <w:rPr>
                <w:szCs w:val="20"/>
                <w:lang w:val="en-US"/>
              </w:rPr>
            </w:pPr>
            <w:r w:rsidRPr="003D1885">
              <w:rPr>
                <w:szCs w:val="20"/>
                <w:lang w:val="en-US"/>
              </w:rPr>
              <w:t>1378</w:t>
            </w:r>
          </w:p>
        </w:tc>
        <w:tc>
          <w:tcPr>
            <w:tcW w:w="3666" w:type="pct"/>
            <w:gridSpan w:val="4"/>
            <w:shd w:val="clear" w:color="auto" w:fill="auto"/>
            <w:vAlign w:val="center"/>
          </w:tcPr>
          <w:p w14:paraId="380C5D62" w14:textId="77777777" w:rsidR="00DC33F2" w:rsidRPr="003D1885" w:rsidRDefault="00DC33F2" w:rsidP="008E64A9">
            <w:pPr>
              <w:pStyle w:val="TableText0"/>
              <w:jc w:val="center"/>
              <w:rPr>
                <w:szCs w:val="20"/>
                <w:lang w:val="en-US"/>
              </w:rPr>
            </w:pPr>
            <w:r w:rsidRPr="003D1885">
              <w:rPr>
                <w:szCs w:val="20"/>
                <w:lang w:val="en-US"/>
              </w:rPr>
              <w:t>Included RECOURSE, TERRA and J003; assessed OS and PFS</w:t>
            </w:r>
          </w:p>
        </w:tc>
      </w:tr>
    </w:tbl>
    <w:p w14:paraId="1073837C" w14:textId="77777777" w:rsidR="007009ED" w:rsidRDefault="00DC33F2" w:rsidP="008E64A9">
      <w:pPr>
        <w:pStyle w:val="TableFigureFooter"/>
        <w:keepNext/>
      </w:pPr>
      <w:r>
        <w:t>Source: Table 2-7, pp55-57</w:t>
      </w:r>
      <w:r w:rsidR="0057003E">
        <w:t>,</w:t>
      </w:r>
      <w:r w:rsidR="006057AE">
        <w:t xml:space="preserve"> </w:t>
      </w:r>
      <w:r>
        <w:t>Table 2-11, pp74-77</w:t>
      </w:r>
      <w:r w:rsidR="0057003E">
        <w:t xml:space="preserve">, </w:t>
      </w:r>
      <w:r>
        <w:t>Table 2-13, p79</w:t>
      </w:r>
      <w:r w:rsidR="006057AE">
        <w:t xml:space="preserve"> </w:t>
      </w:r>
      <w:r w:rsidRPr="00D13A3E">
        <w:t xml:space="preserve">of the </w:t>
      </w:r>
      <w:r>
        <w:t>resubmission.</w:t>
      </w:r>
    </w:p>
    <w:p w14:paraId="096EAB2A" w14:textId="7D2C6D8C" w:rsidR="00DC33F2" w:rsidRPr="00B74DF7" w:rsidRDefault="00DC33F2" w:rsidP="00754394">
      <w:pPr>
        <w:pStyle w:val="TableFigureFooter"/>
        <w:keepNext/>
      </w:pPr>
      <w:r w:rsidRPr="007009ED">
        <w:rPr>
          <w:snapToGrid/>
        </w:rPr>
        <w:t>DB = double blind</w:t>
      </w:r>
      <w:r w:rsidR="007C51AF" w:rsidRPr="007009ED">
        <w:rPr>
          <w:snapToGrid/>
        </w:rPr>
        <w:t>,</w:t>
      </w:r>
      <w:r w:rsidR="007009ED" w:rsidRPr="007009ED">
        <w:rPr>
          <w:snapToGrid/>
        </w:rPr>
        <w:t xml:space="preserve"> </w:t>
      </w:r>
      <w:r w:rsidR="003A4B6C">
        <w:rPr>
          <w:snapToGrid/>
        </w:rPr>
        <w:t>HrQoL</w:t>
      </w:r>
      <w:r w:rsidR="007009ED" w:rsidRPr="007009ED">
        <w:rPr>
          <w:snapToGrid/>
        </w:rPr>
        <w:t xml:space="preserve"> = health related quality of life</w:t>
      </w:r>
      <w:r w:rsidR="007009ED">
        <w:t>,</w:t>
      </w:r>
      <w:r>
        <w:t xml:space="preserve"> </w:t>
      </w:r>
      <w:r w:rsidRPr="0072416F">
        <w:t>MC</w:t>
      </w:r>
      <w:r>
        <w:t xml:space="preserve"> </w:t>
      </w:r>
      <w:r w:rsidRPr="0072416F">
        <w:t>=</w:t>
      </w:r>
      <w:r>
        <w:t xml:space="preserve"> </w:t>
      </w:r>
      <w:r w:rsidRPr="0072416F">
        <w:t>multi-centre</w:t>
      </w:r>
      <w:r>
        <w:t xml:space="preserve">, </w:t>
      </w:r>
      <w:r w:rsidR="00067723">
        <w:t xml:space="preserve">mCRC = metastatic colorectal cancer, </w:t>
      </w:r>
      <w:r>
        <w:t xml:space="preserve">MN = multi-national, </w:t>
      </w:r>
      <w:r w:rsidR="003D1885">
        <w:t xml:space="preserve">NR = not reported, </w:t>
      </w:r>
      <w:r>
        <w:t xml:space="preserve">OS </w:t>
      </w:r>
      <w:r w:rsidRPr="0072416F">
        <w:t>=</w:t>
      </w:r>
      <w:r>
        <w:t xml:space="preserve"> </w:t>
      </w:r>
      <w:r w:rsidRPr="0072416F">
        <w:t>overall survival</w:t>
      </w:r>
      <w:r>
        <w:t xml:space="preserve">, PC = placebo-controlled, </w:t>
      </w:r>
      <w:r w:rsidRPr="0072416F">
        <w:t>PFS</w:t>
      </w:r>
      <w:r>
        <w:t xml:space="preserve"> </w:t>
      </w:r>
      <w:r w:rsidRPr="0072416F">
        <w:t>=</w:t>
      </w:r>
      <w:r>
        <w:t xml:space="preserve"> </w:t>
      </w:r>
      <w:r w:rsidRPr="0072416F">
        <w:t>progression-free survival</w:t>
      </w:r>
      <w:r>
        <w:t xml:space="preserve">, </w:t>
      </w:r>
      <w:r w:rsidRPr="0072416F">
        <w:t>R</w:t>
      </w:r>
      <w:r>
        <w:t xml:space="preserve"> </w:t>
      </w:r>
      <w:r w:rsidRPr="0072416F">
        <w:t>=</w:t>
      </w:r>
      <w:r>
        <w:t xml:space="preserve"> </w:t>
      </w:r>
      <w:r w:rsidRPr="0072416F">
        <w:t>randomised.</w:t>
      </w:r>
    </w:p>
    <w:p w14:paraId="75A9309D" w14:textId="77777777" w:rsidR="00DC33F2" w:rsidRPr="00354942" w:rsidRDefault="00DC33F2" w:rsidP="00DC33F2">
      <w:pPr>
        <w:pStyle w:val="3-BodyText"/>
      </w:pPr>
      <w:bookmarkStart w:id="28" w:name="_Toc22897641"/>
      <w:bookmarkStart w:id="29" w:name="_Toc22898853"/>
      <w:r w:rsidRPr="004145BC">
        <w:t>Overall, the risk of bias across the five trials was low.</w:t>
      </w:r>
      <w:r>
        <w:t xml:space="preserve"> </w:t>
      </w:r>
      <w:r w:rsidR="00354942">
        <w:t xml:space="preserve">In </w:t>
      </w:r>
      <w:r w:rsidR="000E797E">
        <w:t xml:space="preserve">the </w:t>
      </w:r>
      <w:r w:rsidR="00354942">
        <w:t xml:space="preserve">2014 consideration of regorafenib, the PBAC considered that the CORRECT trial had a low risk of bias. </w:t>
      </w:r>
      <w:r w:rsidRPr="00354942">
        <w:t xml:space="preserve">In November 2016 consideration of trifluridine/tipiracil, the PBAC considered that </w:t>
      </w:r>
      <w:r w:rsidR="00354942">
        <w:t xml:space="preserve">the </w:t>
      </w:r>
      <w:r w:rsidRPr="00354942">
        <w:t>RECOURSE</w:t>
      </w:r>
      <w:r w:rsidR="00354942">
        <w:t xml:space="preserve"> and J003 trials had</w:t>
      </w:r>
      <w:r w:rsidRPr="00354942">
        <w:t xml:space="preserve"> a low risk of bias.</w:t>
      </w:r>
    </w:p>
    <w:p w14:paraId="76BAE660" w14:textId="77777777" w:rsidR="00DC33F2" w:rsidRPr="00C9624D" w:rsidRDefault="00DC33F2" w:rsidP="00DC33F2">
      <w:pPr>
        <w:pStyle w:val="4-SubsectionHeading"/>
      </w:pPr>
      <w:bookmarkStart w:id="30" w:name="_Toc82598855"/>
      <w:r w:rsidRPr="00C9624D">
        <w:t>Comparative effectiveness</w:t>
      </w:r>
      <w:bookmarkEnd w:id="28"/>
      <w:bookmarkEnd w:id="29"/>
      <w:bookmarkEnd w:id="30"/>
    </w:p>
    <w:p w14:paraId="7B24EE14" w14:textId="77777777" w:rsidR="00DC33F2" w:rsidRPr="000E4245" w:rsidRDefault="00DC33F2" w:rsidP="0056650E">
      <w:pPr>
        <w:pStyle w:val="3-BodyText"/>
      </w:pPr>
      <w:r>
        <w:t xml:space="preserve">The </w:t>
      </w:r>
      <w:r w:rsidRPr="001F112B">
        <w:rPr>
          <w:rFonts w:ascii="Calibri" w:hAnsi="Calibri"/>
        </w:rPr>
        <w:t xml:space="preserve">resubmission presented an indirect comparison between regorafenib and trifluridine/tipiracil using placebo as a common reference </w:t>
      </w:r>
      <w:r w:rsidR="00B03283" w:rsidRPr="001F112B">
        <w:rPr>
          <w:rFonts w:ascii="Calibri" w:hAnsi="Calibri"/>
        </w:rPr>
        <w:t>based on</w:t>
      </w:r>
      <w:r w:rsidRPr="001F112B">
        <w:rPr>
          <w:rFonts w:ascii="Calibri" w:hAnsi="Calibri"/>
        </w:rPr>
        <w:t xml:space="preserve"> the outcomes of </w:t>
      </w:r>
      <w:r w:rsidR="00B03283" w:rsidRPr="001F112B">
        <w:rPr>
          <w:rFonts w:ascii="Calibri" w:hAnsi="Calibri"/>
        </w:rPr>
        <w:t xml:space="preserve">the </w:t>
      </w:r>
      <w:r w:rsidRPr="001F112B">
        <w:rPr>
          <w:rFonts w:ascii="Calibri" w:hAnsi="Calibri"/>
        </w:rPr>
        <w:t>CORRECT (</w:t>
      </w:r>
      <w:r w:rsidR="00B03283" w:rsidRPr="001F112B">
        <w:rPr>
          <w:rFonts w:ascii="Calibri" w:hAnsi="Calibri"/>
        </w:rPr>
        <w:t>r</w:t>
      </w:r>
      <w:r w:rsidRPr="001F112B">
        <w:rPr>
          <w:rFonts w:ascii="Calibri" w:hAnsi="Calibri"/>
        </w:rPr>
        <w:t>egorafenib vs placebo) and RECOURSE (</w:t>
      </w:r>
      <w:r w:rsidR="00B03283" w:rsidRPr="001F112B">
        <w:rPr>
          <w:rFonts w:ascii="Calibri" w:hAnsi="Calibri"/>
        </w:rPr>
        <w:t>t</w:t>
      </w:r>
      <w:r w:rsidRPr="001F112B">
        <w:rPr>
          <w:rFonts w:ascii="Calibri" w:hAnsi="Calibri"/>
        </w:rPr>
        <w:t>rifluridine/tipiracil vs placebo) trials.</w:t>
      </w:r>
      <w:r w:rsidR="003E4EFA" w:rsidRPr="001F112B">
        <w:rPr>
          <w:rFonts w:ascii="Calibri" w:hAnsi="Calibri"/>
        </w:rPr>
        <w:t xml:space="preserve"> </w:t>
      </w:r>
      <w:r>
        <w:t xml:space="preserve">An indirect comparison between regorafenib and trifluridine/tipiracil with placebo as a common reference was presented in </w:t>
      </w:r>
      <w:r w:rsidR="00293569">
        <w:t>a</w:t>
      </w:r>
      <w:r>
        <w:t xml:space="preserve"> previous trifluridine/tipiracil submission</w:t>
      </w:r>
      <w:r w:rsidR="00293569">
        <w:t xml:space="preserve">. </w:t>
      </w:r>
      <w:r>
        <w:t xml:space="preserve">The PBAC </w:t>
      </w:r>
      <w:r w:rsidR="00D15421">
        <w:t xml:space="preserve">previously </w:t>
      </w:r>
      <w:r w:rsidR="00293569">
        <w:t>noted that</w:t>
      </w:r>
      <w:r>
        <w:t xml:space="preserve"> </w:t>
      </w:r>
      <w:r w:rsidR="00293569">
        <w:t>“</w:t>
      </w:r>
      <w:r>
        <w:t>the efficacy of trifluridine/tipiracil appears to be similar to that for regorafenib, but that trifluridine/tipiracil appears to be better tolerated</w:t>
      </w:r>
      <w:r w:rsidR="00293569">
        <w:t>”</w:t>
      </w:r>
      <w:r>
        <w:t xml:space="preserve"> (paragraph 7.7, trifluridine/tipiracil, Public Summary Document, November 2016 PBAC meeting).</w:t>
      </w:r>
    </w:p>
    <w:p w14:paraId="52CE632F" w14:textId="77777777" w:rsidR="00DC33F2" w:rsidRDefault="00DC33F2" w:rsidP="00DC33F2">
      <w:pPr>
        <w:pStyle w:val="3-BodyText"/>
      </w:pPr>
      <w:r>
        <w:t>The results of the main indirect comparison are summarised in Table 5.</w:t>
      </w:r>
    </w:p>
    <w:p w14:paraId="52BFEDE5" w14:textId="77777777" w:rsidR="00DC33F2" w:rsidRPr="005E58F1" w:rsidRDefault="00DC33F2" w:rsidP="008E64A9">
      <w:pPr>
        <w:pStyle w:val="TableFigureHeading"/>
      </w:pPr>
      <w:r w:rsidRPr="002278A0">
        <w:rPr>
          <w:rStyle w:val="CommentReference"/>
          <w:b/>
          <w:szCs w:val="24"/>
        </w:rPr>
        <w:t xml:space="preserve">Table </w:t>
      </w:r>
      <w:r>
        <w:rPr>
          <w:rStyle w:val="CommentReference"/>
          <w:b/>
          <w:szCs w:val="24"/>
        </w:rPr>
        <w:t>5</w:t>
      </w:r>
      <w:r w:rsidRPr="002278A0">
        <w:rPr>
          <w:rStyle w:val="CommentReference"/>
          <w:b/>
          <w:szCs w:val="24"/>
        </w:rPr>
        <w:t xml:space="preserve">: Results of </w:t>
      </w:r>
      <w:r>
        <w:rPr>
          <w:rStyle w:val="CommentReference"/>
          <w:b/>
          <w:szCs w:val="24"/>
        </w:rPr>
        <w:t>indirect comparison of regorafenib and trifluridine/tipiracil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Results of indirect comparison of regorafenib and trifluridine/tipiracil"/>
      </w:tblPr>
      <w:tblGrid>
        <w:gridCol w:w="1269"/>
        <w:gridCol w:w="1681"/>
        <w:gridCol w:w="1702"/>
        <w:gridCol w:w="1491"/>
        <w:gridCol w:w="1240"/>
        <w:gridCol w:w="1634"/>
      </w:tblGrid>
      <w:tr w:rsidR="00DC33F2" w:rsidRPr="00E05630" w14:paraId="2195F871" w14:textId="77777777" w:rsidTr="00AD478D">
        <w:trPr>
          <w:tblHeader/>
        </w:trPr>
        <w:tc>
          <w:tcPr>
            <w:tcW w:w="1269" w:type="dxa"/>
            <w:vAlign w:val="center"/>
          </w:tcPr>
          <w:p w14:paraId="281652A5" w14:textId="77777777" w:rsidR="00DC33F2" w:rsidRPr="00E05630" w:rsidRDefault="00DC33F2" w:rsidP="008E64A9">
            <w:pPr>
              <w:pStyle w:val="In-tableHeading"/>
            </w:pPr>
            <w:r>
              <w:t>Trial</w:t>
            </w:r>
          </w:p>
        </w:tc>
        <w:tc>
          <w:tcPr>
            <w:tcW w:w="1681" w:type="dxa"/>
            <w:shd w:val="clear" w:color="auto" w:fill="auto"/>
            <w:vAlign w:val="center"/>
          </w:tcPr>
          <w:p w14:paraId="7B6D3F5B" w14:textId="77777777" w:rsidR="00DC33F2" w:rsidRPr="00E05630" w:rsidRDefault="00DC33F2" w:rsidP="008E64A9">
            <w:pPr>
              <w:pStyle w:val="In-tableHeading"/>
              <w:jc w:val="center"/>
            </w:pPr>
            <w:r w:rsidRPr="00E05630">
              <w:t>Outcome</w:t>
            </w:r>
          </w:p>
        </w:tc>
        <w:tc>
          <w:tcPr>
            <w:tcW w:w="1702" w:type="dxa"/>
            <w:shd w:val="clear" w:color="auto" w:fill="auto"/>
            <w:vAlign w:val="center"/>
          </w:tcPr>
          <w:p w14:paraId="292487D6" w14:textId="77777777" w:rsidR="00DC33F2" w:rsidRPr="00E05630" w:rsidRDefault="00DC33F2" w:rsidP="008E64A9">
            <w:pPr>
              <w:pStyle w:val="In-tableHeading"/>
              <w:jc w:val="center"/>
              <w:rPr>
                <w:iCs/>
              </w:rPr>
            </w:pPr>
            <w:r>
              <w:rPr>
                <w:iCs/>
              </w:rPr>
              <w:t>Regorafenib</w:t>
            </w:r>
          </w:p>
          <w:p w14:paraId="797BE74B" w14:textId="77777777" w:rsidR="00DC33F2" w:rsidRPr="00E05630" w:rsidRDefault="00DC33F2" w:rsidP="008E64A9">
            <w:pPr>
              <w:pStyle w:val="In-tableHeading"/>
              <w:jc w:val="center"/>
            </w:pPr>
            <w:r w:rsidRPr="00E05630">
              <w:rPr>
                <w:iCs/>
              </w:rPr>
              <w:t>n/N (%)</w:t>
            </w:r>
          </w:p>
        </w:tc>
        <w:tc>
          <w:tcPr>
            <w:tcW w:w="1491" w:type="dxa"/>
            <w:shd w:val="clear" w:color="auto" w:fill="auto"/>
            <w:vAlign w:val="center"/>
          </w:tcPr>
          <w:p w14:paraId="21651E2F" w14:textId="77777777" w:rsidR="00DC33F2" w:rsidRPr="00E05630" w:rsidRDefault="00DC33F2" w:rsidP="008E64A9">
            <w:pPr>
              <w:pStyle w:val="In-tableHeading"/>
              <w:jc w:val="center"/>
            </w:pPr>
            <w:r>
              <w:t>Placebo</w:t>
            </w:r>
          </w:p>
          <w:p w14:paraId="3F43C751" w14:textId="77777777" w:rsidR="00DC33F2" w:rsidRPr="00E05630" w:rsidRDefault="00DC33F2" w:rsidP="008E64A9">
            <w:pPr>
              <w:pStyle w:val="In-tableHeading"/>
              <w:jc w:val="center"/>
            </w:pPr>
            <w:r w:rsidRPr="00E05630">
              <w:t>n/N (%)</w:t>
            </w:r>
          </w:p>
        </w:tc>
        <w:tc>
          <w:tcPr>
            <w:tcW w:w="1240" w:type="dxa"/>
            <w:shd w:val="clear" w:color="auto" w:fill="auto"/>
            <w:vAlign w:val="center"/>
          </w:tcPr>
          <w:p w14:paraId="26424AE4" w14:textId="77777777" w:rsidR="00DC33F2" w:rsidRPr="00E05630" w:rsidRDefault="00DC33F2" w:rsidP="008E64A9">
            <w:pPr>
              <w:pStyle w:val="In-tableHeading"/>
              <w:jc w:val="center"/>
            </w:pPr>
            <w:r w:rsidRPr="00E05630">
              <w:t>Absolute difference</w:t>
            </w:r>
          </w:p>
        </w:tc>
        <w:tc>
          <w:tcPr>
            <w:tcW w:w="1634" w:type="dxa"/>
            <w:shd w:val="clear" w:color="auto" w:fill="auto"/>
            <w:vAlign w:val="center"/>
          </w:tcPr>
          <w:p w14:paraId="583FC5D9" w14:textId="77777777" w:rsidR="00DC33F2" w:rsidRPr="00E05630" w:rsidRDefault="00DC33F2" w:rsidP="008E64A9">
            <w:pPr>
              <w:pStyle w:val="In-tableHeading"/>
              <w:jc w:val="center"/>
            </w:pPr>
            <w:r w:rsidRPr="00E05630">
              <w:t>HR (95% CI)</w:t>
            </w:r>
          </w:p>
        </w:tc>
      </w:tr>
      <w:tr w:rsidR="00DC33F2" w:rsidRPr="008123DA" w14:paraId="1FE13231" w14:textId="77777777" w:rsidTr="008E64A9">
        <w:tc>
          <w:tcPr>
            <w:tcW w:w="1269" w:type="dxa"/>
            <w:vMerge w:val="restart"/>
          </w:tcPr>
          <w:p w14:paraId="1168BC07" w14:textId="77777777" w:rsidR="00DC33F2" w:rsidRPr="003F685D" w:rsidRDefault="00DC33F2" w:rsidP="008E64A9">
            <w:pPr>
              <w:pStyle w:val="TableText0"/>
            </w:pPr>
            <w:r>
              <w:t>CORRECT</w:t>
            </w:r>
          </w:p>
        </w:tc>
        <w:tc>
          <w:tcPr>
            <w:tcW w:w="1681" w:type="dxa"/>
            <w:tcBorders>
              <w:bottom w:val="single" w:sz="4" w:space="0" w:color="auto"/>
            </w:tcBorders>
            <w:shd w:val="clear" w:color="auto" w:fill="D9D9D9" w:themeFill="background1" w:themeFillShade="D9"/>
            <w:vAlign w:val="center"/>
          </w:tcPr>
          <w:p w14:paraId="7A021C20" w14:textId="77777777" w:rsidR="00DC33F2" w:rsidRPr="003F685D" w:rsidRDefault="00DC33F2" w:rsidP="008E64A9">
            <w:pPr>
              <w:pStyle w:val="TableText0"/>
            </w:pPr>
            <w:r>
              <w:t>Death events</w:t>
            </w:r>
          </w:p>
        </w:tc>
        <w:tc>
          <w:tcPr>
            <w:tcW w:w="1702" w:type="dxa"/>
            <w:tcBorders>
              <w:bottom w:val="single" w:sz="4" w:space="0" w:color="auto"/>
            </w:tcBorders>
            <w:shd w:val="clear" w:color="auto" w:fill="D9D9D9" w:themeFill="background1" w:themeFillShade="D9"/>
            <w:vAlign w:val="center"/>
          </w:tcPr>
          <w:p w14:paraId="3DFDF1AF" w14:textId="77777777" w:rsidR="00DC33F2" w:rsidRDefault="00DC33F2" w:rsidP="008E64A9">
            <w:pPr>
              <w:pStyle w:val="Default"/>
              <w:keepNext/>
              <w:jc w:val="center"/>
              <w:rPr>
                <w:rFonts w:ascii="Arial Narrow" w:eastAsiaTheme="majorEastAsia" w:hAnsi="Arial Narrow" w:cstheme="majorBidi"/>
                <w:bCs/>
                <w:color w:val="auto"/>
                <w:sz w:val="20"/>
                <w:lang w:val="en-AU"/>
              </w:rPr>
            </w:pPr>
            <w:r w:rsidRPr="00BF37B0">
              <w:rPr>
                <w:rFonts w:ascii="Arial Narrow" w:eastAsiaTheme="majorEastAsia" w:hAnsi="Arial Narrow" w:cstheme="majorBidi"/>
                <w:bCs/>
                <w:color w:val="auto"/>
                <w:sz w:val="20"/>
                <w:lang w:val="en-AU"/>
              </w:rPr>
              <w:t>275/505</w:t>
            </w:r>
          </w:p>
          <w:p w14:paraId="522D9C5E" w14:textId="77777777" w:rsidR="00DC33F2" w:rsidRPr="003F685D" w:rsidRDefault="00DC33F2" w:rsidP="008E64A9">
            <w:pPr>
              <w:pStyle w:val="Default"/>
              <w:keepNext/>
              <w:jc w:val="center"/>
              <w:rPr>
                <w:iCs/>
              </w:rPr>
            </w:pPr>
            <w:r w:rsidRPr="00BF37B0">
              <w:rPr>
                <w:rFonts w:ascii="Arial Narrow" w:eastAsiaTheme="majorEastAsia" w:hAnsi="Arial Narrow" w:cstheme="majorBidi"/>
                <w:bCs/>
                <w:color w:val="auto"/>
                <w:sz w:val="20"/>
                <w:lang w:val="en-AU"/>
              </w:rPr>
              <w:t xml:space="preserve"> (54.5%)</w:t>
            </w:r>
          </w:p>
        </w:tc>
        <w:tc>
          <w:tcPr>
            <w:tcW w:w="1491" w:type="dxa"/>
            <w:tcBorders>
              <w:bottom w:val="single" w:sz="4" w:space="0" w:color="auto"/>
            </w:tcBorders>
            <w:shd w:val="clear" w:color="auto" w:fill="D9D9D9" w:themeFill="background1" w:themeFillShade="D9"/>
            <w:vAlign w:val="center"/>
          </w:tcPr>
          <w:p w14:paraId="3AD49B2A" w14:textId="77777777" w:rsidR="00DC33F2" w:rsidRDefault="00DC33F2" w:rsidP="008E64A9">
            <w:pPr>
              <w:pStyle w:val="TableText0"/>
              <w:jc w:val="center"/>
              <w:rPr>
                <w:bCs w:val="0"/>
              </w:rPr>
            </w:pPr>
            <w:r w:rsidRPr="00F207D5">
              <w:rPr>
                <w:bCs w:val="0"/>
              </w:rPr>
              <w:t xml:space="preserve">157/255 </w:t>
            </w:r>
          </w:p>
          <w:p w14:paraId="09516C02" w14:textId="77777777" w:rsidR="00DC33F2" w:rsidRPr="003F685D" w:rsidRDefault="00DC33F2" w:rsidP="008E64A9">
            <w:pPr>
              <w:pStyle w:val="TableText0"/>
              <w:jc w:val="center"/>
              <w:rPr>
                <w:iCs/>
              </w:rPr>
            </w:pPr>
            <w:r w:rsidRPr="00F207D5">
              <w:rPr>
                <w:bCs w:val="0"/>
              </w:rPr>
              <w:t>(61.6%)</w:t>
            </w:r>
          </w:p>
        </w:tc>
        <w:tc>
          <w:tcPr>
            <w:tcW w:w="1240" w:type="dxa"/>
            <w:tcBorders>
              <w:bottom w:val="single" w:sz="4" w:space="0" w:color="auto"/>
            </w:tcBorders>
            <w:shd w:val="clear" w:color="auto" w:fill="D9D9D9" w:themeFill="background1" w:themeFillShade="D9"/>
            <w:vAlign w:val="center"/>
          </w:tcPr>
          <w:p w14:paraId="13A942B9" w14:textId="77777777" w:rsidR="00DC33F2" w:rsidRPr="00BF37B0" w:rsidRDefault="00DC33F2" w:rsidP="008E64A9">
            <w:pPr>
              <w:pStyle w:val="TableText0"/>
              <w:jc w:val="center"/>
              <w:rPr>
                <w:iCs/>
              </w:rPr>
            </w:pPr>
            <w:r>
              <w:rPr>
                <w:iCs/>
              </w:rPr>
              <w:t>-</w:t>
            </w:r>
          </w:p>
        </w:tc>
        <w:tc>
          <w:tcPr>
            <w:tcW w:w="1634" w:type="dxa"/>
            <w:tcBorders>
              <w:bottom w:val="single" w:sz="4" w:space="0" w:color="auto"/>
            </w:tcBorders>
            <w:shd w:val="clear" w:color="auto" w:fill="D9D9D9" w:themeFill="background1" w:themeFillShade="D9"/>
            <w:vAlign w:val="center"/>
          </w:tcPr>
          <w:p w14:paraId="5F717D4F" w14:textId="77777777" w:rsidR="00DC33F2" w:rsidRPr="00BF37B0" w:rsidRDefault="00DC33F2" w:rsidP="008E64A9">
            <w:pPr>
              <w:pStyle w:val="Default"/>
              <w:keepNext/>
              <w:jc w:val="center"/>
              <w:rPr>
                <w:rFonts w:ascii="Arial Narrow" w:eastAsiaTheme="majorEastAsia" w:hAnsi="Arial Narrow" w:cstheme="majorBidi"/>
                <w:bCs/>
                <w:iCs/>
                <w:color w:val="auto"/>
                <w:sz w:val="20"/>
                <w:lang w:val="en-AU"/>
              </w:rPr>
            </w:pPr>
            <w:r>
              <w:rPr>
                <w:rFonts w:ascii="Arial Narrow" w:eastAsiaTheme="majorEastAsia" w:hAnsi="Arial Narrow" w:cstheme="majorBidi"/>
                <w:bCs/>
                <w:iCs/>
                <w:color w:val="auto"/>
                <w:sz w:val="20"/>
                <w:lang w:val="en-AU"/>
              </w:rPr>
              <w:t>-</w:t>
            </w:r>
          </w:p>
        </w:tc>
      </w:tr>
      <w:tr w:rsidR="00DC33F2" w:rsidRPr="008123DA" w14:paraId="446E176D" w14:textId="77777777" w:rsidTr="008E64A9">
        <w:tc>
          <w:tcPr>
            <w:tcW w:w="1269" w:type="dxa"/>
            <w:vMerge/>
            <w:vAlign w:val="center"/>
          </w:tcPr>
          <w:p w14:paraId="1D4F4A42" w14:textId="77777777" w:rsidR="00DC33F2" w:rsidRDefault="00DC33F2" w:rsidP="008E64A9">
            <w:pPr>
              <w:pStyle w:val="TableText0"/>
            </w:pPr>
          </w:p>
        </w:tc>
        <w:tc>
          <w:tcPr>
            <w:tcW w:w="1681" w:type="dxa"/>
            <w:tcBorders>
              <w:bottom w:val="single" w:sz="4" w:space="0" w:color="auto"/>
            </w:tcBorders>
            <w:shd w:val="clear" w:color="auto" w:fill="D9D9D9" w:themeFill="background1" w:themeFillShade="D9"/>
            <w:vAlign w:val="center"/>
          </w:tcPr>
          <w:p w14:paraId="05E09242" w14:textId="77777777" w:rsidR="00DC33F2" w:rsidRPr="00BF37B0" w:rsidRDefault="00DC33F2" w:rsidP="008E64A9">
            <w:pPr>
              <w:pStyle w:val="Default"/>
              <w:keepNext/>
              <w:rPr>
                <w:rFonts w:ascii="Arial Narrow" w:eastAsiaTheme="majorEastAsia" w:hAnsi="Arial Narrow" w:cstheme="majorBidi"/>
                <w:bCs/>
                <w:color w:val="auto"/>
                <w:sz w:val="20"/>
                <w:lang w:val="en-AU"/>
              </w:rPr>
            </w:pPr>
            <w:r w:rsidRPr="00BF37B0">
              <w:rPr>
                <w:rFonts w:ascii="Arial Narrow" w:eastAsiaTheme="majorEastAsia" w:hAnsi="Arial Narrow" w:cstheme="majorBidi"/>
                <w:bCs/>
                <w:color w:val="auto"/>
                <w:sz w:val="20"/>
                <w:lang w:val="en-AU"/>
              </w:rPr>
              <w:t>Median OS (months) (95% CI)</w:t>
            </w:r>
          </w:p>
        </w:tc>
        <w:tc>
          <w:tcPr>
            <w:tcW w:w="1702" w:type="dxa"/>
            <w:tcBorders>
              <w:bottom w:val="single" w:sz="4" w:space="0" w:color="auto"/>
            </w:tcBorders>
            <w:shd w:val="clear" w:color="auto" w:fill="D9D9D9" w:themeFill="background1" w:themeFillShade="D9"/>
            <w:vAlign w:val="center"/>
          </w:tcPr>
          <w:p w14:paraId="13579E02" w14:textId="77777777" w:rsidR="00DC33F2" w:rsidRDefault="00DC33F2" w:rsidP="008E64A9">
            <w:pPr>
              <w:pStyle w:val="TableText0"/>
              <w:jc w:val="center"/>
              <w:rPr>
                <w:iCs/>
              </w:rPr>
            </w:pPr>
            <w:r>
              <w:t>6.4 (3.6, 11.8)</w:t>
            </w:r>
          </w:p>
        </w:tc>
        <w:tc>
          <w:tcPr>
            <w:tcW w:w="1491" w:type="dxa"/>
            <w:tcBorders>
              <w:bottom w:val="single" w:sz="4" w:space="0" w:color="auto"/>
            </w:tcBorders>
            <w:shd w:val="clear" w:color="auto" w:fill="D9D9D9" w:themeFill="background1" w:themeFillShade="D9"/>
            <w:vAlign w:val="center"/>
          </w:tcPr>
          <w:p w14:paraId="235576C3" w14:textId="77777777" w:rsidR="00DC33F2" w:rsidRDefault="00DC33F2" w:rsidP="008E64A9">
            <w:pPr>
              <w:pStyle w:val="TableText0"/>
              <w:jc w:val="center"/>
              <w:rPr>
                <w:iCs/>
              </w:rPr>
            </w:pPr>
            <w:r w:rsidRPr="00F207D5">
              <w:rPr>
                <w:bCs w:val="0"/>
              </w:rPr>
              <w:t xml:space="preserve">5.0 </w:t>
            </w:r>
            <w:r>
              <w:rPr>
                <w:bCs w:val="0"/>
              </w:rPr>
              <w:t>(</w:t>
            </w:r>
            <w:r w:rsidRPr="00F207D5">
              <w:rPr>
                <w:bCs w:val="0"/>
              </w:rPr>
              <w:t>2.8</w:t>
            </w:r>
            <w:r>
              <w:rPr>
                <w:bCs w:val="0"/>
              </w:rPr>
              <w:t xml:space="preserve">, </w:t>
            </w:r>
            <w:r w:rsidRPr="00F207D5">
              <w:rPr>
                <w:bCs w:val="0"/>
              </w:rPr>
              <w:t>10.4</w:t>
            </w:r>
            <w:r>
              <w:rPr>
                <w:bCs w:val="0"/>
              </w:rPr>
              <w:t>)</w:t>
            </w:r>
          </w:p>
        </w:tc>
        <w:tc>
          <w:tcPr>
            <w:tcW w:w="1240" w:type="dxa"/>
            <w:tcBorders>
              <w:bottom w:val="single" w:sz="4" w:space="0" w:color="auto"/>
            </w:tcBorders>
            <w:shd w:val="clear" w:color="auto" w:fill="D9D9D9" w:themeFill="background1" w:themeFillShade="D9"/>
            <w:vAlign w:val="center"/>
          </w:tcPr>
          <w:p w14:paraId="20B9EDFC" w14:textId="77777777" w:rsidR="00DC33F2" w:rsidRPr="00BF37B0" w:rsidRDefault="00DC33F2" w:rsidP="008E64A9">
            <w:pPr>
              <w:pStyle w:val="TableText0"/>
              <w:jc w:val="center"/>
              <w:rPr>
                <w:iCs/>
              </w:rPr>
            </w:pPr>
            <w:r w:rsidRPr="008A0399">
              <w:rPr>
                <w:i/>
                <w:iCs/>
              </w:rPr>
              <w:t>1.4 months</w:t>
            </w:r>
          </w:p>
        </w:tc>
        <w:tc>
          <w:tcPr>
            <w:tcW w:w="1634" w:type="dxa"/>
            <w:tcBorders>
              <w:bottom w:val="single" w:sz="4" w:space="0" w:color="auto"/>
            </w:tcBorders>
            <w:shd w:val="clear" w:color="auto" w:fill="D9D9D9" w:themeFill="background1" w:themeFillShade="D9"/>
            <w:vAlign w:val="center"/>
          </w:tcPr>
          <w:p w14:paraId="17EB998B" w14:textId="77777777" w:rsidR="00DC33F2" w:rsidRPr="00BF37B0" w:rsidRDefault="00DC33F2" w:rsidP="008E64A9">
            <w:pPr>
              <w:pStyle w:val="Default"/>
              <w:keepNext/>
              <w:jc w:val="center"/>
              <w:rPr>
                <w:rFonts w:ascii="Arial Narrow" w:eastAsiaTheme="majorEastAsia" w:hAnsi="Arial Narrow" w:cstheme="majorBidi"/>
                <w:b/>
                <w:iCs/>
                <w:color w:val="auto"/>
                <w:sz w:val="20"/>
                <w:lang w:val="en-AU"/>
              </w:rPr>
            </w:pPr>
            <w:r w:rsidRPr="00513BAB">
              <w:rPr>
                <w:rFonts w:ascii="Arial Narrow" w:eastAsiaTheme="majorEastAsia" w:hAnsi="Arial Narrow" w:cstheme="majorBidi"/>
                <w:b/>
                <w:color w:val="auto"/>
                <w:sz w:val="20"/>
                <w:lang w:val="en-AU"/>
              </w:rPr>
              <w:t>0.77 (0.64, 0.94)</w:t>
            </w:r>
          </w:p>
        </w:tc>
      </w:tr>
      <w:tr w:rsidR="00DC33F2" w:rsidRPr="008123DA" w14:paraId="16CCBCE5" w14:textId="77777777" w:rsidTr="008E64A9">
        <w:tc>
          <w:tcPr>
            <w:tcW w:w="1269" w:type="dxa"/>
            <w:vMerge/>
            <w:vAlign w:val="center"/>
          </w:tcPr>
          <w:p w14:paraId="4E8597B3" w14:textId="77777777" w:rsidR="00DC33F2" w:rsidRDefault="00DC33F2" w:rsidP="008E64A9">
            <w:pPr>
              <w:pStyle w:val="TableText0"/>
            </w:pPr>
          </w:p>
        </w:tc>
        <w:tc>
          <w:tcPr>
            <w:tcW w:w="1681" w:type="dxa"/>
            <w:tcBorders>
              <w:bottom w:val="single" w:sz="4" w:space="0" w:color="auto"/>
            </w:tcBorders>
            <w:shd w:val="clear" w:color="auto" w:fill="D9D9D9" w:themeFill="background1" w:themeFillShade="D9"/>
            <w:vAlign w:val="center"/>
          </w:tcPr>
          <w:p w14:paraId="76198577" w14:textId="77777777" w:rsidR="00DC33F2" w:rsidRPr="00BF37B0" w:rsidRDefault="00DC33F2" w:rsidP="008E64A9">
            <w:pPr>
              <w:pStyle w:val="Default"/>
              <w:keepNext/>
              <w:rPr>
                <w:rFonts w:ascii="Arial Narrow" w:eastAsiaTheme="majorEastAsia" w:hAnsi="Arial Narrow" w:cstheme="majorBidi"/>
                <w:bCs/>
                <w:color w:val="auto"/>
                <w:sz w:val="20"/>
                <w:lang w:val="en-AU"/>
              </w:rPr>
            </w:pPr>
            <w:r w:rsidRPr="00B16BB0">
              <w:rPr>
                <w:rFonts w:ascii="Arial Narrow" w:eastAsiaTheme="majorEastAsia" w:hAnsi="Arial Narrow" w:cstheme="majorBidi"/>
                <w:bCs/>
                <w:color w:val="auto"/>
                <w:sz w:val="20"/>
                <w:lang w:val="en-AU"/>
              </w:rPr>
              <w:t>Progress</w:t>
            </w:r>
            <w:r>
              <w:rPr>
                <w:rFonts w:ascii="Arial Narrow" w:eastAsiaTheme="majorEastAsia" w:hAnsi="Arial Narrow" w:cstheme="majorBidi"/>
                <w:bCs/>
                <w:color w:val="auto"/>
                <w:sz w:val="20"/>
                <w:lang w:val="en-AU"/>
              </w:rPr>
              <w:t>ion events</w:t>
            </w:r>
          </w:p>
        </w:tc>
        <w:tc>
          <w:tcPr>
            <w:tcW w:w="1702" w:type="dxa"/>
            <w:tcBorders>
              <w:bottom w:val="single" w:sz="4" w:space="0" w:color="auto"/>
            </w:tcBorders>
            <w:shd w:val="clear" w:color="auto" w:fill="D9D9D9" w:themeFill="background1" w:themeFillShade="D9"/>
            <w:vAlign w:val="center"/>
          </w:tcPr>
          <w:p w14:paraId="4C222575" w14:textId="77777777" w:rsidR="00DC33F2" w:rsidRDefault="00DC33F2" w:rsidP="008E64A9">
            <w:pPr>
              <w:pStyle w:val="TableText0"/>
              <w:jc w:val="center"/>
            </w:pPr>
            <w:r w:rsidRPr="00B16BB0">
              <w:t xml:space="preserve">430/505 </w:t>
            </w:r>
          </w:p>
          <w:p w14:paraId="5503E3D4" w14:textId="77777777" w:rsidR="00DC33F2" w:rsidRDefault="00DC33F2" w:rsidP="008E64A9">
            <w:pPr>
              <w:pStyle w:val="TableText0"/>
              <w:jc w:val="center"/>
            </w:pPr>
            <w:r w:rsidRPr="00B16BB0">
              <w:t>(85.1%)</w:t>
            </w:r>
          </w:p>
        </w:tc>
        <w:tc>
          <w:tcPr>
            <w:tcW w:w="1491" w:type="dxa"/>
            <w:tcBorders>
              <w:bottom w:val="single" w:sz="4" w:space="0" w:color="auto"/>
            </w:tcBorders>
            <w:shd w:val="clear" w:color="auto" w:fill="D9D9D9" w:themeFill="background1" w:themeFillShade="D9"/>
            <w:vAlign w:val="center"/>
          </w:tcPr>
          <w:p w14:paraId="11480C31" w14:textId="77777777" w:rsidR="00DC33F2" w:rsidRDefault="00DC33F2" w:rsidP="008E64A9">
            <w:pPr>
              <w:pStyle w:val="TableText0"/>
              <w:jc w:val="center"/>
            </w:pPr>
            <w:r w:rsidRPr="00513233">
              <w:t xml:space="preserve">241/255 </w:t>
            </w:r>
          </w:p>
          <w:p w14:paraId="140874EB" w14:textId="77777777" w:rsidR="00DC33F2" w:rsidRPr="00B16BB0" w:rsidRDefault="00DC33F2" w:rsidP="008E64A9">
            <w:pPr>
              <w:pStyle w:val="TableText0"/>
              <w:jc w:val="center"/>
            </w:pPr>
            <w:r w:rsidRPr="00513233">
              <w:t>(94.5%)</w:t>
            </w:r>
          </w:p>
        </w:tc>
        <w:tc>
          <w:tcPr>
            <w:tcW w:w="1240" w:type="dxa"/>
            <w:tcBorders>
              <w:bottom w:val="single" w:sz="4" w:space="0" w:color="auto"/>
            </w:tcBorders>
            <w:shd w:val="clear" w:color="auto" w:fill="D9D9D9" w:themeFill="background1" w:themeFillShade="D9"/>
            <w:vAlign w:val="center"/>
          </w:tcPr>
          <w:p w14:paraId="237A08EE" w14:textId="77777777" w:rsidR="00DC33F2" w:rsidRPr="00B16BB0" w:rsidRDefault="00DC33F2" w:rsidP="008E64A9">
            <w:pPr>
              <w:pStyle w:val="TableText0"/>
              <w:jc w:val="center"/>
            </w:pPr>
            <w:r w:rsidRPr="00513233">
              <w:t>-</w:t>
            </w:r>
          </w:p>
        </w:tc>
        <w:tc>
          <w:tcPr>
            <w:tcW w:w="1634" w:type="dxa"/>
            <w:tcBorders>
              <w:bottom w:val="single" w:sz="4" w:space="0" w:color="auto"/>
            </w:tcBorders>
            <w:shd w:val="clear" w:color="auto" w:fill="D9D9D9" w:themeFill="background1" w:themeFillShade="D9"/>
            <w:vAlign w:val="center"/>
          </w:tcPr>
          <w:p w14:paraId="1BB556B9" w14:textId="77777777" w:rsidR="00DC33F2" w:rsidRPr="00B16BB0" w:rsidRDefault="00DC33F2" w:rsidP="008E64A9">
            <w:pPr>
              <w:pStyle w:val="Default"/>
              <w:keepNext/>
              <w:jc w:val="center"/>
              <w:rPr>
                <w:rFonts w:ascii="Arial Narrow" w:eastAsiaTheme="majorEastAsia" w:hAnsi="Arial Narrow" w:cstheme="majorBidi"/>
                <w:bCs/>
                <w:color w:val="auto"/>
                <w:sz w:val="20"/>
                <w:lang w:val="en-AU"/>
              </w:rPr>
            </w:pPr>
            <w:r w:rsidRPr="00513233">
              <w:rPr>
                <w:rFonts w:ascii="Arial Narrow" w:eastAsiaTheme="majorEastAsia" w:hAnsi="Arial Narrow" w:cstheme="majorBidi"/>
                <w:bCs/>
                <w:color w:val="auto"/>
                <w:sz w:val="20"/>
                <w:lang w:val="en-AU"/>
              </w:rPr>
              <w:t>-</w:t>
            </w:r>
          </w:p>
        </w:tc>
      </w:tr>
      <w:tr w:rsidR="00DC33F2" w:rsidRPr="008123DA" w14:paraId="7FCA3304" w14:textId="77777777" w:rsidTr="008E64A9">
        <w:tc>
          <w:tcPr>
            <w:tcW w:w="1269" w:type="dxa"/>
            <w:vMerge/>
            <w:tcBorders>
              <w:bottom w:val="single" w:sz="4" w:space="0" w:color="auto"/>
            </w:tcBorders>
            <w:vAlign w:val="center"/>
          </w:tcPr>
          <w:p w14:paraId="47774DD2" w14:textId="77777777" w:rsidR="00DC33F2" w:rsidRDefault="00DC33F2" w:rsidP="008E64A9">
            <w:pPr>
              <w:pStyle w:val="TableText0"/>
            </w:pPr>
          </w:p>
        </w:tc>
        <w:tc>
          <w:tcPr>
            <w:tcW w:w="1681" w:type="dxa"/>
            <w:tcBorders>
              <w:bottom w:val="single" w:sz="4" w:space="0" w:color="auto"/>
            </w:tcBorders>
            <w:shd w:val="clear" w:color="auto" w:fill="D9D9D9" w:themeFill="background1" w:themeFillShade="D9"/>
            <w:vAlign w:val="center"/>
          </w:tcPr>
          <w:p w14:paraId="46F146B5" w14:textId="77777777" w:rsidR="00DC33F2" w:rsidRPr="00BF37B0" w:rsidRDefault="00DC33F2" w:rsidP="008E64A9">
            <w:pPr>
              <w:pStyle w:val="Default"/>
              <w:keepNext/>
              <w:rPr>
                <w:rFonts w:ascii="Arial Narrow" w:eastAsiaTheme="majorEastAsia" w:hAnsi="Arial Narrow" w:cstheme="majorBidi"/>
                <w:bCs/>
                <w:color w:val="auto"/>
                <w:sz w:val="20"/>
                <w:lang w:val="en-AU"/>
              </w:rPr>
            </w:pPr>
            <w:r w:rsidRPr="00BF37B0">
              <w:rPr>
                <w:rFonts w:ascii="Arial Narrow" w:eastAsiaTheme="majorEastAsia" w:hAnsi="Arial Narrow" w:cstheme="majorBidi"/>
                <w:bCs/>
                <w:color w:val="auto"/>
                <w:sz w:val="20"/>
                <w:lang w:val="en-AU"/>
              </w:rPr>
              <w:t xml:space="preserve">Median </w:t>
            </w:r>
            <w:r>
              <w:rPr>
                <w:rFonts w:ascii="Arial Narrow" w:eastAsiaTheme="majorEastAsia" w:hAnsi="Arial Narrow" w:cstheme="majorBidi"/>
                <w:bCs/>
                <w:color w:val="auto"/>
                <w:sz w:val="20"/>
                <w:lang w:val="en-AU"/>
              </w:rPr>
              <w:t>PFS</w:t>
            </w:r>
            <w:r w:rsidRPr="00BF37B0">
              <w:rPr>
                <w:rFonts w:ascii="Arial Narrow" w:eastAsiaTheme="majorEastAsia" w:hAnsi="Arial Narrow" w:cstheme="majorBidi"/>
                <w:bCs/>
                <w:color w:val="auto"/>
                <w:sz w:val="20"/>
                <w:lang w:val="en-AU"/>
              </w:rPr>
              <w:t xml:space="preserve"> (months) (95% CI)</w:t>
            </w:r>
          </w:p>
        </w:tc>
        <w:tc>
          <w:tcPr>
            <w:tcW w:w="1702" w:type="dxa"/>
            <w:tcBorders>
              <w:bottom w:val="single" w:sz="4" w:space="0" w:color="auto"/>
            </w:tcBorders>
            <w:shd w:val="clear" w:color="auto" w:fill="D9D9D9" w:themeFill="background1" w:themeFillShade="D9"/>
            <w:vAlign w:val="center"/>
          </w:tcPr>
          <w:p w14:paraId="31326A4B" w14:textId="77777777" w:rsidR="00DC33F2" w:rsidRDefault="00DC33F2" w:rsidP="008E64A9">
            <w:pPr>
              <w:pStyle w:val="TableText0"/>
              <w:jc w:val="center"/>
            </w:pPr>
            <w:r>
              <w:t>1.9 (1.6, 3.9)</w:t>
            </w:r>
          </w:p>
        </w:tc>
        <w:tc>
          <w:tcPr>
            <w:tcW w:w="1491" w:type="dxa"/>
            <w:tcBorders>
              <w:bottom w:val="single" w:sz="4" w:space="0" w:color="auto"/>
            </w:tcBorders>
            <w:shd w:val="clear" w:color="auto" w:fill="D9D9D9" w:themeFill="background1" w:themeFillShade="D9"/>
            <w:vAlign w:val="center"/>
          </w:tcPr>
          <w:p w14:paraId="76247F3B" w14:textId="77777777" w:rsidR="00DC33F2" w:rsidRPr="00B16BB0" w:rsidRDefault="00DC33F2" w:rsidP="008E64A9">
            <w:pPr>
              <w:pStyle w:val="TableText0"/>
              <w:jc w:val="center"/>
            </w:pPr>
            <w:r w:rsidRPr="00513233">
              <w:t>1.7 (1.4, 1.9)</w:t>
            </w:r>
          </w:p>
        </w:tc>
        <w:tc>
          <w:tcPr>
            <w:tcW w:w="1240" w:type="dxa"/>
            <w:tcBorders>
              <w:bottom w:val="single" w:sz="4" w:space="0" w:color="auto"/>
            </w:tcBorders>
            <w:shd w:val="clear" w:color="auto" w:fill="D9D9D9" w:themeFill="background1" w:themeFillShade="D9"/>
            <w:vAlign w:val="center"/>
          </w:tcPr>
          <w:p w14:paraId="7131FF47" w14:textId="77777777" w:rsidR="00DC33F2" w:rsidRPr="00B16BB0" w:rsidRDefault="00DC33F2" w:rsidP="008E64A9">
            <w:pPr>
              <w:pStyle w:val="TableText0"/>
              <w:jc w:val="center"/>
            </w:pPr>
            <w:r w:rsidRPr="00B16BB0">
              <w:t>0.2 month</w:t>
            </w:r>
          </w:p>
        </w:tc>
        <w:tc>
          <w:tcPr>
            <w:tcW w:w="1634" w:type="dxa"/>
            <w:tcBorders>
              <w:bottom w:val="single" w:sz="4" w:space="0" w:color="auto"/>
            </w:tcBorders>
            <w:shd w:val="clear" w:color="auto" w:fill="D9D9D9" w:themeFill="background1" w:themeFillShade="D9"/>
            <w:vAlign w:val="center"/>
          </w:tcPr>
          <w:p w14:paraId="261B48F2" w14:textId="77777777" w:rsidR="00DC33F2" w:rsidRPr="00B16BB0" w:rsidRDefault="00DC33F2" w:rsidP="008E64A9">
            <w:pPr>
              <w:pStyle w:val="Default"/>
              <w:keepNext/>
              <w:jc w:val="center"/>
              <w:rPr>
                <w:rFonts w:ascii="Arial Narrow" w:eastAsiaTheme="majorEastAsia" w:hAnsi="Arial Narrow" w:cstheme="majorBidi"/>
                <w:b/>
                <w:color w:val="auto"/>
                <w:sz w:val="20"/>
                <w:lang w:val="en-AU"/>
              </w:rPr>
            </w:pPr>
            <w:r w:rsidRPr="00B16BB0">
              <w:rPr>
                <w:rFonts w:ascii="Arial Narrow" w:eastAsiaTheme="majorEastAsia" w:hAnsi="Arial Narrow" w:cstheme="majorBidi"/>
                <w:b/>
                <w:color w:val="auto"/>
                <w:sz w:val="20"/>
                <w:lang w:val="en-AU"/>
              </w:rPr>
              <w:t>0.49 (0.42, 0.58)</w:t>
            </w:r>
          </w:p>
        </w:tc>
      </w:tr>
      <w:tr w:rsidR="00DC33F2" w:rsidRPr="008123DA" w14:paraId="5FF8B6F3" w14:textId="77777777" w:rsidTr="00AD478D">
        <w:tc>
          <w:tcPr>
            <w:tcW w:w="1269" w:type="dxa"/>
            <w:tcBorders>
              <w:top w:val="single" w:sz="4" w:space="0" w:color="auto"/>
              <w:bottom w:val="single" w:sz="4" w:space="0" w:color="auto"/>
            </w:tcBorders>
            <w:vAlign w:val="center"/>
          </w:tcPr>
          <w:p w14:paraId="0B142F1F" w14:textId="77777777" w:rsidR="00DC33F2" w:rsidRPr="00E05630" w:rsidRDefault="00DC33F2" w:rsidP="008E64A9">
            <w:pPr>
              <w:pStyle w:val="In-tableHeading"/>
            </w:pPr>
            <w:r w:rsidRPr="00E05630">
              <w:t>Comparators</w:t>
            </w:r>
          </w:p>
        </w:tc>
        <w:tc>
          <w:tcPr>
            <w:tcW w:w="1681" w:type="dxa"/>
            <w:tcBorders>
              <w:top w:val="single" w:sz="4" w:space="0" w:color="auto"/>
              <w:bottom w:val="single" w:sz="4" w:space="0" w:color="auto"/>
            </w:tcBorders>
            <w:shd w:val="clear" w:color="auto" w:fill="auto"/>
            <w:vAlign w:val="center"/>
          </w:tcPr>
          <w:p w14:paraId="206065BF" w14:textId="77777777" w:rsidR="00DC33F2" w:rsidRPr="00E05630" w:rsidRDefault="00DC33F2" w:rsidP="008E64A9">
            <w:pPr>
              <w:pStyle w:val="In-tableHeading"/>
              <w:jc w:val="center"/>
            </w:pPr>
          </w:p>
        </w:tc>
        <w:tc>
          <w:tcPr>
            <w:tcW w:w="1702" w:type="dxa"/>
            <w:tcBorders>
              <w:top w:val="single" w:sz="4" w:space="0" w:color="auto"/>
              <w:bottom w:val="single" w:sz="4" w:space="0" w:color="auto"/>
            </w:tcBorders>
            <w:shd w:val="clear" w:color="auto" w:fill="auto"/>
            <w:vAlign w:val="center"/>
          </w:tcPr>
          <w:p w14:paraId="2D2C0DAE" w14:textId="77777777" w:rsidR="00DC33F2" w:rsidRPr="00E05630" w:rsidRDefault="00DC33F2" w:rsidP="008E64A9">
            <w:pPr>
              <w:pStyle w:val="In-tableHeading"/>
              <w:jc w:val="center"/>
            </w:pPr>
            <w:r>
              <w:t>Trifluridine/tipiracil</w:t>
            </w:r>
          </w:p>
          <w:p w14:paraId="0E159605" w14:textId="77777777" w:rsidR="00DC33F2" w:rsidRPr="00E05630" w:rsidRDefault="00DC33F2" w:rsidP="008E64A9">
            <w:pPr>
              <w:pStyle w:val="In-tableHeading"/>
              <w:jc w:val="center"/>
            </w:pPr>
            <w:r w:rsidRPr="00E05630">
              <w:t>n/N (%)</w:t>
            </w:r>
          </w:p>
        </w:tc>
        <w:tc>
          <w:tcPr>
            <w:tcW w:w="1491" w:type="dxa"/>
            <w:tcBorders>
              <w:top w:val="single" w:sz="4" w:space="0" w:color="auto"/>
              <w:bottom w:val="single" w:sz="4" w:space="0" w:color="auto"/>
            </w:tcBorders>
            <w:shd w:val="clear" w:color="auto" w:fill="auto"/>
            <w:vAlign w:val="center"/>
          </w:tcPr>
          <w:p w14:paraId="6D28EE11" w14:textId="77777777" w:rsidR="00DC33F2" w:rsidRPr="00E05630" w:rsidRDefault="00DC33F2" w:rsidP="008E64A9">
            <w:pPr>
              <w:pStyle w:val="In-tableHeading"/>
              <w:jc w:val="center"/>
            </w:pPr>
            <w:r>
              <w:t>Placebo</w:t>
            </w:r>
          </w:p>
          <w:p w14:paraId="5642017A" w14:textId="77777777" w:rsidR="00DC33F2" w:rsidRPr="00E05630" w:rsidRDefault="00DC33F2" w:rsidP="008E64A9">
            <w:pPr>
              <w:pStyle w:val="In-tableHeading"/>
              <w:jc w:val="center"/>
            </w:pPr>
            <w:r w:rsidRPr="00E05630">
              <w:t>n/N (%)</w:t>
            </w:r>
          </w:p>
        </w:tc>
        <w:tc>
          <w:tcPr>
            <w:tcW w:w="1240" w:type="dxa"/>
            <w:tcBorders>
              <w:top w:val="single" w:sz="4" w:space="0" w:color="auto"/>
              <w:bottom w:val="single" w:sz="4" w:space="0" w:color="auto"/>
            </w:tcBorders>
            <w:shd w:val="clear" w:color="auto" w:fill="auto"/>
            <w:vAlign w:val="center"/>
          </w:tcPr>
          <w:p w14:paraId="3D3F968A" w14:textId="77777777" w:rsidR="00DC33F2" w:rsidRPr="00E05630" w:rsidRDefault="00DC33F2" w:rsidP="008E64A9">
            <w:pPr>
              <w:pStyle w:val="In-tableHeading"/>
              <w:jc w:val="center"/>
            </w:pPr>
            <w:r w:rsidRPr="00E05630">
              <w:t>Absolute difference</w:t>
            </w:r>
          </w:p>
        </w:tc>
        <w:tc>
          <w:tcPr>
            <w:tcW w:w="1634" w:type="dxa"/>
            <w:tcBorders>
              <w:top w:val="single" w:sz="4" w:space="0" w:color="auto"/>
              <w:bottom w:val="single" w:sz="4" w:space="0" w:color="auto"/>
            </w:tcBorders>
            <w:shd w:val="clear" w:color="auto" w:fill="auto"/>
            <w:vAlign w:val="center"/>
          </w:tcPr>
          <w:p w14:paraId="4B7EF137" w14:textId="77777777" w:rsidR="00DC33F2" w:rsidRPr="00E05630" w:rsidRDefault="00DC33F2" w:rsidP="008E64A9">
            <w:pPr>
              <w:pStyle w:val="In-tableHeading"/>
              <w:jc w:val="center"/>
            </w:pPr>
            <w:r w:rsidRPr="00E05630">
              <w:t>HR (95% CI)</w:t>
            </w:r>
          </w:p>
        </w:tc>
      </w:tr>
      <w:tr w:rsidR="00DC33F2" w:rsidRPr="008123DA" w14:paraId="06B0CA58" w14:textId="77777777" w:rsidTr="008E64A9">
        <w:tc>
          <w:tcPr>
            <w:tcW w:w="1269" w:type="dxa"/>
            <w:vMerge w:val="restart"/>
            <w:tcBorders>
              <w:top w:val="single" w:sz="4" w:space="0" w:color="auto"/>
            </w:tcBorders>
          </w:tcPr>
          <w:p w14:paraId="638F7EAA" w14:textId="77777777" w:rsidR="00DC33F2" w:rsidRPr="003F685D" w:rsidRDefault="00DC33F2" w:rsidP="008E64A9">
            <w:pPr>
              <w:pStyle w:val="TableText0"/>
            </w:pPr>
            <w:r>
              <w:t>RECOURSE</w:t>
            </w:r>
          </w:p>
        </w:tc>
        <w:tc>
          <w:tcPr>
            <w:tcW w:w="1681" w:type="dxa"/>
            <w:tcBorders>
              <w:top w:val="single" w:sz="4" w:space="0" w:color="auto"/>
            </w:tcBorders>
            <w:shd w:val="clear" w:color="auto" w:fill="D9D9D9" w:themeFill="background1" w:themeFillShade="D9"/>
            <w:vAlign w:val="center"/>
          </w:tcPr>
          <w:p w14:paraId="12FB194D" w14:textId="77777777" w:rsidR="00DC33F2" w:rsidRPr="003F685D" w:rsidRDefault="00DC33F2" w:rsidP="008E64A9">
            <w:pPr>
              <w:pStyle w:val="TableText0"/>
            </w:pPr>
            <w:r>
              <w:t>Death events</w:t>
            </w:r>
          </w:p>
        </w:tc>
        <w:tc>
          <w:tcPr>
            <w:tcW w:w="1702" w:type="dxa"/>
            <w:tcBorders>
              <w:top w:val="single" w:sz="4" w:space="0" w:color="auto"/>
            </w:tcBorders>
            <w:shd w:val="clear" w:color="auto" w:fill="D9D9D9" w:themeFill="background1" w:themeFillShade="D9"/>
          </w:tcPr>
          <w:p w14:paraId="460654C5" w14:textId="77777777" w:rsidR="00DC33F2" w:rsidRDefault="00DC33F2" w:rsidP="008E64A9">
            <w:pPr>
              <w:pStyle w:val="TableText0"/>
              <w:jc w:val="center"/>
            </w:pPr>
            <w:r>
              <w:t xml:space="preserve">364/534 </w:t>
            </w:r>
          </w:p>
          <w:p w14:paraId="7BEEF370" w14:textId="77777777" w:rsidR="00DC33F2" w:rsidRPr="003F685D" w:rsidRDefault="00DC33F2" w:rsidP="008E64A9">
            <w:pPr>
              <w:pStyle w:val="TableText0"/>
              <w:jc w:val="center"/>
            </w:pPr>
            <w:r>
              <w:t>(68.2%)</w:t>
            </w:r>
          </w:p>
        </w:tc>
        <w:tc>
          <w:tcPr>
            <w:tcW w:w="1491" w:type="dxa"/>
            <w:tcBorders>
              <w:top w:val="single" w:sz="4" w:space="0" w:color="auto"/>
            </w:tcBorders>
            <w:shd w:val="clear" w:color="auto" w:fill="D9D9D9" w:themeFill="background1" w:themeFillShade="D9"/>
            <w:vAlign w:val="center"/>
          </w:tcPr>
          <w:p w14:paraId="18FE02C8" w14:textId="77777777" w:rsidR="00DC33F2" w:rsidRDefault="00DC33F2" w:rsidP="008E64A9">
            <w:pPr>
              <w:pStyle w:val="TableText0"/>
              <w:jc w:val="center"/>
            </w:pPr>
            <w:r>
              <w:t xml:space="preserve">210/266 </w:t>
            </w:r>
          </w:p>
          <w:p w14:paraId="63BD6621" w14:textId="77777777" w:rsidR="00DC33F2" w:rsidRPr="003F685D" w:rsidRDefault="00DC33F2" w:rsidP="008E64A9">
            <w:pPr>
              <w:pStyle w:val="TableText0"/>
              <w:jc w:val="center"/>
            </w:pPr>
            <w:r>
              <w:t>(78.9%)</w:t>
            </w:r>
          </w:p>
        </w:tc>
        <w:tc>
          <w:tcPr>
            <w:tcW w:w="1240" w:type="dxa"/>
            <w:tcBorders>
              <w:top w:val="single" w:sz="4" w:space="0" w:color="auto"/>
            </w:tcBorders>
            <w:shd w:val="clear" w:color="auto" w:fill="D9D9D9" w:themeFill="background1" w:themeFillShade="D9"/>
            <w:vAlign w:val="center"/>
          </w:tcPr>
          <w:p w14:paraId="7403F805" w14:textId="77777777" w:rsidR="00DC33F2" w:rsidRPr="003F685D" w:rsidRDefault="00DC33F2" w:rsidP="008E64A9">
            <w:pPr>
              <w:pStyle w:val="TableText0"/>
              <w:jc w:val="center"/>
            </w:pPr>
            <w:r>
              <w:t>-</w:t>
            </w:r>
          </w:p>
        </w:tc>
        <w:tc>
          <w:tcPr>
            <w:tcW w:w="1634" w:type="dxa"/>
            <w:tcBorders>
              <w:top w:val="single" w:sz="4" w:space="0" w:color="auto"/>
            </w:tcBorders>
            <w:shd w:val="clear" w:color="auto" w:fill="D9D9D9" w:themeFill="background1" w:themeFillShade="D9"/>
            <w:vAlign w:val="center"/>
          </w:tcPr>
          <w:p w14:paraId="574ED791" w14:textId="77777777" w:rsidR="00DC33F2" w:rsidRPr="00684A1E" w:rsidRDefault="00DC33F2" w:rsidP="008E64A9">
            <w:pPr>
              <w:pStyle w:val="TableText0"/>
              <w:jc w:val="center"/>
            </w:pPr>
            <w:r>
              <w:t>-</w:t>
            </w:r>
          </w:p>
        </w:tc>
      </w:tr>
      <w:tr w:rsidR="00DC33F2" w:rsidRPr="008123DA" w14:paraId="184731B3" w14:textId="77777777" w:rsidTr="008E64A9">
        <w:tc>
          <w:tcPr>
            <w:tcW w:w="1269" w:type="dxa"/>
            <w:vMerge/>
            <w:vAlign w:val="center"/>
          </w:tcPr>
          <w:p w14:paraId="474F3E54" w14:textId="77777777" w:rsidR="00DC33F2" w:rsidRPr="003F685D" w:rsidRDefault="00DC33F2" w:rsidP="008E64A9">
            <w:pPr>
              <w:pStyle w:val="TableText0"/>
              <w:jc w:val="center"/>
            </w:pPr>
          </w:p>
        </w:tc>
        <w:tc>
          <w:tcPr>
            <w:tcW w:w="1681" w:type="dxa"/>
            <w:shd w:val="clear" w:color="auto" w:fill="D9D9D9" w:themeFill="background1" w:themeFillShade="D9"/>
            <w:vAlign w:val="center"/>
          </w:tcPr>
          <w:p w14:paraId="4616E45F" w14:textId="77777777" w:rsidR="00DC33F2" w:rsidRPr="003F685D" w:rsidRDefault="00DC33F2" w:rsidP="008E64A9">
            <w:pPr>
              <w:pStyle w:val="TableText0"/>
            </w:pPr>
            <w:r w:rsidRPr="00BF37B0">
              <w:rPr>
                <w:bCs w:val="0"/>
              </w:rPr>
              <w:t>Median OS (months) (95% CI)</w:t>
            </w:r>
          </w:p>
        </w:tc>
        <w:tc>
          <w:tcPr>
            <w:tcW w:w="1702" w:type="dxa"/>
            <w:shd w:val="clear" w:color="auto" w:fill="D9D9D9" w:themeFill="background1" w:themeFillShade="D9"/>
          </w:tcPr>
          <w:p w14:paraId="7743F1C4" w14:textId="77777777" w:rsidR="00DC33F2" w:rsidRDefault="00DC33F2" w:rsidP="008E64A9">
            <w:pPr>
              <w:pStyle w:val="TableText0"/>
              <w:jc w:val="center"/>
            </w:pPr>
            <w:r>
              <w:t xml:space="preserve">7.1 </w:t>
            </w:r>
          </w:p>
          <w:p w14:paraId="049EE391" w14:textId="77777777" w:rsidR="00DC33F2" w:rsidRPr="003F685D" w:rsidRDefault="00DC33F2" w:rsidP="008E64A9">
            <w:pPr>
              <w:pStyle w:val="TableText0"/>
              <w:jc w:val="center"/>
            </w:pPr>
            <w:r>
              <w:t>(6.5, 7.8)</w:t>
            </w:r>
          </w:p>
        </w:tc>
        <w:tc>
          <w:tcPr>
            <w:tcW w:w="1491" w:type="dxa"/>
            <w:shd w:val="clear" w:color="auto" w:fill="D9D9D9" w:themeFill="background1" w:themeFillShade="D9"/>
            <w:vAlign w:val="center"/>
          </w:tcPr>
          <w:p w14:paraId="5E8CF2C9" w14:textId="77777777" w:rsidR="00DC33F2" w:rsidRDefault="00DC33F2" w:rsidP="008E64A9">
            <w:pPr>
              <w:pStyle w:val="TableText0"/>
              <w:jc w:val="center"/>
            </w:pPr>
            <w:r>
              <w:t xml:space="preserve">5.3 </w:t>
            </w:r>
          </w:p>
          <w:p w14:paraId="604B034D" w14:textId="77777777" w:rsidR="00DC33F2" w:rsidRPr="003F685D" w:rsidRDefault="00DC33F2" w:rsidP="008E64A9">
            <w:pPr>
              <w:pStyle w:val="TableText0"/>
              <w:jc w:val="center"/>
            </w:pPr>
            <w:r>
              <w:t>(4.6, 6.0)</w:t>
            </w:r>
          </w:p>
        </w:tc>
        <w:tc>
          <w:tcPr>
            <w:tcW w:w="1240" w:type="dxa"/>
            <w:shd w:val="clear" w:color="auto" w:fill="D9D9D9" w:themeFill="background1" w:themeFillShade="D9"/>
            <w:vAlign w:val="center"/>
          </w:tcPr>
          <w:p w14:paraId="38CA8B99" w14:textId="77777777" w:rsidR="00DC33F2" w:rsidRPr="003F685D" w:rsidRDefault="00DC33F2" w:rsidP="008E64A9">
            <w:pPr>
              <w:pStyle w:val="TableText0"/>
              <w:jc w:val="center"/>
            </w:pPr>
            <w:r w:rsidRPr="008A0399">
              <w:rPr>
                <w:i/>
                <w:iCs/>
              </w:rPr>
              <w:t>1.8 months</w:t>
            </w:r>
          </w:p>
        </w:tc>
        <w:tc>
          <w:tcPr>
            <w:tcW w:w="1634" w:type="dxa"/>
            <w:shd w:val="clear" w:color="auto" w:fill="D9D9D9" w:themeFill="background1" w:themeFillShade="D9"/>
            <w:vAlign w:val="center"/>
          </w:tcPr>
          <w:p w14:paraId="4D5A3244" w14:textId="77777777" w:rsidR="00DC33F2" w:rsidRPr="003F685D" w:rsidRDefault="00DC33F2" w:rsidP="008E64A9">
            <w:pPr>
              <w:pStyle w:val="TableText0"/>
              <w:jc w:val="center"/>
            </w:pPr>
            <w:r w:rsidRPr="00080087">
              <w:rPr>
                <w:b/>
                <w:bCs w:val="0"/>
              </w:rPr>
              <w:t>0.68 (0.58, 0.81)</w:t>
            </w:r>
          </w:p>
        </w:tc>
      </w:tr>
      <w:tr w:rsidR="00DC33F2" w:rsidRPr="008123DA" w14:paraId="190F3AD7" w14:textId="77777777" w:rsidTr="008E64A9">
        <w:tc>
          <w:tcPr>
            <w:tcW w:w="1269" w:type="dxa"/>
            <w:vMerge/>
            <w:vAlign w:val="center"/>
          </w:tcPr>
          <w:p w14:paraId="7E4A4F14" w14:textId="77777777" w:rsidR="00DC33F2" w:rsidRPr="003F685D" w:rsidRDefault="00DC33F2" w:rsidP="008E64A9">
            <w:pPr>
              <w:pStyle w:val="TableText0"/>
              <w:jc w:val="center"/>
            </w:pPr>
          </w:p>
        </w:tc>
        <w:tc>
          <w:tcPr>
            <w:tcW w:w="1681" w:type="dxa"/>
            <w:shd w:val="clear" w:color="auto" w:fill="D9D9D9" w:themeFill="background1" w:themeFillShade="D9"/>
            <w:vAlign w:val="center"/>
          </w:tcPr>
          <w:p w14:paraId="03C8B52B" w14:textId="77777777" w:rsidR="00DC33F2" w:rsidRPr="00BF37B0" w:rsidRDefault="00DC33F2" w:rsidP="008E64A9">
            <w:pPr>
              <w:pStyle w:val="TableText0"/>
              <w:rPr>
                <w:bCs w:val="0"/>
              </w:rPr>
            </w:pPr>
            <w:r w:rsidRPr="00B16BB0">
              <w:t>Progress</w:t>
            </w:r>
            <w:r>
              <w:rPr>
                <w:bCs w:val="0"/>
              </w:rPr>
              <w:t>ion events</w:t>
            </w:r>
          </w:p>
        </w:tc>
        <w:tc>
          <w:tcPr>
            <w:tcW w:w="1702" w:type="dxa"/>
            <w:shd w:val="clear" w:color="auto" w:fill="D9D9D9" w:themeFill="background1" w:themeFillShade="D9"/>
            <w:vAlign w:val="center"/>
          </w:tcPr>
          <w:p w14:paraId="45DAF2AF" w14:textId="77777777" w:rsidR="00DC33F2" w:rsidRDefault="00DC33F2" w:rsidP="008E64A9">
            <w:pPr>
              <w:pStyle w:val="TableText0"/>
              <w:jc w:val="center"/>
            </w:pPr>
            <w:r w:rsidRPr="00431E81">
              <w:t>472</w:t>
            </w:r>
            <w:r>
              <w:t>/534</w:t>
            </w:r>
            <w:r w:rsidRPr="00431E81">
              <w:t xml:space="preserve"> </w:t>
            </w:r>
          </w:p>
          <w:p w14:paraId="7B9D0906" w14:textId="77777777" w:rsidR="00DC33F2" w:rsidRDefault="00DC33F2" w:rsidP="008E64A9">
            <w:pPr>
              <w:pStyle w:val="TableText0"/>
              <w:jc w:val="center"/>
            </w:pPr>
            <w:r w:rsidRPr="00431E81">
              <w:t>(88.4</w:t>
            </w:r>
            <w:r>
              <w:t>%</w:t>
            </w:r>
            <w:r w:rsidRPr="00431E81">
              <w:t>)</w:t>
            </w:r>
          </w:p>
        </w:tc>
        <w:tc>
          <w:tcPr>
            <w:tcW w:w="1491" w:type="dxa"/>
            <w:shd w:val="clear" w:color="auto" w:fill="D9D9D9" w:themeFill="background1" w:themeFillShade="D9"/>
            <w:vAlign w:val="center"/>
          </w:tcPr>
          <w:p w14:paraId="52702922" w14:textId="77777777" w:rsidR="00DC33F2" w:rsidRDefault="00DC33F2" w:rsidP="008E64A9">
            <w:pPr>
              <w:pStyle w:val="TableText0"/>
              <w:jc w:val="center"/>
            </w:pPr>
            <w:r>
              <w:t xml:space="preserve">251/266 </w:t>
            </w:r>
          </w:p>
          <w:p w14:paraId="33E6E43B" w14:textId="77777777" w:rsidR="00DC33F2" w:rsidRDefault="00DC33F2" w:rsidP="008E64A9">
            <w:pPr>
              <w:pStyle w:val="TableText0"/>
              <w:jc w:val="center"/>
            </w:pPr>
            <w:r>
              <w:t>(94.4%)</w:t>
            </w:r>
          </w:p>
        </w:tc>
        <w:tc>
          <w:tcPr>
            <w:tcW w:w="1240" w:type="dxa"/>
            <w:shd w:val="clear" w:color="auto" w:fill="D9D9D9" w:themeFill="background1" w:themeFillShade="D9"/>
            <w:vAlign w:val="center"/>
          </w:tcPr>
          <w:p w14:paraId="3BCE6DF8" w14:textId="77777777" w:rsidR="00DC33F2" w:rsidRPr="008A0399" w:rsidRDefault="00DC33F2" w:rsidP="008E64A9">
            <w:pPr>
              <w:pStyle w:val="TableText0"/>
              <w:jc w:val="center"/>
              <w:rPr>
                <w:i/>
                <w:iCs/>
              </w:rPr>
            </w:pPr>
            <w:r>
              <w:t>-</w:t>
            </w:r>
          </w:p>
        </w:tc>
        <w:tc>
          <w:tcPr>
            <w:tcW w:w="1634" w:type="dxa"/>
            <w:shd w:val="clear" w:color="auto" w:fill="D9D9D9" w:themeFill="background1" w:themeFillShade="D9"/>
            <w:vAlign w:val="center"/>
          </w:tcPr>
          <w:p w14:paraId="795DA852" w14:textId="77777777" w:rsidR="00DC33F2" w:rsidRPr="00080087" w:rsidRDefault="00DC33F2" w:rsidP="008E64A9">
            <w:pPr>
              <w:pStyle w:val="TableText0"/>
              <w:jc w:val="center"/>
              <w:rPr>
                <w:b/>
                <w:bCs w:val="0"/>
              </w:rPr>
            </w:pPr>
            <w:r>
              <w:t>-</w:t>
            </w:r>
          </w:p>
        </w:tc>
      </w:tr>
      <w:tr w:rsidR="00DC33F2" w:rsidRPr="008123DA" w14:paraId="38FEBF0D" w14:textId="77777777" w:rsidTr="008E64A9">
        <w:tc>
          <w:tcPr>
            <w:tcW w:w="1269" w:type="dxa"/>
            <w:vMerge/>
            <w:vAlign w:val="center"/>
          </w:tcPr>
          <w:p w14:paraId="7851170E" w14:textId="77777777" w:rsidR="00DC33F2" w:rsidRPr="003F685D" w:rsidRDefault="00DC33F2" w:rsidP="008E64A9">
            <w:pPr>
              <w:pStyle w:val="TableText0"/>
              <w:jc w:val="center"/>
            </w:pPr>
          </w:p>
        </w:tc>
        <w:tc>
          <w:tcPr>
            <w:tcW w:w="1681" w:type="dxa"/>
            <w:shd w:val="clear" w:color="auto" w:fill="D9D9D9" w:themeFill="background1" w:themeFillShade="D9"/>
            <w:vAlign w:val="center"/>
          </w:tcPr>
          <w:p w14:paraId="59EE62D4" w14:textId="77777777" w:rsidR="00DC33F2" w:rsidRPr="00BF37B0" w:rsidRDefault="00DC33F2" w:rsidP="008E64A9">
            <w:pPr>
              <w:pStyle w:val="TableText0"/>
              <w:rPr>
                <w:bCs w:val="0"/>
              </w:rPr>
            </w:pPr>
            <w:r w:rsidRPr="00BF37B0">
              <w:rPr>
                <w:bCs w:val="0"/>
              </w:rPr>
              <w:t xml:space="preserve">Median </w:t>
            </w:r>
            <w:r>
              <w:rPr>
                <w:bCs w:val="0"/>
              </w:rPr>
              <w:t>PFS</w:t>
            </w:r>
            <w:r w:rsidRPr="00BF37B0">
              <w:rPr>
                <w:bCs w:val="0"/>
              </w:rPr>
              <w:t xml:space="preserve"> (months) (95% CI)</w:t>
            </w:r>
          </w:p>
        </w:tc>
        <w:tc>
          <w:tcPr>
            <w:tcW w:w="1702" w:type="dxa"/>
            <w:shd w:val="clear" w:color="auto" w:fill="D9D9D9" w:themeFill="background1" w:themeFillShade="D9"/>
            <w:vAlign w:val="center"/>
          </w:tcPr>
          <w:p w14:paraId="29524AD7" w14:textId="77777777" w:rsidR="00DC33F2" w:rsidRDefault="00DC33F2" w:rsidP="008E64A9">
            <w:pPr>
              <w:pStyle w:val="TableText0"/>
              <w:jc w:val="center"/>
            </w:pPr>
            <w:r>
              <w:t>2.0 (1.9, 2.1)</w:t>
            </w:r>
          </w:p>
        </w:tc>
        <w:tc>
          <w:tcPr>
            <w:tcW w:w="1491" w:type="dxa"/>
            <w:shd w:val="clear" w:color="auto" w:fill="D9D9D9" w:themeFill="background1" w:themeFillShade="D9"/>
            <w:vAlign w:val="center"/>
          </w:tcPr>
          <w:p w14:paraId="550DDC31" w14:textId="77777777" w:rsidR="00DC33F2" w:rsidRDefault="00DC33F2" w:rsidP="008E64A9">
            <w:pPr>
              <w:pStyle w:val="TableText0"/>
              <w:jc w:val="center"/>
            </w:pPr>
            <w:r>
              <w:t>1.7 (1.7, 1.9)</w:t>
            </w:r>
          </w:p>
        </w:tc>
        <w:tc>
          <w:tcPr>
            <w:tcW w:w="1240" w:type="dxa"/>
            <w:shd w:val="clear" w:color="auto" w:fill="D9D9D9" w:themeFill="background1" w:themeFillShade="D9"/>
            <w:vAlign w:val="center"/>
          </w:tcPr>
          <w:p w14:paraId="0FC52596" w14:textId="77777777" w:rsidR="00DC33F2" w:rsidRPr="008A0399" w:rsidRDefault="00DC33F2" w:rsidP="008E64A9">
            <w:pPr>
              <w:pStyle w:val="TableText0"/>
              <w:jc w:val="center"/>
              <w:rPr>
                <w:i/>
                <w:iCs/>
              </w:rPr>
            </w:pPr>
            <w:r w:rsidRPr="008A0399">
              <w:rPr>
                <w:i/>
                <w:iCs/>
              </w:rPr>
              <w:t>0.3 month</w:t>
            </w:r>
          </w:p>
        </w:tc>
        <w:tc>
          <w:tcPr>
            <w:tcW w:w="1634" w:type="dxa"/>
            <w:shd w:val="clear" w:color="auto" w:fill="D9D9D9" w:themeFill="background1" w:themeFillShade="D9"/>
            <w:vAlign w:val="center"/>
          </w:tcPr>
          <w:p w14:paraId="193FA08B" w14:textId="77777777" w:rsidR="00DC33F2" w:rsidRPr="00080087" w:rsidRDefault="00DC33F2" w:rsidP="008E64A9">
            <w:pPr>
              <w:pStyle w:val="TableText0"/>
              <w:jc w:val="center"/>
              <w:rPr>
                <w:b/>
                <w:bCs w:val="0"/>
              </w:rPr>
            </w:pPr>
            <w:r w:rsidRPr="00957284">
              <w:rPr>
                <w:b/>
                <w:bCs w:val="0"/>
              </w:rPr>
              <w:t>0.48 (0.41, 0.57)</w:t>
            </w:r>
          </w:p>
        </w:tc>
      </w:tr>
      <w:tr w:rsidR="00DC33F2" w:rsidRPr="008123DA" w14:paraId="7C6C89EA" w14:textId="77777777" w:rsidTr="00AD478D">
        <w:tc>
          <w:tcPr>
            <w:tcW w:w="7383" w:type="dxa"/>
            <w:gridSpan w:val="5"/>
            <w:vAlign w:val="center"/>
          </w:tcPr>
          <w:p w14:paraId="1FF4254C" w14:textId="77777777" w:rsidR="00DC33F2" w:rsidRPr="00BF6F06" w:rsidRDefault="00DC33F2" w:rsidP="008E64A9">
            <w:pPr>
              <w:pStyle w:val="TableText0"/>
              <w:jc w:val="right"/>
              <w:rPr>
                <w:bCs w:val="0"/>
              </w:rPr>
            </w:pPr>
            <w:r w:rsidRPr="00BF6F06">
              <w:rPr>
                <w:bCs w:val="0"/>
              </w:rPr>
              <w:t>Indirect comparison regorafenib vs. trifluridine/tipiracil for OS</w:t>
            </w:r>
          </w:p>
        </w:tc>
        <w:tc>
          <w:tcPr>
            <w:tcW w:w="1634" w:type="dxa"/>
            <w:shd w:val="clear" w:color="auto" w:fill="auto"/>
            <w:vAlign w:val="center"/>
          </w:tcPr>
          <w:p w14:paraId="7447AAB3" w14:textId="77777777" w:rsidR="00DC33F2" w:rsidRPr="00684A1E" w:rsidRDefault="00DC33F2" w:rsidP="008E64A9">
            <w:pPr>
              <w:pStyle w:val="Default"/>
              <w:keepNext/>
              <w:jc w:val="center"/>
              <w:rPr>
                <w:rFonts w:ascii="Arial Narrow" w:eastAsiaTheme="majorEastAsia" w:hAnsi="Arial Narrow" w:cstheme="majorBidi"/>
                <w:bCs/>
                <w:color w:val="auto"/>
                <w:sz w:val="20"/>
                <w:lang w:val="en-AU"/>
              </w:rPr>
            </w:pPr>
            <w:r w:rsidRPr="00684A1E">
              <w:rPr>
                <w:rFonts w:ascii="Arial Narrow" w:eastAsiaTheme="majorEastAsia" w:hAnsi="Arial Narrow" w:cstheme="majorBidi"/>
                <w:bCs/>
                <w:color w:val="auto"/>
                <w:sz w:val="20"/>
                <w:lang w:val="en-AU"/>
              </w:rPr>
              <w:t>1.13 (0.88, 1.4</w:t>
            </w:r>
            <w:r>
              <w:rPr>
                <w:rFonts w:ascii="Arial Narrow" w:eastAsiaTheme="majorEastAsia" w:hAnsi="Arial Narrow" w:cstheme="majorBidi"/>
                <w:bCs/>
                <w:color w:val="auto"/>
                <w:sz w:val="20"/>
                <w:lang w:val="en-AU"/>
              </w:rPr>
              <w:t>6</w:t>
            </w:r>
            <w:r w:rsidRPr="00684A1E">
              <w:rPr>
                <w:rFonts w:ascii="Arial Narrow" w:eastAsiaTheme="majorEastAsia" w:hAnsi="Arial Narrow" w:cstheme="majorBidi"/>
                <w:bCs/>
                <w:color w:val="auto"/>
                <w:sz w:val="20"/>
                <w:lang w:val="en-AU"/>
              </w:rPr>
              <w:t>)</w:t>
            </w:r>
          </w:p>
        </w:tc>
      </w:tr>
      <w:tr w:rsidR="00DC33F2" w:rsidRPr="008123DA" w14:paraId="6A82CF14" w14:textId="77777777" w:rsidTr="00AD478D">
        <w:tc>
          <w:tcPr>
            <w:tcW w:w="7383" w:type="dxa"/>
            <w:gridSpan w:val="5"/>
            <w:vAlign w:val="center"/>
          </w:tcPr>
          <w:p w14:paraId="6AF3BDA2" w14:textId="77777777" w:rsidR="00DC33F2" w:rsidRPr="00BF6F06" w:rsidRDefault="00DC33F2" w:rsidP="008E64A9">
            <w:pPr>
              <w:pStyle w:val="TableText0"/>
              <w:jc w:val="right"/>
              <w:rPr>
                <w:bCs w:val="0"/>
              </w:rPr>
            </w:pPr>
            <w:r w:rsidRPr="00BF6F06">
              <w:rPr>
                <w:bCs w:val="0"/>
              </w:rPr>
              <w:t>Indirect comparison regorafenib vs. trifluridine/tipiracil for PFS</w:t>
            </w:r>
          </w:p>
        </w:tc>
        <w:tc>
          <w:tcPr>
            <w:tcW w:w="1634" w:type="dxa"/>
            <w:shd w:val="clear" w:color="auto" w:fill="auto"/>
            <w:vAlign w:val="center"/>
          </w:tcPr>
          <w:p w14:paraId="23BED1C9" w14:textId="77777777" w:rsidR="00DC33F2" w:rsidRPr="00684A1E" w:rsidRDefault="00DC33F2" w:rsidP="008E64A9">
            <w:pPr>
              <w:pStyle w:val="Default"/>
              <w:keepNext/>
              <w:jc w:val="center"/>
              <w:rPr>
                <w:rFonts w:ascii="Arial Narrow" w:eastAsiaTheme="majorEastAsia" w:hAnsi="Arial Narrow" w:cstheme="majorBidi"/>
                <w:bCs/>
                <w:color w:val="auto"/>
                <w:sz w:val="20"/>
                <w:lang w:val="en-AU"/>
              </w:rPr>
            </w:pPr>
            <w:r w:rsidRPr="00513233">
              <w:rPr>
                <w:rFonts w:ascii="Arial Narrow" w:eastAsiaTheme="majorEastAsia" w:hAnsi="Arial Narrow" w:cstheme="majorBidi"/>
                <w:bCs/>
                <w:color w:val="auto"/>
                <w:sz w:val="20"/>
                <w:lang w:val="en-AU"/>
              </w:rPr>
              <w:t>1.02</w:t>
            </w:r>
            <w:r>
              <w:rPr>
                <w:rFonts w:ascii="Arial Narrow" w:eastAsiaTheme="majorEastAsia" w:hAnsi="Arial Narrow" w:cstheme="majorBidi"/>
                <w:bCs/>
                <w:color w:val="auto"/>
                <w:sz w:val="20"/>
                <w:lang w:val="en-AU"/>
              </w:rPr>
              <w:t xml:space="preserve"> </w:t>
            </w:r>
            <w:r w:rsidRPr="00513233">
              <w:rPr>
                <w:rFonts w:ascii="Arial Narrow" w:eastAsiaTheme="majorEastAsia" w:hAnsi="Arial Narrow" w:cstheme="majorBidi"/>
                <w:bCs/>
                <w:color w:val="auto"/>
                <w:sz w:val="20"/>
                <w:lang w:val="en-AU"/>
              </w:rPr>
              <w:t>(0.8</w:t>
            </w:r>
            <w:r>
              <w:rPr>
                <w:rFonts w:ascii="Arial Narrow" w:eastAsiaTheme="majorEastAsia" w:hAnsi="Arial Narrow" w:cstheme="majorBidi"/>
                <w:bCs/>
                <w:color w:val="auto"/>
                <w:sz w:val="20"/>
                <w:lang w:val="en-AU"/>
              </w:rPr>
              <w:t>2</w:t>
            </w:r>
            <w:r w:rsidRPr="00513233">
              <w:rPr>
                <w:rFonts w:ascii="Arial Narrow" w:eastAsiaTheme="majorEastAsia" w:hAnsi="Arial Narrow" w:cstheme="majorBidi"/>
                <w:bCs/>
                <w:color w:val="auto"/>
                <w:sz w:val="20"/>
                <w:lang w:val="en-AU"/>
              </w:rPr>
              <w:t>, 1.2</w:t>
            </w:r>
            <w:r>
              <w:rPr>
                <w:rFonts w:ascii="Arial Narrow" w:eastAsiaTheme="majorEastAsia" w:hAnsi="Arial Narrow" w:cstheme="majorBidi"/>
                <w:bCs/>
                <w:color w:val="auto"/>
                <w:sz w:val="20"/>
                <w:lang w:val="en-AU"/>
              </w:rPr>
              <w:t>8</w:t>
            </w:r>
            <w:r w:rsidRPr="00513233">
              <w:rPr>
                <w:rFonts w:ascii="Arial Narrow" w:eastAsiaTheme="majorEastAsia" w:hAnsi="Arial Narrow" w:cstheme="majorBidi"/>
                <w:bCs/>
                <w:color w:val="auto"/>
                <w:sz w:val="20"/>
                <w:lang w:val="en-AU"/>
              </w:rPr>
              <w:t>)</w:t>
            </w:r>
          </w:p>
        </w:tc>
      </w:tr>
    </w:tbl>
    <w:p w14:paraId="374F21E9" w14:textId="77777777" w:rsidR="003A6B97" w:rsidRDefault="003A6B97" w:rsidP="008E64A9">
      <w:pPr>
        <w:pStyle w:val="TableFigureFooter"/>
        <w:keepNext/>
        <w:rPr>
          <w:lang w:eastAsia="en-GB"/>
        </w:rPr>
      </w:pPr>
      <w:bookmarkStart w:id="31" w:name="_Hlk81384611"/>
      <w:r w:rsidRPr="00DD545E">
        <w:rPr>
          <w:lang w:eastAsia="en-GB"/>
        </w:rPr>
        <w:t>Source</w:t>
      </w:r>
      <w:r>
        <w:rPr>
          <w:lang w:eastAsia="en-GB"/>
        </w:rPr>
        <w:t>s</w:t>
      </w:r>
      <w:r w:rsidRPr="00DD545E">
        <w:rPr>
          <w:lang w:eastAsia="en-GB"/>
        </w:rPr>
        <w:t>:</w:t>
      </w:r>
      <w:r>
        <w:rPr>
          <w:lang w:eastAsia="en-GB"/>
        </w:rPr>
        <w:t xml:space="preserve"> Table 2-17, p93, </w:t>
      </w:r>
      <w:r>
        <w:t xml:space="preserve">Table 2-18, p94, </w:t>
      </w:r>
      <w:r>
        <w:rPr>
          <w:lang w:eastAsia="en-GB"/>
        </w:rPr>
        <w:t xml:space="preserve">Table 2-25, p103, </w:t>
      </w:r>
      <w:r>
        <w:t xml:space="preserve">Table 2-26, p104, </w:t>
      </w:r>
      <w:r>
        <w:rPr>
          <w:lang w:eastAsia="en-GB"/>
        </w:rPr>
        <w:t xml:space="preserve">Table 2-48, p148 and Table 2-49, p149 of the resubmission. </w:t>
      </w:r>
      <w:r w:rsidRPr="006226F4">
        <w:rPr>
          <w:lang w:eastAsia="en-GB"/>
        </w:rPr>
        <w:t>CI</w:t>
      </w:r>
      <w:r>
        <w:rPr>
          <w:lang w:eastAsia="en-GB"/>
        </w:rPr>
        <w:t xml:space="preserve"> =</w:t>
      </w:r>
      <w:r w:rsidRPr="006226F4">
        <w:rPr>
          <w:lang w:eastAsia="en-GB"/>
        </w:rPr>
        <w:t xml:space="preserve"> confidence interval</w:t>
      </w:r>
      <w:r>
        <w:rPr>
          <w:lang w:eastAsia="en-GB"/>
        </w:rPr>
        <w:t xml:space="preserve">, </w:t>
      </w:r>
      <w:r w:rsidRPr="006226F4">
        <w:rPr>
          <w:lang w:eastAsia="en-GB"/>
        </w:rPr>
        <w:t>HR</w:t>
      </w:r>
      <w:r>
        <w:rPr>
          <w:lang w:eastAsia="en-GB"/>
        </w:rPr>
        <w:t xml:space="preserve"> = </w:t>
      </w:r>
      <w:r w:rsidRPr="006226F4">
        <w:rPr>
          <w:lang w:eastAsia="en-GB"/>
        </w:rPr>
        <w:t>hazard ratio</w:t>
      </w:r>
      <w:r>
        <w:rPr>
          <w:lang w:eastAsia="en-GB"/>
        </w:rPr>
        <w:t xml:space="preserve">, </w:t>
      </w:r>
      <w:r w:rsidRPr="00B40358">
        <w:rPr>
          <w:rFonts w:eastAsia="Calibri"/>
        </w:rPr>
        <w:t>n = number of participants reporting data</w:t>
      </w:r>
      <w:r>
        <w:rPr>
          <w:rFonts w:eastAsia="Calibri"/>
        </w:rPr>
        <w:t>,</w:t>
      </w:r>
      <w:r w:rsidRPr="00B40358">
        <w:rPr>
          <w:rFonts w:eastAsia="Calibri"/>
        </w:rPr>
        <w:t xml:space="preserve"> N = total participants in group</w:t>
      </w:r>
      <w:r>
        <w:rPr>
          <w:rFonts w:eastAsia="Calibri"/>
        </w:rPr>
        <w:t xml:space="preserve">, </w:t>
      </w:r>
      <w:r>
        <w:rPr>
          <w:lang w:eastAsia="en-GB"/>
        </w:rPr>
        <w:t xml:space="preserve">OS = overall survival, </w:t>
      </w:r>
      <w:r w:rsidRPr="006226F4">
        <w:rPr>
          <w:lang w:eastAsia="en-GB"/>
        </w:rPr>
        <w:t>PFS</w:t>
      </w:r>
      <w:r>
        <w:rPr>
          <w:lang w:eastAsia="en-GB"/>
        </w:rPr>
        <w:t xml:space="preserve"> = </w:t>
      </w:r>
      <w:r w:rsidRPr="006226F4">
        <w:rPr>
          <w:lang w:eastAsia="en-GB"/>
        </w:rPr>
        <w:t>progression-free survival</w:t>
      </w:r>
      <w:r>
        <w:rPr>
          <w:lang w:eastAsia="en-GB"/>
        </w:rPr>
        <w:t>.</w:t>
      </w:r>
    </w:p>
    <w:p w14:paraId="71D4B3D8" w14:textId="77777777" w:rsidR="003A6B97" w:rsidRPr="00BF6F06" w:rsidRDefault="003A6B97" w:rsidP="008E64A9">
      <w:pPr>
        <w:pStyle w:val="TableFigureFooter"/>
        <w:keepNext/>
        <w:rPr>
          <w:lang w:eastAsia="en-GB"/>
        </w:rPr>
      </w:pPr>
      <w:r w:rsidRPr="00CA7496">
        <w:rPr>
          <w:rFonts w:eastAsia="Calibri"/>
          <w:b/>
          <w:bCs/>
        </w:rPr>
        <w:t>Bold</w:t>
      </w:r>
      <w:r>
        <w:rPr>
          <w:rFonts w:eastAsia="Calibri"/>
          <w:b/>
          <w:bCs/>
        </w:rPr>
        <w:t xml:space="preserve"> </w:t>
      </w:r>
      <w:r w:rsidRPr="00CA7496">
        <w:rPr>
          <w:rFonts w:eastAsia="Calibri"/>
        </w:rPr>
        <w:t>indicates statistically significant results</w:t>
      </w:r>
      <w:r>
        <w:rPr>
          <w:rFonts w:eastAsia="Calibri"/>
        </w:rPr>
        <w:t>.</w:t>
      </w:r>
    </w:p>
    <w:p w14:paraId="2A2DBB22" w14:textId="2C739B2E" w:rsidR="00C16833" w:rsidRPr="00BF6F06" w:rsidRDefault="003A6B97" w:rsidP="00754394">
      <w:pPr>
        <w:pStyle w:val="TableFigureFooter"/>
        <w:keepNext/>
        <w:rPr>
          <w:lang w:eastAsia="en-GB"/>
        </w:rPr>
      </w:pPr>
      <w:r>
        <w:rPr>
          <w:lang w:eastAsia="en-GB"/>
        </w:rPr>
        <w:t>Shaded cells include data presented to PBAC before.</w:t>
      </w:r>
    </w:p>
    <w:bookmarkEnd w:id="31"/>
    <w:p w14:paraId="3770DE1F" w14:textId="77777777" w:rsidR="00DC33F2" w:rsidRPr="008705DE" w:rsidRDefault="00DC33F2" w:rsidP="00DC33F2">
      <w:pPr>
        <w:pStyle w:val="3-BodyText"/>
        <w:rPr>
          <w:color w:val="0066FF"/>
        </w:rPr>
      </w:pPr>
      <w:r w:rsidRPr="00CB2062">
        <w:t>The indirect analyses of regorafenib and trifluridine/tipiracil showed no statistically significant difference in</w:t>
      </w:r>
      <w:r w:rsidR="00CB2062">
        <w:t xml:space="preserve"> </w:t>
      </w:r>
      <w:r w:rsidR="00CB2062" w:rsidRPr="008705DE">
        <w:t>OS or PFS</w:t>
      </w:r>
      <w:r w:rsidRPr="008705DE">
        <w:t xml:space="preserve">. </w:t>
      </w:r>
      <w:r w:rsidRPr="008705DE">
        <w:rPr>
          <w:iCs/>
        </w:rPr>
        <w:t>However, the resubmission did not specify a non-inferiority margin</w:t>
      </w:r>
      <w:r w:rsidR="00CB2062" w:rsidRPr="008705DE">
        <w:rPr>
          <w:iCs/>
        </w:rPr>
        <w:t xml:space="preserve">, which makes it </w:t>
      </w:r>
      <w:r w:rsidR="00E03621" w:rsidRPr="008705DE">
        <w:rPr>
          <w:iCs/>
        </w:rPr>
        <w:t xml:space="preserve">difficult </w:t>
      </w:r>
      <w:r w:rsidR="00CB2062" w:rsidRPr="008705DE">
        <w:rPr>
          <w:iCs/>
        </w:rPr>
        <w:t xml:space="preserve">to assess </w:t>
      </w:r>
      <w:r w:rsidR="00AA545C" w:rsidRPr="008705DE">
        <w:rPr>
          <w:iCs/>
        </w:rPr>
        <w:t xml:space="preserve">the </w:t>
      </w:r>
      <w:r w:rsidR="00CB2062" w:rsidRPr="008705DE">
        <w:rPr>
          <w:iCs/>
        </w:rPr>
        <w:t>non-inferiority</w:t>
      </w:r>
      <w:r w:rsidR="00AA545C" w:rsidRPr="008705DE">
        <w:rPr>
          <w:iCs/>
        </w:rPr>
        <w:t xml:space="preserve"> claim.</w:t>
      </w:r>
      <w:r w:rsidR="00CB2062" w:rsidRPr="008705DE">
        <w:rPr>
          <w:iCs/>
        </w:rPr>
        <w:t xml:space="preserve"> </w:t>
      </w:r>
      <w:r w:rsidRPr="008705DE">
        <w:rPr>
          <w:iCs/>
        </w:rPr>
        <w:t xml:space="preserve"> </w:t>
      </w:r>
    </w:p>
    <w:p w14:paraId="00060BC7" w14:textId="77777777" w:rsidR="00D77851" w:rsidRPr="003A414F" w:rsidRDefault="003E4EFA" w:rsidP="003A414F">
      <w:pPr>
        <w:pStyle w:val="3-BodyText"/>
        <w:rPr>
          <w:rStyle w:val="CommentReference"/>
          <w:rFonts w:asciiTheme="minorHAnsi" w:hAnsiTheme="minorHAnsi"/>
          <w:b w:val="0"/>
          <w:sz w:val="24"/>
          <w:szCs w:val="24"/>
          <w:lang w:eastAsia="en-GB"/>
        </w:rPr>
      </w:pPr>
      <w:r w:rsidRPr="008705DE">
        <w:rPr>
          <w:rFonts w:ascii="Calibri" w:hAnsi="Calibri"/>
        </w:rPr>
        <w:t xml:space="preserve">The resubmission excluded the CONCUR trial as well as the TERRA and J003 trail from the main indirect comparison. </w:t>
      </w:r>
      <w:r w:rsidRPr="008705DE">
        <w:rPr>
          <w:rFonts w:ascii="Calibri" w:hAnsi="Calibri"/>
          <w:iCs/>
        </w:rPr>
        <w:t xml:space="preserve">Subgroup analyses showed that differences in patient characteristics did not have significant treatment modification effect. Furthermore, there was low heterogeneity in the pooled results of the RECOURSE, TERRA and J003. </w:t>
      </w:r>
      <w:r w:rsidRPr="008705DE">
        <w:rPr>
          <w:rFonts w:ascii="Calibri" w:hAnsi="Calibri"/>
        </w:rPr>
        <w:t>In the trifluridine/tipiracil 2016 consideration, the PBAC considered that the exclusion of J003 might not have been warranted as patients in J003 would still qualify for treatment under the proposed PBS listing (paragraph 6.5, trifluridine/tipiracil, Public Summary Document, November 2016 PBAC meeting). S</w:t>
      </w:r>
      <w:r w:rsidRPr="008705DE">
        <w:t xml:space="preserve">ensitivity analyses of the indirect comparison </w:t>
      </w:r>
      <w:r w:rsidR="00A75C96" w:rsidRPr="008705DE">
        <w:t xml:space="preserve">using alternative combinations of trials </w:t>
      </w:r>
      <w:r w:rsidRPr="008705DE">
        <w:t>are presented in Table 6</w:t>
      </w:r>
      <w:r>
        <w:t>.</w:t>
      </w:r>
    </w:p>
    <w:p w14:paraId="02FE93D5" w14:textId="77777777" w:rsidR="003E4EFA" w:rsidRPr="00FB65CF" w:rsidRDefault="003E4EFA" w:rsidP="008E64A9">
      <w:pPr>
        <w:pStyle w:val="TableFigureHeading"/>
      </w:pPr>
      <w:r w:rsidRPr="002278A0">
        <w:rPr>
          <w:rStyle w:val="CommentReference"/>
          <w:b/>
          <w:szCs w:val="24"/>
        </w:rPr>
        <w:t xml:space="preserve">Table </w:t>
      </w:r>
      <w:r>
        <w:rPr>
          <w:rStyle w:val="CommentReference"/>
          <w:b/>
          <w:szCs w:val="24"/>
        </w:rPr>
        <w:t>6</w:t>
      </w:r>
      <w:r w:rsidRPr="002278A0">
        <w:rPr>
          <w:rStyle w:val="CommentReference"/>
          <w:b/>
          <w:szCs w:val="24"/>
        </w:rPr>
        <w:t xml:space="preserve">: Results of </w:t>
      </w:r>
      <w:r>
        <w:rPr>
          <w:rStyle w:val="CommentReference"/>
          <w:b/>
          <w:szCs w:val="24"/>
        </w:rPr>
        <w:t>sensitivity analyses of regorafenib and trifluridine/tipiracil: OS and PFS</w:t>
      </w:r>
    </w:p>
    <w:tbl>
      <w:tblPr>
        <w:tblStyle w:val="TableGrid"/>
        <w:tblW w:w="0" w:type="auto"/>
        <w:tblLook w:val="04A0" w:firstRow="1" w:lastRow="0" w:firstColumn="1" w:lastColumn="0" w:noHBand="0" w:noVBand="1"/>
        <w:tblCaption w:val="Table 6: Results of sensitivity analyses of regorafenib and trifluridine/tipiracil: OS and PFS"/>
      </w:tblPr>
      <w:tblGrid>
        <w:gridCol w:w="1555"/>
        <w:gridCol w:w="2126"/>
        <w:gridCol w:w="2268"/>
        <w:gridCol w:w="3068"/>
      </w:tblGrid>
      <w:tr w:rsidR="003E4EFA" w:rsidRPr="006226F4" w14:paraId="22961A2D" w14:textId="77777777" w:rsidTr="001C4EA7">
        <w:trPr>
          <w:tblHeader/>
        </w:trPr>
        <w:tc>
          <w:tcPr>
            <w:tcW w:w="1555" w:type="dxa"/>
          </w:tcPr>
          <w:p w14:paraId="7B7A113E" w14:textId="77777777" w:rsidR="003E4EFA" w:rsidRPr="006226F4" w:rsidRDefault="003E4EFA" w:rsidP="008E64A9">
            <w:pPr>
              <w:pStyle w:val="Tabletext"/>
              <w:keepNext/>
              <w:widowControl w:val="0"/>
              <w:jc w:val="center"/>
              <w:rPr>
                <w:b/>
                <w:bCs/>
                <w:lang w:eastAsia="en-GB"/>
              </w:rPr>
            </w:pPr>
            <w:r w:rsidRPr="006226F4">
              <w:rPr>
                <w:b/>
                <w:bCs/>
                <w:lang w:eastAsia="en-GB"/>
              </w:rPr>
              <w:t>Analysis</w:t>
            </w:r>
          </w:p>
        </w:tc>
        <w:tc>
          <w:tcPr>
            <w:tcW w:w="4394" w:type="dxa"/>
            <w:gridSpan w:val="2"/>
          </w:tcPr>
          <w:p w14:paraId="14F46E3B" w14:textId="77777777" w:rsidR="003E4EFA" w:rsidRPr="006226F4" w:rsidRDefault="003E4EFA" w:rsidP="008E64A9">
            <w:pPr>
              <w:pStyle w:val="Tabletext"/>
              <w:keepNext/>
              <w:widowControl w:val="0"/>
              <w:jc w:val="center"/>
              <w:rPr>
                <w:b/>
                <w:bCs/>
                <w:lang w:eastAsia="en-GB"/>
              </w:rPr>
            </w:pPr>
            <w:r w:rsidRPr="006226F4">
              <w:rPr>
                <w:b/>
                <w:bCs/>
                <w:lang w:eastAsia="en-GB"/>
              </w:rPr>
              <w:t>Direct HR (95% CI)</w:t>
            </w:r>
          </w:p>
        </w:tc>
        <w:tc>
          <w:tcPr>
            <w:tcW w:w="3068" w:type="dxa"/>
          </w:tcPr>
          <w:p w14:paraId="003594B2" w14:textId="77777777" w:rsidR="003E4EFA" w:rsidRPr="006226F4" w:rsidRDefault="003E4EFA" w:rsidP="008E64A9">
            <w:pPr>
              <w:pStyle w:val="Tabletext"/>
              <w:keepNext/>
              <w:widowControl w:val="0"/>
              <w:jc w:val="center"/>
              <w:rPr>
                <w:b/>
                <w:bCs/>
                <w:lang w:eastAsia="en-GB"/>
              </w:rPr>
            </w:pPr>
            <w:r w:rsidRPr="006226F4">
              <w:rPr>
                <w:b/>
                <w:bCs/>
                <w:lang w:eastAsia="en-GB"/>
              </w:rPr>
              <w:t>Indirect HR (95% CI)</w:t>
            </w:r>
          </w:p>
        </w:tc>
      </w:tr>
      <w:tr w:rsidR="003E4EFA" w:rsidRPr="006226F4" w14:paraId="35793EB5" w14:textId="77777777" w:rsidTr="001C4EA7">
        <w:trPr>
          <w:tblHeader/>
        </w:trPr>
        <w:tc>
          <w:tcPr>
            <w:tcW w:w="1555" w:type="dxa"/>
          </w:tcPr>
          <w:p w14:paraId="7376FBF3" w14:textId="77777777" w:rsidR="003E4EFA" w:rsidRPr="006226F4" w:rsidRDefault="003E4EFA" w:rsidP="008E64A9">
            <w:pPr>
              <w:pStyle w:val="Tabletext"/>
              <w:keepNext/>
              <w:widowControl w:val="0"/>
              <w:jc w:val="center"/>
              <w:rPr>
                <w:b/>
                <w:bCs/>
                <w:lang w:eastAsia="en-GB"/>
              </w:rPr>
            </w:pPr>
          </w:p>
        </w:tc>
        <w:tc>
          <w:tcPr>
            <w:tcW w:w="2126" w:type="dxa"/>
          </w:tcPr>
          <w:p w14:paraId="36AC8C12" w14:textId="77777777" w:rsidR="003E4EFA" w:rsidRPr="006226F4" w:rsidRDefault="003E4EFA" w:rsidP="008E64A9">
            <w:pPr>
              <w:pStyle w:val="Tabletext"/>
              <w:keepNext/>
              <w:widowControl w:val="0"/>
              <w:jc w:val="center"/>
              <w:rPr>
                <w:b/>
                <w:bCs/>
                <w:lang w:eastAsia="en-GB"/>
              </w:rPr>
            </w:pPr>
            <w:r w:rsidRPr="006226F4">
              <w:rPr>
                <w:b/>
                <w:bCs/>
                <w:lang w:eastAsia="en-GB"/>
              </w:rPr>
              <w:t>REG vs. placebo</w:t>
            </w:r>
          </w:p>
        </w:tc>
        <w:tc>
          <w:tcPr>
            <w:tcW w:w="2268" w:type="dxa"/>
          </w:tcPr>
          <w:p w14:paraId="14864C82" w14:textId="77777777" w:rsidR="003E4EFA" w:rsidRPr="006226F4" w:rsidRDefault="003E4EFA" w:rsidP="008E64A9">
            <w:pPr>
              <w:pStyle w:val="Tabletext"/>
              <w:keepNext/>
              <w:widowControl w:val="0"/>
              <w:jc w:val="center"/>
              <w:rPr>
                <w:b/>
                <w:bCs/>
                <w:lang w:eastAsia="en-GB"/>
              </w:rPr>
            </w:pPr>
            <w:r w:rsidRPr="006226F4">
              <w:rPr>
                <w:b/>
                <w:bCs/>
                <w:lang w:eastAsia="en-GB"/>
              </w:rPr>
              <w:t>T/T vs. placebo</w:t>
            </w:r>
          </w:p>
        </w:tc>
        <w:tc>
          <w:tcPr>
            <w:tcW w:w="3068" w:type="dxa"/>
          </w:tcPr>
          <w:p w14:paraId="7F31D304" w14:textId="77777777" w:rsidR="003E4EFA" w:rsidRPr="006226F4" w:rsidRDefault="003E4EFA" w:rsidP="008E64A9">
            <w:pPr>
              <w:pStyle w:val="Tabletext"/>
              <w:keepNext/>
              <w:widowControl w:val="0"/>
              <w:jc w:val="center"/>
              <w:rPr>
                <w:b/>
                <w:bCs/>
                <w:lang w:eastAsia="en-GB"/>
              </w:rPr>
            </w:pPr>
            <w:r w:rsidRPr="006226F4">
              <w:rPr>
                <w:b/>
                <w:bCs/>
                <w:lang w:eastAsia="en-GB"/>
              </w:rPr>
              <w:t>REG vs. T/T</w:t>
            </w:r>
          </w:p>
        </w:tc>
      </w:tr>
      <w:tr w:rsidR="003E4EFA" w:rsidRPr="006226F4" w14:paraId="28F8777F" w14:textId="77777777" w:rsidTr="00AD478D">
        <w:tc>
          <w:tcPr>
            <w:tcW w:w="9017" w:type="dxa"/>
            <w:gridSpan w:val="4"/>
          </w:tcPr>
          <w:p w14:paraId="07678225" w14:textId="77777777" w:rsidR="003E4EFA" w:rsidRPr="006226F4" w:rsidRDefault="003E4EFA" w:rsidP="008E64A9">
            <w:pPr>
              <w:pStyle w:val="Tabletext"/>
              <w:keepNext/>
              <w:widowControl w:val="0"/>
              <w:rPr>
                <w:b/>
                <w:bCs/>
                <w:lang w:eastAsia="en-GB"/>
              </w:rPr>
            </w:pPr>
            <w:r>
              <w:rPr>
                <w:b/>
                <w:bCs/>
                <w:lang w:eastAsia="en-GB"/>
              </w:rPr>
              <w:t>OS</w:t>
            </w:r>
          </w:p>
        </w:tc>
      </w:tr>
      <w:tr w:rsidR="003E4EFA" w:rsidRPr="006226F4" w14:paraId="3F538357" w14:textId="77777777" w:rsidTr="00AD478D">
        <w:tc>
          <w:tcPr>
            <w:tcW w:w="1555" w:type="dxa"/>
          </w:tcPr>
          <w:p w14:paraId="5F0D0380" w14:textId="77777777" w:rsidR="003E4EFA" w:rsidRPr="006226F4" w:rsidRDefault="003E4EFA" w:rsidP="008E64A9">
            <w:pPr>
              <w:pStyle w:val="Tabletext"/>
              <w:keepNext/>
              <w:widowControl w:val="0"/>
              <w:rPr>
                <w:lang w:eastAsia="en-GB"/>
              </w:rPr>
            </w:pPr>
            <w:r w:rsidRPr="006226F4">
              <w:rPr>
                <w:lang w:eastAsia="en-GB"/>
              </w:rPr>
              <w:t>OS (main)</w:t>
            </w:r>
          </w:p>
        </w:tc>
        <w:tc>
          <w:tcPr>
            <w:tcW w:w="2126" w:type="dxa"/>
          </w:tcPr>
          <w:p w14:paraId="114C2077" w14:textId="77777777" w:rsidR="003E4EFA" w:rsidRPr="006226F4" w:rsidRDefault="003E4EFA" w:rsidP="008E64A9">
            <w:pPr>
              <w:pStyle w:val="Tabletext"/>
              <w:keepNext/>
              <w:widowControl w:val="0"/>
              <w:jc w:val="center"/>
              <w:rPr>
                <w:lang w:eastAsia="en-GB"/>
              </w:rPr>
            </w:pPr>
            <w:r w:rsidRPr="006226F4">
              <w:rPr>
                <w:lang w:eastAsia="en-GB"/>
              </w:rPr>
              <w:t>0.77 (0.64, 0.94)</w:t>
            </w:r>
          </w:p>
        </w:tc>
        <w:tc>
          <w:tcPr>
            <w:tcW w:w="2268" w:type="dxa"/>
          </w:tcPr>
          <w:p w14:paraId="30863C57" w14:textId="77777777" w:rsidR="003E4EFA" w:rsidRPr="006226F4" w:rsidRDefault="003E4EFA" w:rsidP="008E64A9">
            <w:pPr>
              <w:pStyle w:val="Tabletext"/>
              <w:keepNext/>
              <w:widowControl w:val="0"/>
              <w:jc w:val="center"/>
              <w:rPr>
                <w:lang w:eastAsia="en-GB"/>
              </w:rPr>
            </w:pPr>
            <w:r w:rsidRPr="006226F4">
              <w:rPr>
                <w:lang w:eastAsia="en-GB"/>
              </w:rPr>
              <w:t>0.68 (0.58, 0.8)</w:t>
            </w:r>
          </w:p>
        </w:tc>
        <w:tc>
          <w:tcPr>
            <w:tcW w:w="3068" w:type="dxa"/>
          </w:tcPr>
          <w:p w14:paraId="28C5978B" w14:textId="77777777" w:rsidR="003E4EFA" w:rsidRPr="006226F4" w:rsidRDefault="003E4EFA" w:rsidP="008E64A9">
            <w:pPr>
              <w:pStyle w:val="Tabletext"/>
              <w:keepNext/>
              <w:widowControl w:val="0"/>
              <w:jc w:val="center"/>
              <w:rPr>
                <w:lang w:eastAsia="en-GB"/>
              </w:rPr>
            </w:pPr>
            <w:r w:rsidRPr="006226F4">
              <w:rPr>
                <w:lang w:eastAsia="en-GB"/>
              </w:rPr>
              <w:t xml:space="preserve">1.132 (0.881, 1.455) </w:t>
            </w:r>
          </w:p>
        </w:tc>
      </w:tr>
      <w:tr w:rsidR="003E4EFA" w:rsidRPr="006226F4" w14:paraId="687ED167" w14:textId="77777777" w:rsidTr="00AD478D">
        <w:tc>
          <w:tcPr>
            <w:tcW w:w="1555" w:type="dxa"/>
          </w:tcPr>
          <w:p w14:paraId="01E28444" w14:textId="77777777" w:rsidR="003E4EFA" w:rsidRPr="006226F4" w:rsidRDefault="003E4EFA" w:rsidP="008E64A9">
            <w:pPr>
              <w:pStyle w:val="Tabletext"/>
              <w:keepNext/>
              <w:widowControl w:val="0"/>
              <w:rPr>
                <w:lang w:eastAsia="en-GB"/>
              </w:rPr>
            </w:pPr>
            <w:r w:rsidRPr="006226F4">
              <w:rPr>
                <w:lang w:eastAsia="en-GB"/>
              </w:rPr>
              <w:t>OS (sensitivity1)</w:t>
            </w:r>
          </w:p>
        </w:tc>
        <w:tc>
          <w:tcPr>
            <w:tcW w:w="2126" w:type="dxa"/>
          </w:tcPr>
          <w:p w14:paraId="69F8C824" w14:textId="77777777" w:rsidR="003E4EFA" w:rsidRPr="006226F4" w:rsidRDefault="003E4EFA" w:rsidP="008E64A9">
            <w:pPr>
              <w:pStyle w:val="Tabletext"/>
              <w:keepNext/>
              <w:widowControl w:val="0"/>
              <w:jc w:val="center"/>
              <w:rPr>
                <w:lang w:eastAsia="en-GB"/>
              </w:rPr>
            </w:pPr>
            <w:r w:rsidRPr="006226F4">
              <w:rPr>
                <w:lang w:eastAsia="en-GB"/>
              </w:rPr>
              <w:t>0.67 (0.48, 0.93)</w:t>
            </w:r>
          </w:p>
        </w:tc>
        <w:tc>
          <w:tcPr>
            <w:tcW w:w="2268" w:type="dxa"/>
          </w:tcPr>
          <w:p w14:paraId="08230A11" w14:textId="77777777" w:rsidR="003E4EFA" w:rsidRPr="006226F4" w:rsidRDefault="003E4EFA" w:rsidP="008E64A9">
            <w:pPr>
              <w:pStyle w:val="Tabletext"/>
              <w:keepNext/>
              <w:widowControl w:val="0"/>
              <w:jc w:val="center"/>
              <w:rPr>
                <w:lang w:eastAsia="en-GB"/>
              </w:rPr>
            </w:pPr>
            <w:r w:rsidRPr="006226F4">
              <w:rPr>
                <w:lang w:eastAsia="en-GB"/>
              </w:rPr>
              <w:t>0.69 (0.6, 0.8)</w:t>
            </w:r>
          </w:p>
        </w:tc>
        <w:tc>
          <w:tcPr>
            <w:tcW w:w="3068" w:type="dxa"/>
          </w:tcPr>
          <w:p w14:paraId="4345D164" w14:textId="77777777" w:rsidR="003E4EFA" w:rsidRPr="006226F4" w:rsidRDefault="003E4EFA" w:rsidP="008E64A9">
            <w:pPr>
              <w:pStyle w:val="Tabletext"/>
              <w:keepNext/>
              <w:widowControl w:val="0"/>
              <w:jc w:val="center"/>
              <w:rPr>
                <w:lang w:eastAsia="en-GB"/>
              </w:rPr>
            </w:pPr>
            <w:r w:rsidRPr="006226F4">
              <w:rPr>
                <w:lang w:eastAsia="en-GB"/>
              </w:rPr>
              <w:t>0.971 (0.677, 1.393)</w:t>
            </w:r>
            <w:r>
              <w:rPr>
                <w:lang w:eastAsia="en-GB"/>
              </w:rPr>
              <w:t xml:space="preserve"> </w:t>
            </w:r>
          </w:p>
        </w:tc>
      </w:tr>
      <w:tr w:rsidR="003E4EFA" w:rsidRPr="006226F4" w14:paraId="0029E00B" w14:textId="77777777" w:rsidTr="00AD478D">
        <w:tc>
          <w:tcPr>
            <w:tcW w:w="1555" w:type="dxa"/>
          </w:tcPr>
          <w:p w14:paraId="643441B8" w14:textId="77777777" w:rsidR="003E4EFA" w:rsidRPr="006226F4" w:rsidRDefault="003E4EFA" w:rsidP="008E64A9">
            <w:pPr>
              <w:pStyle w:val="Tabletext"/>
              <w:keepNext/>
              <w:widowControl w:val="0"/>
              <w:rPr>
                <w:lang w:eastAsia="en-GB"/>
              </w:rPr>
            </w:pPr>
            <w:r w:rsidRPr="006226F4">
              <w:rPr>
                <w:lang w:eastAsia="en-GB"/>
              </w:rPr>
              <w:t>OS (sensitivity 2)</w:t>
            </w:r>
          </w:p>
        </w:tc>
        <w:tc>
          <w:tcPr>
            <w:tcW w:w="2126" w:type="dxa"/>
          </w:tcPr>
          <w:p w14:paraId="43CA1FDD" w14:textId="77777777" w:rsidR="003E4EFA" w:rsidRPr="006226F4" w:rsidRDefault="003E4EFA" w:rsidP="008E64A9">
            <w:pPr>
              <w:pStyle w:val="Tabletext"/>
              <w:keepNext/>
              <w:widowControl w:val="0"/>
              <w:jc w:val="center"/>
              <w:rPr>
                <w:lang w:eastAsia="en-GB"/>
              </w:rPr>
            </w:pPr>
            <w:r w:rsidRPr="006226F4">
              <w:rPr>
                <w:lang w:eastAsia="en-GB"/>
              </w:rPr>
              <w:t>0.77 (0.64, 0.94)</w:t>
            </w:r>
          </w:p>
        </w:tc>
        <w:tc>
          <w:tcPr>
            <w:tcW w:w="2268" w:type="dxa"/>
          </w:tcPr>
          <w:p w14:paraId="3C3529F7" w14:textId="77777777" w:rsidR="003E4EFA" w:rsidRPr="006226F4" w:rsidRDefault="003E4EFA" w:rsidP="008E64A9">
            <w:pPr>
              <w:pStyle w:val="Tabletext"/>
              <w:keepNext/>
              <w:widowControl w:val="0"/>
              <w:jc w:val="center"/>
              <w:rPr>
                <w:lang w:eastAsia="en-GB"/>
              </w:rPr>
            </w:pPr>
            <w:r w:rsidRPr="006226F4">
              <w:rPr>
                <w:lang w:eastAsia="en-GB"/>
              </w:rPr>
              <w:t>0.69 (0.6, 0.8)</w:t>
            </w:r>
          </w:p>
        </w:tc>
        <w:tc>
          <w:tcPr>
            <w:tcW w:w="3068" w:type="dxa"/>
          </w:tcPr>
          <w:p w14:paraId="5E97C9E9" w14:textId="77777777" w:rsidR="003E4EFA" w:rsidRPr="006226F4" w:rsidRDefault="003E4EFA" w:rsidP="008E64A9">
            <w:pPr>
              <w:pStyle w:val="Tabletext"/>
              <w:keepNext/>
              <w:widowControl w:val="0"/>
              <w:jc w:val="center"/>
              <w:rPr>
                <w:lang w:eastAsia="en-GB"/>
              </w:rPr>
            </w:pPr>
            <w:r w:rsidRPr="006226F4">
              <w:rPr>
                <w:lang w:eastAsia="en-GB"/>
              </w:rPr>
              <w:t xml:space="preserve">1.116 </w:t>
            </w:r>
            <w:r>
              <w:rPr>
                <w:lang w:eastAsia="en-GB"/>
              </w:rPr>
              <w:t>(</w:t>
            </w:r>
            <w:r w:rsidRPr="006226F4">
              <w:rPr>
                <w:lang w:eastAsia="en-GB"/>
              </w:rPr>
              <w:t>0.878, 1.419</w:t>
            </w:r>
            <w:r>
              <w:rPr>
                <w:lang w:eastAsia="en-GB"/>
              </w:rPr>
              <w:t>)</w:t>
            </w:r>
            <w:r w:rsidRPr="006226F4">
              <w:rPr>
                <w:lang w:eastAsia="en-GB"/>
              </w:rPr>
              <w:t xml:space="preserve"> </w:t>
            </w:r>
          </w:p>
        </w:tc>
      </w:tr>
      <w:tr w:rsidR="003E4EFA" w:rsidRPr="006226F4" w14:paraId="7756A2A5" w14:textId="77777777" w:rsidTr="00AD478D">
        <w:tc>
          <w:tcPr>
            <w:tcW w:w="1555" w:type="dxa"/>
          </w:tcPr>
          <w:p w14:paraId="6184A4CA" w14:textId="77777777" w:rsidR="003E4EFA" w:rsidRPr="006226F4" w:rsidRDefault="003E4EFA" w:rsidP="008E64A9">
            <w:pPr>
              <w:pStyle w:val="Tabletext"/>
              <w:keepNext/>
              <w:widowControl w:val="0"/>
              <w:rPr>
                <w:lang w:eastAsia="en-GB"/>
              </w:rPr>
            </w:pPr>
            <w:r w:rsidRPr="006226F4">
              <w:rPr>
                <w:lang w:eastAsia="en-GB"/>
              </w:rPr>
              <w:t>OS (sensitivity 3)</w:t>
            </w:r>
          </w:p>
        </w:tc>
        <w:tc>
          <w:tcPr>
            <w:tcW w:w="2126" w:type="dxa"/>
          </w:tcPr>
          <w:p w14:paraId="38B2CC53" w14:textId="77777777" w:rsidR="003E4EFA" w:rsidRPr="006226F4" w:rsidRDefault="003E4EFA" w:rsidP="008E64A9">
            <w:pPr>
              <w:pStyle w:val="Tabletext"/>
              <w:keepNext/>
              <w:widowControl w:val="0"/>
              <w:jc w:val="center"/>
              <w:rPr>
                <w:lang w:eastAsia="en-GB"/>
              </w:rPr>
            </w:pPr>
            <w:r w:rsidRPr="006226F4">
              <w:rPr>
                <w:lang w:eastAsia="en-GB"/>
              </w:rPr>
              <w:t>0.55 (0.40, 0.76)</w:t>
            </w:r>
          </w:p>
        </w:tc>
        <w:tc>
          <w:tcPr>
            <w:tcW w:w="2268" w:type="dxa"/>
          </w:tcPr>
          <w:p w14:paraId="3E556671" w14:textId="77777777" w:rsidR="003E4EFA" w:rsidRPr="006226F4" w:rsidRDefault="003E4EFA" w:rsidP="008E64A9">
            <w:pPr>
              <w:pStyle w:val="Tabletext"/>
              <w:keepNext/>
              <w:widowControl w:val="0"/>
              <w:jc w:val="center"/>
              <w:rPr>
                <w:lang w:eastAsia="en-GB"/>
              </w:rPr>
            </w:pPr>
            <w:r w:rsidRPr="006226F4">
              <w:rPr>
                <w:lang w:eastAsia="en-GB"/>
              </w:rPr>
              <w:t>0.69 (0.6, 0.8)</w:t>
            </w:r>
          </w:p>
        </w:tc>
        <w:tc>
          <w:tcPr>
            <w:tcW w:w="3068" w:type="dxa"/>
          </w:tcPr>
          <w:p w14:paraId="6D47D22B" w14:textId="77777777" w:rsidR="003E4EFA" w:rsidRPr="006226F4" w:rsidRDefault="003E4EFA" w:rsidP="008E64A9">
            <w:pPr>
              <w:pStyle w:val="Tabletext"/>
              <w:keepNext/>
              <w:widowControl w:val="0"/>
              <w:jc w:val="center"/>
              <w:rPr>
                <w:lang w:eastAsia="en-GB"/>
              </w:rPr>
            </w:pPr>
            <w:r w:rsidRPr="006226F4">
              <w:rPr>
                <w:lang w:eastAsia="en-GB"/>
              </w:rPr>
              <w:t xml:space="preserve">0.797 </w:t>
            </w:r>
            <w:r>
              <w:rPr>
                <w:lang w:eastAsia="en-GB"/>
              </w:rPr>
              <w:t>(</w:t>
            </w:r>
            <w:r w:rsidRPr="006226F4">
              <w:rPr>
                <w:lang w:eastAsia="en-GB"/>
              </w:rPr>
              <w:t>0.561, 1.133</w:t>
            </w:r>
            <w:r>
              <w:rPr>
                <w:lang w:eastAsia="en-GB"/>
              </w:rPr>
              <w:t>)</w:t>
            </w:r>
            <w:r w:rsidRPr="006226F4">
              <w:rPr>
                <w:lang w:eastAsia="en-GB"/>
              </w:rPr>
              <w:t xml:space="preserve"> </w:t>
            </w:r>
          </w:p>
        </w:tc>
      </w:tr>
      <w:tr w:rsidR="003E4EFA" w:rsidRPr="006226F4" w14:paraId="169DB13A" w14:textId="77777777" w:rsidTr="00AD478D">
        <w:tc>
          <w:tcPr>
            <w:tcW w:w="9017" w:type="dxa"/>
            <w:gridSpan w:val="4"/>
          </w:tcPr>
          <w:p w14:paraId="51AA8ADA" w14:textId="77777777" w:rsidR="003E4EFA" w:rsidRPr="007113DA" w:rsidRDefault="003E4EFA" w:rsidP="008E64A9">
            <w:pPr>
              <w:pStyle w:val="Tabletext"/>
              <w:keepNext/>
              <w:widowControl w:val="0"/>
              <w:rPr>
                <w:b/>
                <w:bCs/>
                <w:lang w:eastAsia="en-GB"/>
              </w:rPr>
            </w:pPr>
            <w:r w:rsidRPr="007113DA">
              <w:rPr>
                <w:b/>
                <w:bCs/>
                <w:lang w:eastAsia="en-GB"/>
              </w:rPr>
              <w:t>PFS</w:t>
            </w:r>
          </w:p>
        </w:tc>
      </w:tr>
      <w:tr w:rsidR="003E4EFA" w:rsidRPr="006226F4" w14:paraId="5B6BBF9C" w14:textId="77777777" w:rsidTr="00AD478D">
        <w:tc>
          <w:tcPr>
            <w:tcW w:w="1555" w:type="dxa"/>
          </w:tcPr>
          <w:p w14:paraId="3AA4C45B" w14:textId="77777777" w:rsidR="003E4EFA" w:rsidRPr="006226F4" w:rsidRDefault="003E4EFA" w:rsidP="008E64A9">
            <w:pPr>
              <w:pStyle w:val="Tabletext"/>
              <w:keepNext/>
              <w:widowControl w:val="0"/>
              <w:rPr>
                <w:lang w:eastAsia="en-GB"/>
              </w:rPr>
            </w:pPr>
            <w:r w:rsidRPr="00CC2C76">
              <w:rPr>
                <w:lang w:eastAsia="en-GB"/>
              </w:rPr>
              <w:t>PFS (main)</w:t>
            </w:r>
          </w:p>
        </w:tc>
        <w:tc>
          <w:tcPr>
            <w:tcW w:w="2126" w:type="dxa"/>
          </w:tcPr>
          <w:p w14:paraId="5E0D9912" w14:textId="77777777" w:rsidR="003E4EFA" w:rsidRPr="006226F4" w:rsidRDefault="003E4EFA" w:rsidP="008E64A9">
            <w:pPr>
              <w:pStyle w:val="Tabletext"/>
              <w:keepNext/>
              <w:widowControl w:val="0"/>
              <w:jc w:val="center"/>
              <w:rPr>
                <w:lang w:eastAsia="en-GB"/>
              </w:rPr>
            </w:pPr>
            <w:r w:rsidRPr="00CC2C76">
              <w:rPr>
                <w:lang w:eastAsia="en-GB"/>
              </w:rPr>
              <w:t>0.49 (0.42, 0.58)</w:t>
            </w:r>
          </w:p>
        </w:tc>
        <w:tc>
          <w:tcPr>
            <w:tcW w:w="2268" w:type="dxa"/>
          </w:tcPr>
          <w:p w14:paraId="4AB6225A" w14:textId="77777777" w:rsidR="003E4EFA" w:rsidRPr="006226F4" w:rsidRDefault="003E4EFA" w:rsidP="008E64A9">
            <w:pPr>
              <w:pStyle w:val="Tabletext"/>
              <w:keepNext/>
              <w:widowControl w:val="0"/>
              <w:jc w:val="center"/>
              <w:rPr>
                <w:lang w:eastAsia="en-GB"/>
              </w:rPr>
            </w:pPr>
            <w:r w:rsidRPr="00CC2C76">
              <w:rPr>
                <w:lang w:eastAsia="en-GB"/>
              </w:rPr>
              <w:t>0.48 (0.41, 0.56)</w:t>
            </w:r>
          </w:p>
        </w:tc>
        <w:tc>
          <w:tcPr>
            <w:tcW w:w="3068" w:type="dxa"/>
          </w:tcPr>
          <w:p w14:paraId="4850B63B" w14:textId="77777777" w:rsidR="003E4EFA" w:rsidRPr="006226F4" w:rsidRDefault="003E4EFA" w:rsidP="008E64A9">
            <w:pPr>
              <w:pStyle w:val="Tabletext"/>
              <w:keepNext/>
              <w:widowControl w:val="0"/>
              <w:jc w:val="center"/>
              <w:rPr>
                <w:lang w:eastAsia="en-GB"/>
              </w:rPr>
            </w:pPr>
            <w:r w:rsidRPr="00CC2C76">
              <w:rPr>
                <w:lang w:eastAsia="en-GB"/>
              </w:rPr>
              <w:t xml:space="preserve">1.021 (0.816, 1.278) </w:t>
            </w:r>
          </w:p>
        </w:tc>
      </w:tr>
      <w:tr w:rsidR="003E4EFA" w:rsidRPr="006226F4" w14:paraId="3879A15D" w14:textId="77777777" w:rsidTr="00AD478D">
        <w:tc>
          <w:tcPr>
            <w:tcW w:w="1555" w:type="dxa"/>
          </w:tcPr>
          <w:p w14:paraId="4FA2BD21" w14:textId="77777777" w:rsidR="003E4EFA" w:rsidRPr="006226F4" w:rsidRDefault="003E4EFA" w:rsidP="008E64A9">
            <w:pPr>
              <w:pStyle w:val="Tabletext"/>
              <w:keepNext/>
              <w:widowControl w:val="0"/>
              <w:rPr>
                <w:lang w:eastAsia="en-GB"/>
              </w:rPr>
            </w:pPr>
            <w:r w:rsidRPr="00CC2C76">
              <w:rPr>
                <w:lang w:eastAsia="en-GB"/>
              </w:rPr>
              <w:t>PFS (sensitivity 1)</w:t>
            </w:r>
          </w:p>
        </w:tc>
        <w:tc>
          <w:tcPr>
            <w:tcW w:w="2126" w:type="dxa"/>
          </w:tcPr>
          <w:p w14:paraId="313E85B0" w14:textId="77777777" w:rsidR="003E4EFA" w:rsidRPr="006226F4" w:rsidRDefault="003E4EFA" w:rsidP="008E64A9">
            <w:pPr>
              <w:pStyle w:val="Tabletext"/>
              <w:keepNext/>
              <w:widowControl w:val="0"/>
              <w:jc w:val="center"/>
              <w:rPr>
                <w:lang w:eastAsia="en-GB"/>
              </w:rPr>
            </w:pPr>
            <w:r w:rsidRPr="00CC2C76">
              <w:rPr>
                <w:lang w:eastAsia="en-GB"/>
              </w:rPr>
              <w:t>0.4 (0.25, 0.63)</w:t>
            </w:r>
          </w:p>
        </w:tc>
        <w:tc>
          <w:tcPr>
            <w:tcW w:w="2268" w:type="dxa"/>
          </w:tcPr>
          <w:p w14:paraId="469B7D97" w14:textId="77777777" w:rsidR="003E4EFA" w:rsidRPr="006226F4" w:rsidRDefault="003E4EFA" w:rsidP="008E64A9">
            <w:pPr>
              <w:pStyle w:val="Tabletext"/>
              <w:keepNext/>
              <w:widowControl w:val="0"/>
              <w:jc w:val="center"/>
              <w:rPr>
                <w:lang w:eastAsia="en-GB"/>
              </w:rPr>
            </w:pPr>
            <w:r w:rsidRPr="00CC2C76">
              <w:rPr>
                <w:lang w:eastAsia="en-GB"/>
              </w:rPr>
              <w:t>0.46 (0.4, 0.52)</w:t>
            </w:r>
          </w:p>
        </w:tc>
        <w:tc>
          <w:tcPr>
            <w:tcW w:w="3068" w:type="dxa"/>
          </w:tcPr>
          <w:p w14:paraId="562DDCBA" w14:textId="77777777" w:rsidR="003E4EFA" w:rsidRPr="006226F4" w:rsidRDefault="003E4EFA" w:rsidP="008E64A9">
            <w:pPr>
              <w:pStyle w:val="Tabletext"/>
              <w:keepNext/>
              <w:widowControl w:val="0"/>
              <w:jc w:val="center"/>
              <w:rPr>
                <w:lang w:eastAsia="en-GB"/>
              </w:rPr>
            </w:pPr>
            <w:r w:rsidRPr="00CC2C76">
              <w:rPr>
                <w:lang w:eastAsia="en-GB"/>
              </w:rPr>
              <w:t xml:space="preserve">0.87 (0.538, 1.406) </w:t>
            </w:r>
          </w:p>
        </w:tc>
      </w:tr>
      <w:tr w:rsidR="003E4EFA" w:rsidRPr="006226F4" w14:paraId="4C3F1643" w14:textId="77777777" w:rsidTr="00AD478D">
        <w:tc>
          <w:tcPr>
            <w:tcW w:w="1555" w:type="dxa"/>
          </w:tcPr>
          <w:p w14:paraId="2D3045CD" w14:textId="77777777" w:rsidR="003E4EFA" w:rsidRPr="006226F4" w:rsidRDefault="003E4EFA" w:rsidP="008E64A9">
            <w:pPr>
              <w:pStyle w:val="Tabletext"/>
              <w:keepNext/>
              <w:widowControl w:val="0"/>
              <w:rPr>
                <w:lang w:eastAsia="en-GB"/>
              </w:rPr>
            </w:pPr>
            <w:r w:rsidRPr="00CC2C76">
              <w:rPr>
                <w:lang w:eastAsia="en-GB"/>
              </w:rPr>
              <w:t>PFS (sensitivity 2)</w:t>
            </w:r>
          </w:p>
        </w:tc>
        <w:tc>
          <w:tcPr>
            <w:tcW w:w="2126" w:type="dxa"/>
          </w:tcPr>
          <w:p w14:paraId="2FF29B39" w14:textId="77777777" w:rsidR="003E4EFA" w:rsidRPr="006226F4" w:rsidRDefault="003E4EFA" w:rsidP="008E64A9">
            <w:pPr>
              <w:pStyle w:val="Tabletext"/>
              <w:keepNext/>
              <w:widowControl w:val="0"/>
              <w:jc w:val="center"/>
              <w:rPr>
                <w:lang w:eastAsia="en-GB"/>
              </w:rPr>
            </w:pPr>
            <w:r w:rsidRPr="00CC2C76">
              <w:rPr>
                <w:lang w:eastAsia="en-GB"/>
              </w:rPr>
              <w:t>0.49 (0.42, 0.58)</w:t>
            </w:r>
          </w:p>
        </w:tc>
        <w:tc>
          <w:tcPr>
            <w:tcW w:w="2268" w:type="dxa"/>
          </w:tcPr>
          <w:p w14:paraId="093993B5" w14:textId="77777777" w:rsidR="003E4EFA" w:rsidRPr="006226F4" w:rsidRDefault="003E4EFA" w:rsidP="008E64A9">
            <w:pPr>
              <w:pStyle w:val="Tabletext"/>
              <w:keepNext/>
              <w:widowControl w:val="0"/>
              <w:jc w:val="center"/>
              <w:rPr>
                <w:lang w:eastAsia="en-GB"/>
              </w:rPr>
            </w:pPr>
            <w:r w:rsidRPr="00CC2C76">
              <w:rPr>
                <w:lang w:eastAsia="en-GB"/>
              </w:rPr>
              <w:t>0.46 (0.4, 0.52)</w:t>
            </w:r>
          </w:p>
        </w:tc>
        <w:tc>
          <w:tcPr>
            <w:tcW w:w="3068" w:type="dxa"/>
          </w:tcPr>
          <w:p w14:paraId="00E42A80" w14:textId="77777777" w:rsidR="003E4EFA" w:rsidRPr="006226F4" w:rsidRDefault="003E4EFA" w:rsidP="008E64A9">
            <w:pPr>
              <w:pStyle w:val="Tabletext"/>
              <w:keepNext/>
              <w:widowControl w:val="0"/>
              <w:jc w:val="center"/>
              <w:rPr>
                <w:lang w:eastAsia="en-GB"/>
              </w:rPr>
            </w:pPr>
            <w:r w:rsidRPr="00CC2C76">
              <w:rPr>
                <w:lang w:eastAsia="en-GB"/>
              </w:rPr>
              <w:t xml:space="preserve">1.065 </w:t>
            </w:r>
            <w:r>
              <w:rPr>
                <w:lang w:eastAsia="en-GB"/>
              </w:rPr>
              <w:t>(</w:t>
            </w:r>
            <w:r w:rsidRPr="00CC2C76">
              <w:rPr>
                <w:lang w:eastAsia="en-GB"/>
              </w:rPr>
              <w:t>0.865, 1.311</w:t>
            </w:r>
            <w:r>
              <w:rPr>
                <w:lang w:eastAsia="en-GB"/>
              </w:rPr>
              <w:t>)</w:t>
            </w:r>
            <w:r w:rsidRPr="00CC2C76">
              <w:rPr>
                <w:lang w:eastAsia="en-GB"/>
              </w:rPr>
              <w:t xml:space="preserve"> </w:t>
            </w:r>
          </w:p>
        </w:tc>
      </w:tr>
      <w:tr w:rsidR="003E4EFA" w:rsidRPr="006226F4" w14:paraId="77A9F697" w14:textId="77777777" w:rsidTr="00AD478D">
        <w:tc>
          <w:tcPr>
            <w:tcW w:w="1555" w:type="dxa"/>
          </w:tcPr>
          <w:p w14:paraId="2B45F729" w14:textId="77777777" w:rsidR="003E4EFA" w:rsidRPr="006226F4" w:rsidRDefault="003E4EFA" w:rsidP="008E64A9">
            <w:pPr>
              <w:pStyle w:val="Tabletext"/>
              <w:keepNext/>
              <w:widowControl w:val="0"/>
              <w:jc w:val="center"/>
              <w:rPr>
                <w:lang w:eastAsia="en-GB"/>
              </w:rPr>
            </w:pPr>
            <w:r w:rsidRPr="00CC2C76">
              <w:rPr>
                <w:lang w:eastAsia="en-GB"/>
              </w:rPr>
              <w:t>PFS (sensitivity 3)</w:t>
            </w:r>
          </w:p>
        </w:tc>
        <w:tc>
          <w:tcPr>
            <w:tcW w:w="2126" w:type="dxa"/>
          </w:tcPr>
          <w:p w14:paraId="3627B7A3" w14:textId="77777777" w:rsidR="003E4EFA" w:rsidRPr="006226F4" w:rsidRDefault="003E4EFA" w:rsidP="008E64A9">
            <w:pPr>
              <w:pStyle w:val="Tabletext"/>
              <w:keepNext/>
              <w:widowControl w:val="0"/>
              <w:jc w:val="center"/>
              <w:rPr>
                <w:lang w:eastAsia="en-GB"/>
              </w:rPr>
            </w:pPr>
            <w:r w:rsidRPr="00CC2C76">
              <w:rPr>
                <w:lang w:eastAsia="en-GB"/>
              </w:rPr>
              <w:t>0.31 (0.22, 0,44)</w:t>
            </w:r>
          </w:p>
        </w:tc>
        <w:tc>
          <w:tcPr>
            <w:tcW w:w="2268" w:type="dxa"/>
          </w:tcPr>
          <w:p w14:paraId="2CBCB697" w14:textId="77777777" w:rsidR="003E4EFA" w:rsidRPr="006226F4" w:rsidRDefault="003E4EFA" w:rsidP="008E64A9">
            <w:pPr>
              <w:pStyle w:val="Tabletext"/>
              <w:keepNext/>
              <w:widowControl w:val="0"/>
              <w:jc w:val="center"/>
              <w:rPr>
                <w:lang w:eastAsia="en-GB"/>
              </w:rPr>
            </w:pPr>
            <w:r w:rsidRPr="00CC2C76">
              <w:rPr>
                <w:lang w:eastAsia="en-GB"/>
              </w:rPr>
              <w:t>0.46 (0.4, 0.52)</w:t>
            </w:r>
          </w:p>
        </w:tc>
        <w:tc>
          <w:tcPr>
            <w:tcW w:w="3068" w:type="dxa"/>
          </w:tcPr>
          <w:p w14:paraId="5EB5988B" w14:textId="77777777" w:rsidR="003E4EFA" w:rsidRPr="006226F4" w:rsidRDefault="003E4EFA" w:rsidP="008E64A9">
            <w:pPr>
              <w:pStyle w:val="Tabletext"/>
              <w:keepNext/>
              <w:widowControl w:val="0"/>
              <w:jc w:val="center"/>
              <w:rPr>
                <w:lang w:eastAsia="en-GB"/>
              </w:rPr>
            </w:pPr>
            <w:r w:rsidRPr="00CC2C76">
              <w:rPr>
                <w:b/>
                <w:bCs/>
                <w:lang w:eastAsia="en-GB"/>
              </w:rPr>
              <w:t xml:space="preserve">0.674 </w:t>
            </w:r>
            <w:r>
              <w:rPr>
                <w:b/>
                <w:bCs/>
                <w:lang w:eastAsia="en-GB"/>
              </w:rPr>
              <w:t>(</w:t>
            </w:r>
            <w:r w:rsidRPr="00CC2C76">
              <w:rPr>
                <w:b/>
                <w:bCs/>
                <w:lang w:eastAsia="en-GB"/>
              </w:rPr>
              <w:t>0.465, 0.976</w:t>
            </w:r>
            <w:r>
              <w:rPr>
                <w:b/>
                <w:bCs/>
                <w:lang w:eastAsia="en-GB"/>
              </w:rPr>
              <w:t>)</w:t>
            </w:r>
            <w:r w:rsidRPr="00CC2C76">
              <w:rPr>
                <w:b/>
                <w:bCs/>
                <w:lang w:eastAsia="en-GB"/>
              </w:rPr>
              <w:t xml:space="preserve"> </w:t>
            </w:r>
          </w:p>
        </w:tc>
      </w:tr>
    </w:tbl>
    <w:p w14:paraId="4E6606DA" w14:textId="77777777" w:rsidR="003E4EFA" w:rsidRDefault="003E4EFA" w:rsidP="008E64A9">
      <w:pPr>
        <w:pStyle w:val="TableFigureFooter"/>
        <w:keepNext/>
        <w:rPr>
          <w:lang w:eastAsia="en-GB"/>
        </w:rPr>
      </w:pPr>
      <w:r>
        <w:rPr>
          <w:lang w:eastAsia="en-GB"/>
        </w:rPr>
        <w:t xml:space="preserve">Source: Table 2-48, p148 and Table 2-49, p149 of the resubmission. </w:t>
      </w:r>
    </w:p>
    <w:p w14:paraId="3B21A6BF" w14:textId="77777777" w:rsidR="003E4EFA" w:rsidRDefault="003E4EFA" w:rsidP="008E64A9">
      <w:pPr>
        <w:pStyle w:val="TableFigureFooter"/>
        <w:keepNext/>
        <w:rPr>
          <w:lang w:eastAsia="en-GB"/>
        </w:rPr>
      </w:pPr>
      <w:r w:rsidRPr="006226F4">
        <w:rPr>
          <w:lang w:eastAsia="en-GB"/>
        </w:rPr>
        <w:t>CI</w:t>
      </w:r>
      <w:r>
        <w:rPr>
          <w:lang w:eastAsia="en-GB"/>
        </w:rPr>
        <w:t xml:space="preserve"> =</w:t>
      </w:r>
      <w:r w:rsidRPr="006226F4">
        <w:rPr>
          <w:lang w:eastAsia="en-GB"/>
        </w:rPr>
        <w:t xml:space="preserve"> confidence interval</w:t>
      </w:r>
      <w:r>
        <w:rPr>
          <w:lang w:eastAsia="en-GB"/>
        </w:rPr>
        <w:t xml:space="preserve">, </w:t>
      </w:r>
      <w:r w:rsidRPr="006226F4">
        <w:rPr>
          <w:lang w:eastAsia="en-GB"/>
        </w:rPr>
        <w:t>HR</w:t>
      </w:r>
      <w:r>
        <w:rPr>
          <w:lang w:eastAsia="en-GB"/>
        </w:rPr>
        <w:t xml:space="preserve"> = </w:t>
      </w:r>
      <w:r w:rsidRPr="006226F4">
        <w:rPr>
          <w:lang w:eastAsia="en-GB"/>
        </w:rPr>
        <w:t>hazard ratio</w:t>
      </w:r>
      <w:r>
        <w:rPr>
          <w:lang w:eastAsia="en-GB"/>
        </w:rPr>
        <w:t>, OS = overall survival,</w:t>
      </w:r>
      <w:r w:rsidR="00BA3E84">
        <w:rPr>
          <w:lang w:eastAsia="en-GB"/>
        </w:rPr>
        <w:t xml:space="preserve"> PFS = </w:t>
      </w:r>
      <w:r w:rsidR="00BA3E84" w:rsidRPr="006226F4">
        <w:rPr>
          <w:lang w:eastAsia="en-GB"/>
        </w:rPr>
        <w:t>progression-free survival</w:t>
      </w:r>
      <w:r w:rsidR="00BA3E84">
        <w:rPr>
          <w:lang w:eastAsia="en-GB"/>
        </w:rPr>
        <w:t xml:space="preserve">, </w:t>
      </w:r>
      <w:r>
        <w:rPr>
          <w:lang w:eastAsia="en-GB"/>
        </w:rPr>
        <w:t>REG = regorafenib, T/T = trifluridine/tipiracil</w:t>
      </w:r>
      <w:r w:rsidR="00BF6F06">
        <w:rPr>
          <w:lang w:eastAsia="en-GB"/>
        </w:rPr>
        <w:t>.</w:t>
      </w:r>
    </w:p>
    <w:p w14:paraId="1506C727" w14:textId="77777777" w:rsidR="003E4EFA" w:rsidRDefault="003E4EFA" w:rsidP="008E64A9">
      <w:pPr>
        <w:pStyle w:val="TableFigureFooter"/>
        <w:keepNext/>
        <w:rPr>
          <w:lang w:eastAsia="en-GB"/>
        </w:rPr>
      </w:pPr>
      <w:r w:rsidRPr="006226F4">
        <w:rPr>
          <w:lang w:eastAsia="en-GB"/>
        </w:rPr>
        <w:t>Main analysis compared CORRECT vs RECOURSE</w:t>
      </w:r>
      <w:r w:rsidR="00BF6F06">
        <w:rPr>
          <w:lang w:eastAsia="en-GB"/>
        </w:rPr>
        <w:t>.</w:t>
      </w:r>
    </w:p>
    <w:p w14:paraId="4012EDDF" w14:textId="77777777" w:rsidR="003E4EFA" w:rsidRDefault="003E4EFA" w:rsidP="008E64A9">
      <w:pPr>
        <w:pStyle w:val="TableFigureFooter"/>
        <w:keepNext/>
        <w:rPr>
          <w:lang w:eastAsia="en-GB"/>
        </w:rPr>
      </w:pPr>
      <w:r w:rsidRPr="006226F4">
        <w:rPr>
          <w:lang w:eastAsia="en-GB"/>
        </w:rPr>
        <w:t>Sensitivity analysis</w:t>
      </w:r>
      <w:r w:rsidR="00BA3E84">
        <w:rPr>
          <w:lang w:eastAsia="en-GB"/>
        </w:rPr>
        <w:t xml:space="preserve"> </w:t>
      </w:r>
      <w:r w:rsidRPr="006226F4">
        <w:rPr>
          <w:lang w:eastAsia="en-GB"/>
        </w:rPr>
        <w:t>1 compared the meta-analysis of CORRECT and CONCUR vs the meta-analysis of RECOURSE, TERRA and J003</w:t>
      </w:r>
      <w:r w:rsidR="00BF6F06">
        <w:rPr>
          <w:lang w:eastAsia="en-GB"/>
        </w:rPr>
        <w:t>.</w:t>
      </w:r>
    </w:p>
    <w:p w14:paraId="313C6186" w14:textId="77777777" w:rsidR="003E4EFA" w:rsidRDefault="003E4EFA" w:rsidP="008E64A9">
      <w:pPr>
        <w:pStyle w:val="TableFigureFooter"/>
        <w:keepNext/>
        <w:rPr>
          <w:lang w:eastAsia="en-GB"/>
        </w:rPr>
      </w:pPr>
      <w:r w:rsidRPr="006226F4">
        <w:rPr>
          <w:lang w:eastAsia="en-GB"/>
        </w:rPr>
        <w:t>Sensitivity analysis 2 compared CORRECT vs the meta-analysis of RECOURSE, TERRA and J003</w:t>
      </w:r>
      <w:r w:rsidR="00BF6F06">
        <w:rPr>
          <w:lang w:eastAsia="en-GB"/>
        </w:rPr>
        <w:t>.</w:t>
      </w:r>
    </w:p>
    <w:p w14:paraId="74761F87" w14:textId="77777777" w:rsidR="00BF6F06" w:rsidRDefault="003E4EFA" w:rsidP="008E64A9">
      <w:pPr>
        <w:pStyle w:val="TableFigureFooter"/>
        <w:keepNext/>
        <w:rPr>
          <w:lang w:eastAsia="en-GB"/>
        </w:rPr>
      </w:pPr>
      <w:r w:rsidRPr="006226F4">
        <w:rPr>
          <w:lang w:eastAsia="en-GB"/>
        </w:rPr>
        <w:t>Sensitivity analysis 3 compared CONCUR vs the meta-analysis of RECOURSE, TERRA and J003</w:t>
      </w:r>
      <w:r w:rsidR="00BF6F06">
        <w:rPr>
          <w:lang w:eastAsia="en-GB"/>
        </w:rPr>
        <w:t>.</w:t>
      </w:r>
    </w:p>
    <w:p w14:paraId="29F6BAF2" w14:textId="718B2C38" w:rsidR="00F44157" w:rsidRPr="00754394" w:rsidRDefault="00BF6F06" w:rsidP="00BF6F06">
      <w:pPr>
        <w:pStyle w:val="TableFigureFooter"/>
        <w:rPr>
          <w:rFonts w:eastAsia="Calibri"/>
        </w:rPr>
      </w:pPr>
      <w:r w:rsidRPr="00CA7496">
        <w:rPr>
          <w:rFonts w:eastAsia="Calibri"/>
          <w:b/>
          <w:bCs/>
        </w:rPr>
        <w:t>Bold</w:t>
      </w:r>
      <w:r w:rsidRPr="00CA7496">
        <w:rPr>
          <w:rFonts w:eastAsia="Calibri"/>
        </w:rPr>
        <w:t xml:space="preserve"> indicates statistically significant results</w:t>
      </w:r>
      <w:r>
        <w:rPr>
          <w:rFonts w:eastAsia="Calibri"/>
        </w:rPr>
        <w:t>.</w:t>
      </w:r>
    </w:p>
    <w:p w14:paraId="796E9C91" w14:textId="77777777" w:rsidR="0090602D" w:rsidRDefault="0090602D" w:rsidP="00DC33F2">
      <w:pPr>
        <w:pStyle w:val="3-BodyText"/>
        <w:rPr>
          <w:lang w:eastAsia="en-GB"/>
        </w:rPr>
      </w:pPr>
      <w:bookmarkStart w:id="32" w:name="_Hlk82428192"/>
      <w:r>
        <w:rPr>
          <w:lang w:eastAsia="en-GB"/>
        </w:rPr>
        <w:t xml:space="preserve">The sensitivity analyses showed no statistically significant differences </w:t>
      </w:r>
      <w:r w:rsidR="007039D5">
        <w:rPr>
          <w:lang w:eastAsia="en-GB"/>
        </w:rPr>
        <w:t>in</w:t>
      </w:r>
      <w:r>
        <w:rPr>
          <w:lang w:eastAsia="en-GB"/>
        </w:rPr>
        <w:t xml:space="preserve"> OS between regorafenib and trifluridine/tipiracil. Similarly, there </w:t>
      </w:r>
      <w:r w:rsidR="007039D5">
        <w:rPr>
          <w:lang w:eastAsia="en-GB"/>
        </w:rPr>
        <w:t>were</w:t>
      </w:r>
      <w:r>
        <w:rPr>
          <w:lang w:eastAsia="en-GB"/>
        </w:rPr>
        <w:t xml:space="preserve"> no significant differences </w:t>
      </w:r>
      <w:r w:rsidR="007039D5">
        <w:rPr>
          <w:lang w:eastAsia="en-GB"/>
        </w:rPr>
        <w:t xml:space="preserve">in </w:t>
      </w:r>
      <w:r>
        <w:rPr>
          <w:lang w:eastAsia="en-GB"/>
        </w:rPr>
        <w:t xml:space="preserve">PFS between regorafenib and trifluridine/tipiracil, except sensitivity analysis 3. </w:t>
      </w:r>
    </w:p>
    <w:bookmarkEnd w:id="32"/>
    <w:p w14:paraId="237971E5" w14:textId="77777777" w:rsidR="00DC33F2" w:rsidRDefault="00DC33F2" w:rsidP="00DC33F2">
      <w:pPr>
        <w:pStyle w:val="3-BodyText"/>
        <w:rPr>
          <w:lang w:eastAsia="en-GB"/>
        </w:rPr>
      </w:pPr>
      <w:r>
        <w:rPr>
          <w:lang w:eastAsia="en-GB"/>
        </w:rPr>
        <w:t>The overlay of Kaplan Meier curves for OS and PFS are presented in Figure 1 and Figure</w:t>
      </w:r>
      <w:r w:rsidR="00D77851">
        <w:rPr>
          <w:lang w:eastAsia="en-GB"/>
        </w:rPr>
        <w:t> </w:t>
      </w:r>
      <w:r>
        <w:rPr>
          <w:lang w:eastAsia="en-GB"/>
        </w:rPr>
        <w:t>2, respectively.</w:t>
      </w:r>
    </w:p>
    <w:p w14:paraId="0513248E" w14:textId="77777777" w:rsidR="00DC33F2" w:rsidRDefault="00DC33F2" w:rsidP="00DC33F2">
      <w:pPr>
        <w:pStyle w:val="TableFigureHeading"/>
      </w:pPr>
      <w:r>
        <w:rPr>
          <w:rStyle w:val="CommentReference"/>
          <w:b/>
          <w:szCs w:val="24"/>
        </w:rPr>
        <w:t>Figure</w:t>
      </w:r>
      <w:r w:rsidRPr="002278A0">
        <w:rPr>
          <w:rStyle w:val="CommentReference"/>
          <w:b/>
          <w:szCs w:val="24"/>
        </w:rPr>
        <w:t xml:space="preserve"> </w:t>
      </w:r>
      <w:r>
        <w:rPr>
          <w:rStyle w:val="CommentReference"/>
          <w:b/>
          <w:szCs w:val="24"/>
        </w:rPr>
        <w:t>1</w:t>
      </w:r>
      <w:r w:rsidRPr="002278A0">
        <w:rPr>
          <w:rStyle w:val="CommentReference"/>
          <w:b/>
          <w:szCs w:val="24"/>
        </w:rPr>
        <w:t xml:space="preserve">: </w:t>
      </w:r>
      <w:r w:rsidRPr="006226F4">
        <w:t>Overlay of Kaplan</w:t>
      </w:r>
      <w:r>
        <w:t>-</w:t>
      </w:r>
      <w:r w:rsidRPr="006226F4">
        <w:t>Meier curves for OS from CORRECT and RECOURSE</w:t>
      </w:r>
    </w:p>
    <w:p w14:paraId="4A6DFE34" w14:textId="77777777" w:rsidR="00DC33F2" w:rsidRDefault="00DC33F2" w:rsidP="00DC33F2">
      <w:pPr>
        <w:pStyle w:val="TableFigureFooter"/>
        <w:rPr>
          <w:snapToGrid/>
          <w:lang w:eastAsia="en-GB"/>
        </w:rPr>
      </w:pPr>
      <w:r w:rsidRPr="006226F4">
        <w:rPr>
          <w:noProof/>
        </w:rPr>
        <w:drawing>
          <wp:inline distT="0" distB="0" distL="0" distR="0" wp14:anchorId="1E2EE9EC" wp14:editId="23EA4353">
            <wp:extent cx="5740400" cy="2886324"/>
            <wp:effectExtent l="0" t="0" r="12700" b="9525"/>
            <wp:docPr id="9" name="Chart 9" descr="Figure 1: Overlay of Kaplan-Meier curves for OS from CORRECT and RECOURSE">
              <a:extLst xmlns:a="http://schemas.openxmlformats.org/drawingml/2006/main">
                <a:ext uri="{FF2B5EF4-FFF2-40B4-BE49-F238E27FC236}">
                  <a16:creationId xmlns:a16="http://schemas.microsoft.com/office/drawing/2014/main" id="{39FAD5F5-F8E0-4BEE-8962-78F4CA4498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AF449A">
        <w:rPr>
          <w:snapToGrid/>
          <w:lang w:eastAsia="en-GB"/>
        </w:rPr>
        <w:t>Source</w:t>
      </w:r>
      <w:r>
        <w:rPr>
          <w:snapToGrid/>
          <w:lang w:eastAsia="en-GB"/>
        </w:rPr>
        <w:t>: Figure 2-38, p148 of the resubmission.</w:t>
      </w:r>
    </w:p>
    <w:p w14:paraId="78BDE794" w14:textId="77777777" w:rsidR="00C16833" w:rsidRDefault="00C16833" w:rsidP="00DC33F2">
      <w:pPr>
        <w:pStyle w:val="TableFigureFooter"/>
        <w:rPr>
          <w:snapToGrid/>
          <w:lang w:eastAsia="en-GB"/>
        </w:rPr>
      </w:pPr>
    </w:p>
    <w:p w14:paraId="286A1F0A" w14:textId="77777777" w:rsidR="00D77851" w:rsidRDefault="00D77851" w:rsidP="00DC33F2">
      <w:pPr>
        <w:pStyle w:val="TableFigureFooter"/>
        <w:rPr>
          <w:rStyle w:val="CommentReference"/>
          <w:rFonts w:eastAsiaTheme="majorEastAsia" w:cstheme="majorBidi"/>
          <w:snapToGrid/>
        </w:rPr>
      </w:pPr>
    </w:p>
    <w:p w14:paraId="0A35894B" w14:textId="032C4AAC" w:rsidR="00D77851" w:rsidRDefault="00D77851" w:rsidP="00DC33F2">
      <w:pPr>
        <w:pStyle w:val="TableFigureFooter"/>
        <w:rPr>
          <w:rStyle w:val="CommentReference"/>
          <w:rFonts w:eastAsiaTheme="majorEastAsia" w:cstheme="majorBidi"/>
          <w:snapToGrid/>
        </w:rPr>
      </w:pPr>
    </w:p>
    <w:p w14:paraId="5539525E" w14:textId="77777777" w:rsidR="00754394" w:rsidRDefault="00754394" w:rsidP="00DC33F2">
      <w:pPr>
        <w:pStyle w:val="TableFigureFooter"/>
        <w:rPr>
          <w:rStyle w:val="CommentReference"/>
          <w:rFonts w:eastAsiaTheme="majorEastAsia" w:cstheme="majorBidi"/>
          <w:snapToGrid/>
        </w:rPr>
      </w:pPr>
    </w:p>
    <w:p w14:paraId="42E0C0BD" w14:textId="77777777" w:rsidR="00DC33F2" w:rsidRPr="005846AE" w:rsidRDefault="00DC33F2" w:rsidP="00DC33F2">
      <w:pPr>
        <w:pStyle w:val="TableFigureFooter"/>
        <w:rPr>
          <w:rFonts w:eastAsiaTheme="majorEastAsia" w:cstheme="majorBidi"/>
          <w:b/>
          <w:snapToGrid/>
          <w:sz w:val="20"/>
          <w:szCs w:val="16"/>
        </w:rPr>
      </w:pPr>
      <w:r w:rsidRPr="005846AE">
        <w:rPr>
          <w:rStyle w:val="CommentReference"/>
          <w:rFonts w:eastAsiaTheme="majorEastAsia" w:cstheme="majorBidi"/>
          <w:snapToGrid/>
        </w:rPr>
        <w:t>Figure</w:t>
      </w:r>
      <w:r>
        <w:rPr>
          <w:rStyle w:val="CommentReference"/>
          <w:rFonts w:eastAsiaTheme="majorEastAsia" w:cstheme="majorBidi"/>
          <w:snapToGrid/>
        </w:rPr>
        <w:t xml:space="preserve"> 2:</w:t>
      </w:r>
      <w:r w:rsidRPr="005846AE">
        <w:rPr>
          <w:rStyle w:val="CommentReference"/>
          <w:rFonts w:eastAsiaTheme="majorEastAsia" w:cstheme="majorBidi"/>
          <w:snapToGrid/>
        </w:rPr>
        <w:t xml:space="preserve"> Overlay of Kaplan-Meier curves for </w:t>
      </w:r>
      <w:r>
        <w:rPr>
          <w:rStyle w:val="CommentReference"/>
          <w:rFonts w:eastAsiaTheme="majorEastAsia" w:cstheme="majorBidi"/>
          <w:snapToGrid/>
        </w:rPr>
        <w:t>PF</w:t>
      </w:r>
      <w:r w:rsidRPr="005846AE">
        <w:rPr>
          <w:rStyle w:val="CommentReference"/>
          <w:rFonts w:eastAsiaTheme="majorEastAsia" w:cstheme="majorBidi"/>
          <w:snapToGrid/>
        </w:rPr>
        <w:t>S from CORRECT and RECOURSE</w:t>
      </w:r>
    </w:p>
    <w:p w14:paraId="434ED8DE" w14:textId="77777777" w:rsidR="00DC33F2" w:rsidRDefault="00DC33F2" w:rsidP="00DC33F2">
      <w:pPr>
        <w:pStyle w:val="TableFigureFooter"/>
      </w:pPr>
      <w:r w:rsidRPr="006226F4">
        <w:rPr>
          <w:noProof/>
        </w:rPr>
        <w:drawing>
          <wp:inline distT="0" distB="0" distL="0" distR="0" wp14:anchorId="4ABFBDB8" wp14:editId="174192DC">
            <wp:extent cx="5735955" cy="2655736"/>
            <wp:effectExtent l="0" t="0" r="0" b="0"/>
            <wp:docPr id="8" name="Picture 8" descr="Figure 2: Overlay of Kaplan-Meier curves for PFS from CORRECT and RE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 Overlay of Kaplan-Meier curves for PFS from CORRECT and RECOURSE"/>
                    <pic:cNvPicPr/>
                  </pic:nvPicPr>
                  <pic:blipFill>
                    <a:blip r:embed="rId9"/>
                    <a:stretch>
                      <a:fillRect/>
                    </a:stretch>
                  </pic:blipFill>
                  <pic:spPr>
                    <a:xfrm>
                      <a:off x="0" y="0"/>
                      <a:ext cx="5778258" cy="2675322"/>
                    </a:xfrm>
                    <a:prstGeom prst="rect">
                      <a:avLst/>
                    </a:prstGeom>
                  </pic:spPr>
                </pic:pic>
              </a:graphicData>
            </a:graphic>
          </wp:inline>
        </w:drawing>
      </w:r>
    </w:p>
    <w:p w14:paraId="0AD65E06" w14:textId="013095C0" w:rsidR="00F44157" w:rsidRDefault="00DC33F2" w:rsidP="00625DB2">
      <w:pPr>
        <w:pStyle w:val="TableFigureFooter"/>
      </w:pPr>
      <w:r>
        <w:t xml:space="preserve">Source: Figure 2-39, p149 </w:t>
      </w:r>
      <w:r w:rsidRPr="00D13A3E">
        <w:t xml:space="preserve">of the </w:t>
      </w:r>
      <w:r>
        <w:t>resubmission.</w:t>
      </w:r>
    </w:p>
    <w:p w14:paraId="5CE1C4F9" w14:textId="77777777" w:rsidR="00761D7E" w:rsidRPr="008705DE" w:rsidRDefault="00761D7E" w:rsidP="00761D7E">
      <w:pPr>
        <w:pStyle w:val="3-BodyText"/>
      </w:pPr>
      <w:bookmarkStart w:id="33" w:name="_Hlk82428278"/>
      <w:r>
        <w:t xml:space="preserve">The overlay of KM curves for OS from CORRECT and RECOURSE trials suggested that the median duration of survival was </w:t>
      </w:r>
      <w:r w:rsidR="003B4820">
        <w:t>longer</w:t>
      </w:r>
      <w:r>
        <w:t xml:space="preserve"> for trifluridine/tipiracil when compared with </w:t>
      </w:r>
      <w:r w:rsidRPr="008705DE">
        <w:t xml:space="preserve">regorafenib (7.1 months vs 6.4 months). </w:t>
      </w:r>
      <w:r w:rsidR="005B58A5" w:rsidRPr="008705DE">
        <w:rPr>
          <w:iCs/>
        </w:rPr>
        <w:t>The presented PFS curves suggested that regorafenib had a longer median PFS compared with trifluridine/tipiracil, which was not accurate because the median PFS of trifluridine/tipiracil in the RECOURSE trial was 2.0 months compared with a median PFS of 1.9 months for regorafenib in the CORRECT trial.</w:t>
      </w:r>
    </w:p>
    <w:bookmarkEnd w:id="33"/>
    <w:p w14:paraId="5C4E7885" w14:textId="77777777" w:rsidR="00DC33F2" w:rsidRDefault="00DC33F2" w:rsidP="00DC33F2">
      <w:pPr>
        <w:pStyle w:val="3-BodyText"/>
      </w:pPr>
      <w:r w:rsidRPr="005908EE">
        <w:t xml:space="preserve">The resubmission also presented patient reported outcomes from the CORRECT and the CONCUR trials as summarised in Table </w:t>
      </w:r>
      <w:r>
        <w:t>7</w:t>
      </w:r>
      <w:r w:rsidRPr="005908EE">
        <w:t>.</w:t>
      </w:r>
    </w:p>
    <w:p w14:paraId="49726E04" w14:textId="77777777" w:rsidR="00DC33F2" w:rsidRDefault="00DC33F2" w:rsidP="00DC33F2">
      <w:pPr>
        <w:rPr>
          <w:color w:val="3366FF"/>
        </w:rPr>
      </w:pPr>
      <w:r w:rsidRPr="002E2158">
        <w:rPr>
          <w:rStyle w:val="CommentReference"/>
        </w:rPr>
        <w:t xml:space="preserve">Table </w:t>
      </w:r>
      <w:r>
        <w:rPr>
          <w:rStyle w:val="CommentReference"/>
        </w:rPr>
        <w:t>7</w:t>
      </w:r>
      <w:r w:rsidRPr="002E2158">
        <w:rPr>
          <w:rStyle w:val="CommentReference"/>
        </w:rPr>
        <w:t>:</w:t>
      </w:r>
      <w:r>
        <w:rPr>
          <w:rStyle w:val="CommentReference"/>
        </w:rPr>
        <w:t xml:space="preserve"> </w:t>
      </w:r>
      <w:r w:rsidRPr="002E2158">
        <w:rPr>
          <w:rStyle w:val="CommentReference"/>
        </w:rPr>
        <w:t>Summary of</w:t>
      </w:r>
      <w:r>
        <w:rPr>
          <w:rStyle w:val="CommentReference"/>
        </w:rPr>
        <w:t xml:space="preserve"> patient-reported </w:t>
      </w:r>
      <w:r w:rsidRPr="002E2158">
        <w:rPr>
          <w:rStyle w:val="CommentReference"/>
        </w:rPr>
        <w:t>outcome</w:t>
      </w:r>
      <w:r>
        <w:rPr>
          <w:rStyle w:val="CommentReference"/>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Summary of patient-reported outcomes"/>
      </w:tblPr>
      <w:tblGrid>
        <w:gridCol w:w="2566"/>
        <w:gridCol w:w="2058"/>
        <w:gridCol w:w="2229"/>
        <w:gridCol w:w="2164"/>
      </w:tblGrid>
      <w:tr w:rsidR="00DC33F2" w:rsidRPr="008D4C3D" w14:paraId="3EA08A9E" w14:textId="77777777" w:rsidTr="00AD478D">
        <w:tc>
          <w:tcPr>
            <w:tcW w:w="1423" w:type="pct"/>
            <w:vMerge w:val="restart"/>
            <w:vAlign w:val="center"/>
          </w:tcPr>
          <w:p w14:paraId="45F37847" w14:textId="77777777" w:rsidR="00DC33F2" w:rsidRPr="008D4C3D" w:rsidRDefault="00DC33F2" w:rsidP="00963376">
            <w:pPr>
              <w:pStyle w:val="In-tableHeading"/>
              <w:keepNext w:val="0"/>
            </w:pPr>
            <w:r>
              <w:t>Outcome</w:t>
            </w:r>
          </w:p>
        </w:tc>
        <w:tc>
          <w:tcPr>
            <w:tcW w:w="2377" w:type="pct"/>
            <w:gridSpan w:val="2"/>
            <w:vAlign w:val="center"/>
          </w:tcPr>
          <w:p w14:paraId="285A1A0E" w14:textId="77777777" w:rsidR="00DC33F2" w:rsidRPr="008D4C3D" w:rsidRDefault="00DC33F2" w:rsidP="00963376">
            <w:pPr>
              <w:pStyle w:val="In-tableHeading"/>
              <w:keepNext w:val="0"/>
              <w:jc w:val="center"/>
            </w:pPr>
            <w:r w:rsidRPr="009153AA">
              <w:t>LS mean (95% CI)</w:t>
            </w:r>
          </w:p>
        </w:tc>
        <w:tc>
          <w:tcPr>
            <w:tcW w:w="1200" w:type="pct"/>
            <w:vMerge w:val="restart"/>
            <w:vAlign w:val="center"/>
          </w:tcPr>
          <w:p w14:paraId="23A651E5" w14:textId="77777777" w:rsidR="00DC33F2" w:rsidRPr="008D4C3D" w:rsidRDefault="00DC33F2" w:rsidP="00963376">
            <w:pPr>
              <w:pStyle w:val="In-tableHeading"/>
              <w:keepNext w:val="0"/>
              <w:jc w:val="center"/>
            </w:pPr>
            <w:r>
              <w:t>Difference (95% CI)</w:t>
            </w:r>
          </w:p>
        </w:tc>
      </w:tr>
      <w:tr w:rsidR="00DC33F2" w14:paraId="059DCC29" w14:textId="77777777" w:rsidTr="00AD478D">
        <w:tc>
          <w:tcPr>
            <w:tcW w:w="1423" w:type="pct"/>
            <w:vMerge/>
            <w:shd w:val="clear" w:color="auto" w:fill="FFFFFF" w:themeFill="background1"/>
            <w:vAlign w:val="center"/>
          </w:tcPr>
          <w:p w14:paraId="2FF2B3BB" w14:textId="77777777" w:rsidR="00DC33F2" w:rsidRPr="00B07749" w:rsidRDefault="00DC33F2" w:rsidP="00963376">
            <w:pPr>
              <w:pStyle w:val="TableText0"/>
              <w:keepNext w:val="0"/>
              <w:rPr>
                <w:rFonts w:cs="Times New Roman"/>
                <w:b/>
                <w:bCs w:val="0"/>
                <w:lang w:val="en-US"/>
              </w:rPr>
            </w:pPr>
          </w:p>
        </w:tc>
        <w:tc>
          <w:tcPr>
            <w:tcW w:w="1141" w:type="pct"/>
            <w:shd w:val="clear" w:color="auto" w:fill="FFFFFF" w:themeFill="background1"/>
            <w:vAlign w:val="center"/>
          </w:tcPr>
          <w:p w14:paraId="0CE5C8BB" w14:textId="77777777" w:rsidR="00DC33F2" w:rsidRPr="00B07749" w:rsidRDefault="00DC33F2" w:rsidP="00963376">
            <w:pPr>
              <w:pStyle w:val="TableText0"/>
              <w:keepNext w:val="0"/>
              <w:jc w:val="center"/>
              <w:rPr>
                <w:rFonts w:cs="Times New Roman"/>
                <w:b/>
                <w:bCs w:val="0"/>
                <w:lang w:val="en-US"/>
              </w:rPr>
            </w:pPr>
            <w:r>
              <w:rPr>
                <w:rFonts w:cs="Times New Roman"/>
                <w:b/>
                <w:bCs w:val="0"/>
                <w:lang w:val="en-US"/>
              </w:rPr>
              <w:t>Regorafenib</w:t>
            </w:r>
          </w:p>
        </w:tc>
        <w:tc>
          <w:tcPr>
            <w:tcW w:w="1236" w:type="pct"/>
            <w:shd w:val="clear" w:color="auto" w:fill="FFFFFF" w:themeFill="background1"/>
            <w:vAlign w:val="center"/>
          </w:tcPr>
          <w:p w14:paraId="66525F76" w14:textId="77777777" w:rsidR="00DC33F2" w:rsidRPr="00B07749" w:rsidRDefault="00DC33F2" w:rsidP="00963376">
            <w:pPr>
              <w:pStyle w:val="TableText0"/>
              <w:keepNext w:val="0"/>
              <w:jc w:val="center"/>
              <w:rPr>
                <w:rFonts w:cs="Times New Roman"/>
                <w:b/>
                <w:bCs w:val="0"/>
                <w:lang w:val="en-US"/>
              </w:rPr>
            </w:pPr>
            <w:r>
              <w:rPr>
                <w:rFonts w:cs="Times New Roman"/>
                <w:b/>
                <w:bCs w:val="0"/>
                <w:lang w:val="en-US"/>
              </w:rPr>
              <w:t>Placebo</w:t>
            </w:r>
          </w:p>
        </w:tc>
        <w:tc>
          <w:tcPr>
            <w:tcW w:w="1200" w:type="pct"/>
            <w:vMerge/>
            <w:shd w:val="clear" w:color="auto" w:fill="FFFFFF" w:themeFill="background1"/>
            <w:vAlign w:val="center"/>
          </w:tcPr>
          <w:p w14:paraId="01250E2F" w14:textId="77777777" w:rsidR="00DC33F2" w:rsidRPr="00B07749" w:rsidRDefault="00DC33F2" w:rsidP="00963376">
            <w:pPr>
              <w:pStyle w:val="TableText0"/>
              <w:keepNext w:val="0"/>
              <w:rPr>
                <w:rFonts w:cs="Times New Roman"/>
                <w:b/>
                <w:bCs w:val="0"/>
                <w:lang w:val="en-US"/>
              </w:rPr>
            </w:pPr>
          </w:p>
        </w:tc>
      </w:tr>
      <w:tr w:rsidR="00DC33F2" w14:paraId="5C114052" w14:textId="77777777" w:rsidTr="00AD478D">
        <w:tc>
          <w:tcPr>
            <w:tcW w:w="5000" w:type="pct"/>
            <w:gridSpan w:val="4"/>
            <w:shd w:val="clear" w:color="auto" w:fill="FFFFFF" w:themeFill="background1"/>
            <w:vAlign w:val="center"/>
          </w:tcPr>
          <w:p w14:paraId="11AE0562" w14:textId="77777777" w:rsidR="00DC33F2" w:rsidRDefault="00DC33F2" w:rsidP="00963376">
            <w:pPr>
              <w:pStyle w:val="TableText0"/>
              <w:keepNext w:val="0"/>
            </w:pPr>
            <w:r w:rsidRPr="00B07749">
              <w:rPr>
                <w:rFonts w:cs="Times New Roman"/>
                <w:b/>
                <w:bCs w:val="0"/>
                <w:lang w:val="en-US"/>
              </w:rPr>
              <w:t>CORRECT</w:t>
            </w:r>
          </w:p>
        </w:tc>
      </w:tr>
      <w:tr w:rsidR="00DC33F2" w14:paraId="6F2933EC" w14:textId="77777777" w:rsidTr="00AD478D">
        <w:tc>
          <w:tcPr>
            <w:tcW w:w="1423" w:type="pct"/>
            <w:shd w:val="clear" w:color="auto" w:fill="FFFFFF" w:themeFill="background1"/>
            <w:vAlign w:val="center"/>
          </w:tcPr>
          <w:p w14:paraId="1CDD81CF" w14:textId="77777777" w:rsidR="00DC33F2" w:rsidRDefault="00DC33F2" w:rsidP="00963376">
            <w:pPr>
              <w:pStyle w:val="TableText0"/>
              <w:keepNext w:val="0"/>
            </w:pPr>
            <w:r>
              <w:t>EORTC QLQ-C30</w:t>
            </w:r>
          </w:p>
        </w:tc>
        <w:tc>
          <w:tcPr>
            <w:tcW w:w="1141" w:type="pct"/>
            <w:shd w:val="clear" w:color="auto" w:fill="FFFFFF" w:themeFill="background1"/>
            <w:vAlign w:val="center"/>
          </w:tcPr>
          <w:p w14:paraId="78C99D17" w14:textId="77777777" w:rsidR="00DC33F2" w:rsidRDefault="00DC33F2" w:rsidP="00963376">
            <w:pPr>
              <w:pStyle w:val="TableText0"/>
              <w:keepNext w:val="0"/>
              <w:jc w:val="center"/>
            </w:pPr>
            <w:r>
              <w:t>56.93 (54.79, 59.08)</w:t>
            </w:r>
          </w:p>
        </w:tc>
        <w:tc>
          <w:tcPr>
            <w:tcW w:w="1236" w:type="pct"/>
            <w:shd w:val="clear" w:color="auto" w:fill="FFFFFF" w:themeFill="background1"/>
            <w:vAlign w:val="center"/>
          </w:tcPr>
          <w:p w14:paraId="699C72B7" w14:textId="77777777" w:rsidR="00DC33F2" w:rsidRDefault="00DC33F2" w:rsidP="00963376">
            <w:pPr>
              <w:pStyle w:val="TableText0"/>
              <w:keepNext w:val="0"/>
              <w:jc w:val="center"/>
            </w:pPr>
            <w:r>
              <w:t>58.13 (55.72, 60.53)</w:t>
            </w:r>
          </w:p>
        </w:tc>
        <w:tc>
          <w:tcPr>
            <w:tcW w:w="1200" w:type="pct"/>
            <w:shd w:val="clear" w:color="auto" w:fill="FFFFFF" w:themeFill="background1"/>
            <w:vAlign w:val="center"/>
          </w:tcPr>
          <w:p w14:paraId="31E9BDF5" w14:textId="77777777" w:rsidR="00DC33F2" w:rsidRDefault="00DC33F2" w:rsidP="00963376">
            <w:pPr>
              <w:pStyle w:val="TableText0"/>
              <w:keepNext w:val="0"/>
              <w:jc w:val="center"/>
            </w:pPr>
            <w:r>
              <w:t>-1.19 (-3.13, 0.75)</w:t>
            </w:r>
          </w:p>
        </w:tc>
      </w:tr>
      <w:tr w:rsidR="00DC33F2" w14:paraId="303F58CE" w14:textId="77777777" w:rsidTr="00AD478D">
        <w:tc>
          <w:tcPr>
            <w:tcW w:w="1423" w:type="pct"/>
            <w:shd w:val="clear" w:color="auto" w:fill="FFFFFF" w:themeFill="background1"/>
            <w:vAlign w:val="center"/>
          </w:tcPr>
          <w:p w14:paraId="1AB9CF5C" w14:textId="77777777" w:rsidR="00DC33F2" w:rsidRDefault="00DC33F2" w:rsidP="00963376">
            <w:pPr>
              <w:pStyle w:val="TableText0"/>
              <w:keepNext w:val="0"/>
            </w:pPr>
            <w:r>
              <w:t>EQ-5D</w:t>
            </w:r>
          </w:p>
          <w:p w14:paraId="6554C22E" w14:textId="77777777" w:rsidR="00DC33F2" w:rsidRDefault="00DC33F2" w:rsidP="00963376">
            <w:pPr>
              <w:pStyle w:val="TableText0"/>
              <w:keepNext w:val="0"/>
            </w:pPr>
            <w:r>
              <w:t>-Index score</w:t>
            </w:r>
          </w:p>
          <w:p w14:paraId="7FAA3CAB" w14:textId="77777777" w:rsidR="00DC33F2" w:rsidRDefault="00DC33F2" w:rsidP="00963376">
            <w:pPr>
              <w:pStyle w:val="TableText0"/>
              <w:keepNext w:val="0"/>
            </w:pPr>
            <w:r>
              <w:t xml:space="preserve">-VAS </w:t>
            </w:r>
          </w:p>
        </w:tc>
        <w:tc>
          <w:tcPr>
            <w:tcW w:w="1141" w:type="pct"/>
            <w:shd w:val="clear" w:color="auto" w:fill="FFFFFF" w:themeFill="background1"/>
            <w:vAlign w:val="center"/>
          </w:tcPr>
          <w:p w14:paraId="40E663C8" w14:textId="77777777" w:rsidR="00DC33F2" w:rsidRDefault="00DC33F2" w:rsidP="00963376">
            <w:pPr>
              <w:pStyle w:val="TableText0"/>
              <w:keepNext w:val="0"/>
              <w:jc w:val="center"/>
            </w:pPr>
          </w:p>
          <w:p w14:paraId="618ECCA4" w14:textId="77777777" w:rsidR="00DC33F2" w:rsidRDefault="00DC33F2" w:rsidP="00963376">
            <w:pPr>
              <w:pStyle w:val="TableText0"/>
              <w:keepNext w:val="0"/>
              <w:jc w:val="center"/>
            </w:pPr>
            <w:r>
              <w:t>0.67 (0.64, 0.70)</w:t>
            </w:r>
          </w:p>
          <w:p w14:paraId="3E4D9961" w14:textId="77777777" w:rsidR="00DC33F2" w:rsidRDefault="00DC33F2" w:rsidP="00963376">
            <w:pPr>
              <w:pStyle w:val="TableText0"/>
              <w:keepNext w:val="0"/>
              <w:jc w:val="center"/>
            </w:pPr>
            <w:r>
              <w:t>60.62 (58.62, 62.63)</w:t>
            </w:r>
          </w:p>
        </w:tc>
        <w:tc>
          <w:tcPr>
            <w:tcW w:w="1236" w:type="pct"/>
            <w:shd w:val="clear" w:color="auto" w:fill="FFFFFF" w:themeFill="background1"/>
            <w:vAlign w:val="center"/>
          </w:tcPr>
          <w:p w14:paraId="4201E3FF" w14:textId="77777777" w:rsidR="00DC33F2" w:rsidRDefault="00DC33F2" w:rsidP="00963376">
            <w:pPr>
              <w:pStyle w:val="TableText0"/>
              <w:keepNext w:val="0"/>
              <w:jc w:val="center"/>
            </w:pPr>
          </w:p>
          <w:p w14:paraId="5D948B98" w14:textId="77777777" w:rsidR="00DC33F2" w:rsidRDefault="00DC33F2" w:rsidP="00963376">
            <w:pPr>
              <w:pStyle w:val="TableText0"/>
              <w:keepNext w:val="0"/>
              <w:jc w:val="center"/>
            </w:pPr>
            <w:r>
              <w:t>0.67 (0.64, 0.70)</w:t>
            </w:r>
          </w:p>
          <w:p w14:paraId="26BC3DE2" w14:textId="77777777" w:rsidR="00DC33F2" w:rsidRDefault="00DC33F2" w:rsidP="00963376">
            <w:pPr>
              <w:pStyle w:val="TableText0"/>
              <w:keepNext w:val="0"/>
              <w:jc w:val="center"/>
            </w:pPr>
            <w:r>
              <w:t>61.84 (59.59, 64.09)</w:t>
            </w:r>
          </w:p>
        </w:tc>
        <w:tc>
          <w:tcPr>
            <w:tcW w:w="1200" w:type="pct"/>
            <w:shd w:val="clear" w:color="auto" w:fill="FFFFFF" w:themeFill="background1"/>
            <w:vAlign w:val="center"/>
          </w:tcPr>
          <w:p w14:paraId="1E9EBDA7" w14:textId="77777777" w:rsidR="00DC33F2" w:rsidRDefault="00DC33F2" w:rsidP="00963376">
            <w:pPr>
              <w:pStyle w:val="TableText0"/>
              <w:keepNext w:val="0"/>
              <w:jc w:val="center"/>
            </w:pPr>
          </w:p>
          <w:p w14:paraId="4ADE6C23" w14:textId="77777777" w:rsidR="00DC33F2" w:rsidRDefault="00DC33F2" w:rsidP="00963376">
            <w:pPr>
              <w:pStyle w:val="TableText0"/>
              <w:keepNext w:val="0"/>
              <w:jc w:val="center"/>
            </w:pPr>
            <w:r>
              <w:t>0.00 (-0.03, 0.03)</w:t>
            </w:r>
          </w:p>
          <w:p w14:paraId="51E74498" w14:textId="77777777" w:rsidR="00DC33F2" w:rsidRDefault="00DC33F2" w:rsidP="00963376">
            <w:pPr>
              <w:pStyle w:val="TableText0"/>
              <w:keepNext w:val="0"/>
              <w:jc w:val="center"/>
            </w:pPr>
            <w:r>
              <w:t>-1.21 (-3.04, 0.61)</w:t>
            </w:r>
          </w:p>
        </w:tc>
      </w:tr>
      <w:tr w:rsidR="00DC33F2" w14:paraId="444C172F" w14:textId="77777777" w:rsidTr="00AD478D">
        <w:tc>
          <w:tcPr>
            <w:tcW w:w="5000" w:type="pct"/>
            <w:gridSpan w:val="4"/>
            <w:shd w:val="clear" w:color="auto" w:fill="FFFFFF" w:themeFill="background1"/>
            <w:vAlign w:val="center"/>
          </w:tcPr>
          <w:p w14:paraId="093EABA9" w14:textId="77777777" w:rsidR="00DC33F2" w:rsidRDefault="00DC33F2" w:rsidP="00963376">
            <w:pPr>
              <w:pStyle w:val="TableText0"/>
              <w:keepNext w:val="0"/>
            </w:pPr>
            <w:r>
              <w:rPr>
                <w:rFonts w:cs="Times New Roman"/>
                <w:b/>
                <w:bCs w:val="0"/>
                <w:lang w:val="en-US"/>
              </w:rPr>
              <w:t>CONCUR</w:t>
            </w:r>
          </w:p>
        </w:tc>
      </w:tr>
      <w:tr w:rsidR="00DC33F2" w14:paraId="71F18ECA" w14:textId="77777777" w:rsidTr="00AD478D">
        <w:tc>
          <w:tcPr>
            <w:tcW w:w="1423" w:type="pct"/>
            <w:shd w:val="clear" w:color="auto" w:fill="FFFFFF" w:themeFill="background1"/>
            <w:vAlign w:val="center"/>
          </w:tcPr>
          <w:p w14:paraId="36224708" w14:textId="77777777" w:rsidR="00DC33F2" w:rsidRDefault="00DC33F2" w:rsidP="00963376">
            <w:pPr>
              <w:pStyle w:val="TableText0"/>
              <w:keepNext w:val="0"/>
            </w:pPr>
            <w:r>
              <w:t>EORTC QLQ-C30</w:t>
            </w:r>
          </w:p>
        </w:tc>
        <w:tc>
          <w:tcPr>
            <w:tcW w:w="1141" w:type="pct"/>
            <w:shd w:val="clear" w:color="auto" w:fill="FFFFFF" w:themeFill="background1"/>
            <w:vAlign w:val="center"/>
          </w:tcPr>
          <w:p w14:paraId="5C0BD964" w14:textId="77777777" w:rsidR="00DC33F2" w:rsidRDefault="00DC33F2" w:rsidP="00963376">
            <w:pPr>
              <w:pStyle w:val="TableText0"/>
              <w:keepNext w:val="0"/>
              <w:jc w:val="center"/>
            </w:pPr>
            <w:r>
              <w:t>60.70 (58.81, 62.71)</w:t>
            </w:r>
          </w:p>
        </w:tc>
        <w:tc>
          <w:tcPr>
            <w:tcW w:w="1236" w:type="pct"/>
            <w:shd w:val="clear" w:color="auto" w:fill="FFFFFF" w:themeFill="background1"/>
            <w:vAlign w:val="center"/>
          </w:tcPr>
          <w:p w14:paraId="4D9FC936" w14:textId="77777777" w:rsidR="00DC33F2" w:rsidRDefault="00DC33F2" w:rsidP="00963376">
            <w:pPr>
              <w:pStyle w:val="TableText0"/>
              <w:keepNext w:val="0"/>
              <w:jc w:val="center"/>
            </w:pPr>
            <w:r>
              <w:t>61.16 (58.48, 63.83)</w:t>
            </w:r>
          </w:p>
        </w:tc>
        <w:tc>
          <w:tcPr>
            <w:tcW w:w="1200" w:type="pct"/>
            <w:shd w:val="clear" w:color="auto" w:fill="FFFFFF" w:themeFill="background1"/>
            <w:vAlign w:val="center"/>
          </w:tcPr>
          <w:p w14:paraId="05F70E70" w14:textId="77777777" w:rsidR="00DC33F2" w:rsidRDefault="00DC33F2" w:rsidP="00963376">
            <w:pPr>
              <w:pStyle w:val="TableText0"/>
              <w:keepNext w:val="0"/>
              <w:jc w:val="center"/>
            </w:pPr>
            <w:r>
              <w:t>-1.19 (-3.13, 0.75)</w:t>
            </w:r>
          </w:p>
        </w:tc>
      </w:tr>
      <w:tr w:rsidR="00DC33F2" w14:paraId="74BE0882" w14:textId="77777777" w:rsidTr="00AD478D">
        <w:tc>
          <w:tcPr>
            <w:tcW w:w="1423" w:type="pct"/>
            <w:shd w:val="clear" w:color="auto" w:fill="FFFFFF" w:themeFill="background1"/>
            <w:vAlign w:val="center"/>
          </w:tcPr>
          <w:p w14:paraId="5AFFCCBF" w14:textId="77777777" w:rsidR="00DC33F2" w:rsidRDefault="00DC33F2" w:rsidP="00963376">
            <w:pPr>
              <w:pStyle w:val="TableText0"/>
              <w:keepNext w:val="0"/>
            </w:pPr>
            <w:r>
              <w:t>EQ-5D</w:t>
            </w:r>
          </w:p>
          <w:p w14:paraId="225EB4D9" w14:textId="77777777" w:rsidR="00DC33F2" w:rsidRDefault="00DC33F2" w:rsidP="00963376">
            <w:pPr>
              <w:pStyle w:val="TableText0"/>
              <w:keepNext w:val="0"/>
            </w:pPr>
            <w:r>
              <w:t>-Index score</w:t>
            </w:r>
          </w:p>
          <w:p w14:paraId="264CAD2B" w14:textId="77777777" w:rsidR="00DC33F2" w:rsidRDefault="00DC33F2" w:rsidP="00963376">
            <w:pPr>
              <w:pStyle w:val="TableText0"/>
              <w:keepNext w:val="0"/>
            </w:pPr>
            <w:r>
              <w:t xml:space="preserve">-VAS </w:t>
            </w:r>
          </w:p>
        </w:tc>
        <w:tc>
          <w:tcPr>
            <w:tcW w:w="1141" w:type="pct"/>
            <w:shd w:val="clear" w:color="auto" w:fill="FFFFFF" w:themeFill="background1"/>
            <w:vAlign w:val="center"/>
          </w:tcPr>
          <w:p w14:paraId="669C1745" w14:textId="77777777" w:rsidR="00DC33F2" w:rsidRDefault="00DC33F2" w:rsidP="00963376">
            <w:pPr>
              <w:pStyle w:val="TableText0"/>
              <w:keepNext w:val="0"/>
              <w:jc w:val="center"/>
            </w:pPr>
          </w:p>
          <w:p w14:paraId="0D35AB4E" w14:textId="77777777" w:rsidR="00DC33F2" w:rsidRDefault="00DC33F2" w:rsidP="00963376">
            <w:pPr>
              <w:pStyle w:val="TableText0"/>
              <w:keepNext w:val="0"/>
              <w:jc w:val="center"/>
            </w:pPr>
            <w:r>
              <w:t xml:space="preserve">0.70 (0.67, 0.73) </w:t>
            </w:r>
          </w:p>
          <w:p w14:paraId="5EF97EC4" w14:textId="77777777" w:rsidR="00DC33F2" w:rsidRDefault="00DC33F2" w:rsidP="00963376">
            <w:pPr>
              <w:pStyle w:val="TableText0"/>
              <w:keepNext w:val="0"/>
              <w:jc w:val="center"/>
            </w:pPr>
            <w:r>
              <w:t>69.28 (67.48, 71.08)</w:t>
            </w:r>
          </w:p>
        </w:tc>
        <w:tc>
          <w:tcPr>
            <w:tcW w:w="1236" w:type="pct"/>
            <w:shd w:val="clear" w:color="auto" w:fill="FFFFFF" w:themeFill="background1"/>
            <w:vAlign w:val="center"/>
          </w:tcPr>
          <w:p w14:paraId="2480FE38" w14:textId="77777777" w:rsidR="00DC33F2" w:rsidRDefault="00DC33F2" w:rsidP="00963376">
            <w:pPr>
              <w:pStyle w:val="TableText0"/>
              <w:keepNext w:val="0"/>
              <w:jc w:val="center"/>
            </w:pPr>
          </w:p>
          <w:p w14:paraId="03A57C18" w14:textId="77777777" w:rsidR="00DC33F2" w:rsidRDefault="00DC33F2" w:rsidP="00963376">
            <w:pPr>
              <w:pStyle w:val="TableText0"/>
              <w:keepNext w:val="0"/>
              <w:jc w:val="center"/>
            </w:pPr>
            <w:r>
              <w:t xml:space="preserve">0.74 (0.70, 0.78) </w:t>
            </w:r>
          </w:p>
          <w:p w14:paraId="7E965EB6" w14:textId="77777777" w:rsidR="00DC33F2" w:rsidRDefault="00DC33F2" w:rsidP="00963376">
            <w:pPr>
              <w:pStyle w:val="TableText0"/>
              <w:keepNext w:val="0"/>
              <w:jc w:val="center"/>
            </w:pPr>
            <w:r>
              <w:t>70.46 (68.01, 72.91)</w:t>
            </w:r>
          </w:p>
        </w:tc>
        <w:tc>
          <w:tcPr>
            <w:tcW w:w="1200" w:type="pct"/>
            <w:shd w:val="clear" w:color="auto" w:fill="FFFFFF" w:themeFill="background1"/>
            <w:vAlign w:val="center"/>
          </w:tcPr>
          <w:p w14:paraId="69BC5C95" w14:textId="77777777" w:rsidR="00DC33F2" w:rsidRDefault="00DC33F2" w:rsidP="00963376">
            <w:pPr>
              <w:pStyle w:val="TableText0"/>
              <w:keepNext w:val="0"/>
              <w:jc w:val="center"/>
            </w:pPr>
          </w:p>
          <w:p w14:paraId="7A38B2B1" w14:textId="77777777" w:rsidR="00DC33F2" w:rsidRPr="008D73A8" w:rsidRDefault="00DC33F2" w:rsidP="00963376">
            <w:pPr>
              <w:pStyle w:val="TableText0"/>
              <w:keepNext w:val="0"/>
              <w:jc w:val="center"/>
              <w:rPr>
                <w:i/>
                <w:iCs/>
              </w:rPr>
            </w:pPr>
            <w:r w:rsidRPr="008D73A8">
              <w:rPr>
                <w:i/>
                <w:iCs/>
              </w:rPr>
              <w:t>-0.03 (-0.08, 0.01)</w:t>
            </w:r>
          </w:p>
          <w:p w14:paraId="6C2C2616" w14:textId="77777777" w:rsidR="00DC33F2" w:rsidRDefault="00DC33F2" w:rsidP="00963376">
            <w:pPr>
              <w:pStyle w:val="TableText0"/>
              <w:keepNext w:val="0"/>
              <w:jc w:val="center"/>
            </w:pPr>
            <w:r>
              <w:t>-1.18 (-4.01, 1.66)</w:t>
            </w:r>
          </w:p>
        </w:tc>
      </w:tr>
    </w:tbl>
    <w:p w14:paraId="3959606F" w14:textId="77777777" w:rsidR="00DC33F2" w:rsidRDefault="00DC33F2" w:rsidP="00DC33F2">
      <w:pPr>
        <w:pStyle w:val="TableFigureFooter"/>
      </w:pPr>
      <w:r>
        <w:t xml:space="preserve">Sources: Table 2-19, p96 and Table 2-23, p101 </w:t>
      </w:r>
      <w:r w:rsidRPr="00D13A3E">
        <w:t xml:space="preserve">of the </w:t>
      </w:r>
      <w:r>
        <w:t>resubmission.</w:t>
      </w:r>
    </w:p>
    <w:p w14:paraId="7580287B" w14:textId="3FEDA9BC" w:rsidR="00DC33F2" w:rsidRPr="00754394" w:rsidRDefault="00DC33F2" w:rsidP="00DC33F2">
      <w:pPr>
        <w:pStyle w:val="TableFigureFooter"/>
        <w:rPr>
          <w:snapToGrid/>
        </w:rPr>
      </w:pPr>
      <w:r w:rsidRPr="00CA1159">
        <w:rPr>
          <w:snapToGrid/>
        </w:rPr>
        <w:t>CI</w:t>
      </w:r>
      <w:r>
        <w:rPr>
          <w:snapToGrid/>
        </w:rPr>
        <w:t xml:space="preserve"> =</w:t>
      </w:r>
      <w:r w:rsidRPr="00CA1159">
        <w:rPr>
          <w:snapToGrid/>
        </w:rPr>
        <w:t xml:space="preserve"> confidence interval</w:t>
      </w:r>
      <w:r>
        <w:rPr>
          <w:snapToGrid/>
        </w:rPr>
        <w:t xml:space="preserve">, </w:t>
      </w:r>
      <w:r w:rsidRPr="00CA1159">
        <w:rPr>
          <w:snapToGrid/>
        </w:rPr>
        <w:t>EORTC</w:t>
      </w:r>
      <w:r>
        <w:rPr>
          <w:snapToGrid/>
        </w:rPr>
        <w:t xml:space="preserve"> =</w:t>
      </w:r>
      <w:r w:rsidRPr="00CA1159">
        <w:rPr>
          <w:snapToGrid/>
        </w:rPr>
        <w:t xml:space="preserve"> European Organisation for Research and Treatment of Cancer</w:t>
      </w:r>
      <w:r>
        <w:rPr>
          <w:snapToGrid/>
        </w:rPr>
        <w:t>,</w:t>
      </w:r>
      <w:r w:rsidRPr="00CA1159">
        <w:rPr>
          <w:snapToGrid/>
        </w:rPr>
        <w:t xml:space="preserve"> EQ-5D</w:t>
      </w:r>
      <w:r>
        <w:rPr>
          <w:snapToGrid/>
        </w:rPr>
        <w:t xml:space="preserve"> =</w:t>
      </w:r>
      <w:r w:rsidRPr="00CA1159">
        <w:rPr>
          <w:snapToGrid/>
        </w:rPr>
        <w:t xml:space="preserve"> </w:t>
      </w:r>
      <w:r w:rsidR="007009ED" w:rsidRPr="00A47C37">
        <w:t>Euro QoL</w:t>
      </w:r>
      <w:r w:rsidR="007009ED">
        <w:t>,</w:t>
      </w:r>
      <w:r w:rsidR="007009ED" w:rsidRPr="00A47C37">
        <w:t xml:space="preserve"> 5-dimensional QoL measurement</w:t>
      </w:r>
      <w:r>
        <w:rPr>
          <w:snapToGrid/>
        </w:rPr>
        <w:t>, LS = least square, VAS = visual analogue scale</w:t>
      </w:r>
      <w:r w:rsidR="00BA3E84">
        <w:rPr>
          <w:snapToGrid/>
        </w:rPr>
        <w:t>.</w:t>
      </w:r>
    </w:p>
    <w:p w14:paraId="509DFE87" w14:textId="77777777" w:rsidR="00E65AEA" w:rsidRDefault="00DC33F2" w:rsidP="00E65AEA">
      <w:pPr>
        <w:pStyle w:val="3-BodyText"/>
        <w:rPr>
          <w:iCs/>
        </w:rPr>
      </w:pPr>
      <w:r w:rsidRPr="008705DE">
        <w:rPr>
          <w:iCs/>
        </w:rPr>
        <w:t>Although not statistically significant, the least square means for EORTC QLQ-C30, EQ-5D index score and EQ-5D VAS were lower in the regorafenib arm when compared to the placebo arm across the CORRECT and CONCUR trials</w:t>
      </w:r>
      <w:r w:rsidR="00F44157" w:rsidRPr="008705DE">
        <w:rPr>
          <w:iCs/>
        </w:rPr>
        <w:t>, indicating a negative impact of regorafenib on quality of life</w:t>
      </w:r>
      <w:r w:rsidRPr="008705DE">
        <w:rPr>
          <w:iCs/>
        </w:rPr>
        <w:t xml:space="preserve">. Patient-reported outcomes were not available for </w:t>
      </w:r>
      <w:r w:rsidR="00B72800">
        <w:rPr>
          <w:iCs/>
        </w:rPr>
        <w:t xml:space="preserve">the </w:t>
      </w:r>
      <w:r w:rsidR="00B72800">
        <w:t xml:space="preserve">trifluridine/tipiracil trials, </w:t>
      </w:r>
      <w:r w:rsidRPr="008705DE">
        <w:rPr>
          <w:iCs/>
        </w:rPr>
        <w:t xml:space="preserve">RECOURSE, TERRA and J003.  </w:t>
      </w:r>
    </w:p>
    <w:p w14:paraId="583A6705" w14:textId="77777777" w:rsidR="00DC33F2" w:rsidRPr="00C9624D" w:rsidRDefault="00DC33F2" w:rsidP="00DC33F2">
      <w:pPr>
        <w:pStyle w:val="4-SubsectionHeading"/>
      </w:pPr>
      <w:bookmarkStart w:id="34" w:name="_Toc22897642"/>
      <w:bookmarkStart w:id="35" w:name="_Toc22898854"/>
      <w:bookmarkStart w:id="36" w:name="_Toc82598856"/>
      <w:r w:rsidRPr="00C9624D">
        <w:t>Comparative harms</w:t>
      </w:r>
      <w:bookmarkEnd w:id="34"/>
      <w:bookmarkEnd w:id="35"/>
      <w:bookmarkEnd w:id="36"/>
    </w:p>
    <w:p w14:paraId="538F0CD2" w14:textId="77777777" w:rsidR="00DC33F2" w:rsidRPr="00FC30BA" w:rsidRDefault="00DC33F2" w:rsidP="00DC33F2">
      <w:pPr>
        <w:pStyle w:val="3-BodyText"/>
        <w:rPr>
          <w:color w:val="0066FF"/>
        </w:rPr>
      </w:pPr>
      <w:r w:rsidRPr="00164EFB">
        <w:t xml:space="preserve">The resubmission presented safety data for regorafenib based on the data from the CORRECT and CONCUR trials, and safety data for trifluridine/tipiracil based on the RECOURCE, TERRA and J003 trials. </w:t>
      </w:r>
    </w:p>
    <w:p w14:paraId="31EBC49C" w14:textId="77777777" w:rsidR="00DC33F2" w:rsidRDefault="00DC33F2" w:rsidP="00DC33F2">
      <w:pPr>
        <w:pStyle w:val="3-BodyText"/>
      </w:pPr>
      <w:r>
        <w:t>Summary of key adverse events is summarised in Table 8.</w:t>
      </w:r>
    </w:p>
    <w:p w14:paraId="3CE252DD" w14:textId="3B8FBE70" w:rsidR="003A414F" w:rsidRDefault="003A414F">
      <w:pPr>
        <w:jc w:val="left"/>
        <w:rPr>
          <w:rFonts w:ascii="Arial Narrow" w:eastAsiaTheme="majorEastAsia" w:hAnsi="Arial Narrow" w:cstheme="majorBidi"/>
          <w:b/>
          <w:bCs/>
          <w:sz w:val="20"/>
        </w:rPr>
      </w:pPr>
      <w:bookmarkStart w:id="37" w:name="_GoBack"/>
      <w:bookmarkEnd w:id="37"/>
    </w:p>
    <w:p w14:paraId="5191B8FB" w14:textId="77777777" w:rsidR="00DC33F2" w:rsidRDefault="00DC33F2" w:rsidP="00DC33F2">
      <w:pPr>
        <w:keepNext/>
        <w:jc w:val="left"/>
        <w:rPr>
          <w:rFonts w:ascii="Arial Narrow" w:eastAsiaTheme="majorEastAsia" w:hAnsi="Arial Narrow" w:cstheme="majorBidi"/>
          <w:b/>
          <w:bCs/>
          <w:sz w:val="20"/>
        </w:rPr>
      </w:pPr>
      <w:r w:rsidRPr="00CA7496">
        <w:rPr>
          <w:rFonts w:ascii="Arial Narrow" w:eastAsiaTheme="majorEastAsia" w:hAnsi="Arial Narrow" w:cstheme="majorBidi"/>
          <w:b/>
          <w:bCs/>
          <w:sz w:val="20"/>
        </w:rPr>
        <w:t xml:space="preserve">Table </w:t>
      </w:r>
      <w:r>
        <w:rPr>
          <w:rFonts w:ascii="Arial Narrow" w:eastAsiaTheme="majorEastAsia" w:hAnsi="Arial Narrow" w:cstheme="majorBidi"/>
          <w:b/>
          <w:bCs/>
          <w:sz w:val="20"/>
        </w:rPr>
        <w:t>8</w:t>
      </w:r>
      <w:r w:rsidRPr="00CA7496">
        <w:rPr>
          <w:rFonts w:ascii="Arial Narrow" w:eastAsiaTheme="majorEastAsia" w:hAnsi="Arial Narrow" w:cstheme="majorBidi"/>
          <w:b/>
          <w:bCs/>
          <w:sz w:val="20"/>
        </w:rPr>
        <w:t>: Summary of key adverse events in the randomised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Summary of key adverse events in the randomised trials"/>
      </w:tblPr>
      <w:tblGrid>
        <w:gridCol w:w="1793"/>
        <w:gridCol w:w="1185"/>
        <w:gridCol w:w="1039"/>
        <w:gridCol w:w="1666"/>
        <w:gridCol w:w="16"/>
        <w:gridCol w:w="1650"/>
        <w:gridCol w:w="14"/>
        <w:gridCol w:w="1654"/>
      </w:tblGrid>
      <w:tr w:rsidR="00DC33F2" w:rsidRPr="00705CC4" w14:paraId="74741657" w14:textId="77777777" w:rsidTr="00AD478D">
        <w:trPr>
          <w:tblHeader/>
        </w:trPr>
        <w:tc>
          <w:tcPr>
            <w:tcW w:w="994" w:type="pct"/>
            <w:vAlign w:val="center"/>
          </w:tcPr>
          <w:p w14:paraId="5E726713" w14:textId="77777777" w:rsidR="00DC33F2" w:rsidRPr="00705CC4" w:rsidRDefault="00DC33F2" w:rsidP="00AD478D">
            <w:pPr>
              <w:keepNext/>
              <w:jc w:val="left"/>
              <w:rPr>
                <w:rFonts w:ascii="Arial Narrow" w:eastAsiaTheme="majorEastAsia" w:hAnsi="Arial Narrow" w:cs="Times New Roman"/>
                <w:b/>
                <w:sz w:val="20"/>
                <w:lang w:val="en-US"/>
              </w:rPr>
            </w:pPr>
            <w:r w:rsidRPr="00705CC4">
              <w:rPr>
                <w:rFonts w:ascii="Arial Narrow" w:eastAsiaTheme="majorEastAsia" w:hAnsi="Arial Narrow" w:cs="Times New Roman"/>
                <w:b/>
                <w:sz w:val="20"/>
                <w:lang w:val="en-US"/>
              </w:rPr>
              <w:t>Trial ID</w:t>
            </w:r>
          </w:p>
        </w:tc>
        <w:tc>
          <w:tcPr>
            <w:tcW w:w="657" w:type="pct"/>
            <w:vAlign w:val="center"/>
          </w:tcPr>
          <w:p w14:paraId="65E92156" w14:textId="77777777" w:rsidR="00DC33F2" w:rsidRPr="00705CC4" w:rsidRDefault="00DC33F2" w:rsidP="00AD478D">
            <w:pPr>
              <w:keepNext/>
              <w:jc w:val="center"/>
              <w:rPr>
                <w:rFonts w:ascii="Arial Narrow" w:eastAsiaTheme="majorEastAsia" w:hAnsi="Arial Narrow" w:cs="Times New Roman"/>
                <w:b/>
                <w:sz w:val="20"/>
                <w:lang w:val="en-US"/>
              </w:rPr>
            </w:pPr>
            <w:r w:rsidRPr="00705CC4">
              <w:rPr>
                <w:rFonts w:ascii="Arial Narrow" w:eastAsiaTheme="majorEastAsia" w:hAnsi="Arial Narrow" w:cs="Times New Roman"/>
                <w:b/>
                <w:sz w:val="20"/>
                <w:lang w:val="en-US"/>
              </w:rPr>
              <w:t>Proposed drug</w:t>
            </w:r>
          </w:p>
          <w:p w14:paraId="3BB0CD7D" w14:textId="77777777" w:rsidR="00DC33F2" w:rsidRPr="00705CC4" w:rsidRDefault="00DC33F2" w:rsidP="00AD478D">
            <w:pPr>
              <w:keepNext/>
              <w:jc w:val="center"/>
              <w:rPr>
                <w:rFonts w:ascii="Arial Narrow" w:eastAsiaTheme="majorEastAsia" w:hAnsi="Arial Narrow" w:cs="Times New Roman"/>
                <w:b/>
                <w:sz w:val="20"/>
                <w:lang w:val="en-US"/>
              </w:rPr>
            </w:pPr>
            <w:r w:rsidRPr="00705CC4">
              <w:rPr>
                <w:rFonts w:ascii="Arial Narrow" w:eastAsiaTheme="majorEastAsia" w:hAnsi="Arial Narrow" w:cs="Times New Roman"/>
                <w:b/>
                <w:sz w:val="20"/>
                <w:lang w:val="en-US"/>
              </w:rPr>
              <w:t>n with event/N (%)</w:t>
            </w:r>
          </w:p>
        </w:tc>
        <w:tc>
          <w:tcPr>
            <w:tcW w:w="576" w:type="pct"/>
            <w:vAlign w:val="center"/>
          </w:tcPr>
          <w:p w14:paraId="08C807CF" w14:textId="77777777" w:rsidR="00DC33F2" w:rsidRPr="00705CC4" w:rsidRDefault="00DC33F2" w:rsidP="00AD478D">
            <w:pPr>
              <w:keepNext/>
              <w:jc w:val="center"/>
              <w:rPr>
                <w:rFonts w:ascii="Arial Narrow" w:eastAsiaTheme="majorEastAsia" w:hAnsi="Arial Narrow" w:cs="Times New Roman"/>
                <w:b/>
                <w:sz w:val="20"/>
                <w:lang w:val="en-US"/>
              </w:rPr>
            </w:pPr>
            <w:r w:rsidRPr="00705CC4">
              <w:rPr>
                <w:rFonts w:ascii="Arial Narrow" w:eastAsiaTheme="majorEastAsia" w:hAnsi="Arial Narrow" w:cs="Times New Roman"/>
                <w:b/>
                <w:sz w:val="20"/>
                <w:lang w:val="en-US"/>
              </w:rPr>
              <w:t>Placebo</w:t>
            </w:r>
          </w:p>
          <w:p w14:paraId="7CE04A0A" w14:textId="77777777" w:rsidR="00DC33F2" w:rsidRPr="00705CC4" w:rsidRDefault="00DC33F2" w:rsidP="00AD478D">
            <w:pPr>
              <w:keepNext/>
              <w:jc w:val="center"/>
              <w:rPr>
                <w:rFonts w:ascii="Arial Narrow" w:eastAsiaTheme="majorEastAsia" w:hAnsi="Arial Narrow" w:cs="Times New Roman"/>
                <w:b/>
                <w:sz w:val="20"/>
                <w:lang w:val="en-US"/>
              </w:rPr>
            </w:pPr>
            <w:r w:rsidRPr="00705CC4">
              <w:rPr>
                <w:rFonts w:ascii="Arial Narrow" w:eastAsiaTheme="majorEastAsia" w:hAnsi="Arial Narrow" w:cs="Times New Roman"/>
                <w:b/>
                <w:sz w:val="20"/>
                <w:lang w:val="en-US"/>
              </w:rPr>
              <w:t>n with event/N (%)</w:t>
            </w:r>
          </w:p>
        </w:tc>
        <w:tc>
          <w:tcPr>
            <w:tcW w:w="924" w:type="pct"/>
            <w:vAlign w:val="center"/>
          </w:tcPr>
          <w:p w14:paraId="43856A87" w14:textId="77777777" w:rsidR="00DC33F2" w:rsidRPr="00705CC4" w:rsidRDefault="00DC33F2" w:rsidP="00AD478D">
            <w:pPr>
              <w:keepNext/>
              <w:jc w:val="center"/>
              <w:rPr>
                <w:rFonts w:ascii="Arial Narrow" w:eastAsiaTheme="majorEastAsia" w:hAnsi="Arial Narrow" w:cs="Times New Roman"/>
                <w:b/>
                <w:sz w:val="20"/>
                <w:lang w:val="en-US"/>
              </w:rPr>
            </w:pPr>
            <w:r w:rsidRPr="00705CC4">
              <w:rPr>
                <w:rFonts w:ascii="Arial Narrow" w:eastAsiaTheme="majorEastAsia" w:hAnsi="Arial Narrow" w:cs="Times New Roman"/>
                <w:b/>
                <w:sz w:val="20"/>
                <w:lang w:val="en-US"/>
              </w:rPr>
              <w:t>OR (95% CI)</w:t>
            </w:r>
          </w:p>
        </w:tc>
        <w:tc>
          <w:tcPr>
            <w:tcW w:w="924" w:type="pct"/>
            <w:gridSpan w:val="2"/>
            <w:vAlign w:val="center"/>
          </w:tcPr>
          <w:p w14:paraId="7054917C" w14:textId="77777777" w:rsidR="00DC33F2" w:rsidRPr="00705CC4" w:rsidRDefault="00DC33F2" w:rsidP="00AD478D">
            <w:pPr>
              <w:keepNext/>
              <w:jc w:val="center"/>
              <w:rPr>
                <w:rFonts w:ascii="Arial Narrow" w:eastAsiaTheme="majorEastAsia" w:hAnsi="Arial Narrow" w:cs="Times New Roman"/>
                <w:b/>
                <w:sz w:val="20"/>
                <w:lang w:val="en-US"/>
              </w:rPr>
            </w:pPr>
            <w:r w:rsidRPr="00705CC4">
              <w:rPr>
                <w:rFonts w:ascii="Arial Narrow" w:eastAsiaTheme="majorEastAsia" w:hAnsi="Arial Narrow" w:cs="Times New Roman"/>
                <w:b/>
                <w:sz w:val="20"/>
                <w:lang w:val="en-US"/>
              </w:rPr>
              <w:t>RR (95% CI)</w:t>
            </w:r>
          </w:p>
        </w:tc>
        <w:tc>
          <w:tcPr>
            <w:tcW w:w="925" w:type="pct"/>
            <w:gridSpan w:val="2"/>
            <w:vAlign w:val="center"/>
          </w:tcPr>
          <w:p w14:paraId="775E3715" w14:textId="77777777" w:rsidR="00DC33F2" w:rsidRPr="00705CC4" w:rsidRDefault="00DC33F2" w:rsidP="00AD478D">
            <w:pPr>
              <w:keepNext/>
              <w:jc w:val="center"/>
              <w:rPr>
                <w:rFonts w:ascii="Arial Narrow" w:eastAsiaTheme="majorEastAsia" w:hAnsi="Arial Narrow" w:cs="Times New Roman"/>
                <w:b/>
                <w:sz w:val="20"/>
                <w:lang w:val="en-US"/>
              </w:rPr>
            </w:pPr>
            <w:r w:rsidRPr="00705CC4">
              <w:rPr>
                <w:rFonts w:ascii="Arial Narrow" w:eastAsiaTheme="majorEastAsia" w:hAnsi="Arial Narrow" w:cs="Times New Roman"/>
                <w:b/>
                <w:sz w:val="20"/>
                <w:lang w:val="en-US"/>
              </w:rPr>
              <w:t>RD (95% CI)</w:t>
            </w:r>
          </w:p>
        </w:tc>
      </w:tr>
      <w:tr w:rsidR="00DC33F2" w:rsidRPr="00705CC4" w14:paraId="5AAB8C5D" w14:textId="77777777" w:rsidTr="00AD478D">
        <w:tc>
          <w:tcPr>
            <w:tcW w:w="5000" w:type="pct"/>
            <w:gridSpan w:val="8"/>
          </w:tcPr>
          <w:p w14:paraId="2489EF3C" w14:textId="77777777" w:rsidR="00DC33F2" w:rsidRPr="00705CC4" w:rsidRDefault="00DC33F2" w:rsidP="00AD478D">
            <w:pPr>
              <w:keepNext/>
              <w:jc w:val="left"/>
              <w:rPr>
                <w:rFonts w:ascii="Arial Narrow" w:eastAsiaTheme="majorEastAsia" w:hAnsi="Arial Narrow" w:cstheme="majorBidi"/>
                <w:b/>
                <w:sz w:val="20"/>
              </w:rPr>
            </w:pPr>
            <w:r w:rsidRPr="00705CC4">
              <w:rPr>
                <w:rFonts w:ascii="Arial Narrow" w:eastAsiaTheme="majorEastAsia" w:hAnsi="Arial Narrow" w:cstheme="majorBidi"/>
                <w:b/>
                <w:sz w:val="20"/>
              </w:rPr>
              <w:t>Regorafenib trials</w:t>
            </w:r>
            <w:r>
              <w:rPr>
                <w:rFonts w:ascii="Arial Narrow" w:eastAsiaTheme="majorEastAsia" w:hAnsi="Arial Narrow" w:cstheme="majorBidi"/>
                <w:b/>
                <w:sz w:val="20"/>
              </w:rPr>
              <w:t xml:space="preserve"> vs. Placebo</w:t>
            </w:r>
          </w:p>
        </w:tc>
      </w:tr>
      <w:tr w:rsidR="00DC33F2" w:rsidRPr="00705CC4" w14:paraId="3B15C207" w14:textId="77777777" w:rsidTr="00AD478D">
        <w:tc>
          <w:tcPr>
            <w:tcW w:w="5000" w:type="pct"/>
            <w:gridSpan w:val="8"/>
          </w:tcPr>
          <w:p w14:paraId="0234B523" w14:textId="77777777" w:rsidR="00DC33F2" w:rsidRPr="00705CC4" w:rsidRDefault="00DC33F2" w:rsidP="00AD478D">
            <w:pPr>
              <w:keepNext/>
              <w:jc w:val="left"/>
              <w:rPr>
                <w:rFonts w:ascii="Arial Narrow" w:eastAsiaTheme="majorEastAsia" w:hAnsi="Arial Narrow" w:cstheme="majorBidi"/>
                <w:b/>
                <w:sz w:val="20"/>
              </w:rPr>
            </w:pPr>
            <w:r w:rsidRPr="00705CC4">
              <w:rPr>
                <w:rFonts w:ascii="Arial Narrow" w:eastAsiaTheme="majorEastAsia" w:hAnsi="Arial Narrow" w:cstheme="majorBidi"/>
                <w:b/>
                <w:sz w:val="20"/>
              </w:rPr>
              <w:t>CORRECT</w:t>
            </w:r>
          </w:p>
        </w:tc>
      </w:tr>
      <w:tr w:rsidR="00DC33F2" w:rsidRPr="00705CC4" w14:paraId="3745FA7A" w14:textId="77777777" w:rsidTr="00BF6F06">
        <w:tc>
          <w:tcPr>
            <w:tcW w:w="994" w:type="pct"/>
            <w:tcBorders>
              <w:bottom w:val="nil"/>
            </w:tcBorders>
          </w:tcPr>
          <w:p w14:paraId="4CC156DE" w14:textId="77777777" w:rsidR="00DC33F2" w:rsidRPr="00705CC4" w:rsidRDefault="00DC33F2" w:rsidP="00AD478D">
            <w:pPr>
              <w:autoSpaceDE w:val="0"/>
              <w:autoSpaceDN w:val="0"/>
              <w:adjustRightInd w:val="0"/>
              <w:jc w:val="left"/>
              <w:rPr>
                <w:rFonts w:ascii="Arial Narrow" w:eastAsiaTheme="majorEastAsia" w:hAnsi="Arial Narrow" w:cstheme="majorBidi"/>
                <w:bCs/>
                <w:sz w:val="20"/>
              </w:rPr>
            </w:pPr>
            <w:r w:rsidRPr="00705CC4">
              <w:rPr>
                <w:rFonts w:ascii="Arial Narrow" w:eastAsiaTheme="majorEastAsia" w:hAnsi="Arial Narrow" w:cstheme="majorBidi"/>
                <w:bCs/>
                <w:sz w:val="20"/>
              </w:rPr>
              <w:t xml:space="preserve">Study drug related severe (≥Grade 3) TEAE </w:t>
            </w:r>
          </w:p>
        </w:tc>
        <w:tc>
          <w:tcPr>
            <w:tcW w:w="657" w:type="pct"/>
            <w:tcBorders>
              <w:bottom w:val="single" w:sz="4" w:space="0" w:color="auto"/>
            </w:tcBorders>
            <w:vAlign w:val="center"/>
          </w:tcPr>
          <w:p w14:paraId="302E68B4"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szCs w:val="20"/>
              </w:rPr>
              <w:t>275/500 (55.00%)</w:t>
            </w:r>
          </w:p>
        </w:tc>
        <w:tc>
          <w:tcPr>
            <w:tcW w:w="576" w:type="pct"/>
            <w:tcBorders>
              <w:bottom w:val="single" w:sz="4" w:space="0" w:color="auto"/>
            </w:tcBorders>
            <w:vAlign w:val="center"/>
          </w:tcPr>
          <w:p w14:paraId="7F738400" w14:textId="77777777" w:rsidR="00DC33F2" w:rsidRPr="00705CC4" w:rsidRDefault="00DC33F2" w:rsidP="00AD478D">
            <w:pPr>
              <w:keepNext/>
              <w:jc w:val="center"/>
              <w:rPr>
                <w:rFonts w:ascii="Arial Narrow" w:eastAsiaTheme="majorEastAsia" w:hAnsi="Arial Narrow" w:cstheme="majorBidi"/>
                <w:bCs/>
                <w:sz w:val="20"/>
              </w:rPr>
            </w:pPr>
            <w:r w:rsidRPr="00705CC4">
              <w:rPr>
                <w:rFonts w:ascii="Arial Narrow" w:eastAsiaTheme="majorEastAsia" w:hAnsi="Arial Narrow" w:cstheme="majorBidi"/>
                <w:bCs/>
                <w:sz w:val="20"/>
                <w:szCs w:val="20"/>
              </w:rPr>
              <w:t>35/253 (13.83%)</w:t>
            </w:r>
          </w:p>
        </w:tc>
        <w:tc>
          <w:tcPr>
            <w:tcW w:w="924" w:type="pct"/>
            <w:tcBorders>
              <w:bottom w:val="single" w:sz="4" w:space="0" w:color="auto"/>
            </w:tcBorders>
            <w:vAlign w:val="center"/>
          </w:tcPr>
          <w:p w14:paraId="0D9BE033" w14:textId="77777777" w:rsidR="00DC33F2" w:rsidRPr="005C7590" w:rsidRDefault="00DC33F2" w:rsidP="00AD478D">
            <w:pPr>
              <w:keepNext/>
              <w:jc w:val="center"/>
              <w:rPr>
                <w:rFonts w:ascii="Arial Narrow" w:eastAsiaTheme="majorEastAsia" w:hAnsi="Arial Narrow" w:cstheme="majorBidi"/>
                <w:b/>
                <w:sz w:val="20"/>
                <w:szCs w:val="20"/>
              </w:rPr>
            </w:pPr>
            <w:r w:rsidRPr="005C7590">
              <w:rPr>
                <w:rFonts w:ascii="Arial Narrow" w:eastAsiaTheme="majorEastAsia" w:hAnsi="Arial Narrow" w:cstheme="majorBidi"/>
                <w:b/>
                <w:sz w:val="20"/>
                <w:szCs w:val="20"/>
              </w:rPr>
              <w:t>7.61 (5.11, 11.33)</w:t>
            </w:r>
          </w:p>
        </w:tc>
        <w:tc>
          <w:tcPr>
            <w:tcW w:w="924" w:type="pct"/>
            <w:gridSpan w:val="2"/>
            <w:tcBorders>
              <w:bottom w:val="single" w:sz="4" w:space="0" w:color="auto"/>
            </w:tcBorders>
            <w:vAlign w:val="center"/>
          </w:tcPr>
          <w:p w14:paraId="2FF4C318" w14:textId="77777777" w:rsidR="00DC33F2" w:rsidRPr="005C7590" w:rsidRDefault="00DC33F2" w:rsidP="00AD478D">
            <w:pPr>
              <w:keepNext/>
              <w:jc w:val="center"/>
              <w:rPr>
                <w:rFonts w:ascii="Arial Narrow" w:eastAsiaTheme="majorEastAsia" w:hAnsi="Arial Narrow" w:cstheme="majorBidi"/>
                <w:b/>
                <w:sz w:val="20"/>
                <w:szCs w:val="20"/>
              </w:rPr>
            </w:pPr>
            <w:r w:rsidRPr="005C7590">
              <w:rPr>
                <w:rFonts w:ascii="Arial Narrow" w:eastAsiaTheme="majorEastAsia" w:hAnsi="Arial Narrow" w:cstheme="majorBidi"/>
                <w:b/>
                <w:sz w:val="20"/>
                <w:szCs w:val="20"/>
              </w:rPr>
              <w:t>3.98 (2.89, 5.46)</w:t>
            </w:r>
          </w:p>
        </w:tc>
        <w:tc>
          <w:tcPr>
            <w:tcW w:w="925" w:type="pct"/>
            <w:gridSpan w:val="2"/>
            <w:tcBorders>
              <w:bottom w:val="single" w:sz="4" w:space="0" w:color="auto"/>
            </w:tcBorders>
            <w:vAlign w:val="center"/>
          </w:tcPr>
          <w:p w14:paraId="5BED3CE5" w14:textId="77777777" w:rsidR="00DC33F2" w:rsidRPr="005C7590" w:rsidRDefault="00DC33F2" w:rsidP="00AD478D">
            <w:pPr>
              <w:keepNext/>
              <w:jc w:val="center"/>
              <w:rPr>
                <w:rFonts w:ascii="Arial Narrow" w:eastAsiaTheme="majorEastAsia" w:hAnsi="Arial Narrow" w:cstheme="majorBidi"/>
                <w:b/>
                <w:sz w:val="20"/>
                <w:szCs w:val="20"/>
              </w:rPr>
            </w:pPr>
            <w:r w:rsidRPr="005C7590">
              <w:rPr>
                <w:rFonts w:ascii="Arial Narrow" w:eastAsiaTheme="majorEastAsia" w:hAnsi="Arial Narrow" w:cstheme="majorBidi"/>
                <w:b/>
                <w:sz w:val="20"/>
                <w:szCs w:val="20"/>
              </w:rPr>
              <w:t>0.41 (0.34, 0.49)</w:t>
            </w:r>
          </w:p>
        </w:tc>
      </w:tr>
      <w:tr w:rsidR="00DC33F2" w:rsidRPr="00705CC4" w14:paraId="42B9FB86" w14:textId="77777777" w:rsidTr="00BF6F06">
        <w:tc>
          <w:tcPr>
            <w:tcW w:w="994" w:type="pct"/>
            <w:tcBorders>
              <w:top w:val="nil"/>
              <w:bottom w:val="nil"/>
            </w:tcBorders>
            <w:vAlign w:val="center"/>
          </w:tcPr>
          <w:p w14:paraId="12A6F9A2" w14:textId="77777777" w:rsidR="00DC33F2" w:rsidRPr="00705CC4" w:rsidRDefault="00DC33F2" w:rsidP="00116C8C">
            <w:pPr>
              <w:numPr>
                <w:ilvl w:val="0"/>
                <w:numId w:val="7"/>
              </w:numPr>
              <w:autoSpaceDE w:val="0"/>
              <w:autoSpaceDN w:val="0"/>
              <w:adjustRightInd w:val="0"/>
              <w:ind w:left="457"/>
              <w:jc w:val="left"/>
              <w:rPr>
                <w:rFonts w:ascii="Arial Narrow" w:eastAsiaTheme="majorEastAsia" w:hAnsi="Arial Narrow" w:cstheme="majorBidi"/>
                <w:bCs/>
                <w:sz w:val="20"/>
              </w:rPr>
            </w:pPr>
            <w:r w:rsidRPr="00705CC4">
              <w:rPr>
                <w:rFonts w:ascii="Arial Narrow" w:eastAsiaTheme="majorEastAsia" w:hAnsi="Arial Narrow" w:cstheme="majorBidi"/>
                <w:bCs/>
                <w:sz w:val="20"/>
              </w:rPr>
              <w:t>Hypertension</w:t>
            </w:r>
          </w:p>
        </w:tc>
        <w:tc>
          <w:tcPr>
            <w:tcW w:w="657" w:type="pct"/>
            <w:tcBorders>
              <w:top w:val="single" w:sz="4" w:space="0" w:color="auto"/>
              <w:bottom w:val="single" w:sz="4" w:space="0" w:color="auto"/>
            </w:tcBorders>
            <w:vAlign w:val="center"/>
          </w:tcPr>
          <w:p w14:paraId="2AC37121"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rPr>
              <w:t>36/500 (7.20%)</w:t>
            </w:r>
          </w:p>
        </w:tc>
        <w:tc>
          <w:tcPr>
            <w:tcW w:w="576" w:type="pct"/>
            <w:tcBorders>
              <w:top w:val="single" w:sz="4" w:space="0" w:color="auto"/>
              <w:bottom w:val="single" w:sz="4" w:space="0" w:color="auto"/>
            </w:tcBorders>
            <w:vAlign w:val="center"/>
          </w:tcPr>
          <w:p w14:paraId="26D7B816"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rPr>
              <w:t>2/253 (0.79%)</w:t>
            </w:r>
          </w:p>
        </w:tc>
        <w:tc>
          <w:tcPr>
            <w:tcW w:w="924" w:type="pct"/>
            <w:tcBorders>
              <w:top w:val="single" w:sz="4" w:space="0" w:color="auto"/>
              <w:bottom w:val="single" w:sz="4" w:space="0" w:color="auto"/>
            </w:tcBorders>
            <w:vAlign w:val="center"/>
          </w:tcPr>
          <w:p w14:paraId="3CBDE734"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rPr>
              <w:t xml:space="preserve">9.74 </w:t>
            </w:r>
            <w:r>
              <w:rPr>
                <w:rFonts w:ascii="Arial Narrow" w:eastAsiaTheme="majorEastAsia" w:hAnsi="Arial Narrow" w:cstheme="majorBidi"/>
                <w:b/>
                <w:sz w:val="20"/>
              </w:rPr>
              <w:t>(</w:t>
            </w:r>
            <w:r w:rsidRPr="00705CC4">
              <w:rPr>
                <w:rFonts w:ascii="Arial Narrow" w:eastAsiaTheme="majorEastAsia" w:hAnsi="Arial Narrow" w:cstheme="majorBidi"/>
                <w:b/>
                <w:sz w:val="20"/>
              </w:rPr>
              <w:t>2.33, 40.78</w:t>
            </w:r>
            <w:r>
              <w:rPr>
                <w:rFonts w:ascii="Arial Narrow" w:eastAsiaTheme="majorEastAsia" w:hAnsi="Arial Narrow" w:cstheme="majorBidi"/>
                <w:b/>
                <w:sz w:val="20"/>
              </w:rPr>
              <w:t>)</w:t>
            </w:r>
          </w:p>
        </w:tc>
        <w:tc>
          <w:tcPr>
            <w:tcW w:w="924" w:type="pct"/>
            <w:gridSpan w:val="2"/>
            <w:tcBorders>
              <w:top w:val="single" w:sz="4" w:space="0" w:color="auto"/>
              <w:bottom w:val="single" w:sz="4" w:space="0" w:color="auto"/>
            </w:tcBorders>
            <w:vAlign w:val="center"/>
          </w:tcPr>
          <w:p w14:paraId="5C5B8D1B"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rPr>
              <w:t xml:space="preserve">9.11 </w:t>
            </w:r>
            <w:r>
              <w:rPr>
                <w:rFonts w:ascii="Arial Narrow" w:eastAsiaTheme="majorEastAsia" w:hAnsi="Arial Narrow" w:cstheme="majorBidi"/>
                <w:b/>
                <w:sz w:val="20"/>
              </w:rPr>
              <w:t>(</w:t>
            </w:r>
            <w:r w:rsidRPr="00705CC4">
              <w:rPr>
                <w:rFonts w:ascii="Arial Narrow" w:eastAsiaTheme="majorEastAsia" w:hAnsi="Arial Narrow" w:cstheme="majorBidi"/>
                <w:b/>
                <w:sz w:val="20"/>
              </w:rPr>
              <w:t>2.21, 37.53</w:t>
            </w:r>
            <w:r>
              <w:rPr>
                <w:rFonts w:ascii="Arial Narrow" w:eastAsiaTheme="majorEastAsia" w:hAnsi="Arial Narrow" w:cstheme="majorBidi"/>
                <w:b/>
                <w:sz w:val="20"/>
              </w:rPr>
              <w:t>)</w:t>
            </w:r>
          </w:p>
        </w:tc>
        <w:tc>
          <w:tcPr>
            <w:tcW w:w="925" w:type="pct"/>
            <w:gridSpan w:val="2"/>
            <w:tcBorders>
              <w:top w:val="single" w:sz="4" w:space="0" w:color="auto"/>
              <w:bottom w:val="single" w:sz="4" w:space="0" w:color="auto"/>
            </w:tcBorders>
            <w:vAlign w:val="center"/>
          </w:tcPr>
          <w:p w14:paraId="3F412F22"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rPr>
              <w:t xml:space="preserve">0.06 </w:t>
            </w:r>
            <w:r>
              <w:rPr>
                <w:rFonts w:ascii="Arial Narrow" w:eastAsiaTheme="majorEastAsia" w:hAnsi="Arial Narrow" w:cstheme="majorBidi"/>
                <w:b/>
                <w:sz w:val="20"/>
              </w:rPr>
              <w:t>(</w:t>
            </w:r>
            <w:r w:rsidRPr="00705CC4">
              <w:rPr>
                <w:rFonts w:ascii="Arial Narrow" w:eastAsiaTheme="majorEastAsia" w:hAnsi="Arial Narrow" w:cstheme="majorBidi"/>
                <w:b/>
                <w:sz w:val="20"/>
              </w:rPr>
              <w:t>0.03, 0.10</w:t>
            </w:r>
            <w:r>
              <w:rPr>
                <w:rFonts w:ascii="Arial Narrow" w:eastAsiaTheme="majorEastAsia" w:hAnsi="Arial Narrow" w:cstheme="majorBidi"/>
                <w:b/>
                <w:sz w:val="20"/>
              </w:rPr>
              <w:t>)</w:t>
            </w:r>
          </w:p>
        </w:tc>
      </w:tr>
      <w:tr w:rsidR="00625DB2" w:rsidRPr="00705CC4" w14:paraId="59697637" w14:textId="77777777" w:rsidTr="00BF6F06">
        <w:tc>
          <w:tcPr>
            <w:tcW w:w="994" w:type="pct"/>
            <w:tcBorders>
              <w:top w:val="nil"/>
              <w:left w:val="single" w:sz="4" w:space="0" w:color="auto"/>
              <w:bottom w:val="nil"/>
              <w:right w:val="single" w:sz="4" w:space="0" w:color="auto"/>
            </w:tcBorders>
            <w:vAlign w:val="center"/>
          </w:tcPr>
          <w:p w14:paraId="73F32B27" w14:textId="77777777" w:rsidR="00DC33F2" w:rsidRPr="00705CC4" w:rsidRDefault="00DC33F2" w:rsidP="00116C8C">
            <w:pPr>
              <w:numPr>
                <w:ilvl w:val="0"/>
                <w:numId w:val="7"/>
              </w:numPr>
              <w:autoSpaceDE w:val="0"/>
              <w:autoSpaceDN w:val="0"/>
              <w:adjustRightInd w:val="0"/>
              <w:ind w:left="457"/>
              <w:jc w:val="left"/>
              <w:rPr>
                <w:rFonts w:ascii="Arial Narrow" w:eastAsiaTheme="majorEastAsia" w:hAnsi="Arial Narrow" w:cstheme="majorBidi"/>
                <w:bCs/>
                <w:sz w:val="20"/>
              </w:rPr>
            </w:pPr>
            <w:r w:rsidRPr="00705CC4">
              <w:rPr>
                <w:rFonts w:ascii="Arial Narrow" w:eastAsiaTheme="majorEastAsia" w:hAnsi="Arial Narrow" w:cstheme="majorBidi"/>
                <w:bCs/>
                <w:sz w:val="20"/>
              </w:rPr>
              <w:t>Fatigue</w:t>
            </w:r>
          </w:p>
        </w:tc>
        <w:tc>
          <w:tcPr>
            <w:tcW w:w="657" w:type="pct"/>
            <w:tcBorders>
              <w:top w:val="single" w:sz="4" w:space="0" w:color="auto"/>
              <w:left w:val="single" w:sz="4" w:space="0" w:color="auto"/>
              <w:bottom w:val="single" w:sz="4" w:space="0" w:color="auto"/>
            </w:tcBorders>
            <w:vAlign w:val="center"/>
          </w:tcPr>
          <w:p w14:paraId="52CB7173"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rPr>
              <w:t>48/500 (9.60%)</w:t>
            </w:r>
          </w:p>
        </w:tc>
        <w:tc>
          <w:tcPr>
            <w:tcW w:w="576" w:type="pct"/>
            <w:tcBorders>
              <w:top w:val="single" w:sz="4" w:space="0" w:color="auto"/>
              <w:bottom w:val="single" w:sz="4" w:space="0" w:color="auto"/>
            </w:tcBorders>
            <w:vAlign w:val="center"/>
          </w:tcPr>
          <w:p w14:paraId="61CC3366"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rPr>
              <w:t>13/253 (5.14%)</w:t>
            </w:r>
          </w:p>
        </w:tc>
        <w:tc>
          <w:tcPr>
            <w:tcW w:w="924" w:type="pct"/>
            <w:tcBorders>
              <w:top w:val="single" w:sz="4" w:space="0" w:color="auto"/>
              <w:bottom w:val="single" w:sz="4" w:space="0" w:color="auto"/>
            </w:tcBorders>
            <w:vAlign w:val="center"/>
          </w:tcPr>
          <w:p w14:paraId="71DCBC19"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rPr>
              <w:t xml:space="preserve">1.96 </w:t>
            </w:r>
            <w:r>
              <w:rPr>
                <w:rFonts w:ascii="Arial Narrow" w:eastAsiaTheme="majorEastAsia" w:hAnsi="Arial Narrow" w:cstheme="majorBidi"/>
                <w:b/>
                <w:sz w:val="20"/>
              </w:rPr>
              <w:t>(</w:t>
            </w:r>
            <w:r w:rsidRPr="00705CC4">
              <w:rPr>
                <w:rFonts w:ascii="Arial Narrow" w:eastAsiaTheme="majorEastAsia" w:hAnsi="Arial Narrow" w:cstheme="majorBidi"/>
                <w:b/>
                <w:sz w:val="20"/>
              </w:rPr>
              <w:t>1.04, 3.69</w:t>
            </w:r>
            <w:r>
              <w:rPr>
                <w:rFonts w:ascii="Arial Narrow" w:eastAsiaTheme="majorEastAsia" w:hAnsi="Arial Narrow" w:cstheme="majorBidi"/>
                <w:b/>
                <w:sz w:val="20"/>
              </w:rPr>
              <w:t>)</w:t>
            </w:r>
          </w:p>
        </w:tc>
        <w:tc>
          <w:tcPr>
            <w:tcW w:w="924" w:type="pct"/>
            <w:gridSpan w:val="2"/>
            <w:tcBorders>
              <w:top w:val="single" w:sz="4" w:space="0" w:color="auto"/>
              <w:bottom w:val="single" w:sz="4" w:space="0" w:color="auto"/>
            </w:tcBorders>
            <w:vAlign w:val="center"/>
          </w:tcPr>
          <w:p w14:paraId="3C290870"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rPr>
              <w:t xml:space="preserve">1.87 </w:t>
            </w:r>
            <w:r>
              <w:rPr>
                <w:rFonts w:ascii="Arial Narrow" w:eastAsiaTheme="majorEastAsia" w:hAnsi="Arial Narrow" w:cstheme="majorBidi"/>
                <w:b/>
                <w:sz w:val="20"/>
              </w:rPr>
              <w:t>(</w:t>
            </w:r>
            <w:r w:rsidRPr="00705CC4">
              <w:rPr>
                <w:rFonts w:ascii="Arial Narrow" w:eastAsiaTheme="majorEastAsia" w:hAnsi="Arial Narrow" w:cstheme="majorBidi"/>
                <w:b/>
                <w:sz w:val="20"/>
              </w:rPr>
              <w:t>1.03, 3.38</w:t>
            </w:r>
            <w:r>
              <w:rPr>
                <w:rFonts w:ascii="Arial Narrow" w:eastAsiaTheme="majorEastAsia" w:hAnsi="Arial Narrow" w:cstheme="majorBidi"/>
                <w:b/>
                <w:sz w:val="20"/>
              </w:rPr>
              <w:t>)</w:t>
            </w:r>
          </w:p>
        </w:tc>
        <w:tc>
          <w:tcPr>
            <w:tcW w:w="925" w:type="pct"/>
            <w:gridSpan w:val="2"/>
            <w:tcBorders>
              <w:top w:val="single" w:sz="4" w:space="0" w:color="auto"/>
              <w:bottom w:val="single" w:sz="4" w:space="0" w:color="auto"/>
            </w:tcBorders>
            <w:vAlign w:val="center"/>
          </w:tcPr>
          <w:p w14:paraId="0D35862F"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rPr>
              <w:t xml:space="preserve">0.04 </w:t>
            </w:r>
            <w:r>
              <w:rPr>
                <w:rFonts w:ascii="Arial Narrow" w:eastAsiaTheme="majorEastAsia" w:hAnsi="Arial Narrow" w:cstheme="majorBidi"/>
                <w:bCs/>
                <w:sz w:val="20"/>
              </w:rPr>
              <w:t>(</w:t>
            </w:r>
            <w:r w:rsidRPr="00705CC4">
              <w:rPr>
                <w:rFonts w:ascii="Arial Narrow" w:eastAsiaTheme="majorEastAsia" w:hAnsi="Arial Narrow" w:cstheme="majorBidi"/>
                <w:bCs/>
                <w:sz w:val="20"/>
              </w:rPr>
              <w:t>0.00, 0.09</w:t>
            </w:r>
            <w:r>
              <w:rPr>
                <w:rFonts w:ascii="Arial Narrow" w:eastAsiaTheme="majorEastAsia" w:hAnsi="Arial Narrow" w:cstheme="majorBidi"/>
                <w:bCs/>
                <w:sz w:val="20"/>
              </w:rPr>
              <w:t>)</w:t>
            </w:r>
          </w:p>
        </w:tc>
      </w:tr>
      <w:tr w:rsidR="00DC33F2" w:rsidRPr="00705CC4" w14:paraId="220A36EA" w14:textId="77777777" w:rsidTr="00BF6F06">
        <w:tc>
          <w:tcPr>
            <w:tcW w:w="994" w:type="pct"/>
            <w:tcBorders>
              <w:top w:val="nil"/>
              <w:bottom w:val="nil"/>
            </w:tcBorders>
            <w:vAlign w:val="center"/>
          </w:tcPr>
          <w:p w14:paraId="3DE8FE36" w14:textId="77777777" w:rsidR="00DC33F2" w:rsidRPr="00705CC4" w:rsidRDefault="00DC33F2" w:rsidP="00116C8C">
            <w:pPr>
              <w:numPr>
                <w:ilvl w:val="0"/>
                <w:numId w:val="7"/>
              </w:numPr>
              <w:autoSpaceDE w:val="0"/>
              <w:autoSpaceDN w:val="0"/>
              <w:adjustRightInd w:val="0"/>
              <w:ind w:left="457"/>
              <w:jc w:val="left"/>
              <w:rPr>
                <w:rFonts w:ascii="Arial Narrow" w:eastAsiaTheme="majorEastAsia" w:hAnsi="Arial Narrow" w:cstheme="majorBidi"/>
                <w:bCs/>
                <w:sz w:val="20"/>
              </w:rPr>
            </w:pPr>
            <w:r w:rsidRPr="00705CC4">
              <w:rPr>
                <w:rFonts w:ascii="Arial Narrow" w:eastAsiaTheme="majorEastAsia" w:hAnsi="Arial Narrow" w:cstheme="majorBidi"/>
                <w:bCs/>
                <w:sz w:val="20"/>
              </w:rPr>
              <w:t>Hand-foot skin reaction</w:t>
            </w:r>
          </w:p>
        </w:tc>
        <w:tc>
          <w:tcPr>
            <w:tcW w:w="657" w:type="pct"/>
            <w:tcBorders>
              <w:top w:val="single" w:sz="4" w:space="0" w:color="auto"/>
              <w:bottom w:val="single" w:sz="4" w:space="0" w:color="auto"/>
            </w:tcBorders>
            <w:vAlign w:val="center"/>
          </w:tcPr>
          <w:p w14:paraId="2E6D3C7A"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rPr>
              <w:t>83/500 (16.60%)</w:t>
            </w:r>
          </w:p>
        </w:tc>
        <w:tc>
          <w:tcPr>
            <w:tcW w:w="576" w:type="pct"/>
            <w:tcBorders>
              <w:top w:val="single" w:sz="4" w:space="0" w:color="auto"/>
              <w:bottom w:val="single" w:sz="4" w:space="0" w:color="auto"/>
            </w:tcBorders>
            <w:vAlign w:val="center"/>
          </w:tcPr>
          <w:p w14:paraId="2FB5EC83"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rPr>
              <w:t>1/253 (0.40%)</w:t>
            </w:r>
          </w:p>
        </w:tc>
        <w:tc>
          <w:tcPr>
            <w:tcW w:w="924" w:type="pct"/>
            <w:tcBorders>
              <w:top w:val="single" w:sz="4" w:space="0" w:color="auto"/>
              <w:bottom w:val="single" w:sz="4" w:space="0" w:color="auto"/>
            </w:tcBorders>
            <w:vAlign w:val="center"/>
          </w:tcPr>
          <w:p w14:paraId="713F2F69" w14:textId="77777777" w:rsidR="00DC33F2" w:rsidRPr="00705CC4" w:rsidRDefault="00DC33F2" w:rsidP="00AD478D">
            <w:pPr>
              <w:keepNext/>
              <w:jc w:val="center"/>
              <w:rPr>
                <w:rFonts w:ascii="Arial Narrow" w:eastAsiaTheme="majorEastAsia" w:hAnsi="Arial Narrow" w:cstheme="majorBidi"/>
                <w:b/>
                <w:sz w:val="20"/>
              </w:rPr>
            </w:pPr>
            <w:r w:rsidRPr="00705CC4">
              <w:rPr>
                <w:rFonts w:ascii="Arial Narrow" w:eastAsiaTheme="majorEastAsia" w:hAnsi="Arial Narrow" w:cstheme="majorBidi"/>
                <w:b/>
                <w:sz w:val="20"/>
              </w:rPr>
              <w:t>50.16</w:t>
            </w:r>
          </w:p>
          <w:p w14:paraId="200AB679" w14:textId="77777777" w:rsidR="00DC33F2" w:rsidRPr="00705CC4" w:rsidRDefault="00DC33F2" w:rsidP="00AD478D">
            <w:pPr>
              <w:keepNext/>
              <w:jc w:val="center"/>
              <w:rPr>
                <w:rFonts w:ascii="Arial Narrow" w:eastAsiaTheme="majorEastAsia" w:hAnsi="Arial Narrow" w:cstheme="majorBidi"/>
                <w:b/>
                <w:sz w:val="20"/>
                <w:szCs w:val="20"/>
              </w:rPr>
            </w:pPr>
            <w:r>
              <w:rPr>
                <w:rFonts w:ascii="Arial Narrow" w:eastAsiaTheme="majorEastAsia" w:hAnsi="Arial Narrow" w:cstheme="majorBidi"/>
                <w:b/>
                <w:sz w:val="20"/>
              </w:rPr>
              <w:t>(</w:t>
            </w:r>
            <w:r w:rsidRPr="00705CC4">
              <w:rPr>
                <w:rFonts w:ascii="Arial Narrow" w:eastAsiaTheme="majorEastAsia" w:hAnsi="Arial Narrow" w:cstheme="majorBidi"/>
                <w:b/>
                <w:sz w:val="20"/>
              </w:rPr>
              <w:t>6.94, 362.54</w:t>
            </w:r>
            <w:r>
              <w:rPr>
                <w:rFonts w:ascii="Arial Narrow" w:eastAsiaTheme="majorEastAsia" w:hAnsi="Arial Narrow" w:cstheme="majorBidi"/>
                <w:b/>
                <w:sz w:val="20"/>
              </w:rPr>
              <w:t>)</w:t>
            </w:r>
          </w:p>
        </w:tc>
        <w:tc>
          <w:tcPr>
            <w:tcW w:w="924" w:type="pct"/>
            <w:gridSpan w:val="2"/>
            <w:tcBorders>
              <w:top w:val="single" w:sz="4" w:space="0" w:color="auto"/>
              <w:bottom w:val="single" w:sz="4" w:space="0" w:color="auto"/>
            </w:tcBorders>
            <w:vAlign w:val="center"/>
          </w:tcPr>
          <w:p w14:paraId="56070604"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rPr>
              <w:t>42.00</w:t>
            </w:r>
            <w:r w:rsidRPr="00705CC4">
              <w:rPr>
                <w:rFonts w:ascii="Arial Narrow" w:eastAsiaTheme="majorEastAsia" w:hAnsi="Arial Narrow" w:cstheme="majorBidi"/>
                <w:b/>
                <w:sz w:val="20"/>
              </w:rPr>
              <w:br/>
              <w:t xml:space="preserve"> </w:t>
            </w:r>
            <w:r>
              <w:rPr>
                <w:rFonts w:ascii="Arial Narrow" w:eastAsiaTheme="majorEastAsia" w:hAnsi="Arial Narrow" w:cstheme="majorBidi"/>
                <w:b/>
                <w:sz w:val="20"/>
              </w:rPr>
              <w:t>(</w:t>
            </w:r>
            <w:r w:rsidRPr="00705CC4">
              <w:rPr>
                <w:rFonts w:ascii="Arial Narrow" w:eastAsiaTheme="majorEastAsia" w:hAnsi="Arial Narrow" w:cstheme="majorBidi"/>
                <w:b/>
                <w:sz w:val="20"/>
              </w:rPr>
              <w:t>5.88, 299.94</w:t>
            </w:r>
            <w:r>
              <w:rPr>
                <w:rFonts w:ascii="Arial Narrow" w:eastAsiaTheme="majorEastAsia" w:hAnsi="Arial Narrow" w:cstheme="majorBidi"/>
                <w:b/>
                <w:sz w:val="20"/>
              </w:rPr>
              <w:t>)</w:t>
            </w:r>
          </w:p>
        </w:tc>
        <w:tc>
          <w:tcPr>
            <w:tcW w:w="925" w:type="pct"/>
            <w:gridSpan w:val="2"/>
            <w:tcBorders>
              <w:top w:val="single" w:sz="4" w:space="0" w:color="auto"/>
              <w:bottom w:val="single" w:sz="4" w:space="0" w:color="auto"/>
            </w:tcBorders>
            <w:vAlign w:val="center"/>
          </w:tcPr>
          <w:p w14:paraId="667E9AEC"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rPr>
              <w:t xml:space="preserve">0.16 </w:t>
            </w:r>
            <w:r>
              <w:rPr>
                <w:rFonts w:ascii="Arial Narrow" w:eastAsiaTheme="majorEastAsia" w:hAnsi="Arial Narrow" w:cstheme="majorBidi"/>
                <w:b/>
                <w:sz w:val="20"/>
              </w:rPr>
              <w:t>(</w:t>
            </w:r>
            <w:r w:rsidRPr="00705CC4">
              <w:rPr>
                <w:rFonts w:ascii="Arial Narrow" w:eastAsiaTheme="majorEastAsia" w:hAnsi="Arial Narrow" w:cstheme="majorBidi"/>
                <w:b/>
                <w:sz w:val="20"/>
              </w:rPr>
              <w:t>0.11, 0.21</w:t>
            </w:r>
            <w:r>
              <w:rPr>
                <w:rFonts w:ascii="Arial Narrow" w:eastAsiaTheme="majorEastAsia" w:hAnsi="Arial Narrow" w:cstheme="majorBidi"/>
                <w:b/>
                <w:sz w:val="20"/>
              </w:rPr>
              <w:t>)</w:t>
            </w:r>
          </w:p>
        </w:tc>
      </w:tr>
      <w:tr w:rsidR="00DC33F2" w:rsidRPr="00705CC4" w14:paraId="53A10725" w14:textId="77777777" w:rsidTr="00BF6F06">
        <w:tc>
          <w:tcPr>
            <w:tcW w:w="994" w:type="pct"/>
            <w:tcBorders>
              <w:top w:val="nil"/>
              <w:bottom w:val="single" w:sz="4" w:space="0" w:color="auto"/>
            </w:tcBorders>
            <w:vAlign w:val="center"/>
          </w:tcPr>
          <w:p w14:paraId="7CE9670D" w14:textId="77777777" w:rsidR="00DC33F2" w:rsidRPr="00705CC4" w:rsidRDefault="00DC33F2" w:rsidP="00116C8C">
            <w:pPr>
              <w:numPr>
                <w:ilvl w:val="0"/>
                <w:numId w:val="7"/>
              </w:numPr>
              <w:autoSpaceDE w:val="0"/>
              <w:autoSpaceDN w:val="0"/>
              <w:adjustRightInd w:val="0"/>
              <w:ind w:left="457"/>
              <w:jc w:val="left"/>
              <w:rPr>
                <w:rFonts w:ascii="Arial Narrow" w:eastAsiaTheme="majorEastAsia" w:hAnsi="Arial Narrow" w:cstheme="majorBidi"/>
                <w:bCs/>
                <w:sz w:val="20"/>
              </w:rPr>
            </w:pPr>
            <w:r w:rsidRPr="00705CC4">
              <w:rPr>
                <w:rFonts w:ascii="Arial Narrow" w:eastAsiaTheme="majorEastAsia" w:hAnsi="Arial Narrow" w:cstheme="majorBidi"/>
                <w:bCs/>
                <w:sz w:val="20"/>
              </w:rPr>
              <w:t>Rash/ desquamation</w:t>
            </w:r>
          </w:p>
        </w:tc>
        <w:tc>
          <w:tcPr>
            <w:tcW w:w="657" w:type="pct"/>
            <w:tcBorders>
              <w:top w:val="single" w:sz="4" w:space="0" w:color="auto"/>
              <w:bottom w:val="single" w:sz="4" w:space="0" w:color="auto"/>
            </w:tcBorders>
            <w:vAlign w:val="center"/>
          </w:tcPr>
          <w:p w14:paraId="212358D5"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rPr>
              <w:t>29/500 (5.80%)</w:t>
            </w:r>
          </w:p>
        </w:tc>
        <w:tc>
          <w:tcPr>
            <w:tcW w:w="576" w:type="pct"/>
            <w:tcBorders>
              <w:top w:val="single" w:sz="4" w:space="0" w:color="auto"/>
              <w:bottom w:val="single" w:sz="4" w:space="0" w:color="auto"/>
            </w:tcBorders>
            <w:vAlign w:val="center"/>
          </w:tcPr>
          <w:p w14:paraId="6413A7A3"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rPr>
              <w:t>0/253 (0.00%)</w:t>
            </w:r>
          </w:p>
        </w:tc>
        <w:tc>
          <w:tcPr>
            <w:tcW w:w="924" w:type="pct"/>
            <w:tcBorders>
              <w:top w:val="single" w:sz="4" w:space="0" w:color="auto"/>
              <w:bottom w:val="single" w:sz="4" w:space="0" w:color="auto"/>
            </w:tcBorders>
            <w:vAlign w:val="center"/>
          </w:tcPr>
          <w:p w14:paraId="61130442"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rPr>
              <w:t>Not estimable</w:t>
            </w:r>
          </w:p>
        </w:tc>
        <w:tc>
          <w:tcPr>
            <w:tcW w:w="924" w:type="pct"/>
            <w:gridSpan w:val="2"/>
            <w:tcBorders>
              <w:top w:val="single" w:sz="4" w:space="0" w:color="auto"/>
              <w:bottom w:val="single" w:sz="4" w:space="0" w:color="auto"/>
            </w:tcBorders>
            <w:vAlign w:val="center"/>
          </w:tcPr>
          <w:p w14:paraId="31975555"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rPr>
              <w:t>Not estimable</w:t>
            </w:r>
          </w:p>
        </w:tc>
        <w:tc>
          <w:tcPr>
            <w:tcW w:w="925" w:type="pct"/>
            <w:gridSpan w:val="2"/>
            <w:tcBorders>
              <w:top w:val="single" w:sz="4" w:space="0" w:color="auto"/>
              <w:bottom w:val="single" w:sz="4" w:space="0" w:color="auto"/>
            </w:tcBorders>
            <w:vAlign w:val="center"/>
          </w:tcPr>
          <w:p w14:paraId="15B1734D"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rPr>
              <w:t xml:space="preserve">0.06 </w:t>
            </w:r>
            <w:r>
              <w:rPr>
                <w:rFonts w:ascii="Arial Narrow" w:eastAsiaTheme="majorEastAsia" w:hAnsi="Arial Narrow" w:cstheme="majorBidi"/>
                <w:b/>
                <w:sz w:val="20"/>
              </w:rPr>
              <w:t>(</w:t>
            </w:r>
            <w:r w:rsidRPr="00705CC4">
              <w:rPr>
                <w:rFonts w:ascii="Arial Narrow" w:eastAsiaTheme="majorEastAsia" w:hAnsi="Arial Narrow" w:cstheme="majorBidi"/>
                <w:b/>
                <w:sz w:val="20"/>
              </w:rPr>
              <w:t>0.03, 0.09</w:t>
            </w:r>
            <w:r>
              <w:rPr>
                <w:rFonts w:ascii="Arial Narrow" w:eastAsiaTheme="majorEastAsia" w:hAnsi="Arial Narrow" w:cstheme="majorBidi"/>
                <w:b/>
                <w:sz w:val="20"/>
              </w:rPr>
              <w:t>)</w:t>
            </w:r>
          </w:p>
        </w:tc>
      </w:tr>
      <w:tr w:rsidR="00DC33F2" w:rsidRPr="00705CC4" w14:paraId="19395926" w14:textId="77777777" w:rsidTr="00BF6F06">
        <w:tc>
          <w:tcPr>
            <w:tcW w:w="994" w:type="pct"/>
            <w:tcBorders>
              <w:top w:val="single" w:sz="4" w:space="0" w:color="auto"/>
            </w:tcBorders>
            <w:vAlign w:val="center"/>
          </w:tcPr>
          <w:p w14:paraId="639BFCCB" w14:textId="77777777" w:rsidR="00DC33F2" w:rsidRPr="00705CC4" w:rsidRDefault="00DC33F2" w:rsidP="00116C8C">
            <w:pPr>
              <w:numPr>
                <w:ilvl w:val="0"/>
                <w:numId w:val="7"/>
              </w:numPr>
              <w:autoSpaceDE w:val="0"/>
              <w:autoSpaceDN w:val="0"/>
              <w:adjustRightInd w:val="0"/>
              <w:ind w:left="457"/>
              <w:jc w:val="left"/>
              <w:rPr>
                <w:rFonts w:ascii="Arial Narrow" w:eastAsiaTheme="majorEastAsia" w:hAnsi="Arial Narrow" w:cstheme="majorBidi"/>
                <w:bCs/>
                <w:sz w:val="20"/>
              </w:rPr>
            </w:pPr>
            <w:r w:rsidRPr="00705CC4">
              <w:rPr>
                <w:rFonts w:ascii="Arial Narrow" w:eastAsiaTheme="majorEastAsia" w:hAnsi="Arial Narrow" w:cstheme="majorBidi"/>
                <w:bCs/>
                <w:sz w:val="20"/>
              </w:rPr>
              <w:t>Diarrhoea</w:t>
            </w:r>
          </w:p>
        </w:tc>
        <w:tc>
          <w:tcPr>
            <w:tcW w:w="657" w:type="pct"/>
            <w:tcBorders>
              <w:top w:val="single" w:sz="4" w:space="0" w:color="auto"/>
            </w:tcBorders>
            <w:vAlign w:val="center"/>
          </w:tcPr>
          <w:p w14:paraId="723DD63A"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rPr>
              <w:t>36/500 (7.20%)</w:t>
            </w:r>
          </w:p>
        </w:tc>
        <w:tc>
          <w:tcPr>
            <w:tcW w:w="576" w:type="pct"/>
            <w:tcBorders>
              <w:top w:val="single" w:sz="4" w:space="0" w:color="auto"/>
            </w:tcBorders>
            <w:vAlign w:val="center"/>
          </w:tcPr>
          <w:p w14:paraId="49507125"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rPr>
              <w:t>2/253 (0.79%)</w:t>
            </w:r>
          </w:p>
        </w:tc>
        <w:tc>
          <w:tcPr>
            <w:tcW w:w="924" w:type="pct"/>
            <w:tcBorders>
              <w:top w:val="single" w:sz="4" w:space="0" w:color="auto"/>
            </w:tcBorders>
            <w:vAlign w:val="center"/>
          </w:tcPr>
          <w:p w14:paraId="2E117EDF"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rPr>
              <w:t xml:space="preserve">9.74 </w:t>
            </w:r>
            <w:r>
              <w:rPr>
                <w:rFonts w:ascii="Arial Narrow" w:eastAsiaTheme="majorEastAsia" w:hAnsi="Arial Narrow" w:cstheme="majorBidi"/>
                <w:b/>
                <w:sz w:val="20"/>
              </w:rPr>
              <w:t>(</w:t>
            </w:r>
            <w:r w:rsidRPr="00705CC4">
              <w:rPr>
                <w:rFonts w:ascii="Arial Narrow" w:eastAsiaTheme="majorEastAsia" w:hAnsi="Arial Narrow" w:cstheme="majorBidi"/>
                <w:b/>
                <w:sz w:val="20"/>
              </w:rPr>
              <w:t>2.33, 40.78</w:t>
            </w:r>
            <w:r>
              <w:rPr>
                <w:rFonts w:ascii="Arial Narrow" w:eastAsiaTheme="majorEastAsia" w:hAnsi="Arial Narrow" w:cstheme="majorBidi"/>
                <w:b/>
                <w:sz w:val="20"/>
              </w:rPr>
              <w:t>)</w:t>
            </w:r>
          </w:p>
        </w:tc>
        <w:tc>
          <w:tcPr>
            <w:tcW w:w="924" w:type="pct"/>
            <w:gridSpan w:val="2"/>
            <w:tcBorders>
              <w:top w:val="single" w:sz="4" w:space="0" w:color="auto"/>
            </w:tcBorders>
            <w:vAlign w:val="center"/>
          </w:tcPr>
          <w:p w14:paraId="703CF019"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rPr>
              <w:t xml:space="preserve">9.11 </w:t>
            </w:r>
            <w:r>
              <w:rPr>
                <w:rFonts w:ascii="Arial Narrow" w:eastAsiaTheme="majorEastAsia" w:hAnsi="Arial Narrow" w:cstheme="majorBidi"/>
                <w:b/>
                <w:sz w:val="20"/>
              </w:rPr>
              <w:t>(</w:t>
            </w:r>
            <w:r w:rsidRPr="00705CC4">
              <w:rPr>
                <w:rFonts w:ascii="Arial Narrow" w:eastAsiaTheme="majorEastAsia" w:hAnsi="Arial Narrow" w:cstheme="majorBidi"/>
                <w:b/>
                <w:sz w:val="20"/>
              </w:rPr>
              <w:t>2.21, 37.53</w:t>
            </w:r>
            <w:r>
              <w:rPr>
                <w:rFonts w:ascii="Arial Narrow" w:eastAsiaTheme="majorEastAsia" w:hAnsi="Arial Narrow" w:cstheme="majorBidi"/>
                <w:b/>
                <w:sz w:val="20"/>
              </w:rPr>
              <w:t>)</w:t>
            </w:r>
          </w:p>
        </w:tc>
        <w:tc>
          <w:tcPr>
            <w:tcW w:w="925" w:type="pct"/>
            <w:gridSpan w:val="2"/>
            <w:tcBorders>
              <w:top w:val="single" w:sz="4" w:space="0" w:color="auto"/>
            </w:tcBorders>
            <w:vAlign w:val="center"/>
          </w:tcPr>
          <w:p w14:paraId="6CD3ED09"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rPr>
              <w:t xml:space="preserve">0.06 </w:t>
            </w:r>
            <w:r>
              <w:rPr>
                <w:rFonts w:ascii="Arial Narrow" w:eastAsiaTheme="majorEastAsia" w:hAnsi="Arial Narrow" w:cstheme="majorBidi"/>
                <w:b/>
                <w:sz w:val="20"/>
              </w:rPr>
              <w:t>(</w:t>
            </w:r>
            <w:r w:rsidRPr="00705CC4">
              <w:rPr>
                <w:rFonts w:ascii="Arial Narrow" w:eastAsiaTheme="majorEastAsia" w:hAnsi="Arial Narrow" w:cstheme="majorBidi"/>
                <w:b/>
                <w:sz w:val="20"/>
              </w:rPr>
              <w:t>0.03, 0.10</w:t>
            </w:r>
            <w:r>
              <w:rPr>
                <w:rFonts w:ascii="Arial Narrow" w:eastAsiaTheme="majorEastAsia" w:hAnsi="Arial Narrow" w:cstheme="majorBidi"/>
                <w:b/>
                <w:sz w:val="20"/>
              </w:rPr>
              <w:t>)</w:t>
            </w:r>
          </w:p>
        </w:tc>
      </w:tr>
      <w:tr w:rsidR="00DC33F2" w:rsidRPr="00705CC4" w14:paraId="39C4D3B4" w14:textId="77777777" w:rsidTr="00AD478D">
        <w:tc>
          <w:tcPr>
            <w:tcW w:w="5000" w:type="pct"/>
            <w:gridSpan w:val="8"/>
            <w:vAlign w:val="center"/>
          </w:tcPr>
          <w:p w14:paraId="481DC96A" w14:textId="77777777" w:rsidR="00DC33F2" w:rsidRPr="00705CC4" w:rsidRDefault="00DC33F2" w:rsidP="00AD478D">
            <w:pPr>
              <w:keepNext/>
              <w:jc w:val="left"/>
              <w:rPr>
                <w:rFonts w:ascii="Arial Narrow" w:eastAsiaTheme="majorEastAsia" w:hAnsi="Arial Narrow" w:cstheme="majorBidi"/>
                <w:b/>
                <w:sz w:val="20"/>
                <w:szCs w:val="20"/>
              </w:rPr>
            </w:pPr>
            <w:r w:rsidRPr="00705CC4">
              <w:rPr>
                <w:rFonts w:ascii="Arial Narrow" w:eastAsiaTheme="majorEastAsia" w:hAnsi="Arial Narrow" w:cstheme="majorBidi"/>
                <w:b/>
                <w:sz w:val="20"/>
                <w:szCs w:val="20"/>
              </w:rPr>
              <w:t xml:space="preserve">Trifluridine/tipiracil </w:t>
            </w:r>
            <w:r>
              <w:rPr>
                <w:rFonts w:ascii="Arial Narrow" w:eastAsiaTheme="majorEastAsia" w:hAnsi="Arial Narrow" w:cstheme="majorBidi"/>
                <w:b/>
                <w:sz w:val="20"/>
                <w:szCs w:val="20"/>
              </w:rPr>
              <w:t>vs. Placebo</w:t>
            </w:r>
          </w:p>
        </w:tc>
      </w:tr>
      <w:tr w:rsidR="00DC33F2" w:rsidRPr="00705CC4" w14:paraId="7BD967F6" w14:textId="77777777" w:rsidTr="00AD478D">
        <w:tc>
          <w:tcPr>
            <w:tcW w:w="5000" w:type="pct"/>
            <w:gridSpan w:val="8"/>
            <w:vAlign w:val="center"/>
          </w:tcPr>
          <w:p w14:paraId="4EFA8552" w14:textId="77777777" w:rsidR="00DC33F2" w:rsidRPr="00705CC4" w:rsidRDefault="00DC33F2" w:rsidP="00AD478D">
            <w:pPr>
              <w:keepNext/>
              <w:jc w:val="left"/>
              <w:rPr>
                <w:rFonts w:ascii="Arial Narrow" w:eastAsiaTheme="majorEastAsia" w:hAnsi="Arial Narrow" w:cstheme="majorBidi"/>
                <w:b/>
                <w:sz w:val="20"/>
                <w:szCs w:val="20"/>
              </w:rPr>
            </w:pPr>
            <w:r w:rsidRPr="00705CC4">
              <w:rPr>
                <w:rFonts w:ascii="Arial Narrow" w:eastAsiaTheme="majorEastAsia" w:hAnsi="Arial Narrow" w:cstheme="majorBidi"/>
                <w:b/>
                <w:sz w:val="20"/>
                <w:szCs w:val="20"/>
              </w:rPr>
              <w:t>RECOURSE</w:t>
            </w:r>
          </w:p>
        </w:tc>
      </w:tr>
      <w:tr w:rsidR="00DC33F2" w:rsidRPr="00705CC4" w14:paraId="72518883" w14:textId="77777777" w:rsidTr="00AD478D">
        <w:tc>
          <w:tcPr>
            <w:tcW w:w="994" w:type="pct"/>
            <w:tcBorders>
              <w:top w:val="single" w:sz="4" w:space="0" w:color="auto"/>
              <w:left w:val="single" w:sz="4" w:space="0" w:color="auto"/>
              <w:bottom w:val="nil"/>
              <w:right w:val="single" w:sz="4" w:space="0" w:color="auto"/>
            </w:tcBorders>
            <w:vAlign w:val="center"/>
          </w:tcPr>
          <w:p w14:paraId="5E764C04" w14:textId="77777777" w:rsidR="00DC33F2" w:rsidRPr="00705CC4" w:rsidRDefault="00DC33F2" w:rsidP="00AD478D">
            <w:pPr>
              <w:keepNext/>
              <w:jc w:val="left"/>
              <w:rPr>
                <w:rFonts w:ascii="Arial Narrow" w:eastAsiaTheme="majorEastAsia" w:hAnsi="Arial Narrow" w:cstheme="majorBidi"/>
                <w:sz w:val="20"/>
              </w:rPr>
            </w:pPr>
            <w:r w:rsidRPr="00705CC4">
              <w:rPr>
                <w:rFonts w:ascii="Arial Narrow" w:eastAsiaTheme="majorEastAsia" w:hAnsi="Arial Narrow" w:cstheme="majorBidi"/>
                <w:sz w:val="20"/>
              </w:rPr>
              <w:t xml:space="preserve">Study drug related severe (≥Grade 3) TEAE </w:t>
            </w:r>
          </w:p>
        </w:tc>
        <w:tc>
          <w:tcPr>
            <w:tcW w:w="657" w:type="pct"/>
            <w:tcBorders>
              <w:top w:val="single" w:sz="4" w:space="0" w:color="auto"/>
              <w:left w:val="single" w:sz="4" w:space="0" w:color="auto"/>
              <w:bottom w:val="single" w:sz="4" w:space="0" w:color="auto"/>
              <w:right w:val="single" w:sz="4" w:space="0" w:color="auto"/>
            </w:tcBorders>
            <w:vAlign w:val="center"/>
          </w:tcPr>
          <w:p w14:paraId="7B4F14D5"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szCs w:val="20"/>
              </w:rPr>
              <w:t>261/533 (48.97%)</w:t>
            </w:r>
          </w:p>
        </w:tc>
        <w:tc>
          <w:tcPr>
            <w:tcW w:w="576" w:type="pct"/>
            <w:tcBorders>
              <w:top w:val="single" w:sz="4" w:space="0" w:color="auto"/>
              <w:left w:val="single" w:sz="4" w:space="0" w:color="auto"/>
              <w:bottom w:val="single" w:sz="4" w:space="0" w:color="auto"/>
              <w:right w:val="single" w:sz="4" w:space="0" w:color="auto"/>
            </w:tcBorders>
            <w:vAlign w:val="center"/>
          </w:tcPr>
          <w:p w14:paraId="23DF385A"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szCs w:val="20"/>
              </w:rPr>
              <w:t>26/265 (9.81%)</w:t>
            </w:r>
          </w:p>
        </w:tc>
        <w:tc>
          <w:tcPr>
            <w:tcW w:w="933" w:type="pct"/>
            <w:gridSpan w:val="2"/>
            <w:tcBorders>
              <w:top w:val="single" w:sz="4" w:space="0" w:color="auto"/>
              <w:left w:val="single" w:sz="4" w:space="0" w:color="auto"/>
              <w:bottom w:val="single" w:sz="4" w:space="0" w:color="auto"/>
              <w:right w:val="single" w:sz="4" w:space="0" w:color="auto"/>
            </w:tcBorders>
            <w:vAlign w:val="center"/>
          </w:tcPr>
          <w:p w14:paraId="458189AB"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szCs w:val="20"/>
              </w:rPr>
              <w:t xml:space="preserve">8.82 </w:t>
            </w:r>
            <w:r>
              <w:rPr>
                <w:rFonts w:ascii="Arial Narrow" w:eastAsiaTheme="majorEastAsia" w:hAnsi="Arial Narrow" w:cstheme="majorBidi"/>
                <w:b/>
                <w:sz w:val="20"/>
                <w:szCs w:val="20"/>
              </w:rPr>
              <w:t>(</w:t>
            </w:r>
            <w:r w:rsidRPr="00705CC4">
              <w:rPr>
                <w:rFonts w:ascii="Arial Narrow" w:eastAsiaTheme="majorEastAsia" w:hAnsi="Arial Narrow" w:cstheme="majorBidi"/>
                <w:b/>
                <w:sz w:val="20"/>
                <w:szCs w:val="20"/>
              </w:rPr>
              <w:t>5.69, 13.68</w:t>
            </w:r>
            <w:r>
              <w:rPr>
                <w:rFonts w:ascii="Arial Narrow" w:eastAsiaTheme="majorEastAsia" w:hAnsi="Arial Narrow" w:cstheme="majorBidi"/>
                <w:b/>
                <w:sz w:val="20"/>
                <w:szCs w:val="20"/>
              </w:rPr>
              <w:t>)</w:t>
            </w:r>
          </w:p>
        </w:tc>
        <w:tc>
          <w:tcPr>
            <w:tcW w:w="923" w:type="pct"/>
            <w:gridSpan w:val="2"/>
            <w:tcBorders>
              <w:top w:val="single" w:sz="4" w:space="0" w:color="auto"/>
              <w:left w:val="single" w:sz="4" w:space="0" w:color="auto"/>
              <w:bottom w:val="single" w:sz="4" w:space="0" w:color="auto"/>
              <w:right w:val="single" w:sz="4" w:space="0" w:color="auto"/>
            </w:tcBorders>
            <w:vAlign w:val="center"/>
          </w:tcPr>
          <w:p w14:paraId="158B4F13"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szCs w:val="20"/>
              </w:rPr>
              <w:t xml:space="preserve">4.99 </w:t>
            </w:r>
            <w:r>
              <w:rPr>
                <w:rFonts w:ascii="Arial Narrow" w:eastAsiaTheme="majorEastAsia" w:hAnsi="Arial Narrow" w:cstheme="majorBidi"/>
                <w:b/>
                <w:sz w:val="20"/>
                <w:szCs w:val="20"/>
              </w:rPr>
              <w:t>(</w:t>
            </w:r>
            <w:r w:rsidRPr="00705CC4">
              <w:rPr>
                <w:rFonts w:ascii="Arial Narrow" w:eastAsiaTheme="majorEastAsia" w:hAnsi="Arial Narrow" w:cstheme="majorBidi"/>
                <w:b/>
                <w:sz w:val="20"/>
                <w:szCs w:val="20"/>
              </w:rPr>
              <w:t>3.43, 7.26</w:t>
            </w:r>
            <w:r>
              <w:rPr>
                <w:rFonts w:ascii="Arial Narrow" w:eastAsiaTheme="majorEastAsia" w:hAnsi="Arial Narrow" w:cstheme="majorBidi"/>
                <w:b/>
                <w:sz w:val="20"/>
                <w:szCs w:val="20"/>
              </w:rPr>
              <w:t>)</w:t>
            </w:r>
          </w:p>
        </w:tc>
        <w:tc>
          <w:tcPr>
            <w:tcW w:w="917" w:type="pct"/>
            <w:tcBorders>
              <w:top w:val="single" w:sz="4" w:space="0" w:color="auto"/>
              <w:left w:val="single" w:sz="4" w:space="0" w:color="auto"/>
              <w:bottom w:val="single" w:sz="4" w:space="0" w:color="auto"/>
              <w:right w:val="single" w:sz="4" w:space="0" w:color="auto"/>
            </w:tcBorders>
            <w:vAlign w:val="center"/>
          </w:tcPr>
          <w:p w14:paraId="1C65393D"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szCs w:val="20"/>
              </w:rPr>
              <w:t xml:space="preserve">0.39 </w:t>
            </w:r>
            <w:r>
              <w:rPr>
                <w:rFonts w:ascii="Arial Narrow" w:eastAsiaTheme="majorEastAsia" w:hAnsi="Arial Narrow" w:cstheme="majorBidi"/>
                <w:b/>
                <w:sz w:val="20"/>
                <w:szCs w:val="20"/>
              </w:rPr>
              <w:t>(</w:t>
            </w:r>
            <w:r w:rsidRPr="00705CC4">
              <w:rPr>
                <w:rFonts w:ascii="Arial Narrow" w:eastAsiaTheme="majorEastAsia" w:hAnsi="Arial Narrow" w:cstheme="majorBidi"/>
                <w:b/>
                <w:sz w:val="20"/>
                <w:szCs w:val="20"/>
              </w:rPr>
              <w:t>0.32, 0.46</w:t>
            </w:r>
            <w:r>
              <w:rPr>
                <w:rFonts w:ascii="Arial Narrow" w:eastAsiaTheme="majorEastAsia" w:hAnsi="Arial Narrow" w:cstheme="majorBidi"/>
                <w:b/>
                <w:sz w:val="20"/>
                <w:szCs w:val="20"/>
              </w:rPr>
              <w:t>)</w:t>
            </w:r>
          </w:p>
        </w:tc>
      </w:tr>
      <w:tr w:rsidR="00DC33F2" w:rsidRPr="00705CC4" w14:paraId="798F1FE9" w14:textId="77777777" w:rsidTr="00AD478D">
        <w:tc>
          <w:tcPr>
            <w:tcW w:w="994" w:type="pct"/>
            <w:tcBorders>
              <w:top w:val="nil"/>
              <w:left w:val="single" w:sz="4" w:space="0" w:color="auto"/>
              <w:bottom w:val="nil"/>
              <w:right w:val="single" w:sz="4" w:space="0" w:color="auto"/>
            </w:tcBorders>
          </w:tcPr>
          <w:p w14:paraId="3CEF0200" w14:textId="77777777" w:rsidR="00DC33F2" w:rsidRPr="00705CC4" w:rsidRDefault="00DC33F2" w:rsidP="00116C8C">
            <w:pPr>
              <w:numPr>
                <w:ilvl w:val="0"/>
                <w:numId w:val="7"/>
              </w:numPr>
              <w:autoSpaceDE w:val="0"/>
              <w:autoSpaceDN w:val="0"/>
              <w:adjustRightInd w:val="0"/>
              <w:ind w:left="457"/>
              <w:jc w:val="left"/>
              <w:rPr>
                <w:rFonts w:ascii="Arial Narrow" w:eastAsiaTheme="majorEastAsia" w:hAnsi="Arial Narrow" w:cstheme="majorBidi"/>
                <w:sz w:val="20"/>
              </w:rPr>
            </w:pPr>
            <w:r w:rsidRPr="00705CC4">
              <w:rPr>
                <w:rFonts w:ascii="Arial Narrow" w:eastAsiaTheme="majorEastAsia" w:hAnsi="Arial Narrow" w:cstheme="majorBidi"/>
                <w:sz w:val="20"/>
              </w:rPr>
              <w:t>Neutropenia</w:t>
            </w:r>
          </w:p>
        </w:tc>
        <w:tc>
          <w:tcPr>
            <w:tcW w:w="657" w:type="pct"/>
            <w:tcBorders>
              <w:top w:val="nil"/>
              <w:left w:val="single" w:sz="4" w:space="0" w:color="auto"/>
              <w:bottom w:val="nil"/>
              <w:right w:val="single" w:sz="4" w:space="0" w:color="auto"/>
            </w:tcBorders>
            <w:vAlign w:val="center"/>
          </w:tcPr>
          <w:p w14:paraId="382C8FF2"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szCs w:val="20"/>
              </w:rPr>
              <w:t>107/533 (20.08%)</w:t>
            </w:r>
          </w:p>
        </w:tc>
        <w:tc>
          <w:tcPr>
            <w:tcW w:w="576" w:type="pct"/>
            <w:tcBorders>
              <w:top w:val="nil"/>
              <w:left w:val="single" w:sz="4" w:space="0" w:color="auto"/>
              <w:bottom w:val="nil"/>
              <w:right w:val="single" w:sz="4" w:space="0" w:color="auto"/>
            </w:tcBorders>
            <w:vAlign w:val="center"/>
          </w:tcPr>
          <w:p w14:paraId="209AF781"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szCs w:val="20"/>
              </w:rPr>
              <w:t>0/265</w:t>
            </w:r>
            <w:r w:rsidRPr="00705CC4">
              <w:rPr>
                <w:rFonts w:ascii="Arial Narrow" w:eastAsiaTheme="majorEastAsia" w:hAnsi="Arial Narrow" w:cstheme="majorBidi"/>
                <w:bCs/>
                <w:sz w:val="20"/>
                <w:szCs w:val="20"/>
              </w:rPr>
              <w:br/>
              <w:t xml:space="preserve"> (0.00%)</w:t>
            </w:r>
          </w:p>
        </w:tc>
        <w:tc>
          <w:tcPr>
            <w:tcW w:w="933" w:type="pct"/>
            <w:gridSpan w:val="2"/>
            <w:tcBorders>
              <w:top w:val="nil"/>
              <w:left w:val="single" w:sz="4" w:space="0" w:color="auto"/>
              <w:bottom w:val="nil"/>
              <w:right w:val="single" w:sz="4" w:space="0" w:color="auto"/>
            </w:tcBorders>
            <w:vAlign w:val="center"/>
          </w:tcPr>
          <w:p w14:paraId="7415D95D"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szCs w:val="20"/>
              </w:rPr>
              <w:t>Not estimable</w:t>
            </w:r>
          </w:p>
        </w:tc>
        <w:tc>
          <w:tcPr>
            <w:tcW w:w="923" w:type="pct"/>
            <w:gridSpan w:val="2"/>
            <w:tcBorders>
              <w:top w:val="nil"/>
              <w:left w:val="single" w:sz="4" w:space="0" w:color="auto"/>
              <w:bottom w:val="nil"/>
              <w:right w:val="single" w:sz="4" w:space="0" w:color="auto"/>
            </w:tcBorders>
            <w:vAlign w:val="center"/>
          </w:tcPr>
          <w:p w14:paraId="0540CC42"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szCs w:val="20"/>
              </w:rPr>
              <w:t>Not estimable</w:t>
            </w:r>
          </w:p>
        </w:tc>
        <w:tc>
          <w:tcPr>
            <w:tcW w:w="917" w:type="pct"/>
            <w:tcBorders>
              <w:top w:val="nil"/>
              <w:left w:val="single" w:sz="4" w:space="0" w:color="auto"/>
              <w:bottom w:val="nil"/>
              <w:right w:val="single" w:sz="4" w:space="0" w:color="auto"/>
            </w:tcBorders>
            <w:vAlign w:val="center"/>
          </w:tcPr>
          <w:p w14:paraId="21E8C30A"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szCs w:val="20"/>
              </w:rPr>
              <w:t xml:space="preserve">0.20 </w:t>
            </w:r>
            <w:r>
              <w:rPr>
                <w:rFonts w:ascii="Arial Narrow" w:eastAsiaTheme="majorEastAsia" w:hAnsi="Arial Narrow" w:cstheme="majorBidi"/>
                <w:b/>
                <w:sz w:val="20"/>
                <w:szCs w:val="20"/>
              </w:rPr>
              <w:t>(</w:t>
            </w:r>
            <w:r w:rsidRPr="00705CC4">
              <w:rPr>
                <w:rFonts w:ascii="Arial Narrow" w:eastAsiaTheme="majorEastAsia" w:hAnsi="Arial Narrow" w:cstheme="majorBidi"/>
                <w:b/>
                <w:sz w:val="20"/>
                <w:szCs w:val="20"/>
              </w:rPr>
              <w:t>0.15, 0.25</w:t>
            </w:r>
            <w:r>
              <w:rPr>
                <w:rFonts w:ascii="Arial Narrow" w:eastAsiaTheme="majorEastAsia" w:hAnsi="Arial Narrow" w:cstheme="majorBidi"/>
                <w:b/>
                <w:sz w:val="20"/>
                <w:szCs w:val="20"/>
              </w:rPr>
              <w:t>)</w:t>
            </w:r>
          </w:p>
        </w:tc>
      </w:tr>
      <w:tr w:rsidR="00DC33F2" w:rsidRPr="00705CC4" w14:paraId="1086A77C" w14:textId="77777777" w:rsidTr="00AD478D">
        <w:tc>
          <w:tcPr>
            <w:tcW w:w="994" w:type="pct"/>
            <w:tcBorders>
              <w:top w:val="nil"/>
              <w:left w:val="single" w:sz="4" w:space="0" w:color="auto"/>
              <w:bottom w:val="nil"/>
              <w:right w:val="single" w:sz="4" w:space="0" w:color="auto"/>
            </w:tcBorders>
          </w:tcPr>
          <w:p w14:paraId="02C82037" w14:textId="77777777" w:rsidR="00DC33F2" w:rsidRPr="00705CC4" w:rsidRDefault="00DC33F2" w:rsidP="00116C8C">
            <w:pPr>
              <w:numPr>
                <w:ilvl w:val="0"/>
                <w:numId w:val="7"/>
              </w:numPr>
              <w:autoSpaceDE w:val="0"/>
              <w:autoSpaceDN w:val="0"/>
              <w:adjustRightInd w:val="0"/>
              <w:ind w:left="457"/>
              <w:jc w:val="left"/>
              <w:rPr>
                <w:rFonts w:ascii="Arial Narrow" w:eastAsiaTheme="majorEastAsia" w:hAnsi="Arial Narrow" w:cstheme="majorBidi"/>
                <w:sz w:val="20"/>
              </w:rPr>
            </w:pPr>
            <w:r w:rsidRPr="00705CC4">
              <w:rPr>
                <w:rFonts w:ascii="Arial Narrow" w:eastAsiaTheme="majorEastAsia" w:hAnsi="Arial Narrow" w:cstheme="majorBidi"/>
                <w:sz w:val="20"/>
              </w:rPr>
              <w:t>Anaemia</w:t>
            </w:r>
          </w:p>
        </w:tc>
        <w:tc>
          <w:tcPr>
            <w:tcW w:w="657" w:type="pct"/>
            <w:tcBorders>
              <w:top w:val="nil"/>
              <w:left w:val="single" w:sz="4" w:space="0" w:color="auto"/>
              <w:bottom w:val="nil"/>
              <w:right w:val="single" w:sz="4" w:space="0" w:color="auto"/>
            </w:tcBorders>
            <w:vAlign w:val="center"/>
          </w:tcPr>
          <w:p w14:paraId="5288871E"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szCs w:val="20"/>
              </w:rPr>
              <w:t>65/533 (12.20%)</w:t>
            </w:r>
          </w:p>
        </w:tc>
        <w:tc>
          <w:tcPr>
            <w:tcW w:w="576" w:type="pct"/>
            <w:tcBorders>
              <w:top w:val="nil"/>
              <w:left w:val="single" w:sz="4" w:space="0" w:color="auto"/>
              <w:bottom w:val="nil"/>
              <w:right w:val="single" w:sz="4" w:space="0" w:color="auto"/>
            </w:tcBorders>
            <w:vAlign w:val="center"/>
          </w:tcPr>
          <w:p w14:paraId="5AB45906"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szCs w:val="20"/>
              </w:rPr>
              <w:t>5/265</w:t>
            </w:r>
            <w:r w:rsidRPr="00705CC4">
              <w:rPr>
                <w:rFonts w:ascii="Arial Narrow" w:eastAsiaTheme="majorEastAsia" w:hAnsi="Arial Narrow" w:cstheme="majorBidi"/>
                <w:bCs/>
                <w:sz w:val="20"/>
                <w:szCs w:val="20"/>
              </w:rPr>
              <w:br/>
              <w:t xml:space="preserve"> (1.89%)</w:t>
            </w:r>
          </w:p>
        </w:tc>
        <w:tc>
          <w:tcPr>
            <w:tcW w:w="933" w:type="pct"/>
            <w:gridSpan w:val="2"/>
            <w:tcBorders>
              <w:top w:val="nil"/>
              <w:left w:val="single" w:sz="4" w:space="0" w:color="auto"/>
              <w:bottom w:val="nil"/>
              <w:right w:val="single" w:sz="4" w:space="0" w:color="auto"/>
            </w:tcBorders>
            <w:vAlign w:val="center"/>
          </w:tcPr>
          <w:p w14:paraId="53C824D4"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szCs w:val="20"/>
              </w:rPr>
              <w:t xml:space="preserve">7.22 </w:t>
            </w:r>
            <w:r>
              <w:rPr>
                <w:rFonts w:ascii="Arial Narrow" w:eastAsiaTheme="majorEastAsia" w:hAnsi="Arial Narrow" w:cstheme="majorBidi"/>
                <w:b/>
                <w:sz w:val="20"/>
                <w:szCs w:val="20"/>
              </w:rPr>
              <w:t>(</w:t>
            </w:r>
            <w:r w:rsidRPr="00705CC4">
              <w:rPr>
                <w:rFonts w:ascii="Arial Narrow" w:eastAsiaTheme="majorEastAsia" w:hAnsi="Arial Narrow" w:cstheme="majorBidi"/>
                <w:b/>
                <w:sz w:val="20"/>
                <w:szCs w:val="20"/>
              </w:rPr>
              <w:t>2.87, 18.16</w:t>
            </w:r>
            <w:r>
              <w:rPr>
                <w:rFonts w:ascii="Arial Narrow" w:eastAsiaTheme="majorEastAsia" w:hAnsi="Arial Narrow" w:cstheme="majorBidi"/>
                <w:b/>
                <w:sz w:val="20"/>
                <w:szCs w:val="20"/>
              </w:rPr>
              <w:t>)</w:t>
            </w:r>
          </w:p>
        </w:tc>
        <w:tc>
          <w:tcPr>
            <w:tcW w:w="923" w:type="pct"/>
            <w:gridSpan w:val="2"/>
            <w:tcBorders>
              <w:top w:val="nil"/>
              <w:left w:val="single" w:sz="4" w:space="0" w:color="auto"/>
              <w:bottom w:val="nil"/>
              <w:right w:val="single" w:sz="4" w:space="0" w:color="auto"/>
            </w:tcBorders>
            <w:vAlign w:val="center"/>
          </w:tcPr>
          <w:p w14:paraId="4039B733"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szCs w:val="20"/>
              </w:rPr>
              <w:t xml:space="preserve">6.46 </w:t>
            </w:r>
            <w:r>
              <w:rPr>
                <w:rFonts w:ascii="Arial Narrow" w:eastAsiaTheme="majorEastAsia" w:hAnsi="Arial Narrow" w:cstheme="majorBidi"/>
                <w:b/>
                <w:sz w:val="20"/>
                <w:szCs w:val="20"/>
              </w:rPr>
              <w:t>(</w:t>
            </w:r>
            <w:r w:rsidRPr="00705CC4">
              <w:rPr>
                <w:rFonts w:ascii="Arial Narrow" w:eastAsiaTheme="majorEastAsia" w:hAnsi="Arial Narrow" w:cstheme="majorBidi"/>
                <w:b/>
                <w:sz w:val="20"/>
                <w:szCs w:val="20"/>
              </w:rPr>
              <w:t>2.63, 15.86</w:t>
            </w:r>
            <w:r>
              <w:rPr>
                <w:rFonts w:ascii="Arial Narrow" w:eastAsiaTheme="majorEastAsia" w:hAnsi="Arial Narrow" w:cstheme="majorBidi"/>
                <w:b/>
                <w:sz w:val="20"/>
                <w:szCs w:val="20"/>
              </w:rPr>
              <w:t>)</w:t>
            </w:r>
          </w:p>
        </w:tc>
        <w:tc>
          <w:tcPr>
            <w:tcW w:w="917" w:type="pct"/>
            <w:tcBorders>
              <w:top w:val="nil"/>
              <w:left w:val="single" w:sz="4" w:space="0" w:color="auto"/>
              <w:bottom w:val="nil"/>
              <w:right w:val="single" w:sz="4" w:space="0" w:color="auto"/>
            </w:tcBorders>
            <w:vAlign w:val="center"/>
          </w:tcPr>
          <w:p w14:paraId="013605BC"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szCs w:val="20"/>
              </w:rPr>
              <w:t xml:space="preserve">0.10 </w:t>
            </w:r>
            <w:r>
              <w:rPr>
                <w:rFonts w:ascii="Arial Narrow" w:eastAsiaTheme="majorEastAsia" w:hAnsi="Arial Narrow" w:cstheme="majorBidi"/>
                <w:b/>
                <w:sz w:val="20"/>
                <w:szCs w:val="20"/>
              </w:rPr>
              <w:t>(</w:t>
            </w:r>
            <w:r w:rsidRPr="00705CC4">
              <w:rPr>
                <w:rFonts w:ascii="Arial Narrow" w:eastAsiaTheme="majorEastAsia" w:hAnsi="Arial Narrow" w:cstheme="majorBidi"/>
                <w:b/>
                <w:sz w:val="20"/>
                <w:szCs w:val="20"/>
              </w:rPr>
              <w:t>0.06, 0.14</w:t>
            </w:r>
            <w:r>
              <w:rPr>
                <w:rFonts w:ascii="Arial Narrow" w:eastAsiaTheme="majorEastAsia" w:hAnsi="Arial Narrow" w:cstheme="majorBidi"/>
                <w:b/>
                <w:sz w:val="20"/>
                <w:szCs w:val="20"/>
              </w:rPr>
              <w:t>)</w:t>
            </w:r>
          </w:p>
        </w:tc>
      </w:tr>
      <w:tr w:rsidR="00DC33F2" w:rsidRPr="00705CC4" w14:paraId="23665845" w14:textId="77777777" w:rsidTr="00AD478D">
        <w:tc>
          <w:tcPr>
            <w:tcW w:w="994" w:type="pct"/>
            <w:tcBorders>
              <w:top w:val="nil"/>
              <w:left w:val="single" w:sz="4" w:space="0" w:color="auto"/>
              <w:bottom w:val="single" w:sz="4" w:space="0" w:color="auto"/>
              <w:right w:val="single" w:sz="4" w:space="0" w:color="auto"/>
            </w:tcBorders>
          </w:tcPr>
          <w:p w14:paraId="18D3FDA4" w14:textId="77777777" w:rsidR="00DC33F2" w:rsidRPr="00705CC4" w:rsidRDefault="00DC33F2" w:rsidP="00116C8C">
            <w:pPr>
              <w:numPr>
                <w:ilvl w:val="0"/>
                <w:numId w:val="7"/>
              </w:numPr>
              <w:autoSpaceDE w:val="0"/>
              <w:autoSpaceDN w:val="0"/>
              <w:adjustRightInd w:val="0"/>
              <w:ind w:left="457"/>
              <w:jc w:val="left"/>
              <w:rPr>
                <w:rFonts w:ascii="Arial Narrow" w:eastAsiaTheme="majorEastAsia" w:hAnsi="Arial Narrow" w:cstheme="majorBidi"/>
                <w:sz w:val="20"/>
              </w:rPr>
            </w:pPr>
            <w:r w:rsidRPr="00705CC4">
              <w:rPr>
                <w:rFonts w:ascii="Arial Narrow" w:eastAsiaTheme="majorEastAsia" w:hAnsi="Arial Narrow" w:cstheme="majorBidi"/>
                <w:sz w:val="20"/>
              </w:rPr>
              <w:t>WBC decreased</w:t>
            </w:r>
          </w:p>
        </w:tc>
        <w:tc>
          <w:tcPr>
            <w:tcW w:w="657" w:type="pct"/>
            <w:tcBorders>
              <w:top w:val="nil"/>
              <w:left w:val="single" w:sz="4" w:space="0" w:color="auto"/>
              <w:bottom w:val="single" w:sz="4" w:space="0" w:color="auto"/>
              <w:right w:val="single" w:sz="4" w:space="0" w:color="auto"/>
            </w:tcBorders>
            <w:vAlign w:val="center"/>
          </w:tcPr>
          <w:p w14:paraId="17B64766"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szCs w:val="20"/>
              </w:rPr>
              <w:t>52/533 (9.76%)</w:t>
            </w:r>
          </w:p>
        </w:tc>
        <w:tc>
          <w:tcPr>
            <w:tcW w:w="576" w:type="pct"/>
            <w:tcBorders>
              <w:top w:val="nil"/>
              <w:left w:val="single" w:sz="4" w:space="0" w:color="auto"/>
              <w:bottom w:val="single" w:sz="4" w:space="0" w:color="auto"/>
              <w:right w:val="single" w:sz="4" w:space="0" w:color="auto"/>
            </w:tcBorders>
            <w:vAlign w:val="center"/>
          </w:tcPr>
          <w:p w14:paraId="46DDC279"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szCs w:val="20"/>
              </w:rPr>
              <w:t>0/265</w:t>
            </w:r>
            <w:r w:rsidRPr="00705CC4">
              <w:rPr>
                <w:rFonts w:ascii="Arial Narrow" w:eastAsiaTheme="majorEastAsia" w:hAnsi="Arial Narrow" w:cstheme="majorBidi"/>
                <w:bCs/>
                <w:sz w:val="20"/>
                <w:szCs w:val="20"/>
              </w:rPr>
              <w:br/>
              <w:t xml:space="preserve"> (0.00%)</w:t>
            </w:r>
          </w:p>
        </w:tc>
        <w:tc>
          <w:tcPr>
            <w:tcW w:w="933" w:type="pct"/>
            <w:gridSpan w:val="2"/>
            <w:tcBorders>
              <w:top w:val="nil"/>
              <w:left w:val="single" w:sz="4" w:space="0" w:color="auto"/>
              <w:bottom w:val="single" w:sz="4" w:space="0" w:color="auto"/>
              <w:right w:val="single" w:sz="4" w:space="0" w:color="auto"/>
            </w:tcBorders>
            <w:vAlign w:val="center"/>
          </w:tcPr>
          <w:p w14:paraId="447A76CF"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szCs w:val="20"/>
              </w:rPr>
              <w:t>Not estimable</w:t>
            </w:r>
          </w:p>
        </w:tc>
        <w:tc>
          <w:tcPr>
            <w:tcW w:w="923" w:type="pct"/>
            <w:gridSpan w:val="2"/>
            <w:tcBorders>
              <w:top w:val="nil"/>
              <w:left w:val="single" w:sz="4" w:space="0" w:color="auto"/>
              <w:bottom w:val="single" w:sz="4" w:space="0" w:color="auto"/>
              <w:right w:val="single" w:sz="4" w:space="0" w:color="auto"/>
            </w:tcBorders>
            <w:vAlign w:val="center"/>
          </w:tcPr>
          <w:p w14:paraId="292CB313" w14:textId="77777777" w:rsidR="00DC33F2" w:rsidRPr="00705CC4" w:rsidRDefault="00DC33F2" w:rsidP="00AD478D">
            <w:pPr>
              <w:keepNext/>
              <w:jc w:val="center"/>
              <w:rPr>
                <w:rFonts w:ascii="Arial Narrow" w:eastAsiaTheme="majorEastAsia" w:hAnsi="Arial Narrow" w:cstheme="majorBidi"/>
                <w:bCs/>
                <w:sz w:val="20"/>
                <w:szCs w:val="20"/>
              </w:rPr>
            </w:pPr>
            <w:r w:rsidRPr="00705CC4">
              <w:rPr>
                <w:rFonts w:ascii="Arial Narrow" w:eastAsiaTheme="majorEastAsia" w:hAnsi="Arial Narrow" w:cstheme="majorBidi"/>
                <w:bCs/>
                <w:sz w:val="20"/>
                <w:szCs w:val="20"/>
              </w:rPr>
              <w:t>Not estimable</w:t>
            </w:r>
          </w:p>
        </w:tc>
        <w:tc>
          <w:tcPr>
            <w:tcW w:w="917" w:type="pct"/>
            <w:tcBorders>
              <w:top w:val="nil"/>
              <w:left w:val="single" w:sz="4" w:space="0" w:color="auto"/>
              <w:bottom w:val="single" w:sz="4" w:space="0" w:color="auto"/>
              <w:right w:val="single" w:sz="4" w:space="0" w:color="auto"/>
            </w:tcBorders>
            <w:vAlign w:val="center"/>
          </w:tcPr>
          <w:p w14:paraId="32DEAB82" w14:textId="77777777" w:rsidR="00DC33F2" w:rsidRPr="00705CC4" w:rsidRDefault="00DC33F2" w:rsidP="00AD478D">
            <w:pPr>
              <w:keepNext/>
              <w:jc w:val="center"/>
              <w:rPr>
                <w:rFonts w:ascii="Arial Narrow" w:eastAsiaTheme="majorEastAsia" w:hAnsi="Arial Narrow" w:cstheme="majorBidi"/>
                <w:b/>
                <w:sz w:val="20"/>
                <w:szCs w:val="20"/>
              </w:rPr>
            </w:pPr>
            <w:r w:rsidRPr="00705CC4">
              <w:rPr>
                <w:rFonts w:ascii="Arial Narrow" w:eastAsiaTheme="majorEastAsia" w:hAnsi="Arial Narrow" w:cstheme="majorBidi"/>
                <w:b/>
                <w:sz w:val="20"/>
                <w:szCs w:val="20"/>
              </w:rPr>
              <w:t xml:space="preserve">0.10 </w:t>
            </w:r>
            <w:r>
              <w:rPr>
                <w:rFonts w:ascii="Arial Narrow" w:eastAsiaTheme="majorEastAsia" w:hAnsi="Arial Narrow" w:cstheme="majorBidi"/>
                <w:b/>
                <w:sz w:val="20"/>
                <w:szCs w:val="20"/>
              </w:rPr>
              <w:t>(</w:t>
            </w:r>
            <w:r w:rsidRPr="00705CC4">
              <w:rPr>
                <w:rFonts w:ascii="Arial Narrow" w:eastAsiaTheme="majorEastAsia" w:hAnsi="Arial Narrow" w:cstheme="majorBidi"/>
                <w:b/>
                <w:sz w:val="20"/>
                <w:szCs w:val="20"/>
              </w:rPr>
              <w:t>0.06, 0.13</w:t>
            </w:r>
            <w:r>
              <w:rPr>
                <w:rFonts w:ascii="Arial Narrow" w:eastAsiaTheme="majorEastAsia" w:hAnsi="Arial Narrow" w:cstheme="majorBidi"/>
                <w:b/>
                <w:sz w:val="20"/>
                <w:szCs w:val="20"/>
              </w:rPr>
              <w:t>)</w:t>
            </w:r>
          </w:p>
        </w:tc>
      </w:tr>
    </w:tbl>
    <w:p w14:paraId="285511D4" w14:textId="77777777" w:rsidR="00DC33F2" w:rsidRPr="00CA7496" w:rsidRDefault="00DC33F2" w:rsidP="00DC33F2">
      <w:pPr>
        <w:spacing w:after="120"/>
        <w:contextualSpacing/>
        <w:rPr>
          <w:rFonts w:ascii="Arial Narrow" w:hAnsi="Arial Narrow"/>
          <w:snapToGrid w:val="0"/>
          <w:sz w:val="20"/>
          <w:szCs w:val="22"/>
        </w:rPr>
      </w:pPr>
      <w:r w:rsidRPr="00CA7496">
        <w:rPr>
          <w:rFonts w:ascii="Arial Narrow" w:hAnsi="Arial Narrow"/>
          <w:snapToGrid w:val="0"/>
          <w:sz w:val="18"/>
          <w:szCs w:val="22"/>
        </w:rPr>
        <w:t>Source: Table 2-31, p115</w:t>
      </w:r>
      <w:r w:rsidR="006057AE">
        <w:rPr>
          <w:rFonts w:ascii="Arial Narrow" w:hAnsi="Arial Narrow"/>
          <w:snapToGrid w:val="0"/>
          <w:sz w:val="18"/>
          <w:szCs w:val="22"/>
        </w:rPr>
        <w:t>;</w:t>
      </w:r>
      <w:r w:rsidRPr="00CA7496">
        <w:rPr>
          <w:rFonts w:ascii="Arial Narrow" w:hAnsi="Arial Narrow"/>
          <w:snapToGrid w:val="0"/>
          <w:sz w:val="18"/>
          <w:szCs w:val="22"/>
        </w:rPr>
        <w:t xml:space="preserve"> Table 2-33, p</w:t>
      </w:r>
      <w:r w:rsidR="003B4820" w:rsidRPr="00CA7496">
        <w:rPr>
          <w:rFonts w:ascii="Arial Narrow" w:hAnsi="Arial Narrow"/>
          <w:snapToGrid w:val="0"/>
          <w:sz w:val="18"/>
          <w:szCs w:val="22"/>
        </w:rPr>
        <w:t>118</w:t>
      </w:r>
      <w:r w:rsidR="003B4820">
        <w:rPr>
          <w:rFonts w:ascii="Arial Narrow" w:hAnsi="Arial Narrow"/>
          <w:snapToGrid w:val="0"/>
          <w:sz w:val="18"/>
          <w:szCs w:val="22"/>
        </w:rPr>
        <w:t xml:space="preserve">; </w:t>
      </w:r>
      <w:r w:rsidR="003B4820" w:rsidRPr="00CA7496">
        <w:rPr>
          <w:rFonts w:ascii="Arial Narrow" w:hAnsi="Arial Narrow"/>
          <w:snapToGrid w:val="0"/>
          <w:sz w:val="18"/>
          <w:szCs w:val="22"/>
        </w:rPr>
        <w:t>Table</w:t>
      </w:r>
      <w:r w:rsidRPr="00CA7496">
        <w:rPr>
          <w:rFonts w:ascii="Arial Narrow" w:hAnsi="Arial Narrow"/>
          <w:snapToGrid w:val="0"/>
          <w:sz w:val="18"/>
          <w:szCs w:val="22"/>
        </w:rPr>
        <w:t xml:space="preserve"> 2-37, p126</w:t>
      </w:r>
      <w:r w:rsidR="006057AE">
        <w:rPr>
          <w:rFonts w:ascii="Arial Narrow" w:hAnsi="Arial Narrow"/>
          <w:snapToGrid w:val="0"/>
          <w:sz w:val="18"/>
          <w:szCs w:val="22"/>
        </w:rPr>
        <w:t xml:space="preserve"> and</w:t>
      </w:r>
      <w:r w:rsidRPr="00CA7496">
        <w:rPr>
          <w:rFonts w:ascii="Arial Narrow" w:hAnsi="Arial Narrow"/>
          <w:snapToGrid w:val="0"/>
          <w:sz w:val="18"/>
          <w:szCs w:val="22"/>
        </w:rPr>
        <w:t xml:space="preserve"> Table 2-39, p129, of the resubmission</w:t>
      </w:r>
      <w:r>
        <w:rPr>
          <w:rFonts w:ascii="Arial Narrow" w:hAnsi="Arial Narrow"/>
          <w:snapToGrid w:val="0"/>
          <w:sz w:val="18"/>
          <w:szCs w:val="22"/>
        </w:rPr>
        <w:t>.</w:t>
      </w:r>
    </w:p>
    <w:p w14:paraId="6299C5C9" w14:textId="77777777" w:rsidR="00DC33F2" w:rsidRPr="00CA7496" w:rsidRDefault="00DC33F2" w:rsidP="00DC33F2">
      <w:pPr>
        <w:spacing w:after="120"/>
        <w:contextualSpacing/>
        <w:rPr>
          <w:rFonts w:ascii="Arial Narrow" w:eastAsia="Calibri" w:hAnsi="Arial Narrow"/>
          <w:snapToGrid w:val="0"/>
          <w:sz w:val="18"/>
          <w:szCs w:val="22"/>
        </w:rPr>
      </w:pPr>
      <w:r w:rsidRPr="00CA7496">
        <w:rPr>
          <w:rFonts w:ascii="Arial Narrow" w:hAnsi="Arial Narrow"/>
          <w:snapToGrid w:val="0"/>
          <w:sz w:val="18"/>
          <w:szCs w:val="18"/>
        </w:rPr>
        <w:t>C</w:t>
      </w:r>
      <w:r w:rsidRPr="00CA7496">
        <w:rPr>
          <w:rFonts w:ascii="Arial Narrow" w:eastAsia="Calibri" w:hAnsi="Arial Narrow"/>
          <w:snapToGrid w:val="0"/>
          <w:sz w:val="18"/>
          <w:szCs w:val="22"/>
        </w:rPr>
        <w:t>I = confidence interval, n = number of participants reporting data, N = total participants in group, OR = odds ratio, RD = risk difference, RR = relative risk, TEAE = treatment emergent adverse event</w:t>
      </w:r>
      <w:r w:rsidR="00AD7B0E">
        <w:rPr>
          <w:rFonts w:ascii="Arial Narrow" w:eastAsia="Calibri" w:hAnsi="Arial Narrow"/>
          <w:snapToGrid w:val="0"/>
          <w:sz w:val="18"/>
          <w:szCs w:val="22"/>
        </w:rPr>
        <w:t>, WBC = white blood cells.</w:t>
      </w:r>
    </w:p>
    <w:p w14:paraId="4733C9AE" w14:textId="1B9579FA" w:rsidR="00DC33F2" w:rsidRDefault="00DC33F2" w:rsidP="00DC33F2">
      <w:pPr>
        <w:spacing w:after="120"/>
        <w:contextualSpacing/>
        <w:rPr>
          <w:rFonts w:ascii="Arial Narrow" w:eastAsia="Calibri" w:hAnsi="Arial Narrow"/>
          <w:snapToGrid w:val="0"/>
          <w:sz w:val="18"/>
          <w:szCs w:val="22"/>
        </w:rPr>
      </w:pPr>
      <w:r w:rsidRPr="00CA7496">
        <w:rPr>
          <w:rFonts w:ascii="Arial Narrow" w:eastAsia="Calibri" w:hAnsi="Arial Narrow"/>
          <w:b/>
          <w:bCs/>
          <w:snapToGrid w:val="0"/>
          <w:sz w:val="18"/>
          <w:szCs w:val="22"/>
        </w:rPr>
        <w:t>Bold</w:t>
      </w:r>
      <w:r w:rsidRPr="00CA7496">
        <w:rPr>
          <w:rFonts w:ascii="Arial Narrow" w:eastAsia="Calibri" w:hAnsi="Arial Narrow"/>
          <w:snapToGrid w:val="0"/>
          <w:sz w:val="18"/>
          <w:szCs w:val="22"/>
        </w:rPr>
        <w:t xml:space="preserve"> indicates statistically significant results</w:t>
      </w:r>
      <w:r>
        <w:rPr>
          <w:rFonts w:ascii="Arial Narrow" w:eastAsia="Calibri" w:hAnsi="Arial Narrow"/>
          <w:snapToGrid w:val="0"/>
          <w:sz w:val="18"/>
          <w:szCs w:val="22"/>
        </w:rPr>
        <w:t>.</w:t>
      </w:r>
    </w:p>
    <w:p w14:paraId="28CCEE75" w14:textId="77777777" w:rsidR="00DC33F2" w:rsidRDefault="00DC33F2" w:rsidP="00DC33F2">
      <w:pPr>
        <w:pStyle w:val="3-BodyText"/>
      </w:pPr>
      <w:r w:rsidRPr="00A3768F">
        <w:t xml:space="preserve">The safety profiles of regorafenib and trifluridine/tipiracil are different. The most common </w:t>
      </w:r>
      <w:r w:rsidR="00963376">
        <w:t xml:space="preserve">adverse events (AEs) </w:t>
      </w:r>
      <w:r w:rsidRPr="00A3768F">
        <w:t xml:space="preserve">of Grade ≥3 of regorafenib in the CORRECT trial were </w:t>
      </w:r>
      <w:r w:rsidRPr="00295D9D">
        <w:t>hand-foot skin reaction, fatigue, diarrhoea, hypertension and rash/desquamation</w:t>
      </w:r>
      <w:r w:rsidR="00AD7B0E">
        <w:t xml:space="preserve">, </w:t>
      </w:r>
      <w:r w:rsidRPr="00A3768F">
        <w:t>whereas myelosuppression (</w:t>
      </w:r>
      <w:r w:rsidR="005C7590">
        <w:t>e.g.,</w:t>
      </w:r>
      <w:r w:rsidR="00193A79">
        <w:t xml:space="preserve"> neutropenia and anaemia)</w:t>
      </w:r>
      <w:r>
        <w:t xml:space="preserve"> </w:t>
      </w:r>
      <w:r w:rsidR="00193A79">
        <w:t xml:space="preserve">was </w:t>
      </w:r>
      <w:r w:rsidR="00193A79" w:rsidRPr="00A3768F">
        <w:t>the</w:t>
      </w:r>
      <w:r w:rsidRPr="00A3768F">
        <w:t xml:space="preserve"> most common AE of Grade ≥3 reported for trifluridine/tipiracil in the RECOURSE trial.</w:t>
      </w:r>
    </w:p>
    <w:p w14:paraId="58E4B49A" w14:textId="77777777" w:rsidR="00DC33F2" w:rsidRPr="008705DE" w:rsidRDefault="00DC33F2" w:rsidP="00DC33F2">
      <w:pPr>
        <w:pStyle w:val="3-BodyText"/>
        <w:contextualSpacing/>
        <w:rPr>
          <w:rFonts w:ascii="Arial Narrow" w:eastAsia="Calibri" w:hAnsi="Arial Narrow"/>
          <w:sz w:val="18"/>
          <w:szCs w:val="22"/>
        </w:rPr>
      </w:pPr>
      <w:r w:rsidRPr="001B1857">
        <w:t>In the July 2014 consideration of regorafenib for patients with mCRC, the PBAC considered regorafenib to be</w:t>
      </w:r>
      <w:r w:rsidR="00A03A6D">
        <w:t>,</w:t>
      </w:r>
      <w:r w:rsidRPr="001B1857">
        <w:t xml:space="preserve"> </w:t>
      </w:r>
      <w:r w:rsidR="00A03A6D">
        <w:t>‘</w:t>
      </w:r>
      <w:r w:rsidRPr="001B1857">
        <w:t>inferior in comparative safety to BSC and noted severe adverse effects associated with the drug, particularly hepatotoxicity and hand-foot skin reactions</w:t>
      </w:r>
      <w:r w:rsidR="00A03A6D">
        <w:t>,’</w:t>
      </w:r>
      <w:r>
        <w:t xml:space="preserve"> </w:t>
      </w:r>
      <w:r w:rsidRPr="00BC7B14">
        <w:t xml:space="preserve">(paragraph </w:t>
      </w:r>
      <w:r>
        <w:t>7.7</w:t>
      </w:r>
      <w:r w:rsidRPr="00BC7B14">
        <w:t xml:space="preserve">, </w:t>
      </w:r>
      <w:r>
        <w:t>regorafenib</w:t>
      </w:r>
      <w:r w:rsidRPr="00BC7B14">
        <w:t xml:space="preserve">, Public Summary Document, </w:t>
      </w:r>
      <w:r>
        <w:t>July 2014</w:t>
      </w:r>
      <w:r w:rsidRPr="00BC7B14">
        <w:t xml:space="preserve"> PBAC </w:t>
      </w:r>
      <w:r w:rsidRPr="008705DE">
        <w:t xml:space="preserve">meeting). </w:t>
      </w:r>
      <w:r w:rsidR="00272B2C" w:rsidRPr="008705DE">
        <w:rPr>
          <w:iCs/>
        </w:rPr>
        <w:t>The</w:t>
      </w:r>
      <w:r w:rsidR="00272B2C" w:rsidRPr="008705DE">
        <w:t xml:space="preserve"> </w:t>
      </w:r>
      <w:r w:rsidR="00F44157" w:rsidRPr="008705DE">
        <w:rPr>
          <w:iCs/>
        </w:rPr>
        <w:t xml:space="preserve">regorafenib </w:t>
      </w:r>
      <w:r w:rsidRPr="008705DE">
        <w:rPr>
          <w:iCs/>
        </w:rPr>
        <w:t>P</w:t>
      </w:r>
      <w:r w:rsidR="00A12A47" w:rsidRPr="008705DE">
        <w:rPr>
          <w:iCs/>
        </w:rPr>
        <w:t>roduct Information</w:t>
      </w:r>
      <w:r w:rsidR="003C2B82" w:rsidRPr="008705DE">
        <w:rPr>
          <w:iCs/>
        </w:rPr>
        <w:t xml:space="preserve"> carries a warning of</w:t>
      </w:r>
      <w:r w:rsidRPr="008705DE">
        <w:rPr>
          <w:iCs/>
        </w:rPr>
        <w:t xml:space="preserve"> severe drug induced </w:t>
      </w:r>
      <w:r w:rsidR="003C2B82" w:rsidRPr="008705DE">
        <w:rPr>
          <w:iCs/>
        </w:rPr>
        <w:t xml:space="preserve">hepatotoxicity </w:t>
      </w:r>
      <w:r w:rsidRPr="008705DE">
        <w:rPr>
          <w:iCs/>
        </w:rPr>
        <w:t>with fatal outcome</w:t>
      </w:r>
      <w:r w:rsidR="003C2B82" w:rsidRPr="008705DE">
        <w:rPr>
          <w:iCs/>
        </w:rPr>
        <w:t>s.</w:t>
      </w:r>
      <w:r w:rsidRPr="008705DE">
        <w:t xml:space="preserve"> </w:t>
      </w:r>
    </w:p>
    <w:p w14:paraId="58F15754" w14:textId="77777777" w:rsidR="00DC33F2" w:rsidRPr="001B1857" w:rsidRDefault="00DC33F2" w:rsidP="00DC33F2">
      <w:pPr>
        <w:pStyle w:val="3-BodyText"/>
        <w:numPr>
          <w:ilvl w:val="0"/>
          <w:numId w:val="0"/>
        </w:numPr>
        <w:ind w:left="720"/>
        <w:contextualSpacing/>
        <w:rPr>
          <w:rFonts w:ascii="Arial Narrow" w:eastAsia="Calibri" w:hAnsi="Arial Narrow"/>
          <w:sz w:val="18"/>
          <w:szCs w:val="22"/>
        </w:rPr>
      </w:pPr>
    </w:p>
    <w:p w14:paraId="3DB0141F" w14:textId="77777777" w:rsidR="00DC33F2" w:rsidRPr="007009ED" w:rsidRDefault="00DC33F2" w:rsidP="00DC33F2">
      <w:pPr>
        <w:pStyle w:val="3-BodyText"/>
        <w:rPr>
          <w:i/>
          <w:iCs/>
        </w:rPr>
      </w:pPr>
      <w:r>
        <w:rPr>
          <w:rFonts w:ascii="Calibri" w:hAnsi="Calibri"/>
        </w:rPr>
        <w:t>T</w:t>
      </w:r>
      <w:r w:rsidRPr="00262DC5">
        <w:rPr>
          <w:rFonts w:ascii="Calibri" w:hAnsi="Calibri"/>
        </w:rPr>
        <w:t>he results of the indirect comparison of regorafenib and trifluridine/tipiracil with respect to Worst Grade toxicities reported by patients in the CORRECT and RECOURSE</w:t>
      </w:r>
      <w:r>
        <w:rPr>
          <w:rFonts w:ascii="Calibri" w:hAnsi="Calibri"/>
        </w:rPr>
        <w:t xml:space="preserve"> is presented in Table 9.</w:t>
      </w:r>
    </w:p>
    <w:p w14:paraId="2700C49A" w14:textId="77777777" w:rsidR="00DC33F2" w:rsidRPr="00CB44CF" w:rsidRDefault="00DC33F2" w:rsidP="00DC33F2">
      <w:pPr>
        <w:pStyle w:val="TableFigureHeading"/>
      </w:pPr>
      <w:r w:rsidRPr="00CB44CF">
        <w:t xml:space="preserve">Table </w:t>
      </w:r>
      <w:r>
        <w:t>9</w:t>
      </w:r>
      <w:r w:rsidRPr="00CB44CF">
        <w:t>: Indirect comparison of regorafenib vs. trifluridine/tipiracil via Placebo: Worst Grade toxicities reported in the CORRECT and RECOURSE studies</w:t>
      </w:r>
    </w:p>
    <w:tbl>
      <w:tblPr>
        <w:tblStyle w:val="ASDTable171"/>
        <w:tblW w:w="5000" w:type="pct"/>
        <w:tblInd w:w="0" w:type="dxa"/>
        <w:tblLook w:val="04A0" w:firstRow="1" w:lastRow="0" w:firstColumn="1" w:lastColumn="0" w:noHBand="0" w:noVBand="1"/>
        <w:tblCaption w:val="Table 9: Indirect comparison of regorafenib vs. trifluridine/tipiracil via Placebo: Worst Grade toxicities reported in the CORRECT and RECOURSE studies"/>
      </w:tblPr>
      <w:tblGrid>
        <w:gridCol w:w="1710"/>
        <w:gridCol w:w="929"/>
        <w:gridCol w:w="1609"/>
        <w:gridCol w:w="1701"/>
        <w:gridCol w:w="3068"/>
      </w:tblGrid>
      <w:tr w:rsidR="00DC33F2" w:rsidRPr="00DD545E" w14:paraId="6600E647" w14:textId="77777777" w:rsidTr="00AD478D">
        <w:trPr>
          <w:tblHeader/>
        </w:trPr>
        <w:tc>
          <w:tcPr>
            <w:tcW w:w="948" w:type="pct"/>
            <w:vMerge w:val="restart"/>
            <w:shd w:val="clear" w:color="auto" w:fill="auto"/>
          </w:tcPr>
          <w:p w14:paraId="63830B87" w14:textId="77777777" w:rsidR="00DC33F2" w:rsidRPr="00DD545E" w:rsidRDefault="00DC33F2" w:rsidP="00AD478D">
            <w:pPr>
              <w:widowControl w:val="0"/>
              <w:spacing w:before="60" w:after="40"/>
              <w:jc w:val="center"/>
              <w:rPr>
                <w:rFonts w:ascii="Arial Narrow" w:hAnsi="Arial Narrow"/>
                <w:b/>
                <w:bCs/>
                <w:sz w:val="20"/>
                <w:szCs w:val="20"/>
              </w:rPr>
            </w:pPr>
            <w:r>
              <w:rPr>
                <w:rFonts w:ascii="Arial Narrow" w:hAnsi="Arial Narrow"/>
                <w:b/>
                <w:bCs/>
                <w:sz w:val="20"/>
                <w:szCs w:val="20"/>
              </w:rPr>
              <w:t>Worst Grade</w:t>
            </w:r>
            <w:r w:rsidRPr="00DD545E">
              <w:rPr>
                <w:rFonts w:ascii="Arial Narrow" w:hAnsi="Arial Narrow"/>
                <w:b/>
                <w:bCs/>
                <w:sz w:val="20"/>
                <w:szCs w:val="20"/>
              </w:rPr>
              <w:t xml:space="preserve"> reported</w:t>
            </w:r>
          </w:p>
        </w:tc>
        <w:tc>
          <w:tcPr>
            <w:tcW w:w="515" w:type="pct"/>
            <w:vMerge w:val="restart"/>
            <w:shd w:val="clear" w:color="auto" w:fill="auto"/>
          </w:tcPr>
          <w:p w14:paraId="355E341A" w14:textId="77777777" w:rsidR="00DC33F2" w:rsidRPr="00DD545E" w:rsidRDefault="00DC33F2" w:rsidP="00AD478D">
            <w:pPr>
              <w:widowControl w:val="0"/>
              <w:spacing w:before="60" w:after="40"/>
              <w:jc w:val="center"/>
              <w:rPr>
                <w:rFonts w:ascii="Arial Narrow" w:hAnsi="Arial Narrow"/>
                <w:b/>
                <w:bCs/>
                <w:sz w:val="20"/>
                <w:szCs w:val="20"/>
              </w:rPr>
            </w:pPr>
            <w:r w:rsidRPr="00DD545E">
              <w:rPr>
                <w:rFonts w:ascii="Arial Narrow" w:hAnsi="Arial Narrow"/>
                <w:b/>
                <w:bCs/>
                <w:sz w:val="20"/>
                <w:szCs w:val="20"/>
              </w:rPr>
              <w:t>Outcome measure</w:t>
            </w:r>
          </w:p>
        </w:tc>
        <w:tc>
          <w:tcPr>
            <w:tcW w:w="1835" w:type="pct"/>
            <w:gridSpan w:val="2"/>
            <w:shd w:val="clear" w:color="auto" w:fill="auto"/>
          </w:tcPr>
          <w:p w14:paraId="7A019F29" w14:textId="77777777" w:rsidR="00DC33F2" w:rsidRPr="00DD545E" w:rsidRDefault="00DC33F2" w:rsidP="00AD478D">
            <w:pPr>
              <w:widowControl w:val="0"/>
              <w:spacing w:before="60" w:after="40"/>
              <w:jc w:val="center"/>
              <w:rPr>
                <w:rFonts w:ascii="Arial Narrow" w:hAnsi="Arial Narrow"/>
                <w:b/>
                <w:bCs/>
                <w:sz w:val="20"/>
                <w:szCs w:val="20"/>
              </w:rPr>
            </w:pPr>
            <w:r w:rsidRPr="00DD545E">
              <w:rPr>
                <w:rFonts w:ascii="Arial Narrow" w:hAnsi="Arial Narrow"/>
                <w:b/>
                <w:bCs/>
                <w:sz w:val="20"/>
                <w:szCs w:val="20"/>
              </w:rPr>
              <w:t xml:space="preserve">Direct estimate </w:t>
            </w:r>
            <w:r>
              <w:rPr>
                <w:rFonts w:ascii="Arial Narrow" w:hAnsi="Arial Narrow"/>
                <w:b/>
                <w:bCs/>
                <w:sz w:val="20"/>
                <w:szCs w:val="20"/>
              </w:rPr>
              <w:t>(</w:t>
            </w:r>
            <w:r w:rsidRPr="00DD545E">
              <w:rPr>
                <w:rFonts w:ascii="Arial Narrow" w:hAnsi="Arial Narrow"/>
                <w:b/>
                <w:bCs/>
                <w:sz w:val="20"/>
                <w:szCs w:val="20"/>
              </w:rPr>
              <w:t>95% CI</w:t>
            </w:r>
            <w:r>
              <w:rPr>
                <w:rFonts w:ascii="Arial Narrow" w:hAnsi="Arial Narrow"/>
                <w:b/>
                <w:bCs/>
                <w:sz w:val="20"/>
                <w:szCs w:val="20"/>
              </w:rPr>
              <w:t>)</w:t>
            </w:r>
          </w:p>
        </w:tc>
        <w:tc>
          <w:tcPr>
            <w:tcW w:w="1701" w:type="pct"/>
            <w:shd w:val="clear" w:color="auto" w:fill="auto"/>
          </w:tcPr>
          <w:p w14:paraId="2B43E04E" w14:textId="77777777" w:rsidR="00DC33F2" w:rsidRPr="00DD545E" w:rsidRDefault="00DC33F2" w:rsidP="00AD478D">
            <w:pPr>
              <w:widowControl w:val="0"/>
              <w:spacing w:before="60" w:after="40"/>
              <w:jc w:val="center"/>
              <w:rPr>
                <w:rFonts w:ascii="Arial Narrow" w:hAnsi="Arial Narrow"/>
                <w:b/>
                <w:bCs/>
                <w:sz w:val="20"/>
                <w:szCs w:val="20"/>
              </w:rPr>
            </w:pPr>
            <w:r w:rsidRPr="00DD545E">
              <w:rPr>
                <w:rFonts w:ascii="Arial Narrow" w:hAnsi="Arial Narrow"/>
                <w:b/>
                <w:bCs/>
                <w:sz w:val="20"/>
                <w:szCs w:val="20"/>
              </w:rPr>
              <w:t xml:space="preserve">Indirect estimate </w:t>
            </w:r>
            <w:r>
              <w:rPr>
                <w:rFonts w:ascii="Arial Narrow" w:hAnsi="Arial Narrow"/>
                <w:b/>
                <w:bCs/>
                <w:sz w:val="20"/>
                <w:szCs w:val="20"/>
              </w:rPr>
              <w:t>(</w:t>
            </w:r>
            <w:r w:rsidRPr="00DD545E">
              <w:rPr>
                <w:rFonts w:ascii="Arial Narrow" w:hAnsi="Arial Narrow"/>
                <w:b/>
                <w:bCs/>
                <w:sz w:val="20"/>
                <w:szCs w:val="20"/>
              </w:rPr>
              <w:t>95% CI</w:t>
            </w:r>
            <w:r w:rsidR="007009ED">
              <w:rPr>
                <w:rFonts w:ascii="Arial Narrow" w:hAnsi="Arial Narrow"/>
                <w:b/>
                <w:bCs/>
                <w:sz w:val="20"/>
                <w:szCs w:val="20"/>
              </w:rPr>
              <w:t>)</w:t>
            </w:r>
          </w:p>
        </w:tc>
      </w:tr>
      <w:tr w:rsidR="00DC33F2" w:rsidRPr="00DD545E" w14:paraId="655B4E7A" w14:textId="77777777" w:rsidTr="00AD478D">
        <w:trPr>
          <w:trHeight w:val="213"/>
          <w:tblHeader/>
        </w:trPr>
        <w:tc>
          <w:tcPr>
            <w:tcW w:w="948" w:type="pct"/>
            <w:vMerge/>
            <w:tcBorders>
              <w:bottom w:val="single" w:sz="4" w:space="0" w:color="auto"/>
            </w:tcBorders>
            <w:shd w:val="clear" w:color="auto" w:fill="auto"/>
          </w:tcPr>
          <w:p w14:paraId="4B8F18BE" w14:textId="77777777" w:rsidR="00DC33F2" w:rsidRPr="00DD545E" w:rsidRDefault="00DC33F2" w:rsidP="00AD478D">
            <w:pPr>
              <w:widowControl w:val="0"/>
              <w:spacing w:before="60" w:after="40"/>
              <w:jc w:val="center"/>
              <w:rPr>
                <w:rFonts w:ascii="Arial Narrow" w:hAnsi="Arial Narrow"/>
                <w:sz w:val="20"/>
                <w:szCs w:val="20"/>
              </w:rPr>
            </w:pPr>
          </w:p>
        </w:tc>
        <w:tc>
          <w:tcPr>
            <w:tcW w:w="515" w:type="pct"/>
            <w:vMerge/>
            <w:tcBorders>
              <w:bottom w:val="single" w:sz="4" w:space="0" w:color="auto"/>
            </w:tcBorders>
            <w:shd w:val="clear" w:color="auto" w:fill="auto"/>
          </w:tcPr>
          <w:p w14:paraId="4BB520E4" w14:textId="77777777" w:rsidR="00DC33F2" w:rsidRPr="00DD545E" w:rsidRDefault="00DC33F2" w:rsidP="00AD478D">
            <w:pPr>
              <w:widowControl w:val="0"/>
              <w:spacing w:before="60" w:after="40"/>
              <w:jc w:val="center"/>
              <w:rPr>
                <w:rFonts w:ascii="Arial Narrow" w:hAnsi="Arial Narrow"/>
                <w:b/>
                <w:bCs/>
                <w:sz w:val="20"/>
                <w:szCs w:val="20"/>
              </w:rPr>
            </w:pPr>
          </w:p>
        </w:tc>
        <w:tc>
          <w:tcPr>
            <w:tcW w:w="892" w:type="pct"/>
            <w:tcBorders>
              <w:bottom w:val="single" w:sz="4" w:space="0" w:color="auto"/>
            </w:tcBorders>
            <w:shd w:val="clear" w:color="auto" w:fill="auto"/>
          </w:tcPr>
          <w:p w14:paraId="7EBBABEF" w14:textId="77777777" w:rsidR="00DC33F2" w:rsidRPr="00DD545E" w:rsidRDefault="00DC33F2" w:rsidP="00AD478D">
            <w:pPr>
              <w:widowControl w:val="0"/>
              <w:spacing w:before="60" w:after="40"/>
              <w:jc w:val="center"/>
              <w:rPr>
                <w:rFonts w:ascii="Arial Narrow" w:hAnsi="Arial Narrow"/>
                <w:b/>
                <w:bCs/>
                <w:sz w:val="20"/>
                <w:szCs w:val="20"/>
              </w:rPr>
            </w:pPr>
            <w:r w:rsidRPr="00DD545E">
              <w:rPr>
                <w:rFonts w:ascii="Arial Narrow" w:hAnsi="Arial Narrow"/>
                <w:b/>
                <w:bCs/>
                <w:sz w:val="20"/>
                <w:szCs w:val="20"/>
              </w:rPr>
              <w:t>REG vs Placebo</w:t>
            </w:r>
          </w:p>
        </w:tc>
        <w:tc>
          <w:tcPr>
            <w:tcW w:w="943" w:type="pct"/>
            <w:tcBorders>
              <w:bottom w:val="single" w:sz="4" w:space="0" w:color="auto"/>
            </w:tcBorders>
            <w:shd w:val="clear" w:color="auto" w:fill="auto"/>
          </w:tcPr>
          <w:p w14:paraId="00BFD941" w14:textId="77777777" w:rsidR="00DC33F2" w:rsidRPr="00DD545E" w:rsidRDefault="00DC33F2" w:rsidP="00AD478D">
            <w:pPr>
              <w:widowControl w:val="0"/>
              <w:spacing w:before="60" w:after="40"/>
              <w:jc w:val="center"/>
              <w:rPr>
                <w:rFonts w:ascii="Arial Narrow" w:hAnsi="Arial Narrow"/>
                <w:b/>
                <w:bCs/>
                <w:sz w:val="20"/>
                <w:szCs w:val="20"/>
              </w:rPr>
            </w:pPr>
            <w:r w:rsidRPr="00DD545E">
              <w:rPr>
                <w:rFonts w:ascii="Arial Narrow" w:hAnsi="Arial Narrow"/>
                <w:b/>
                <w:bCs/>
                <w:sz w:val="20"/>
                <w:szCs w:val="20"/>
              </w:rPr>
              <w:t>T/T vs Placebo</w:t>
            </w:r>
          </w:p>
        </w:tc>
        <w:tc>
          <w:tcPr>
            <w:tcW w:w="1701" w:type="pct"/>
            <w:tcBorders>
              <w:bottom w:val="single" w:sz="4" w:space="0" w:color="auto"/>
            </w:tcBorders>
            <w:shd w:val="clear" w:color="auto" w:fill="auto"/>
          </w:tcPr>
          <w:p w14:paraId="5AFE359A" w14:textId="77777777" w:rsidR="00DC33F2" w:rsidRPr="004B2FBF" w:rsidRDefault="00DC33F2" w:rsidP="00AD478D">
            <w:pPr>
              <w:widowControl w:val="0"/>
              <w:spacing w:before="60" w:after="40"/>
              <w:jc w:val="center"/>
              <w:rPr>
                <w:rFonts w:ascii="Arial Narrow" w:hAnsi="Arial Narrow"/>
                <w:b/>
                <w:bCs/>
                <w:sz w:val="20"/>
                <w:szCs w:val="20"/>
              </w:rPr>
            </w:pPr>
            <w:r w:rsidRPr="001901B3">
              <w:rPr>
                <w:rFonts w:ascii="Arial Narrow" w:hAnsi="Arial Narrow"/>
                <w:b/>
                <w:bCs/>
                <w:sz w:val="20"/>
                <w:szCs w:val="20"/>
              </w:rPr>
              <w:t>REG vs T/T</w:t>
            </w:r>
          </w:p>
        </w:tc>
      </w:tr>
      <w:tr w:rsidR="00DC33F2" w:rsidRPr="00DD545E" w14:paraId="49DEB819" w14:textId="77777777" w:rsidTr="00AD478D">
        <w:tc>
          <w:tcPr>
            <w:tcW w:w="948" w:type="pct"/>
            <w:vMerge w:val="restart"/>
            <w:shd w:val="clear" w:color="auto" w:fill="auto"/>
          </w:tcPr>
          <w:p w14:paraId="7ADE9B73"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Any </w:t>
            </w:r>
            <w:r>
              <w:rPr>
                <w:rFonts w:ascii="Arial Narrow" w:hAnsi="Arial Narrow"/>
                <w:sz w:val="20"/>
                <w:szCs w:val="20"/>
              </w:rPr>
              <w:t>Grade</w:t>
            </w:r>
          </w:p>
        </w:tc>
        <w:tc>
          <w:tcPr>
            <w:tcW w:w="515" w:type="pct"/>
            <w:shd w:val="clear" w:color="auto" w:fill="auto"/>
          </w:tcPr>
          <w:p w14:paraId="48FE71A7"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OR</w:t>
            </w:r>
          </w:p>
        </w:tc>
        <w:tc>
          <w:tcPr>
            <w:tcW w:w="892" w:type="pct"/>
            <w:tcBorders>
              <w:top w:val="single" w:sz="4" w:space="0" w:color="auto"/>
              <w:left w:val="nil"/>
              <w:bottom w:val="single" w:sz="4" w:space="0" w:color="auto"/>
              <w:right w:val="single" w:sz="4" w:space="0" w:color="auto"/>
            </w:tcBorders>
            <w:shd w:val="clear" w:color="auto" w:fill="FFFFFF" w:themeFill="background1"/>
          </w:tcPr>
          <w:p w14:paraId="645AFCA4"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8.13 </w:t>
            </w:r>
            <w:r>
              <w:rPr>
                <w:rFonts w:ascii="Arial Narrow" w:hAnsi="Arial Narrow"/>
                <w:sz w:val="20"/>
                <w:szCs w:val="20"/>
              </w:rPr>
              <w:t>(</w:t>
            </w:r>
            <w:r w:rsidRPr="00DD545E">
              <w:rPr>
                <w:rFonts w:ascii="Arial Narrow" w:hAnsi="Arial Narrow"/>
                <w:sz w:val="20"/>
                <w:szCs w:val="20"/>
              </w:rPr>
              <w:t>1.17, 38.58</w:t>
            </w:r>
            <w:r>
              <w:rPr>
                <w:rFonts w:ascii="Arial Narrow" w:hAnsi="Arial Narrow"/>
                <w:sz w:val="20"/>
                <w:szCs w:val="20"/>
              </w:rPr>
              <w:t>)</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tcPr>
          <w:p w14:paraId="119B0BC7"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4.24 </w:t>
            </w:r>
            <w:r>
              <w:rPr>
                <w:rFonts w:ascii="Arial Narrow" w:hAnsi="Arial Narrow"/>
                <w:sz w:val="20"/>
                <w:szCs w:val="20"/>
              </w:rPr>
              <w:t>(</w:t>
            </w:r>
            <w:r w:rsidRPr="00DD545E">
              <w:rPr>
                <w:rFonts w:ascii="Arial Narrow" w:hAnsi="Arial Narrow"/>
                <w:sz w:val="20"/>
                <w:szCs w:val="20"/>
              </w:rPr>
              <w:t>1.88, 9.58</w:t>
            </w:r>
            <w:r>
              <w:rPr>
                <w:rFonts w:ascii="Arial Narrow" w:hAnsi="Arial Narrow"/>
                <w:sz w:val="20"/>
                <w:szCs w:val="20"/>
              </w:rPr>
              <w:t>)</w:t>
            </w:r>
          </w:p>
        </w:tc>
        <w:tc>
          <w:tcPr>
            <w:tcW w:w="1701" w:type="pct"/>
            <w:tcBorders>
              <w:top w:val="single" w:sz="4" w:space="0" w:color="auto"/>
              <w:left w:val="single" w:sz="4" w:space="0" w:color="auto"/>
              <w:bottom w:val="single" w:sz="4" w:space="0" w:color="auto"/>
              <w:right w:val="single" w:sz="4" w:space="0" w:color="auto"/>
            </w:tcBorders>
            <w:shd w:val="clear" w:color="auto" w:fill="FFFFFF" w:themeFill="background1"/>
          </w:tcPr>
          <w:p w14:paraId="041F8FDD" w14:textId="77777777" w:rsidR="00DC33F2" w:rsidRPr="00684AEF" w:rsidRDefault="00DC33F2" w:rsidP="00AD478D">
            <w:pPr>
              <w:widowControl w:val="0"/>
              <w:spacing w:before="60" w:after="40"/>
              <w:jc w:val="center"/>
              <w:rPr>
                <w:rFonts w:ascii="Arial Narrow" w:hAnsi="Arial Narrow"/>
                <w:sz w:val="20"/>
                <w:szCs w:val="20"/>
              </w:rPr>
            </w:pPr>
            <w:r w:rsidRPr="00684AEF">
              <w:rPr>
                <w:rFonts w:ascii="Arial Narrow" w:hAnsi="Arial Narrow"/>
                <w:sz w:val="20"/>
                <w:szCs w:val="20"/>
              </w:rPr>
              <w:t xml:space="preserve">1.92 </w:t>
            </w:r>
            <w:r>
              <w:rPr>
                <w:rFonts w:ascii="Arial Narrow" w:hAnsi="Arial Narrow"/>
                <w:sz w:val="20"/>
                <w:szCs w:val="20"/>
              </w:rPr>
              <w:t>(</w:t>
            </w:r>
            <w:r w:rsidRPr="00684AEF">
              <w:rPr>
                <w:rFonts w:ascii="Arial Narrow" w:hAnsi="Arial Narrow"/>
                <w:sz w:val="20"/>
                <w:szCs w:val="20"/>
              </w:rPr>
              <w:t>0.28, 13.19</w:t>
            </w:r>
            <w:r w:rsidR="007009ED">
              <w:rPr>
                <w:rFonts w:ascii="Arial Narrow" w:hAnsi="Arial Narrow"/>
                <w:sz w:val="20"/>
                <w:szCs w:val="20"/>
              </w:rPr>
              <w:t>)</w:t>
            </w:r>
          </w:p>
        </w:tc>
      </w:tr>
      <w:tr w:rsidR="00DC33F2" w:rsidRPr="00DD545E" w14:paraId="73E40002" w14:textId="77777777" w:rsidTr="00AD478D">
        <w:tc>
          <w:tcPr>
            <w:tcW w:w="948" w:type="pct"/>
            <w:vMerge/>
            <w:shd w:val="clear" w:color="auto" w:fill="auto"/>
          </w:tcPr>
          <w:p w14:paraId="0049745F" w14:textId="77777777" w:rsidR="00DC33F2" w:rsidRPr="00DD545E" w:rsidRDefault="00DC33F2" w:rsidP="00AD478D">
            <w:pPr>
              <w:widowControl w:val="0"/>
              <w:spacing w:before="60" w:after="40"/>
              <w:jc w:val="center"/>
              <w:rPr>
                <w:rFonts w:ascii="Arial Narrow" w:hAnsi="Arial Narrow"/>
                <w:sz w:val="20"/>
                <w:szCs w:val="20"/>
              </w:rPr>
            </w:pPr>
          </w:p>
        </w:tc>
        <w:tc>
          <w:tcPr>
            <w:tcW w:w="515" w:type="pct"/>
            <w:shd w:val="clear" w:color="auto" w:fill="auto"/>
          </w:tcPr>
          <w:p w14:paraId="1D021976"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RR</w:t>
            </w:r>
          </w:p>
        </w:tc>
        <w:tc>
          <w:tcPr>
            <w:tcW w:w="892" w:type="pct"/>
            <w:tcBorders>
              <w:top w:val="single" w:sz="4" w:space="0" w:color="auto"/>
              <w:left w:val="nil"/>
              <w:bottom w:val="single" w:sz="4" w:space="0" w:color="auto"/>
              <w:right w:val="single" w:sz="4" w:space="0" w:color="auto"/>
            </w:tcBorders>
            <w:shd w:val="clear" w:color="auto" w:fill="FFFFFF" w:themeFill="background1"/>
          </w:tcPr>
          <w:p w14:paraId="74977924"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1.03 </w:t>
            </w:r>
            <w:r>
              <w:rPr>
                <w:rFonts w:ascii="Arial Narrow" w:hAnsi="Arial Narrow"/>
                <w:sz w:val="20"/>
                <w:szCs w:val="20"/>
              </w:rPr>
              <w:t>(</w:t>
            </w:r>
            <w:r w:rsidRPr="00DD545E">
              <w:rPr>
                <w:rFonts w:ascii="Arial Narrow" w:hAnsi="Arial Narrow"/>
                <w:sz w:val="20"/>
                <w:szCs w:val="20"/>
              </w:rPr>
              <w:t>1.01, 1.05</w:t>
            </w:r>
            <w:r>
              <w:rPr>
                <w:rFonts w:ascii="Arial Narrow" w:hAnsi="Arial Narrow"/>
                <w:sz w:val="20"/>
                <w:szCs w:val="20"/>
              </w:rPr>
              <w:t>)</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tcPr>
          <w:p w14:paraId="720F47EC"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1.05 </w:t>
            </w:r>
            <w:r>
              <w:rPr>
                <w:rFonts w:ascii="Arial Narrow" w:hAnsi="Arial Narrow"/>
                <w:sz w:val="20"/>
                <w:szCs w:val="20"/>
              </w:rPr>
              <w:t>(</w:t>
            </w:r>
            <w:r w:rsidRPr="00DD545E">
              <w:rPr>
                <w:rFonts w:ascii="Arial Narrow" w:hAnsi="Arial Narrow"/>
                <w:sz w:val="20"/>
                <w:szCs w:val="20"/>
              </w:rPr>
              <w:t>1.02, 1.09</w:t>
            </w:r>
            <w:r>
              <w:rPr>
                <w:rFonts w:ascii="Arial Narrow" w:hAnsi="Arial Narrow"/>
                <w:sz w:val="20"/>
                <w:szCs w:val="20"/>
              </w:rPr>
              <w:t>)</w:t>
            </w:r>
          </w:p>
        </w:tc>
        <w:tc>
          <w:tcPr>
            <w:tcW w:w="170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70DAA" w14:textId="77777777" w:rsidR="00DC33F2" w:rsidRPr="00684AEF" w:rsidRDefault="00DC33F2" w:rsidP="00AD478D">
            <w:pPr>
              <w:widowControl w:val="0"/>
              <w:spacing w:before="60" w:after="40"/>
              <w:jc w:val="center"/>
              <w:rPr>
                <w:rFonts w:ascii="Arial Narrow" w:hAnsi="Arial Narrow"/>
                <w:sz w:val="20"/>
                <w:szCs w:val="20"/>
              </w:rPr>
            </w:pPr>
            <w:r w:rsidRPr="00684AEF">
              <w:rPr>
                <w:rFonts w:ascii="Arial Narrow" w:hAnsi="Arial Narrow"/>
                <w:sz w:val="20"/>
                <w:szCs w:val="20"/>
              </w:rPr>
              <w:t xml:space="preserve">0.98 </w:t>
            </w:r>
            <w:r>
              <w:rPr>
                <w:rFonts w:ascii="Arial Narrow" w:hAnsi="Arial Narrow"/>
                <w:sz w:val="20"/>
                <w:szCs w:val="20"/>
              </w:rPr>
              <w:t>(</w:t>
            </w:r>
            <w:r w:rsidRPr="00684AEF">
              <w:rPr>
                <w:rFonts w:ascii="Arial Narrow" w:hAnsi="Arial Narrow"/>
                <w:sz w:val="20"/>
                <w:szCs w:val="20"/>
              </w:rPr>
              <w:t>0.94, 1.02</w:t>
            </w:r>
            <w:r>
              <w:rPr>
                <w:rFonts w:ascii="Arial Narrow" w:hAnsi="Arial Narrow"/>
                <w:sz w:val="20"/>
                <w:szCs w:val="20"/>
              </w:rPr>
              <w:t>)</w:t>
            </w:r>
          </w:p>
        </w:tc>
      </w:tr>
      <w:tr w:rsidR="00DC33F2" w:rsidRPr="00DD545E" w14:paraId="067527FB" w14:textId="77777777" w:rsidTr="00AD478D">
        <w:tc>
          <w:tcPr>
            <w:tcW w:w="948" w:type="pct"/>
            <w:vMerge/>
            <w:shd w:val="clear" w:color="auto" w:fill="auto"/>
          </w:tcPr>
          <w:p w14:paraId="0CE130FC" w14:textId="77777777" w:rsidR="00DC33F2" w:rsidRPr="00DD545E" w:rsidRDefault="00DC33F2" w:rsidP="00AD478D">
            <w:pPr>
              <w:widowControl w:val="0"/>
              <w:spacing w:before="60" w:after="40"/>
              <w:jc w:val="center"/>
              <w:rPr>
                <w:rFonts w:ascii="Arial Narrow" w:hAnsi="Arial Narrow"/>
                <w:sz w:val="20"/>
                <w:szCs w:val="20"/>
              </w:rPr>
            </w:pPr>
          </w:p>
        </w:tc>
        <w:tc>
          <w:tcPr>
            <w:tcW w:w="515" w:type="pct"/>
            <w:shd w:val="clear" w:color="auto" w:fill="auto"/>
          </w:tcPr>
          <w:p w14:paraId="3620E886"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RD</w:t>
            </w:r>
          </w:p>
        </w:tc>
        <w:tc>
          <w:tcPr>
            <w:tcW w:w="892" w:type="pct"/>
            <w:tcBorders>
              <w:top w:val="single" w:sz="4" w:space="0" w:color="auto"/>
              <w:left w:val="nil"/>
              <w:bottom w:val="single" w:sz="4" w:space="0" w:color="auto"/>
              <w:right w:val="single" w:sz="4" w:space="0" w:color="auto"/>
            </w:tcBorders>
            <w:shd w:val="clear" w:color="auto" w:fill="FFFFFF" w:themeFill="background1"/>
          </w:tcPr>
          <w:p w14:paraId="27852044"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0.03 </w:t>
            </w:r>
            <w:r>
              <w:rPr>
                <w:rFonts w:ascii="Arial Narrow" w:hAnsi="Arial Narrow"/>
                <w:sz w:val="20"/>
                <w:szCs w:val="20"/>
              </w:rPr>
              <w:t>(</w:t>
            </w:r>
            <w:r w:rsidRPr="00DD545E">
              <w:rPr>
                <w:rFonts w:ascii="Arial Narrow" w:hAnsi="Arial Narrow"/>
                <w:sz w:val="20"/>
                <w:szCs w:val="20"/>
              </w:rPr>
              <w:t>0.01, 0.04</w:t>
            </w:r>
            <w:r>
              <w:rPr>
                <w:rFonts w:ascii="Arial Narrow" w:hAnsi="Arial Narrow"/>
                <w:sz w:val="20"/>
                <w:szCs w:val="20"/>
              </w:rPr>
              <w:t>)</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tcPr>
          <w:p w14:paraId="3933A466"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0.05 </w:t>
            </w:r>
            <w:r>
              <w:rPr>
                <w:rFonts w:ascii="Arial Narrow" w:hAnsi="Arial Narrow"/>
                <w:sz w:val="20"/>
                <w:szCs w:val="20"/>
              </w:rPr>
              <w:t>(</w:t>
            </w:r>
            <w:r w:rsidRPr="00DD545E">
              <w:rPr>
                <w:rFonts w:ascii="Arial Narrow" w:hAnsi="Arial Narrow"/>
                <w:sz w:val="20"/>
                <w:szCs w:val="20"/>
              </w:rPr>
              <w:t>0.02, 0.08</w:t>
            </w:r>
            <w:r>
              <w:rPr>
                <w:rFonts w:ascii="Arial Narrow" w:hAnsi="Arial Narrow"/>
                <w:sz w:val="20"/>
                <w:szCs w:val="20"/>
              </w:rPr>
              <w:t>)</w:t>
            </w:r>
          </w:p>
        </w:tc>
        <w:tc>
          <w:tcPr>
            <w:tcW w:w="1701" w:type="pct"/>
            <w:tcBorders>
              <w:top w:val="single" w:sz="4" w:space="0" w:color="auto"/>
              <w:left w:val="single" w:sz="4" w:space="0" w:color="auto"/>
              <w:bottom w:val="single" w:sz="4" w:space="0" w:color="auto"/>
              <w:right w:val="single" w:sz="4" w:space="0" w:color="auto"/>
            </w:tcBorders>
            <w:shd w:val="clear" w:color="auto" w:fill="FFFFFF" w:themeFill="background1"/>
          </w:tcPr>
          <w:p w14:paraId="0D36B2C7" w14:textId="77777777" w:rsidR="00DC33F2" w:rsidRPr="00684AEF" w:rsidRDefault="00DC33F2" w:rsidP="00AD478D">
            <w:pPr>
              <w:widowControl w:val="0"/>
              <w:spacing w:before="60" w:after="40"/>
              <w:jc w:val="center"/>
              <w:rPr>
                <w:rFonts w:ascii="Arial Narrow" w:hAnsi="Arial Narrow"/>
                <w:sz w:val="20"/>
                <w:szCs w:val="20"/>
              </w:rPr>
            </w:pPr>
            <w:r w:rsidRPr="00684AEF">
              <w:rPr>
                <w:rFonts w:ascii="Arial Narrow" w:hAnsi="Arial Narrow"/>
                <w:sz w:val="20"/>
                <w:szCs w:val="20"/>
              </w:rPr>
              <w:t xml:space="preserve">-0.02 </w:t>
            </w:r>
            <w:r>
              <w:rPr>
                <w:rFonts w:ascii="Arial Narrow" w:hAnsi="Arial Narrow"/>
                <w:sz w:val="20"/>
                <w:szCs w:val="20"/>
              </w:rPr>
              <w:t>(</w:t>
            </w:r>
            <w:r w:rsidRPr="00684AEF">
              <w:rPr>
                <w:rFonts w:ascii="Arial Narrow" w:hAnsi="Arial Narrow"/>
                <w:sz w:val="20"/>
                <w:szCs w:val="20"/>
              </w:rPr>
              <w:t>-0.05, 0.01</w:t>
            </w:r>
            <w:r w:rsidR="007009ED">
              <w:rPr>
                <w:rFonts w:ascii="Arial Narrow" w:hAnsi="Arial Narrow"/>
                <w:sz w:val="20"/>
                <w:szCs w:val="20"/>
              </w:rPr>
              <w:t>)</w:t>
            </w:r>
          </w:p>
        </w:tc>
      </w:tr>
      <w:tr w:rsidR="00DC33F2" w:rsidRPr="00DD545E" w14:paraId="7C6CA3A3" w14:textId="77777777" w:rsidTr="00AD478D">
        <w:tc>
          <w:tcPr>
            <w:tcW w:w="948" w:type="pct"/>
            <w:vMerge w:val="restart"/>
            <w:tcBorders>
              <w:top w:val="single" w:sz="4" w:space="0" w:color="auto"/>
              <w:left w:val="single" w:sz="4" w:space="0" w:color="auto"/>
              <w:bottom w:val="single" w:sz="4" w:space="0" w:color="auto"/>
              <w:right w:val="single" w:sz="4" w:space="0" w:color="auto"/>
            </w:tcBorders>
            <w:shd w:val="clear" w:color="auto" w:fill="auto"/>
          </w:tcPr>
          <w:p w14:paraId="578B77B0"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Max </w:t>
            </w:r>
            <w:r>
              <w:rPr>
                <w:rFonts w:ascii="Arial Narrow" w:hAnsi="Arial Narrow"/>
                <w:sz w:val="20"/>
                <w:szCs w:val="20"/>
              </w:rPr>
              <w:t>Grade</w:t>
            </w:r>
            <w:r w:rsidRPr="00DD545E">
              <w:rPr>
                <w:rFonts w:ascii="Arial Narrow" w:hAnsi="Arial Narrow"/>
                <w:sz w:val="20"/>
                <w:szCs w:val="20"/>
              </w:rPr>
              <w:t xml:space="preserve"> 1 or 2</w:t>
            </w:r>
          </w:p>
          <w:p w14:paraId="1C7B7AEC" w14:textId="77777777" w:rsidR="00DC33F2" w:rsidRPr="00DD545E" w:rsidRDefault="00DC33F2" w:rsidP="00AD478D">
            <w:pPr>
              <w:widowControl w:val="0"/>
              <w:spacing w:before="60" w:after="40"/>
              <w:jc w:val="center"/>
              <w:rPr>
                <w:rFonts w:ascii="Arial Narrow" w:hAnsi="Arial Narrow"/>
                <w:sz w:val="20"/>
                <w:szCs w:val="20"/>
              </w:rPr>
            </w:pPr>
          </w:p>
        </w:tc>
        <w:tc>
          <w:tcPr>
            <w:tcW w:w="515" w:type="pct"/>
            <w:shd w:val="clear" w:color="auto" w:fill="auto"/>
          </w:tcPr>
          <w:p w14:paraId="48277D5C"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OR</w:t>
            </w:r>
          </w:p>
        </w:tc>
        <w:tc>
          <w:tcPr>
            <w:tcW w:w="892" w:type="pct"/>
            <w:tcBorders>
              <w:top w:val="single" w:sz="4" w:space="0" w:color="auto"/>
              <w:left w:val="nil"/>
              <w:bottom w:val="single" w:sz="4" w:space="0" w:color="auto"/>
              <w:right w:val="single" w:sz="4" w:space="0" w:color="auto"/>
            </w:tcBorders>
            <w:shd w:val="clear" w:color="auto" w:fill="auto"/>
          </w:tcPr>
          <w:p w14:paraId="2E011328"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0.30 </w:t>
            </w:r>
            <w:r>
              <w:rPr>
                <w:rFonts w:ascii="Arial Narrow" w:hAnsi="Arial Narrow"/>
                <w:sz w:val="20"/>
                <w:szCs w:val="20"/>
              </w:rPr>
              <w:t>(</w:t>
            </w:r>
            <w:r w:rsidRPr="00DD545E">
              <w:rPr>
                <w:rFonts w:ascii="Arial Narrow" w:hAnsi="Arial Narrow"/>
                <w:sz w:val="20"/>
                <w:szCs w:val="20"/>
              </w:rPr>
              <w:t>0.22, 0.42</w:t>
            </w:r>
            <w:r>
              <w:rPr>
                <w:rFonts w:ascii="Arial Narrow" w:hAnsi="Arial Narrow"/>
                <w:sz w:val="20"/>
                <w:szCs w:val="20"/>
              </w:rPr>
              <w:t>)</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7A48AC1C"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0.57 </w:t>
            </w:r>
            <w:r>
              <w:rPr>
                <w:rFonts w:ascii="Arial Narrow" w:hAnsi="Arial Narrow"/>
                <w:sz w:val="20"/>
                <w:szCs w:val="20"/>
              </w:rPr>
              <w:t>(</w:t>
            </w:r>
            <w:r w:rsidRPr="00DD545E">
              <w:rPr>
                <w:rFonts w:ascii="Arial Narrow" w:hAnsi="Arial Narrow"/>
                <w:sz w:val="20"/>
                <w:szCs w:val="20"/>
              </w:rPr>
              <w:t>0.42, 0.78</w:t>
            </w:r>
            <w:r>
              <w:rPr>
                <w:rFonts w:ascii="Arial Narrow" w:hAnsi="Arial Narrow"/>
                <w:sz w:val="20"/>
                <w:szCs w:val="20"/>
              </w:rPr>
              <w:t>)</w:t>
            </w:r>
          </w:p>
        </w:tc>
        <w:tc>
          <w:tcPr>
            <w:tcW w:w="1701" w:type="pct"/>
            <w:tcBorders>
              <w:top w:val="single" w:sz="4" w:space="0" w:color="auto"/>
              <w:left w:val="nil"/>
              <w:bottom w:val="single" w:sz="4" w:space="0" w:color="auto"/>
              <w:right w:val="single" w:sz="4" w:space="0" w:color="auto"/>
            </w:tcBorders>
            <w:shd w:val="clear" w:color="auto" w:fill="auto"/>
          </w:tcPr>
          <w:p w14:paraId="50FFB26B" w14:textId="77777777" w:rsidR="00DC33F2" w:rsidRPr="00684AEF" w:rsidRDefault="00DC33F2" w:rsidP="00AD478D">
            <w:pPr>
              <w:widowControl w:val="0"/>
              <w:spacing w:before="60" w:after="40"/>
              <w:jc w:val="center"/>
              <w:rPr>
                <w:rFonts w:ascii="Arial Narrow" w:hAnsi="Arial Narrow"/>
                <w:b/>
                <w:bCs/>
                <w:sz w:val="20"/>
                <w:szCs w:val="20"/>
              </w:rPr>
            </w:pPr>
            <w:r w:rsidRPr="00684AEF">
              <w:rPr>
                <w:rFonts w:ascii="Arial Narrow" w:hAnsi="Arial Narrow"/>
                <w:b/>
                <w:bCs/>
                <w:sz w:val="20"/>
                <w:szCs w:val="20"/>
              </w:rPr>
              <w:t xml:space="preserve">0.53 </w:t>
            </w:r>
            <w:r>
              <w:rPr>
                <w:rFonts w:ascii="Arial Narrow" w:hAnsi="Arial Narrow"/>
                <w:b/>
                <w:bCs/>
                <w:sz w:val="20"/>
                <w:szCs w:val="20"/>
              </w:rPr>
              <w:t>(</w:t>
            </w:r>
            <w:r w:rsidRPr="00684AEF">
              <w:rPr>
                <w:rFonts w:ascii="Arial Narrow" w:hAnsi="Arial Narrow"/>
                <w:b/>
                <w:bCs/>
                <w:sz w:val="20"/>
                <w:szCs w:val="20"/>
              </w:rPr>
              <w:t>0.34, 0.82</w:t>
            </w:r>
            <w:r>
              <w:rPr>
                <w:rFonts w:ascii="Arial Narrow" w:hAnsi="Arial Narrow"/>
                <w:b/>
                <w:bCs/>
                <w:sz w:val="20"/>
                <w:szCs w:val="20"/>
              </w:rPr>
              <w:t>)</w:t>
            </w:r>
            <w:r w:rsidRPr="00684AEF">
              <w:rPr>
                <w:rFonts w:ascii="Arial Narrow" w:hAnsi="Arial Narrow"/>
                <w:b/>
                <w:bCs/>
                <w:sz w:val="20"/>
                <w:szCs w:val="20"/>
              </w:rPr>
              <w:t xml:space="preserve"> </w:t>
            </w:r>
          </w:p>
        </w:tc>
      </w:tr>
      <w:tr w:rsidR="00DC33F2" w:rsidRPr="00DD545E" w14:paraId="4968A57C" w14:textId="77777777" w:rsidTr="00AD478D">
        <w:tc>
          <w:tcPr>
            <w:tcW w:w="948" w:type="pct"/>
            <w:vMerge/>
            <w:tcBorders>
              <w:top w:val="nil"/>
              <w:left w:val="single" w:sz="4" w:space="0" w:color="auto"/>
              <w:bottom w:val="single" w:sz="4" w:space="0" w:color="auto"/>
              <w:right w:val="single" w:sz="4" w:space="0" w:color="auto"/>
            </w:tcBorders>
            <w:shd w:val="clear" w:color="auto" w:fill="auto"/>
          </w:tcPr>
          <w:p w14:paraId="6ECE8C36" w14:textId="77777777" w:rsidR="00DC33F2" w:rsidRPr="00DD545E" w:rsidRDefault="00DC33F2" w:rsidP="00AD478D">
            <w:pPr>
              <w:widowControl w:val="0"/>
              <w:spacing w:before="60" w:after="40"/>
              <w:jc w:val="center"/>
              <w:rPr>
                <w:rFonts w:ascii="Arial Narrow" w:hAnsi="Arial Narrow"/>
                <w:sz w:val="20"/>
                <w:szCs w:val="20"/>
              </w:rPr>
            </w:pPr>
          </w:p>
        </w:tc>
        <w:tc>
          <w:tcPr>
            <w:tcW w:w="515" w:type="pct"/>
            <w:shd w:val="clear" w:color="auto" w:fill="auto"/>
          </w:tcPr>
          <w:p w14:paraId="04E5F852"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RR</w:t>
            </w:r>
          </w:p>
        </w:tc>
        <w:tc>
          <w:tcPr>
            <w:tcW w:w="892" w:type="pct"/>
            <w:tcBorders>
              <w:top w:val="single" w:sz="4" w:space="0" w:color="auto"/>
              <w:left w:val="nil"/>
              <w:bottom w:val="single" w:sz="4" w:space="0" w:color="auto"/>
              <w:right w:val="single" w:sz="4" w:space="0" w:color="auto"/>
            </w:tcBorders>
            <w:shd w:val="clear" w:color="auto" w:fill="auto"/>
          </w:tcPr>
          <w:p w14:paraId="05740948"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0.45 </w:t>
            </w:r>
            <w:r>
              <w:rPr>
                <w:rFonts w:ascii="Arial Narrow" w:hAnsi="Arial Narrow"/>
                <w:sz w:val="20"/>
                <w:szCs w:val="20"/>
              </w:rPr>
              <w:t>(</w:t>
            </w:r>
            <w:r w:rsidRPr="00DD545E">
              <w:rPr>
                <w:rFonts w:ascii="Arial Narrow" w:hAnsi="Arial Narrow"/>
                <w:sz w:val="20"/>
                <w:szCs w:val="20"/>
              </w:rPr>
              <w:t>0.37, 0.56</w:t>
            </w:r>
            <w:r>
              <w:rPr>
                <w:rFonts w:ascii="Arial Narrow" w:hAnsi="Arial Narrow"/>
                <w:sz w:val="20"/>
                <w:szCs w:val="20"/>
              </w:rPr>
              <w:t>)</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4F94B811"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0.70 </w:t>
            </w:r>
            <w:r>
              <w:rPr>
                <w:rFonts w:ascii="Arial Narrow" w:hAnsi="Arial Narrow"/>
                <w:sz w:val="20"/>
                <w:szCs w:val="20"/>
              </w:rPr>
              <w:t>(</w:t>
            </w:r>
            <w:r w:rsidRPr="00DD545E">
              <w:rPr>
                <w:rFonts w:ascii="Arial Narrow" w:hAnsi="Arial Narrow"/>
                <w:sz w:val="20"/>
                <w:szCs w:val="20"/>
              </w:rPr>
              <w:t>0.57, 0.85</w:t>
            </w:r>
            <w:r>
              <w:rPr>
                <w:rFonts w:ascii="Arial Narrow" w:hAnsi="Arial Narrow"/>
                <w:sz w:val="20"/>
                <w:szCs w:val="20"/>
              </w:rPr>
              <w:t>)</w:t>
            </w:r>
          </w:p>
        </w:tc>
        <w:tc>
          <w:tcPr>
            <w:tcW w:w="1701" w:type="pct"/>
            <w:tcBorders>
              <w:top w:val="single" w:sz="4" w:space="0" w:color="auto"/>
              <w:left w:val="nil"/>
              <w:bottom w:val="single" w:sz="4" w:space="0" w:color="auto"/>
              <w:right w:val="single" w:sz="4" w:space="0" w:color="auto"/>
            </w:tcBorders>
            <w:shd w:val="clear" w:color="auto" w:fill="auto"/>
          </w:tcPr>
          <w:p w14:paraId="176644C3" w14:textId="77777777" w:rsidR="00DC33F2" w:rsidRPr="00684AEF" w:rsidRDefault="00DC33F2" w:rsidP="00AD478D">
            <w:pPr>
              <w:widowControl w:val="0"/>
              <w:spacing w:before="60" w:after="40"/>
              <w:jc w:val="center"/>
              <w:rPr>
                <w:rFonts w:ascii="Arial Narrow" w:hAnsi="Arial Narrow"/>
                <w:b/>
                <w:bCs/>
                <w:sz w:val="20"/>
                <w:szCs w:val="20"/>
              </w:rPr>
            </w:pPr>
            <w:r w:rsidRPr="00684AEF">
              <w:rPr>
                <w:rFonts w:ascii="Arial Narrow" w:hAnsi="Arial Narrow"/>
                <w:b/>
                <w:bCs/>
                <w:sz w:val="20"/>
                <w:szCs w:val="20"/>
              </w:rPr>
              <w:t xml:space="preserve">0.64 </w:t>
            </w:r>
            <w:r>
              <w:rPr>
                <w:rFonts w:ascii="Arial Narrow" w:hAnsi="Arial Narrow"/>
                <w:b/>
                <w:bCs/>
                <w:sz w:val="20"/>
                <w:szCs w:val="20"/>
              </w:rPr>
              <w:t>(</w:t>
            </w:r>
            <w:r w:rsidRPr="00684AEF">
              <w:rPr>
                <w:rFonts w:ascii="Arial Narrow" w:hAnsi="Arial Narrow"/>
                <w:b/>
                <w:bCs/>
                <w:sz w:val="20"/>
                <w:szCs w:val="20"/>
              </w:rPr>
              <w:t>0.48, 0.86</w:t>
            </w:r>
            <w:r>
              <w:rPr>
                <w:rFonts w:ascii="Arial Narrow" w:hAnsi="Arial Narrow"/>
                <w:b/>
                <w:bCs/>
                <w:sz w:val="20"/>
                <w:szCs w:val="20"/>
              </w:rPr>
              <w:t>)</w:t>
            </w:r>
            <w:r w:rsidRPr="00684AEF">
              <w:rPr>
                <w:rFonts w:ascii="Arial Narrow" w:hAnsi="Arial Narrow"/>
                <w:b/>
                <w:bCs/>
                <w:sz w:val="20"/>
                <w:szCs w:val="20"/>
              </w:rPr>
              <w:t xml:space="preserve"> </w:t>
            </w:r>
          </w:p>
        </w:tc>
      </w:tr>
      <w:tr w:rsidR="00DC33F2" w:rsidRPr="00DD545E" w14:paraId="5BF94AD0" w14:textId="77777777" w:rsidTr="00AD478D">
        <w:tc>
          <w:tcPr>
            <w:tcW w:w="948" w:type="pct"/>
            <w:vMerge/>
            <w:tcBorders>
              <w:top w:val="nil"/>
              <w:left w:val="single" w:sz="4" w:space="0" w:color="auto"/>
              <w:bottom w:val="single" w:sz="4" w:space="0" w:color="auto"/>
              <w:right w:val="single" w:sz="4" w:space="0" w:color="auto"/>
            </w:tcBorders>
            <w:shd w:val="clear" w:color="auto" w:fill="auto"/>
          </w:tcPr>
          <w:p w14:paraId="4EA16C2C" w14:textId="77777777" w:rsidR="00DC33F2" w:rsidRPr="00DD545E" w:rsidRDefault="00DC33F2" w:rsidP="00AD478D">
            <w:pPr>
              <w:widowControl w:val="0"/>
              <w:spacing w:before="60" w:after="40"/>
              <w:jc w:val="center"/>
              <w:rPr>
                <w:rFonts w:ascii="Arial Narrow" w:hAnsi="Arial Narrow"/>
                <w:sz w:val="20"/>
                <w:szCs w:val="20"/>
              </w:rPr>
            </w:pPr>
          </w:p>
        </w:tc>
        <w:tc>
          <w:tcPr>
            <w:tcW w:w="515" w:type="pct"/>
            <w:shd w:val="clear" w:color="auto" w:fill="auto"/>
          </w:tcPr>
          <w:p w14:paraId="21BFC3EE"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RD</w:t>
            </w:r>
          </w:p>
        </w:tc>
        <w:tc>
          <w:tcPr>
            <w:tcW w:w="892" w:type="pct"/>
            <w:tcBorders>
              <w:top w:val="single" w:sz="4" w:space="0" w:color="auto"/>
              <w:left w:val="nil"/>
              <w:bottom w:val="single" w:sz="4" w:space="0" w:color="auto"/>
              <w:right w:val="single" w:sz="4" w:space="0" w:color="auto"/>
            </w:tcBorders>
            <w:shd w:val="clear" w:color="auto" w:fill="auto"/>
          </w:tcPr>
          <w:p w14:paraId="54CC432C"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-0.26 </w:t>
            </w:r>
            <w:r>
              <w:rPr>
                <w:rFonts w:ascii="Arial Narrow" w:hAnsi="Arial Narrow"/>
                <w:sz w:val="20"/>
                <w:szCs w:val="20"/>
              </w:rPr>
              <w:t>(</w:t>
            </w:r>
            <w:r w:rsidRPr="00DD545E">
              <w:rPr>
                <w:rFonts w:ascii="Arial Narrow" w:hAnsi="Arial Narrow"/>
                <w:sz w:val="20"/>
                <w:szCs w:val="20"/>
              </w:rPr>
              <w:t>-0.33, -0.19</w:t>
            </w:r>
            <w:r>
              <w:rPr>
                <w:rFonts w:ascii="Arial Narrow" w:hAnsi="Arial Narrow"/>
                <w:sz w:val="20"/>
                <w:szCs w:val="20"/>
              </w:rPr>
              <w:t>)</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3B39D44A"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-0.13 </w:t>
            </w:r>
            <w:r>
              <w:rPr>
                <w:rFonts w:ascii="Arial Narrow" w:hAnsi="Arial Narrow"/>
                <w:sz w:val="20"/>
                <w:szCs w:val="20"/>
              </w:rPr>
              <w:t>(</w:t>
            </w:r>
            <w:r w:rsidRPr="00DD545E">
              <w:rPr>
                <w:rFonts w:ascii="Arial Narrow" w:hAnsi="Arial Narrow"/>
                <w:sz w:val="20"/>
                <w:szCs w:val="20"/>
              </w:rPr>
              <w:t>-0.20, -0.06</w:t>
            </w:r>
            <w:r>
              <w:rPr>
                <w:rFonts w:ascii="Arial Narrow" w:hAnsi="Arial Narrow"/>
                <w:sz w:val="20"/>
                <w:szCs w:val="20"/>
              </w:rPr>
              <w:t>)</w:t>
            </w:r>
          </w:p>
        </w:tc>
        <w:tc>
          <w:tcPr>
            <w:tcW w:w="1701" w:type="pct"/>
            <w:tcBorders>
              <w:top w:val="single" w:sz="4" w:space="0" w:color="auto"/>
              <w:left w:val="nil"/>
              <w:bottom w:val="single" w:sz="4" w:space="0" w:color="auto"/>
              <w:right w:val="single" w:sz="4" w:space="0" w:color="auto"/>
            </w:tcBorders>
            <w:shd w:val="clear" w:color="auto" w:fill="auto"/>
          </w:tcPr>
          <w:p w14:paraId="3491E48A" w14:textId="77777777" w:rsidR="00DC33F2" w:rsidRPr="00684AEF" w:rsidRDefault="00DC33F2" w:rsidP="00AD478D">
            <w:pPr>
              <w:widowControl w:val="0"/>
              <w:spacing w:before="60" w:after="40"/>
              <w:jc w:val="center"/>
              <w:rPr>
                <w:rFonts w:ascii="Arial Narrow" w:hAnsi="Arial Narrow"/>
                <w:b/>
                <w:bCs/>
                <w:sz w:val="20"/>
                <w:szCs w:val="20"/>
              </w:rPr>
            </w:pPr>
            <w:r w:rsidRPr="00684AEF">
              <w:rPr>
                <w:rFonts w:ascii="Arial Narrow" w:hAnsi="Arial Narrow"/>
                <w:b/>
                <w:bCs/>
                <w:sz w:val="20"/>
                <w:szCs w:val="20"/>
              </w:rPr>
              <w:t xml:space="preserve">-0.13 </w:t>
            </w:r>
            <w:r>
              <w:rPr>
                <w:rFonts w:ascii="Arial Narrow" w:hAnsi="Arial Narrow"/>
                <w:b/>
                <w:bCs/>
                <w:sz w:val="20"/>
                <w:szCs w:val="20"/>
              </w:rPr>
              <w:t>(</w:t>
            </w:r>
            <w:r w:rsidRPr="00684AEF">
              <w:rPr>
                <w:rFonts w:ascii="Arial Narrow" w:hAnsi="Arial Narrow"/>
                <w:b/>
                <w:bCs/>
                <w:sz w:val="20"/>
                <w:szCs w:val="20"/>
              </w:rPr>
              <w:t>-0.23, -0.03</w:t>
            </w:r>
            <w:r>
              <w:rPr>
                <w:rFonts w:ascii="Arial Narrow" w:hAnsi="Arial Narrow"/>
                <w:b/>
                <w:bCs/>
                <w:sz w:val="20"/>
                <w:szCs w:val="20"/>
              </w:rPr>
              <w:t>)</w:t>
            </w:r>
            <w:r w:rsidRPr="00684AEF">
              <w:rPr>
                <w:rFonts w:ascii="Arial Narrow" w:hAnsi="Arial Narrow"/>
                <w:b/>
                <w:bCs/>
                <w:sz w:val="20"/>
                <w:szCs w:val="20"/>
              </w:rPr>
              <w:t xml:space="preserve"> </w:t>
            </w:r>
          </w:p>
        </w:tc>
      </w:tr>
      <w:tr w:rsidR="00DC33F2" w:rsidRPr="00DD545E" w14:paraId="4AFDBA07" w14:textId="77777777" w:rsidTr="00AD478D">
        <w:tc>
          <w:tcPr>
            <w:tcW w:w="948" w:type="pct"/>
            <w:vMerge w:val="restart"/>
            <w:tcBorders>
              <w:top w:val="nil"/>
              <w:left w:val="single" w:sz="4" w:space="0" w:color="auto"/>
              <w:bottom w:val="single" w:sz="4" w:space="0" w:color="auto"/>
              <w:right w:val="single" w:sz="4" w:space="0" w:color="auto"/>
            </w:tcBorders>
            <w:shd w:val="clear" w:color="auto" w:fill="auto"/>
          </w:tcPr>
          <w:p w14:paraId="05B7EEC0"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Max </w:t>
            </w:r>
            <w:r>
              <w:rPr>
                <w:rFonts w:ascii="Arial Narrow" w:hAnsi="Arial Narrow"/>
                <w:sz w:val="20"/>
                <w:szCs w:val="20"/>
              </w:rPr>
              <w:t>Grade</w:t>
            </w:r>
            <w:r w:rsidRPr="00DD545E">
              <w:rPr>
                <w:rFonts w:ascii="Arial Narrow" w:hAnsi="Arial Narrow"/>
                <w:sz w:val="20"/>
                <w:szCs w:val="20"/>
              </w:rPr>
              <w:t xml:space="preserve"> 3</w:t>
            </w:r>
          </w:p>
        </w:tc>
        <w:tc>
          <w:tcPr>
            <w:tcW w:w="515" w:type="pct"/>
            <w:shd w:val="clear" w:color="auto" w:fill="auto"/>
          </w:tcPr>
          <w:p w14:paraId="7C4EDF6A"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OR</w:t>
            </w:r>
          </w:p>
        </w:tc>
        <w:tc>
          <w:tcPr>
            <w:tcW w:w="892" w:type="pct"/>
            <w:tcBorders>
              <w:top w:val="single" w:sz="4" w:space="0" w:color="auto"/>
              <w:left w:val="nil"/>
              <w:bottom w:val="single" w:sz="4" w:space="0" w:color="auto"/>
              <w:right w:val="single" w:sz="4" w:space="0" w:color="auto"/>
            </w:tcBorders>
            <w:shd w:val="clear" w:color="auto" w:fill="auto"/>
          </w:tcPr>
          <w:p w14:paraId="78DDD107"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3.53 </w:t>
            </w:r>
            <w:r>
              <w:rPr>
                <w:rFonts w:ascii="Arial Narrow" w:hAnsi="Arial Narrow"/>
                <w:sz w:val="20"/>
                <w:szCs w:val="20"/>
              </w:rPr>
              <w:t>(</w:t>
            </w:r>
            <w:r w:rsidRPr="00DD545E">
              <w:rPr>
                <w:rFonts w:ascii="Arial Narrow" w:hAnsi="Arial Narrow"/>
                <w:sz w:val="20"/>
                <w:szCs w:val="20"/>
              </w:rPr>
              <w:t>2.54, 4.92</w:t>
            </w:r>
            <w:r>
              <w:rPr>
                <w:rFonts w:ascii="Arial Narrow" w:hAnsi="Arial Narrow"/>
                <w:sz w:val="20"/>
                <w:szCs w:val="20"/>
              </w:rPr>
              <w:t>)</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70A8EC8E"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1.88 </w:t>
            </w:r>
            <w:r>
              <w:rPr>
                <w:rFonts w:ascii="Arial Narrow" w:hAnsi="Arial Narrow"/>
                <w:sz w:val="20"/>
                <w:szCs w:val="20"/>
              </w:rPr>
              <w:t>(</w:t>
            </w:r>
            <w:r w:rsidRPr="00DD545E">
              <w:rPr>
                <w:rFonts w:ascii="Arial Narrow" w:hAnsi="Arial Narrow"/>
                <w:sz w:val="20"/>
                <w:szCs w:val="20"/>
              </w:rPr>
              <w:t>1.38, 2.55</w:t>
            </w:r>
            <w:r>
              <w:rPr>
                <w:rFonts w:ascii="Arial Narrow" w:hAnsi="Arial Narrow"/>
                <w:sz w:val="20"/>
                <w:szCs w:val="20"/>
              </w:rPr>
              <w:t>)</w:t>
            </w:r>
          </w:p>
        </w:tc>
        <w:tc>
          <w:tcPr>
            <w:tcW w:w="1701" w:type="pct"/>
            <w:tcBorders>
              <w:top w:val="single" w:sz="4" w:space="0" w:color="auto"/>
              <w:left w:val="nil"/>
              <w:bottom w:val="single" w:sz="4" w:space="0" w:color="auto"/>
              <w:right w:val="single" w:sz="4" w:space="0" w:color="auto"/>
            </w:tcBorders>
            <w:shd w:val="clear" w:color="auto" w:fill="auto"/>
          </w:tcPr>
          <w:p w14:paraId="1B87FCE6" w14:textId="77777777" w:rsidR="00DC33F2" w:rsidRPr="00684AEF" w:rsidRDefault="00DC33F2" w:rsidP="00AD478D">
            <w:pPr>
              <w:widowControl w:val="0"/>
              <w:spacing w:before="60" w:after="40"/>
              <w:jc w:val="center"/>
              <w:rPr>
                <w:rFonts w:ascii="Arial Narrow" w:hAnsi="Arial Narrow"/>
                <w:b/>
                <w:bCs/>
                <w:sz w:val="20"/>
                <w:szCs w:val="20"/>
              </w:rPr>
            </w:pPr>
            <w:r w:rsidRPr="00684AEF">
              <w:rPr>
                <w:rFonts w:ascii="Arial Narrow" w:hAnsi="Arial Narrow"/>
                <w:b/>
                <w:bCs/>
                <w:sz w:val="20"/>
                <w:szCs w:val="20"/>
              </w:rPr>
              <w:t xml:space="preserve">1.88 </w:t>
            </w:r>
            <w:r>
              <w:rPr>
                <w:rFonts w:ascii="Arial Narrow" w:hAnsi="Arial Narrow"/>
                <w:b/>
                <w:bCs/>
                <w:sz w:val="20"/>
                <w:szCs w:val="20"/>
              </w:rPr>
              <w:t>(</w:t>
            </w:r>
            <w:r w:rsidRPr="00684AEF">
              <w:rPr>
                <w:rFonts w:ascii="Arial Narrow" w:hAnsi="Arial Narrow"/>
                <w:b/>
                <w:bCs/>
                <w:sz w:val="20"/>
                <w:szCs w:val="20"/>
              </w:rPr>
              <w:t>1.2, 2.95</w:t>
            </w:r>
            <w:r>
              <w:rPr>
                <w:rFonts w:ascii="Arial Narrow" w:hAnsi="Arial Narrow"/>
                <w:b/>
                <w:bCs/>
                <w:sz w:val="20"/>
                <w:szCs w:val="20"/>
              </w:rPr>
              <w:t>)</w:t>
            </w:r>
            <w:r w:rsidRPr="00684AEF">
              <w:rPr>
                <w:rFonts w:ascii="Arial Narrow" w:hAnsi="Arial Narrow"/>
                <w:b/>
                <w:bCs/>
                <w:sz w:val="20"/>
                <w:szCs w:val="20"/>
              </w:rPr>
              <w:t xml:space="preserve"> </w:t>
            </w:r>
          </w:p>
        </w:tc>
      </w:tr>
      <w:tr w:rsidR="00DC33F2" w:rsidRPr="00DD545E" w14:paraId="026DD489" w14:textId="77777777" w:rsidTr="00AD478D">
        <w:tc>
          <w:tcPr>
            <w:tcW w:w="948" w:type="pct"/>
            <w:vMerge/>
            <w:tcBorders>
              <w:top w:val="single" w:sz="4" w:space="0" w:color="auto"/>
              <w:left w:val="single" w:sz="4" w:space="0" w:color="auto"/>
              <w:bottom w:val="single" w:sz="4" w:space="0" w:color="auto"/>
              <w:right w:val="single" w:sz="4" w:space="0" w:color="auto"/>
            </w:tcBorders>
            <w:shd w:val="clear" w:color="auto" w:fill="auto"/>
          </w:tcPr>
          <w:p w14:paraId="02D67A69" w14:textId="77777777" w:rsidR="00DC33F2" w:rsidRPr="00DD545E" w:rsidRDefault="00DC33F2" w:rsidP="00AD478D">
            <w:pPr>
              <w:widowControl w:val="0"/>
              <w:spacing w:before="60" w:after="40"/>
              <w:jc w:val="center"/>
              <w:rPr>
                <w:rFonts w:ascii="Arial Narrow" w:hAnsi="Arial Narrow"/>
                <w:sz w:val="20"/>
                <w:szCs w:val="20"/>
              </w:rPr>
            </w:pPr>
          </w:p>
        </w:tc>
        <w:tc>
          <w:tcPr>
            <w:tcW w:w="515" w:type="pct"/>
            <w:shd w:val="clear" w:color="auto" w:fill="auto"/>
          </w:tcPr>
          <w:p w14:paraId="7922B5C7"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RR</w:t>
            </w:r>
          </w:p>
        </w:tc>
        <w:tc>
          <w:tcPr>
            <w:tcW w:w="892" w:type="pct"/>
            <w:tcBorders>
              <w:top w:val="single" w:sz="4" w:space="0" w:color="auto"/>
              <w:left w:val="nil"/>
              <w:bottom w:val="single" w:sz="4" w:space="0" w:color="auto"/>
              <w:right w:val="single" w:sz="4" w:space="0" w:color="auto"/>
            </w:tcBorders>
            <w:shd w:val="clear" w:color="auto" w:fill="auto"/>
          </w:tcPr>
          <w:p w14:paraId="43A496DF"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2.11 </w:t>
            </w:r>
            <w:r>
              <w:rPr>
                <w:rFonts w:ascii="Arial Narrow" w:hAnsi="Arial Narrow"/>
                <w:sz w:val="20"/>
                <w:szCs w:val="20"/>
              </w:rPr>
              <w:t>(</w:t>
            </w:r>
            <w:r w:rsidRPr="00DD545E">
              <w:rPr>
                <w:rFonts w:ascii="Arial Narrow" w:hAnsi="Arial Narrow"/>
                <w:sz w:val="20"/>
                <w:szCs w:val="20"/>
              </w:rPr>
              <w:t>1.70, 2.63</w:t>
            </w:r>
            <w:r>
              <w:rPr>
                <w:rFonts w:ascii="Arial Narrow" w:hAnsi="Arial Narrow"/>
                <w:sz w:val="20"/>
                <w:szCs w:val="20"/>
              </w:rPr>
              <w:t>)</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1C3CB212"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1.44 </w:t>
            </w:r>
            <w:r>
              <w:rPr>
                <w:rFonts w:ascii="Arial Narrow" w:hAnsi="Arial Narrow"/>
                <w:sz w:val="20"/>
                <w:szCs w:val="20"/>
              </w:rPr>
              <w:t>(</w:t>
            </w:r>
            <w:r w:rsidRPr="00DD545E">
              <w:rPr>
                <w:rFonts w:ascii="Arial Narrow" w:hAnsi="Arial Narrow"/>
                <w:sz w:val="20"/>
                <w:szCs w:val="20"/>
              </w:rPr>
              <w:t>1.20, 1.74</w:t>
            </w:r>
            <w:r>
              <w:rPr>
                <w:rFonts w:ascii="Arial Narrow" w:hAnsi="Arial Narrow"/>
                <w:sz w:val="20"/>
                <w:szCs w:val="20"/>
              </w:rPr>
              <w:t>)</w:t>
            </w:r>
          </w:p>
        </w:tc>
        <w:tc>
          <w:tcPr>
            <w:tcW w:w="1701" w:type="pct"/>
            <w:tcBorders>
              <w:top w:val="single" w:sz="4" w:space="0" w:color="auto"/>
              <w:left w:val="nil"/>
              <w:bottom w:val="single" w:sz="4" w:space="0" w:color="auto"/>
              <w:right w:val="single" w:sz="4" w:space="0" w:color="auto"/>
            </w:tcBorders>
            <w:shd w:val="clear" w:color="auto" w:fill="auto"/>
          </w:tcPr>
          <w:p w14:paraId="5F8813D6" w14:textId="77777777" w:rsidR="00DC33F2" w:rsidRPr="00684AEF" w:rsidRDefault="00DC33F2" w:rsidP="00AD478D">
            <w:pPr>
              <w:widowControl w:val="0"/>
              <w:spacing w:before="60" w:after="40"/>
              <w:jc w:val="center"/>
              <w:rPr>
                <w:rFonts w:ascii="Arial Narrow" w:hAnsi="Arial Narrow"/>
                <w:b/>
                <w:bCs/>
                <w:sz w:val="20"/>
                <w:szCs w:val="20"/>
              </w:rPr>
            </w:pPr>
            <w:r w:rsidRPr="00684AEF">
              <w:rPr>
                <w:rFonts w:ascii="Arial Narrow" w:hAnsi="Arial Narrow"/>
                <w:b/>
                <w:bCs/>
                <w:sz w:val="20"/>
                <w:szCs w:val="20"/>
              </w:rPr>
              <w:t xml:space="preserve">1.47 </w:t>
            </w:r>
            <w:r>
              <w:rPr>
                <w:rFonts w:ascii="Arial Narrow" w:hAnsi="Arial Narrow"/>
                <w:b/>
                <w:bCs/>
                <w:sz w:val="20"/>
                <w:szCs w:val="20"/>
              </w:rPr>
              <w:t>(</w:t>
            </w:r>
            <w:r w:rsidRPr="00684AEF">
              <w:rPr>
                <w:rFonts w:ascii="Arial Narrow" w:hAnsi="Arial Narrow"/>
                <w:b/>
                <w:bCs/>
                <w:sz w:val="20"/>
                <w:szCs w:val="20"/>
              </w:rPr>
              <w:t>1.1, 1.95</w:t>
            </w:r>
            <w:r>
              <w:rPr>
                <w:rFonts w:ascii="Arial Narrow" w:hAnsi="Arial Narrow"/>
                <w:b/>
                <w:bCs/>
                <w:sz w:val="20"/>
                <w:szCs w:val="20"/>
              </w:rPr>
              <w:t>)</w:t>
            </w:r>
            <w:r w:rsidRPr="00684AEF">
              <w:rPr>
                <w:rFonts w:ascii="Arial Narrow" w:hAnsi="Arial Narrow"/>
                <w:b/>
                <w:bCs/>
                <w:sz w:val="20"/>
                <w:szCs w:val="20"/>
              </w:rPr>
              <w:t xml:space="preserve"> </w:t>
            </w:r>
          </w:p>
        </w:tc>
      </w:tr>
      <w:tr w:rsidR="00DC33F2" w:rsidRPr="00DD545E" w14:paraId="3BAE5B10" w14:textId="77777777" w:rsidTr="00AD478D">
        <w:tc>
          <w:tcPr>
            <w:tcW w:w="948" w:type="pct"/>
            <w:vMerge/>
            <w:tcBorders>
              <w:top w:val="nil"/>
              <w:left w:val="single" w:sz="4" w:space="0" w:color="auto"/>
              <w:bottom w:val="single" w:sz="4" w:space="0" w:color="auto"/>
              <w:right w:val="single" w:sz="4" w:space="0" w:color="auto"/>
            </w:tcBorders>
            <w:shd w:val="clear" w:color="auto" w:fill="auto"/>
          </w:tcPr>
          <w:p w14:paraId="4A7F2C70" w14:textId="77777777" w:rsidR="00DC33F2" w:rsidRPr="00DD545E" w:rsidRDefault="00DC33F2" w:rsidP="00AD478D">
            <w:pPr>
              <w:widowControl w:val="0"/>
              <w:spacing w:before="60" w:after="40"/>
              <w:jc w:val="center"/>
              <w:rPr>
                <w:rFonts w:ascii="Arial Narrow" w:hAnsi="Arial Narrow"/>
                <w:sz w:val="20"/>
                <w:szCs w:val="20"/>
              </w:rPr>
            </w:pPr>
          </w:p>
        </w:tc>
        <w:tc>
          <w:tcPr>
            <w:tcW w:w="515" w:type="pct"/>
            <w:shd w:val="clear" w:color="auto" w:fill="auto"/>
          </w:tcPr>
          <w:p w14:paraId="0BD8A606"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RD</w:t>
            </w:r>
          </w:p>
        </w:tc>
        <w:tc>
          <w:tcPr>
            <w:tcW w:w="892" w:type="pct"/>
            <w:tcBorders>
              <w:top w:val="single" w:sz="4" w:space="0" w:color="auto"/>
              <w:left w:val="nil"/>
              <w:bottom w:val="single" w:sz="4" w:space="0" w:color="auto"/>
              <w:right w:val="single" w:sz="4" w:space="0" w:color="auto"/>
            </w:tcBorders>
            <w:shd w:val="clear" w:color="auto" w:fill="auto"/>
          </w:tcPr>
          <w:p w14:paraId="1165FCCA"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0.30 </w:t>
            </w:r>
            <w:r>
              <w:rPr>
                <w:rFonts w:ascii="Arial Narrow" w:hAnsi="Arial Narrow"/>
                <w:sz w:val="20"/>
                <w:szCs w:val="20"/>
              </w:rPr>
              <w:t>(</w:t>
            </w:r>
            <w:r w:rsidRPr="00DD545E">
              <w:rPr>
                <w:rFonts w:ascii="Arial Narrow" w:hAnsi="Arial Narrow"/>
                <w:sz w:val="20"/>
                <w:szCs w:val="20"/>
              </w:rPr>
              <w:t>0.23, 0.36</w:t>
            </w:r>
            <w:r>
              <w:rPr>
                <w:rFonts w:ascii="Arial Narrow" w:hAnsi="Arial Narrow"/>
                <w:sz w:val="20"/>
                <w:szCs w:val="20"/>
              </w:rPr>
              <w:t>)</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109F853D"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0.15 </w:t>
            </w:r>
            <w:r>
              <w:rPr>
                <w:rFonts w:ascii="Arial Narrow" w:hAnsi="Arial Narrow"/>
                <w:sz w:val="20"/>
                <w:szCs w:val="20"/>
              </w:rPr>
              <w:t>(</w:t>
            </w:r>
            <w:r w:rsidRPr="00DD545E">
              <w:rPr>
                <w:rFonts w:ascii="Arial Narrow" w:hAnsi="Arial Narrow"/>
                <w:sz w:val="20"/>
                <w:szCs w:val="20"/>
              </w:rPr>
              <w:t>0.08, 0.22</w:t>
            </w:r>
            <w:r>
              <w:rPr>
                <w:rFonts w:ascii="Arial Narrow" w:hAnsi="Arial Narrow"/>
                <w:sz w:val="20"/>
                <w:szCs w:val="20"/>
              </w:rPr>
              <w:t>)</w:t>
            </w:r>
          </w:p>
        </w:tc>
        <w:tc>
          <w:tcPr>
            <w:tcW w:w="1701" w:type="pct"/>
            <w:tcBorders>
              <w:top w:val="single" w:sz="4" w:space="0" w:color="auto"/>
              <w:left w:val="nil"/>
              <w:bottom w:val="single" w:sz="4" w:space="0" w:color="auto"/>
              <w:right w:val="single" w:sz="4" w:space="0" w:color="auto"/>
            </w:tcBorders>
            <w:shd w:val="clear" w:color="auto" w:fill="auto"/>
          </w:tcPr>
          <w:p w14:paraId="52C71CF2" w14:textId="77777777" w:rsidR="00DC33F2" w:rsidRPr="00684AEF" w:rsidRDefault="00DC33F2" w:rsidP="00AD478D">
            <w:pPr>
              <w:widowControl w:val="0"/>
              <w:spacing w:before="60" w:after="40"/>
              <w:jc w:val="center"/>
              <w:rPr>
                <w:rFonts w:ascii="Arial Narrow" w:hAnsi="Arial Narrow"/>
                <w:b/>
                <w:bCs/>
                <w:sz w:val="20"/>
                <w:szCs w:val="20"/>
              </w:rPr>
            </w:pPr>
            <w:r w:rsidRPr="00684AEF">
              <w:rPr>
                <w:rFonts w:ascii="Arial Narrow" w:hAnsi="Arial Narrow"/>
                <w:b/>
                <w:bCs/>
                <w:sz w:val="20"/>
                <w:szCs w:val="20"/>
              </w:rPr>
              <w:t xml:space="preserve">0.15 </w:t>
            </w:r>
            <w:r>
              <w:rPr>
                <w:rFonts w:ascii="Arial Narrow" w:hAnsi="Arial Narrow"/>
                <w:b/>
                <w:bCs/>
                <w:sz w:val="20"/>
                <w:szCs w:val="20"/>
              </w:rPr>
              <w:t>(</w:t>
            </w:r>
            <w:r w:rsidRPr="00684AEF">
              <w:rPr>
                <w:rFonts w:ascii="Arial Narrow" w:hAnsi="Arial Narrow"/>
                <w:b/>
                <w:bCs/>
                <w:sz w:val="20"/>
                <w:szCs w:val="20"/>
              </w:rPr>
              <w:t>0.05, 0.25</w:t>
            </w:r>
            <w:r>
              <w:rPr>
                <w:rFonts w:ascii="Arial Narrow" w:hAnsi="Arial Narrow"/>
                <w:b/>
                <w:bCs/>
                <w:sz w:val="20"/>
                <w:szCs w:val="20"/>
              </w:rPr>
              <w:t>)</w:t>
            </w:r>
            <w:r w:rsidRPr="00684AEF">
              <w:rPr>
                <w:rFonts w:ascii="Arial Narrow" w:hAnsi="Arial Narrow"/>
                <w:b/>
                <w:bCs/>
                <w:sz w:val="20"/>
                <w:szCs w:val="20"/>
              </w:rPr>
              <w:t xml:space="preserve"> </w:t>
            </w:r>
          </w:p>
        </w:tc>
      </w:tr>
      <w:tr w:rsidR="00DC33F2" w:rsidRPr="00DD545E" w14:paraId="6930A641" w14:textId="77777777" w:rsidTr="00AD478D">
        <w:tc>
          <w:tcPr>
            <w:tcW w:w="948" w:type="pct"/>
            <w:vMerge w:val="restart"/>
            <w:tcBorders>
              <w:top w:val="nil"/>
              <w:left w:val="single" w:sz="4" w:space="0" w:color="auto"/>
              <w:bottom w:val="single" w:sz="4" w:space="0" w:color="auto"/>
              <w:right w:val="single" w:sz="4" w:space="0" w:color="auto"/>
            </w:tcBorders>
            <w:shd w:val="clear" w:color="auto" w:fill="auto"/>
          </w:tcPr>
          <w:p w14:paraId="2AE844EA"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Max </w:t>
            </w:r>
            <w:r>
              <w:rPr>
                <w:rFonts w:ascii="Arial Narrow" w:hAnsi="Arial Narrow"/>
                <w:sz w:val="20"/>
                <w:szCs w:val="20"/>
              </w:rPr>
              <w:t>Grade</w:t>
            </w:r>
            <w:r w:rsidRPr="00DD545E">
              <w:rPr>
                <w:rFonts w:ascii="Arial Narrow" w:hAnsi="Arial Narrow"/>
                <w:sz w:val="20"/>
                <w:szCs w:val="20"/>
              </w:rPr>
              <w:t xml:space="preserve"> 4</w:t>
            </w:r>
          </w:p>
          <w:p w14:paraId="2BA87F27" w14:textId="77777777" w:rsidR="00DC33F2" w:rsidRPr="00DD545E" w:rsidRDefault="00DC33F2" w:rsidP="00AD478D">
            <w:pPr>
              <w:widowControl w:val="0"/>
              <w:spacing w:before="60" w:after="40"/>
              <w:jc w:val="center"/>
              <w:rPr>
                <w:rFonts w:ascii="Arial Narrow" w:hAnsi="Arial Narrow"/>
                <w:sz w:val="20"/>
                <w:szCs w:val="20"/>
              </w:rPr>
            </w:pPr>
          </w:p>
        </w:tc>
        <w:tc>
          <w:tcPr>
            <w:tcW w:w="515" w:type="pct"/>
            <w:shd w:val="clear" w:color="auto" w:fill="auto"/>
          </w:tcPr>
          <w:p w14:paraId="7A22D335"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OR</w:t>
            </w:r>
          </w:p>
        </w:tc>
        <w:tc>
          <w:tcPr>
            <w:tcW w:w="892" w:type="pct"/>
            <w:tcBorders>
              <w:top w:val="single" w:sz="4" w:space="0" w:color="auto"/>
              <w:left w:val="nil"/>
              <w:bottom w:val="single" w:sz="4" w:space="0" w:color="auto"/>
              <w:right w:val="single" w:sz="4" w:space="0" w:color="auto"/>
            </w:tcBorders>
            <w:shd w:val="clear" w:color="auto" w:fill="auto"/>
          </w:tcPr>
          <w:p w14:paraId="250D8281"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1.10 </w:t>
            </w:r>
            <w:r>
              <w:rPr>
                <w:rFonts w:ascii="Arial Narrow" w:hAnsi="Arial Narrow"/>
                <w:sz w:val="20"/>
                <w:szCs w:val="20"/>
              </w:rPr>
              <w:t>(</w:t>
            </w:r>
            <w:r w:rsidRPr="00DD545E">
              <w:rPr>
                <w:rFonts w:ascii="Arial Narrow" w:hAnsi="Arial Narrow"/>
                <w:sz w:val="20"/>
                <w:szCs w:val="20"/>
              </w:rPr>
              <w:t>0.63, 1.91</w:t>
            </w:r>
            <w:r>
              <w:rPr>
                <w:rFonts w:ascii="Arial Narrow" w:hAnsi="Arial Narrow"/>
                <w:sz w:val="20"/>
                <w:szCs w:val="20"/>
              </w:rPr>
              <w:t>)</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12545839"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3.12 </w:t>
            </w:r>
            <w:r>
              <w:rPr>
                <w:rFonts w:ascii="Arial Narrow" w:hAnsi="Arial Narrow"/>
                <w:sz w:val="20"/>
                <w:szCs w:val="20"/>
              </w:rPr>
              <w:t>(</w:t>
            </w:r>
            <w:r w:rsidRPr="00DD545E">
              <w:rPr>
                <w:rFonts w:ascii="Arial Narrow" w:hAnsi="Arial Narrow"/>
                <w:sz w:val="20"/>
                <w:szCs w:val="20"/>
              </w:rPr>
              <w:t>1.79, 5.43</w:t>
            </w:r>
            <w:r>
              <w:rPr>
                <w:rFonts w:ascii="Arial Narrow" w:hAnsi="Arial Narrow"/>
                <w:sz w:val="20"/>
                <w:szCs w:val="20"/>
              </w:rPr>
              <w:t>)</w:t>
            </w:r>
          </w:p>
        </w:tc>
        <w:tc>
          <w:tcPr>
            <w:tcW w:w="1701" w:type="pct"/>
            <w:tcBorders>
              <w:top w:val="single" w:sz="4" w:space="0" w:color="auto"/>
              <w:left w:val="nil"/>
              <w:bottom w:val="single" w:sz="4" w:space="0" w:color="auto"/>
              <w:right w:val="single" w:sz="4" w:space="0" w:color="auto"/>
            </w:tcBorders>
            <w:shd w:val="clear" w:color="auto" w:fill="auto"/>
          </w:tcPr>
          <w:p w14:paraId="48C92F84" w14:textId="77777777" w:rsidR="00DC33F2" w:rsidRPr="00684AEF" w:rsidRDefault="00DC33F2" w:rsidP="00AD478D">
            <w:pPr>
              <w:widowControl w:val="0"/>
              <w:spacing w:before="60" w:after="40"/>
              <w:jc w:val="center"/>
              <w:rPr>
                <w:rFonts w:ascii="Arial Narrow" w:hAnsi="Arial Narrow"/>
                <w:b/>
                <w:bCs/>
                <w:sz w:val="20"/>
                <w:szCs w:val="20"/>
              </w:rPr>
            </w:pPr>
            <w:r w:rsidRPr="00684AEF">
              <w:rPr>
                <w:rFonts w:ascii="Arial Narrow" w:hAnsi="Arial Narrow"/>
                <w:b/>
                <w:bCs/>
                <w:sz w:val="20"/>
                <w:szCs w:val="20"/>
              </w:rPr>
              <w:t xml:space="preserve">0.35 </w:t>
            </w:r>
            <w:r>
              <w:rPr>
                <w:rFonts w:ascii="Arial Narrow" w:hAnsi="Arial Narrow"/>
                <w:b/>
                <w:bCs/>
                <w:sz w:val="20"/>
                <w:szCs w:val="20"/>
              </w:rPr>
              <w:t>(</w:t>
            </w:r>
            <w:r w:rsidRPr="00684AEF">
              <w:rPr>
                <w:rFonts w:ascii="Arial Narrow" w:hAnsi="Arial Narrow"/>
                <w:b/>
                <w:bCs/>
                <w:sz w:val="20"/>
                <w:szCs w:val="20"/>
              </w:rPr>
              <w:t>0.16, 0.77</w:t>
            </w:r>
            <w:r>
              <w:rPr>
                <w:rFonts w:ascii="Arial Narrow" w:hAnsi="Arial Narrow"/>
                <w:b/>
                <w:bCs/>
                <w:sz w:val="20"/>
                <w:szCs w:val="20"/>
              </w:rPr>
              <w:t>)</w:t>
            </w:r>
            <w:r w:rsidRPr="00684AEF">
              <w:rPr>
                <w:rFonts w:ascii="Arial Narrow" w:hAnsi="Arial Narrow"/>
                <w:b/>
                <w:bCs/>
                <w:sz w:val="20"/>
                <w:szCs w:val="20"/>
              </w:rPr>
              <w:t xml:space="preserve"> </w:t>
            </w:r>
          </w:p>
        </w:tc>
      </w:tr>
      <w:tr w:rsidR="00DC33F2" w:rsidRPr="00DD545E" w14:paraId="7039E1F9" w14:textId="77777777" w:rsidTr="00AD478D">
        <w:tc>
          <w:tcPr>
            <w:tcW w:w="948" w:type="pct"/>
            <w:vMerge/>
            <w:tcBorders>
              <w:top w:val="nil"/>
              <w:left w:val="single" w:sz="4" w:space="0" w:color="auto"/>
              <w:bottom w:val="single" w:sz="4" w:space="0" w:color="auto"/>
              <w:right w:val="single" w:sz="4" w:space="0" w:color="auto"/>
            </w:tcBorders>
            <w:shd w:val="clear" w:color="auto" w:fill="auto"/>
          </w:tcPr>
          <w:p w14:paraId="0A66FA83" w14:textId="77777777" w:rsidR="00DC33F2" w:rsidRPr="00DD545E" w:rsidRDefault="00DC33F2" w:rsidP="00AD478D">
            <w:pPr>
              <w:widowControl w:val="0"/>
              <w:spacing w:before="60" w:after="40"/>
              <w:jc w:val="center"/>
              <w:rPr>
                <w:rFonts w:ascii="Arial Narrow" w:hAnsi="Arial Narrow"/>
                <w:sz w:val="20"/>
                <w:szCs w:val="20"/>
              </w:rPr>
            </w:pPr>
          </w:p>
        </w:tc>
        <w:tc>
          <w:tcPr>
            <w:tcW w:w="515" w:type="pct"/>
            <w:shd w:val="clear" w:color="auto" w:fill="auto"/>
          </w:tcPr>
          <w:p w14:paraId="2BA52079"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RR</w:t>
            </w:r>
          </w:p>
        </w:tc>
        <w:tc>
          <w:tcPr>
            <w:tcW w:w="892" w:type="pct"/>
            <w:tcBorders>
              <w:top w:val="single" w:sz="4" w:space="0" w:color="auto"/>
              <w:left w:val="nil"/>
              <w:bottom w:val="single" w:sz="4" w:space="0" w:color="auto"/>
              <w:right w:val="single" w:sz="4" w:space="0" w:color="auto"/>
            </w:tcBorders>
            <w:shd w:val="clear" w:color="auto" w:fill="auto"/>
          </w:tcPr>
          <w:p w14:paraId="78DB943A"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1.09 </w:t>
            </w:r>
            <w:r>
              <w:rPr>
                <w:rFonts w:ascii="Arial Narrow" w:hAnsi="Arial Narrow"/>
                <w:sz w:val="20"/>
                <w:szCs w:val="20"/>
              </w:rPr>
              <w:t>(</w:t>
            </w:r>
            <w:r w:rsidRPr="00DD545E">
              <w:rPr>
                <w:rFonts w:ascii="Arial Narrow" w:hAnsi="Arial Narrow"/>
                <w:sz w:val="20"/>
                <w:szCs w:val="20"/>
              </w:rPr>
              <w:t>0.65, 1.81</w:t>
            </w:r>
            <w:r>
              <w:rPr>
                <w:rFonts w:ascii="Arial Narrow" w:hAnsi="Arial Narrow"/>
                <w:sz w:val="20"/>
                <w:szCs w:val="20"/>
              </w:rPr>
              <w:t>)</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1AD25FD9"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2.77 </w:t>
            </w:r>
            <w:r>
              <w:rPr>
                <w:rFonts w:ascii="Arial Narrow" w:hAnsi="Arial Narrow"/>
                <w:sz w:val="20"/>
                <w:szCs w:val="20"/>
              </w:rPr>
              <w:t>(</w:t>
            </w:r>
            <w:r w:rsidRPr="00DD545E">
              <w:rPr>
                <w:rFonts w:ascii="Arial Narrow" w:hAnsi="Arial Narrow"/>
                <w:sz w:val="20"/>
                <w:szCs w:val="20"/>
              </w:rPr>
              <w:t>1.66, 4.61</w:t>
            </w:r>
            <w:r>
              <w:rPr>
                <w:rFonts w:ascii="Arial Narrow" w:hAnsi="Arial Narrow"/>
                <w:sz w:val="20"/>
                <w:szCs w:val="20"/>
              </w:rPr>
              <w:t>)</w:t>
            </w:r>
          </w:p>
        </w:tc>
        <w:tc>
          <w:tcPr>
            <w:tcW w:w="1701" w:type="pct"/>
            <w:tcBorders>
              <w:top w:val="single" w:sz="4" w:space="0" w:color="auto"/>
              <w:left w:val="nil"/>
              <w:bottom w:val="single" w:sz="4" w:space="0" w:color="auto"/>
              <w:right w:val="single" w:sz="4" w:space="0" w:color="auto"/>
            </w:tcBorders>
            <w:shd w:val="clear" w:color="auto" w:fill="auto"/>
          </w:tcPr>
          <w:p w14:paraId="13B3B52B" w14:textId="77777777" w:rsidR="00DC33F2" w:rsidRPr="00684AEF" w:rsidRDefault="00DC33F2" w:rsidP="00AD478D">
            <w:pPr>
              <w:widowControl w:val="0"/>
              <w:spacing w:before="60" w:after="40"/>
              <w:jc w:val="center"/>
              <w:rPr>
                <w:rFonts w:ascii="Arial Narrow" w:hAnsi="Arial Narrow"/>
                <w:b/>
                <w:bCs/>
                <w:sz w:val="20"/>
                <w:szCs w:val="20"/>
              </w:rPr>
            </w:pPr>
            <w:r w:rsidRPr="00684AEF">
              <w:rPr>
                <w:rFonts w:ascii="Arial Narrow" w:hAnsi="Arial Narrow"/>
                <w:b/>
                <w:bCs/>
                <w:sz w:val="20"/>
                <w:szCs w:val="20"/>
              </w:rPr>
              <w:t xml:space="preserve">0.39 </w:t>
            </w:r>
            <w:r>
              <w:rPr>
                <w:rFonts w:ascii="Arial Narrow" w:hAnsi="Arial Narrow"/>
                <w:b/>
                <w:bCs/>
                <w:sz w:val="20"/>
                <w:szCs w:val="20"/>
              </w:rPr>
              <w:t>(</w:t>
            </w:r>
            <w:r w:rsidRPr="00684AEF">
              <w:rPr>
                <w:rFonts w:ascii="Arial Narrow" w:hAnsi="Arial Narrow"/>
                <w:b/>
                <w:bCs/>
                <w:sz w:val="20"/>
                <w:szCs w:val="20"/>
              </w:rPr>
              <w:t>0.19, 0.81</w:t>
            </w:r>
            <w:r>
              <w:rPr>
                <w:rFonts w:ascii="Arial Narrow" w:hAnsi="Arial Narrow"/>
                <w:b/>
                <w:bCs/>
                <w:sz w:val="20"/>
                <w:szCs w:val="20"/>
              </w:rPr>
              <w:t>)</w:t>
            </w:r>
            <w:r w:rsidRPr="00684AEF">
              <w:rPr>
                <w:rFonts w:ascii="Arial Narrow" w:hAnsi="Arial Narrow"/>
                <w:b/>
                <w:bCs/>
                <w:sz w:val="20"/>
                <w:szCs w:val="20"/>
              </w:rPr>
              <w:t xml:space="preserve"> </w:t>
            </w:r>
          </w:p>
        </w:tc>
      </w:tr>
      <w:tr w:rsidR="00DC33F2" w:rsidRPr="00DD545E" w14:paraId="3BE3AFC4" w14:textId="77777777" w:rsidTr="00AD478D">
        <w:tc>
          <w:tcPr>
            <w:tcW w:w="948" w:type="pct"/>
            <w:vMerge/>
            <w:tcBorders>
              <w:top w:val="single" w:sz="4" w:space="0" w:color="auto"/>
              <w:left w:val="single" w:sz="4" w:space="0" w:color="auto"/>
              <w:bottom w:val="single" w:sz="4" w:space="0" w:color="auto"/>
              <w:right w:val="single" w:sz="4" w:space="0" w:color="auto"/>
            </w:tcBorders>
            <w:shd w:val="clear" w:color="auto" w:fill="auto"/>
          </w:tcPr>
          <w:p w14:paraId="779F05DD" w14:textId="77777777" w:rsidR="00DC33F2" w:rsidRPr="00DD545E" w:rsidRDefault="00DC33F2" w:rsidP="00AD478D">
            <w:pPr>
              <w:widowControl w:val="0"/>
              <w:spacing w:before="60" w:after="40"/>
              <w:jc w:val="center"/>
              <w:rPr>
                <w:rFonts w:ascii="Arial Narrow" w:hAnsi="Arial Narrow"/>
                <w:sz w:val="20"/>
                <w:szCs w:val="20"/>
              </w:rPr>
            </w:pPr>
          </w:p>
        </w:tc>
        <w:tc>
          <w:tcPr>
            <w:tcW w:w="515" w:type="pct"/>
            <w:shd w:val="clear" w:color="auto" w:fill="auto"/>
          </w:tcPr>
          <w:p w14:paraId="2AB0EB98"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RD</w:t>
            </w:r>
          </w:p>
        </w:tc>
        <w:tc>
          <w:tcPr>
            <w:tcW w:w="892" w:type="pct"/>
            <w:tcBorders>
              <w:top w:val="single" w:sz="4" w:space="0" w:color="auto"/>
              <w:left w:val="nil"/>
              <w:bottom w:val="single" w:sz="4" w:space="0" w:color="auto"/>
              <w:right w:val="single" w:sz="4" w:space="0" w:color="auto"/>
            </w:tcBorders>
            <w:shd w:val="clear" w:color="auto" w:fill="auto"/>
          </w:tcPr>
          <w:p w14:paraId="604AE6E1"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0.01 </w:t>
            </w:r>
            <w:r>
              <w:rPr>
                <w:rFonts w:ascii="Arial Narrow" w:hAnsi="Arial Narrow"/>
                <w:sz w:val="20"/>
                <w:szCs w:val="20"/>
              </w:rPr>
              <w:t>(</w:t>
            </w:r>
            <w:r w:rsidRPr="00DD545E">
              <w:rPr>
                <w:rFonts w:ascii="Arial Narrow" w:hAnsi="Arial Narrow"/>
                <w:sz w:val="20"/>
                <w:szCs w:val="20"/>
              </w:rPr>
              <w:t>-0.03, 0.05</w:t>
            </w:r>
            <w:r>
              <w:rPr>
                <w:rFonts w:ascii="Arial Narrow" w:hAnsi="Arial Narrow"/>
                <w:sz w:val="20"/>
                <w:szCs w:val="20"/>
              </w:rPr>
              <w:t>)</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34883C93"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0.11 </w:t>
            </w:r>
            <w:r>
              <w:rPr>
                <w:rFonts w:ascii="Arial Narrow" w:hAnsi="Arial Narrow"/>
                <w:sz w:val="20"/>
                <w:szCs w:val="20"/>
              </w:rPr>
              <w:t>(</w:t>
            </w:r>
            <w:r w:rsidRPr="00DD545E">
              <w:rPr>
                <w:rFonts w:ascii="Arial Narrow" w:hAnsi="Arial Narrow"/>
                <w:sz w:val="20"/>
                <w:szCs w:val="20"/>
              </w:rPr>
              <w:t>0.06, 0.15</w:t>
            </w:r>
            <w:r>
              <w:rPr>
                <w:rFonts w:ascii="Arial Narrow" w:hAnsi="Arial Narrow"/>
                <w:sz w:val="20"/>
                <w:szCs w:val="20"/>
              </w:rPr>
              <w:t>)</w:t>
            </w:r>
          </w:p>
        </w:tc>
        <w:tc>
          <w:tcPr>
            <w:tcW w:w="1701" w:type="pct"/>
            <w:tcBorders>
              <w:top w:val="single" w:sz="4" w:space="0" w:color="auto"/>
              <w:left w:val="nil"/>
              <w:bottom w:val="single" w:sz="4" w:space="0" w:color="auto"/>
              <w:right w:val="single" w:sz="4" w:space="0" w:color="auto"/>
            </w:tcBorders>
            <w:shd w:val="clear" w:color="auto" w:fill="auto"/>
          </w:tcPr>
          <w:p w14:paraId="6988B063" w14:textId="77777777" w:rsidR="00DC33F2" w:rsidRPr="00684AEF" w:rsidRDefault="00DC33F2" w:rsidP="00AD478D">
            <w:pPr>
              <w:widowControl w:val="0"/>
              <w:spacing w:before="60" w:after="40"/>
              <w:jc w:val="center"/>
              <w:rPr>
                <w:rFonts w:ascii="Arial Narrow" w:hAnsi="Arial Narrow"/>
                <w:b/>
                <w:bCs/>
                <w:sz w:val="20"/>
                <w:szCs w:val="20"/>
              </w:rPr>
            </w:pPr>
            <w:r w:rsidRPr="00684AEF">
              <w:rPr>
                <w:rFonts w:ascii="Arial Narrow" w:hAnsi="Arial Narrow"/>
                <w:b/>
                <w:bCs/>
                <w:sz w:val="20"/>
                <w:szCs w:val="20"/>
              </w:rPr>
              <w:t xml:space="preserve">-0.10 </w:t>
            </w:r>
            <w:r>
              <w:rPr>
                <w:rFonts w:ascii="Arial Narrow" w:hAnsi="Arial Narrow"/>
                <w:b/>
                <w:bCs/>
                <w:sz w:val="20"/>
                <w:szCs w:val="20"/>
              </w:rPr>
              <w:t>(</w:t>
            </w:r>
            <w:r w:rsidRPr="00684AEF">
              <w:rPr>
                <w:rFonts w:ascii="Arial Narrow" w:hAnsi="Arial Narrow"/>
                <w:b/>
                <w:bCs/>
                <w:sz w:val="20"/>
                <w:szCs w:val="20"/>
              </w:rPr>
              <w:t>-0.16, -0.04</w:t>
            </w:r>
            <w:r>
              <w:rPr>
                <w:rFonts w:ascii="Arial Narrow" w:hAnsi="Arial Narrow"/>
                <w:b/>
                <w:bCs/>
                <w:sz w:val="20"/>
                <w:szCs w:val="20"/>
              </w:rPr>
              <w:t>)</w:t>
            </w:r>
            <w:r w:rsidRPr="00684AEF">
              <w:rPr>
                <w:rFonts w:ascii="Arial Narrow" w:hAnsi="Arial Narrow"/>
                <w:b/>
                <w:bCs/>
                <w:sz w:val="20"/>
                <w:szCs w:val="20"/>
              </w:rPr>
              <w:t xml:space="preserve"> </w:t>
            </w:r>
          </w:p>
        </w:tc>
      </w:tr>
      <w:tr w:rsidR="00DC33F2" w:rsidRPr="00DD545E" w14:paraId="0D2EE444" w14:textId="77777777" w:rsidTr="00AD478D">
        <w:tc>
          <w:tcPr>
            <w:tcW w:w="948" w:type="pct"/>
            <w:vMerge w:val="restart"/>
            <w:tcBorders>
              <w:top w:val="nil"/>
              <w:left w:val="single" w:sz="4" w:space="0" w:color="auto"/>
              <w:bottom w:val="single" w:sz="4" w:space="0" w:color="auto"/>
              <w:right w:val="single" w:sz="4" w:space="0" w:color="auto"/>
            </w:tcBorders>
            <w:shd w:val="clear" w:color="auto" w:fill="auto"/>
          </w:tcPr>
          <w:p w14:paraId="28DAB7F7"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Max </w:t>
            </w:r>
            <w:r>
              <w:rPr>
                <w:rFonts w:ascii="Arial Narrow" w:hAnsi="Arial Narrow"/>
                <w:sz w:val="20"/>
                <w:szCs w:val="20"/>
              </w:rPr>
              <w:t>Grade</w:t>
            </w:r>
            <w:r w:rsidRPr="00DD545E">
              <w:rPr>
                <w:rFonts w:ascii="Arial Narrow" w:hAnsi="Arial Narrow"/>
                <w:sz w:val="20"/>
                <w:szCs w:val="20"/>
              </w:rPr>
              <w:t xml:space="preserve"> 5</w:t>
            </w:r>
          </w:p>
        </w:tc>
        <w:tc>
          <w:tcPr>
            <w:tcW w:w="515" w:type="pct"/>
            <w:shd w:val="clear" w:color="auto" w:fill="auto"/>
          </w:tcPr>
          <w:p w14:paraId="69D03653"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OR</w:t>
            </w:r>
          </w:p>
        </w:tc>
        <w:tc>
          <w:tcPr>
            <w:tcW w:w="892" w:type="pct"/>
            <w:tcBorders>
              <w:top w:val="single" w:sz="4" w:space="0" w:color="auto"/>
              <w:left w:val="nil"/>
              <w:bottom w:val="single" w:sz="4" w:space="0" w:color="auto"/>
              <w:right w:val="single" w:sz="4" w:space="0" w:color="auto"/>
            </w:tcBorders>
            <w:shd w:val="clear" w:color="auto" w:fill="auto"/>
          </w:tcPr>
          <w:p w14:paraId="73C105CF"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0.90 </w:t>
            </w:r>
            <w:r>
              <w:rPr>
                <w:rFonts w:ascii="Arial Narrow" w:hAnsi="Arial Narrow"/>
                <w:sz w:val="20"/>
                <w:szCs w:val="20"/>
              </w:rPr>
              <w:t>(</w:t>
            </w:r>
            <w:r w:rsidRPr="00DD545E">
              <w:rPr>
                <w:rFonts w:ascii="Arial Narrow" w:hAnsi="Arial Narrow"/>
                <w:sz w:val="20"/>
                <w:szCs w:val="20"/>
              </w:rPr>
              <w:t>0.59, 1.39</w:t>
            </w:r>
            <w:r>
              <w:rPr>
                <w:rFonts w:ascii="Arial Narrow" w:hAnsi="Arial Narrow"/>
                <w:sz w:val="20"/>
                <w:szCs w:val="20"/>
              </w:rPr>
              <w:t>)</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4F08D979"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0.26 </w:t>
            </w:r>
            <w:r>
              <w:rPr>
                <w:rFonts w:ascii="Arial Narrow" w:hAnsi="Arial Narrow"/>
                <w:sz w:val="20"/>
                <w:szCs w:val="20"/>
              </w:rPr>
              <w:t>(</w:t>
            </w:r>
            <w:r w:rsidRPr="00DD545E">
              <w:rPr>
                <w:rFonts w:ascii="Arial Narrow" w:hAnsi="Arial Narrow"/>
                <w:sz w:val="20"/>
                <w:szCs w:val="20"/>
              </w:rPr>
              <w:t>0.14, 0.48</w:t>
            </w:r>
            <w:r>
              <w:rPr>
                <w:rFonts w:ascii="Arial Narrow" w:hAnsi="Arial Narrow"/>
                <w:sz w:val="20"/>
                <w:szCs w:val="20"/>
              </w:rPr>
              <w:t>)</w:t>
            </w:r>
          </w:p>
        </w:tc>
        <w:tc>
          <w:tcPr>
            <w:tcW w:w="1701" w:type="pct"/>
            <w:tcBorders>
              <w:top w:val="single" w:sz="4" w:space="0" w:color="auto"/>
              <w:left w:val="nil"/>
              <w:bottom w:val="single" w:sz="4" w:space="0" w:color="auto"/>
              <w:right w:val="single" w:sz="4" w:space="0" w:color="auto"/>
            </w:tcBorders>
            <w:shd w:val="clear" w:color="auto" w:fill="auto"/>
          </w:tcPr>
          <w:p w14:paraId="218BD9CA" w14:textId="77777777" w:rsidR="00DC33F2" w:rsidRPr="00684AEF" w:rsidRDefault="00DC33F2" w:rsidP="00AD478D">
            <w:pPr>
              <w:widowControl w:val="0"/>
              <w:spacing w:before="60" w:after="40"/>
              <w:jc w:val="center"/>
              <w:rPr>
                <w:rFonts w:ascii="Arial Narrow" w:hAnsi="Arial Narrow"/>
                <w:b/>
                <w:bCs/>
                <w:sz w:val="20"/>
                <w:szCs w:val="20"/>
              </w:rPr>
            </w:pPr>
            <w:r w:rsidRPr="00684AEF">
              <w:rPr>
                <w:rFonts w:ascii="Arial Narrow" w:hAnsi="Arial Narrow"/>
                <w:b/>
                <w:bCs/>
                <w:sz w:val="20"/>
                <w:szCs w:val="20"/>
              </w:rPr>
              <w:t xml:space="preserve">3.46 </w:t>
            </w:r>
            <w:r>
              <w:rPr>
                <w:rFonts w:ascii="Arial Narrow" w:hAnsi="Arial Narrow"/>
                <w:b/>
                <w:bCs/>
                <w:sz w:val="20"/>
                <w:szCs w:val="20"/>
              </w:rPr>
              <w:t>(</w:t>
            </w:r>
            <w:r w:rsidRPr="00684AEF">
              <w:rPr>
                <w:rFonts w:ascii="Arial Narrow" w:hAnsi="Arial Narrow"/>
                <w:b/>
                <w:bCs/>
                <w:sz w:val="20"/>
                <w:szCs w:val="20"/>
              </w:rPr>
              <w:t>1.63, 7.33</w:t>
            </w:r>
            <w:r>
              <w:rPr>
                <w:rFonts w:ascii="Arial Narrow" w:hAnsi="Arial Narrow"/>
                <w:b/>
                <w:bCs/>
                <w:sz w:val="20"/>
                <w:szCs w:val="20"/>
              </w:rPr>
              <w:t>)</w:t>
            </w:r>
            <w:r w:rsidRPr="00684AEF">
              <w:rPr>
                <w:rFonts w:ascii="Arial Narrow" w:hAnsi="Arial Narrow"/>
                <w:b/>
                <w:bCs/>
                <w:sz w:val="20"/>
                <w:szCs w:val="20"/>
              </w:rPr>
              <w:t xml:space="preserve"> </w:t>
            </w:r>
          </w:p>
        </w:tc>
      </w:tr>
      <w:tr w:rsidR="00DC33F2" w:rsidRPr="00DD545E" w14:paraId="6F799AAC" w14:textId="77777777" w:rsidTr="00AD478D">
        <w:tc>
          <w:tcPr>
            <w:tcW w:w="948" w:type="pct"/>
            <w:vMerge/>
            <w:tcBorders>
              <w:left w:val="single" w:sz="4" w:space="0" w:color="auto"/>
              <w:right w:val="single" w:sz="4" w:space="0" w:color="auto"/>
            </w:tcBorders>
            <w:shd w:val="clear" w:color="auto" w:fill="auto"/>
          </w:tcPr>
          <w:p w14:paraId="5AF7BBED" w14:textId="77777777" w:rsidR="00DC33F2" w:rsidRPr="00DD545E" w:rsidRDefault="00DC33F2" w:rsidP="00AD478D">
            <w:pPr>
              <w:widowControl w:val="0"/>
              <w:spacing w:before="60" w:after="40"/>
              <w:jc w:val="center"/>
              <w:rPr>
                <w:rFonts w:ascii="Arial Narrow" w:hAnsi="Arial Narrow"/>
                <w:sz w:val="20"/>
                <w:szCs w:val="20"/>
              </w:rPr>
            </w:pPr>
          </w:p>
        </w:tc>
        <w:tc>
          <w:tcPr>
            <w:tcW w:w="515" w:type="pct"/>
            <w:shd w:val="clear" w:color="auto" w:fill="auto"/>
          </w:tcPr>
          <w:p w14:paraId="6CF147EA"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RR</w:t>
            </w:r>
          </w:p>
        </w:tc>
        <w:tc>
          <w:tcPr>
            <w:tcW w:w="892" w:type="pct"/>
            <w:tcBorders>
              <w:top w:val="single" w:sz="4" w:space="0" w:color="auto"/>
              <w:left w:val="nil"/>
              <w:bottom w:val="single" w:sz="4" w:space="0" w:color="auto"/>
              <w:right w:val="single" w:sz="4" w:space="0" w:color="auto"/>
            </w:tcBorders>
            <w:shd w:val="clear" w:color="auto" w:fill="auto"/>
          </w:tcPr>
          <w:p w14:paraId="7F60CD85"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0.92 </w:t>
            </w:r>
            <w:r>
              <w:rPr>
                <w:rFonts w:ascii="Arial Narrow" w:hAnsi="Arial Narrow"/>
                <w:sz w:val="20"/>
                <w:szCs w:val="20"/>
              </w:rPr>
              <w:t>(</w:t>
            </w:r>
            <w:r w:rsidRPr="00DD545E">
              <w:rPr>
                <w:rFonts w:ascii="Arial Narrow" w:hAnsi="Arial Narrow"/>
                <w:sz w:val="20"/>
                <w:szCs w:val="20"/>
              </w:rPr>
              <w:t>0.63, 1.33</w:t>
            </w:r>
            <w:r>
              <w:rPr>
                <w:rFonts w:ascii="Arial Narrow" w:hAnsi="Arial Narrow"/>
                <w:sz w:val="20"/>
                <w:szCs w:val="20"/>
              </w:rPr>
              <w:t>)</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3FB96EB6"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0.28 </w:t>
            </w:r>
            <w:r>
              <w:rPr>
                <w:rFonts w:ascii="Arial Narrow" w:hAnsi="Arial Narrow"/>
                <w:sz w:val="20"/>
                <w:szCs w:val="20"/>
              </w:rPr>
              <w:t>(</w:t>
            </w:r>
            <w:r w:rsidRPr="00DD545E">
              <w:rPr>
                <w:rFonts w:ascii="Arial Narrow" w:hAnsi="Arial Narrow"/>
                <w:sz w:val="20"/>
                <w:szCs w:val="20"/>
              </w:rPr>
              <w:t>0.16, 0.50</w:t>
            </w:r>
            <w:r>
              <w:rPr>
                <w:rFonts w:ascii="Arial Narrow" w:hAnsi="Arial Narrow"/>
                <w:sz w:val="20"/>
                <w:szCs w:val="20"/>
              </w:rPr>
              <w:t>)</w:t>
            </w:r>
          </w:p>
        </w:tc>
        <w:tc>
          <w:tcPr>
            <w:tcW w:w="1701" w:type="pct"/>
            <w:tcBorders>
              <w:top w:val="single" w:sz="4" w:space="0" w:color="auto"/>
              <w:left w:val="nil"/>
              <w:bottom w:val="single" w:sz="4" w:space="0" w:color="auto"/>
              <w:right w:val="single" w:sz="4" w:space="0" w:color="auto"/>
            </w:tcBorders>
            <w:shd w:val="clear" w:color="auto" w:fill="auto"/>
          </w:tcPr>
          <w:p w14:paraId="47D91EA6" w14:textId="77777777" w:rsidR="00DC33F2" w:rsidRPr="00684AEF" w:rsidRDefault="00DC33F2" w:rsidP="00AD478D">
            <w:pPr>
              <w:widowControl w:val="0"/>
              <w:spacing w:before="60" w:after="40"/>
              <w:jc w:val="center"/>
              <w:rPr>
                <w:rFonts w:ascii="Arial Narrow" w:hAnsi="Arial Narrow"/>
                <w:b/>
                <w:bCs/>
                <w:sz w:val="20"/>
                <w:szCs w:val="20"/>
              </w:rPr>
            </w:pPr>
            <w:r w:rsidRPr="00684AEF">
              <w:rPr>
                <w:rFonts w:ascii="Arial Narrow" w:hAnsi="Arial Narrow"/>
                <w:b/>
                <w:bCs/>
                <w:sz w:val="20"/>
                <w:szCs w:val="20"/>
              </w:rPr>
              <w:t xml:space="preserve">3.29 </w:t>
            </w:r>
            <w:r>
              <w:rPr>
                <w:rFonts w:ascii="Arial Narrow" w:hAnsi="Arial Narrow"/>
                <w:b/>
                <w:bCs/>
                <w:sz w:val="20"/>
                <w:szCs w:val="20"/>
              </w:rPr>
              <w:t>(</w:t>
            </w:r>
            <w:r w:rsidRPr="00684AEF">
              <w:rPr>
                <w:rFonts w:ascii="Arial Narrow" w:hAnsi="Arial Narrow"/>
                <w:b/>
                <w:bCs/>
                <w:sz w:val="20"/>
                <w:szCs w:val="20"/>
              </w:rPr>
              <w:t>1.66, 6.49</w:t>
            </w:r>
            <w:r>
              <w:rPr>
                <w:rFonts w:ascii="Arial Narrow" w:hAnsi="Arial Narrow"/>
                <w:b/>
                <w:bCs/>
                <w:sz w:val="20"/>
                <w:szCs w:val="20"/>
              </w:rPr>
              <w:t>)</w:t>
            </w:r>
            <w:r w:rsidRPr="00684AEF">
              <w:rPr>
                <w:rFonts w:ascii="Arial Narrow" w:hAnsi="Arial Narrow"/>
                <w:b/>
                <w:bCs/>
                <w:sz w:val="20"/>
                <w:szCs w:val="20"/>
              </w:rPr>
              <w:t xml:space="preserve"> </w:t>
            </w:r>
          </w:p>
        </w:tc>
      </w:tr>
      <w:tr w:rsidR="00DC33F2" w:rsidRPr="00DD545E" w14:paraId="7DC0C7F3" w14:textId="77777777" w:rsidTr="00AD478D">
        <w:tc>
          <w:tcPr>
            <w:tcW w:w="948" w:type="pct"/>
            <w:vMerge/>
            <w:tcBorders>
              <w:left w:val="single" w:sz="4" w:space="0" w:color="auto"/>
              <w:right w:val="single" w:sz="4" w:space="0" w:color="auto"/>
            </w:tcBorders>
            <w:shd w:val="clear" w:color="auto" w:fill="auto"/>
          </w:tcPr>
          <w:p w14:paraId="272FA68E" w14:textId="77777777" w:rsidR="00DC33F2" w:rsidRPr="00DD545E" w:rsidRDefault="00DC33F2" w:rsidP="00AD478D">
            <w:pPr>
              <w:widowControl w:val="0"/>
              <w:spacing w:before="60" w:after="40"/>
              <w:jc w:val="center"/>
              <w:rPr>
                <w:rFonts w:ascii="Arial Narrow" w:hAnsi="Arial Narrow"/>
                <w:sz w:val="20"/>
                <w:szCs w:val="20"/>
              </w:rPr>
            </w:pPr>
          </w:p>
        </w:tc>
        <w:tc>
          <w:tcPr>
            <w:tcW w:w="515" w:type="pct"/>
            <w:shd w:val="clear" w:color="auto" w:fill="auto"/>
          </w:tcPr>
          <w:p w14:paraId="6A1568FB"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RD</w:t>
            </w:r>
          </w:p>
        </w:tc>
        <w:tc>
          <w:tcPr>
            <w:tcW w:w="892" w:type="pct"/>
            <w:tcBorders>
              <w:top w:val="single" w:sz="4" w:space="0" w:color="auto"/>
              <w:left w:val="nil"/>
              <w:bottom w:val="single" w:sz="4" w:space="0" w:color="auto"/>
              <w:right w:val="single" w:sz="4" w:space="0" w:color="auto"/>
            </w:tcBorders>
            <w:shd w:val="clear" w:color="auto" w:fill="auto"/>
          </w:tcPr>
          <w:p w14:paraId="52694564"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-0.01 </w:t>
            </w:r>
            <w:r>
              <w:rPr>
                <w:rFonts w:ascii="Arial Narrow" w:hAnsi="Arial Narrow"/>
                <w:sz w:val="20"/>
                <w:szCs w:val="20"/>
              </w:rPr>
              <w:t>(</w:t>
            </w:r>
            <w:r w:rsidRPr="00DD545E">
              <w:rPr>
                <w:rFonts w:ascii="Arial Narrow" w:hAnsi="Arial Narrow"/>
                <w:sz w:val="20"/>
                <w:szCs w:val="20"/>
              </w:rPr>
              <w:t>-0.07, 0.04</w:t>
            </w:r>
            <w:r>
              <w:rPr>
                <w:rFonts w:ascii="Arial Narrow" w:hAnsi="Arial Narrow"/>
                <w:sz w:val="20"/>
                <w:szCs w:val="20"/>
              </w:rPr>
              <w:t>)</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2B97EFDC" w14:textId="77777777" w:rsidR="00DC33F2" w:rsidRPr="00DD545E" w:rsidRDefault="00DC33F2" w:rsidP="00AD478D">
            <w:pPr>
              <w:widowControl w:val="0"/>
              <w:spacing w:before="60" w:after="40"/>
              <w:jc w:val="center"/>
              <w:rPr>
                <w:rFonts w:ascii="Arial Narrow" w:hAnsi="Arial Narrow"/>
                <w:sz w:val="20"/>
                <w:szCs w:val="20"/>
              </w:rPr>
            </w:pPr>
            <w:r w:rsidRPr="00DD545E">
              <w:rPr>
                <w:rFonts w:ascii="Arial Narrow" w:hAnsi="Arial Narrow"/>
                <w:sz w:val="20"/>
                <w:szCs w:val="20"/>
              </w:rPr>
              <w:t xml:space="preserve">-0.08 </w:t>
            </w:r>
            <w:r>
              <w:rPr>
                <w:rFonts w:ascii="Arial Narrow" w:hAnsi="Arial Narrow"/>
                <w:sz w:val="20"/>
                <w:szCs w:val="20"/>
              </w:rPr>
              <w:t>(</w:t>
            </w:r>
            <w:r w:rsidRPr="00DD545E">
              <w:rPr>
                <w:rFonts w:ascii="Arial Narrow" w:hAnsi="Arial Narrow"/>
                <w:sz w:val="20"/>
                <w:szCs w:val="20"/>
              </w:rPr>
              <w:t>-0.12, -0.04</w:t>
            </w:r>
            <w:r>
              <w:rPr>
                <w:rFonts w:ascii="Arial Narrow" w:hAnsi="Arial Narrow"/>
                <w:sz w:val="20"/>
                <w:szCs w:val="20"/>
              </w:rPr>
              <w:t>)</w:t>
            </w:r>
          </w:p>
        </w:tc>
        <w:tc>
          <w:tcPr>
            <w:tcW w:w="1701" w:type="pct"/>
            <w:tcBorders>
              <w:top w:val="single" w:sz="4" w:space="0" w:color="auto"/>
              <w:left w:val="nil"/>
              <w:bottom w:val="single" w:sz="4" w:space="0" w:color="auto"/>
              <w:right w:val="single" w:sz="4" w:space="0" w:color="auto"/>
            </w:tcBorders>
            <w:shd w:val="clear" w:color="auto" w:fill="auto"/>
          </w:tcPr>
          <w:p w14:paraId="7ED99F4A" w14:textId="77777777" w:rsidR="00DC33F2" w:rsidRPr="00684AEF" w:rsidRDefault="00DC33F2" w:rsidP="00AD478D">
            <w:pPr>
              <w:widowControl w:val="0"/>
              <w:spacing w:before="60" w:after="40"/>
              <w:jc w:val="center"/>
              <w:rPr>
                <w:rFonts w:ascii="Arial Narrow" w:hAnsi="Arial Narrow"/>
                <w:b/>
                <w:bCs/>
                <w:sz w:val="20"/>
                <w:szCs w:val="20"/>
              </w:rPr>
            </w:pPr>
            <w:r w:rsidRPr="00684AEF">
              <w:rPr>
                <w:rFonts w:ascii="Arial Narrow" w:hAnsi="Arial Narrow"/>
                <w:b/>
                <w:bCs/>
                <w:sz w:val="20"/>
                <w:szCs w:val="20"/>
              </w:rPr>
              <w:t xml:space="preserve">0.07 </w:t>
            </w:r>
            <w:r>
              <w:rPr>
                <w:rFonts w:ascii="Arial Narrow" w:hAnsi="Arial Narrow"/>
                <w:b/>
                <w:bCs/>
                <w:sz w:val="20"/>
                <w:szCs w:val="20"/>
              </w:rPr>
              <w:t>(</w:t>
            </w:r>
            <w:r w:rsidRPr="00684AEF">
              <w:rPr>
                <w:rFonts w:ascii="Arial Narrow" w:hAnsi="Arial Narrow"/>
                <w:b/>
                <w:bCs/>
                <w:sz w:val="20"/>
                <w:szCs w:val="20"/>
              </w:rPr>
              <w:t>0, 0.14</w:t>
            </w:r>
            <w:r>
              <w:rPr>
                <w:rFonts w:ascii="Arial Narrow" w:hAnsi="Arial Narrow"/>
                <w:b/>
                <w:bCs/>
                <w:sz w:val="20"/>
                <w:szCs w:val="20"/>
              </w:rPr>
              <w:t>)</w:t>
            </w:r>
            <w:r w:rsidRPr="00684AEF">
              <w:rPr>
                <w:rFonts w:ascii="Arial Narrow" w:hAnsi="Arial Narrow"/>
                <w:b/>
                <w:bCs/>
                <w:sz w:val="20"/>
                <w:szCs w:val="20"/>
              </w:rPr>
              <w:t xml:space="preserve"> </w:t>
            </w:r>
          </w:p>
        </w:tc>
      </w:tr>
    </w:tbl>
    <w:p w14:paraId="67C3AF09" w14:textId="77777777" w:rsidR="00DC33F2" w:rsidRDefault="00DC33F2" w:rsidP="00DC33F2">
      <w:pPr>
        <w:pStyle w:val="TableFigureFooter"/>
        <w:rPr>
          <w:lang w:eastAsia="en-GB"/>
        </w:rPr>
      </w:pPr>
      <w:r w:rsidRPr="00DD545E">
        <w:rPr>
          <w:lang w:eastAsia="en-GB"/>
        </w:rPr>
        <w:t>Source:</w:t>
      </w:r>
      <w:r>
        <w:rPr>
          <w:lang w:eastAsia="en-GB"/>
        </w:rPr>
        <w:t xml:space="preserve"> Table 2-52, p159 of the resubmission.</w:t>
      </w:r>
    </w:p>
    <w:p w14:paraId="591ECC8D" w14:textId="77777777" w:rsidR="00DC33F2" w:rsidRPr="007C7B66" w:rsidRDefault="006138C5" w:rsidP="00DC33F2">
      <w:pPr>
        <w:pStyle w:val="TableFigureFooter"/>
        <w:rPr>
          <w:lang w:eastAsia="en-GB"/>
        </w:rPr>
      </w:pPr>
      <w:r>
        <w:t xml:space="preserve">CI = confidence interval, </w:t>
      </w:r>
      <w:r w:rsidR="00DC33F2" w:rsidRPr="00DD545E">
        <w:t>OR</w:t>
      </w:r>
      <w:r w:rsidR="00DC33F2">
        <w:t xml:space="preserve"> = </w:t>
      </w:r>
      <w:r w:rsidR="00DC33F2" w:rsidRPr="00DD545E">
        <w:t>odds ratio</w:t>
      </w:r>
      <w:r w:rsidR="00DC33F2">
        <w:t xml:space="preserve">, </w:t>
      </w:r>
      <w:r w:rsidR="00DC33F2" w:rsidRPr="00DD545E">
        <w:t>REG</w:t>
      </w:r>
      <w:r w:rsidR="00DC33F2">
        <w:t xml:space="preserve"> =</w:t>
      </w:r>
      <w:r w:rsidR="00DC33F2" w:rsidRPr="00DD545E">
        <w:t xml:space="preserve"> regorafenib</w:t>
      </w:r>
      <w:r w:rsidR="00DC33F2">
        <w:t xml:space="preserve">, </w:t>
      </w:r>
      <w:r w:rsidR="00DC33F2" w:rsidRPr="00DD545E">
        <w:t>RD</w:t>
      </w:r>
      <w:r w:rsidR="00DC33F2">
        <w:t xml:space="preserve"> = </w:t>
      </w:r>
      <w:r w:rsidR="00DC33F2" w:rsidRPr="00DD545E">
        <w:t>risk differenc</w:t>
      </w:r>
      <w:r w:rsidR="00DC33F2">
        <w:t xml:space="preserve">e, </w:t>
      </w:r>
      <w:r w:rsidR="00DC33F2" w:rsidRPr="00DD545E">
        <w:t>RR</w:t>
      </w:r>
      <w:r w:rsidR="00DC33F2">
        <w:t xml:space="preserve"> = </w:t>
      </w:r>
      <w:r w:rsidR="00DC33F2" w:rsidRPr="00DD545E">
        <w:t>risk ratio</w:t>
      </w:r>
      <w:r w:rsidR="00DC33F2">
        <w:t>,</w:t>
      </w:r>
      <w:r>
        <w:t xml:space="preserve"> </w:t>
      </w:r>
      <w:r w:rsidR="00DC33F2" w:rsidRPr="00DD545E">
        <w:t>T/T</w:t>
      </w:r>
      <w:r w:rsidR="00DC33F2">
        <w:t xml:space="preserve"> = </w:t>
      </w:r>
      <w:r w:rsidR="00DC33F2" w:rsidRPr="007C7B66">
        <w:t>trifluridine</w:t>
      </w:r>
      <w:r w:rsidR="00DC33F2">
        <w:t>/</w:t>
      </w:r>
      <w:r w:rsidR="00DC33F2" w:rsidRPr="007C7B66">
        <w:t>tipiracil.</w:t>
      </w:r>
    </w:p>
    <w:p w14:paraId="0D9A26BA" w14:textId="77777777" w:rsidR="00DC33F2" w:rsidRDefault="00DC33F2" w:rsidP="00DC33F2">
      <w:pPr>
        <w:pStyle w:val="TableFigureFooter"/>
        <w:rPr>
          <w:rFonts w:eastAsia="Calibri"/>
        </w:rPr>
      </w:pPr>
      <w:r w:rsidRPr="00760F9E">
        <w:rPr>
          <w:rFonts w:eastAsia="Calibri"/>
          <w:b/>
        </w:rPr>
        <w:t>Bold</w:t>
      </w:r>
      <w:r>
        <w:rPr>
          <w:rFonts w:eastAsia="Calibri"/>
        </w:rPr>
        <w:t xml:space="preserve"> indicates statistically significant results.</w:t>
      </w:r>
    </w:p>
    <w:p w14:paraId="6DCC5774" w14:textId="77777777" w:rsidR="005C7590" w:rsidRPr="000E4245" w:rsidRDefault="00DC33F2" w:rsidP="005C7590">
      <w:pPr>
        <w:pStyle w:val="3-BodyText"/>
      </w:pPr>
      <w:r w:rsidRPr="00262DC5">
        <w:rPr>
          <w:rFonts w:ascii="Calibri" w:hAnsi="Calibri"/>
        </w:rPr>
        <w:t>Th</w:t>
      </w:r>
      <w:r>
        <w:rPr>
          <w:rFonts w:ascii="Calibri" w:hAnsi="Calibri"/>
        </w:rPr>
        <w:t>e</w:t>
      </w:r>
      <w:r w:rsidRPr="00E00D49">
        <w:rPr>
          <w:rFonts w:ascii="Calibri" w:hAnsi="Calibri"/>
        </w:rPr>
        <w:t xml:space="preserve"> indirect comparison of</w:t>
      </w:r>
      <w:r>
        <w:rPr>
          <w:rFonts w:ascii="Calibri" w:hAnsi="Calibri"/>
        </w:rPr>
        <w:t xml:space="preserve"> Worst Grade toxicity</w:t>
      </w:r>
      <w:r w:rsidRPr="00E00D49">
        <w:rPr>
          <w:rFonts w:ascii="Calibri" w:hAnsi="Calibri"/>
        </w:rPr>
        <w:t xml:space="preserve"> showed </w:t>
      </w:r>
      <w:r w:rsidR="005C7590">
        <w:rPr>
          <w:rFonts w:ascii="Calibri" w:hAnsi="Calibri"/>
        </w:rPr>
        <w:t xml:space="preserve">that </w:t>
      </w:r>
      <w:bookmarkStart w:id="38" w:name="_Hlk81830615"/>
      <w:r w:rsidR="005C7590">
        <w:rPr>
          <w:rFonts w:ascii="Calibri" w:hAnsi="Calibri"/>
        </w:rPr>
        <w:t>s</w:t>
      </w:r>
      <w:r w:rsidR="005C7590" w:rsidRPr="00262DC5">
        <w:rPr>
          <w:rFonts w:ascii="Calibri" w:hAnsi="Calibri"/>
        </w:rPr>
        <w:t xml:space="preserve">tatistically significantly fewer patient treated with regorafenib </w:t>
      </w:r>
      <w:r w:rsidR="00EB3162">
        <w:rPr>
          <w:rFonts w:ascii="Calibri" w:hAnsi="Calibri"/>
        </w:rPr>
        <w:t>had</w:t>
      </w:r>
      <w:r w:rsidR="005C7590" w:rsidRPr="00262DC5">
        <w:rPr>
          <w:rFonts w:ascii="Calibri" w:hAnsi="Calibri"/>
        </w:rPr>
        <w:t xml:space="preserve"> Grade 4 </w:t>
      </w:r>
      <w:r w:rsidR="003C2B82">
        <w:rPr>
          <w:rFonts w:ascii="Calibri" w:hAnsi="Calibri"/>
        </w:rPr>
        <w:t xml:space="preserve">(i.e., serious) </w:t>
      </w:r>
      <w:r w:rsidR="005C7590">
        <w:rPr>
          <w:rFonts w:ascii="Calibri" w:hAnsi="Calibri"/>
        </w:rPr>
        <w:t>AEs</w:t>
      </w:r>
      <w:r w:rsidR="005C7590" w:rsidRPr="00262DC5">
        <w:rPr>
          <w:rFonts w:ascii="Calibri" w:hAnsi="Calibri"/>
        </w:rPr>
        <w:t xml:space="preserve"> </w:t>
      </w:r>
      <w:r w:rsidR="005C7590">
        <w:rPr>
          <w:rFonts w:ascii="Calibri" w:hAnsi="Calibri"/>
        </w:rPr>
        <w:t xml:space="preserve">than the patients treated with trifluridine/tipiracil. However, </w:t>
      </w:r>
      <w:r w:rsidRPr="00E00D49">
        <w:rPr>
          <w:rFonts w:ascii="Calibri" w:hAnsi="Calibri"/>
        </w:rPr>
        <w:t>more patients treated with regorafenib suffered Grade 3</w:t>
      </w:r>
      <w:r>
        <w:rPr>
          <w:rFonts w:ascii="Calibri" w:hAnsi="Calibri"/>
        </w:rPr>
        <w:t xml:space="preserve"> (i.e., severe)</w:t>
      </w:r>
      <w:r w:rsidRPr="00E00D49">
        <w:rPr>
          <w:rFonts w:ascii="Calibri" w:hAnsi="Calibri"/>
        </w:rPr>
        <w:t xml:space="preserve"> and Grade 5 </w:t>
      </w:r>
      <w:r>
        <w:rPr>
          <w:rFonts w:ascii="Calibri" w:hAnsi="Calibri"/>
        </w:rPr>
        <w:t xml:space="preserve">(i.e., death) </w:t>
      </w:r>
      <w:r w:rsidR="003C2B82">
        <w:rPr>
          <w:rFonts w:ascii="Calibri" w:hAnsi="Calibri"/>
        </w:rPr>
        <w:t>AEs</w:t>
      </w:r>
      <w:r w:rsidRPr="00E00D49">
        <w:rPr>
          <w:rFonts w:ascii="Calibri" w:hAnsi="Calibri"/>
        </w:rPr>
        <w:t xml:space="preserve"> than the p</w:t>
      </w:r>
      <w:r>
        <w:rPr>
          <w:rFonts w:ascii="Calibri" w:hAnsi="Calibri"/>
        </w:rPr>
        <w:t>atients</w:t>
      </w:r>
      <w:r w:rsidRPr="00E00D49">
        <w:rPr>
          <w:rFonts w:ascii="Calibri" w:hAnsi="Calibri"/>
        </w:rPr>
        <w:t xml:space="preserve"> treated with trifluridine/tipiracil.</w:t>
      </w:r>
      <w:bookmarkEnd w:id="38"/>
      <w:r>
        <w:rPr>
          <w:rFonts w:ascii="Calibri" w:hAnsi="Calibri"/>
        </w:rPr>
        <w:t xml:space="preserve"> </w:t>
      </w:r>
      <w:r w:rsidR="005C7590" w:rsidRPr="001B1857">
        <w:t>In the November 2016 consideration of trifluridine/tipiracil, the PBAC noted that trifluridine</w:t>
      </w:r>
      <w:r w:rsidR="007208E7">
        <w:t>/tipiracil</w:t>
      </w:r>
      <w:r w:rsidR="005C7590" w:rsidRPr="001B1857">
        <w:t xml:space="preserve"> appears to be better tolerated when compared to regorafenib</w:t>
      </w:r>
      <w:r w:rsidR="005C7590">
        <w:t xml:space="preserve"> (paragraph 7.7, trifluridine/tipiracil, Public Summary Document, November 2016 PBAC meeting).</w:t>
      </w:r>
    </w:p>
    <w:p w14:paraId="5343EB96" w14:textId="77777777" w:rsidR="00955127" w:rsidRDefault="00DC33F2" w:rsidP="00DC33F2">
      <w:pPr>
        <w:pStyle w:val="3-BodyText"/>
        <w:rPr>
          <w:iCs/>
        </w:rPr>
      </w:pPr>
      <w:r w:rsidRPr="008705DE">
        <w:rPr>
          <w:iCs/>
        </w:rPr>
        <w:t>The resubmission did not present sensitivity analys</w:t>
      </w:r>
      <w:r w:rsidR="00EB3162" w:rsidRPr="008705DE">
        <w:rPr>
          <w:iCs/>
        </w:rPr>
        <w:t>e</w:t>
      </w:r>
      <w:r w:rsidRPr="008705DE">
        <w:rPr>
          <w:iCs/>
        </w:rPr>
        <w:t xml:space="preserve">s to include other clinical trials in the indirect comparison of safety. </w:t>
      </w:r>
    </w:p>
    <w:p w14:paraId="6FB1A970" w14:textId="77777777" w:rsidR="00955127" w:rsidRDefault="00955127" w:rsidP="00EF3207">
      <w:pPr>
        <w:pStyle w:val="3-BodyText"/>
      </w:pPr>
      <w:r w:rsidRPr="001D2FDF">
        <w:t xml:space="preserve">The PSCR stated regorafenib and trifluridine/tipiracil have distinct adverse event profiles and reiterated the results of the indirect comparison which indicated regorafenib may be associated with more grade 3 events, while trifluridine/tipiracil may be associated with more grade 4 adverse events. The ESC noted the available evidence indicated regorafenib may also be associated with more grade 5 (i.e. fatal) adverse events. </w:t>
      </w:r>
      <w:r w:rsidR="004025A8" w:rsidRPr="001D2FDF">
        <w:t xml:space="preserve">The ESC </w:t>
      </w:r>
      <w:r w:rsidR="00EF3207">
        <w:t xml:space="preserve">was of the view </w:t>
      </w:r>
      <w:r w:rsidR="004025A8" w:rsidRPr="001D2FDF">
        <w:t>that the haematological adverse effects of trifluridine/tipiracil are generally easier to manage than the severe dermatological reactions with regorafenib.</w:t>
      </w:r>
    </w:p>
    <w:p w14:paraId="0DBE26A0" w14:textId="77777777" w:rsidR="00B935AA" w:rsidRPr="00660145" w:rsidRDefault="00B935AA" w:rsidP="00EF3207">
      <w:pPr>
        <w:pStyle w:val="3-BodyText"/>
      </w:pPr>
      <w:r>
        <w:t>The Pre-PBAC Response (p1) disagreed with the ESC and argued the dermatological adverse events associated with regorafenib can be managed by a dose titration strategy and the use of topical creams.  Furthermore, the sponsor also argued dose titration is now included in some treatment guidelines and adopted to mitigate the incidence of early onset grade III adverse events without compromising efficacy</w:t>
      </w:r>
      <w:r>
        <w:rPr>
          <w:rStyle w:val="FootnoteReference"/>
        </w:rPr>
        <w:footnoteReference w:id="1"/>
      </w:r>
      <w:r>
        <w:t xml:space="preserve"> and stated that a dose titration approach would also reduce the drug costs associated with regorafenib. </w:t>
      </w:r>
      <w:r w:rsidR="00EF3207" w:rsidRPr="00EF3207">
        <w:rPr>
          <w:iCs/>
        </w:rPr>
        <w:t>The PBAC noted options for lower starting doses appeared to be contrary to the approved TGA Product Information for regorafenib.</w:t>
      </w:r>
    </w:p>
    <w:p w14:paraId="707B893C" w14:textId="079FF85D" w:rsidR="00DC33F2" w:rsidRPr="008E64A9" w:rsidRDefault="00B935AA" w:rsidP="008E64A9">
      <w:pPr>
        <w:pStyle w:val="3-BodyText"/>
      </w:pPr>
      <w:r>
        <w:rPr>
          <w:iCs/>
        </w:rPr>
        <w:t>The Pre-PBAC Response (p1) noted the results of a meta-analysis (Zhao and Zhao 2017</w:t>
      </w:r>
      <w:r>
        <w:rPr>
          <w:rStyle w:val="FootnoteReference"/>
          <w:iCs/>
        </w:rPr>
        <w:footnoteReference w:id="2"/>
      </w:r>
      <w:r>
        <w:rPr>
          <w:iCs/>
        </w:rPr>
        <w:t xml:space="preserve">) that assessed the risk of regorafenib-related hepatotoxicity in 2,213 subjects across its range of approved indications, which found the incidence of life-threatening hepatic failure was extremely small.  </w:t>
      </w:r>
      <w:r w:rsidR="006729C4">
        <w:rPr>
          <w:iCs/>
        </w:rPr>
        <w:t>The PBAC noted that the TGA included the r</w:t>
      </w:r>
      <w:r w:rsidR="006729C4" w:rsidRPr="006729C4">
        <w:rPr>
          <w:iCs/>
        </w:rPr>
        <w:t>are cases of fatal hepatotoxicity</w:t>
      </w:r>
      <w:r w:rsidR="006729C4">
        <w:rPr>
          <w:iCs/>
        </w:rPr>
        <w:t xml:space="preserve"> in a black box warning.</w:t>
      </w:r>
    </w:p>
    <w:p w14:paraId="4E4CB12A" w14:textId="77777777" w:rsidR="00DC33F2" w:rsidRPr="00F43BB1" w:rsidRDefault="00DC33F2" w:rsidP="00DC33F2">
      <w:pPr>
        <w:pStyle w:val="4-SubsectionHeading"/>
      </w:pPr>
      <w:bookmarkStart w:id="39" w:name="_Toc22897644"/>
      <w:bookmarkStart w:id="40" w:name="_Toc22898856"/>
      <w:bookmarkStart w:id="41" w:name="_Toc82598857"/>
      <w:r w:rsidRPr="00C9624D">
        <w:t>Clinical claim</w:t>
      </w:r>
      <w:bookmarkEnd w:id="39"/>
      <w:bookmarkEnd w:id="40"/>
      <w:bookmarkEnd w:id="41"/>
    </w:p>
    <w:p w14:paraId="6F358786" w14:textId="77777777" w:rsidR="00DC33F2" w:rsidRPr="008705DE" w:rsidRDefault="00DC33F2" w:rsidP="00DC33F2">
      <w:pPr>
        <w:pStyle w:val="3-BodyText"/>
        <w:rPr>
          <w:rFonts w:eastAsia="Calibri"/>
        </w:rPr>
      </w:pPr>
      <w:r w:rsidRPr="00C754BA">
        <w:rPr>
          <w:rFonts w:eastAsia="Calibri"/>
        </w:rPr>
        <w:t xml:space="preserve">The </w:t>
      </w:r>
      <w:r w:rsidR="00EB3162">
        <w:rPr>
          <w:rFonts w:eastAsia="Calibri"/>
        </w:rPr>
        <w:t>re</w:t>
      </w:r>
      <w:r w:rsidRPr="00C754BA">
        <w:rPr>
          <w:rFonts w:eastAsia="Calibri"/>
        </w:rPr>
        <w:t xml:space="preserve">submission described regorafenib as non-inferior in terms of effectiveness </w:t>
      </w:r>
      <w:r w:rsidRPr="008705DE">
        <w:rPr>
          <w:rFonts w:eastAsia="Calibri"/>
        </w:rPr>
        <w:t xml:space="preserve">compared to trifluridine/tipiracil. The </w:t>
      </w:r>
      <w:r w:rsidR="00715277">
        <w:rPr>
          <w:rFonts w:eastAsia="Calibri"/>
        </w:rPr>
        <w:t xml:space="preserve">evaluation identified the </w:t>
      </w:r>
      <w:r w:rsidRPr="008705DE">
        <w:rPr>
          <w:rFonts w:eastAsia="Calibri"/>
        </w:rPr>
        <w:t xml:space="preserve">key issues </w:t>
      </w:r>
      <w:r w:rsidR="00715277">
        <w:rPr>
          <w:rFonts w:eastAsia="Calibri"/>
        </w:rPr>
        <w:t xml:space="preserve">of uncertainty with this claim </w:t>
      </w:r>
      <w:r w:rsidRPr="008705DE">
        <w:rPr>
          <w:rFonts w:eastAsia="Calibri"/>
        </w:rPr>
        <w:t>were:</w:t>
      </w:r>
      <w:r w:rsidRPr="008705DE">
        <w:rPr>
          <w:iCs/>
        </w:rPr>
        <w:t xml:space="preserve"> </w:t>
      </w:r>
    </w:p>
    <w:p w14:paraId="739D15C4" w14:textId="77777777" w:rsidR="00761D7E" w:rsidRPr="008705DE" w:rsidRDefault="00761D7E" w:rsidP="005A7F8B">
      <w:pPr>
        <w:pStyle w:val="ListBullet"/>
        <w:numPr>
          <w:ilvl w:val="0"/>
          <w:numId w:val="7"/>
        </w:numPr>
        <w:ind w:left="1077" w:hanging="357"/>
        <w:rPr>
          <w:iCs/>
        </w:rPr>
      </w:pPr>
      <w:r w:rsidRPr="008705DE">
        <w:rPr>
          <w:rFonts w:asciiTheme="minorHAnsi" w:hAnsiTheme="minorHAnsi"/>
          <w:iCs/>
          <w:snapToGrid w:val="0"/>
        </w:rPr>
        <w:t>The lack of a statistically significant difference in the primary outcome in the indirect comparison is not sufficient to establish non-inferiority in the absence of a non-inferiority margin; and</w:t>
      </w:r>
    </w:p>
    <w:p w14:paraId="6C58E43B" w14:textId="77777777" w:rsidR="00CC7EAA" w:rsidRPr="00CC7EAA" w:rsidRDefault="00761D7E" w:rsidP="005A7F8B">
      <w:pPr>
        <w:pStyle w:val="ListBullet"/>
        <w:numPr>
          <w:ilvl w:val="0"/>
          <w:numId w:val="7"/>
        </w:numPr>
        <w:spacing w:after="160"/>
        <w:ind w:left="1077" w:hanging="357"/>
        <w:rPr>
          <w:iCs/>
        </w:rPr>
      </w:pPr>
      <w:r w:rsidRPr="008705DE">
        <w:rPr>
          <w:rFonts w:asciiTheme="minorHAnsi" w:hAnsiTheme="minorHAnsi"/>
          <w:iCs/>
          <w:snapToGrid w:val="0"/>
        </w:rPr>
        <w:t xml:space="preserve">The results of the indirect comparison may be subject to potential confounders, particularly the use of systemic therapies after progression on regorafenib or </w:t>
      </w:r>
      <w:r w:rsidRPr="008705DE">
        <w:t>trifluridine/tipiracil.</w:t>
      </w:r>
    </w:p>
    <w:p w14:paraId="29389828" w14:textId="77777777" w:rsidR="00CC7EAA" w:rsidRPr="001D2FDF" w:rsidRDefault="00CC7EAA" w:rsidP="00CC7EAA">
      <w:pPr>
        <w:pStyle w:val="3-BodyText"/>
        <w:rPr>
          <w:iCs/>
        </w:rPr>
      </w:pPr>
      <w:r w:rsidRPr="001D2FDF">
        <w:rPr>
          <w:iCs/>
        </w:rPr>
        <w:t>The PSCR reiterated the view expressed in the submission that the results of the main indirect comparison are consistent with that previously considered by the PBAC for trifluridine/tipiracil. Although the PBAC had previously noted that the efficacy of trifluridine/tipiracil may be similar to that of regorafenib, the ESC noted this was a broad observation rather than a definitive conclusion on the comparative efficacy of these therapies based on a formal comparison.</w:t>
      </w:r>
    </w:p>
    <w:p w14:paraId="7B31FF95" w14:textId="77777777" w:rsidR="00DC33F2" w:rsidRPr="001D2FDF" w:rsidRDefault="00DC33F2" w:rsidP="00DC33F2">
      <w:pPr>
        <w:pStyle w:val="3-BodyText"/>
        <w:rPr>
          <w:iCs/>
        </w:rPr>
      </w:pPr>
      <w:r w:rsidRPr="001D2FDF">
        <w:rPr>
          <w:rFonts w:eastAsia="Calibri"/>
          <w:iCs/>
        </w:rPr>
        <w:t xml:space="preserve">The </w:t>
      </w:r>
      <w:r w:rsidR="00EB3162" w:rsidRPr="001D2FDF">
        <w:rPr>
          <w:rFonts w:eastAsia="Calibri"/>
          <w:iCs/>
        </w:rPr>
        <w:t>re</w:t>
      </w:r>
      <w:r w:rsidRPr="001D2FDF">
        <w:rPr>
          <w:rFonts w:eastAsia="Calibri"/>
          <w:iCs/>
        </w:rPr>
        <w:t>submission described regorafenib as non-inferior in terms of safety compared to trifluridine/tipiracil. Th</w:t>
      </w:r>
      <w:r w:rsidR="00715277">
        <w:rPr>
          <w:rFonts w:eastAsia="Calibri"/>
          <w:iCs/>
        </w:rPr>
        <w:t>e evaluation concluded this</w:t>
      </w:r>
      <w:r w:rsidRPr="001D2FDF">
        <w:rPr>
          <w:rFonts w:eastAsia="Calibri"/>
          <w:iCs/>
        </w:rPr>
        <w:t xml:space="preserve"> claim was not adequately supported. The key issues were:</w:t>
      </w:r>
    </w:p>
    <w:p w14:paraId="4826FB27" w14:textId="77777777" w:rsidR="00761D7E" w:rsidRPr="001D2FDF" w:rsidRDefault="00761D7E" w:rsidP="005A7F8B">
      <w:pPr>
        <w:pStyle w:val="3-BodyText"/>
        <w:numPr>
          <w:ilvl w:val="0"/>
          <w:numId w:val="15"/>
        </w:numPr>
        <w:ind w:left="1077" w:hanging="357"/>
        <w:rPr>
          <w:iCs/>
        </w:rPr>
      </w:pPr>
      <w:r w:rsidRPr="001D2FDF">
        <w:rPr>
          <w:iCs/>
        </w:rPr>
        <w:t>Post hoc statistical comparisons for selected adverse events were presented; and</w:t>
      </w:r>
    </w:p>
    <w:p w14:paraId="1A7DE31C" w14:textId="77777777" w:rsidR="00CA3D87" w:rsidRPr="001D2FDF" w:rsidRDefault="00761D7E" w:rsidP="005A7F8B">
      <w:pPr>
        <w:pStyle w:val="3-BodyText"/>
        <w:numPr>
          <w:ilvl w:val="0"/>
          <w:numId w:val="15"/>
        </w:numPr>
        <w:ind w:left="1077" w:hanging="357"/>
        <w:rPr>
          <w:iCs/>
        </w:rPr>
      </w:pPr>
      <w:r w:rsidRPr="001D2FDF">
        <w:rPr>
          <w:iCs/>
        </w:rPr>
        <w:t xml:space="preserve">The indirect comparisons of specific adverse events are not informative because regorafenib and trifluridine have distinct adverse events profiles. </w:t>
      </w:r>
    </w:p>
    <w:p w14:paraId="6A7E57C6" w14:textId="77777777" w:rsidR="00CC7EAA" w:rsidRPr="001D2FDF" w:rsidRDefault="00CA3D87" w:rsidP="00CC7EAA">
      <w:pPr>
        <w:pStyle w:val="3-BodyText"/>
        <w:rPr>
          <w:iCs/>
        </w:rPr>
      </w:pPr>
      <w:r w:rsidRPr="001D2FDF">
        <w:rPr>
          <w:iCs/>
        </w:rPr>
        <w:t xml:space="preserve">Whilst there were uncertainties in the clinical comparison, the ESC considered that, on balance, the claim of non-inferior comparative </w:t>
      </w:r>
      <w:r w:rsidR="0056650E" w:rsidRPr="001D2FDF">
        <w:rPr>
          <w:iCs/>
        </w:rPr>
        <w:t>effe</w:t>
      </w:r>
      <w:r w:rsidR="0056650E">
        <w:rPr>
          <w:iCs/>
        </w:rPr>
        <w:t>ctiveness</w:t>
      </w:r>
      <w:r w:rsidR="00715277" w:rsidRPr="001D2FDF">
        <w:rPr>
          <w:iCs/>
        </w:rPr>
        <w:t xml:space="preserve"> </w:t>
      </w:r>
      <w:r w:rsidRPr="001D2FDF">
        <w:rPr>
          <w:iCs/>
        </w:rPr>
        <w:t>versus trifluridine/tipiracil may be reasonable, however agreed the lack of a specified non-inferiority margin exacerbated the uncertainties.</w:t>
      </w:r>
    </w:p>
    <w:p w14:paraId="0BFA4663" w14:textId="77777777" w:rsidR="00CC7EAA" w:rsidRDefault="00CC7EAA" w:rsidP="00CC7EAA">
      <w:pPr>
        <w:pStyle w:val="3-BodyText"/>
        <w:rPr>
          <w:iCs/>
        </w:rPr>
      </w:pPr>
      <w:r w:rsidRPr="001D2FDF">
        <w:rPr>
          <w:iCs/>
        </w:rPr>
        <w:t xml:space="preserve">On balance, the ESC considered regorafenib may have a worse safety profile than trifluridine/tipiracil and noted this view appeared to be supported by the PBAC’s prior expressed view </w:t>
      </w:r>
      <w:r w:rsidR="004025A8" w:rsidRPr="001D2FDF">
        <w:rPr>
          <w:iCs/>
        </w:rPr>
        <w:t xml:space="preserve">relating to trifluridine/tipiracil, </w:t>
      </w:r>
      <w:r w:rsidRPr="001D2FDF">
        <w:rPr>
          <w:iCs/>
        </w:rPr>
        <w:t>and the fact regorafenib is subject to a TGA black boxed warning, whilst trifluridine/tipiracil is not.</w:t>
      </w:r>
      <w:r w:rsidR="00147E77">
        <w:rPr>
          <w:iCs/>
        </w:rPr>
        <w:t xml:space="preserve"> </w:t>
      </w:r>
    </w:p>
    <w:p w14:paraId="1B6AF652" w14:textId="77777777" w:rsidR="00FB531F" w:rsidRDefault="00FB531F" w:rsidP="00CC7EAA">
      <w:pPr>
        <w:pStyle w:val="3-BodyText"/>
        <w:rPr>
          <w:iCs/>
        </w:rPr>
      </w:pPr>
      <w:r>
        <w:rPr>
          <w:iCs/>
        </w:rPr>
        <w:t>The PBAC considered that the claim of non-inferior comparative effectiveness to trifluridine/tipiracil was, on balance, likely to be reasonable.</w:t>
      </w:r>
    </w:p>
    <w:p w14:paraId="31AE0D3D" w14:textId="2077B689" w:rsidR="00CA3D87" w:rsidRPr="008E64A9" w:rsidRDefault="00147E77" w:rsidP="008E64A9">
      <w:pPr>
        <w:pStyle w:val="3-BodyText"/>
        <w:rPr>
          <w:iCs/>
        </w:rPr>
      </w:pPr>
      <w:r>
        <w:rPr>
          <w:iCs/>
        </w:rPr>
        <w:t>The PBAC considered that the claim of non-inferior comparative safety to trifluridine/tipiracil was not adequately supported.</w:t>
      </w:r>
    </w:p>
    <w:p w14:paraId="7D3EA5EA" w14:textId="77777777" w:rsidR="00DC33F2" w:rsidRPr="00C9624D" w:rsidRDefault="00DC33F2" w:rsidP="00DC33F2">
      <w:pPr>
        <w:pStyle w:val="4-SubsectionHeading"/>
      </w:pPr>
      <w:bookmarkStart w:id="42" w:name="_Toc22897645"/>
      <w:bookmarkStart w:id="43" w:name="_Toc22898857"/>
      <w:bookmarkStart w:id="44" w:name="_Toc82598858"/>
      <w:r w:rsidRPr="00C9624D">
        <w:t>Economic analysis</w:t>
      </w:r>
      <w:bookmarkEnd w:id="42"/>
      <w:bookmarkEnd w:id="43"/>
      <w:bookmarkEnd w:id="44"/>
      <w:r w:rsidRPr="00C9624D">
        <w:t xml:space="preserve"> </w:t>
      </w:r>
    </w:p>
    <w:p w14:paraId="676FEA28" w14:textId="77777777" w:rsidR="00DC33F2" w:rsidRDefault="00DC33F2" w:rsidP="00DC33F2">
      <w:pPr>
        <w:pStyle w:val="3-BodyText"/>
      </w:pPr>
      <w:bookmarkStart w:id="45" w:name="_Toc22897646"/>
      <w:bookmarkStart w:id="46" w:name="_Toc22898858"/>
      <w:r>
        <w:t xml:space="preserve">The </w:t>
      </w:r>
      <w:r w:rsidR="00A12A47">
        <w:t>re</w:t>
      </w:r>
      <w:r>
        <w:t>submission presented a cost-minimisation analysis against trifluridine/tipiracil. In the previous submission, a cost-utility analysis was presented against BSC.</w:t>
      </w:r>
    </w:p>
    <w:p w14:paraId="4B76ECF4" w14:textId="77777777" w:rsidR="00DC33F2" w:rsidRDefault="00DC33F2" w:rsidP="00DC33F2">
      <w:pPr>
        <w:pStyle w:val="3-BodyText"/>
      </w:pPr>
      <w:r w:rsidRPr="001222FC">
        <w:t xml:space="preserve">The equi-effective doses </w:t>
      </w:r>
      <w:r>
        <w:t>we</w:t>
      </w:r>
      <w:r w:rsidRPr="001222FC">
        <w:t>re estimated as</w:t>
      </w:r>
      <w:r>
        <w:t>:</w:t>
      </w:r>
    </w:p>
    <w:p w14:paraId="2C6D201D" w14:textId="77777777" w:rsidR="00DC33F2" w:rsidRDefault="00DC33F2" w:rsidP="005A7F8B">
      <w:pPr>
        <w:pStyle w:val="3-BodyText"/>
        <w:numPr>
          <w:ilvl w:val="0"/>
          <w:numId w:val="12"/>
        </w:numPr>
        <w:spacing w:after="0"/>
        <w:ind w:left="1077" w:hanging="357"/>
      </w:pPr>
      <w:r>
        <w:t xml:space="preserve">11,088 mg regorafenib (administered over 3.3 28-day cycles) to 4,104 mg of </w:t>
      </w:r>
      <w:r w:rsidR="00A12A47">
        <w:t>t</w:t>
      </w:r>
      <w:r>
        <w:t xml:space="preserve">rifluridine/tipiracil (administered over 3.42 28-day cycles), or equivalently </w:t>
      </w:r>
    </w:p>
    <w:p w14:paraId="4C5469BE" w14:textId="1EA9C6D2" w:rsidR="00DC33F2" w:rsidRDefault="00DC33F2" w:rsidP="008E64A9">
      <w:pPr>
        <w:pStyle w:val="3-BodyText"/>
        <w:numPr>
          <w:ilvl w:val="0"/>
          <w:numId w:val="12"/>
        </w:numPr>
        <w:ind w:left="1077" w:hanging="357"/>
      </w:pPr>
      <w:r>
        <w:t>2.702 mg regorafenib is equi-effective to 1.000 mg trifluridine/tipiracil.</w:t>
      </w:r>
    </w:p>
    <w:p w14:paraId="5D6972C4" w14:textId="77777777" w:rsidR="00EB69AD" w:rsidRPr="008705DE" w:rsidRDefault="00761D7E" w:rsidP="005A2D3B">
      <w:pPr>
        <w:pStyle w:val="3-BodyText"/>
      </w:pPr>
      <w:r w:rsidRPr="00D56AB1">
        <w:t xml:space="preserve">The equi-effective doses of regorafenib and trifluridine/tipiracil were based on the recommended usage in the respective </w:t>
      </w:r>
      <w:r>
        <w:t>TGA</w:t>
      </w:r>
      <w:r w:rsidRPr="00D56AB1">
        <w:t xml:space="preserve"> Product Information</w:t>
      </w:r>
      <w:r>
        <w:t xml:space="preserve"> and were</w:t>
      </w:r>
      <w:r w:rsidRPr="00D56AB1">
        <w:t xml:space="preserve"> consistent with the </w:t>
      </w:r>
      <w:r>
        <w:t xml:space="preserve">average number of treatment cycles completed by patients </w:t>
      </w:r>
      <w:r w:rsidRPr="00D56AB1">
        <w:t xml:space="preserve">in </w:t>
      </w:r>
      <w:r>
        <w:t xml:space="preserve">the </w:t>
      </w:r>
      <w:r w:rsidRPr="00D56AB1">
        <w:t>CORRECT and RECOURSE trials</w:t>
      </w:r>
      <w:r>
        <w:t xml:space="preserve">. </w:t>
      </w:r>
      <w:r w:rsidR="005A2D3B" w:rsidRPr="005A2D3B">
        <w:rPr>
          <w:rFonts w:ascii="Calibri" w:hAnsi="Calibri"/>
        </w:rPr>
        <w:t xml:space="preserve">These were 3.3 cycles for regorafenib in the CORRECT trial and 3.42 </w:t>
      </w:r>
      <w:r w:rsidR="005A2D3B" w:rsidRPr="008705DE">
        <w:rPr>
          <w:rFonts w:ascii="Calibri" w:hAnsi="Calibri"/>
        </w:rPr>
        <w:t xml:space="preserve">cycles for trifluridine/tipiracil in the RECOURSE trial. </w:t>
      </w:r>
      <w:r w:rsidR="005A2D3B" w:rsidRPr="008705DE">
        <w:rPr>
          <w:rFonts w:ascii="Calibri" w:hAnsi="Calibri"/>
          <w:iCs/>
        </w:rPr>
        <w:t>The same cycle numbers were used in the regorafenib previous submission, and in trifluridine/tipiracil November 2017 submission (paragraph 4.19, trifluridine/tipiracil, Public Summary Document, November 2017 PBAC meeting). However, the mean duration of treatment in the CORRECT trial was 12.08 weeks, which is 3.02 cycles (i.e., 12.08/4), and the mean duration of treatment in the RECOURSE trial was 12.7 weeks, which is 3.18 cycles (i.e., 12.7/4).</w:t>
      </w:r>
      <w:r w:rsidR="0069559A">
        <w:rPr>
          <w:rFonts w:ascii="Calibri" w:hAnsi="Calibri"/>
          <w:iCs/>
        </w:rPr>
        <w:t xml:space="preserve"> </w:t>
      </w:r>
      <w:r w:rsidR="00ED359E" w:rsidRPr="008705DE">
        <w:rPr>
          <w:rFonts w:ascii="Calibri" w:hAnsi="Calibri"/>
          <w:iCs/>
        </w:rPr>
        <w:t xml:space="preserve">Assuming fewer cycles on average for regorafenib versus trifluridine/tipiracil results in a higher price for regorafenib. If it is assumed that there are 3.3 cycles for both treatments the cost minimised </w:t>
      </w:r>
      <w:r w:rsidR="000727F0" w:rsidRPr="008705DE">
        <w:rPr>
          <w:rFonts w:ascii="Calibri" w:hAnsi="Calibri"/>
          <w:iCs/>
        </w:rPr>
        <w:t>AEMP</w:t>
      </w:r>
      <w:r w:rsidR="00ED359E" w:rsidRPr="008705DE">
        <w:rPr>
          <w:rFonts w:ascii="Calibri" w:hAnsi="Calibri"/>
          <w:iCs/>
        </w:rPr>
        <w:t xml:space="preserve"> for regorafenib reduces from </w:t>
      </w:r>
      <w:r w:rsidR="000727F0" w:rsidRPr="008705DE">
        <w:rPr>
          <w:rFonts w:ascii="Calibri" w:hAnsi="Calibri"/>
          <w:iCs/>
        </w:rPr>
        <w:t>$</w:t>
      </w:r>
      <w:r w:rsidR="003A414F">
        <w:rPr>
          <w:rFonts w:ascii="Calibri" w:hAnsi="Calibri"/>
          <w:iCs/>
          <w:noProof/>
          <w:color w:val="000000"/>
          <w:highlight w:val="black"/>
        </w:rPr>
        <w:t>''''''''''''''</w:t>
      </w:r>
      <w:r w:rsidR="000727F0" w:rsidRPr="008705DE">
        <w:rPr>
          <w:rFonts w:ascii="Calibri" w:hAnsi="Calibri"/>
          <w:iCs/>
        </w:rPr>
        <w:t xml:space="preserve"> to $</w:t>
      </w:r>
      <w:r w:rsidR="003A414F">
        <w:rPr>
          <w:rFonts w:ascii="Calibri" w:hAnsi="Calibri"/>
          <w:iCs/>
          <w:noProof/>
          <w:color w:val="000000"/>
          <w:highlight w:val="black"/>
        </w:rPr>
        <w:t>'''''''''''''''</w:t>
      </w:r>
      <w:r w:rsidR="000727F0" w:rsidRPr="008705DE">
        <w:rPr>
          <w:rFonts w:ascii="Calibri" w:hAnsi="Calibri"/>
          <w:iCs/>
        </w:rPr>
        <w:t>.</w:t>
      </w:r>
      <w:r w:rsidR="003F2AC5">
        <w:rPr>
          <w:rFonts w:ascii="Calibri" w:hAnsi="Calibri"/>
          <w:iCs/>
        </w:rPr>
        <w:t xml:space="preserve"> </w:t>
      </w:r>
      <w:r w:rsidR="003F2AC5" w:rsidRPr="001D2FDF">
        <w:rPr>
          <w:iCs/>
        </w:rPr>
        <w:t xml:space="preserve">The PSCR noted the Sponsor was amenable to aligning the number of cycles for the two treatments as part of the CMA. </w:t>
      </w:r>
      <w:r w:rsidR="00C8611E" w:rsidRPr="001D2FDF">
        <w:rPr>
          <w:iCs/>
        </w:rPr>
        <w:t>The ESC considered it was appropriate to align the number of treatment cycles for regorafenib and trifluridine/tipiracil in the CMA</w:t>
      </w:r>
      <w:r w:rsidR="00FC4EC3" w:rsidRPr="001D2FDF">
        <w:rPr>
          <w:iCs/>
        </w:rPr>
        <w:t>.</w:t>
      </w:r>
      <w:r w:rsidR="00C8611E" w:rsidRPr="001D2FDF">
        <w:rPr>
          <w:iCs/>
        </w:rPr>
        <w:t xml:space="preserve"> </w:t>
      </w:r>
      <w:r w:rsidR="00FC4EC3" w:rsidRPr="001D2FDF">
        <w:rPr>
          <w:iCs/>
        </w:rPr>
        <w:t>The ESC further</w:t>
      </w:r>
      <w:r w:rsidR="00C8611E" w:rsidRPr="001D2FDF">
        <w:rPr>
          <w:iCs/>
        </w:rPr>
        <w:t xml:space="preserve"> noted</w:t>
      </w:r>
      <w:r w:rsidR="00FC4EC3" w:rsidRPr="001D2FDF">
        <w:rPr>
          <w:iCs/>
        </w:rPr>
        <w:t xml:space="preserve"> the cost minimised price for regorafenib would be the same using either 3.3 or 3.02 cycles if the number of treatment cycles were aligned for both treatments.</w:t>
      </w:r>
    </w:p>
    <w:p w14:paraId="3164B3C1" w14:textId="77777777" w:rsidR="00EB69AD" w:rsidRPr="008705DE" w:rsidRDefault="00083762" w:rsidP="00761D7E">
      <w:pPr>
        <w:pStyle w:val="3-BodyText"/>
        <w:rPr>
          <w:rFonts w:ascii="Arial Narrow" w:hAnsi="Arial Narrow"/>
          <w:b/>
          <w:sz w:val="20"/>
        </w:rPr>
      </w:pPr>
      <w:r w:rsidRPr="00083762">
        <w:t>The resubmission assumed the dose intensity of both regorafenib and trifluridine/tipiracil to be 100% rather than the average dose intensity reported in CORRECT (78.9%) and RECOURSE (89.0%) trial</w:t>
      </w:r>
      <w:r w:rsidR="005A2D3B">
        <w:t>s</w:t>
      </w:r>
      <w:r w:rsidRPr="00083762">
        <w:t xml:space="preserve">. Furthermore, the resubmission did not consider the recommendations from the ReDOS trial and eviQ guidelines to reduce the dose of regorafenib in the first </w:t>
      </w:r>
      <w:r w:rsidRPr="008705DE">
        <w:t xml:space="preserve">cycle. </w:t>
      </w:r>
      <w:r w:rsidRPr="008705DE">
        <w:rPr>
          <w:iCs/>
        </w:rPr>
        <w:t>This is conservative.</w:t>
      </w:r>
      <w:r w:rsidRPr="008705DE">
        <w:t xml:space="preserve"> </w:t>
      </w:r>
    </w:p>
    <w:p w14:paraId="24A5C356" w14:textId="3106AFA9" w:rsidR="004C5AA4" w:rsidRPr="008E64A9" w:rsidRDefault="00DC33F2" w:rsidP="008E64A9">
      <w:pPr>
        <w:pStyle w:val="3-BodyText"/>
        <w:rPr>
          <w:rStyle w:val="CommentReference"/>
          <w:szCs w:val="24"/>
        </w:rPr>
      </w:pPr>
      <w:r>
        <w:t xml:space="preserve">The results of </w:t>
      </w:r>
      <w:r w:rsidR="008F07AF">
        <w:t>the</w:t>
      </w:r>
      <w:r>
        <w:t xml:space="preserve"> cost</w:t>
      </w:r>
      <w:r w:rsidR="008F07AF">
        <w:t>-</w:t>
      </w:r>
      <w:r>
        <w:t xml:space="preserve">minimisation analysis are presented in Table 10. </w:t>
      </w:r>
    </w:p>
    <w:p w14:paraId="064376F0" w14:textId="77777777" w:rsidR="00DC33F2" w:rsidRDefault="00DC33F2" w:rsidP="00DC33F2">
      <w:pPr>
        <w:pStyle w:val="TableFigureFooter"/>
        <w:spacing w:after="0"/>
      </w:pPr>
      <w:r w:rsidRPr="00656188">
        <w:rPr>
          <w:rStyle w:val="CommentReference"/>
          <w:szCs w:val="24"/>
        </w:rPr>
        <w:t xml:space="preserve">Table </w:t>
      </w:r>
      <w:r>
        <w:rPr>
          <w:rStyle w:val="CommentReference"/>
          <w:szCs w:val="24"/>
        </w:rPr>
        <w:t>10</w:t>
      </w:r>
      <w:r w:rsidRPr="00656188">
        <w:rPr>
          <w:rStyle w:val="CommentReference"/>
          <w:szCs w:val="24"/>
        </w:rPr>
        <w:t>: Results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Results of the cost-minimisation analysis"/>
      </w:tblPr>
      <w:tblGrid>
        <w:gridCol w:w="571"/>
        <w:gridCol w:w="4665"/>
        <w:gridCol w:w="1868"/>
        <w:gridCol w:w="1913"/>
      </w:tblGrid>
      <w:tr w:rsidR="00DC33F2" w14:paraId="4290ADB6" w14:textId="77777777" w:rsidTr="00AD478D">
        <w:trPr>
          <w:trHeight w:val="304"/>
        </w:trPr>
        <w:tc>
          <w:tcPr>
            <w:tcW w:w="316" w:type="pct"/>
            <w:tcBorders>
              <w:top w:val="single" w:sz="4" w:space="0" w:color="auto"/>
              <w:left w:val="single" w:sz="4" w:space="0" w:color="auto"/>
              <w:bottom w:val="single" w:sz="4" w:space="0" w:color="auto"/>
              <w:right w:val="single" w:sz="4" w:space="0" w:color="auto"/>
            </w:tcBorders>
          </w:tcPr>
          <w:p w14:paraId="65368D9B" w14:textId="77777777" w:rsidR="00DC33F2" w:rsidRDefault="00DC33F2" w:rsidP="00AD478D">
            <w:pPr>
              <w:pStyle w:val="In-tableHeading"/>
            </w:pPr>
            <w:r>
              <w:t>Row</w:t>
            </w:r>
          </w:p>
        </w:tc>
        <w:tc>
          <w:tcPr>
            <w:tcW w:w="2587" w:type="pct"/>
            <w:tcBorders>
              <w:top w:val="single" w:sz="4" w:space="0" w:color="auto"/>
              <w:left w:val="single" w:sz="4" w:space="0" w:color="auto"/>
              <w:bottom w:val="single" w:sz="4" w:space="0" w:color="auto"/>
              <w:right w:val="single" w:sz="4" w:space="0" w:color="auto"/>
            </w:tcBorders>
            <w:hideMark/>
          </w:tcPr>
          <w:p w14:paraId="78E36AE4" w14:textId="77777777" w:rsidR="00DC33F2" w:rsidRDefault="00DC33F2" w:rsidP="00AD478D">
            <w:pPr>
              <w:pStyle w:val="In-tableHeading"/>
            </w:pPr>
            <w:r>
              <w:t>Component</w:t>
            </w:r>
          </w:p>
        </w:tc>
        <w:tc>
          <w:tcPr>
            <w:tcW w:w="1036" w:type="pct"/>
            <w:tcBorders>
              <w:top w:val="single" w:sz="4" w:space="0" w:color="auto"/>
              <w:left w:val="single" w:sz="4" w:space="0" w:color="auto"/>
              <w:bottom w:val="single" w:sz="4" w:space="0" w:color="auto"/>
              <w:right w:val="single" w:sz="4" w:space="0" w:color="auto"/>
            </w:tcBorders>
            <w:hideMark/>
          </w:tcPr>
          <w:p w14:paraId="4788A922" w14:textId="77777777" w:rsidR="00DC33F2" w:rsidRDefault="00FF6151" w:rsidP="00AD478D">
            <w:pPr>
              <w:pStyle w:val="In-tableHeading"/>
              <w:jc w:val="center"/>
            </w:pPr>
            <w:r>
              <w:t xml:space="preserve">Regorafenib </w:t>
            </w:r>
          </w:p>
        </w:tc>
        <w:tc>
          <w:tcPr>
            <w:tcW w:w="1061" w:type="pct"/>
            <w:tcBorders>
              <w:top w:val="single" w:sz="4" w:space="0" w:color="auto"/>
              <w:left w:val="single" w:sz="4" w:space="0" w:color="auto"/>
              <w:bottom w:val="single" w:sz="4" w:space="0" w:color="auto"/>
              <w:right w:val="single" w:sz="4" w:space="0" w:color="auto"/>
            </w:tcBorders>
            <w:hideMark/>
          </w:tcPr>
          <w:p w14:paraId="60CD6460" w14:textId="77777777" w:rsidR="00DC33F2" w:rsidRDefault="00FF6151" w:rsidP="00AD478D">
            <w:pPr>
              <w:pStyle w:val="In-tableHeading"/>
              <w:jc w:val="center"/>
            </w:pPr>
            <w:r>
              <w:t>Trifluridine/tipiracil</w:t>
            </w:r>
          </w:p>
        </w:tc>
      </w:tr>
      <w:tr w:rsidR="00DC33F2" w14:paraId="6D71775D" w14:textId="77777777" w:rsidTr="00AD478D">
        <w:trPr>
          <w:trHeight w:val="327"/>
        </w:trPr>
        <w:tc>
          <w:tcPr>
            <w:tcW w:w="316" w:type="pct"/>
            <w:tcBorders>
              <w:top w:val="single" w:sz="4" w:space="0" w:color="auto"/>
              <w:left w:val="single" w:sz="4" w:space="0" w:color="auto"/>
              <w:bottom w:val="single" w:sz="4" w:space="0" w:color="auto"/>
              <w:right w:val="single" w:sz="4" w:space="0" w:color="auto"/>
            </w:tcBorders>
            <w:hideMark/>
          </w:tcPr>
          <w:p w14:paraId="4364FC1A" w14:textId="77777777" w:rsidR="00DC33F2" w:rsidRDefault="00DC33F2" w:rsidP="00AD478D">
            <w:pPr>
              <w:pStyle w:val="TableText0"/>
            </w:pPr>
            <w:r>
              <w:t>A</w:t>
            </w:r>
          </w:p>
        </w:tc>
        <w:tc>
          <w:tcPr>
            <w:tcW w:w="2587" w:type="pct"/>
            <w:tcBorders>
              <w:top w:val="single" w:sz="4" w:space="0" w:color="auto"/>
              <w:left w:val="single" w:sz="4" w:space="0" w:color="auto"/>
              <w:bottom w:val="single" w:sz="4" w:space="0" w:color="auto"/>
              <w:right w:val="single" w:sz="4" w:space="0" w:color="auto"/>
            </w:tcBorders>
            <w:hideMark/>
          </w:tcPr>
          <w:p w14:paraId="14285B3F" w14:textId="77777777" w:rsidR="00DC33F2" w:rsidRPr="009F06AF" w:rsidRDefault="00DC33F2" w:rsidP="00AD478D">
            <w:pPr>
              <w:pStyle w:val="TableText0"/>
            </w:pPr>
            <w:r>
              <w:t>Cost per pack AEMP</w:t>
            </w:r>
            <w:r>
              <w:rPr>
                <w:vertAlign w:val="superscript"/>
              </w:rPr>
              <w:t>a</w:t>
            </w:r>
            <w:r w:rsidR="009F06AF">
              <w:t xml:space="preserve"> ($)</w:t>
            </w:r>
          </w:p>
        </w:tc>
        <w:tc>
          <w:tcPr>
            <w:tcW w:w="1036" w:type="pct"/>
            <w:tcBorders>
              <w:top w:val="single" w:sz="4" w:space="0" w:color="auto"/>
              <w:left w:val="single" w:sz="4" w:space="0" w:color="auto"/>
              <w:bottom w:val="single" w:sz="4" w:space="0" w:color="auto"/>
              <w:right w:val="single" w:sz="4" w:space="0" w:color="auto"/>
            </w:tcBorders>
            <w:vAlign w:val="center"/>
            <w:hideMark/>
          </w:tcPr>
          <w:p w14:paraId="6B4145A5" w14:textId="77777777" w:rsidR="00DC33F2" w:rsidRPr="003A414F" w:rsidRDefault="003A414F" w:rsidP="00AD478D">
            <w:pPr>
              <w:pStyle w:val="TableText0"/>
              <w:jc w:val="center"/>
              <w:rPr>
                <w:highlight w:val="black"/>
              </w:rPr>
            </w:pPr>
            <w:r>
              <w:rPr>
                <w:noProof/>
                <w:color w:val="000000"/>
                <w:highlight w:val="black"/>
              </w:rPr>
              <w:t>''''''''''''''''''''</w:t>
            </w:r>
          </w:p>
        </w:tc>
        <w:tc>
          <w:tcPr>
            <w:tcW w:w="1061" w:type="pct"/>
            <w:tcBorders>
              <w:top w:val="single" w:sz="4" w:space="0" w:color="auto"/>
              <w:left w:val="single" w:sz="4" w:space="0" w:color="auto"/>
              <w:bottom w:val="single" w:sz="4" w:space="0" w:color="auto"/>
              <w:right w:val="single" w:sz="4" w:space="0" w:color="auto"/>
            </w:tcBorders>
            <w:vAlign w:val="center"/>
            <w:hideMark/>
          </w:tcPr>
          <w:p w14:paraId="4219A8E7" w14:textId="77777777" w:rsidR="00DC33F2" w:rsidRDefault="00DC33F2" w:rsidP="00AD478D">
            <w:pPr>
              <w:pStyle w:val="TableText0"/>
              <w:jc w:val="center"/>
            </w:pPr>
            <w:r>
              <w:t>$</w:t>
            </w:r>
            <w:r w:rsidRPr="00AD75AC">
              <w:t>942.86</w:t>
            </w:r>
          </w:p>
        </w:tc>
      </w:tr>
      <w:tr w:rsidR="00DC33F2" w14:paraId="7AFECE3A" w14:textId="77777777" w:rsidTr="00AD478D">
        <w:trPr>
          <w:trHeight w:val="304"/>
        </w:trPr>
        <w:tc>
          <w:tcPr>
            <w:tcW w:w="316" w:type="pct"/>
            <w:tcBorders>
              <w:top w:val="single" w:sz="4" w:space="0" w:color="auto"/>
              <w:left w:val="single" w:sz="4" w:space="0" w:color="auto"/>
              <w:bottom w:val="single" w:sz="4" w:space="0" w:color="auto"/>
              <w:right w:val="single" w:sz="4" w:space="0" w:color="auto"/>
            </w:tcBorders>
            <w:hideMark/>
          </w:tcPr>
          <w:p w14:paraId="34FD15A2" w14:textId="77777777" w:rsidR="00DC33F2" w:rsidRDefault="00DC33F2" w:rsidP="00AD478D">
            <w:pPr>
              <w:pStyle w:val="TableText0"/>
            </w:pPr>
            <w:r>
              <w:t>B</w:t>
            </w:r>
          </w:p>
        </w:tc>
        <w:tc>
          <w:tcPr>
            <w:tcW w:w="2587" w:type="pct"/>
            <w:tcBorders>
              <w:top w:val="single" w:sz="4" w:space="0" w:color="auto"/>
              <w:left w:val="single" w:sz="4" w:space="0" w:color="auto"/>
              <w:bottom w:val="single" w:sz="4" w:space="0" w:color="auto"/>
              <w:right w:val="single" w:sz="4" w:space="0" w:color="auto"/>
            </w:tcBorders>
            <w:hideMark/>
          </w:tcPr>
          <w:p w14:paraId="6C33C296" w14:textId="77777777" w:rsidR="00DC33F2" w:rsidRDefault="00DC33F2" w:rsidP="00AD478D">
            <w:pPr>
              <w:pStyle w:val="TableText0"/>
            </w:pPr>
            <w:r>
              <w:t xml:space="preserve">Mg required per 28-day treatment cycle </w:t>
            </w:r>
          </w:p>
        </w:tc>
        <w:tc>
          <w:tcPr>
            <w:tcW w:w="1036" w:type="pct"/>
            <w:tcBorders>
              <w:top w:val="single" w:sz="4" w:space="0" w:color="auto"/>
              <w:left w:val="single" w:sz="4" w:space="0" w:color="auto"/>
              <w:bottom w:val="single" w:sz="4" w:space="0" w:color="auto"/>
              <w:right w:val="single" w:sz="4" w:space="0" w:color="auto"/>
            </w:tcBorders>
            <w:vAlign w:val="center"/>
          </w:tcPr>
          <w:p w14:paraId="18BCF36C" w14:textId="77777777" w:rsidR="00DC33F2" w:rsidRDefault="00DC33F2" w:rsidP="00AD478D">
            <w:pPr>
              <w:pStyle w:val="TableText0"/>
              <w:jc w:val="center"/>
            </w:pPr>
            <w:r>
              <w:t>3360</w:t>
            </w:r>
          </w:p>
        </w:tc>
        <w:tc>
          <w:tcPr>
            <w:tcW w:w="1061" w:type="pct"/>
            <w:tcBorders>
              <w:top w:val="single" w:sz="4" w:space="0" w:color="auto"/>
              <w:left w:val="single" w:sz="4" w:space="0" w:color="auto"/>
              <w:bottom w:val="single" w:sz="4" w:space="0" w:color="auto"/>
              <w:right w:val="single" w:sz="4" w:space="0" w:color="auto"/>
            </w:tcBorders>
            <w:vAlign w:val="center"/>
          </w:tcPr>
          <w:p w14:paraId="23D344B0" w14:textId="77777777" w:rsidR="00DC33F2" w:rsidRDefault="00DC33F2" w:rsidP="00AD478D">
            <w:pPr>
              <w:pStyle w:val="TableText0"/>
              <w:jc w:val="center"/>
            </w:pPr>
            <w:r>
              <w:t>1200</w:t>
            </w:r>
          </w:p>
        </w:tc>
      </w:tr>
      <w:tr w:rsidR="00DC33F2" w14:paraId="095E82D4" w14:textId="77777777" w:rsidTr="00AD478D">
        <w:trPr>
          <w:trHeight w:val="304"/>
        </w:trPr>
        <w:tc>
          <w:tcPr>
            <w:tcW w:w="316" w:type="pct"/>
            <w:tcBorders>
              <w:top w:val="single" w:sz="4" w:space="0" w:color="auto"/>
              <w:left w:val="single" w:sz="4" w:space="0" w:color="auto"/>
              <w:bottom w:val="single" w:sz="4" w:space="0" w:color="auto"/>
              <w:right w:val="single" w:sz="4" w:space="0" w:color="auto"/>
            </w:tcBorders>
            <w:hideMark/>
          </w:tcPr>
          <w:p w14:paraId="1C3A936A" w14:textId="77777777" w:rsidR="00DC33F2" w:rsidRDefault="00DC33F2" w:rsidP="00AD478D">
            <w:pPr>
              <w:pStyle w:val="TableText0"/>
            </w:pPr>
            <w:r>
              <w:t>C</w:t>
            </w:r>
          </w:p>
        </w:tc>
        <w:tc>
          <w:tcPr>
            <w:tcW w:w="2587" w:type="pct"/>
            <w:tcBorders>
              <w:top w:val="single" w:sz="4" w:space="0" w:color="auto"/>
              <w:left w:val="single" w:sz="4" w:space="0" w:color="auto"/>
              <w:bottom w:val="single" w:sz="4" w:space="0" w:color="auto"/>
              <w:right w:val="single" w:sz="4" w:space="0" w:color="auto"/>
            </w:tcBorders>
            <w:hideMark/>
          </w:tcPr>
          <w:p w14:paraId="0E36053B" w14:textId="77777777" w:rsidR="00DC33F2" w:rsidRDefault="00DC33F2" w:rsidP="00AD478D">
            <w:pPr>
              <w:pStyle w:val="TableText0"/>
            </w:pPr>
            <w:r>
              <w:t>Number of mg per pack</w:t>
            </w:r>
          </w:p>
        </w:tc>
        <w:tc>
          <w:tcPr>
            <w:tcW w:w="1036" w:type="pct"/>
            <w:tcBorders>
              <w:top w:val="single" w:sz="4" w:space="0" w:color="auto"/>
              <w:left w:val="single" w:sz="4" w:space="0" w:color="auto"/>
              <w:bottom w:val="single" w:sz="4" w:space="0" w:color="auto"/>
              <w:right w:val="single" w:sz="4" w:space="0" w:color="auto"/>
            </w:tcBorders>
            <w:vAlign w:val="center"/>
            <w:hideMark/>
          </w:tcPr>
          <w:p w14:paraId="497352FE" w14:textId="77777777" w:rsidR="00DC33F2" w:rsidRDefault="00DC33F2" w:rsidP="00AD478D">
            <w:pPr>
              <w:pStyle w:val="TableText0"/>
              <w:jc w:val="center"/>
            </w:pPr>
            <w:r>
              <w:t>3360</w:t>
            </w:r>
          </w:p>
        </w:tc>
        <w:tc>
          <w:tcPr>
            <w:tcW w:w="1061" w:type="pct"/>
            <w:tcBorders>
              <w:top w:val="single" w:sz="4" w:space="0" w:color="auto"/>
              <w:left w:val="single" w:sz="4" w:space="0" w:color="auto"/>
              <w:bottom w:val="single" w:sz="4" w:space="0" w:color="auto"/>
              <w:right w:val="single" w:sz="4" w:space="0" w:color="auto"/>
            </w:tcBorders>
            <w:vAlign w:val="center"/>
            <w:hideMark/>
          </w:tcPr>
          <w:p w14:paraId="6843BAB4" w14:textId="77777777" w:rsidR="00DC33F2" w:rsidRDefault="00DC33F2" w:rsidP="00AD478D">
            <w:pPr>
              <w:pStyle w:val="TableText0"/>
              <w:jc w:val="center"/>
            </w:pPr>
            <w:r>
              <w:t>400</w:t>
            </w:r>
          </w:p>
        </w:tc>
      </w:tr>
      <w:tr w:rsidR="00DC33F2" w14:paraId="5AFA3CAB" w14:textId="77777777" w:rsidTr="00AD478D">
        <w:trPr>
          <w:trHeight w:val="327"/>
        </w:trPr>
        <w:tc>
          <w:tcPr>
            <w:tcW w:w="316" w:type="pct"/>
            <w:tcBorders>
              <w:top w:val="single" w:sz="4" w:space="0" w:color="auto"/>
              <w:left w:val="single" w:sz="4" w:space="0" w:color="auto"/>
              <w:bottom w:val="single" w:sz="4" w:space="0" w:color="auto"/>
              <w:right w:val="single" w:sz="4" w:space="0" w:color="auto"/>
            </w:tcBorders>
            <w:hideMark/>
          </w:tcPr>
          <w:p w14:paraId="09CDC706" w14:textId="77777777" w:rsidR="00DC33F2" w:rsidRDefault="00DC33F2" w:rsidP="00AD478D">
            <w:pPr>
              <w:pStyle w:val="TableText0"/>
            </w:pPr>
            <w:r>
              <w:t>D</w:t>
            </w:r>
          </w:p>
        </w:tc>
        <w:tc>
          <w:tcPr>
            <w:tcW w:w="2587" w:type="pct"/>
            <w:tcBorders>
              <w:top w:val="single" w:sz="4" w:space="0" w:color="auto"/>
              <w:left w:val="single" w:sz="4" w:space="0" w:color="auto"/>
              <w:bottom w:val="single" w:sz="4" w:space="0" w:color="auto"/>
              <w:right w:val="single" w:sz="4" w:space="0" w:color="auto"/>
            </w:tcBorders>
            <w:hideMark/>
          </w:tcPr>
          <w:p w14:paraId="3658FA03" w14:textId="77777777" w:rsidR="00DC33F2" w:rsidRDefault="00DC33F2" w:rsidP="00AD478D">
            <w:pPr>
              <w:pStyle w:val="TableText0"/>
            </w:pPr>
            <w:r>
              <w:t>Number of packs per 28-day treatment cycle (B/C)</w:t>
            </w:r>
          </w:p>
        </w:tc>
        <w:tc>
          <w:tcPr>
            <w:tcW w:w="1036" w:type="pct"/>
            <w:tcBorders>
              <w:top w:val="single" w:sz="4" w:space="0" w:color="auto"/>
              <w:left w:val="single" w:sz="4" w:space="0" w:color="auto"/>
              <w:bottom w:val="single" w:sz="4" w:space="0" w:color="auto"/>
              <w:right w:val="single" w:sz="4" w:space="0" w:color="auto"/>
            </w:tcBorders>
            <w:vAlign w:val="center"/>
            <w:hideMark/>
          </w:tcPr>
          <w:p w14:paraId="0E7C0DD9" w14:textId="77777777" w:rsidR="00DC33F2" w:rsidRDefault="00DC33F2" w:rsidP="00AD478D">
            <w:pPr>
              <w:pStyle w:val="TableText0"/>
              <w:jc w:val="center"/>
            </w:pPr>
            <w:r>
              <w:t>1</w:t>
            </w:r>
          </w:p>
        </w:tc>
        <w:tc>
          <w:tcPr>
            <w:tcW w:w="1061" w:type="pct"/>
            <w:tcBorders>
              <w:top w:val="single" w:sz="4" w:space="0" w:color="auto"/>
              <w:left w:val="single" w:sz="4" w:space="0" w:color="auto"/>
              <w:bottom w:val="single" w:sz="4" w:space="0" w:color="auto"/>
              <w:right w:val="single" w:sz="4" w:space="0" w:color="auto"/>
            </w:tcBorders>
            <w:vAlign w:val="center"/>
            <w:hideMark/>
          </w:tcPr>
          <w:p w14:paraId="482BFF9E" w14:textId="77777777" w:rsidR="00DC33F2" w:rsidRDefault="00DC33F2" w:rsidP="00AD478D">
            <w:pPr>
              <w:pStyle w:val="TableText0"/>
              <w:jc w:val="center"/>
            </w:pPr>
            <w:r>
              <w:t>3</w:t>
            </w:r>
          </w:p>
        </w:tc>
      </w:tr>
      <w:tr w:rsidR="00DC33F2" w14:paraId="12B42677" w14:textId="77777777" w:rsidTr="00AD478D">
        <w:trPr>
          <w:trHeight w:val="304"/>
        </w:trPr>
        <w:tc>
          <w:tcPr>
            <w:tcW w:w="316" w:type="pct"/>
            <w:tcBorders>
              <w:top w:val="single" w:sz="4" w:space="0" w:color="auto"/>
              <w:left w:val="single" w:sz="4" w:space="0" w:color="auto"/>
              <w:bottom w:val="single" w:sz="4" w:space="0" w:color="auto"/>
              <w:right w:val="single" w:sz="4" w:space="0" w:color="auto"/>
            </w:tcBorders>
            <w:hideMark/>
          </w:tcPr>
          <w:p w14:paraId="4CF65804" w14:textId="77777777" w:rsidR="00DC33F2" w:rsidRDefault="00DC33F2" w:rsidP="00AD478D">
            <w:pPr>
              <w:pStyle w:val="TableText0"/>
            </w:pPr>
            <w:r>
              <w:t>E</w:t>
            </w:r>
          </w:p>
        </w:tc>
        <w:tc>
          <w:tcPr>
            <w:tcW w:w="2587" w:type="pct"/>
            <w:tcBorders>
              <w:top w:val="single" w:sz="4" w:space="0" w:color="auto"/>
              <w:left w:val="single" w:sz="4" w:space="0" w:color="auto"/>
              <w:bottom w:val="single" w:sz="4" w:space="0" w:color="auto"/>
              <w:right w:val="single" w:sz="4" w:space="0" w:color="auto"/>
            </w:tcBorders>
            <w:hideMark/>
          </w:tcPr>
          <w:p w14:paraId="219B80E0" w14:textId="77777777" w:rsidR="00DC33F2" w:rsidRDefault="00DC33F2" w:rsidP="00AD478D">
            <w:pPr>
              <w:pStyle w:val="TableText0"/>
            </w:pPr>
            <w:r>
              <w:t>Mean number of cycles per treatment course</w:t>
            </w:r>
          </w:p>
        </w:tc>
        <w:tc>
          <w:tcPr>
            <w:tcW w:w="1036" w:type="pct"/>
            <w:tcBorders>
              <w:top w:val="single" w:sz="4" w:space="0" w:color="auto"/>
              <w:left w:val="single" w:sz="4" w:space="0" w:color="auto"/>
              <w:bottom w:val="single" w:sz="4" w:space="0" w:color="auto"/>
              <w:right w:val="single" w:sz="4" w:space="0" w:color="auto"/>
            </w:tcBorders>
            <w:vAlign w:val="center"/>
            <w:hideMark/>
          </w:tcPr>
          <w:p w14:paraId="65ABC8AC" w14:textId="77777777" w:rsidR="00DC33F2" w:rsidRDefault="00DC33F2" w:rsidP="00AD478D">
            <w:pPr>
              <w:pStyle w:val="TableText0"/>
              <w:jc w:val="center"/>
            </w:pPr>
            <w:r>
              <w:t>3.3</w:t>
            </w:r>
          </w:p>
        </w:tc>
        <w:tc>
          <w:tcPr>
            <w:tcW w:w="1061" w:type="pct"/>
            <w:tcBorders>
              <w:top w:val="single" w:sz="4" w:space="0" w:color="auto"/>
              <w:left w:val="single" w:sz="4" w:space="0" w:color="auto"/>
              <w:bottom w:val="single" w:sz="4" w:space="0" w:color="auto"/>
              <w:right w:val="single" w:sz="4" w:space="0" w:color="auto"/>
            </w:tcBorders>
            <w:vAlign w:val="center"/>
            <w:hideMark/>
          </w:tcPr>
          <w:p w14:paraId="0A3E4A46" w14:textId="77777777" w:rsidR="00DC33F2" w:rsidRDefault="00DC33F2" w:rsidP="00AD478D">
            <w:pPr>
              <w:pStyle w:val="TableText0"/>
              <w:jc w:val="center"/>
            </w:pPr>
            <w:r>
              <w:t>3.42</w:t>
            </w:r>
          </w:p>
        </w:tc>
      </w:tr>
      <w:tr w:rsidR="00DC33F2" w14:paraId="7DE60C5D" w14:textId="77777777" w:rsidTr="00AD478D">
        <w:trPr>
          <w:trHeight w:val="608"/>
        </w:trPr>
        <w:tc>
          <w:tcPr>
            <w:tcW w:w="316" w:type="pct"/>
            <w:tcBorders>
              <w:top w:val="single" w:sz="4" w:space="0" w:color="auto"/>
              <w:left w:val="single" w:sz="4" w:space="0" w:color="auto"/>
              <w:bottom w:val="single" w:sz="4" w:space="0" w:color="auto"/>
              <w:right w:val="single" w:sz="4" w:space="0" w:color="auto"/>
            </w:tcBorders>
            <w:hideMark/>
          </w:tcPr>
          <w:p w14:paraId="24345E33" w14:textId="77777777" w:rsidR="00DC33F2" w:rsidRDefault="00DC33F2" w:rsidP="00AD478D">
            <w:pPr>
              <w:pStyle w:val="TableText0"/>
              <w:rPr>
                <w:szCs w:val="20"/>
              </w:rPr>
            </w:pPr>
            <w:r>
              <w:rPr>
                <w:szCs w:val="20"/>
              </w:rPr>
              <w:t>F</w:t>
            </w:r>
          </w:p>
        </w:tc>
        <w:tc>
          <w:tcPr>
            <w:tcW w:w="2587" w:type="pct"/>
            <w:tcBorders>
              <w:top w:val="single" w:sz="4" w:space="0" w:color="auto"/>
              <w:left w:val="single" w:sz="4" w:space="0" w:color="auto"/>
              <w:bottom w:val="single" w:sz="4" w:space="0" w:color="auto"/>
              <w:right w:val="single" w:sz="4" w:space="0" w:color="auto"/>
            </w:tcBorders>
            <w:hideMark/>
          </w:tcPr>
          <w:p w14:paraId="080EA27F" w14:textId="77777777" w:rsidR="00DC33F2" w:rsidRDefault="00DC33F2" w:rsidP="00AD478D">
            <w:pPr>
              <w:pStyle w:val="TableText0"/>
            </w:pPr>
            <w:r>
              <w:rPr>
                <w:szCs w:val="20"/>
              </w:rPr>
              <w:t>Total cost of treatment per patient per treatment course (AXDXE)</w:t>
            </w:r>
            <w:r w:rsidR="009F06AF">
              <w:rPr>
                <w:szCs w:val="20"/>
              </w:rPr>
              <w:t xml:space="preserve"> ($)</w:t>
            </w:r>
          </w:p>
        </w:tc>
        <w:tc>
          <w:tcPr>
            <w:tcW w:w="1036" w:type="pct"/>
            <w:tcBorders>
              <w:top w:val="single" w:sz="4" w:space="0" w:color="auto"/>
              <w:left w:val="single" w:sz="4" w:space="0" w:color="auto"/>
              <w:bottom w:val="single" w:sz="4" w:space="0" w:color="auto"/>
              <w:right w:val="single" w:sz="4" w:space="0" w:color="auto"/>
            </w:tcBorders>
            <w:vAlign w:val="center"/>
          </w:tcPr>
          <w:p w14:paraId="347C9F0E" w14:textId="77777777" w:rsidR="00DC33F2" w:rsidRPr="003A414F" w:rsidRDefault="003A414F" w:rsidP="00AD478D">
            <w:pPr>
              <w:pStyle w:val="TableText0"/>
              <w:jc w:val="center"/>
              <w:rPr>
                <w:highlight w:val="black"/>
              </w:rPr>
            </w:pPr>
            <w:r>
              <w:rPr>
                <w:noProof/>
                <w:color w:val="000000"/>
                <w:highlight w:val="black"/>
              </w:rPr>
              <w:t>'''''''''''''''''''''''''</w:t>
            </w:r>
          </w:p>
        </w:tc>
        <w:tc>
          <w:tcPr>
            <w:tcW w:w="1061" w:type="pct"/>
            <w:tcBorders>
              <w:top w:val="single" w:sz="4" w:space="0" w:color="auto"/>
              <w:left w:val="single" w:sz="4" w:space="0" w:color="auto"/>
              <w:bottom w:val="single" w:sz="4" w:space="0" w:color="auto"/>
              <w:right w:val="single" w:sz="4" w:space="0" w:color="auto"/>
            </w:tcBorders>
            <w:vAlign w:val="center"/>
          </w:tcPr>
          <w:p w14:paraId="2BEEA96A" w14:textId="77777777" w:rsidR="00DC33F2" w:rsidRDefault="00DC33F2" w:rsidP="00AD478D">
            <w:pPr>
              <w:pStyle w:val="TableText0"/>
              <w:jc w:val="center"/>
            </w:pPr>
            <w:r>
              <w:t>$9,673.74</w:t>
            </w:r>
          </w:p>
        </w:tc>
      </w:tr>
    </w:tbl>
    <w:p w14:paraId="7D754936" w14:textId="77777777" w:rsidR="00DC33F2" w:rsidRDefault="00DC33F2" w:rsidP="00DC33F2">
      <w:pPr>
        <w:pStyle w:val="TableFigureFooter"/>
      </w:pPr>
      <w:r>
        <w:t>Source: Table 3-3, p18</w:t>
      </w:r>
      <w:r w:rsidR="006138C5">
        <w:t>6</w:t>
      </w:r>
      <w:r>
        <w:t xml:space="preserve"> of the resubmission. </w:t>
      </w:r>
    </w:p>
    <w:p w14:paraId="22A27162" w14:textId="01B682BD" w:rsidR="00DC33F2" w:rsidRPr="008E64A9" w:rsidRDefault="00DC33F2" w:rsidP="00DC33F2">
      <w:pPr>
        <w:pStyle w:val="TableFigureFooter"/>
        <w:rPr>
          <w:szCs w:val="18"/>
        </w:rPr>
      </w:pPr>
      <w:r>
        <w:rPr>
          <w:szCs w:val="18"/>
          <w:vertAlign w:val="superscript"/>
        </w:rPr>
        <w:t>a</w:t>
      </w:r>
      <w:r>
        <w:rPr>
          <w:szCs w:val="18"/>
        </w:rPr>
        <w:t>The 20mg pack of trifluridine/tipiracil has been applied in these calculations for simplicity. However, the cost per mg for the 15mg and 20 mg dose strength of Lonsurf are equal. Hence the above calculations if applying the 15 mg dose total mg per pack would be equal.</w:t>
      </w:r>
    </w:p>
    <w:p w14:paraId="4CE47BB1" w14:textId="77777777" w:rsidR="00DC33F2" w:rsidRPr="008705DE" w:rsidRDefault="00DC33F2" w:rsidP="00DC33F2">
      <w:pPr>
        <w:pStyle w:val="3-BodyText"/>
      </w:pPr>
      <w:r w:rsidRPr="00B06815">
        <w:rPr>
          <w:iCs/>
        </w:rPr>
        <w:t xml:space="preserve">On the basis of </w:t>
      </w:r>
      <w:r>
        <w:rPr>
          <w:iCs/>
        </w:rPr>
        <w:t xml:space="preserve">cost-minimisation </w:t>
      </w:r>
      <w:r w:rsidRPr="008705DE">
        <w:rPr>
          <w:iCs/>
        </w:rPr>
        <w:t>analysis, the proposed published AEMP for regorafenib was $</w:t>
      </w:r>
      <w:r w:rsidR="003A414F">
        <w:rPr>
          <w:iCs/>
          <w:noProof/>
          <w:color w:val="000000"/>
          <w:highlight w:val="black"/>
        </w:rPr>
        <w:t>''''''''''''''''</w:t>
      </w:r>
      <w:r w:rsidRPr="008705DE">
        <w:rPr>
          <w:iCs/>
        </w:rPr>
        <w:t xml:space="preserve"> and the proposed published D</w:t>
      </w:r>
      <w:r w:rsidR="002A0DF7" w:rsidRPr="008705DE">
        <w:rPr>
          <w:iCs/>
        </w:rPr>
        <w:t>PM</w:t>
      </w:r>
      <w:r w:rsidRPr="008705DE">
        <w:rPr>
          <w:iCs/>
        </w:rPr>
        <w:t>Q was $</w:t>
      </w:r>
      <w:r w:rsidR="003A414F">
        <w:rPr>
          <w:iCs/>
          <w:noProof/>
          <w:color w:val="000000"/>
          <w:highlight w:val="black"/>
        </w:rPr>
        <w:t>'''''''''''''''''</w:t>
      </w:r>
      <w:r w:rsidRPr="008705DE">
        <w:rPr>
          <w:iCs/>
        </w:rPr>
        <w:t xml:space="preserve">. </w:t>
      </w:r>
    </w:p>
    <w:p w14:paraId="746A0CE4" w14:textId="77777777" w:rsidR="00D11F7F" w:rsidRPr="008705DE" w:rsidRDefault="00D11F7F" w:rsidP="00D11F7F">
      <w:pPr>
        <w:pStyle w:val="3-BodyText"/>
        <w:rPr>
          <w:iCs/>
        </w:rPr>
      </w:pPr>
      <w:r w:rsidRPr="008705DE">
        <w:rPr>
          <w:iCs/>
        </w:rPr>
        <w:t xml:space="preserve">Sensitivity analyses for economic analysis were not presented in the resubmission and have been calculated as a part of the evaluation. </w:t>
      </w:r>
      <w:r w:rsidRPr="008705DE">
        <w:rPr>
          <w:rFonts w:ascii="Calibri" w:hAnsi="Calibri"/>
          <w:iCs/>
        </w:rPr>
        <w:t>The result</w:t>
      </w:r>
      <w:r w:rsidR="005A2D3B" w:rsidRPr="008705DE">
        <w:rPr>
          <w:rFonts w:ascii="Calibri" w:hAnsi="Calibri"/>
          <w:iCs/>
        </w:rPr>
        <w:t>s</w:t>
      </w:r>
      <w:r w:rsidRPr="008705DE">
        <w:rPr>
          <w:rFonts w:ascii="Calibri" w:hAnsi="Calibri"/>
          <w:iCs/>
        </w:rPr>
        <w:t xml:space="preserve"> of </w:t>
      </w:r>
      <w:r w:rsidR="005A2D3B" w:rsidRPr="008705DE">
        <w:rPr>
          <w:rFonts w:ascii="Calibri" w:hAnsi="Calibri"/>
          <w:iCs/>
        </w:rPr>
        <w:t xml:space="preserve">the </w:t>
      </w:r>
      <w:r w:rsidRPr="008705DE">
        <w:rPr>
          <w:rFonts w:ascii="Calibri" w:hAnsi="Calibri"/>
          <w:iCs/>
        </w:rPr>
        <w:t xml:space="preserve">sensitivity analyses </w:t>
      </w:r>
      <w:r w:rsidR="005A2D3B" w:rsidRPr="008705DE">
        <w:rPr>
          <w:rFonts w:ascii="Calibri" w:hAnsi="Calibri"/>
          <w:iCs/>
        </w:rPr>
        <w:t>are</w:t>
      </w:r>
      <w:r w:rsidRPr="008705DE">
        <w:rPr>
          <w:rFonts w:ascii="Calibri" w:hAnsi="Calibri"/>
          <w:iCs/>
        </w:rPr>
        <w:t xml:space="preserve"> presented in Table 11.</w:t>
      </w:r>
    </w:p>
    <w:p w14:paraId="237D6DA2" w14:textId="77777777" w:rsidR="00D11F7F" w:rsidRPr="00656188" w:rsidRDefault="00D11F7F" w:rsidP="00D11F7F">
      <w:pPr>
        <w:pStyle w:val="TableFigureHeading"/>
        <w:rPr>
          <w:rStyle w:val="CommentReference"/>
          <w:b/>
          <w:szCs w:val="24"/>
        </w:rPr>
      </w:pPr>
      <w:r w:rsidRPr="00656188">
        <w:rPr>
          <w:rStyle w:val="CommentReference"/>
          <w:b/>
          <w:szCs w:val="24"/>
        </w:rPr>
        <w:t xml:space="preserve">Table </w:t>
      </w:r>
      <w:r>
        <w:rPr>
          <w:rStyle w:val="CommentReference"/>
          <w:b/>
          <w:szCs w:val="24"/>
        </w:rPr>
        <w:t>11</w:t>
      </w:r>
      <w:r w:rsidRPr="00656188">
        <w:rPr>
          <w:rStyle w:val="CommentReference"/>
          <w:b/>
          <w:szCs w:val="24"/>
        </w:rPr>
        <w:t xml:space="preserve">: Results of </w:t>
      </w:r>
      <w:r>
        <w:rPr>
          <w:rStyle w:val="CommentReference"/>
          <w:b/>
          <w:szCs w:val="24"/>
        </w:rPr>
        <w:t>sensitivity analyses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Results of sensitivity analyses"/>
      </w:tblPr>
      <w:tblGrid>
        <w:gridCol w:w="3007"/>
        <w:gridCol w:w="3002"/>
        <w:gridCol w:w="3008"/>
      </w:tblGrid>
      <w:tr w:rsidR="00D11F7F" w:rsidRPr="001D2FDF" w14:paraId="79269223" w14:textId="77777777" w:rsidTr="00EB69AD">
        <w:trPr>
          <w:trHeight w:val="20"/>
        </w:trPr>
        <w:tc>
          <w:tcPr>
            <w:tcW w:w="3007" w:type="dxa"/>
          </w:tcPr>
          <w:p w14:paraId="1DE39B6C" w14:textId="77777777" w:rsidR="00D11F7F" w:rsidRPr="001D2FDF" w:rsidRDefault="00D11F7F" w:rsidP="008830F6">
            <w:pPr>
              <w:pStyle w:val="In-tableHeading"/>
            </w:pPr>
            <w:r w:rsidRPr="001D2FDF">
              <w:t>Component</w:t>
            </w:r>
          </w:p>
        </w:tc>
        <w:tc>
          <w:tcPr>
            <w:tcW w:w="3002" w:type="dxa"/>
          </w:tcPr>
          <w:p w14:paraId="3FCE4138" w14:textId="77777777" w:rsidR="00D11F7F" w:rsidRPr="001D2FDF" w:rsidRDefault="00D11F7F" w:rsidP="008830F6">
            <w:pPr>
              <w:pStyle w:val="In-tableHeading"/>
              <w:jc w:val="center"/>
            </w:pPr>
            <w:r w:rsidRPr="001D2FDF">
              <w:t>Regorafenib</w:t>
            </w:r>
          </w:p>
        </w:tc>
        <w:tc>
          <w:tcPr>
            <w:tcW w:w="3008" w:type="dxa"/>
          </w:tcPr>
          <w:p w14:paraId="66A8EA04" w14:textId="77777777" w:rsidR="00D11F7F" w:rsidRPr="001D2FDF" w:rsidRDefault="00D11F7F" w:rsidP="008830F6">
            <w:pPr>
              <w:pStyle w:val="In-tableHeading"/>
              <w:jc w:val="center"/>
            </w:pPr>
            <w:r w:rsidRPr="001D2FDF">
              <w:t>Trifluridine/tipiracil</w:t>
            </w:r>
          </w:p>
        </w:tc>
      </w:tr>
      <w:tr w:rsidR="00D11F7F" w:rsidRPr="001D2FDF" w14:paraId="2B7943BE" w14:textId="77777777" w:rsidTr="00EB69AD">
        <w:trPr>
          <w:trHeight w:val="20"/>
        </w:trPr>
        <w:tc>
          <w:tcPr>
            <w:tcW w:w="9017" w:type="dxa"/>
            <w:gridSpan w:val="3"/>
          </w:tcPr>
          <w:p w14:paraId="57C13E20" w14:textId="77777777" w:rsidR="00D11F7F" w:rsidRPr="001D2FDF" w:rsidRDefault="00D11F7F" w:rsidP="008830F6">
            <w:pPr>
              <w:pStyle w:val="TableText0"/>
              <w:rPr>
                <w:b/>
                <w:bCs w:val="0"/>
              </w:rPr>
            </w:pPr>
            <w:r w:rsidRPr="001D2FDF">
              <w:rPr>
                <w:b/>
                <w:bCs w:val="0"/>
              </w:rPr>
              <w:t>Base case</w:t>
            </w:r>
          </w:p>
        </w:tc>
      </w:tr>
      <w:tr w:rsidR="00D11F7F" w:rsidRPr="001D2FDF" w14:paraId="14AE3F68" w14:textId="77777777" w:rsidTr="00EB69AD">
        <w:trPr>
          <w:trHeight w:val="20"/>
        </w:trPr>
        <w:tc>
          <w:tcPr>
            <w:tcW w:w="3007" w:type="dxa"/>
          </w:tcPr>
          <w:p w14:paraId="66289C00" w14:textId="77777777" w:rsidR="00D11F7F" w:rsidRPr="001D2FDF" w:rsidRDefault="00D11F7F" w:rsidP="008830F6">
            <w:pPr>
              <w:pStyle w:val="TableText0"/>
            </w:pPr>
            <w:r w:rsidRPr="001D2FDF">
              <w:t>Cost per pack AEMP</w:t>
            </w:r>
            <w:r w:rsidR="009F06AF">
              <w:t xml:space="preserve"> ($)</w:t>
            </w:r>
          </w:p>
        </w:tc>
        <w:tc>
          <w:tcPr>
            <w:tcW w:w="3002" w:type="dxa"/>
          </w:tcPr>
          <w:p w14:paraId="3EF58CE2" w14:textId="77777777" w:rsidR="00D11F7F" w:rsidRPr="003A414F" w:rsidRDefault="003A414F" w:rsidP="00812595">
            <w:pPr>
              <w:pStyle w:val="TableText0"/>
              <w:jc w:val="center"/>
              <w:rPr>
                <w:rFonts w:ascii="Calibri" w:hAnsi="Calibri" w:cs="Calibri"/>
                <w:color w:val="000000"/>
                <w:szCs w:val="20"/>
                <w:highlight w:val="black"/>
              </w:rPr>
            </w:pPr>
            <w:r>
              <w:rPr>
                <w:rFonts w:ascii="Calibri" w:hAnsi="Calibri" w:cs="Calibri"/>
                <w:noProof/>
                <w:color w:val="000000"/>
                <w:szCs w:val="20"/>
                <w:highlight w:val="black"/>
              </w:rPr>
              <w:t>'''''''''''''''''''</w:t>
            </w:r>
          </w:p>
        </w:tc>
        <w:tc>
          <w:tcPr>
            <w:tcW w:w="3008" w:type="dxa"/>
          </w:tcPr>
          <w:p w14:paraId="6D2A8E9E" w14:textId="77777777" w:rsidR="00D11F7F" w:rsidRPr="001D2FDF" w:rsidRDefault="00D11F7F" w:rsidP="00C444E9">
            <w:pPr>
              <w:jc w:val="center"/>
              <w:rPr>
                <w:rFonts w:cs="Calibri"/>
                <w:color w:val="000000"/>
                <w:sz w:val="20"/>
                <w:szCs w:val="20"/>
              </w:rPr>
            </w:pPr>
            <w:r w:rsidRPr="001D2FDF">
              <w:rPr>
                <w:rFonts w:cs="Calibri"/>
                <w:color w:val="000000"/>
                <w:sz w:val="20"/>
                <w:szCs w:val="20"/>
              </w:rPr>
              <w:t>$942.86</w:t>
            </w:r>
          </w:p>
        </w:tc>
      </w:tr>
      <w:tr w:rsidR="00D11F7F" w:rsidRPr="001D2FDF" w14:paraId="602F68B4" w14:textId="77777777" w:rsidTr="00EB69AD">
        <w:trPr>
          <w:trHeight w:val="20"/>
        </w:trPr>
        <w:tc>
          <w:tcPr>
            <w:tcW w:w="3007" w:type="dxa"/>
          </w:tcPr>
          <w:p w14:paraId="7BC343EE" w14:textId="77777777" w:rsidR="00D11F7F" w:rsidRPr="001D2FDF" w:rsidRDefault="00D11F7F" w:rsidP="008830F6">
            <w:pPr>
              <w:pStyle w:val="TableText0"/>
            </w:pPr>
            <w:r w:rsidRPr="001D2FDF">
              <w:t>DPMQ</w:t>
            </w:r>
            <w:r w:rsidR="009F06AF">
              <w:t xml:space="preserve"> ($)</w:t>
            </w:r>
          </w:p>
        </w:tc>
        <w:tc>
          <w:tcPr>
            <w:tcW w:w="3002" w:type="dxa"/>
          </w:tcPr>
          <w:p w14:paraId="0D1208C9" w14:textId="77777777" w:rsidR="00D11F7F" w:rsidRPr="003A414F" w:rsidRDefault="003A414F" w:rsidP="00812595">
            <w:pPr>
              <w:pStyle w:val="TableText0"/>
              <w:jc w:val="center"/>
              <w:rPr>
                <w:rFonts w:ascii="Calibri" w:hAnsi="Calibri" w:cs="Calibri"/>
                <w:color w:val="000000"/>
                <w:szCs w:val="20"/>
                <w:highlight w:val="black"/>
              </w:rPr>
            </w:pPr>
            <w:r>
              <w:rPr>
                <w:rFonts w:ascii="Calibri" w:hAnsi="Calibri" w:cs="Calibri"/>
                <w:noProof/>
                <w:color w:val="000000"/>
                <w:szCs w:val="20"/>
                <w:highlight w:val="black"/>
              </w:rPr>
              <w:t>''''''''''''''''''''</w:t>
            </w:r>
          </w:p>
        </w:tc>
        <w:tc>
          <w:tcPr>
            <w:tcW w:w="3008" w:type="dxa"/>
          </w:tcPr>
          <w:p w14:paraId="07E7BC4C" w14:textId="77777777" w:rsidR="00D11F7F" w:rsidRPr="001D2FDF" w:rsidRDefault="00C444E9" w:rsidP="00C444E9">
            <w:pPr>
              <w:jc w:val="center"/>
              <w:rPr>
                <w:rFonts w:cs="Calibri"/>
                <w:color w:val="000000"/>
                <w:sz w:val="20"/>
                <w:szCs w:val="20"/>
              </w:rPr>
            </w:pPr>
            <w:r w:rsidRPr="001D2FDF">
              <w:rPr>
                <w:rFonts w:cs="Calibri"/>
                <w:color w:val="000000"/>
                <w:sz w:val="20"/>
                <w:szCs w:val="20"/>
              </w:rPr>
              <w:t>$3,932.70</w:t>
            </w:r>
          </w:p>
        </w:tc>
      </w:tr>
      <w:tr w:rsidR="00D11F7F" w:rsidRPr="001D2FDF" w14:paraId="013B9CF3" w14:textId="77777777" w:rsidTr="00EB69AD">
        <w:trPr>
          <w:trHeight w:val="20"/>
        </w:trPr>
        <w:tc>
          <w:tcPr>
            <w:tcW w:w="9017" w:type="dxa"/>
            <w:gridSpan w:val="3"/>
          </w:tcPr>
          <w:p w14:paraId="15D0AAF8" w14:textId="77777777" w:rsidR="00D11F7F" w:rsidRPr="001D2FDF" w:rsidRDefault="00D11F7F" w:rsidP="008830F6">
            <w:pPr>
              <w:pStyle w:val="TableText0"/>
              <w:rPr>
                <w:b/>
                <w:bCs w:val="0"/>
              </w:rPr>
            </w:pPr>
            <w:bookmarkStart w:id="47" w:name="_Hlk82415094"/>
            <w:r w:rsidRPr="001D2FDF">
              <w:rPr>
                <w:b/>
                <w:bCs w:val="0"/>
              </w:rPr>
              <w:t xml:space="preserve">Assuming </w:t>
            </w:r>
            <w:r w:rsidR="00E545BA" w:rsidRPr="001D2FDF">
              <w:rPr>
                <w:b/>
                <w:bCs w:val="0"/>
              </w:rPr>
              <w:t xml:space="preserve">the mean </w:t>
            </w:r>
            <w:r w:rsidRPr="001D2FDF">
              <w:rPr>
                <w:b/>
                <w:bCs w:val="0"/>
              </w:rPr>
              <w:t xml:space="preserve">number of cycles </w:t>
            </w:r>
            <w:r w:rsidR="00EB69AD" w:rsidRPr="001D2FDF">
              <w:rPr>
                <w:b/>
                <w:bCs w:val="0"/>
              </w:rPr>
              <w:t xml:space="preserve">were </w:t>
            </w:r>
            <w:r w:rsidRPr="001D2FDF">
              <w:rPr>
                <w:b/>
                <w:bCs w:val="0"/>
              </w:rPr>
              <w:t>equal at 3.3</w:t>
            </w:r>
          </w:p>
        </w:tc>
      </w:tr>
      <w:tr w:rsidR="00D11F7F" w:rsidRPr="001D2FDF" w14:paraId="242FAD32" w14:textId="77777777" w:rsidTr="00EB69AD">
        <w:trPr>
          <w:trHeight w:val="20"/>
        </w:trPr>
        <w:tc>
          <w:tcPr>
            <w:tcW w:w="3007" w:type="dxa"/>
          </w:tcPr>
          <w:p w14:paraId="6700DA3C" w14:textId="77777777" w:rsidR="00D11F7F" w:rsidRPr="001D2FDF" w:rsidRDefault="00D11F7F" w:rsidP="008830F6">
            <w:pPr>
              <w:pStyle w:val="TableText0"/>
            </w:pPr>
            <w:r w:rsidRPr="001D2FDF">
              <w:t>Cost per pack AEMP</w:t>
            </w:r>
            <w:r w:rsidR="009F06AF">
              <w:t xml:space="preserve"> ($)</w:t>
            </w:r>
          </w:p>
        </w:tc>
        <w:tc>
          <w:tcPr>
            <w:tcW w:w="3002" w:type="dxa"/>
          </w:tcPr>
          <w:p w14:paraId="26C12656" w14:textId="77777777" w:rsidR="00D11F7F" w:rsidRPr="003A414F" w:rsidRDefault="003A414F" w:rsidP="00812595">
            <w:pPr>
              <w:pStyle w:val="TableText0"/>
              <w:jc w:val="center"/>
              <w:rPr>
                <w:rFonts w:ascii="Calibri" w:hAnsi="Calibri" w:cs="Calibri"/>
                <w:color w:val="000000"/>
                <w:szCs w:val="20"/>
                <w:highlight w:val="black"/>
              </w:rPr>
            </w:pPr>
            <w:r>
              <w:rPr>
                <w:rFonts w:ascii="Calibri" w:hAnsi="Calibri" w:cs="Calibri"/>
                <w:noProof/>
                <w:color w:val="000000"/>
                <w:szCs w:val="20"/>
                <w:highlight w:val="black"/>
              </w:rPr>
              <w:t>''''''''''''''''''''</w:t>
            </w:r>
          </w:p>
        </w:tc>
        <w:tc>
          <w:tcPr>
            <w:tcW w:w="3008" w:type="dxa"/>
          </w:tcPr>
          <w:p w14:paraId="5AE87DD1" w14:textId="77777777" w:rsidR="00D11F7F" w:rsidRPr="001D2FDF" w:rsidRDefault="00D11F7F" w:rsidP="00C444E9">
            <w:pPr>
              <w:pStyle w:val="TableText0"/>
              <w:jc w:val="center"/>
            </w:pPr>
            <w:r w:rsidRPr="001D2FDF">
              <w:rPr>
                <w:rFonts w:ascii="Calibri" w:hAnsi="Calibri" w:cs="Calibri"/>
                <w:color w:val="000000"/>
                <w:szCs w:val="20"/>
              </w:rPr>
              <w:t>$942.86</w:t>
            </w:r>
          </w:p>
        </w:tc>
      </w:tr>
      <w:tr w:rsidR="00D11F7F" w:rsidRPr="001D2FDF" w14:paraId="1B59E102" w14:textId="77777777" w:rsidTr="00EB69AD">
        <w:trPr>
          <w:trHeight w:val="20"/>
        </w:trPr>
        <w:tc>
          <w:tcPr>
            <w:tcW w:w="3007" w:type="dxa"/>
          </w:tcPr>
          <w:p w14:paraId="54140AB7" w14:textId="77777777" w:rsidR="00D11F7F" w:rsidRPr="001D2FDF" w:rsidRDefault="00D11F7F" w:rsidP="008830F6">
            <w:pPr>
              <w:pStyle w:val="TableText0"/>
            </w:pPr>
            <w:r w:rsidRPr="001D2FDF">
              <w:t>DPMQ</w:t>
            </w:r>
            <w:r w:rsidR="009F06AF">
              <w:t xml:space="preserve"> ($)</w:t>
            </w:r>
          </w:p>
        </w:tc>
        <w:tc>
          <w:tcPr>
            <w:tcW w:w="3002" w:type="dxa"/>
          </w:tcPr>
          <w:p w14:paraId="1FEBE71F" w14:textId="77777777" w:rsidR="00D11F7F" w:rsidRPr="003A414F" w:rsidRDefault="003A414F" w:rsidP="00812595">
            <w:pPr>
              <w:pStyle w:val="TableText0"/>
              <w:jc w:val="center"/>
              <w:rPr>
                <w:rFonts w:ascii="Calibri" w:hAnsi="Calibri" w:cs="Calibri"/>
                <w:color w:val="000000"/>
                <w:szCs w:val="20"/>
                <w:highlight w:val="black"/>
              </w:rPr>
            </w:pPr>
            <w:r>
              <w:rPr>
                <w:rFonts w:ascii="Calibri" w:hAnsi="Calibri" w:cs="Calibri"/>
                <w:noProof/>
                <w:color w:val="000000"/>
                <w:szCs w:val="20"/>
                <w:highlight w:val="black"/>
              </w:rPr>
              <w:t>'''''''''''''''''''</w:t>
            </w:r>
          </w:p>
        </w:tc>
        <w:tc>
          <w:tcPr>
            <w:tcW w:w="3008" w:type="dxa"/>
          </w:tcPr>
          <w:p w14:paraId="380E6588" w14:textId="77777777" w:rsidR="00D11F7F" w:rsidRPr="001D2FDF" w:rsidRDefault="00C444E9" w:rsidP="00C444E9">
            <w:pPr>
              <w:jc w:val="center"/>
              <w:rPr>
                <w:rFonts w:ascii="Arial" w:hAnsi="Arial"/>
                <w:color w:val="000000"/>
                <w:sz w:val="16"/>
                <w:szCs w:val="16"/>
              </w:rPr>
            </w:pPr>
            <w:r w:rsidRPr="001D2FDF">
              <w:rPr>
                <w:rFonts w:ascii="Arial" w:hAnsi="Arial"/>
                <w:color w:val="000000"/>
                <w:sz w:val="16"/>
                <w:szCs w:val="16"/>
              </w:rPr>
              <w:t>$</w:t>
            </w:r>
            <w:r w:rsidRPr="001D2FDF">
              <w:rPr>
                <w:rFonts w:cs="Calibri"/>
                <w:color w:val="000000"/>
                <w:sz w:val="20"/>
                <w:szCs w:val="20"/>
              </w:rPr>
              <w:t>3,932.70</w:t>
            </w:r>
          </w:p>
        </w:tc>
      </w:tr>
      <w:bookmarkEnd w:id="47"/>
      <w:tr w:rsidR="00C444E9" w:rsidRPr="001D2FDF" w14:paraId="139881BE" w14:textId="77777777" w:rsidTr="00EB69AD">
        <w:trPr>
          <w:trHeight w:val="517"/>
        </w:trPr>
        <w:tc>
          <w:tcPr>
            <w:tcW w:w="9017" w:type="dxa"/>
            <w:gridSpan w:val="3"/>
          </w:tcPr>
          <w:p w14:paraId="6219D1F5" w14:textId="77777777" w:rsidR="00C444E9" w:rsidRPr="001D2FDF" w:rsidRDefault="00C444E9" w:rsidP="00C444E9">
            <w:pPr>
              <w:pStyle w:val="TableText0"/>
              <w:rPr>
                <w:b/>
                <w:bCs w:val="0"/>
              </w:rPr>
            </w:pPr>
            <w:r w:rsidRPr="001D2FDF">
              <w:rPr>
                <w:b/>
                <w:bCs w:val="0"/>
              </w:rPr>
              <w:t xml:space="preserve">Assuming </w:t>
            </w:r>
            <w:r w:rsidR="00E545BA" w:rsidRPr="001D2FDF">
              <w:rPr>
                <w:b/>
                <w:bCs w:val="0"/>
              </w:rPr>
              <w:t xml:space="preserve">the mean </w:t>
            </w:r>
            <w:r w:rsidRPr="001D2FDF">
              <w:rPr>
                <w:b/>
                <w:bCs w:val="0"/>
              </w:rPr>
              <w:t xml:space="preserve">number of cycles </w:t>
            </w:r>
            <w:r w:rsidR="00E545BA" w:rsidRPr="001D2FDF">
              <w:rPr>
                <w:b/>
                <w:bCs w:val="0"/>
              </w:rPr>
              <w:t>was</w:t>
            </w:r>
            <w:r w:rsidRPr="001D2FDF">
              <w:rPr>
                <w:b/>
                <w:bCs w:val="0"/>
              </w:rPr>
              <w:t xml:space="preserve"> based on </w:t>
            </w:r>
            <w:r w:rsidR="005A2D3B" w:rsidRPr="001D2FDF">
              <w:rPr>
                <w:b/>
                <w:bCs w:val="0"/>
              </w:rPr>
              <w:t xml:space="preserve">the </w:t>
            </w:r>
            <w:r w:rsidRPr="001D2FDF">
              <w:rPr>
                <w:b/>
                <w:bCs w:val="0"/>
              </w:rPr>
              <w:t xml:space="preserve">mean duration of treatment </w:t>
            </w:r>
            <w:r w:rsidR="005A2D3B" w:rsidRPr="001D2FDF">
              <w:rPr>
                <w:b/>
                <w:bCs w:val="0"/>
              </w:rPr>
              <w:t>reported in the CORRECT and RECOURSE trials</w:t>
            </w:r>
          </w:p>
        </w:tc>
      </w:tr>
      <w:tr w:rsidR="00C444E9" w:rsidRPr="001D2FDF" w14:paraId="3A20B33B" w14:textId="77777777" w:rsidTr="00EB69AD">
        <w:trPr>
          <w:trHeight w:val="20"/>
        </w:trPr>
        <w:tc>
          <w:tcPr>
            <w:tcW w:w="3007" w:type="dxa"/>
          </w:tcPr>
          <w:p w14:paraId="5CB6126A" w14:textId="77777777" w:rsidR="00C444E9" w:rsidRPr="001D2FDF" w:rsidRDefault="00C444E9" w:rsidP="00C444E9">
            <w:pPr>
              <w:pStyle w:val="TableText0"/>
            </w:pPr>
            <w:r w:rsidRPr="001D2FDF">
              <w:t>Cost per pack AEMP</w:t>
            </w:r>
            <w:r w:rsidR="009F06AF">
              <w:t xml:space="preserve"> ($)</w:t>
            </w:r>
          </w:p>
        </w:tc>
        <w:tc>
          <w:tcPr>
            <w:tcW w:w="3002" w:type="dxa"/>
          </w:tcPr>
          <w:p w14:paraId="4FED55C8" w14:textId="77777777" w:rsidR="00C444E9" w:rsidRPr="003A414F" w:rsidRDefault="003A414F" w:rsidP="00812595">
            <w:pPr>
              <w:pStyle w:val="TableText0"/>
              <w:jc w:val="center"/>
              <w:rPr>
                <w:rFonts w:ascii="Calibri" w:hAnsi="Calibri" w:cs="Calibri"/>
                <w:color w:val="000000"/>
                <w:szCs w:val="20"/>
                <w:highlight w:val="black"/>
              </w:rPr>
            </w:pPr>
            <w:r>
              <w:rPr>
                <w:rFonts w:ascii="Calibri" w:hAnsi="Calibri" w:cs="Calibri"/>
                <w:noProof/>
                <w:color w:val="000000"/>
                <w:szCs w:val="20"/>
                <w:highlight w:val="black"/>
              </w:rPr>
              <w:t>''''''''''''''''''''</w:t>
            </w:r>
          </w:p>
        </w:tc>
        <w:tc>
          <w:tcPr>
            <w:tcW w:w="3008" w:type="dxa"/>
          </w:tcPr>
          <w:p w14:paraId="5F00BB5C" w14:textId="77777777" w:rsidR="00C444E9" w:rsidRPr="001D2FDF" w:rsidRDefault="00C444E9" w:rsidP="00C444E9">
            <w:pPr>
              <w:pStyle w:val="TableText0"/>
              <w:jc w:val="center"/>
            </w:pPr>
            <w:r w:rsidRPr="001D2FDF">
              <w:rPr>
                <w:rFonts w:ascii="Calibri" w:hAnsi="Calibri" w:cs="Calibri"/>
                <w:color w:val="000000"/>
                <w:szCs w:val="20"/>
              </w:rPr>
              <w:t>$942.86</w:t>
            </w:r>
          </w:p>
        </w:tc>
      </w:tr>
      <w:tr w:rsidR="00C444E9" w:rsidRPr="001D2FDF" w14:paraId="4616D6C1" w14:textId="77777777" w:rsidTr="00EB69AD">
        <w:trPr>
          <w:trHeight w:val="20"/>
        </w:trPr>
        <w:tc>
          <w:tcPr>
            <w:tcW w:w="3007" w:type="dxa"/>
          </w:tcPr>
          <w:p w14:paraId="1388AD1D" w14:textId="77777777" w:rsidR="00C444E9" w:rsidRPr="001D2FDF" w:rsidRDefault="00C444E9" w:rsidP="00C444E9">
            <w:pPr>
              <w:pStyle w:val="TableText0"/>
            </w:pPr>
            <w:r w:rsidRPr="001D2FDF">
              <w:t>DPMQ</w:t>
            </w:r>
            <w:r w:rsidR="009F06AF">
              <w:t xml:space="preserve"> ($)</w:t>
            </w:r>
          </w:p>
        </w:tc>
        <w:tc>
          <w:tcPr>
            <w:tcW w:w="3002" w:type="dxa"/>
          </w:tcPr>
          <w:p w14:paraId="7D65DA5E" w14:textId="77777777" w:rsidR="00C444E9" w:rsidRPr="003A414F" w:rsidRDefault="003A414F" w:rsidP="00812595">
            <w:pPr>
              <w:pStyle w:val="TableText0"/>
              <w:jc w:val="center"/>
              <w:rPr>
                <w:rFonts w:ascii="Calibri" w:hAnsi="Calibri" w:cs="Calibri"/>
                <w:color w:val="000000"/>
                <w:szCs w:val="20"/>
                <w:highlight w:val="black"/>
              </w:rPr>
            </w:pPr>
            <w:r>
              <w:rPr>
                <w:rFonts w:ascii="Calibri" w:hAnsi="Calibri" w:cs="Calibri"/>
                <w:noProof/>
                <w:color w:val="000000"/>
                <w:szCs w:val="20"/>
                <w:highlight w:val="black"/>
              </w:rPr>
              <w:t>'''''''''''''''''''</w:t>
            </w:r>
          </w:p>
        </w:tc>
        <w:tc>
          <w:tcPr>
            <w:tcW w:w="3008" w:type="dxa"/>
          </w:tcPr>
          <w:p w14:paraId="47774820" w14:textId="77777777" w:rsidR="00C444E9" w:rsidRPr="001D2FDF" w:rsidRDefault="00C444E9" w:rsidP="00C444E9">
            <w:pPr>
              <w:pStyle w:val="TableText0"/>
              <w:jc w:val="center"/>
            </w:pPr>
            <w:r w:rsidRPr="001D2FDF">
              <w:rPr>
                <w:rFonts w:ascii="Calibri" w:hAnsi="Calibri" w:cs="Calibri"/>
                <w:color w:val="000000"/>
                <w:szCs w:val="20"/>
              </w:rPr>
              <w:t>$3,932.70</w:t>
            </w:r>
          </w:p>
        </w:tc>
      </w:tr>
    </w:tbl>
    <w:p w14:paraId="75398FDD" w14:textId="77777777" w:rsidR="00D11F7F" w:rsidRPr="008E64A9" w:rsidRDefault="00D11F7F" w:rsidP="00BE4ABC">
      <w:pPr>
        <w:pStyle w:val="Tabletext"/>
        <w:rPr>
          <w:sz w:val="18"/>
          <w:szCs w:val="18"/>
        </w:rPr>
      </w:pPr>
      <w:r w:rsidRPr="008E64A9">
        <w:rPr>
          <w:sz w:val="18"/>
          <w:szCs w:val="18"/>
        </w:rPr>
        <w:t>Source: Calculated during evaluation</w:t>
      </w:r>
    </w:p>
    <w:p w14:paraId="0B301025" w14:textId="2E8845C8" w:rsidR="00BE4ABC" w:rsidRPr="008E64A9" w:rsidRDefault="00BE4ABC" w:rsidP="008E64A9">
      <w:pPr>
        <w:pStyle w:val="Tabletext"/>
        <w:spacing w:after="120"/>
        <w:rPr>
          <w:sz w:val="18"/>
          <w:szCs w:val="18"/>
        </w:rPr>
      </w:pPr>
      <w:r w:rsidRPr="008E64A9">
        <w:rPr>
          <w:sz w:val="18"/>
          <w:szCs w:val="18"/>
          <w:vertAlign w:val="superscript"/>
        </w:rPr>
        <w:t xml:space="preserve">a </w:t>
      </w:r>
      <w:r w:rsidRPr="008E64A9">
        <w:rPr>
          <w:sz w:val="18"/>
          <w:szCs w:val="18"/>
        </w:rPr>
        <w:t>Number of cycles for regorafenib was 3.02 cycles (12.08/4) and trifluridine/tipiracil was 3.18 cycles (12.7/4).</w:t>
      </w:r>
    </w:p>
    <w:p w14:paraId="4DE81F7A" w14:textId="77777777" w:rsidR="00EB69AD" w:rsidRPr="008705DE" w:rsidRDefault="00641064" w:rsidP="00761D7E">
      <w:pPr>
        <w:pStyle w:val="3-BodyText"/>
        <w:rPr>
          <w:iCs/>
        </w:rPr>
      </w:pPr>
      <w:bookmarkStart w:id="48" w:name="_Hlk82429097"/>
      <w:r w:rsidRPr="008705DE">
        <w:rPr>
          <w:iCs/>
        </w:rPr>
        <w:t>The sensitivity analyses showed that using a lower number of regorafenib treatment cycles compared with trifluridine/tipiracil resulted in an increased regorafenib price.</w:t>
      </w:r>
      <w:r w:rsidR="00116C8C">
        <w:rPr>
          <w:iCs/>
        </w:rPr>
        <w:t xml:space="preserve"> </w:t>
      </w:r>
    </w:p>
    <w:bookmarkEnd w:id="48"/>
    <w:p w14:paraId="5D0C6276" w14:textId="77777777" w:rsidR="00761D7E" w:rsidRPr="008705DE" w:rsidRDefault="00761D7E" w:rsidP="00761D7E">
      <w:pPr>
        <w:pStyle w:val="3-BodyText"/>
        <w:rPr>
          <w:iCs/>
        </w:rPr>
      </w:pPr>
      <w:r w:rsidRPr="008705DE">
        <w:rPr>
          <w:iCs/>
        </w:rPr>
        <w:t>The resubmission acknowledged that regorafenib and trifluridine/tipiracil have distinct AE profiles, but it did not include the costs for the management and monitoring of adverse events</w:t>
      </w:r>
      <w:r w:rsidR="00E545BA" w:rsidRPr="008705DE">
        <w:rPr>
          <w:iCs/>
        </w:rPr>
        <w:t xml:space="preserve">. </w:t>
      </w:r>
      <w:r w:rsidR="00BE4ABC" w:rsidRPr="008705DE">
        <w:rPr>
          <w:iCs/>
        </w:rPr>
        <w:t xml:space="preserve">  </w:t>
      </w:r>
      <w:r w:rsidR="00E545BA" w:rsidRPr="008705DE">
        <w:rPr>
          <w:iCs/>
        </w:rPr>
        <w:t>Costs associated with regorafenib AEs include the costs to manage</w:t>
      </w:r>
      <w:r w:rsidR="00BE4ABC" w:rsidRPr="008705DE">
        <w:rPr>
          <w:iCs/>
        </w:rPr>
        <w:t xml:space="preserve"> hand-foot skin reaction, hypertension and diarrhoea. The TGA recommends monitoring for abnormal liver function tests before initiation of treatment with regorafenib and every two weeks during first two months of treatment, then monthly as clinically indicated. </w:t>
      </w:r>
      <w:r w:rsidRPr="008705DE">
        <w:rPr>
          <w:iCs/>
        </w:rPr>
        <w:t>The exclusion of these costs likely underestimates the economic cost associated with the use of regorafenib.</w:t>
      </w:r>
    </w:p>
    <w:p w14:paraId="3F2A2C39" w14:textId="77777777" w:rsidR="00DC33F2" w:rsidRPr="008705DE" w:rsidRDefault="006824DE" w:rsidP="00DC33F2">
      <w:pPr>
        <w:pStyle w:val="3-BodyText"/>
      </w:pPr>
      <w:r w:rsidRPr="008705DE">
        <w:rPr>
          <w:iCs/>
        </w:rPr>
        <w:t xml:space="preserve">The cost-minimisation approach is only appropriate if the non-inferiority claims regarding comparative effectiveness and safety between regorafenib and trifluridine/tipiracil are accepted. </w:t>
      </w:r>
    </w:p>
    <w:p w14:paraId="4FEF5B00" w14:textId="77777777" w:rsidR="00955127" w:rsidRDefault="001C349E" w:rsidP="00955127">
      <w:pPr>
        <w:pStyle w:val="3-BodyText"/>
      </w:pPr>
      <w:r>
        <w:t>T</w:t>
      </w:r>
      <w:r w:rsidR="000727F0" w:rsidRPr="008705DE">
        <w:t xml:space="preserve">he cost-minimisation approach must establish that the cost per patient for treatment with regorafenib would be no more than the cost per patient of trifluridine/tipiracil. The cost per patient takes into account the mean equi-effective doses of the new intervention and the alternative therapy, and also accounts for any difference in the mean duration of treatment. Where these cost per patient calculations are uncertain, the guiding principle is that the Australian Government should not bear the financial risk of this uncertainty because the Australian population already has access to therapy that is at least as effective and safe. In this regard, the assumed short treatment duration and exclusion of the management and monitoring of adverse events are uncertainties that should be considered. </w:t>
      </w:r>
    </w:p>
    <w:p w14:paraId="43A43557" w14:textId="4B71102B" w:rsidR="008E64A9" w:rsidRPr="001D2FDF" w:rsidRDefault="00116C8C" w:rsidP="008E64A9">
      <w:pPr>
        <w:pStyle w:val="3-BodyText"/>
      </w:pPr>
      <w:r w:rsidRPr="001D2FDF">
        <w:t xml:space="preserve">The </w:t>
      </w:r>
      <w:r w:rsidR="00B15B3A">
        <w:t>PSCR</w:t>
      </w:r>
      <w:r w:rsidRPr="001D2FDF">
        <w:t xml:space="preserve"> (p5) argued not including adverse event costs in the CMA was conservative on the basis many of the known adverse events associated with regorafenib could be managed prophylactic</w:t>
      </w:r>
      <w:r w:rsidR="00776886" w:rsidRPr="001D2FDF">
        <w:t>ally</w:t>
      </w:r>
      <w:r w:rsidRPr="001D2FDF">
        <w:t xml:space="preserve"> with low cost topical creams or pain relief for hand, foot and/or skin reactions, antihypertensive therapies and anti-diarrh</w:t>
      </w:r>
      <w:r w:rsidR="00776886" w:rsidRPr="001D2FDF">
        <w:t>o</w:t>
      </w:r>
      <w:r w:rsidRPr="001D2FDF">
        <w:t>ea medication; whilst adverse events associated with trifluridine/tipiracil may require prophylactic administration of expensive growth factors or blood transfusions. The ESC did not accept the argument in the PSCR and reiterated that regorafenib appeared to have a worse safety profile than trifluridine/tipiracil (paragraph 6.2</w:t>
      </w:r>
      <w:r w:rsidR="006854B1" w:rsidRPr="001D2FDF">
        <w:t>7</w:t>
      </w:r>
      <w:r w:rsidRPr="001D2FDF">
        <w:t xml:space="preserve"> refers) and therefore the cost of managing adverse events should have been included in the CMA.</w:t>
      </w:r>
      <w:r w:rsidR="00714E44">
        <w:t xml:space="preserve"> </w:t>
      </w:r>
    </w:p>
    <w:p w14:paraId="37281AE3" w14:textId="77777777" w:rsidR="00DC33F2" w:rsidRPr="00C9624D" w:rsidRDefault="00DC33F2" w:rsidP="00DC33F2">
      <w:pPr>
        <w:pStyle w:val="4-SubsectionHeading"/>
      </w:pPr>
      <w:bookmarkStart w:id="49" w:name="_Toc22897647"/>
      <w:bookmarkStart w:id="50" w:name="_Toc22898859"/>
      <w:bookmarkStart w:id="51" w:name="_Toc82598859"/>
      <w:bookmarkEnd w:id="45"/>
      <w:bookmarkEnd w:id="46"/>
      <w:r w:rsidRPr="00C9624D">
        <w:t>Estimated PBS usage &amp; financial implications</w:t>
      </w:r>
      <w:bookmarkEnd w:id="49"/>
      <w:bookmarkEnd w:id="50"/>
      <w:bookmarkEnd w:id="51"/>
    </w:p>
    <w:p w14:paraId="189C4F55" w14:textId="77777777" w:rsidR="00DC33F2" w:rsidRPr="00751108" w:rsidRDefault="008705DE" w:rsidP="00DC33F2">
      <w:pPr>
        <w:pStyle w:val="3-BodyText"/>
      </w:pPr>
      <w:r>
        <w:t xml:space="preserve">This submission was not </w:t>
      </w:r>
      <w:r w:rsidR="00DC33F2" w:rsidRPr="00751108">
        <w:t xml:space="preserve">considered by DUSC. </w:t>
      </w:r>
    </w:p>
    <w:p w14:paraId="6677CF89" w14:textId="47AF9622" w:rsidR="009D24E8" w:rsidRPr="008E64A9" w:rsidRDefault="00DC33F2" w:rsidP="009D24E8">
      <w:pPr>
        <w:pStyle w:val="3-BodyText"/>
        <w:rPr>
          <w:rStyle w:val="CommentReference"/>
          <w:rFonts w:asciiTheme="minorHAnsi" w:hAnsiTheme="minorHAnsi"/>
          <w:b w:val="0"/>
          <w:color w:val="0066FF"/>
          <w:sz w:val="24"/>
          <w:szCs w:val="24"/>
        </w:rPr>
      </w:pPr>
      <w:r w:rsidRPr="00A45393">
        <w:t xml:space="preserve">The </w:t>
      </w:r>
      <w:r>
        <w:t>resubmission used</w:t>
      </w:r>
      <w:r w:rsidRPr="00A45393">
        <w:t xml:space="preserve"> a market share approach to assess the </w:t>
      </w:r>
      <w:r>
        <w:t>financial</w:t>
      </w:r>
      <w:r w:rsidRPr="00A45393">
        <w:t xml:space="preserve"> impact of listing regorafenib</w:t>
      </w:r>
      <w:r>
        <w:t xml:space="preserve">. The key inputs for financial estimates are summarised in </w:t>
      </w:r>
      <w:r w:rsidR="00A52775">
        <w:t>Table 1</w:t>
      </w:r>
      <w:r w:rsidR="00A63CDB">
        <w:t>2</w:t>
      </w:r>
      <w:r>
        <w:t xml:space="preserve">. </w:t>
      </w:r>
    </w:p>
    <w:p w14:paraId="1D61AA7D" w14:textId="77777777" w:rsidR="009D24E8" w:rsidRPr="009D24E8" w:rsidRDefault="00DC33F2" w:rsidP="009D24E8">
      <w:pPr>
        <w:pStyle w:val="TableFigureHeading"/>
      </w:pPr>
      <w:r w:rsidRPr="007925DF">
        <w:rPr>
          <w:rStyle w:val="CommentReference"/>
          <w:b/>
          <w:szCs w:val="24"/>
        </w:rPr>
        <w:t xml:space="preserve">Table </w:t>
      </w:r>
      <w:r>
        <w:rPr>
          <w:rStyle w:val="CommentReference"/>
          <w:b/>
          <w:szCs w:val="24"/>
        </w:rPr>
        <w:t>1</w:t>
      </w:r>
      <w:r w:rsidR="00A63CDB">
        <w:rPr>
          <w:rStyle w:val="CommentReference"/>
          <w:b/>
          <w:szCs w:val="24"/>
        </w:rPr>
        <w:t>2</w:t>
      </w:r>
      <w:r w:rsidRPr="007925DF">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Key inputs for financial estimates"/>
      </w:tblPr>
      <w:tblGrid>
        <w:gridCol w:w="1714"/>
        <w:gridCol w:w="3527"/>
        <w:gridCol w:w="3776"/>
      </w:tblGrid>
      <w:tr w:rsidR="00DC33F2" w:rsidRPr="00017AD6" w14:paraId="70BF0DCD" w14:textId="77777777" w:rsidTr="00594775">
        <w:trPr>
          <w:tblHeader/>
        </w:trPr>
        <w:tc>
          <w:tcPr>
            <w:tcW w:w="950" w:type="pct"/>
            <w:shd w:val="clear" w:color="auto" w:fill="auto"/>
            <w:vAlign w:val="center"/>
          </w:tcPr>
          <w:p w14:paraId="46D65095" w14:textId="77777777" w:rsidR="00DC33F2" w:rsidRPr="00017AD6" w:rsidRDefault="00DC33F2" w:rsidP="00FA23A7">
            <w:pPr>
              <w:pStyle w:val="In-tableHeading"/>
              <w:keepNext w:val="0"/>
            </w:pPr>
            <w:r w:rsidRPr="00017AD6">
              <w:t>Parameter</w:t>
            </w:r>
          </w:p>
        </w:tc>
        <w:tc>
          <w:tcPr>
            <w:tcW w:w="1956" w:type="pct"/>
            <w:shd w:val="clear" w:color="auto" w:fill="auto"/>
            <w:vAlign w:val="center"/>
          </w:tcPr>
          <w:p w14:paraId="26DE2F6F" w14:textId="77777777" w:rsidR="00DC33F2" w:rsidRPr="00017AD6" w:rsidRDefault="00DC33F2" w:rsidP="00FA23A7">
            <w:pPr>
              <w:pStyle w:val="In-tableHeading"/>
              <w:keepNext w:val="0"/>
            </w:pPr>
            <w:r w:rsidRPr="00017AD6">
              <w:t>Value applied and source</w:t>
            </w:r>
          </w:p>
        </w:tc>
        <w:tc>
          <w:tcPr>
            <w:tcW w:w="2094" w:type="pct"/>
            <w:shd w:val="clear" w:color="auto" w:fill="auto"/>
            <w:vAlign w:val="center"/>
          </w:tcPr>
          <w:p w14:paraId="34CE7DDB" w14:textId="77777777" w:rsidR="00DC33F2" w:rsidRPr="00017AD6" w:rsidRDefault="00DC33F2" w:rsidP="00FA23A7">
            <w:pPr>
              <w:pStyle w:val="In-tableHeading"/>
              <w:keepNext w:val="0"/>
            </w:pPr>
            <w:r w:rsidRPr="00017AD6">
              <w:t>Comment</w:t>
            </w:r>
          </w:p>
        </w:tc>
      </w:tr>
      <w:tr w:rsidR="00DC33F2" w:rsidRPr="00017AD6" w14:paraId="3BD078BB" w14:textId="77777777" w:rsidTr="00594775">
        <w:trPr>
          <w:tblHeader/>
        </w:trPr>
        <w:tc>
          <w:tcPr>
            <w:tcW w:w="5000" w:type="pct"/>
            <w:gridSpan w:val="3"/>
            <w:shd w:val="clear" w:color="auto" w:fill="auto"/>
            <w:vAlign w:val="center"/>
          </w:tcPr>
          <w:p w14:paraId="6C816A1B" w14:textId="77777777" w:rsidR="00DC33F2" w:rsidRPr="00017AD6" w:rsidRDefault="00DC33F2" w:rsidP="00FA23A7">
            <w:pPr>
              <w:pStyle w:val="TableText0"/>
              <w:keepNext w:val="0"/>
              <w:rPr>
                <w:highlight w:val="yellow"/>
                <w:lang w:val="en-US"/>
              </w:rPr>
            </w:pPr>
            <w:r w:rsidRPr="00017AD6">
              <w:rPr>
                <w:b/>
              </w:rPr>
              <w:t>Treatment utilisation</w:t>
            </w:r>
          </w:p>
        </w:tc>
      </w:tr>
      <w:tr w:rsidR="00DC33F2" w:rsidRPr="00017AD6" w14:paraId="1178D7A2" w14:textId="77777777" w:rsidTr="00594775">
        <w:trPr>
          <w:tblHeader/>
        </w:trPr>
        <w:tc>
          <w:tcPr>
            <w:tcW w:w="950" w:type="pct"/>
            <w:shd w:val="clear" w:color="auto" w:fill="auto"/>
            <w:vAlign w:val="center"/>
          </w:tcPr>
          <w:p w14:paraId="47B47F91" w14:textId="77777777" w:rsidR="00DC33F2" w:rsidRPr="00017AD6" w:rsidRDefault="00DC33F2" w:rsidP="00FA23A7">
            <w:pPr>
              <w:pStyle w:val="TableText0"/>
              <w:keepNext w:val="0"/>
              <w:rPr>
                <w:lang w:val="en-US"/>
              </w:rPr>
            </w:pPr>
            <w:r w:rsidRPr="00017AD6">
              <w:rPr>
                <w:lang w:val="en-US"/>
              </w:rPr>
              <w:t>Uptake rate</w:t>
            </w:r>
          </w:p>
        </w:tc>
        <w:tc>
          <w:tcPr>
            <w:tcW w:w="1956" w:type="pct"/>
            <w:shd w:val="clear" w:color="auto" w:fill="auto"/>
            <w:vAlign w:val="center"/>
          </w:tcPr>
          <w:p w14:paraId="728EAB26" w14:textId="6E6A71F7" w:rsidR="00DC33F2" w:rsidRPr="00017AD6" w:rsidRDefault="003A414F" w:rsidP="00FA23A7">
            <w:pPr>
              <w:pStyle w:val="TableText0"/>
              <w:keepNext w:val="0"/>
              <w:rPr>
                <w:lang w:val="en-US"/>
              </w:rPr>
            </w:pPr>
            <w:r>
              <w:rPr>
                <w:noProof/>
                <w:color w:val="000000"/>
                <w:highlight w:val="black"/>
                <w:lang w:val="en-US"/>
              </w:rPr>
              <w:t>''''''</w:t>
            </w:r>
            <w:r w:rsidR="00DC33F2" w:rsidRPr="00017AD6">
              <w:rPr>
                <w:lang w:val="en-US"/>
              </w:rPr>
              <w:t xml:space="preserve">% in Year 1 increasing to </w:t>
            </w:r>
            <w:r w:rsidR="006F6725">
              <w:rPr>
                <w:noProof/>
                <w:color w:val="000000"/>
                <w:highlight w:val="black"/>
                <w:lang w:val="en-US"/>
              </w:rPr>
              <w:t>''</w:t>
            </w:r>
            <w:r w:rsidR="006F6725">
              <w:rPr>
                <w:noProof/>
                <w:color w:val="000000"/>
                <w:highlight w:val="black"/>
                <w:lang w:val="en-US"/>
              </w:rPr>
              <w:t xml:space="preserve"> </w:t>
            </w:r>
            <w:r w:rsidR="006F6725">
              <w:rPr>
                <w:noProof/>
                <w:color w:val="000000"/>
                <w:highlight w:val="black"/>
                <w:lang w:val="en-US"/>
              </w:rPr>
              <w:t>''</w:t>
            </w:r>
            <w:r w:rsidR="00DC33F2" w:rsidRPr="00017AD6">
              <w:rPr>
                <w:lang w:val="en-US"/>
              </w:rPr>
              <w:t>%</w:t>
            </w:r>
            <w:r w:rsidR="00A52775" w:rsidRPr="00017AD6">
              <w:rPr>
                <w:lang w:val="en-US"/>
              </w:rPr>
              <w:t xml:space="preserve"> of </w:t>
            </w:r>
            <w:r w:rsidR="00A52775" w:rsidRPr="00017AD6">
              <w:t>trifluridine/tipiracil</w:t>
            </w:r>
            <w:r w:rsidR="00A52775" w:rsidRPr="00017AD6">
              <w:rPr>
                <w:lang w:val="en-US"/>
              </w:rPr>
              <w:t xml:space="preserve"> share </w:t>
            </w:r>
            <w:r w:rsidR="00DC33F2" w:rsidRPr="00017AD6">
              <w:rPr>
                <w:lang w:val="en-US"/>
              </w:rPr>
              <w:t>in Year 6. Assumed by the resubmission.</w:t>
            </w:r>
          </w:p>
        </w:tc>
        <w:tc>
          <w:tcPr>
            <w:tcW w:w="2094" w:type="pct"/>
            <w:shd w:val="clear" w:color="auto" w:fill="auto"/>
            <w:vAlign w:val="center"/>
          </w:tcPr>
          <w:p w14:paraId="6648C9F6" w14:textId="77777777" w:rsidR="00331F1C" w:rsidRPr="00017AD6" w:rsidRDefault="00331F1C" w:rsidP="00FA23A7">
            <w:pPr>
              <w:pStyle w:val="TableText0"/>
              <w:keepNext w:val="0"/>
              <w:rPr>
                <w:lang w:val="en-US"/>
              </w:rPr>
            </w:pPr>
            <w:r w:rsidRPr="00017AD6">
              <w:t xml:space="preserve">Based on the assumption that trifluridine/tipiracil will lose </w:t>
            </w:r>
            <w:r w:rsidR="003A414F">
              <w:rPr>
                <w:noProof/>
                <w:color w:val="000000"/>
                <w:highlight w:val="black"/>
              </w:rPr>
              <w:t>'''''''</w:t>
            </w:r>
            <w:r w:rsidRPr="00017AD6">
              <w:t xml:space="preserve">% of its market share to regorafenib in Year 1, </w:t>
            </w:r>
            <w:r w:rsidR="003A414F">
              <w:rPr>
                <w:noProof/>
                <w:color w:val="000000"/>
                <w:highlight w:val="black"/>
              </w:rPr>
              <w:t>'''''''</w:t>
            </w:r>
            <w:r w:rsidRPr="00017AD6">
              <w:t xml:space="preserve">% in Year 2, and </w:t>
            </w:r>
            <w:r w:rsidR="003A414F">
              <w:rPr>
                <w:noProof/>
                <w:color w:val="000000"/>
                <w:highlight w:val="black"/>
              </w:rPr>
              <w:t>'''''</w:t>
            </w:r>
            <w:r w:rsidRPr="00017AD6">
              <w:t>% in subsequent years.</w:t>
            </w:r>
          </w:p>
        </w:tc>
      </w:tr>
      <w:tr w:rsidR="00DC33F2" w:rsidRPr="00017AD6" w14:paraId="0AB33206" w14:textId="77777777" w:rsidTr="00594775">
        <w:trPr>
          <w:tblHeader/>
        </w:trPr>
        <w:tc>
          <w:tcPr>
            <w:tcW w:w="950" w:type="pct"/>
            <w:shd w:val="clear" w:color="auto" w:fill="auto"/>
            <w:vAlign w:val="center"/>
          </w:tcPr>
          <w:p w14:paraId="63F51F97" w14:textId="77777777" w:rsidR="00DC33F2" w:rsidRPr="00017AD6" w:rsidRDefault="00DC33F2" w:rsidP="00FA23A7">
            <w:pPr>
              <w:pStyle w:val="TableText0"/>
              <w:keepNext w:val="0"/>
              <w:rPr>
                <w:lang w:val="en-US"/>
              </w:rPr>
            </w:pPr>
            <w:r w:rsidRPr="00017AD6">
              <w:t>Projected use of trifluridine/tipiracil</w:t>
            </w:r>
          </w:p>
        </w:tc>
        <w:tc>
          <w:tcPr>
            <w:tcW w:w="1956" w:type="pct"/>
            <w:shd w:val="clear" w:color="auto" w:fill="auto"/>
            <w:vAlign w:val="center"/>
          </w:tcPr>
          <w:p w14:paraId="4DC9D778" w14:textId="77777777" w:rsidR="00DC33F2" w:rsidRPr="00017AD6" w:rsidRDefault="003A414F" w:rsidP="00FA23A7">
            <w:pPr>
              <w:pStyle w:val="TableText0"/>
              <w:keepNext w:val="0"/>
              <w:rPr>
                <w:lang w:val="en-US"/>
              </w:rPr>
            </w:pPr>
            <w:r>
              <w:rPr>
                <w:noProof/>
                <w:color w:val="000000"/>
                <w:highlight w:val="black"/>
                <w:lang w:val="en-US"/>
              </w:rPr>
              <w:t>''''''''''''</w:t>
            </w:r>
            <w:r w:rsidR="009F06AF">
              <w:rPr>
                <w:vertAlign w:val="superscript"/>
                <w:lang w:val="en-US"/>
              </w:rPr>
              <w:t>1</w:t>
            </w:r>
            <w:r w:rsidR="006824DE" w:rsidRPr="00017AD6">
              <w:rPr>
                <w:lang w:val="en-US"/>
              </w:rPr>
              <w:t xml:space="preserve"> </w:t>
            </w:r>
            <w:r w:rsidR="009F06AF">
              <w:rPr>
                <w:lang w:val="en-US"/>
              </w:rPr>
              <w:t>s</w:t>
            </w:r>
            <w:r w:rsidR="006824DE" w:rsidRPr="00017AD6">
              <w:rPr>
                <w:lang w:val="en-US"/>
              </w:rPr>
              <w:t>cripts.</w:t>
            </w:r>
            <w:r w:rsidR="00DC33F2" w:rsidRPr="00017AD6">
              <w:rPr>
                <w:lang w:val="en-US"/>
              </w:rPr>
              <w:t xml:space="preserve"> Assumed to be constant from 2020 onwards.</w:t>
            </w:r>
          </w:p>
        </w:tc>
        <w:tc>
          <w:tcPr>
            <w:tcW w:w="2094" w:type="pct"/>
            <w:shd w:val="clear" w:color="auto" w:fill="auto"/>
            <w:vAlign w:val="center"/>
          </w:tcPr>
          <w:p w14:paraId="535BFAD9" w14:textId="77777777" w:rsidR="00DC33F2" w:rsidRPr="00017AD6" w:rsidRDefault="00331F1C" w:rsidP="00FA23A7">
            <w:pPr>
              <w:pStyle w:val="TableText0"/>
              <w:keepNext w:val="0"/>
            </w:pPr>
            <w:r w:rsidRPr="00017AD6">
              <w:t xml:space="preserve">Use of trifluridine/tipiracil was assumed to remain the same from year 1 to year 6. This is uncertain because it was based on historical data over a short period of two years. </w:t>
            </w:r>
          </w:p>
        </w:tc>
      </w:tr>
      <w:tr w:rsidR="00DC33F2" w:rsidRPr="00017AD6" w14:paraId="74BC31F3" w14:textId="77777777" w:rsidTr="00594775">
        <w:trPr>
          <w:tblHeader/>
        </w:trPr>
        <w:tc>
          <w:tcPr>
            <w:tcW w:w="5000" w:type="pct"/>
            <w:gridSpan w:val="3"/>
            <w:shd w:val="clear" w:color="auto" w:fill="auto"/>
            <w:vAlign w:val="center"/>
          </w:tcPr>
          <w:p w14:paraId="1792C5D5" w14:textId="77777777" w:rsidR="00DC33F2" w:rsidRPr="00017AD6" w:rsidRDefault="00DC33F2" w:rsidP="00FA23A7">
            <w:pPr>
              <w:pStyle w:val="TableText0"/>
              <w:keepNext w:val="0"/>
              <w:rPr>
                <w:b/>
                <w:bCs w:val="0"/>
                <w:lang w:val="en-US"/>
              </w:rPr>
            </w:pPr>
            <w:r w:rsidRPr="00017AD6">
              <w:rPr>
                <w:b/>
                <w:bCs w:val="0"/>
                <w:lang w:val="en-US"/>
              </w:rPr>
              <w:t>Costs</w:t>
            </w:r>
          </w:p>
        </w:tc>
      </w:tr>
      <w:tr w:rsidR="00DC33F2" w:rsidRPr="00017AD6" w14:paraId="2C3FBF8D" w14:textId="77777777" w:rsidTr="00594775">
        <w:trPr>
          <w:tblHeader/>
        </w:trPr>
        <w:tc>
          <w:tcPr>
            <w:tcW w:w="950" w:type="pct"/>
            <w:shd w:val="clear" w:color="auto" w:fill="auto"/>
            <w:vAlign w:val="center"/>
          </w:tcPr>
          <w:p w14:paraId="72D5329B" w14:textId="77777777" w:rsidR="00DC33F2" w:rsidRPr="00017AD6" w:rsidRDefault="00DC33F2" w:rsidP="00FA23A7">
            <w:pPr>
              <w:pStyle w:val="TableText0"/>
              <w:keepNext w:val="0"/>
              <w:rPr>
                <w:lang w:val="en-US"/>
              </w:rPr>
            </w:pPr>
            <w:r w:rsidRPr="00017AD6">
              <w:t>Proposed medicine</w:t>
            </w:r>
          </w:p>
        </w:tc>
        <w:tc>
          <w:tcPr>
            <w:tcW w:w="1956" w:type="pct"/>
            <w:shd w:val="clear" w:color="auto" w:fill="auto"/>
            <w:vAlign w:val="center"/>
          </w:tcPr>
          <w:p w14:paraId="780363E9" w14:textId="77777777" w:rsidR="00DC33F2" w:rsidRPr="00017AD6" w:rsidRDefault="00DC33F2" w:rsidP="00FA23A7">
            <w:pPr>
              <w:pStyle w:val="Default"/>
              <w:rPr>
                <w:rFonts w:ascii="Arial Narrow" w:eastAsiaTheme="majorEastAsia" w:hAnsi="Arial Narrow" w:cstheme="majorBidi"/>
                <w:bCs/>
                <w:color w:val="auto"/>
                <w:sz w:val="20"/>
                <w:lang w:val="en-AU"/>
              </w:rPr>
            </w:pPr>
            <w:r w:rsidRPr="00017AD6">
              <w:rPr>
                <w:rFonts w:ascii="Arial Narrow" w:eastAsiaTheme="majorEastAsia" w:hAnsi="Arial Narrow" w:cstheme="majorBidi"/>
                <w:bCs/>
                <w:color w:val="auto"/>
                <w:sz w:val="20"/>
                <w:lang w:val="en-AU"/>
              </w:rPr>
              <w:t>$</w:t>
            </w:r>
            <w:r w:rsidR="003A414F">
              <w:rPr>
                <w:rFonts w:ascii="Arial Narrow" w:eastAsiaTheme="majorEastAsia" w:hAnsi="Arial Narrow" w:cstheme="majorBidi"/>
                <w:bCs/>
                <w:noProof/>
                <w:sz w:val="20"/>
                <w:highlight w:val="black"/>
                <w:lang w:val="en-AU"/>
              </w:rPr>
              <w:t>'''''''''''''''''''</w:t>
            </w:r>
            <w:r w:rsidRPr="00017AD6">
              <w:rPr>
                <w:rFonts w:ascii="Arial Narrow" w:eastAsiaTheme="majorEastAsia" w:hAnsi="Arial Narrow" w:cstheme="majorBidi"/>
                <w:bCs/>
                <w:color w:val="auto"/>
                <w:sz w:val="20"/>
                <w:lang w:val="en-AU"/>
              </w:rPr>
              <w:t>. Requested price by the submission</w:t>
            </w:r>
            <w:r w:rsidR="00594775" w:rsidRPr="00017AD6">
              <w:rPr>
                <w:rFonts w:ascii="Arial Narrow" w:eastAsiaTheme="majorEastAsia" w:hAnsi="Arial Narrow" w:cstheme="majorBidi"/>
                <w:bCs/>
                <w:color w:val="auto"/>
                <w:sz w:val="20"/>
                <w:lang w:val="en-AU"/>
              </w:rPr>
              <w:t>.</w:t>
            </w:r>
          </w:p>
        </w:tc>
        <w:tc>
          <w:tcPr>
            <w:tcW w:w="2094" w:type="pct"/>
            <w:shd w:val="clear" w:color="auto" w:fill="auto"/>
            <w:vAlign w:val="center"/>
          </w:tcPr>
          <w:p w14:paraId="351CC85F" w14:textId="77777777" w:rsidR="00DC33F2" w:rsidRPr="00017AD6" w:rsidRDefault="00DC33F2" w:rsidP="00FA23A7">
            <w:pPr>
              <w:pStyle w:val="TableText0"/>
              <w:keepNext w:val="0"/>
              <w:rPr>
                <w:lang w:val="en-US"/>
              </w:rPr>
            </w:pPr>
            <w:r w:rsidRPr="00017AD6">
              <w:t xml:space="preserve">The cost minimised price was based on the assumption of non-inferiority in safety and effectiveness compared with </w:t>
            </w:r>
            <w:r w:rsidR="00A52775" w:rsidRPr="00017AD6">
              <w:t>trifluridine/tipiracil</w:t>
            </w:r>
            <w:r w:rsidRPr="00017AD6">
              <w:t xml:space="preserve">, </w:t>
            </w:r>
            <w:r w:rsidR="00D15421" w:rsidRPr="00017AD6">
              <w:t>w</w:t>
            </w:r>
            <w:r w:rsidRPr="00017AD6">
              <w:t xml:space="preserve">hich is highly uncertain. </w:t>
            </w:r>
            <w:r w:rsidR="00963376" w:rsidRPr="00017AD6">
              <w:t>It did</w:t>
            </w:r>
            <w:r w:rsidRPr="00017AD6">
              <w:t xml:space="preserve"> not include additional costs associated with management and monitoring</w:t>
            </w:r>
            <w:r w:rsidR="00D15421" w:rsidRPr="00017AD6">
              <w:t xml:space="preserve"> of adverse events.</w:t>
            </w:r>
          </w:p>
        </w:tc>
      </w:tr>
      <w:tr w:rsidR="00DC33F2" w:rsidRPr="00017AD6" w14:paraId="16C3C182" w14:textId="77777777" w:rsidTr="00594775">
        <w:trPr>
          <w:tblHeader/>
        </w:trPr>
        <w:tc>
          <w:tcPr>
            <w:tcW w:w="950" w:type="pct"/>
            <w:shd w:val="clear" w:color="auto" w:fill="auto"/>
            <w:vAlign w:val="center"/>
          </w:tcPr>
          <w:p w14:paraId="24A4524D" w14:textId="77777777" w:rsidR="00DC33F2" w:rsidRPr="00017AD6" w:rsidRDefault="00DC33F2" w:rsidP="00FA23A7">
            <w:pPr>
              <w:pStyle w:val="TableText0"/>
              <w:keepNext w:val="0"/>
              <w:rPr>
                <w:lang w:val="en-US"/>
              </w:rPr>
            </w:pPr>
            <w:r w:rsidRPr="00017AD6">
              <w:t>Comparator</w:t>
            </w:r>
          </w:p>
        </w:tc>
        <w:tc>
          <w:tcPr>
            <w:tcW w:w="1956" w:type="pct"/>
            <w:shd w:val="clear" w:color="auto" w:fill="auto"/>
            <w:vAlign w:val="center"/>
          </w:tcPr>
          <w:p w14:paraId="4EF611CA" w14:textId="77777777" w:rsidR="00DC33F2" w:rsidRPr="00017AD6" w:rsidRDefault="00DC33F2" w:rsidP="00FA23A7">
            <w:pPr>
              <w:pStyle w:val="Default"/>
              <w:rPr>
                <w:rFonts w:ascii="Arial Narrow" w:eastAsiaTheme="majorEastAsia" w:hAnsi="Arial Narrow" w:cstheme="majorBidi"/>
                <w:bCs/>
                <w:color w:val="auto"/>
                <w:sz w:val="20"/>
                <w:lang w:val="en-AU"/>
              </w:rPr>
            </w:pPr>
            <w:r w:rsidRPr="00017AD6">
              <w:rPr>
                <w:rFonts w:ascii="Arial Narrow" w:eastAsiaTheme="majorEastAsia" w:hAnsi="Arial Narrow" w:cstheme="majorBidi"/>
                <w:bCs/>
                <w:color w:val="auto"/>
                <w:sz w:val="20"/>
                <w:lang w:val="en-AU"/>
              </w:rPr>
              <w:t>$2282.58 (trifluridine/tipiracil – 15 mg)</w:t>
            </w:r>
          </w:p>
          <w:p w14:paraId="5115469A" w14:textId="77777777" w:rsidR="00DC33F2" w:rsidRPr="00017AD6" w:rsidRDefault="00DC33F2" w:rsidP="00FA23A7">
            <w:pPr>
              <w:pStyle w:val="Default"/>
              <w:rPr>
                <w:rFonts w:ascii="Arial Narrow" w:eastAsiaTheme="majorEastAsia" w:hAnsi="Arial Narrow" w:cstheme="majorBidi"/>
                <w:bCs/>
                <w:color w:val="auto"/>
                <w:sz w:val="20"/>
                <w:lang w:val="en-AU"/>
              </w:rPr>
            </w:pPr>
            <w:r w:rsidRPr="00017AD6">
              <w:rPr>
                <w:rFonts w:ascii="Arial Narrow" w:eastAsiaTheme="majorEastAsia" w:hAnsi="Arial Narrow" w:cstheme="majorBidi"/>
                <w:bCs/>
                <w:color w:val="auto"/>
                <w:sz w:val="20"/>
                <w:lang w:val="en-AU"/>
              </w:rPr>
              <w:t>$3932.62 (trifluridine/tipiracil – 20 mg)</w:t>
            </w:r>
          </w:p>
          <w:p w14:paraId="38426214" w14:textId="77777777" w:rsidR="00DC33F2" w:rsidRPr="00017AD6" w:rsidRDefault="00DC33F2" w:rsidP="00FA23A7">
            <w:pPr>
              <w:pStyle w:val="Default"/>
              <w:rPr>
                <w:rFonts w:ascii="Arial Narrow" w:eastAsiaTheme="majorEastAsia" w:hAnsi="Arial Narrow" w:cstheme="majorBidi"/>
                <w:bCs/>
                <w:color w:val="auto"/>
                <w:sz w:val="20"/>
                <w:lang w:val="en-AU"/>
              </w:rPr>
            </w:pPr>
            <w:r w:rsidRPr="00017AD6">
              <w:rPr>
                <w:rFonts w:ascii="Arial Narrow" w:eastAsiaTheme="majorEastAsia" w:hAnsi="Arial Narrow" w:cstheme="majorBidi"/>
                <w:bCs/>
                <w:color w:val="auto"/>
                <w:sz w:val="20"/>
                <w:lang w:val="en-AU"/>
              </w:rPr>
              <w:t>PBS listed drugs</w:t>
            </w:r>
            <w:r w:rsidR="00EC1438" w:rsidRPr="00017AD6">
              <w:rPr>
                <w:rFonts w:ascii="Arial Narrow" w:eastAsiaTheme="majorEastAsia" w:hAnsi="Arial Narrow" w:cstheme="majorBidi"/>
                <w:bCs/>
                <w:color w:val="auto"/>
                <w:sz w:val="20"/>
                <w:lang w:val="en-AU"/>
              </w:rPr>
              <w:t xml:space="preserve"> (published prices)</w:t>
            </w:r>
          </w:p>
        </w:tc>
        <w:tc>
          <w:tcPr>
            <w:tcW w:w="2094" w:type="pct"/>
            <w:shd w:val="clear" w:color="auto" w:fill="auto"/>
            <w:vAlign w:val="center"/>
          </w:tcPr>
          <w:p w14:paraId="65B974D3" w14:textId="77777777" w:rsidR="00DC33F2" w:rsidRPr="00017AD6" w:rsidRDefault="00DC33F2" w:rsidP="00FA23A7">
            <w:pPr>
              <w:pStyle w:val="TableText0"/>
              <w:keepNext w:val="0"/>
              <w:rPr>
                <w:lang w:val="en-US"/>
              </w:rPr>
            </w:pPr>
            <w:r w:rsidRPr="00017AD6">
              <w:t>The effective price of trifluridine/tipiracil in the Special Pricing Arrangement is unknown to the sponsor.</w:t>
            </w:r>
          </w:p>
        </w:tc>
      </w:tr>
      <w:tr w:rsidR="00DC33F2" w:rsidRPr="00017AD6" w14:paraId="53203BB8" w14:textId="77777777" w:rsidTr="00594775">
        <w:trPr>
          <w:tblHeader/>
        </w:trPr>
        <w:tc>
          <w:tcPr>
            <w:tcW w:w="950" w:type="pct"/>
            <w:shd w:val="clear" w:color="auto" w:fill="auto"/>
            <w:vAlign w:val="center"/>
          </w:tcPr>
          <w:p w14:paraId="6EE35F8E" w14:textId="77777777" w:rsidR="00DC33F2" w:rsidRPr="00017AD6" w:rsidRDefault="00DC33F2" w:rsidP="00FA23A7">
            <w:pPr>
              <w:pStyle w:val="TableText0"/>
              <w:keepNext w:val="0"/>
              <w:rPr>
                <w:lang w:val="en-US"/>
              </w:rPr>
            </w:pPr>
            <w:r w:rsidRPr="00017AD6">
              <w:t>Patient co-payment</w:t>
            </w:r>
          </w:p>
        </w:tc>
        <w:tc>
          <w:tcPr>
            <w:tcW w:w="1956" w:type="pct"/>
            <w:shd w:val="clear" w:color="auto" w:fill="auto"/>
            <w:vAlign w:val="center"/>
          </w:tcPr>
          <w:p w14:paraId="23D5C7CB" w14:textId="77777777" w:rsidR="00DC33F2" w:rsidRPr="00017AD6" w:rsidRDefault="00DC33F2" w:rsidP="00FA23A7">
            <w:pPr>
              <w:pStyle w:val="TableText0"/>
              <w:keepNext w:val="0"/>
              <w:rPr>
                <w:lang w:val="en-US"/>
              </w:rPr>
            </w:pPr>
            <w:r w:rsidRPr="00017AD6">
              <w:t>$18.87. PBS statistics.</w:t>
            </w:r>
          </w:p>
        </w:tc>
        <w:tc>
          <w:tcPr>
            <w:tcW w:w="2094" w:type="pct"/>
            <w:shd w:val="clear" w:color="auto" w:fill="auto"/>
            <w:vAlign w:val="center"/>
          </w:tcPr>
          <w:p w14:paraId="5B5E7E4D" w14:textId="77777777" w:rsidR="00DC33F2" w:rsidRPr="00017AD6" w:rsidRDefault="00963376" w:rsidP="00FA23A7">
            <w:pPr>
              <w:pStyle w:val="TableText0"/>
              <w:keepNext w:val="0"/>
              <w:rPr>
                <w:lang w:val="en-US"/>
              </w:rPr>
            </w:pPr>
            <w:r w:rsidRPr="00017AD6">
              <w:t>A weighted average patient co-payment was calculated using current trifluridine/tipiracil usage data by co-pay types as a basis.</w:t>
            </w:r>
          </w:p>
        </w:tc>
      </w:tr>
    </w:tbl>
    <w:p w14:paraId="169FE354" w14:textId="77777777" w:rsidR="00C16833" w:rsidRDefault="00DC33F2" w:rsidP="00C16833">
      <w:pPr>
        <w:pStyle w:val="TableFigureFooter"/>
        <w:keepNext/>
      </w:pPr>
      <w:r>
        <w:t>Source: Section 4.1, pp18</w:t>
      </w:r>
      <w:r w:rsidR="00594775">
        <w:t>7</w:t>
      </w:r>
      <w:r>
        <w:t xml:space="preserve">-191 </w:t>
      </w:r>
      <w:r w:rsidRPr="00D13A3E">
        <w:t xml:space="preserve">of the </w:t>
      </w:r>
      <w:r>
        <w:t>resubmission.</w:t>
      </w:r>
    </w:p>
    <w:p w14:paraId="0EE0CD0F" w14:textId="77777777" w:rsidR="009F06AF" w:rsidRDefault="009F06AF" w:rsidP="009F06AF">
      <w:pPr>
        <w:pStyle w:val="TableFigureFooter"/>
        <w:spacing w:after="0"/>
        <w:contextualSpacing w:val="0"/>
        <w:rPr>
          <w:i/>
        </w:rPr>
      </w:pPr>
      <w:r w:rsidRPr="009868C4">
        <w:rPr>
          <w:i/>
        </w:rPr>
        <w:t>The redacted values correspond to the following ranges</w:t>
      </w:r>
      <w:r>
        <w:rPr>
          <w:i/>
        </w:rPr>
        <w:t xml:space="preserve">: </w:t>
      </w:r>
    </w:p>
    <w:p w14:paraId="409232B3" w14:textId="361F6866" w:rsidR="009F06AF" w:rsidRPr="00C16833" w:rsidRDefault="009F06AF" w:rsidP="008E64A9">
      <w:pPr>
        <w:pStyle w:val="TableFigureFooter"/>
        <w:contextualSpacing w:val="0"/>
      </w:pPr>
      <w:r>
        <w:rPr>
          <w:i/>
          <w:vertAlign w:val="superscript"/>
        </w:rPr>
        <w:t>1</w:t>
      </w:r>
      <w:r>
        <w:rPr>
          <w:i/>
        </w:rPr>
        <w:t xml:space="preserve"> </w:t>
      </w:r>
      <w:r w:rsidRPr="009F06AF">
        <w:rPr>
          <w:i/>
        </w:rPr>
        <w:t>500 to &lt; 5,000</w:t>
      </w:r>
    </w:p>
    <w:p w14:paraId="43AFE135" w14:textId="77777777" w:rsidR="00DC33F2" w:rsidRPr="008705DE" w:rsidRDefault="00DC33F2" w:rsidP="00DC33F2">
      <w:pPr>
        <w:pStyle w:val="3-BodyText"/>
        <w:rPr>
          <w:iCs/>
        </w:rPr>
      </w:pPr>
      <w:r w:rsidRPr="008705DE">
        <w:rPr>
          <w:iCs/>
        </w:rPr>
        <w:t xml:space="preserve">The source of the market share of </w:t>
      </w:r>
      <w:r w:rsidR="003A414F">
        <w:rPr>
          <w:iCs/>
          <w:noProof/>
          <w:color w:val="000000"/>
          <w:highlight w:val="black"/>
        </w:rPr>
        <w:t>'''''</w:t>
      </w:r>
      <w:r w:rsidRPr="008705DE">
        <w:rPr>
          <w:iCs/>
        </w:rPr>
        <w:t xml:space="preserve">% proposed was not clear. Moreover, the assumption of a stable market share over time was not well justified. </w:t>
      </w:r>
    </w:p>
    <w:p w14:paraId="4D5F8279" w14:textId="77777777" w:rsidR="00DC33F2" w:rsidRDefault="00DC33F2" w:rsidP="00DC33F2">
      <w:pPr>
        <w:pStyle w:val="3-BodyText"/>
      </w:pPr>
      <w:r>
        <w:t>The estimated use and financial implication</w:t>
      </w:r>
      <w:r w:rsidR="000D29FF">
        <w:t>s</w:t>
      </w:r>
      <w:r>
        <w:t xml:space="preserve"> associated with the use of regorafenib are summarised in Table 1</w:t>
      </w:r>
      <w:r w:rsidR="00A63CDB">
        <w:t>3</w:t>
      </w:r>
      <w:r>
        <w:t>.</w:t>
      </w:r>
    </w:p>
    <w:p w14:paraId="641D3C17" w14:textId="77777777" w:rsidR="00F21D2A" w:rsidRDefault="00F21D2A">
      <w:pPr>
        <w:jc w:val="left"/>
        <w:rPr>
          <w:rStyle w:val="CommentReference"/>
          <w:rFonts w:eastAsiaTheme="majorEastAsia" w:cstheme="majorBidi"/>
          <w:bCs/>
          <w:szCs w:val="24"/>
        </w:rPr>
      </w:pPr>
      <w:r>
        <w:rPr>
          <w:rStyle w:val="CommentReference"/>
          <w:b w:val="0"/>
          <w:szCs w:val="24"/>
        </w:rPr>
        <w:br w:type="page"/>
      </w:r>
    </w:p>
    <w:p w14:paraId="509719EB" w14:textId="77777777" w:rsidR="00DC33F2" w:rsidRPr="00606FBA" w:rsidRDefault="00DC33F2" w:rsidP="009D24E8">
      <w:pPr>
        <w:pStyle w:val="TableFigureHeading"/>
        <w:keepNext w:val="0"/>
      </w:pPr>
      <w:r w:rsidRPr="00606FBA">
        <w:rPr>
          <w:rStyle w:val="CommentReference"/>
          <w:b/>
          <w:szCs w:val="24"/>
        </w:rPr>
        <w:t xml:space="preserve">Table </w:t>
      </w:r>
      <w:r>
        <w:rPr>
          <w:rStyle w:val="CommentReference"/>
          <w:b/>
          <w:szCs w:val="24"/>
        </w:rPr>
        <w:t>1</w:t>
      </w:r>
      <w:r w:rsidR="00A63CDB">
        <w:rPr>
          <w:rStyle w:val="CommentReference"/>
          <w:b/>
          <w:szCs w:val="24"/>
        </w:rPr>
        <w:t>3</w:t>
      </w:r>
      <w:r w:rsidRPr="00606FBA">
        <w:rPr>
          <w:rStyle w:val="CommentReference"/>
          <w:b/>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Estimated use and financial implications"/>
      </w:tblPr>
      <w:tblGrid>
        <w:gridCol w:w="2012"/>
        <w:gridCol w:w="1167"/>
        <w:gridCol w:w="1167"/>
        <w:gridCol w:w="1167"/>
        <w:gridCol w:w="1167"/>
        <w:gridCol w:w="1167"/>
        <w:gridCol w:w="1170"/>
      </w:tblGrid>
      <w:tr w:rsidR="00DC33F2" w:rsidRPr="000D29FF" w14:paraId="4135D138" w14:textId="77777777" w:rsidTr="00AD478D">
        <w:trPr>
          <w:tblHeader/>
        </w:trPr>
        <w:tc>
          <w:tcPr>
            <w:tcW w:w="1116" w:type="pct"/>
            <w:shd w:val="clear" w:color="auto" w:fill="auto"/>
            <w:vAlign w:val="center"/>
          </w:tcPr>
          <w:p w14:paraId="4FCA24DC" w14:textId="77777777" w:rsidR="00DC33F2" w:rsidRPr="000D29FF" w:rsidRDefault="00DC33F2" w:rsidP="009D24E8">
            <w:pPr>
              <w:pStyle w:val="In-tableHeading"/>
              <w:keepNext w:val="0"/>
              <w:jc w:val="center"/>
              <w:rPr>
                <w:szCs w:val="20"/>
              </w:rPr>
            </w:pPr>
          </w:p>
        </w:tc>
        <w:tc>
          <w:tcPr>
            <w:tcW w:w="647" w:type="pct"/>
            <w:shd w:val="clear" w:color="auto" w:fill="auto"/>
            <w:vAlign w:val="center"/>
          </w:tcPr>
          <w:p w14:paraId="18F4F99F" w14:textId="77777777" w:rsidR="00DC33F2" w:rsidRPr="000D29FF" w:rsidRDefault="00DC33F2" w:rsidP="009D24E8">
            <w:pPr>
              <w:pStyle w:val="In-tableHeading"/>
              <w:keepNext w:val="0"/>
              <w:jc w:val="center"/>
              <w:rPr>
                <w:szCs w:val="20"/>
              </w:rPr>
            </w:pPr>
            <w:r w:rsidRPr="000D29FF">
              <w:rPr>
                <w:szCs w:val="20"/>
              </w:rPr>
              <w:t>Year 1</w:t>
            </w:r>
          </w:p>
        </w:tc>
        <w:tc>
          <w:tcPr>
            <w:tcW w:w="647" w:type="pct"/>
            <w:shd w:val="clear" w:color="auto" w:fill="auto"/>
            <w:vAlign w:val="center"/>
          </w:tcPr>
          <w:p w14:paraId="0918F93E" w14:textId="77777777" w:rsidR="00DC33F2" w:rsidRPr="000D29FF" w:rsidRDefault="00DC33F2" w:rsidP="009D24E8">
            <w:pPr>
              <w:pStyle w:val="In-tableHeading"/>
              <w:keepNext w:val="0"/>
              <w:jc w:val="center"/>
              <w:rPr>
                <w:szCs w:val="20"/>
              </w:rPr>
            </w:pPr>
            <w:r w:rsidRPr="000D29FF">
              <w:rPr>
                <w:szCs w:val="20"/>
              </w:rPr>
              <w:t>Year 2</w:t>
            </w:r>
          </w:p>
        </w:tc>
        <w:tc>
          <w:tcPr>
            <w:tcW w:w="647" w:type="pct"/>
            <w:shd w:val="clear" w:color="auto" w:fill="auto"/>
            <w:vAlign w:val="center"/>
          </w:tcPr>
          <w:p w14:paraId="1E1E8702" w14:textId="77777777" w:rsidR="00DC33F2" w:rsidRPr="000D29FF" w:rsidRDefault="00DC33F2" w:rsidP="009D24E8">
            <w:pPr>
              <w:pStyle w:val="In-tableHeading"/>
              <w:keepNext w:val="0"/>
              <w:jc w:val="center"/>
              <w:rPr>
                <w:szCs w:val="20"/>
              </w:rPr>
            </w:pPr>
            <w:r w:rsidRPr="000D29FF">
              <w:rPr>
                <w:szCs w:val="20"/>
              </w:rPr>
              <w:t>Year 3</w:t>
            </w:r>
          </w:p>
        </w:tc>
        <w:tc>
          <w:tcPr>
            <w:tcW w:w="647" w:type="pct"/>
            <w:shd w:val="clear" w:color="auto" w:fill="auto"/>
            <w:vAlign w:val="center"/>
          </w:tcPr>
          <w:p w14:paraId="142E1625" w14:textId="77777777" w:rsidR="00DC33F2" w:rsidRPr="000D29FF" w:rsidRDefault="00DC33F2" w:rsidP="009D24E8">
            <w:pPr>
              <w:pStyle w:val="In-tableHeading"/>
              <w:keepNext w:val="0"/>
              <w:jc w:val="center"/>
              <w:rPr>
                <w:szCs w:val="20"/>
              </w:rPr>
            </w:pPr>
            <w:r w:rsidRPr="000D29FF">
              <w:rPr>
                <w:szCs w:val="20"/>
              </w:rPr>
              <w:t>Year 4</w:t>
            </w:r>
          </w:p>
        </w:tc>
        <w:tc>
          <w:tcPr>
            <w:tcW w:w="647" w:type="pct"/>
            <w:shd w:val="clear" w:color="auto" w:fill="auto"/>
            <w:vAlign w:val="center"/>
          </w:tcPr>
          <w:p w14:paraId="471448AE" w14:textId="77777777" w:rsidR="00DC33F2" w:rsidRPr="000D29FF" w:rsidRDefault="00DC33F2" w:rsidP="009D24E8">
            <w:pPr>
              <w:pStyle w:val="In-tableHeading"/>
              <w:keepNext w:val="0"/>
              <w:jc w:val="center"/>
              <w:rPr>
                <w:szCs w:val="20"/>
              </w:rPr>
            </w:pPr>
            <w:r w:rsidRPr="000D29FF">
              <w:rPr>
                <w:szCs w:val="20"/>
              </w:rPr>
              <w:t>Year 5</w:t>
            </w:r>
          </w:p>
        </w:tc>
        <w:tc>
          <w:tcPr>
            <w:tcW w:w="649" w:type="pct"/>
          </w:tcPr>
          <w:p w14:paraId="703520BC" w14:textId="77777777" w:rsidR="00DC33F2" w:rsidRPr="000D29FF" w:rsidRDefault="00DC33F2" w:rsidP="009D24E8">
            <w:pPr>
              <w:pStyle w:val="In-tableHeading"/>
              <w:keepNext w:val="0"/>
              <w:jc w:val="center"/>
              <w:rPr>
                <w:szCs w:val="20"/>
              </w:rPr>
            </w:pPr>
            <w:r w:rsidRPr="000D29FF">
              <w:rPr>
                <w:szCs w:val="20"/>
              </w:rPr>
              <w:t>Year 6</w:t>
            </w:r>
          </w:p>
        </w:tc>
      </w:tr>
      <w:tr w:rsidR="00DC33F2" w:rsidRPr="000D29FF" w14:paraId="77E66C39" w14:textId="77777777" w:rsidTr="00AD478D">
        <w:tc>
          <w:tcPr>
            <w:tcW w:w="5000" w:type="pct"/>
            <w:gridSpan w:val="7"/>
            <w:shd w:val="clear" w:color="auto" w:fill="auto"/>
            <w:vAlign w:val="center"/>
          </w:tcPr>
          <w:p w14:paraId="48A8342D" w14:textId="77777777" w:rsidR="00DC33F2" w:rsidRPr="000D29FF" w:rsidRDefault="00DC33F2" w:rsidP="009D24E8">
            <w:pPr>
              <w:pStyle w:val="In-tableHeading"/>
              <w:keepNext w:val="0"/>
              <w:rPr>
                <w:bCs/>
                <w:color w:val="000000"/>
                <w:szCs w:val="20"/>
              </w:rPr>
            </w:pPr>
            <w:r w:rsidRPr="000D29FF">
              <w:rPr>
                <w:bCs/>
                <w:color w:val="000000"/>
                <w:szCs w:val="20"/>
              </w:rPr>
              <w:t>Estimated extent of use</w:t>
            </w:r>
          </w:p>
        </w:tc>
      </w:tr>
      <w:tr w:rsidR="00DC33F2" w:rsidRPr="000D29FF" w14:paraId="0143CBB4" w14:textId="77777777" w:rsidTr="00AD478D">
        <w:tc>
          <w:tcPr>
            <w:tcW w:w="1116" w:type="pct"/>
            <w:shd w:val="clear" w:color="auto" w:fill="auto"/>
            <w:vAlign w:val="center"/>
          </w:tcPr>
          <w:p w14:paraId="5DD2CAA7" w14:textId="77777777" w:rsidR="00DC33F2" w:rsidRPr="000D29FF" w:rsidRDefault="00DC33F2" w:rsidP="009F06AF">
            <w:pPr>
              <w:pStyle w:val="TableText0"/>
              <w:keepNext w:val="0"/>
              <w:rPr>
                <w:szCs w:val="20"/>
              </w:rPr>
            </w:pPr>
            <w:r w:rsidRPr="000D29FF">
              <w:rPr>
                <w:szCs w:val="20"/>
              </w:rPr>
              <w:t>Number of scripts dispensed</w:t>
            </w:r>
            <w:r w:rsidRPr="000D29FF">
              <w:rPr>
                <w:szCs w:val="20"/>
                <w:vertAlign w:val="superscript"/>
              </w:rPr>
              <w:t>a</w:t>
            </w:r>
          </w:p>
        </w:tc>
        <w:tc>
          <w:tcPr>
            <w:tcW w:w="647" w:type="pct"/>
            <w:shd w:val="clear" w:color="auto" w:fill="auto"/>
            <w:vAlign w:val="center"/>
          </w:tcPr>
          <w:p w14:paraId="7AB563EC" w14:textId="77777777" w:rsidR="00DC33F2" w:rsidRPr="003A414F" w:rsidRDefault="003A414F" w:rsidP="009D24E8">
            <w:pPr>
              <w:pStyle w:val="TableText0"/>
              <w:keepNext w:val="0"/>
              <w:jc w:val="center"/>
              <w:rPr>
                <w:color w:val="000000"/>
                <w:szCs w:val="20"/>
              </w:rPr>
            </w:pPr>
            <w:r>
              <w:rPr>
                <w:noProof/>
                <w:color w:val="000000"/>
                <w:szCs w:val="20"/>
                <w:highlight w:val="black"/>
              </w:rPr>
              <w:t>'''''''''</w:t>
            </w:r>
            <w:r w:rsidR="009F06AF">
              <w:rPr>
                <w:szCs w:val="20"/>
                <w:vertAlign w:val="superscript"/>
              </w:rPr>
              <w:t>1</w:t>
            </w:r>
          </w:p>
        </w:tc>
        <w:tc>
          <w:tcPr>
            <w:tcW w:w="647" w:type="pct"/>
            <w:shd w:val="clear" w:color="auto" w:fill="auto"/>
            <w:vAlign w:val="center"/>
          </w:tcPr>
          <w:p w14:paraId="1BC74D39" w14:textId="77777777" w:rsidR="00DC33F2" w:rsidRPr="003A414F" w:rsidRDefault="003A414F" w:rsidP="009D24E8">
            <w:pPr>
              <w:pStyle w:val="TableText0"/>
              <w:keepNext w:val="0"/>
              <w:jc w:val="center"/>
              <w:rPr>
                <w:color w:val="000000"/>
                <w:szCs w:val="20"/>
              </w:rPr>
            </w:pPr>
            <w:r>
              <w:rPr>
                <w:noProof/>
                <w:color w:val="000000"/>
                <w:szCs w:val="20"/>
                <w:highlight w:val="black"/>
              </w:rPr>
              <w:t>'''''''''''</w:t>
            </w:r>
            <w:r w:rsidR="009F06AF">
              <w:rPr>
                <w:szCs w:val="20"/>
                <w:vertAlign w:val="superscript"/>
              </w:rPr>
              <w:t>1</w:t>
            </w:r>
          </w:p>
        </w:tc>
        <w:tc>
          <w:tcPr>
            <w:tcW w:w="647" w:type="pct"/>
            <w:shd w:val="clear" w:color="auto" w:fill="auto"/>
            <w:vAlign w:val="center"/>
          </w:tcPr>
          <w:p w14:paraId="47EA3A2E" w14:textId="77777777" w:rsidR="00DC33F2" w:rsidRPr="003A414F" w:rsidRDefault="003A414F" w:rsidP="009D24E8">
            <w:pPr>
              <w:pStyle w:val="TableText0"/>
              <w:keepNext w:val="0"/>
              <w:jc w:val="center"/>
              <w:rPr>
                <w:color w:val="000000"/>
                <w:szCs w:val="20"/>
              </w:rPr>
            </w:pPr>
            <w:r>
              <w:rPr>
                <w:noProof/>
                <w:color w:val="000000"/>
                <w:szCs w:val="20"/>
                <w:highlight w:val="black"/>
              </w:rPr>
              <w:t>''''''''''''</w:t>
            </w:r>
            <w:r w:rsidR="009F06AF">
              <w:rPr>
                <w:szCs w:val="20"/>
                <w:vertAlign w:val="superscript"/>
              </w:rPr>
              <w:t>1</w:t>
            </w:r>
          </w:p>
        </w:tc>
        <w:tc>
          <w:tcPr>
            <w:tcW w:w="647" w:type="pct"/>
            <w:shd w:val="clear" w:color="auto" w:fill="auto"/>
            <w:vAlign w:val="center"/>
          </w:tcPr>
          <w:p w14:paraId="7FC6D292" w14:textId="77777777" w:rsidR="00DC33F2" w:rsidRPr="003A414F" w:rsidRDefault="003A414F" w:rsidP="009D24E8">
            <w:pPr>
              <w:pStyle w:val="TableText0"/>
              <w:keepNext w:val="0"/>
              <w:jc w:val="center"/>
              <w:rPr>
                <w:color w:val="000000"/>
                <w:szCs w:val="20"/>
              </w:rPr>
            </w:pPr>
            <w:r>
              <w:rPr>
                <w:noProof/>
                <w:color w:val="000000"/>
                <w:szCs w:val="20"/>
                <w:highlight w:val="black"/>
              </w:rPr>
              <w:t>'''''''''''</w:t>
            </w:r>
            <w:r w:rsidR="009F06AF">
              <w:rPr>
                <w:szCs w:val="20"/>
                <w:vertAlign w:val="superscript"/>
              </w:rPr>
              <w:t>1</w:t>
            </w:r>
          </w:p>
        </w:tc>
        <w:tc>
          <w:tcPr>
            <w:tcW w:w="647" w:type="pct"/>
            <w:shd w:val="clear" w:color="auto" w:fill="auto"/>
            <w:vAlign w:val="center"/>
          </w:tcPr>
          <w:p w14:paraId="09891F68" w14:textId="77777777" w:rsidR="00DC33F2" w:rsidRPr="003A414F" w:rsidRDefault="003A414F" w:rsidP="009D24E8">
            <w:pPr>
              <w:pStyle w:val="TableText0"/>
              <w:keepNext w:val="0"/>
              <w:jc w:val="center"/>
              <w:rPr>
                <w:color w:val="000000"/>
                <w:szCs w:val="20"/>
              </w:rPr>
            </w:pPr>
            <w:r>
              <w:rPr>
                <w:noProof/>
                <w:color w:val="000000"/>
                <w:szCs w:val="20"/>
                <w:highlight w:val="black"/>
              </w:rPr>
              <w:t>'''''''''''</w:t>
            </w:r>
            <w:r w:rsidR="009F06AF">
              <w:rPr>
                <w:szCs w:val="20"/>
                <w:vertAlign w:val="superscript"/>
              </w:rPr>
              <w:t>1</w:t>
            </w:r>
          </w:p>
        </w:tc>
        <w:tc>
          <w:tcPr>
            <w:tcW w:w="649" w:type="pct"/>
            <w:vAlign w:val="center"/>
          </w:tcPr>
          <w:p w14:paraId="6C868FB4" w14:textId="77777777" w:rsidR="00DC33F2" w:rsidRPr="003A414F" w:rsidRDefault="003A414F" w:rsidP="009D24E8">
            <w:pPr>
              <w:pStyle w:val="TableText0"/>
              <w:keepNext w:val="0"/>
              <w:jc w:val="center"/>
              <w:rPr>
                <w:color w:val="000000"/>
                <w:szCs w:val="20"/>
              </w:rPr>
            </w:pPr>
            <w:r>
              <w:rPr>
                <w:noProof/>
                <w:color w:val="000000"/>
                <w:szCs w:val="20"/>
                <w:highlight w:val="black"/>
              </w:rPr>
              <w:t>''''''''''''</w:t>
            </w:r>
            <w:r w:rsidR="009F06AF">
              <w:rPr>
                <w:szCs w:val="20"/>
                <w:vertAlign w:val="superscript"/>
              </w:rPr>
              <w:t>1</w:t>
            </w:r>
          </w:p>
        </w:tc>
      </w:tr>
      <w:tr w:rsidR="00DC33F2" w:rsidRPr="000D29FF" w14:paraId="5C7DF237" w14:textId="77777777" w:rsidTr="00AD478D">
        <w:tc>
          <w:tcPr>
            <w:tcW w:w="5000" w:type="pct"/>
            <w:gridSpan w:val="7"/>
            <w:shd w:val="clear" w:color="auto" w:fill="auto"/>
            <w:vAlign w:val="center"/>
          </w:tcPr>
          <w:p w14:paraId="20EA6DAB" w14:textId="77777777" w:rsidR="00DC33F2" w:rsidRPr="000D29FF" w:rsidRDefault="00DC33F2" w:rsidP="009D24E8">
            <w:pPr>
              <w:pStyle w:val="In-tableHeading"/>
              <w:keepNext w:val="0"/>
              <w:rPr>
                <w:szCs w:val="20"/>
              </w:rPr>
            </w:pPr>
            <w:r w:rsidRPr="000D29FF">
              <w:rPr>
                <w:szCs w:val="20"/>
              </w:rPr>
              <w:t>Estimated financial implications of regorafenib</w:t>
            </w:r>
          </w:p>
        </w:tc>
      </w:tr>
      <w:tr w:rsidR="00DC33F2" w:rsidRPr="000D29FF" w14:paraId="43B68B42" w14:textId="77777777" w:rsidTr="00AD478D">
        <w:tc>
          <w:tcPr>
            <w:tcW w:w="1116" w:type="pct"/>
            <w:shd w:val="clear" w:color="auto" w:fill="auto"/>
            <w:vAlign w:val="center"/>
          </w:tcPr>
          <w:p w14:paraId="66C21D0E" w14:textId="77777777" w:rsidR="00DC33F2" w:rsidRPr="000D29FF" w:rsidRDefault="00DC33F2" w:rsidP="009D24E8">
            <w:pPr>
              <w:pStyle w:val="TableText0"/>
              <w:keepNext w:val="0"/>
              <w:rPr>
                <w:szCs w:val="20"/>
              </w:rPr>
            </w:pPr>
            <w:r w:rsidRPr="000D29FF">
              <w:rPr>
                <w:szCs w:val="20"/>
              </w:rPr>
              <w:t xml:space="preserve">Cost to PBS/RPBS less   </w:t>
            </w:r>
            <w:r w:rsidR="007E5CB8" w:rsidRPr="000D29FF">
              <w:rPr>
                <w:szCs w:val="20"/>
              </w:rPr>
              <w:t>co-payments</w:t>
            </w:r>
          </w:p>
        </w:tc>
        <w:tc>
          <w:tcPr>
            <w:tcW w:w="647" w:type="pct"/>
            <w:shd w:val="clear" w:color="auto" w:fill="auto"/>
            <w:vAlign w:val="center"/>
          </w:tcPr>
          <w:p w14:paraId="3FE187FD" w14:textId="77777777" w:rsidR="00DC33F2" w:rsidRPr="003A414F" w:rsidRDefault="003A414F" w:rsidP="009D24E8">
            <w:pPr>
              <w:pStyle w:val="TableText0"/>
              <w:keepNext w:val="0"/>
              <w:jc w:val="center"/>
              <w:rPr>
                <w:szCs w:val="20"/>
              </w:rPr>
            </w:pPr>
            <w:r>
              <w:rPr>
                <w:noProof/>
                <w:color w:val="000000"/>
                <w:szCs w:val="20"/>
                <w:highlight w:val="black"/>
              </w:rPr>
              <w:t>'''''''''''''''''''''''''</w:t>
            </w:r>
            <w:r w:rsidR="00C86A19">
              <w:rPr>
                <w:szCs w:val="20"/>
                <w:vertAlign w:val="superscript"/>
              </w:rPr>
              <w:t>2</w:t>
            </w:r>
          </w:p>
        </w:tc>
        <w:tc>
          <w:tcPr>
            <w:tcW w:w="647" w:type="pct"/>
            <w:shd w:val="clear" w:color="auto" w:fill="auto"/>
            <w:vAlign w:val="center"/>
          </w:tcPr>
          <w:p w14:paraId="4A2ACFF3" w14:textId="77777777" w:rsidR="00DC33F2" w:rsidRPr="003A414F" w:rsidRDefault="003A414F" w:rsidP="009D24E8">
            <w:pPr>
              <w:pStyle w:val="TableText0"/>
              <w:keepNext w:val="0"/>
              <w:jc w:val="center"/>
              <w:rPr>
                <w:szCs w:val="20"/>
              </w:rPr>
            </w:pPr>
            <w:r>
              <w:rPr>
                <w:noProof/>
                <w:color w:val="000000"/>
                <w:szCs w:val="20"/>
                <w:highlight w:val="black"/>
              </w:rPr>
              <w:t>'''''''''''''''''''''''''''</w:t>
            </w:r>
            <w:r w:rsidR="009F06AF">
              <w:rPr>
                <w:szCs w:val="20"/>
                <w:vertAlign w:val="superscript"/>
              </w:rPr>
              <w:t>2</w:t>
            </w:r>
          </w:p>
        </w:tc>
        <w:tc>
          <w:tcPr>
            <w:tcW w:w="647" w:type="pct"/>
            <w:shd w:val="clear" w:color="auto" w:fill="auto"/>
            <w:vAlign w:val="center"/>
          </w:tcPr>
          <w:p w14:paraId="67786B5A" w14:textId="77777777" w:rsidR="00DC33F2" w:rsidRPr="003A414F" w:rsidRDefault="003A414F" w:rsidP="009D24E8">
            <w:pPr>
              <w:pStyle w:val="TableText0"/>
              <w:keepNext w:val="0"/>
              <w:jc w:val="center"/>
              <w:rPr>
                <w:szCs w:val="20"/>
              </w:rPr>
            </w:pPr>
            <w:r>
              <w:rPr>
                <w:noProof/>
                <w:color w:val="000000"/>
                <w:szCs w:val="20"/>
                <w:highlight w:val="black"/>
              </w:rPr>
              <w:t>''''''''''''''''''''''''''''</w:t>
            </w:r>
            <w:r w:rsidR="009F06AF">
              <w:rPr>
                <w:szCs w:val="20"/>
                <w:vertAlign w:val="superscript"/>
              </w:rPr>
              <w:t>2</w:t>
            </w:r>
          </w:p>
        </w:tc>
        <w:tc>
          <w:tcPr>
            <w:tcW w:w="647" w:type="pct"/>
            <w:shd w:val="clear" w:color="auto" w:fill="auto"/>
            <w:vAlign w:val="center"/>
          </w:tcPr>
          <w:p w14:paraId="11BB3FE1" w14:textId="77777777" w:rsidR="00DC33F2" w:rsidRPr="003A414F" w:rsidRDefault="003A414F" w:rsidP="009D24E8">
            <w:pPr>
              <w:pStyle w:val="TableText0"/>
              <w:keepNext w:val="0"/>
              <w:jc w:val="center"/>
              <w:rPr>
                <w:szCs w:val="20"/>
              </w:rPr>
            </w:pPr>
            <w:r>
              <w:rPr>
                <w:noProof/>
                <w:color w:val="000000"/>
                <w:szCs w:val="20"/>
                <w:highlight w:val="black"/>
              </w:rPr>
              <w:t>''''''''''''''''''''''''''</w:t>
            </w:r>
            <w:r w:rsidR="009F06AF">
              <w:rPr>
                <w:szCs w:val="20"/>
                <w:vertAlign w:val="superscript"/>
              </w:rPr>
              <w:t>2</w:t>
            </w:r>
          </w:p>
        </w:tc>
        <w:tc>
          <w:tcPr>
            <w:tcW w:w="647" w:type="pct"/>
            <w:shd w:val="clear" w:color="auto" w:fill="auto"/>
            <w:vAlign w:val="center"/>
          </w:tcPr>
          <w:p w14:paraId="578E4898" w14:textId="77777777" w:rsidR="00DC33F2" w:rsidRPr="003A414F" w:rsidRDefault="003A414F" w:rsidP="009D24E8">
            <w:pPr>
              <w:pStyle w:val="TableText0"/>
              <w:keepNext w:val="0"/>
              <w:jc w:val="center"/>
              <w:rPr>
                <w:szCs w:val="20"/>
              </w:rPr>
            </w:pPr>
            <w:r>
              <w:rPr>
                <w:noProof/>
                <w:color w:val="000000"/>
                <w:szCs w:val="20"/>
                <w:highlight w:val="black"/>
              </w:rPr>
              <w:t>'''''''''''''''''''''''''''</w:t>
            </w:r>
            <w:r w:rsidR="009F06AF">
              <w:rPr>
                <w:szCs w:val="20"/>
                <w:vertAlign w:val="superscript"/>
              </w:rPr>
              <w:t>2</w:t>
            </w:r>
          </w:p>
        </w:tc>
        <w:tc>
          <w:tcPr>
            <w:tcW w:w="649" w:type="pct"/>
            <w:vAlign w:val="center"/>
          </w:tcPr>
          <w:p w14:paraId="0883CF5B" w14:textId="77777777" w:rsidR="00DC33F2" w:rsidRPr="003A414F" w:rsidRDefault="003A414F" w:rsidP="009D24E8">
            <w:pPr>
              <w:pStyle w:val="TableText0"/>
              <w:keepNext w:val="0"/>
              <w:jc w:val="center"/>
              <w:rPr>
                <w:szCs w:val="20"/>
              </w:rPr>
            </w:pPr>
            <w:r>
              <w:rPr>
                <w:noProof/>
                <w:color w:val="000000"/>
                <w:szCs w:val="20"/>
                <w:highlight w:val="black"/>
              </w:rPr>
              <w:t>''''''''''''''''''''''''''</w:t>
            </w:r>
            <w:r w:rsidR="009F06AF">
              <w:rPr>
                <w:szCs w:val="20"/>
                <w:vertAlign w:val="superscript"/>
              </w:rPr>
              <w:t>2</w:t>
            </w:r>
          </w:p>
        </w:tc>
      </w:tr>
      <w:tr w:rsidR="00DC33F2" w:rsidRPr="000D29FF" w14:paraId="763B31EC" w14:textId="77777777" w:rsidTr="00AD478D">
        <w:tc>
          <w:tcPr>
            <w:tcW w:w="5000" w:type="pct"/>
            <w:gridSpan w:val="7"/>
            <w:shd w:val="clear" w:color="auto" w:fill="auto"/>
            <w:vAlign w:val="center"/>
          </w:tcPr>
          <w:p w14:paraId="4D093B77" w14:textId="77777777" w:rsidR="00DC33F2" w:rsidRPr="000D29FF" w:rsidRDefault="00DC33F2" w:rsidP="009D24E8">
            <w:pPr>
              <w:pStyle w:val="TableText0"/>
              <w:keepNext w:val="0"/>
              <w:rPr>
                <w:b/>
                <w:bCs w:val="0"/>
                <w:szCs w:val="20"/>
              </w:rPr>
            </w:pPr>
            <w:r w:rsidRPr="000D29FF">
              <w:rPr>
                <w:b/>
                <w:bCs w:val="0"/>
                <w:szCs w:val="20"/>
              </w:rPr>
              <w:t>Estimated financial implications for trifluridine/tipiracil</w:t>
            </w:r>
            <w:r w:rsidR="00F0607A">
              <w:rPr>
                <w:b/>
                <w:bCs w:val="0"/>
                <w:szCs w:val="20"/>
              </w:rPr>
              <w:t xml:space="preserve"> </w:t>
            </w:r>
          </w:p>
        </w:tc>
      </w:tr>
      <w:tr w:rsidR="00DC33F2" w:rsidRPr="000D29FF" w14:paraId="00187E54" w14:textId="77777777" w:rsidTr="00AD478D">
        <w:tc>
          <w:tcPr>
            <w:tcW w:w="1116" w:type="pct"/>
            <w:shd w:val="clear" w:color="auto" w:fill="auto"/>
            <w:vAlign w:val="center"/>
          </w:tcPr>
          <w:p w14:paraId="57F727F0" w14:textId="77777777" w:rsidR="00DC33F2" w:rsidRPr="000D29FF" w:rsidRDefault="00DC33F2" w:rsidP="009D24E8">
            <w:pPr>
              <w:pStyle w:val="TableText0"/>
              <w:keepNext w:val="0"/>
              <w:rPr>
                <w:szCs w:val="20"/>
              </w:rPr>
            </w:pPr>
            <w:r w:rsidRPr="000D29FF">
              <w:rPr>
                <w:szCs w:val="20"/>
              </w:rPr>
              <w:t xml:space="preserve">Cost to PBS/RPBS less   </w:t>
            </w:r>
            <w:r w:rsidR="007E5CB8" w:rsidRPr="000D29FF">
              <w:rPr>
                <w:szCs w:val="20"/>
              </w:rPr>
              <w:t>co-payments</w:t>
            </w:r>
          </w:p>
        </w:tc>
        <w:tc>
          <w:tcPr>
            <w:tcW w:w="647" w:type="pct"/>
            <w:shd w:val="clear" w:color="auto" w:fill="auto"/>
            <w:vAlign w:val="center"/>
          </w:tcPr>
          <w:p w14:paraId="3FC4101C" w14:textId="77777777" w:rsidR="00DC33F2" w:rsidRPr="000D29FF" w:rsidRDefault="00DC33F2" w:rsidP="009D24E8">
            <w:pPr>
              <w:pStyle w:val="TableText0"/>
              <w:keepNext w:val="0"/>
              <w:jc w:val="center"/>
              <w:rPr>
                <w:szCs w:val="20"/>
              </w:rPr>
            </w:pPr>
            <w:r w:rsidRPr="000D29FF">
              <w:rPr>
                <w:szCs w:val="20"/>
              </w:rPr>
              <w:t>-</w:t>
            </w:r>
            <w:r w:rsidR="003A414F">
              <w:rPr>
                <w:noProof/>
                <w:color w:val="000000"/>
                <w:szCs w:val="20"/>
                <w:highlight w:val="black"/>
              </w:rPr>
              <w:t>'''''''''''''''''''''''''''</w:t>
            </w:r>
            <w:r w:rsidR="009F06AF">
              <w:rPr>
                <w:szCs w:val="20"/>
                <w:vertAlign w:val="superscript"/>
              </w:rPr>
              <w:t>2</w:t>
            </w:r>
          </w:p>
        </w:tc>
        <w:tc>
          <w:tcPr>
            <w:tcW w:w="647" w:type="pct"/>
            <w:shd w:val="clear" w:color="auto" w:fill="auto"/>
            <w:vAlign w:val="center"/>
          </w:tcPr>
          <w:p w14:paraId="5FAAC78E" w14:textId="77777777" w:rsidR="00DC33F2" w:rsidRPr="000D29FF" w:rsidRDefault="00DC33F2" w:rsidP="009D24E8">
            <w:pPr>
              <w:pStyle w:val="TableText0"/>
              <w:keepNext w:val="0"/>
              <w:jc w:val="center"/>
              <w:rPr>
                <w:szCs w:val="20"/>
              </w:rPr>
            </w:pPr>
            <w:r w:rsidRPr="000D29FF">
              <w:rPr>
                <w:szCs w:val="20"/>
              </w:rPr>
              <w:t>-</w:t>
            </w:r>
            <w:r w:rsidR="003A414F">
              <w:rPr>
                <w:noProof/>
                <w:color w:val="000000"/>
                <w:szCs w:val="20"/>
                <w:highlight w:val="black"/>
              </w:rPr>
              <w:t>'''''''''''''''''''''''''''''</w:t>
            </w:r>
            <w:r w:rsidR="009F06AF">
              <w:rPr>
                <w:szCs w:val="20"/>
                <w:vertAlign w:val="superscript"/>
              </w:rPr>
              <w:t>2</w:t>
            </w:r>
          </w:p>
        </w:tc>
        <w:tc>
          <w:tcPr>
            <w:tcW w:w="647" w:type="pct"/>
            <w:shd w:val="clear" w:color="auto" w:fill="auto"/>
            <w:vAlign w:val="center"/>
          </w:tcPr>
          <w:p w14:paraId="35B67412" w14:textId="77777777" w:rsidR="00DC33F2" w:rsidRPr="000D29FF" w:rsidRDefault="00DC33F2" w:rsidP="009D24E8">
            <w:pPr>
              <w:pStyle w:val="TableText0"/>
              <w:keepNext w:val="0"/>
              <w:jc w:val="center"/>
              <w:rPr>
                <w:szCs w:val="20"/>
              </w:rPr>
            </w:pPr>
            <w:r w:rsidRPr="000D29FF">
              <w:rPr>
                <w:szCs w:val="20"/>
              </w:rPr>
              <w:t>-</w:t>
            </w:r>
            <w:r w:rsidR="003A414F">
              <w:rPr>
                <w:noProof/>
                <w:color w:val="000000"/>
                <w:szCs w:val="20"/>
                <w:highlight w:val="black"/>
              </w:rPr>
              <w:t>''''''''''''''''''''''''''</w:t>
            </w:r>
            <w:r w:rsidR="009F06AF">
              <w:rPr>
                <w:szCs w:val="20"/>
                <w:vertAlign w:val="superscript"/>
              </w:rPr>
              <w:t>2</w:t>
            </w:r>
          </w:p>
        </w:tc>
        <w:tc>
          <w:tcPr>
            <w:tcW w:w="647" w:type="pct"/>
            <w:shd w:val="clear" w:color="auto" w:fill="auto"/>
            <w:vAlign w:val="center"/>
          </w:tcPr>
          <w:p w14:paraId="338F9614" w14:textId="77777777" w:rsidR="00DC33F2" w:rsidRPr="000D29FF" w:rsidRDefault="00DC33F2" w:rsidP="009D24E8">
            <w:pPr>
              <w:pStyle w:val="TableText0"/>
              <w:keepNext w:val="0"/>
              <w:jc w:val="center"/>
              <w:rPr>
                <w:szCs w:val="20"/>
              </w:rPr>
            </w:pPr>
            <w:r w:rsidRPr="000D29FF">
              <w:rPr>
                <w:szCs w:val="20"/>
              </w:rPr>
              <w:t>-</w:t>
            </w:r>
            <w:r w:rsidR="003A414F">
              <w:rPr>
                <w:noProof/>
                <w:color w:val="000000"/>
                <w:szCs w:val="20"/>
                <w:highlight w:val="black"/>
              </w:rPr>
              <w:t>''''''''''''''''''''''''''''</w:t>
            </w:r>
            <w:r w:rsidR="009F06AF">
              <w:rPr>
                <w:szCs w:val="20"/>
                <w:vertAlign w:val="superscript"/>
              </w:rPr>
              <w:t>2</w:t>
            </w:r>
          </w:p>
        </w:tc>
        <w:tc>
          <w:tcPr>
            <w:tcW w:w="647" w:type="pct"/>
            <w:shd w:val="clear" w:color="auto" w:fill="auto"/>
            <w:vAlign w:val="center"/>
          </w:tcPr>
          <w:p w14:paraId="267D584E" w14:textId="77777777" w:rsidR="00DC33F2" w:rsidRPr="000D29FF" w:rsidRDefault="00DC33F2" w:rsidP="009D24E8">
            <w:pPr>
              <w:pStyle w:val="TableText0"/>
              <w:keepNext w:val="0"/>
              <w:jc w:val="center"/>
              <w:rPr>
                <w:szCs w:val="20"/>
              </w:rPr>
            </w:pPr>
            <w:r w:rsidRPr="000D29FF">
              <w:rPr>
                <w:szCs w:val="20"/>
              </w:rPr>
              <w:t>-</w:t>
            </w:r>
            <w:r w:rsidR="003A414F">
              <w:rPr>
                <w:noProof/>
                <w:color w:val="000000"/>
                <w:szCs w:val="20"/>
                <w:highlight w:val="black"/>
              </w:rPr>
              <w:t>'''''''''''''''''''''''''''''</w:t>
            </w:r>
            <w:r w:rsidR="009F06AF">
              <w:rPr>
                <w:szCs w:val="20"/>
                <w:vertAlign w:val="superscript"/>
              </w:rPr>
              <w:t>2</w:t>
            </w:r>
          </w:p>
        </w:tc>
        <w:tc>
          <w:tcPr>
            <w:tcW w:w="649" w:type="pct"/>
            <w:vAlign w:val="center"/>
          </w:tcPr>
          <w:p w14:paraId="31B1766A" w14:textId="77777777" w:rsidR="00DC33F2" w:rsidRPr="000D29FF" w:rsidRDefault="00DC33F2" w:rsidP="009D24E8">
            <w:pPr>
              <w:pStyle w:val="TableText0"/>
              <w:keepNext w:val="0"/>
              <w:jc w:val="center"/>
              <w:rPr>
                <w:szCs w:val="20"/>
              </w:rPr>
            </w:pPr>
            <w:r w:rsidRPr="000D29FF">
              <w:rPr>
                <w:szCs w:val="20"/>
              </w:rPr>
              <w:t>-</w:t>
            </w:r>
            <w:r w:rsidR="003A414F">
              <w:rPr>
                <w:noProof/>
                <w:color w:val="000000"/>
                <w:szCs w:val="20"/>
                <w:highlight w:val="black"/>
              </w:rPr>
              <w:t>''''''''''''''''''''''''</w:t>
            </w:r>
            <w:r w:rsidR="009F06AF">
              <w:rPr>
                <w:szCs w:val="20"/>
                <w:vertAlign w:val="superscript"/>
              </w:rPr>
              <w:t>2</w:t>
            </w:r>
          </w:p>
        </w:tc>
      </w:tr>
      <w:tr w:rsidR="00DC33F2" w:rsidRPr="000D29FF" w14:paraId="5DA1BEA5" w14:textId="77777777" w:rsidTr="00AD478D">
        <w:tc>
          <w:tcPr>
            <w:tcW w:w="5000" w:type="pct"/>
            <w:gridSpan w:val="7"/>
            <w:shd w:val="clear" w:color="auto" w:fill="auto"/>
            <w:vAlign w:val="center"/>
          </w:tcPr>
          <w:p w14:paraId="46B30A5F" w14:textId="77777777" w:rsidR="00DC33F2" w:rsidRPr="000D29FF" w:rsidRDefault="00DC33F2" w:rsidP="009D24E8">
            <w:pPr>
              <w:pStyle w:val="In-tableHeading"/>
              <w:keepNext w:val="0"/>
              <w:rPr>
                <w:szCs w:val="20"/>
              </w:rPr>
            </w:pPr>
            <w:r w:rsidRPr="000D29FF">
              <w:rPr>
                <w:szCs w:val="20"/>
              </w:rPr>
              <w:t>Net financial implications</w:t>
            </w:r>
            <w:r w:rsidRPr="000D29FF">
              <w:rPr>
                <w:color w:val="4BACC6" w:themeColor="accent5"/>
                <w:szCs w:val="20"/>
              </w:rPr>
              <w:t xml:space="preserve"> </w:t>
            </w:r>
          </w:p>
        </w:tc>
      </w:tr>
      <w:tr w:rsidR="00DC33F2" w:rsidRPr="000D29FF" w14:paraId="1D38DBEC" w14:textId="77777777" w:rsidTr="00AD478D">
        <w:tc>
          <w:tcPr>
            <w:tcW w:w="1116" w:type="pct"/>
            <w:shd w:val="clear" w:color="auto" w:fill="auto"/>
            <w:vAlign w:val="center"/>
          </w:tcPr>
          <w:p w14:paraId="211BA925" w14:textId="77777777" w:rsidR="00DC33F2" w:rsidRPr="000D29FF" w:rsidRDefault="00E03621" w:rsidP="009D24E8">
            <w:pPr>
              <w:pStyle w:val="TableText0"/>
              <w:keepNext w:val="0"/>
              <w:rPr>
                <w:szCs w:val="20"/>
              </w:rPr>
            </w:pPr>
            <w:r w:rsidRPr="000D29FF">
              <w:rPr>
                <w:szCs w:val="20"/>
              </w:rPr>
              <w:t xml:space="preserve">Net cost to PBS/RPBS less </w:t>
            </w:r>
            <w:r w:rsidR="007E5CB8" w:rsidRPr="000D29FF">
              <w:rPr>
                <w:szCs w:val="20"/>
              </w:rPr>
              <w:t>co-payments</w:t>
            </w:r>
          </w:p>
        </w:tc>
        <w:tc>
          <w:tcPr>
            <w:tcW w:w="647" w:type="pct"/>
            <w:shd w:val="clear" w:color="auto" w:fill="auto"/>
            <w:vAlign w:val="center"/>
          </w:tcPr>
          <w:p w14:paraId="3D34A4D1" w14:textId="77777777" w:rsidR="00DC33F2" w:rsidRPr="003A414F" w:rsidRDefault="003A414F" w:rsidP="009D24E8">
            <w:pPr>
              <w:pStyle w:val="TableText0"/>
              <w:keepNext w:val="0"/>
              <w:jc w:val="center"/>
              <w:rPr>
                <w:szCs w:val="20"/>
              </w:rPr>
            </w:pPr>
            <w:r>
              <w:rPr>
                <w:noProof/>
                <w:color w:val="000000"/>
                <w:szCs w:val="20"/>
                <w:highlight w:val="black"/>
              </w:rPr>
              <w:t>''''''''''''''''''</w:t>
            </w:r>
            <w:r w:rsidR="009F06AF">
              <w:rPr>
                <w:szCs w:val="20"/>
                <w:vertAlign w:val="superscript"/>
              </w:rPr>
              <w:t>2</w:t>
            </w:r>
          </w:p>
        </w:tc>
        <w:tc>
          <w:tcPr>
            <w:tcW w:w="647" w:type="pct"/>
            <w:shd w:val="clear" w:color="auto" w:fill="auto"/>
            <w:vAlign w:val="center"/>
          </w:tcPr>
          <w:p w14:paraId="27A3BE7E" w14:textId="77777777" w:rsidR="00DC33F2" w:rsidRPr="003A414F" w:rsidRDefault="003A414F" w:rsidP="009D24E8">
            <w:pPr>
              <w:pStyle w:val="TableText0"/>
              <w:keepNext w:val="0"/>
              <w:jc w:val="center"/>
              <w:rPr>
                <w:szCs w:val="20"/>
              </w:rPr>
            </w:pPr>
            <w:r>
              <w:rPr>
                <w:noProof/>
                <w:color w:val="000000"/>
                <w:szCs w:val="20"/>
                <w:highlight w:val="black"/>
              </w:rPr>
              <w:t>''''''''''''''''''</w:t>
            </w:r>
            <w:r w:rsidR="009F06AF">
              <w:rPr>
                <w:szCs w:val="20"/>
                <w:vertAlign w:val="superscript"/>
              </w:rPr>
              <w:t>2</w:t>
            </w:r>
          </w:p>
        </w:tc>
        <w:tc>
          <w:tcPr>
            <w:tcW w:w="647" w:type="pct"/>
            <w:shd w:val="clear" w:color="auto" w:fill="auto"/>
            <w:vAlign w:val="center"/>
          </w:tcPr>
          <w:p w14:paraId="4FCFB613" w14:textId="77777777" w:rsidR="00DC33F2" w:rsidRPr="003A414F" w:rsidRDefault="003A414F" w:rsidP="009D24E8">
            <w:pPr>
              <w:pStyle w:val="TableText0"/>
              <w:keepNext w:val="0"/>
              <w:jc w:val="center"/>
              <w:rPr>
                <w:szCs w:val="20"/>
              </w:rPr>
            </w:pPr>
            <w:r>
              <w:rPr>
                <w:noProof/>
                <w:color w:val="000000"/>
                <w:szCs w:val="20"/>
                <w:highlight w:val="black"/>
              </w:rPr>
              <w:t>'''''''''''''''''''''</w:t>
            </w:r>
            <w:r w:rsidR="009F06AF">
              <w:rPr>
                <w:szCs w:val="20"/>
                <w:vertAlign w:val="superscript"/>
              </w:rPr>
              <w:t>2</w:t>
            </w:r>
          </w:p>
        </w:tc>
        <w:tc>
          <w:tcPr>
            <w:tcW w:w="647" w:type="pct"/>
            <w:shd w:val="clear" w:color="auto" w:fill="auto"/>
            <w:vAlign w:val="center"/>
          </w:tcPr>
          <w:p w14:paraId="6E88C99F" w14:textId="77777777" w:rsidR="00DC33F2" w:rsidRPr="003A414F" w:rsidRDefault="003A414F" w:rsidP="009D24E8">
            <w:pPr>
              <w:pStyle w:val="TableText0"/>
              <w:keepNext w:val="0"/>
              <w:jc w:val="center"/>
              <w:rPr>
                <w:szCs w:val="20"/>
              </w:rPr>
            </w:pPr>
            <w:r>
              <w:rPr>
                <w:noProof/>
                <w:color w:val="000000"/>
                <w:szCs w:val="20"/>
                <w:highlight w:val="black"/>
              </w:rPr>
              <w:t>''''''''''''''''''''</w:t>
            </w:r>
            <w:r w:rsidR="009F06AF">
              <w:rPr>
                <w:szCs w:val="20"/>
                <w:vertAlign w:val="superscript"/>
              </w:rPr>
              <w:t>2</w:t>
            </w:r>
          </w:p>
        </w:tc>
        <w:tc>
          <w:tcPr>
            <w:tcW w:w="647" w:type="pct"/>
            <w:shd w:val="clear" w:color="auto" w:fill="auto"/>
            <w:vAlign w:val="center"/>
          </w:tcPr>
          <w:p w14:paraId="10ABC6FC" w14:textId="77777777" w:rsidR="00DC33F2" w:rsidRPr="003A414F" w:rsidRDefault="003A414F" w:rsidP="009D24E8">
            <w:pPr>
              <w:pStyle w:val="TableText0"/>
              <w:keepNext w:val="0"/>
              <w:jc w:val="center"/>
              <w:rPr>
                <w:szCs w:val="20"/>
              </w:rPr>
            </w:pPr>
            <w:r>
              <w:rPr>
                <w:noProof/>
                <w:color w:val="000000"/>
                <w:szCs w:val="20"/>
                <w:highlight w:val="black"/>
              </w:rPr>
              <w:t>'''''''''''''''''''''</w:t>
            </w:r>
            <w:r w:rsidR="009F06AF">
              <w:rPr>
                <w:szCs w:val="20"/>
                <w:vertAlign w:val="superscript"/>
              </w:rPr>
              <w:t>2</w:t>
            </w:r>
          </w:p>
        </w:tc>
        <w:tc>
          <w:tcPr>
            <w:tcW w:w="649" w:type="pct"/>
            <w:vAlign w:val="center"/>
          </w:tcPr>
          <w:p w14:paraId="28FD6C84" w14:textId="77777777" w:rsidR="00DC33F2" w:rsidRPr="003A414F" w:rsidRDefault="003A414F" w:rsidP="009D24E8">
            <w:pPr>
              <w:pStyle w:val="TableText0"/>
              <w:keepNext w:val="0"/>
              <w:jc w:val="center"/>
              <w:rPr>
                <w:szCs w:val="20"/>
              </w:rPr>
            </w:pPr>
            <w:r>
              <w:rPr>
                <w:noProof/>
                <w:color w:val="000000"/>
                <w:szCs w:val="20"/>
                <w:highlight w:val="black"/>
              </w:rPr>
              <w:t>'''''''''''''''''</w:t>
            </w:r>
            <w:r w:rsidR="009F06AF">
              <w:rPr>
                <w:szCs w:val="20"/>
                <w:vertAlign w:val="superscript"/>
              </w:rPr>
              <w:t>2</w:t>
            </w:r>
          </w:p>
        </w:tc>
      </w:tr>
      <w:tr w:rsidR="00DC33F2" w:rsidRPr="000D29FF" w14:paraId="6FCE38FE" w14:textId="77777777" w:rsidTr="008E64A9">
        <w:tc>
          <w:tcPr>
            <w:tcW w:w="5000" w:type="pct"/>
            <w:gridSpan w:val="7"/>
            <w:shd w:val="clear" w:color="auto" w:fill="D9D9D9" w:themeFill="background1" w:themeFillShade="D9"/>
            <w:vAlign w:val="center"/>
          </w:tcPr>
          <w:p w14:paraId="2959A9A7" w14:textId="77777777" w:rsidR="00DC33F2" w:rsidRPr="000D29FF" w:rsidRDefault="00DC33F2" w:rsidP="009D24E8">
            <w:pPr>
              <w:pStyle w:val="In-tableHeading"/>
              <w:keepNext w:val="0"/>
              <w:rPr>
                <w:szCs w:val="20"/>
              </w:rPr>
            </w:pPr>
            <w:r w:rsidRPr="000D29FF">
              <w:rPr>
                <w:szCs w:val="20"/>
              </w:rPr>
              <w:t>Previous submission July, 2014</w:t>
            </w:r>
          </w:p>
        </w:tc>
      </w:tr>
      <w:tr w:rsidR="00DC33F2" w:rsidRPr="000D29FF" w14:paraId="35DEBEAF" w14:textId="77777777" w:rsidTr="008E64A9">
        <w:tc>
          <w:tcPr>
            <w:tcW w:w="1116" w:type="pct"/>
            <w:shd w:val="clear" w:color="auto" w:fill="D9D9D9" w:themeFill="background1" w:themeFillShade="D9"/>
            <w:vAlign w:val="center"/>
          </w:tcPr>
          <w:p w14:paraId="556D537F" w14:textId="77777777" w:rsidR="00DC33F2" w:rsidRPr="000D29FF" w:rsidRDefault="00DC33F2" w:rsidP="009D24E8">
            <w:pPr>
              <w:pStyle w:val="TableText0"/>
              <w:keepNext w:val="0"/>
              <w:rPr>
                <w:szCs w:val="20"/>
              </w:rPr>
            </w:pPr>
            <w:r w:rsidRPr="000D29FF">
              <w:rPr>
                <w:szCs w:val="20"/>
              </w:rPr>
              <w:t>Net cost to PBS/RPBS</w:t>
            </w:r>
          </w:p>
          <w:p w14:paraId="5E290647" w14:textId="77777777" w:rsidR="00DC33F2" w:rsidRPr="000D29FF" w:rsidRDefault="00DC33F2" w:rsidP="009D24E8">
            <w:pPr>
              <w:pStyle w:val="TableText0"/>
              <w:keepNext w:val="0"/>
              <w:rPr>
                <w:szCs w:val="20"/>
              </w:rPr>
            </w:pPr>
          </w:p>
        </w:tc>
        <w:tc>
          <w:tcPr>
            <w:tcW w:w="647" w:type="pct"/>
            <w:shd w:val="clear" w:color="auto" w:fill="D9D9D9" w:themeFill="background1" w:themeFillShade="D9"/>
            <w:vAlign w:val="center"/>
          </w:tcPr>
          <w:p w14:paraId="66E2B525" w14:textId="77777777" w:rsidR="00DC33F2" w:rsidRPr="003A414F" w:rsidRDefault="003A414F" w:rsidP="009D24E8">
            <w:pPr>
              <w:tabs>
                <w:tab w:val="left" w:pos="416"/>
                <w:tab w:val="left" w:pos="582"/>
              </w:tabs>
              <w:spacing w:line="276" w:lineRule="auto"/>
              <w:jc w:val="center"/>
              <w:rPr>
                <w:rFonts w:ascii="Arial Narrow" w:hAnsi="Arial Narrow"/>
                <w:bCs/>
                <w:sz w:val="20"/>
                <w:szCs w:val="20"/>
              </w:rPr>
            </w:pPr>
            <w:r>
              <w:rPr>
                <w:rFonts w:ascii="Arial Narrow" w:hAnsi="Arial Narrow"/>
                <w:bCs/>
                <w:noProof/>
                <w:color w:val="000000"/>
                <w:sz w:val="20"/>
                <w:szCs w:val="20"/>
                <w:highlight w:val="black"/>
              </w:rPr>
              <w:t>'''''''''''''''''''''''''''''</w:t>
            </w:r>
            <w:r w:rsidR="009F06AF">
              <w:rPr>
                <w:szCs w:val="20"/>
                <w:vertAlign w:val="superscript"/>
              </w:rPr>
              <w:t>2</w:t>
            </w:r>
          </w:p>
        </w:tc>
        <w:tc>
          <w:tcPr>
            <w:tcW w:w="647" w:type="pct"/>
            <w:shd w:val="clear" w:color="auto" w:fill="D9D9D9" w:themeFill="background1" w:themeFillShade="D9"/>
            <w:vAlign w:val="center"/>
          </w:tcPr>
          <w:p w14:paraId="224C471A" w14:textId="77777777" w:rsidR="00DC33F2" w:rsidRPr="003A414F" w:rsidRDefault="003A414F" w:rsidP="009D24E8">
            <w:pPr>
              <w:tabs>
                <w:tab w:val="left" w:pos="416"/>
                <w:tab w:val="left" w:pos="582"/>
              </w:tabs>
              <w:spacing w:line="276" w:lineRule="auto"/>
              <w:jc w:val="center"/>
              <w:rPr>
                <w:rFonts w:ascii="Arial Narrow" w:hAnsi="Arial Narrow"/>
                <w:bCs/>
                <w:sz w:val="20"/>
                <w:szCs w:val="20"/>
              </w:rPr>
            </w:pPr>
            <w:r>
              <w:rPr>
                <w:rFonts w:ascii="Arial Narrow" w:hAnsi="Arial Narrow"/>
                <w:bCs/>
                <w:noProof/>
                <w:color w:val="000000"/>
                <w:sz w:val="20"/>
                <w:szCs w:val="20"/>
                <w:highlight w:val="black"/>
              </w:rPr>
              <w:t>'''''''''''''''''''''''''</w:t>
            </w:r>
            <w:r w:rsidR="009F06AF">
              <w:rPr>
                <w:szCs w:val="20"/>
                <w:vertAlign w:val="superscript"/>
              </w:rPr>
              <w:t>2</w:t>
            </w:r>
          </w:p>
        </w:tc>
        <w:tc>
          <w:tcPr>
            <w:tcW w:w="647" w:type="pct"/>
            <w:shd w:val="clear" w:color="auto" w:fill="D9D9D9" w:themeFill="background1" w:themeFillShade="D9"/>
            <w:vAlign w:val="center"/>
          </w:tcPr>
          <w:p w14:paraId="6350712E" w14:textId="77777777" w:rsidR="00DC33F2" w:rsidRPr="003A414F" w:rsidRDefault="003A414F" w:rsidP="009D24E8">
            <w:pPr>
              <w:tabs>
                <w:tab w:val="left" w:pos="416"/>
                <w:tab w:val="left" w:pos="582"/>
              </w:tabs>
              <w:spacing w:line="276" w:lineRule="auto"/>
              <w:jc w:val="center"/>
              <w:rPr>
                <w:rFonts w:ascii="Arial Narrow" w:hAnsi="Arial Narrow"/>
                <w:bCs/>
                <w:sz w:val="20"/>
                <w:szCs w:val="20"/>
              </w:rPr>
            </w:pPr>
            <w:r>
              <w:rPr>
                <w:rFonts w:ascii="Arial Narrow" w:hAnsi="Arial Narrow"/>
                <w:bCs/>
                <w:noProof/>
                <w:color w:val="000000"/>
                <w:sz w:val="20"/>
                <w:szCs w:val="20"/>
                <w:highlight w:val="black"/>
              </w:rPr>
              <w:t>'''''''''''''''''''''''''''</w:t>
            </w:r>
            <w:r w:rsidR="009F06AF">
              <w:rPr>
                <w:szCs w:val="20"/>
                <w:vertAlign w:val="superscript"/>
              </w:rPr>
              <w:t>2</w:t>
            </w:r>
          </w:p>
        </w:tc>
        <w:tc>
          <w:tcPr>
            <w:tcW w:w="647" w:type="pct"/>
            <w:shd w:val="clear" w:color="auto" w:fill="D9D9D9" w:themeFill="background1" w:themeFillShade="D9"/>
            <w:vAlign w:val="center"/>
          </w:tcPr>
          <w:p w14:paraId="2012EF85" w14:textId="77777777" w:rsidR="00DC33F2" w:rsidRPr="003A414F" w:rsidRDefault="003A414F" w:rsidP="009D24E8">
            <w:pPr>
              <w:tabs>
                <w:tab w:val="left" w:pos="416"/>
                <w:tab w:val="left" w:pos="582"/>
              </w:tabs>
              <w:spacing w:line="276" w:lineRule="auto"/>
              <w:jc w:val="center"/>
              <w:rPr>
                <w:rFonts w:ascii="Arial Narrow" w:hAnsi="Arial Narrow"/>
                <w:bCs/>
                <w:sz w:val="20"/>
                <w:szCs w:val="20"/>
              </w:rPr>
            </w:pPr>
            <w:r>
              <w:rPr>
                <w:rFonts w:ascii="Arial Narrow" w:hAnsi="Arial Narrow"/>
                <w:bCs/>
                <w:noProof/>
                <w:color w:val="000000"/>
                <w:sz w:val="20"/>
                <w:szCs w:val="20"/>
                <w:highlight w:val="black"/>
              </w:rPr>
              <w:t>''''''''''''''''''''''''''</w:t>
            </w:r>
            <w:r w:rsidR="009F06AF">
              <w:rPr>
                <w:szCs w:val="20"/>
                <w:vertAlign w:val="superscript"/>
              </w:rPr>
              <w:t>2</w:t>
            </w:r>
          </w:p>
        </w:tc>
        <w:tc>
          <w:tcPr>
            <w:tcW w:w="647" w:type="pct"/>
            <w:shd w:val="clear" w:color="auto" w:fill="D9D9D9" w:themeFill="background1" w:themeFillShade="D9"/>
            <w:vAlign w:val="center"/>
          </w:tcPr>
          <w:p w14:paraId="117B73D2" w14:textId="77777777" w:rsidR="00DC33F2" w:rsidRPr="003A414F" w:rsidRDefault="003A414F" w:rsidP="009D24E8">
            <w:pPr>
              <w:tabs>
                <w:tab w:val="left" w:pos="416"/>
                <w:tab w:val="left" w:pos="582"/>
              </w:tabs>
              <w:spacing w:line="276" w:lineRule="auto"/>
              <w:jc w:val="center"/>
              <w:rPr>
                <w:rFonts w:ascii="Arial Narrow" w:hAnsi="Arial Narrow"/>
                <w:bCs/>
                <w:sz w:val="20"/>
                <w:szCs w:val="20"/>
              </w:rPr>
            </w:pPr>
            <w:r>
              <w:rPr>
                <w:rFonts w:ascii="Arial Narrow" w:hAnsi="Arial Narrow"/>
                <w:bCs/>
                <w:noProof/>
                <w:color w:val="000000"/>
                <w:sz w:val="20"/>
                <w:szCs w:val="20"/>
                <w:highlight w:val="black"/>
              </w:rPr>
              <w:t>''''''''''''''''''''''''''''</w:t>
            </w:r>
            <w:r w:rsidR="009F06AF">
              <w:rPr>
                <w:szCs w:val="20"/>
                <w:vertAlign w:val="superscript"/>
              </w:rPr>
              <w:t>2</w:t>
            </w:r>
          </w:p>
        </w:tc>
        <w:tc>
          <w:tcPr>
            <w:tcW w:w="649" w:type="pct"/>
            <w:shd w:val="clear" w:color="auto" w:fill="D9D9D9" w:themeFill="background1" w:themeFillShade="D9"/>
            <w:vAlign w:val="center"/>
          </w:tcPr>
          <w:p w14:paraId="48170319" w14:textId="77777777" w:rsidR="00DC33F2" w:rsidRPr="000D29FF" w:rsidRDefault="00DC33F2" w:rsidP="009D24E8">
            <w:pPr>
              <w:pStyle w:val="TableText0"/>
              <w:keepNext w:val="0"/>
              <w:jc w:val="center"/>
              <w:rPr>
                <w:rFonts w:eastAsia="Times New Roman" w:cs="Arial"/>
                <w:szCs w:val="20"/>
              </w:rPr>
            </w:pPr>
            <w:r w:rsidRPr="000D29FF">
              <w:rPr>
                <w:rFonts w:eastAsia="Times New Roman" w:cs="Arial"/>
                <w:szCs w:val="20"/>
              </w:rPr>
              <w:t>NR</w:t>
            </w:r>
          </w:p>
        </w:tc>
      </w:tr>
      <w:tr w:rsidR="00DC33F2" w:rsidRPr="000D29FF" w14:paraId="30151DC3" w14:textId="77777777" w:rsidTr="008E64A9">
        <w:tc>
          <w:tcPr>
            <w:tcW w:w="1116" w:type="pct"/>
            <w:shd w:val="clear" w:color="auto" w:fill="D9D9D9" w:themeFill="background1" w:themeFillShade="D9"/>
            <w:vAlign w:val="center"/>
          </w:tcPr>
          <w:p w14:paraId="3D4608EE" w14:textId="77777777" w:rsidR="00DC33F2" w:rsidRPr="000D29FF" w:rsidRDefault="00DC33F2" w:rsidP="009D24E8">
            <w:pPr>
              <w:pStyle w:val="TableText0"/>
              <w:keepNext w:val="0"/>
              <w:rPr>
                <w:szCs w:val="20"/>
              </w:rPr>
            </w:pPr>
            <w:r w:rsidRPr="000D29FF">
              <w:rPr>
                <w:szCs w:val="20"/>
              </w:rPr>
              <w:t>Revised net cost to PBS/PRBS</w:t>
            </w:r>
          </w:p>
        </w:tc>
        <w:tc>
          <w:tcPr>
            <w:tcW w:w="647" w:type="pct"/>
            <w:shd w:val="clear" w:color="auto" w:fill="D9D9D9" w:themeFill="background1" w:themeFillShade="D9"/>
            <w:vAlign w:val="center"/>
          </w:tcPr>
          <w:p w14:paraId="42D165A2" w14:textId="77777777" w:rsidR="00DC33F2" w:rsidRPr="003A414F" w:rsidRDefault="003A414F" w:rsidP="009D24E8">
            <w:pPr>
              <w:tabs>
                <w:tab w:val="left" w:pos="416"/>
                <w:tab w:val="left" w:pos="582"/>
              </w:tabs>
              <w:spacing w:line="276" w:lineRule="auto"/>
              <w:jc w:val="center"/>
              <w:rPr>
                <w:rFonts w:ascii="Arial Narrow" w:hAnsi="Arial Narrow"/>
                <w:bCs/>
                <w:sz w:val="20"/>
                <w:szCs w:val="20"/>
              </w:rPr>
            </w:pPr>
            <w:r>
              <w:rPr>
                <w:rFonts w:ascii="Arial Narrow" w:hAnsi="Arial Narrow"/>
                <w:bCs/>
                <w:noProof/>
                <w:color w:val="000000"/>
                <w:sz w:val="20"/>
                <w:szCs w:val="20"/>
                <w:highlight w:val="black"/>
              </w:rPr>
              <w:t>'''''''''''''''''''''''''''</w:t>
            </w:r>
            <w:r w:rsidR="009F06AF">
              <w:rPr>
                <w:szCs w:val="20"/>
                <w:vertAlign w:val="superscript"/>
              </w:rPr>
              <w:t>2</w:t>
            </w:r>
          </w:p>
        </w:tc>
        <w:tc>
          <w:tcPr>
            <w:tcW w:w="647" w:type="pct"/>
            <w:shd w:val="clear" w:color="auto" w:fill="D9D9D9" w:themeFill="background1" w:themeFillShade="D9"/>
            <w:vAlign w:val="center"/>
          </w:tcPr>
          <w:p w14:paraId="7634C327" w14:textId="77777777" w:rsidR="00DC33F2" w:rsidRPr="003A414F" w:rsidRDefault="003A414F" w:rsidP="009D24E8">
            <w:pPr>
              <w:tabs>
                <w:tab w:val="left" w:pos="416"/>
                <w:tab w:val="left" w:pos="582"/>
              </w:tabs>
              <w:spacing w:line="276" w:lineRule="auto"/>
              <w:jc w:val="center"/>
              <w:rPr>
                <w:rFonts w:ascii="Arial Narrow" w:hAnsi="Arial Narrow"/>
                <w:bCs/>
                <w:sz w:val="20"/>
                <w:szCs w:val="20"/>
              </w:rPr>
            </w:pPr>
            <w:r>
              <w:rPr>
                <w:rFonts w:ascii="Arial Narrow" w:hAnsi="Arial Narrow"/>
                <w:bCs/>
                <w:noProof/>
                <w:color w:val="000000"/>
                <w:sz w:val="20"/>
                <w:szCs w:val="20"/>
                <w:highlight w:val="black"/>
              </w:rPr>
              <w:t>'''''''''''''''''''''''''''''</w:t>
            </w:r>
            <w:r w:rsidR="009F06AF">
              <w:rPr>
                <w:szCs w:val="20"/>
                <w:vertAlign w:val="superscript"/>
              </w:rPr>
              <w:t>2</w:t>
            </w:r>
          </w:p>
        </w:tc>
        <w:tc>
          <w:tcPr>
            <w:tcW w:w="647" w:type="pct"/>
            <w:shd w:val="clear" w:color="auto" w:fill="D9D9D9" w:themeFill="background1" w:themeFillShade="D9"/>
            <w:vAlign w:val="center"/>
          </w:tcPr>
          <w:p w14:paraId="612F9E0F" w14:textId="77777777" w:rsidR="00DC33F2" w:rsidRPr="003A414F" w:rsidRDefault="003A414F" w:rsidP="009D24E8">
            <w:pPr>
              <w:tabs>
                <w:tab w:val="left" w:pos="416"/>
                <w:tab w:val="left" w:pos="582"/>
              </w:tabs>
              <w:spacing w:line="276" w:lineRule="auto"/>
              <w:jc w:val="center"/>
              <w:rPr>
                <w:rFonts w:ascii="Arial Narrow" w:hAnsi="Arial Narrow"/>
                <w:bCs/>
                <w:sz w:val="20"/>
                <w:szCs w:val="20"/>
              </w:rPr>
            </w:pPr>
            <w:r>
              <w:rPr>
                <w:rFonts w:ascii="Arial Narrow" w:hAnsi="Arial Narrow"/>
                <w:bCs/>
                <w:noProof/>
                <w:color w:val="000000"/>
                <w:sz w:val="20"/>
                <w:szCs w:val="20"/>
                <w:highlight w:val="black"/>
              </w:rPr>
              <w:t>''''''''''''''''''''''''</w:t>
            </w:r>
            <w:r w:rsidR="009F06AF">
              <w:rPr>
                <w:szCs w:val="20"/>
                <w:vertAlign w:val="superscript"/>
              </w:rPr>
              <w:t>2</w:t>
            </w:r>
          </w:p>
        </w:tc>
        <w:tc>
          <w:tcPr>
            <w:tcW w:w="647" w:type="pct"/>
            <w:shd w:val="clear" w:color="auto" w:fill="D9D9D9" w:themeFill="background1" w:themeFillShade="D9"/>
            <w:vAlign w:val="center"/>
          </w:tcPr>
          <w:p w14:paraId="7ACF9F0E" w14:textId="77777777" w:rsidR="00DC33F2" w:rsidRPr="003A414F" w:rsidRDefault="003A414F" w:rsidP="009D24E8">
            <w:pPr>
              <w:tabs>
                <w:tab w:val="left" w:pos="416"/>
                <w:tab w:val="left" w:pos="582"/>
              </w:tabs>
              <w:spacing w:line="276" w:lineRule="auto"/>
              <w:jc w:val="center"/>
              <w:rPr>
                <w:rFonts w:ascii="Arial Narrow" w:hAnsi="Arial Narrow"/>
                <w:bCs/>
                <w:sz w:val="20"/>
                <w:szCs w:val="20"/>
              </w:rPr>
            </w:pPr>
            <w:r>
              <w:rPr>
                <w:rFonts w:ascii="Arial Narrow" w:hAnsi="Arial Narrow"/>
                <w:bCs/>
                <w:noProof/>
                <w:color w:val="000000"/>
                <w:sz w:val="20"/>
                <w:szCs w:val="20"/>
                <w:highlight w:val="black"/>
              </w:rPr>
              <w:t>''''''''''''''''''''''''''</w:t>
            </w:r>
            <w:r w:rsidR="009F06AF">
              <w:rPr>
                <w:szCs w:val="20"/>
                <w:vertAlign w:val="superscript"/>
              </w:rPr>
              <w:t>2</w:t>
            </w:r>
          </w:p>
        </w:tc>
        <w:tc>
          <w:tcPr>
            <w:tcW w:w="647" w:type="pct"/>
            <w:shd w:val="clear" w:color="auto" w:fill="D9D9D9" w:themeFill="background1" w:themeFillShade="D9"/>
            <w:vAlign w:val="center"/>
          </w:tcPr>
          <w:p w14:paraId="0A15D4B9" w14:textId="77777777" w:rsidR="00DC33F2" w:rsidRPr="003A414F" w:rsidRDefault="003A414F" w:rsidP="009D24E8">
            <w:pPr>
              <w:tabs>
                <w:tab w:val="left" w:pos="416"/>
                <w:tab w:val="left" w:pos="582"/>
              </w:tabs>
              <w:spacing w:line="276" w:lineRule="auto"/>
              <w:jc w:val="center"/>
              <w:rPr>
                <w:rFonts w:ascii="Arial Narrow" w:hAnsi="Arial Narrow"/>
                <w:bCs/>
                <w:sz w:val="20"/>
                <w:szCs w:val="20"/>
              </w:rPr>
            </w:pPr>
            <w:r>
              <w:rPr>
                <w:rFonts w:ascii="Arial Narrow" w:hAnsi="Arial Narrow"/>
                <w:bCs/>
                <w:noProof/>
                <w:color w:val="000000"/>
                <w:sz w:val="20"/>
                <w:szCs w:val="20"/>
                <w:highlight w:val="black"/>
              </w:rPr>
              <w:t>''''''''''''''''''''''''</w:t>
            </w:r>
            <w:r w:rsidR="009F06AF">
              <w:rPr>
                <w:szCs w:val="20"/>
                <w:vertAlign w:val="superscript"/>
              </w:rPr>
              <w:t>2</w:t>
            </w:r>
          </w:p>
        </w:tc>
        <w:tc>
          <w:tcPr>
            <w:tcW w:w="649" w:type="pct"/>
            <w:shd w:val="clear" w:color="auto" w:fill="D9D9D9" w:themeFill="background1" w:themeFillShade="D9"/>
            <w:vAlign w:val="center"/>
          </w:tcPr>
          <w:p w14:paraId="028E81C5" w14:textId="77777777" w:rsidR="00DC33F2" w:rsidRPr="000D29FF" w:rsidRDefault="00DC33F2" w:rsidP="009D24E8">
            <w:pPr>
              <w:pStyle w:val="TableText0"/>
              <w:keepNext w:val="0"/>
              <w:jc w:val="center"/>
              <w:rPr>
                <w:rFonts w:eastAsia="Times New Roman" w:cs="Arial"/>
                <w:szCs w:val="20"/>
              </w:rPr>
            </w:pPr>
            <w:r w:rsidRPr="000D29FF">
              <w:rPr>
                <w:rFonts w:eastAsia="Times New Roman" w:cs="Arial"/>
                <w:szCs w:val="20"/>
              </w:rPr>
              <w:t>NR</w:t>
            </w:r>
          </w:p>
        </w:tc>
      </w:tr>
    </w:tbl>
    <w:p w14:paraId="3523885A" w14:textId="77777777" w:rsidR="00DC33F2" w:rsidRDefault="00DC33F2" w:rsidP="00DC33F2">
      <w:pPr>
        <w:pStyle w:val="TableFigureFooter"/>
      </w:pPr>
      <w:r>
        <w:t>Source: Table 4-8, p192</w:t>
      </w:r>
      <w:r w:rsidR="00131634">
        <w:t>;</w:t>
      </w:r>
      <w:r>
        <w:t xml:space="preserve"> Table 4-9, p193</w:t>
      </w:r>
      <w:r w:rsidR="00131634">
        <w:t>;</w:t>
      </w:r>
      <w:r>
        <w:t xml:space="preserve"> </w:t>
      </w:r>
      <w:r w:rsidRPr="004459F8">
        <w:t>Table 4-</w:t>
      </w:r>
      <w:r>
        <w:t>10</w:t>
      </w:r>
      <w:r w:rsidRPr="004459F8">
        <w:t>, p19</w:t>
      </w:r>
      <w:r>
        <w:t xml:space="preserve">4 of the resubmission; </w:t>
      </w:r>
      <w:r w:rsidR="00264CE1">
        <w:t xml:space="preserve">Table E.4.1, p231 of the previous submission and </w:t>
      </w:r>
      <w:r>
        <w:t xml:space="preserve">Table </w:t>
      </w:r>
      <w:r w:rsidR="00131634">
        <w:t>E.4.1, p64</w:t>
      </w:r>
      <w:r>
        <w:t xml:space="preserve"> of </w:t>
      </w:r>
      <w:r w:rsidR="00D02CE6">
        <w:t>5.15 regorafenib COM 07-14.</w:t>
      </w:r>
    </w:p>
    <w:p w14:paraId="2F32AC41" w14:textId="77777777" w:rsidR="007A75E2" w:rsidRDefault="00560CB9" w:rsidP="00366730">
      <w:pPr>
        <w:pStyle w:val="TableFigureFooter"/>
        <w:rPr>
          <w:rStyle w:val="CommentReference"/>
        </w:rPr>
      </w:pPr>
      <w:r>
        <w:t>NR = not reported</w:t>
      </w:r>
    </w:p>
    <w:p w14:paraId="4606FEFF" w14:textId="77777777" w:rsidR="00366730" w:rsidRDefault="00366730" w:rsidP="00366730">
      <w:pPr>
        <w:pStyle w:val="TableFigureFooter"/>
        <w:rPr>
          <w:lang w:eastAsia="en-GB"/>
        </w:rPr>
      </w:pPr>
      <w:r>
        <w:rPr>
          <w:lang w:eastAsia="en-GB"/>
        </w:rPr>
        <w:t>Shaded cells include data presented to PBAC before.</w:t>
      </w:r>
    </w:p>
    <w:p w14:paraId="15715E1F" w14:textId="77777777" w:rsidR="009F06AF" w:rsidRDefault="009F06AF" w:rsidP="009F06AF">
      <w:pPr>
        <w:pStyle w:val="TableFigureFooter"/>
        <w:spacing w:after="0"/>
        <w:contextualSpacing w:val="0"/>
        <w:rPr>
          <w:i/>
        </w:rPr>
      </w:pPr>
      <w:r w:rsidRPr="009868C4">
        <w:rPr>
          <w:i/>
        </w:rPr>
        <w:t>The redacted values correspond to the following ranges</w:t>
      </w:r>
      <w:r>
        <w:rPr>
          <w:i/>
        </w:rPr>
        <w:t xml:space="preserve">: </w:t>
      </w:r>
    </w:p>
    <w:p w14:paraId="39348ACD" w14:textId="77777777" w:rsidR="009F06AF" w:rsidRPr="00870C5D" w:rsidRDefault="009F06AF" w:rsidP="009F06AF">
      <w:pPr>
        <w:pStyle w:val="TableFigureFooter"/>
        <w:spacing w:after="0"/>
        <w:contextualSpacing w:val="0"/>
      </w:pPr>
      <w:r>
        <w:rPr>
          <w:i/>
          <w:vertAlign w:val="superscript"/>
        </w:rPr>
        <w:t>1</w:t>
      </w:r>
      <w:r>
        <w:rPr>
          <w:i/>
        </w:rPr>
        <w:t xml:space="preserve"> </w:t>
      </w:r>
      <w:r w:rsidRPr="009F06AF">
        <w:rPr>
          <w:i/>
        </w:rPr>
        <w:t>500 to &lt; 5,000</w:t>
      </w:r>
    </w:p>
    <w:p w14:paraId="1BE930AB" w14:textId="0DEDF8BC" w:rsidR="009F06AF" w:rsidRPr="008E64A9" w:rsidRDefault="009F06AF" w:rsidP="008E64A9">
      <w:pPr>
        <w:pStyle w:val="TableFigureFooter"/>
        <w:contextualSpacing w:val="0"/>
      </w:pPr>
      <w:r>
        <w:rPr>
          <w:i/>
          <w:vertAlign w:val="superscript"/>
        </w:rPr>
        <w:t>2</w:t>
      </w:r>
      <w:r>
        <w:rPr>
          <w:i/>
        </w:rPr>
        <w:t xml:space="preserve"> </w:t>
      </w:r>
      <w:r w:rsidRPr="009F06AF">
        <w:rPr>
          <w:i/>
        </w:rPr>
        <w:t>$0 to &lt; $10 million</w:t>
      </w:r>
    </w:p>
    <w:p w14:paraId="5BFCCDF0" w14:textId="59957904" w:rsidR="00DC33F2" w:rsidRPr="008705DE" w:rsidRDefault="00641064" w:rsidP="009F06AF">
      <w:pPr>
        <w:pStyle w:val="3-BodyText"/>
      </w:pPr>
      <w:r>
        <w:t xml:space="preserve">The net financial impact of listing regorafenib was estimated to be </w:t>
      </w:r>
      <w:r w:rsidR="009F06AF" w:rsidRPr="009F06AF">
        <w:t>$0 to &lt; $10 million</w:t>
      </w:r>
      <w:r>
        <w:t xml:space="preserve"> in Year 6, with a total of </w:t>
      </w:r>
      <w:r w:rsidR="009F06AF" w:rsidRPr="009F06AF">
        <w:t>$0 to &lt; $10 million</w:t>
      </w:r>
      <w:r w:rsidR="009F06AF" w:rsidRPr="009F06AF" w:rsidDel="009F06AF">
        <w:t xml:space="preserve"> </w:t>
      </w:r>
      <w:r w:rsidRPr="008705DE">
        <w:t xml:space="preserve">in the first 6 years of listing. </w:t>
      </w:r>
    </w:p>
    <w:p w14:paraId="0C754469" w14:textId="77777777" w:rsidR="00C4013D" w:rsidRPr="008705DE" w:rsidRDefault="00C4013D" w:rsidP="00DC33F2">
      <w:pPr>
        <w:pStyle w:val="3-BodyText"/>
        <w:rPr>
          <w:rFonts w:cstheme="minorHAnsi"/>
        </w:rPr>
      </w:pPr>
      <w:r w:rsidRPr="008705DE">
        <w:t>Based on the claim of no</w:t>
      </w:r>
      <w:r w:rsidR="006F7C50" w:rsidRPr="008705DE">
        <w:t>n</w:t>
      </w:r>
      <w:r w:rsidRPr="008705DE">
        <w:t xml:space="preserve">-inferiority in effectiveness and safety, the resubmission did not estimate </w:t>
      </w:r>
      <w:r w:rsidR="00EC1438" w:rsidRPr="008705DE">
        <w:t>any</w:t>
      </w:r>
      <w:r w:rsidRPr="008705DE">
        <w:t xml:space="preserve"> impact on the MBS or the financial implication for the</w:t>
      </w:r>
      <w:r w:rsidR="00EC1438" w:rsidRPr="008705DE">
        <w:t xml:space="preserve"> broader</w:t>
      </w:r>
      <w:r w:rsidRPr="008705DE">
        <w:t xml:space="preserve"> health budget. </w:t>
      </w:r>
      <w:r w:rsidRPr="008705DE">
        <w:rPr>
          <w:iCs/>
        </w:rPr>
        <w:t xml:space="preserve">This </w:t>
      </w:r>
      <w:r w:rsidR="00EC1438" w:rsidRPr="008705DE">
        <w:rPr>
          <w:iCs/>
        </w:rPr>
        <w:t>was</w:t>
      </w:r>
      <w:r w:rsidRPr="008705DE">
        <w:rPr>
          <w:iCs/>
        </w:rPr>
        <w:t xml:space="preserve"> not appr</w:t>
      </w:r>
      <w:r w:rsidR="000A542E" w:rsidRPr="008705DE">
        <w:rPr>
          <w:iCs/>
        </w:rPr>
        <w:t xml:space="preserve">opriate because this ignores the additional costs associated with the monitoring and management of the different types of AEs associated with regorafenib and </w:t>
      </w:r>
      <w:r w:rsidR="000A542E" w:rsidRPr="008705DE">
        <w:rPr>
          <w:rFonts w:cstheme="minorHAnsi"/>
          <w:iCs/>
        </w:rPr>
        <w:t>trifluridine/tipiracil</w:t>
      </w:r>
      <w:r w:rsidR="000A542E" w:rsidRPr="008705DE">
        <w:rPr>
          <w:iCs/>
        </w:rPr>
        <w:t>.</w:t>
      </w:r>
    </w:p>
    <w:p w14:paraId="09CE29EB" w14:textId="77777777" w:rsidR="00DC33F2" w:rsidRPr="008705DE" w:rsidRDefault="00DC33F2" w:rsidP="00DC33F2">
      <w:pPr>
        <w:pStyle w:val="3-BodyText"/>
        <w:rPr>
          <w:rFonts w:cstheme="minorHAnsi"/>
          <w:iCs/>
        </w:rPr>
      </w:pPr>
      <w:r w:rsidRPr="008705DE">
        <w:rPr>
          <w:rFonts w:cstheme="minorHAnsi"/>
          <w:iCs/>
        </w:rPr>
        <w:t xml:space="preserve">The resubmission assumed that regorafenib would substitute trifluridine/tipiracil in the third line of mCRC treatment; however, regorafenib and </w:t>
      </w:r>
      <w:bookmarkStart w:id="52" w:name="_Hlk81379201"/>
      <w:r w:rsidRPr="008705DE">
        <w:rPr>
          <w:rFonts w:cstheme="minorHAnsi"/>
          <w:iCs/>
        </w:rPr>
        <w:t>trifluridine/tipiracil</w:t>
      </w:r>
      <w:bookmarkEnd w:id="52"/>
      <w:r w:rsidRPr="008705DE">
        <w:rPr>
          <w:rFonts w:cstheme="minorHAnsi"/>
          <w:iCs/>
        </w:rPr>
        <w:t xml:space="preserve"> may be used before or after each other in practice. If regorafenib is used in subsequent lines of therapy, then the substitution cost-offsets might be overestimated, and overall financial impact of regorafenib listing might be underestimated.</w:t>
      </w:r>
    </w:p>
    <w:p w14:paraId="452AD192" w14:textId="77777777" w:rsidR="000A542E" w:rsidRPr="008705DE" w:rsidRDefault="000A542E" w:rsidP="00DC33F2">
      <w:pPr>
        <w:pStyle w:val="3-BodyText"/>
        <w:rPr>
          <w:rFonts w:cstheme="minorHAnsi"/>
          <w:iCs/>
        </w:rPr>
      </w:pPr>
      <w:r w:rsidRPr="008705DE">
        <w:rPr>
          <w:rFonts w:cstheme="minorHAnsi"/>
          <w:iCs/>
        </w:rPr>
        <w:t>The listing of regorafenib may affect the utilisation of chemotherapy and palliative care in subsequent lines of treatment</w:t>
      </w:r>
      <w:r w:rsidR="00D15421" w:rsidRPr="008705DE">
        <w:rPr>
          <w:rFonts w:cstheme="minorHAnsi"/>
          <w:iCs/>
        </w:rPr>
        <w:t>.</w:t>
      </w:r>
      <w:r w:rsidRPr="008705DE">
        <w:rPr>
          <w:rFonts w:cstheme="minorHAnsi"/>
          <w:iCs/>
        </w:rPr>
        <w:t xml:space="preserve"> </w:t>
      </w:r>
      <w:r w:rsidR="00D15421" w:rsidRPr="008705DE">
        <w:rPr>
          <w:rFonts w:cstheme="minorHAnsi"/>
          <w:iCs/>
        </w:rPr>
        <w:t>T</w:t>
      </w:r>
      <w:r w:rsidRPr="008705DE">
        <w:rPr>
          <w:rFonts w:cstheme="minorHAnsi"/>
          <w:iCs/>
        </w:rPr>
        <w:t>his was not included in the analysis.</w:t>
      </w:r>
    </w:p>
    <w:p w14:paraId="16B6A688" w14:textId="77777777" w:rsidR="00DC33F2" w:rsidRDefault="00EC1438" w:rsidP="00DC33F2">
      <w:pPr>
        <w:pStyle w:val="3-BodyText"/>
        <w:rPr>
          <w:rFonts w:cstheme="minorHAnsi"/>
          <w:iCs/>
        </w:rPr>
      </w:pPr>
      <w:r w:rsidRPr="008705DE">
        <w:rPr>
          <w:rFonts w:cstheme="minorHAnsi"/>
          <w:iCs/>
        </w:rPr>
        <w:t>The risk of leakage to use in patients with a WHO performance status of &gt;1 cannot be excluded, which may increase the overall financial cost of regorafenib.</w:t>
      </w:r>
    </w:p>
    <w:p w14:paraId="781F76BC" w14:textId="77777777" w:rsidR="00116C8C" w:rsidRPr="001D2FDF" w:rsidRDefault="00116C8C" w:rsidP="00DC33F2">
      <w:pPr>
        <w:pStyle w:val="3-BodyText"/>
        <w:rPr>
          <w:rFonts w:cstheme="minorHAnsi"/>
          <w:iCs/>
        </w:rPr>
      </w:pPr>
      <w:r w:rsidRPr="001D2FDF">
        <w:rPr>
          <w:rFonts w:cstheme="minorHAnsi"/>
          <w:iCs/>
        </w:rPr>
        <w:t>The PSCR argued that excluding the costs of adverse event management was reasonable as these are often managed through dose modifications for both regorafenib and trifluridine/tipiracil. The ESC considered this was not appropriate as regorafenib may have a worse safety profile than trifluridine/tipiracil and the cost of managing adverse events for these therapies was different.</w:t>
      </w:r>
    </w:p>
    <w:p w14:paraId="6A1B0780" w14:textId="77777777" w:rsidR="00DC33F2" w:rsidRPr="00C9624D" w:rsidRDefault="00DC33F2" w:rsidP="00DC33F2">
      <w:pPr>
        <w:pStyle w:val="4-SubsectionHeading"/>
      </w:pPr>
      <w:bookmarkStart w:id="53" w:name="_Toc22897649"/>
      <w:bookmarkStart w:id="54" w:name="_Toc22898861"/>
      <w:bookmarkStart w:id="55" w:name="_Toc82598860"/>
      <w:r w:rsidRPr="00C9624D">
        <w:t>Financial Management – Risk Sharing Arrangements</w:t>
      </w:r>
      <w:bookmarkEnd w:id="53"/>
      <w:bookmarkEnd w:id="54"/>
      <w:bookmarkEnd w:id="55"/>
    </w:p>
    <w:p w14:paraId="29FBA76C" w14:textId="77777777" w:rsidR="00DC33F2" w:rsidRDefault="00DC33F2" w:rsidP="00DC33F2">
      <w:pPr>
        <w:pStyle w:val="ListParagraph"/>
        <w:numPr>
          <w:ilvl w:val="1"/>
          <w:numId w:val="1"/>
        </w:numPr>
        <w:ind w:left="709"/>
      </w:pPr>
      <w:bookmarkStart w:id="56" w:name="_Toc22897650"/>
      <w:bookmarkStart w:id="57" w:name="_Toc22898862"/>
      <w:r w:rsidRPr="00C91D42">
        <w:t xml:space="preserve">There is currently a </w:t>
      </w:r>
      <w:r w:rsidR="000A542E">
        <w:t>S</w:t>
      </w:r>
      <w:r w:rsidRPr="00C91D42">
        <w:t xml:space="preserve">pecial </w:t>
      </w:r>
      <w:r w:rsidR="000A542E">
        <w:t>P</w:t>
      </w:r>
      <w:r w:rsidRPr="00C91D42">
        <w:t xml:space="preserve">ricing </w:t>
      </w:r>
      <w:r w:rsidR="000A542E">
        <w:t>A</w:t>
      </w:r>
      <w:r w:rsidRPr="00C91D42">
        <w:t xml:space="preserve">rrangement and a </w:t>
      </w:r>
      <w:r w:rsidR="000A542E">
        <w:t>R</w:t>
      </w:r>
      <w:r w:rsidRPr="00C91D42">
        <w:t>isk shar</w:t>
      </w:r>
      <w:r w:rsidR="000A542E">
        <w:t>ing</w:t>
      </w:r>
      <w:r w:rsidRPr="00C91D42">
        <w:t xml:space="preserve"> </w:t>
      </w:r>
      <w:r w:rsidR="000A542E">
        <w:t>A</w:t>
      </w:r>
      <w:r w:rsidRPr="00C91D42">
        <w:t>greement in place for trifluridine/tipiracil in the mCRC therapeutic area.</w:t>
      </w:r>
    </w:p>
    <w:p w14:paraId="36529F9E" w14:textId="77777777" w:rsidR="00C97DB4" w:rsidRPr="0090150D" w:rsidRDefault="00C97DB4" w:rsidP="006A5190">
      <w:pPr>
        <w:pStyle w:val="2-SectionHeading"/>
        <w:numPr>
          <w:ilvl w:val="0"/>
          <w:numId w:val="1"/>
        </w:numPr>
      </w:pPr>
      <w:bookmarkStart w:id="58" w:name="_Toc22898865"/>
      <w:bookmarkStart w:id="59" w:name="_Hlk76381249"/>
      <w:bookmarkStart w:id="60" w:name="_Hlk76377955"/>
      <w:bookmarkEnd w:id="56"/>
      <w:bookmarkEnd w:id="57"/>
      <w:r w:rsidRPr="0090150D">
        <w:t>PBAC Outcome</w:t>
      </w:r>
    </w:p>
    <w:p w14:paraId="1AC251E2" w14:textId="77777777" w:rsidR="00C97DB4" w:rsidRPr="00CE42B4" w:rsidRDefault="00090891" w:rsidP="00C97DB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did not recommend the listing of regorafenib for the treatment of metastatic colorectal cancer</w:t>
      </w:r>
      <w:r w:rsidR="004C61A2">
        <w:rPr>
          <w:rFonts w:asciiTheme="minorHAnsi" w:hAnsiTheme="minorHAnsi"/>
          <w:snapToGrid w:val="0"/>
          <w:lang w:val="en-GB"/>
        </w:rPr>
        <w:t xml:space="preserve"> (</w:t>
      </w:r>
      <w:r w:rsidR="004C61A2" w:rsidRPr="00CF137A">
        <w:t>mCRC</w:t>
      </w:r>
      <w:r w:rsidR="004C61A2">
        <w:t>)</w:t>
      </w:r>
      <w:r>
        <w:rPr>
          <w:rFonts w:asciiTheme="minorHAnsi" w:hAnsiTheme="minorHAnsi"/>
          <w:snapToGrid w:val="0"/>
          <w:lang w:val="en-GB"/>
        </w:rPr>
        <w:t xml:space="preserve"> after treatme</w:t>
      </w:r>
      <w:r w:rsidR="005E4A0A">
        <w:rPr>
          <w:rFonts w:asciiTheme="minorHAnsi" w:hAnsiTheme="minorHAnsi"/>
          <w:snapToGrid w:val="0"/>
          <w:lang w:val="en-GB"/>
        </w:rPr>
        <w:t>nt with two or more prior therapies,</w:t>
      </w:r>
      <w:r w:rsidR="00A605BE">
        <w:rPr>
          <w:rFonts w:asciiTheme="minorHAnsi" w:hAnsiTheme="minorHAnsi"/>
          <w:snapToGrid w:val="0"/>
          <w:lang w:val="en-GB"/>
        </w:rPr>
        <w:t xml:space="preserve"> on the basis that the evidence presented</w:t>
      </w:r>
      <w:r w:rsidR="006B2048">
        <w:rPr>
          <w:rFonts w:asciiTheme="minorHAnsi" w:hAnsiTheme="minorHAnsi"/>
          <w:snapToGrid w:val="0"/>
          <w:lang w:val="en-GB"/>
        </w:rPr>
        <w:t xml:space="preserve"> indicated</w:t>
      </w:r>
      <w:r w:rsidR="00A605BE">
        <w:rPr>
          <w:rFonts w:asciiTheme="minorHAnsi" w:hAnsiTheme="minorHAnsi"/>
          <w:snapToGrid w:val="0"/>
          <w:lang w:val="en-GB"/>
        </w:rPr>
        <w:t xml:space="preserve"> regorafenib </w:t>
      </w:r>
      <w:r w:rsidR="00F45EA9">
        <w:rPr>
          <w:rFonts w:asciiTheme="minorHAnsi" w:hAnsiTheme="minorHAnsi"/>
          <w:snapToGrid w:val="0"/>
          <w:lang w:val="en-GB"/>
        </w:rPr>
        <w:t>is toxic</w:t>
      </w:r>
      <w:r w:rsidR="002C686C">
        <w:rPr>
          <w:rFonts w:asciiTheme="minorHAnsi" w:hAnsiTheme="minorHAnsi"/>
          <w:snapToGrid w:val="0"/>
          <w:lang w:val="en-GB"/>
        </w:rPr>
        <w:t xml:space="preserve"> and would</w:t>
      </w:r>
      <w:r w:rsidR="00F45EA9">
        <w:rPr>
          <w:rFonts w:asciiTheme="minorHAnsi" w:hAnsiTheme="minorHAnsi"/>
          <w:snapToGrid w:val="0"/>
          <w:lang w:val="en-GB"/>
        </w:rPr>
        <w:t xml:space="preserve"> adversely impact patients’ overall quality of life, whilst </w:t>
      </w:r>
      <w:r w:rsidR="00147FD3">
        <w:rPr>
          <w:rFonts w:asciiTheme="minorHAnsi" w:hAnsiTheme="minorHAnsi"/>
          <w:snapToGrid w:val="0"/>
          <w:lang w:val="en-GB"/>
        </w:rPr>
        <w:t>having a limited impact on prognosis</w:t>
      </w:r>
      <w:r w:rsidR="00F45EA9">
        <w:rPr>
          <w:rFonts w:asciiTheme="minorHAnsi" w:hAnsiTheme="minorHAnsi"/>
          <w:snapToGrid w:val="0"/>
          <w:lang w:val="en-GB"/>
        </w:rPr>
        <w:t>.</w:t>
      </w:r>
      <w:r w:rsidR="00A605BE">
        <w:rPr>
          <w:rFonts w:asciiTheme="minorHAnsi" w:hAnsiTheme="minorHAnsi"/>
          <w:snapToGrid w:val="0"/>
          <w:lang w:val="en-GB"/>
        </w:rPr>
        <w:t xml:space="preserve"> </w:t>
      </w:r>
      <w:r w:rsidR="00F45EA9">
        <w:rPr>
          <w:rFonts w:asciiTheme="minorHAnsi" w:hAnsiTheme="minorHAnsi"/>
          <w:snapToGrid w:val="0"/>
          <w:lang w:val="en-GB"/>
        </w:rPr>
        <w:t xml:space="preserve">The PBAC </w:t>
      </w:r>
      <w:r w:rsidR="001038EF">
        <w:rPr>
          <w:rFonts w:asciiTheme="minorHAnsi" w:hAnsiTheme="minorHAnsi"/>
          <w:snapToGrid w:val="0"/>
          <w:lang w:val="en-GB"/>
        </w:rPr>
        <w:t>consider</w:t>
      </w:r>
      <w:r w:rsidR="00F45EA9">
        <w:rPr>
          <w:rFonts w:asciiTheme="minorHAnsi" w:hAnsiTheme="minorHAnsi"/>
          <w:snapToGrid w:val="0"/>
          <w:lang w:val="en-GB"/>
        </w:rPr>
        <w:t>ed</w:t>
      </w:r>
      <w:r w:rsidR="00A605BE">
        <w:rPr>
          <w:rFonts w:asciiTheme="minorHAnsi" w:hAnsiTheme="minorHAnsi"/>
          <w:snapToGrid w:val="0"/>
          <w:lang w:val="en-GB"/>
        </w:rPr>
        <w:t xml:space="preserve"> </w:t>
      </w:r>
      <w:r w:rsidR="001038EF">
        <w:rPr>
          <w:rFonts w:asciiTheme="minorHAnsi" w:hAnsiTheme="minorHAnsi"/>
          <w:snapToGrid w:val="0"/>
          <w:lang w:val="en-GB"/>
        </w:rPr>
        <w:t>while there was a clinical need for additional safe and effective later-line therapies in mCRC, the modest efficacy and poor safety profile of regorafenib meant it did</w:t>
      </w:r>
      <w:r w:rsidR="00A605BE">
        <w:rPr>
          <w:rFonts w:asciiTheme="minorHAnsi" w:hAnsiTheme="minorHAnsi"/>
          <w:snapToGrid w:val="0"/>
          <w:lang w:val="en-GB"/>
        </w:rPr>
        <w:t xml:space="preserve"> not</w:t>
      </w:r>
      <w:r w:rsidR="00B935AA">
        <w:rPr>
          <w:rFonts w:asciiTheme="minorHAnsi" w:hAnsiTheme="minorHAnsi"/>
          <w:snapToGrid w:val="0"/>
          <w:lang w:val="en-GB"/>
        </w:rPr>
        <w:t xml:space="preserve"> </w:t>
      </w:r>
      <w:r w:rsidR="00A605BE">
        <w:rPr>
          <w:rFonts w:asciiTheme="minorHAnsi" w:hAnsiTheme="minorHAnsi"/>
          <w:snapToGrid w:val="0"/>
          <w:lang w:val="en-GB"/>
        </w:rPr>
        <w:t xml:space="preserve">fulfil </w:t>
      </w:r>
      <w:r w:rsidR="001038EF">
        <w:rPr>
          <w:rFonts w:asciiTheme="minorHAnsi" w:hAnsiTheme="minorHAnsi"/>
          <w:snapToGrid w:val="0"/>
          <w:lang w:val="en-GB"/>
        </w:rPr>
        <w:t>this need</w:t>
      </w:r>
      <w:r w:rsidR="00A605BE">
        <w:rPr>
          <w:rFonts w:asciiTheme="minorHAnsi" w:hAnsiTheme="minorHAnsi"/>
          <w:snapToGrid w:val="0"/>
          <w:lang w:val="en-GB"/>
        </w:rPr>
        <w:t>.</w:t>
      </w:r>
    </w:p>
    <w:p w14:paraId="2BCC0AA4" w14:textId="77777777" w:rsidR="00BD7611" w:rsidRPr="00BD7611" w:rsidRDefault="00BD7611" w:rsidP="00BD7611">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there appeared to be </w:t>
      </w:r>
      <w:r w:rsidR="002C686C">
        <w:rPr>
          <w:rFonts w:asciiTheme="minorHAnsi" w:hAnsiTheme="minorHAnsi"/>
          <w:snapToGrid w:val="0"/>
          <w:lang w:val="en-GB"/>
        </w:rPr>
        <w:t xml:space="preserve">limited </w:t>
      </w:r>
      <w:r>
        <w:rPr>
          <w:rFonts w:asciiTheme="minorHAnsi" w:hAnsiTheme="minorHAnsi"/>
          <w:snapToGrid w:val="0"/>
          <w:lang w:val="en-GB"/>
        </w:rPr>
        <w:t xml:space="preserve">support amongst clinicians or patients for the PBS listing of regorafenib in this population, given </w:t>
      </w:r>
      <w:r w:rsidR="00452D3B">
        <w:rPr>
          <w:rFonts w:asciiTheme="minorHAnsi" w:hAnsiTheme="minorHAnsi"/>
          <w:snapToGrid w:val="0"/>
          <w:lang w:val="en-GB"/>
        </w:rPr>
        <w:t>only one comment was received</w:t>
      </w:r>
      <w:r w:rsidR="002C686C">
        <w:rPr>
          <w:rFonts w:asciiTheme="minorHAnsi" w:hAnsiTheme="minorHAnsi"/>
          <w:snapToGrid w:val="0"/>
          <w:lang w:val="en-GB"/>
        </w:rPr>
        <w:t>,</w:t>
      </w:r>
      <w:r w:rsidR="00452D3B">
        <w:rPr>
          <w:rFonts w:asciiTheme="minorHAnsi" w:hAnsiTheme="minorHAnsi"/>
          <w:snapToGrid w:val="0"/>
          <w:lang w:val="en-GB"/>
        </w:rPr>
        <w:t xml:space="preserve"> from Bowel Cancer Australia, which was </w:t>
      </w:r>
      <w:r w:rsidR="002C686C">
        <w:rPr>
          <w:rFonts w:asciiTheme="minorHAnsi" w:hAnsiTheme="minorHAnsi"/>
          <w:snapToGrid w:val="0"/>
          <w:lang w:val="en-GB"/>
        </w:rPr>
        <w:t xml:space="preserve">in </w:t>
      </w:r>
      <w:r w:rsidR="00452D3B">
        <w:rPr>
          <w:rFonts w:asciiTheme="minorHAnsi" w:hAnsiTheme="minorHAnsi"/>
          <w:snapToGrid w:val="0"/>
          <w:lang w:val="en-GB"/>
        </w:rPr>
        <w:t xml:space="preserve">general support </w:t>
      </w:r>
      <w:r w:rsidR="008A08AC">
        <w:rPr>
          <w:rFonts w:asciiTheme="minorHAnsi" w:hAnsiTheme="minorHAnsi"/>
          <w:snapToGrid w:val="0"/>
          <w:lang w:val="en-GB"/>
        </w:rPr>
        <w:t>for</w:t>
      </w:r>
      <w:r w:rsidR="00452D3B">
        <w:rPr>
          <w:rFonts w:asciiTheme="minorHAnsi" w:hAnsiTheme="minorHAnsi"/>
          <w:snapToGrid w:val="0"/>
          <w:lang w:val="en-GB"/>
        </w:rPr>
        <w:t xml:space="preserve"> additional choices </w:t>
      </w:r>
      <w:r w:rsidR="00D41ADB">
        <w:rPr>
          <w:rFonts w:asciiTheme="minorHAnsi" w:hAnsiTheme="minorHAnsi"/>
          <w:snapToGrid w:val="0"/>
          <w:lang w:val="en-GB"/>
        </w:rPr>
        <w:t xml:space="preserve">for </w:t>
      </w:r>
      <w:r w:rsidR="00452D3B">
        <w:rPr>
          <w:rFonts w:asciiTheme="minorHAnsi" w:hAnsiTheme="minorHAnsi"/>
          <w:snapToGrid w:val="0"/>
          <w:lang w:val="en-GB"/>
        </w:rPr>
        <w:t>patients. The Committee also noted the</w:t>
      </w:r>
      <w:r>
        <w:rPr>
          <w:rFonts w:asciiTheme="minorHAnsi" w:hAnsiTheme="minorHAnsi"/>
          <w:snapToGrid w:val="0"/>
          <w:lang w:val="en-GB"/>
        </w:rPr>
        <w:t xml:space="preserve"> Medical Oncology Group of Australia (MOGA) did not include regorafenib in its list of supported applications.</w:t>
      </w:r>
      <w:r w:rsidR="00290BB0">
        <w:rPr>
          <w:rFonts w:asciiTheme="minorHAnsi" w:hAnsiTheme="minorHAnsi"/>
          <w:snapToGrid w:val="0"/>
          <w:lang w:val="en-GB"/>
        </w:rPr>
        <w:t xml:space="preserve"> </w:t>
      </w:r>
    </w:p>
    <w:p w14:paraId="4DC1109E" w14:textId="77777777" w:rsidR="005D5389" w:rsidRPr="00BD7611" w:rsidRDefault="005D5389" w:rsidP="005D5389">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the nominated comparator of trifluridine/tipiracil was reasonable, as the only other PBS-listed option in this line of therapy for </w:t>
      </w:r>
      <w:r w:rsidRPr="00CF137A">
        <w:t>mCRC</w:t>
      </w:r>
      <w:r>
        <w:t>.</w:t>
      </w:r>
    </w:p>
    <w:p w14:paraId="02A74B7A" w14:textId="77777777" w:rsidR="005E3933" w:rsidRPr="005E3933" w:rsidRDefault="00092A24" w:rsidP="00C97DB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w:t>
      </w:r>
      <w:r w:rsidR="0017667C">
        <w:rPr>
          <w:rFonts w:asciiTheme="minorHAnsi" w:hAnsiTheme="minorHAnsi"/>
          <w:snapToGrid w:val="0"/>
          <w:lang w:val="en-GB"/>
        </w:rPr>
        <w:t>PBAC</w:t>
      </w:r>
      <w:r>
        <w:rPr>
          <w:rFonts w:asciiTheme="minorHAnsi" w:hAnsiTheme="minorHAnsi"/>
          <w:snapToGrid w:val="0"/>
          <w:lang w:val="en-GB"/>
        </w:rPr>
        <w:t xml:space="preserve"> </w:t>
      </w:r>
      <w:r w:rsidR="0017667C">
        <w:rPr>
          <w:rFonts w:asciiTheme="minorHAnsi" w:hAnsiTheme="minorHAnsi"/>
          <w:snapToGrid w:val="0"/>
          <w:lang w:val="en-GB"/>
        </w:rPr>
        <w:t xml:space="preserve">noted </w:t>
      </w:r>
      <w:r w:rsidR="002C686C">
        <w:rPr>
          <w:rFonts w:asciiTheme="minorHAnsi" w:hAnsiTheme="minorHAnsi"/>
          <w:snapToGrid w:val="0"/>
          <w:lang w:val="en-GB"/>
        </w:rPr>
        <w:t xml:space="preserve">there were </w:t>
      </w:r>
      <w:r w:rsidR="0017667C" w:rsidRPr="00174792">
        <w:t>no head-to-head trials of regorafenib and trifluridine/tipiracil for the treatment of patients with mCRC</w:t>
      </w:r>
      <w:r w:rsidR="002C686C" w:rsidRPr="002C686C">
        <w:t xml:space="preserve"> </w:t>
      </w:r>
      <w:r w:rsidR="002C686C">
        <w:t>after two or more prior therapies</w:t>
      </w:r>
      <w:r w:rsidR="0017667C" w:rsidRPr="00174792">
        <w:t>. Therefore, the resubmission conducted an indirect treatment comparison</w:t>
      </w:r>
      <w:r w:rsidR="001F112B">
        <w:t xml:space="preserve"> (ITC)</w:t>
      </w:r>
      <w:r w:rsidR="0017667C" w:rsidRPr="00174792">
        <w:t xml:space="preserve"> of regorafenib and trifluridine/tipiracil, using placebo as a common reference. </w:t>
      </w:r>
    </w:p>
    <w:p w14:paraId="67074522" w14:textId="77777777" w:rsidR="00C97DB4" w:rsidRPr="005E3933" w:rsidRDefault="004C61A2" w:rsidP="0056650E">
      <w:pPr>
        <w:widowControl w:val="0"/>
        <w:numPr>
          <w:ilvl w:val="1"/>
          <w:numId w:val="1"/>
        </w:numPr>
        <w:spacing w:after="120"/>
        <w:rPr>
          <w:rFonts w:asciiTheme="minorHAnsi" w:hAnsiTheme="minorHAnsi"/>
          <w:snapToGrid w:val="0"/>
          <w:lang w:val="en-GB"/>
        </w:rPr>
      </w:pPr>
      <w:r w:rsidRPr="005E3933">
        <w:rPr>
          <w:rFonts w:asciiTheme="minorHAnsi" w:hAnsiTheme="minorHAnsi"/>
          <w:snapToGrid w:val="0"/>
          <w:lang w:val="en-GB"/>
        </w:rPr>
        <w:t>The PBAC considered</w:t>
      </w:r>
      <w:r w:rsidR="00B16399">
        <w:rPr>
          <w:rFonts w:asciiTheme="minorHAnsi" w:hAnsiTheme="minorHAnsi"/>
          <w:snapToGrid w:val="0"/>
          <w:lang w:val="en-GB"/>
        </w:rPr>
        <w:t xml:space="preserve"> that,</w:t>
      </w:r>
      <w:r w:rsidRPr="005E3933">
        <w:rPr>
          <w:rFonts w:asciiTheme="minorHAnsi" w:hAnsiTheme="minorHAnsi"/>
          <w:snapToGrid w:val="0"/>
          <w:lang w:val="en-GB"/>
        </w:rPr>
        <w:t xml:space="preserve"> whilst there were uncertainties with the </w:t>
      </w:r>
      <w:r w:rsidR="00D41ADB">
        <w:rPr>
          <w:rFonts w:asciiTheme="minorHAnsi" w:hAnsiTheme="minorHAnsi"/>
          <w:snapToGrid w:val="0"/>
          <w:lang w:val="en-GB"/>
        </w:rPr>
        <w:t>ITC</w:t>
      </w:r>
      <w:r w:rsidR="00B16399">
        <w:rPr>
          <w:rFonts w:asciiTheme="minorHAnsi" w:hAnsiTheme="minorHAnsi"/>
          <w:snapToGrid w:val="0"/>
          <w:lang w:val="en-GB"/>
        </w:rPr>
        <w:t xml:space="preserve"> </w:t>
      </w:r>
      <w:r w:rsidR="00B16399" w:rsidRPr="005E3933">
        <w:rPr>
          <w:rFonts w:asciiTheme="minorHAnsi" w:hAnsiTheme="minorHAnsi"/>
          <w:snapToGrid w:val="0"/>
          <w:lang w:val="en-GB"/>
        </w:rPr>
        <w:t>and variability in the sensitivity analyses</w:t>
      </w:r>
      <w:r w:rsidRPr="005E3933">
        <w:rPr>
          <w:rFonts w:asciiTheme="minorHAnsi" w:hAnsiTheme="minorHAnsi"/>
          <w:snapToGrid w:val="0"/>
          <w:lang w:val="en-GB"/>
        </w:rPr>
        <w:t>,</w:t>
      </w:r>
      <w:r w:rsidR="008E6604" w:rsidRPr="005E3933">
        <w:rPr>
          <w:rFonts w:asciiTheme="minorHAnsi" w:hAnsiTheme="minorHAnsi"/>
          <w:snapToGrid w:val="0"/>
          <w:lang w:val="en-GB"/>
        </w:rPr>
        <w:t xml:space="preserve"> </w:t>
      </w:r>
      <w:r w:rsidRPr="005E3933">
        <w:rPr>
          <w:rFonts w:asciiTheme="minorHAnsi" w:hAnsiTheme="minorHAnsi"/>
          <w:snapToGrid w:val="0"/>
          <w:lang w:val="en-GB"/>
        </w:rPr>
        <w:t xml:space="preserve">the evidence presented may support a claim of non-inferior comparative </w:t>
      </w:r>
      <w:r w:rsidR="00B16399">
        <w:rPr>
          <w:rFonts w:asciiTheme="minorHAnsi" w:hAnsiTheme="minorHAnsi"/>
          <w:snapToGrid w:val="0"/>
          <w:lang w:val="en-GB"/>
        </w:rPr>
        <w:t>effectiveness</w:t>
      </w:r>
      <w:r w:rsidR="00B16399" w:rsidRPr="005E3933">
        <w:rPr>
          <w:rFonts w:asciiTheme="minorHAnsi" w:hAnsiTheme="minorHAnsi"/>
          <w:snapToGrid w:val="0"/>
          <w:lang w:val="en-GB"/>
        </w:rPr>
        <w:t xml:space="preserve"> in terms of overall survival and progression-free survival</w:t>
      </w:r>
      <w:r w:rsidR="00B16399">
        <w:rPr>
          <w:rFonts w:asciiTheme="minorHAnsi" w:hAnsiTheme="minorHAnsi"/>
          <w:snapToGrid w:val="0"/>
          <w:lang w:val="en-GB"/>
        </w:rPr>
        <w:t xml:space="preserve"> of regorafenib</w:t>
      </w:r>
      <w:r w:rsidR="00B16399" w:rsidRPr="005E3933">
        <w:rPr>
          <w:rFonts w:asciiTheme="minorHAnsi" w:hAnsiTheme="minorHAnsi"/>
          <w:snapToGrid w:val="0"/>
          <w:lang w:val="en-GB"/>
        </w:rPr>
        <w:t xml:space="preserve"> </w:t>
      </w:r>
      <w:r w:rsidRPr="005E3933">
        <w:rPr>
          <w:rFonts w:asciiTheme="minorHAnsi" w:hAnsiTheme="minorHAnsi"/>
          <w:snapToGrid w:val="0"/>
          <w:lang w:val="en-GB"/>
        </w:rPr>
        <w:t>to trifluridine</w:t>
      </w:r>
      <w:r w:rsidR="00AB0D0A" w:rsidRPr="005E3933">
        <w:rPr>
          <w:rFonts w:asciiTheme="minorHAnsi" w:hAnsiTheme="minorHAnsi"/>
          <w:snapToGrid w:val="0"/>
          <w:lang w:val="en-GB"/>
        </w:rPr>
        <w:t>/</w:t>
      </w:r>
      <w:r w:rsidRPr="005E3933">
        <w:rPr>
          <w:rFonts w:asciiTheme="minorHAnsi" w:hAnsiTheme="minorHAnsi"/>
          <w:snapToGrid w:val="0"/>
          <w:lang w:val="en-GB"/>
        </w:rPr>
        <w:t>tipiracil.</w:t>
      </w:r>
      <w:r w:rsidR="00085DDA" w:rsidRPr="005E3933">
        <w:rPr>
          <w:rFonts w:asciiTheme="minorHAnsi" w:hAnsiTheme="minorHAnsi"/>
          <w:snapToGrid w:val="0"/>
          <w:lang w:val="en-GB"/>
        </w:rPr>
        <w:t xml:space="preserve"> </w:t>
      </w:r>
      <w:r w:rsidR="00AB0D0A" w:rsidRPr="005E3933">
        <w:rPr>
          <w:rFonts w:asciiTheme="minorHAnsi" w:hAnsiTheme="minorHAnsi"/>
          <w:snapToGrid w:val="0"/>
          <w:lang w:val="en-GB"/>
        </w:rPr>
        <w:t>However,</w:t>
      </w:r>
      <w:r w:rsidR="00BD7611" w:rsidRPr="005E3933">
        <w:rPr>
          <w:rFonts w:asciiTheme="minorHAnsi" w:hAnsiTheme="minorHAnsi"/>
          <w:snapToGrid w:val="0"/>
          <w:lang w:val="en-GB"/>
        </w:rPr>
        <w:t xml:space="preserve"> </w:t>
      </w:r>
      <w:r w:rsidR="00085DDA" w:rsidRPr="005E3933">
        <w:rPr>
          <w:rFonts w:asciiTheme="minorHAnsi" w:hAnsiTheme="minorHAnsi"/>
          <w:snapToGrid w:val="0"/>
          <w:lang w:val="en-GB"/>
        </w:rPr>
        <w:t>t</w:t>
      </w:r>
      <w:r w:rsidR="00BD7611" w:rsidRPr="005E3933">
        <w:rPr>
          <w:rFonts w:asciiTheme="minorHAnsi" w:hAnsiTheme="minorHAnsi"/>
          <w:snapToGrid w:val="0"/>
          <w:lang w:val="en-GB"/>
        </w:rPr>
        <w:t xml:space="preserve">he </w:t>
      </w:r>
      <w:r w:rsidR="00165DE4" w:rsidRPr="005E3933">
        <w:rPr>
          <w:rFonts w:asciiTheme="minorHAnsi" w:hAnsiTheme="minorHAnsi"/>
          <w:snapToGrid w:val="0"/>
          <w:lang w:val="en-GB"/>
        </w:rPr>
        <w:t>Committee considered</w:t>
      </w:r>
      <w:r w:rsidR="00BD7611" w:rsidRPr="005E3933">
        <w:rPr>
          <w:rFonts w:asciiTheme="minorHAnsi" w:hAnsiTheme="minorHAnsi"/>
          <w:snapToGrid w:val="0"/>
          <w:lang w:val="en-GB"/>
        </w:rPr>
        <w:t xml:space="preserve"> </w:t>
      </w:r>
      <w:r w:rsidR="005E3933">
        <w:rPr>
          <w:rFonts w:asciiTheme="minorHAnsi" w:hAnsiTheme="minorHAnsi"/>
          <w:snapToGrid w:val="0"/>
          <w:lang w:val="en-GB"/>
        </w:rPr>
        <w:t xml:space="preserve">in this late stage setting, </w:t>
      </w:r>
      <w:r w:rsidR="00BD7611" w:rsidRPr="005E3933">
        <w:rPr>
          <w:rFonts w:asciiTheme="minorHAnsi" w:hAnsiTheme="minorHAnsi"/>
          <w:snapToGrid w:val="0"/>
          <w:lang w:val="en-GB"/>
        </w:rPr>
        <w:t>the magnitude of benefit</w:t>
      </w:r>
      <w:r w:rsidR="00AB0D0A" w:rsidRPr="005E3933">
        <w:rPr>
          <w:rFonts w:asciiTheme="minorHAnsi" w:hAnsiTheme="minorHAnsi"/>
          <w:snapToGrid w:val="0"/>
          <w:lang w:val="en-GB"/>
        </w:rPr>
        <w:t xml:space="preserve"> </w:t>
      </w:r>
      <w:r w:rsidR="00BD7611" w:rsidRPr="005E3933">
        <w:rPr>
          <w:rFonts w:asciiTheme="minorHAnsi" w:hAnsiTheme="minorHAnsi"/>
          <w:snapToGrid w:val="0"/>
          <w:lang w:val="en-GB"/>
        </w:rPr>
        <w:t>appeared to be</w:t>
      </w:r>
      <w:r w:rsidR="008E6604" w:rsidRPr="005E3933">
        <w:rPr>
          <w:rFonts w:asciiTheme="minorHAnsi" w:hAnsiTheme="minorHAnsi"/>
          <w:snapToGrid w:val="0"/>
          <w:lang w:val="en-GB"/>
        </w:rPr>
        <w:t xml:space="preserve"> small</w:t>
      </w:r>
      <w:r w:rsidR="005E3933">
        <w:rPr>
          <w:rFonts w:asciiTheme="minorHAnsi" w:hAnsiTheme="minorHAnsi"/>
          <w:snapToGrid w:val="0"/>
          <w:lang w:val="en-GB"/>
        </w:rPr>
        <w:t xml:space="preserve"> and of borderline clinical meaningfulness</w:t>
      </w:r>
      <w:r w:rsidR="008E6604" w:rsidRPr="005E3933">
        <w:rPr>
          <w:rFonts w:asciiTheme="minorHAnsi" w:hAnsiTheme="minorHAnsi"/>
          <w:snapToGrid w:val="0"/>
          <w:lang w:val="en-GB"/>
        </w:rPr>
        <w:t>.</w:t>
      </w:r>
    </w:p>
    <w:p w14:paraId="1CF423F0" w14:textId="77777777" w:rsidR="00436DC0" w:rsidRDefault="00432FED" w:rsidP="00C97DB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the evidence presented indicated regorafenib is associated with significant risk of adverse events, including many of grade III or higher severity.</w:t>
      </w:r>
      <w:r w:rsidR="009218B1">
        <w:rPr>
          <w:rFonts w:asciiTheme="minorHAnsi" w:hAnsiTheme="minorHAnsi"/>
          <w:snapToGrid w:val="0"/>
          <w:lang w:val="en-GB"/>
        </w:rPr>
        <w:t xml:space="preserve"> </w:t>
      </w:r>
      <w:r w:rsidR="005E3933">
        <w:rPr>
          <w:rFonts w:asciiTheme="minorHAnsi" w:hAnsiTheme="minorHAnsi"/>
          <w:snapToGrid w:val="0"/>
          <w:lang w:val="en-GB"/>
        </w:rPr>
        <w:t xml:space="preserve">The PBAC was particularly concerned </w:t>
      </w:r>
      <w:r w:rsidR="00436DC0">
        <w:rPr>
          <w:rFonts w:asciiTheme="minorHAnsi" w:hAnsiTheme="minorHAnsi"/>
          <w:snapToGrid w:val="0"/>
          <w:lang w:val="en-GB"/>
        </w:rPr>
        <w:t xml:space="preserve">about </w:t>
      </w:r>
      <w:r w:rsidR="005E3933">
        <w:rPr>
          <w:rFonts w:asciiTheme="minorHAnsi" w:hAnsiTheme="minorHAnsi"/>
          <w:snapToGrid w:val="0"/>
          <w:lang w:val="en-GB"/>
        </w:rPr>
        <w:t xml:space="preserve">the high </w:t>
      </w:r>
      <w:r w:rsidR="00B16399">
        <w:rPr>
          <w:rFonts w:asciiTheme="minorHAnsi" w:hAnsiTheme="minorHAnsi"/>
          <w:snapToGrid w:val="0"/>
          <w:lang w:val="en-GB"/>
        </w:rPr>
        <w:t>number</w:t>
      </w:r>
      <w:r w:rsidR="005E3933">
        <w:rPr>
          <w:rFonts w:asciiTheme="minorHAnsi" w:hAnsiTheme="minorHAnsi"/>
          <w:snapToGrid w:val="0"/>
          <w:lang w:val="en-GB"/>
        </w:rPr>
        <w:t xml:space="preserve"> of hand-foot </w:t>
      </w:r>
      <w:r w:rsidR="00436DC0">
        <w:rPr>
          <w:rFonts w:asciiTheme="minorHAnsi" w:hAnsiTheme="minorHAnsi"/>
          <w:snapToGrid w:val="0"/>
          <w:lang w:val="en-GB"/>
        </w:rPr>
        <w:t xml:space="preserve">skin </w:t>
      </w:r>
      <w:r w:rsidR="005E3933">
        <w:rPr>
          <w:rFonts w:asciiTheme="minorHAnsi" w:hAnsiTheme="minorHAnsi"/>
          <w:snapToGrid w:val="0"/>
          <w:lang w:val="en-GB"/>
        </w:rPr>
        <w:t xml:space="preserve">reactions of this severity </w:t>
      </w:r>
      <w:r w:rsidR="00436DC0">
        <w:rPr>
          <w:rFonts w:asciiTheme="minorHAnsi" w:hAnsiTheme="minorHAnsi"/>
          <w:snapToGrid w:val="0"/>
          <w:lang w:val="en-GB"/>
        </w:rPr>
        <w:t xml:space="preserve">(16.6% in </w:t>
      </w:r>
      <w:r w:rsidR="00B16399">
        <w:rPr>
          <w:rFonts w:asciiTheme="minorHAnsi" w:hAnsiTheme="minorHAnsi"/>
          <w:snapToGrid w:val="0"/>
          <w:lang w:val="en-GB"/>
        </w:rPr>
        <w:t xml:space="preserve">the </w:t>
      </w:r>
      <w:r w:rsidR="00436DC0">
        <w:rPr>
          <w:rFonts w:asciiTheme="minorHAnsi" w:hAnsiTheme="minorHAnsi"/>
          <w:snapToGrid w:val="0"/>
          <w:lang w:val="en-GB"/>
        </w:rPr>
        <w:t>CORRECT</w:t>
      </w:r>
      <w:r w:rsidR="00B16399">
        <w:rPr>
          <w:rFonts w:asciiTheme="minorHAnsi" w:hAnsiTheme="minorHAnsi"/>
          <w:snapToGrid w:val="0"/>
          <w:lang w:val="en-GB"/>
        </w:rPr>
        <w:t xml:space="preserve"> trial</w:t>
      </w:r>
      <w:r w:rsidR="00436DC0">
        <w:rPr>
          <w:rFonts w:asciiTheme="minorHAnsi" w:hAnsiTheme="minorHAnsi"/>
          <w:snapToGrid w:val="0"/>
          <w:lang w:val="en-GB"/>
        </w:rPr>
        <w:t>) and the</w:t>
      </w:r>
      <w:r w:rsidR="005E3933">
        <w:rPr>
          <w:rFonts w:asciiTheme="minorHAnsi" w:hAnsiTheme="minorHAnsi"/>
          <w:snapToGrid w:val="0"/>
          <w:lang w:val="en-GB"/>
        </w:rPr>
        <w:t xml:space="preserve"> impact </w:t>
      </w:r>
      <w:r w:rsidR="00436DC0">
        <w:rPr>
          <w:rFonts w:asciiTheme="minorHAnsi" w:hAnsiTheme="minorHAnsi"/>
          <w:snapToGrid w:val="0"/>
          <w:lang w:val="en-GB"/>
        </w:rPr>
        <w:t>on patients</w:t>
      </w:r>
      <w:r w:rsidR="005E3933">
        <w:rPr>
          <w:rFonts w:asciiTheme="minorHAnsi" w:hAnsiTheme="minorHAnsi"/>
          <w:snapToGrid w:val="0"/>
          <w:lang w:val="en-GB"/>
        </w:rPr>
        <w:t xml:space="preserve">’ </w:t>
      </w:r>
      <w:r w:rsidR="00436DC0">
        <w:rPr>
          <w:rFonts w:asciiTheme="minorHAnsi" w:hAnsiTheme="minorHAnsi"/>
          <w:snapToGrid w:val="0"/>
          <w:lang w:val="en-GB"/>
        </w:rPr>
        <w:t xml:space="preserve">ability for self-care. </w:t>
      </w:r>
      <w:r w:rsidR="00B16399">
        <w:rPr>
          <w:rFonts w:asciiTheme="minorHAnsi" w:hAnsiTheme="minorHAnsi"/>
          <w:snapToGrid w:val="0"/>
          <w:lang w:val="en-GB"/>
        </w:rPr>
        <w:t>It was</w:t>
      </w:r>
      <w:r w:rsidR="00436DC0">
        <w:rPr>
          <w:rFonts w:asciiTheme="minorHAnsi" w:hAnsiTheme="minorHAnsi"/>
          <w:snapToGrid w:val="0"/>
          <w:lang w:val="en-GB"/>
        </w:rPr>
        <w:t xml:space="preserve"> also noted </w:t>
      </w:r>
      <w:r w:rsidR="00B16399">
        <w:rPr>
          <w:rFonts w:asciiTheme="minorHAnsi" w:hAnsiTheme="minorHAnsi"/>
          <w:snapToGrid w:val="0"/>
          <w:lang w:val="en-GB"/>
        </w:rPr>
        <w:t xml:space="preserve">more than 7% of patients experienced </w:t>
      </w:r>
      <w:r w:rsidR="00436DC0">
        <w:rPr>
          <w:rFonts w:asciiTheme="minorHAnsi" w:hAnsiTheme="minorHAnsi"/>
          <w:snapToGrid w:val="0"/>
          <w:lang w:val="en-GB"/>
        </w:rPr>
        <w:t>diarrhoea at this level of severity</w:t>
      </w:r>
      <w:r w:rsidR="00B16399">
        <w:rPr>
          <w:rFonts w:asciiTheme="minorHAnsi" w:hAnsiTheme="minorHAnsi"/>
          <w:snapToGrid w:val="0"/>
          <w:lang w:val="en-GB"/>
        </w:rPr>
        <w:t>, which</w:t>
      </w:r>
      <w:r w:rsidR="00436DC0">
        <w:rPr>
          <w:rFonts w:asciiTheme="minorHAnsi" w:hAnsiTheme="minorHAnsi"/>
          <w:snapToGrid w:val="0"/>
          <w:lang w:val="en-GB"/>
        </w:rPr>
        <w:t xml:space="preserve"> may require hospitalisation. The PBAC also noted the TGA black box warning for r</w:t>
      </w:r>
      <w:r w:rsidR="00436DC0" w:rsidRPr="00436DC0">
        <w:rPr>
          <w:rFonts w:asciiTheme="minorHAnsi" w:hAnsiTheme="minorHAnsi"/>
          <w:snapToGrid w:val="0"/>
          <w:lang w:val="en-GB"/>
        </w:rPr>
        <w:t>are cases of fatal hepatotoxicity</w:t>
      </w:r>
      <w:r w:rsidR="00436DC0">
        <w:rPr>
          <w:rFonts w:asciiTheme="minorHAnsi" w:hAnsiTheme="minorHAnsi"/>
          <w:snapToGrid w:val="0"/>
          <w:lang w:val="en-GB"/>
        </w:rPr>
        <w:t xml:space="preserve">. </w:t>
      </w:r>
    </w:p>
    <w:p w14:paraId="5D137EF5" w14:textId="77777777" w:rsidR="00C97DB4" w:rsidRPr="007214B1" w:rsidRDefault="007214B1" w:rsidP="00EF3207">
      <w:pPr>
        <w:pStyle w:val="3-BodyText"/>
        <w:rPr>
          <w:lang w:val="en-GB"/>
        </w:rPr>
      </w:pPr>
      <w:r w:rsidRPr="007214B1">
        <w:rPr>
          <w:lang w:val="en-GB"/>
        </w:rPr>
        <w:t>T</w:t>
      </w:r>
      <w:r w:rsidR="009218B1" w:rsidRPr="007214B1">
        <w:rPr>
          <w:lang w:val="en-GB"/>
        </w:rPr>
        <w:t>he Committee considered regorafenib and trifluridine/tipiracil have distinct adverse event profile</w:t>
      </w:r>
      <w:r w:rsidR="00DC7AF5" w:rsidRPr="007214B1">
        <w:rPr>
          <w:lang w:val="en-GB"/>
        </w:rPr>
        <w:t>s</w:t>
      </w:r>
      <w:r w:rsidR="009218B1" w:rsidRPr="007214B1">
        <w:rPr>
          <w:lang w:val="en-GB"/>
        </w:rPr>
        <w:t xml:space="preserve">, however </w:t>
      </w:r>
      <w:r w:rsidRPr="007214B1">
        <w:rPr>
          <w:lang w:val="en-GB"/>
        </w:rPr>
        <w:t xml:space="preserve">it was </w:t>
      </w:r>
      <w:r w:rsidR="00EF3207" w:rsidRPr="00EF3207">
        <w:rPr>
          <w:lang w:val="en-GB"/>
        </w:rPr>
        <w:t>the view of the Committee that</w:t>
      </w:r>
      <w:r w:rsidR="009218B1" w:rsidRPr="007214B1">
        <w:rPr>
          <w:lang w:val="en-GB"/>
        </w:rPr>
        <w:t xml:space="preserve"> </w:t>
      </w:r>
      <w:r w:rsidRPr="001D2FDF">
        <w:t>the haematological adverse effects of trifluridine/tipiracil are generally easier to manage than the severe dermatological reactions with regorafenib</w:t>
      </w:r>
      <w:r w:rsidR="00117050">
        <w:t>,</w:t>
      </w:r>
      <w:r>
        <w:t xml:space="preserve"> and </w:t>
      </w:r>
      <w:r w:rsidR="009218B1" w:rsidRPr="007214B1">
        <w:rPr>
          <w:lang w:val="en-GB"/>
        </w:rPr>
        <w:t xml:space="preserve">regorafenib was associated with statistically significantly higher rates of adverse events leading to treatment discontinuation. Based on the available evidence, the PBAC </w:t>
      </w:r>
      <w:r>
        <w:rPr>
          <w:lang w:val="en-GB"/>
        </w:rPr>
        <w:t xml:space="preserve">did not agree with the submission claim of non-inferior comparative safety to </w:t>
      </w:r>
      <w:r w:rsidRPr="007214B1">
        <w:rPr>
          <w:lang w:val="en-GB"/>
        </w:rPr>
        <w:t xml:space="preserve">trifluridine/tipiracil </w:t>
      </w:r>
      <w:r>
        <w:rPr>
          <w:lang w:val="en-GB"/>
        </w:rPr>
        <w:t xml:space="preserve">and </w:t>
      </w:r>
      <w:r w:rsidR="009218B1" w:rsidRPr="007214B1">
        <w:rPr>
          <w:lang w:val="en-GB"/>
        </w:rPr>
        <w:t xml:space="preserve">considered reforafenib </w:t>
      </w:r>
      <w:r w:rsidRPr="007214B1">
        <w:rPr>
          <w:lang w:val="en-GB"/>
        </w:rPr>
        <w:t>wa</w:t>
      </w:r>
      <w:r w:rsidR="009218B1" w:rsidRPr="007214B1">
        <w:rPr>
          <w:lang w:val="en-GB"/>
        </w:rPr>
        <w:t>s</w:t>
      </w:r>
      <w:r w:rsidR="002D0097" w:rsidRPr="007214B1">
        <w:rPr>
          <w:lang w:val="en-GB"/>
        </w:rPr>
        <w:t xml:space="preserve"> likely</w:t>
      </w:r>
      <w:r w:rsidR="009218B1" w:rsidRPr="007214B1">
        <w:rPr>
          <w:lang w:val="en-GB"/>
        </w:rPr>
        <w:t xml:space="preserve"> inferior. </w:t>
      </w:r>
      <w:r w:rsidR="00432FED" w:rsidRPr="007214B1">
        <w:rPr>
          <w:lang w:val="en-GB"/>
        </w:rPr>
        <w:t xml:space="preserve">The </w:t>
      </w:r>
      <w:r w:rsidR="009218B1" w:rsidRPr="007214B1">
        <w:rPr>
          <w:lang w:val="en-GB"/>
        </w:rPr>
        <w:t>Committee also</w:t>
      </w:r>
      <w:r w:rsidR="00432FED" w:rsidRPr="007214B1">
        <w:rPr>
          <w:lang w:val="en-GB"/>
        </w:rPr>
        <w:t xml:space="preserve"> noted the Pre-PBAC Response and sponsor hearing suggested dose modification</w:t>
      </w:r>
      <w:r w:rsidR="00DC1585" w:rsidRPr="007214B1">
        <w:rPr>
          <w:lang w:val="en-GB"/>
        </w:rPr>
        <w:t xml:space="preserve"> and lower dose regimens</w:t>
      </w:r>
      <w:r w:rsidR="00432FED" w:rsidRPr="007214B1">
        <w:rPr>
          <w:lang w:val="en-GB"/>
        </w:rPr>
        <w:t xml:space="preserve"> </w:t>
      </w:r>
      <w:r w:rsidR="008E3C13" w:rsidRPr="007214B1">
        <w:rPr>
          <w:lang w:val="en-GB"/>
        </w:rPr>
        <w:t xml:space="preserve">may be used in practice to </w:t>
      </w:r>
      <w:r w:rsidR="00161912" w:rsidRPr="007214B1">
        <w:rPr>
          <w:lang w:val="en-GB"/>
        </w:rPr>
        <w:t>address the risk and severity of adverse events</w:t>
      </w:r>
      <w:r w:rsidR="006E5A54">
        <w:rPr>
          <w:lang w:val="en-GB"/>
        </w:rPr>
        <w:t>;</w:t>
      </w:r>
      <w:r w:rsidR="00161912" w:rsidRPr="007214B1">
        <w:rPr>
          <w:lang w:val="en-GB"/>
        </w:rPr>
        <w:t xml:space="preserve"> </w:t>
      </w:r>
      <w:r w:rsidR="00FA23ED" w:rsidRPr="007214B1">
        <w:rPr>
          <w:lang w:val="en-GB"/>
        </w:rPr>
        <w:t xml:space="preserve">however, </w:t>
      </w:r>
      <w:r w:rsidR="006E5A54">
        <w:rPr>
          <w:lang w:val="en-GB"/>
        </w:rPr>
        <w:t xml:space="preserve">the PBAC noted </w:t>
      </w:r>
      <w:r w:rsidR="00FA23ED" w:rsidRPr="007214B1">
        <w:rPr>
          <w:lang w:val="en-GB"/>
        </w:rPr>
        <w:t xml:space="preserve">that the </w:t>
      </w:r>
      <w:r w:rsidR="00032AD2">
        <w:rPr>
          <w:lang w:val="en-GB"/>
        </w:rPr>
        <w:t xml:space="preserve">recommended dosing in </w:t>
      </w:r>
      <w:r w:rsidR="005E4A0A">
        <w:rPr>
          <w:lang w:val="en-GB"/>
        </w:rPr>
        <w:t xml:space="preserve">Australian </w:t>
      </w:r>
      <w:r w:rsidR="00032AD2">
        <w:rPr>
          <w:lang w:val="en-GB"/>
        </w:rPr>
        <w:t xml:space="preserve">Product Information </w:t>
      </w:r>
      <w:r w:rsidR="00FA23ED" w:rsidRPr="007214B1">
        <w:rPr>
          <w:lang w:val="en-GB"/>
        </w:rPr>
        <w:t xml:space="preserve">only includes a </w:t>
      </w:r>
      <w:r w:rsidR="004570C1">
        <w:rPr>
          <w:lang w:val="en-GB"/>
        </w:rPr>
        <w:t xml:space="preserve">starting dose of </w:t>
      </w:r>
      <w:r w:rsidR="00FA23ED" w:rsidRPr="007214B1">
        <w:rPr>
          <w:lang w:val="en-GB"/>
        </w:rPr>
        <w:t>160mg per day.</w:t>
      </w:r>
    </w:p>
    <w:p w14:paraId="4FFA75DD" w14:textId="77777777" w:rsidR="00C97DB4" w:rsidRPr="00CE42B4" w:rsidRDefault="00432FED" w:rsidP="00C97DB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the cost minimisation approach </w:t>
      </w:r>
      <w:r w:rsidR="001C349E">
        <w:rPr>
          <w:rFonts w:asciiTheme="minorHAnsi" w:hAnsiTheme="minorHAnsi"/>
          <w:snapToGrid w:val="0"/>
          <w:lang w:val="en-GB"/>
        </w:rPr>
        <w:t>inappropriately</w:t>
      </w:r>
      <w:r>
        <w:rPr>
          <w:rFonts w:asciiTheme="minorHAnsi" w:hAnsiTheme="minorHAnsi"/>
          <w:snapToGrid w:val="0"/>
          <w:lang w:val="en-GB"/>
        </w:rPr>
        <w:t xml:space="preserve"> did not account for differing costs of managing adverse events of regorafenib and trifluridine with tipiracil.</w:t>
      </w:r>
    </w:p>
    <w:p w14:paraId="56887899" w14:textId="77777777" w:rsidR="00C97DB4" w:rsidRPr="00BA75CC" w:rsidRDefault="00743F9B" w:rsidP="00BA75CC">
      <w:pPr>
        <w:widowControl w:val="0"/>
        <w:numPr>
          <w:ilvl w:val="1"/>
          <w:numId w:val="1"/>
        </w:numPr>
        <w:spacing w:after="120"/>
      </w:pPr>
      <w:r>
        <w:rPr>
          <w:rFonts w:asciiTheme="minorHAnsi" w:hAnsiTheme="minorHAnsi"/>
          <w:snapToGrid w:val="0"/>
          <w:lang w:val="en-GB"/>
        </w:rPr>
        <w:t xml:space="preserve">The PBAC considered that the uptake of regorafenib was likely overestimated, given the poor safety profile and </w:t>
      </w:r>
      <w:r w:rsidR="00BA75CC">
        <w:rPr>
          <w:rFonts w:asciiTheme="minorHAnsi" w:hAnsiTheme="minorHAnsi"/>
          <w:snapToGrid w:val="0"/>
          <w:lang w:val="en-GB"/>
        </w:rPr>
        <w:t xml:space="preserve">likely modest effectiveness of regorafenib </w:t>
      </w:r>
      <w:r w:rsidR="004570C1">
        <w:t>after two or more prior therapies in mCRC</w:t>
      </w:r>
      <w:r w:rsidR="00AB0D0A">
        <w:rPr>
          <w:rFonts w:asciiTheme="minorHAnsi" w:hAnsiTheme="minorHAnsi"/>
          <w:snapToGrid w:val="0"/>
          <w:lang w:val="en-GB"/>
        </w:rPr>
        <w:t>. The Committee</w:t>
      </w:r>
      <w:r w:rsidR="00BA75CC">
        <w:rPr>
          <w:rFonts w:asciiTheme="minorHAnsi" w:hAnsiTheme="minorHAnsi"/>
          <w:snapToGrid w:val="0"/>
          <w:lang w:val="en-GB"/>
        </w:rPr>
        <w:t xml:space="preserve"> was of the view that the use of regorafenib would likely be very low in practice if listed on the PBS. </w:t>
      </w:r>
      <w:r w:rsidR="004F2E55" w:rsidRPr="00BA75CC">
        <w:rPr>
          <w:lang w:val="en-GB" w:eastAsia="en-US"/>
        </w:rPr>
        <w:t>The PBAC noted the sponsor had also indicated a willingness to join the trifluridine</w:t>
      </w:r>
      <w:r w:rsidR="001C349E">
        <w:rPr>
          <w:lang w:val="en-GB" w:eastAsia="en-US"/>
        </w:rPr>
        <w:t>/</w:t>
      </w:r>
      <w:r w:rsidR="004F2E55" w:rsidRPr="00BA75CC">
        <w:rPr>
          <w:lang w:val="en-GB" w:eastAsia="en-US"/>
        </w:rPr>
        <w:t>tipiracil Risk Sharing Arrangement.</w:t>
      </w:r>
    </w:p>
    <w:p w14:paraId="4C877334" w14:textId="77777777" w:rsidR="00784E29" w:rsidRPr="00784E29" w:rsidRDefault="00C97DB4" w:rsidP="00784E29">
      <w:pPr>
        <w:widowControl w:val="0"/>
        <w:numPr>
          <w:ilvl w:val="1"/>
          <w:numId w:val="1"/>
        </w:numPr>
        <w:spacing w:after="120"/>
        <w:rPr>
          <w:rFonts w:asciiTheme="minorHAnsi" w:hAnsiTheme="minorHAnsi"/>
          <w:b/>
          <w:bCs/>
          <w:snapToGrid w:val="0"/>
          <w:lang w:val="en-GB"/>
        </w:rPr>
      </w:pPr>
      <w:r w:rsidRPr="00525B39">
        <w:rPr>
          <w:rFonts w:asciiTheme="minorHAnsi" w:hAnsiTheme="minorHAnsi"/>
          <w:bCs/>
          <w:snapToGrid w:val="0"/>
          <w:lang w:val="en-GB"/>
        </w:rPr>
        <w:t xml:space="preserve">The PBAC noted that this submission is for an Independent Review. </w:t>
      </w:r>
    </w:p>
    <w:p w14:paraId="035B61C5" w14:textId="77777777" w:rsidR="00C97DB4" w:rsidRPr="00525B39" w:rsidRDefault="00C97DB4" w:rsidP="00784E29">
      <w:pPr>
        <w:widowControl w:val="0"/>
        <w:spacing w:after="120"/>
        <w:rPr>
          <w:rFonts w:asciiTheme="minorHAnsi" w:hAnsiTheme="minorHAnsi"/>
          <w:b/>
          <w:bCs/>
          <w:snapToGrid w:val="0"/>
          <w:lang w:val="en-GB"/>
        </w:rPr>
      </w:pPr>
      <w:r w:rsidRPr="00525B39">
        <w:rPr>
          <w:rFonts w:asciiTheme="minorHAnsi" w:hAnsiTheme="minorHAnsi"/>
          <w:b/>
          <w:bCs/>
          <w:snapToGrid w:val="0"/>
          <w:lang w:val="en-GB"/>
        </w:rPr>
        <w:t>Outcome:</w:t>
      </w:r>
    </w:p>
    <w:p w14:paraId="34152E3E" w14:textId="7D6C03FC" w:rsidR="00F85828" w:rsidRDefault="00C97DB4" w:rsidP="00AB0E93">
      <w:pPr>
        <w:rPr>
          <w:rFonts w:asciiTheme="minorHAnsi" w:hAnsiTheme="minorHAnsi"/>
          <w:bCs/>
          <w:snapToGrid w:val="0"/>
          <w:lang w:val="en-GB"/>
        </w:rPr>
      </w:pPr>
      <w:r>
        <w:rPr>
          <w:rFonts w:asciiTheme="minorHAnsi" w:hAnsiTheme="minorHAnsi"/>
          <w:bCs/>
          <w:snapToGrid w:val="0"/>
          <w:lang w:val="en-GB"/>
        </w:rPr>
        <w:t>Not recommended</w:t>
      </w:r>
      <w:bookmarkEnd w:id="58"/>
      <w:bookmarkEnd w:id="59"/>
      <w:bookmarkEnd w:id="60"/>
    </w:p>
    <w:p w14:paraId="2B9BC349" w14:textId="77777777" w:rsidR="00F85828" w:rsidRPr="00F85828" w:rsidRDefault="00F85828" w:rsidP="00F85828">
      <w:pPr>
        <w:pStyle w:val="2-SectionHeading"/>
        <w:numPr>
          <w:ilvl w:val="0"/>
          <w:numId w:val="1"/>
        </w:numPr>
      </w:pPr>
      <w:r w:rsidRPr="00C07617">
        <w:t>Context for Decision</w:t>
      </w:r>
    </w:p>
    <w:p w14:paraId="119F9B4B" w14:textId="77777777" w:rsidR="00F85828" w:rsidRPr="007129F2" w:rsidRDefault="00F85828" w:rsidP="00F85828">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3154292" w14:textId="77777777" w:rsidR="00F85828" w:rsidRPr="00F85828" w:rsidRDefault="00F85828" w:rsidP="00F85828">
      <w:pPr>
        <w:pStyle w:val="2-SectionHeading"/>
        <w:numPr>
          <w:ilvl w:val="0"/>
          <w:numId w:val="1"/>
        </w:numPr>
      </w:pPr>
      <w:r>
        <w:t>Sponsor’s Comment</w:t>
      </w:r>
    </w:p>
    <w:p w14:paraId="51A7A8F7" w14:textId="77777777" w:rsidR="00F85828" w:rsidRPr="001179AC" w:rsidRDefault="00804879" w:rsidP="00804879">
      <w:pPr>
        <w:spacing w:after="120"/>
        <w:ind w:left="720"/>
        <w:rPr>
          <w:bCs/>
        </w:rPr>
      </w:pPr>
      <w:r w:rsidRPr="00804879">
        <w:rPr>
          <w:bCs/>
        </w:rPr>
        <w:t>Bayer is disappointed that the Pharmaceutical Benefits Advisory Committee (PBAC) did not recommend the reimbursement of Stivarga® (regorafenib) for the treatment of patients with metastatic colorectal cancer (mCRC).</w:t>
      </w:r>
      <w:r w:rsidR="00EF3207">
        <w:rPr>
          <w:bCs/>
        </w:rPr>
        <w:t xml:space="preserve"> </w:t>
      </w:r>
      <w:r w:rsidR="00EF3207" w:rsidRPr="00EF3207">
        <w:rPr>
          <w:bCs/>
        </w:rPr>
        <w:t>Bayer remains of the view that Stivarga® is an effective treatment option for patients with mCRC and has a manageable adverse events profile, where tolerability can be maintained by dose modifications, while maintaining quality of life.</w:t>
      </w:r>
    </w:p>
    <w:p w14:paraId="2809E1FA" w14:textId="77777777" w:rsidR="00F85828" w:rsidRDefault="00F85828" w:rsidP="00AB0E93">
      <w:pPr>
        <w:rPr>
          <w:b/>
          <w:caps/>
          <w:sz w:val="32"/>
        </w:rPr>
      </w:pPr>
    </w:p>
    <w:sectPr w:rsidR="00F85828" w:rsidSect="00251006">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73F62E" w16cid:durableId="25C31F61"/>
  <w16cid:commentId w16cid:paraId="74379F50" w16cid:durableId="25C31F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2784C" w14:textId="77777777" w:rsidR="00B13D7E" w:rsidRDefault="00B13D7E" w:rsidP="00124A51">
      <w:r>
        <w:separator/>
      </w:r>
    </w:p>
    <w:p w14:paraId="361DE350" w14:textId="77777777" w:rsidR="00B13D7E" w:rsidRDefault="00B13D7E"/>
  </w:endnote>
  <w:endnote w:type="continuationSeparator" w:id="0">
    <w:p w14:paraId="0C3E5D28" w14:textId="77777777" w:rsidR="00B13D7E" w:rsidRDefault="00B13D7E" w:rsidP="00124A51">
      <w:r>
        <w:continuationSeparator/>
      </w:r>
    </w:p>
    <w:p w14:paraId="4F887DA1" w14:textId="77777777" w:rsidR="00B13D7E" w:rsidRDefault="00B13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FF42F" w14:textId="77777777" w:rsidR="00A22FC3" w:rsidRDefault="00A22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1F3C5" w14:textId="77777777" w:rsidR="00B13D7E" w:rsidRDefault="00B13D7E">
    <w:pPr>
      <w:pStyle w:val="Footer"/>
      <w:jc w:val="center"/>
    </w:pPr>
  </w:p>
  <w:p w14:paraId="25B1AA4E" w14:textId="102D00B1" w:rsidR="00B13D7E" w:rsidRPr="00AB0E93" w:rsidRDefault="00BC502B">
    <w:pPr>
      <w:pStyle w:val="Footer"/>
      <w:jc w:val="center"/>
      <w:rPr>
        <w:b/>
      </w:rPr>
    </w:pPr>
    <w:sdt>
      <w:sdtPr>
        <w:id w:val="-713969253"/>
        <w:docPartObj>
          <w:docPartGallery w:val="Page Numbers (Bottom of Page)"/>
          <w:docPartUnique/>
        </w:docPartObj>
      </w:sdtPr>
      <w:sdtEndPr>
        <w:rPr>
          <w:b/>
          <w:noProof/>
        </w:rPr>
      </w:sdtEndPr>
      <w:sdtContent>
        <w:r w:rsidR="00B13D7E" w:rsidRPr="00AB0E93">
          <w:rPr>
            <w:b/>
          </w:rPr>
          <w:fldChar w:fldCharType="begin"/>
        </w:r>
        <w:r w:rsidR="00B13D7E" w:rsidRPr="00AB0E93">
          <w:rPr>
            <w:b/>
          </w:rPr>
          <w:instrText xml:space="preserve"> PAGE   \* MERGEFORMAT </w:instrText>
        </w:r>
        <w:r w:rsidR="00B13D7E" w:rsidRPr="00AB0E93">
          <w:rPr>
            <w:b/>
          </w:rPr>
          <w:fldChar w:fldCharType="separate"/>
        </w:r>
        <w:r>
          <w:rPr>
            <w:b/>
            <w:noProof/>
          </w:rPr>
          <w:t>23</w:t>
        </w:r>
        <w:r w:rsidR="00B13D7E" w:rsidRPr="00AB0E93">
          <w:rPr>
            <w:b/>
            <w:noProof/>
          </w:rPr>
          <w:fldChar w:fldCharType="end"/>
        </w:r>
      </w:sdtContent>
    </w:sdt>
  </w:p>
  <w:p w14:paraId="2BDF2EBB" w14:textId="77777777" w:rsidR="00B13D7E" w:rsidRPr="008705DE" w:rsidRDefault="00B13D7E" w:rsidP="008705DE">
    <w:pPr>
      <w:tabs>
        <w:tab w:val="right" w:pos="9072"/>
      </w:tabs>
      <w:autoSpaceDE w:val="0"/>
      <w:autoSpaceDN w:val="0"/>
      <w:adjustRightInd w:val="0"/>
      <w:ind w:left="709"/>
      <w:jc w:val="center"/>
      <w:rPr>
        <w:rFonts w:cs="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0ACA" w14:textId="77777777" w:rsidR="00A22FC3" w:rsidRDefault="00A22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C29A9" w14:textId="77777777" w:rsidR="00B13D7E" w:rsidRDefault="00B13D7E" w:rsidP="00124A51">
      <w:r>
        <w:separator/>
      </w:r>
    </w:p>
    <w:p w14:paraId="28470C17" w14:textId="77777777" w:rsidR="00B13D7E" w:rsidRDefault="00B13D7E"/>
  </w:footnote>
  <w:footnote w:type="continuationSeparator" w:id="0">
    <w:p w14:paraId="624E3EF2" w14:textId="77777777" w:rsidR="00B13D7E" w:rsidRDefault="00B13D7E" w:rsidP="00124A51">
      <w:r>
        <w:continuationSeparator/>
      </w:r>
    </w:p>
    <w:p w14:paraId="6ED1C625" w14:textId="77777777" w:rsidR="00B13D7E" w:rsidRDefault="00B13D7E"/>
  </w:footnote>
  <w:footnote w:id="1">
    <w:p w14:paraId="48C28CF8" w14:textId="77777777" w:rsidR="00B13D7E" w:rsidRDefault="00B13D7E" w:rsidP="00B935AA">
      <w:pPr>
        <w:pStyle w:val="FootnoteText"/>
      </w:pPr>
      <w:r>
        <w:rPr>
          <w:rStyle w:val="FootnoteReference"/>
        </w:rPr>
        <w:footnoteRef/>
      </w:r>
      <w:r>
        <w:t xml:space="preserve"> </w:t>
      </w:r>
      <w:r w:rsidRPr="00446D9A">
        <w:t>T. J., Jacobs, N. L., Pasche, B. C., Cleary, J. M., Meyers, J. P., Desnoyers, R. J., McCune, J. S., Pedersen, K., Barzi, A., Chiorean, E. G., Sloan, J., Lacouture, M. E., Lenz, H. J., &amp; Grothey, A. (2019). Regorafenib dose-optimisation in patients with refractory metastatic colorectal cancer (ReDOS): a randomised, multicentre, open-label, phase 2 study. The Lancet. Oncology, 20(8), 1070–1082. https://doi.org/10.1016/S1470-2045(19)30272-4</w:t>
      </w:r>
    </w:p>
  </w:footnote>
  <w:footnote w:id="2">
    <w:p w14:paraId="6AA6E879" w14:textId="77777777" w:rsidR="00B13D7E" w:rsidRDefault="00B13D7E" w:rsidP="00B935AA">
      <w:pPr>
        <w:pStyle w:val="FootnoteText"/>
      </w:pPr>
      <w:r>
        <w:rPr>
          <w:rStyle w:val="FootnoteReference"/>
        </w:rPr>
        <w:footnoteRef/>
      </w:r>
      <w:r>
        <w:t xml:space="preserve"> </w:t>
      </w:r>
      <w:r w:rsidRPr="00B871B8">
        <w:t>Zhao B., Zhao H. Incidence and risk of regorafenib-induced hepatotoxicity. Oncotarget. 2017; 8: 84102-84111.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D672" w14:textId="77777777" w:rsidR="00A22FC3" w:rsidRDefault="00A22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BFB51" w14:textId="77777777" w:rsidR="00B13D7E" w:rsidRPr="00056684" w:rsidRDefault="00B13D7E" w:rsidP="00AB0E93">
    <w:pPr>
      <w:pStyle w:val="Header"/>
      <w:ind w:left="360"/>
      <w:rPr>
        <w:rFonts w:asciiTheme="minorHAnsi" w:hAnsiTheme="minorHAnsi"/>
        <w:i/>
        <w:color w:val="808080"/>
      </w:rPr>
    </w:pPr>
    <w:bookmarkStart w:id="61" w:name="_Hlk76375146"/>
    <w:r w:rsidRPr="00F85828">
      <w:rPr>
        <w:rFonts w:asciiTheme="minorHAnsi" w:hAnsiTheme="minorHAnsi"/>
        <w:i/>
        <w:color w:val="808080"/>
      </w:rPr>
      <w:t>Public Summary Document</w:t>
    </w:r>
    <w:r w:rsidRPr="00F85828" w:rsidDel="00F85828">
      <w:rPr>
        <w:rFonts w:asciiTheme="minorHAnsi" w:hAnsiTheme="minorHAnsi"/>
        <w:i/>
        <w:color w:val="808080"/>
      </w:rPr>
      <w:t xml:space="preserve"> </w:t>
    </w:r>
    <w:r w:rsidRPr="00056684">
      <w:rPr>
        <w:rFonts w:asciiTheme="minorHAnsi" w:hAnsiTheme="minorHAnsi"/>
        <w:i/>
        <w:color w:val="808080"/>
      </w:rPr>
      <w:t xml:space="preserve">– </w:t>
    </w:r>
    <w:r>
      <w:rPr>
        <w:rFonts w:asciiTheme="minorHAnsi" w:hAnsiTheme="minorHAnsi"/>
        <w:i/>
        <w:color w:val="808080"/>
      </w:rPr>
      <w:t>November 2021</w:t>
    </w:r>
    <w:r w:rsidRPr="00056684">
      <w:rPr>
        <w:rFonts w:asciiTheme="minorHAnsi" w:hAnsiTheme="minorHAnsi"/>
        <w:i/>
        <w:color w:val="808080"/>
      </w:rPr>
      <w:t xml:space="preserve"> PBAC Meeting</w:t>
    </w:r>
  </w:p>
  <w:bookmarkEnd w:id="61"/>
  <w:p w14:paraId="3C655387" w14:textId="77777777" w:rsidR="00B13D7E" w:rsidRDefault="00B13D7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E9337" w14:textId="77777777" w:rsidR="00A22FC3" w:rsidRDefault="00A22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7E264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0E7478"/>
    <w:multiLevelType w:val="hybridMultilevel"/>
    <w:tmpl w:val="D2E09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001BC7"/>
    <w:multiLevelType w:val="hybridMultilevel"/>
    <w:tmpl w:val="FD22C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5CE44E8"/>
    <w:multiLevelType w:val="hybridMultilevel"/>
    <w:tmpl w:val="77962F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2B53CBC"/>
    <w:multiLevelType w:val="hybridMultilevel"/>
    <w:tmpl w:val="63DC6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B6274A"/>
    <w:multiLevelType w:val="hybridMultilevel"/>
    <w:tmpl w:val="E07A47CC"/>
    <w:lvl w:ilvl="0" w:tplc="E1B6BF4A">
      <w:start w:val="1"/>
      <w:numFmt w:val="decimal"/>
      <w:lvlText w:val="%1."/>
      <w:lvlJc w:val="left"/>
      <w:pPr>
        <w:ind w:left="1778"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3A2D9F"/>
    <w:multiLevelType w:val="hybridMultilevel"/>
    <w:tmpl w:val="E31EB7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91064C"/>
    <w:multiLevelType w:val="hybridMultilevel"/>
    <w:tmpl w:val="65A03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53D66"/>
    <w:multiLevelType w:val="hybridMultilevel"/>
    <w:tmpl w:val="760E8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36E1"/>
    <w:multiLevelType w:val="hybridMultilevel"/>
    <w:tmpl w:val="A0566B6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E1007B"/>
    <w:multiLevelType w:val="hybridMultilevel"/>
    <w:tmpl w:val="16063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544D19"/>
    <w:multiLevelType w:val="hybridMultilevel"/>
    <w:tmpl w:val="255A6E90"/>
    <w:lvl w:ilvl="0" w:tplc="5F6ABFBA">
      <w:start w:val="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start w:val="1"/>
      <w:numFmt w:val="decimal"/>
      <w:lvlText w:val="%4."/>
      <w:lvlJc w:val="left"/>
      <w:pPr>
        <w:ind w:left="2989" w:hanging="360"/>
      </w:pPr>
    </w:lvl>
    <w:lvl w:ilvl="4" w:tplc="0C090019">
      <w:start w:val="1"/>
      <w:numFmt w:val="lowerLetter"/>
      <w:lvlText w:val="%5."/>
      <w:lvlJc w:val="left"/>
      <w:pPr>
        <w:ind w:left="3709" w:hanging="360"/>
      </w:pPr>
    </w:lvl>
    <w:lvl w:ilvl="5" w:tplc="0C09001B">
      <w:start w:val="1"/>
      <w:numFmt w:val="lowerRoman"/>
      <w:lvlText w:val="%6."/>
      <w:lvlJc w:val="right"/>
      <w:pPr>
        <w:ind w:left="4429" w:hanging="180"/>
      </w:pPr>
    </w:lvl>
    <w:lvl w:ilvl="6" w:tplc="0C09000F">
      <w:start w:val="1"/>
      <w:numFmt w:val="decimal"/>
      <w:lvlText w:val="%7."/>
      <w:lvlJc w:val="left"/>
      <w:pPr>
        <w:ind w:left="5149" w:hanging="360"/>
      </w:pPr>
    </w:lvl>
    <w:lvl w:ilvl="7" w:tplc="0C090019">
      <w:start w:val="1"/>
      <w:numFmt w:val="lowerLetter"/>
      <w:lvlText w:val="%8."/>
      <w:lvlJc w:val="left"/>
      <w:pPr>
        <w:ind w:left="5869" w:hanging="360"/>
      </w:pPr>
    </w:lvl>
    <w:lvl w:ilvl="8" w:tplc="0C09001B">
      <w:start w:val="1"/>
      <w:numFmt w:val="lowerRoman"/>
      <w:lvlText w:val="%9."/>
      <w:lvlJc w:val="right"/>
      <w:pPr>
        <w:ind w:left="6589" w:hanging="180"/>
      </w:pPr>
    </w:lvl>
  </w:abstractNum>
  <w:num w:numId="1">
    <w:abstractNumId w:val="23"/>
  </w:num>
  <w:num w:numId="2">
    <w:abstractNumId w:val="13"/>
  </w:num>
  <w:num w:numId="3">
    <w:abstractNumId w:val="15"/>
  </w:num>
  <w:num w:numId="4">
    <w:abstractNumId w:val="0"/>
  </w:num>
  <w:num w:numId="5">
    <w:abstractNumId w:val="23"/>
  </w:num>
  <w:num w:numId="6">
    <w:abstractNumId w:val="16"/>
  </w:num>
  <w:num w:numId="7">
    <w:abstractNumId w:val="4"/>
  </w:num>
  <w:num w:numId="8">
    <w:abstractNumId w:val="5"/>
  </w:num>
  <w:num w:numId="9">
    <w:abstractNumId w:val="12"/>
  </w:num>
  <w:num w:numId="10">
    <w:abstractNumId w:val="20"/>
  </w:num>
  <w:num w:numId="11">
    <w:abstractNumId w:val="14"/>
  </w:num>
  <w:num w:numId="12">
    <w:abstractNumId w:val="2"/>
  </w:num>
  <w:num w:numId="13">
    <w:abstractNumId w:val="24"/>
  </w:num>
  <w:num w:numId="14">
    <w:abstractNumId w:val="17"/>
  </w:num>
  <w:num w:numId="15">
    <w:abstractNumId w:val="1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8"/>
  </w:num>
  <w:num w:numId="20">
    <w:abstractNumId w:val="19"/>
  </w:num>
  <w:num w:numId="21">
    <w:abstractNumId w:val="3"/>
  </w:num>
  <w:num w:numId="22">
    <w:abstractNumId w:val="1"/>
  </w:num>
  <w:num w:numId="23">
    <w:abstractNumId w:val="9"/>
  </w:num>
  <w:num w:numId="24">
    <w:abstractNumId w:val="10"/>
  </w:num>
  <w:num w:numId="25">
    <w:abstractNumId w:val="7"/>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3"/>
  </w:num>
  <w:num w:numId="29">
    <w:abstractNumId w:val="23"/>
  </w:num>
  <w:num w:numId="30">
    <w:abstractNumId w:val="23"/>
  </w:num>
  <w:num w:numId="3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0E7"/>
    <w:rsid w:val="00003499"/>
    <w:rsid w:val="000039B7"/>
    <w:rsid w:val="000042A7"/>
    <w:rsid w:val="0000639A"/>
    <w:rsid w:val="00007DED"/>
    <w:rsid w:val="00012C50"/>
    <w:rsid w:val="00013247"/>
    <w:rsid w:val="00015886"/>
    <w:rsid w:val="000162EF"/>
    <w:rsid w:val="00017AD6"/>
    <w:rsid w:val="000207C9"/>
    <w:rsid w:val="0002225F"/>
    <w:rsid w:val="00023763"/>
    <w:rsid w:val="000274B8"/>
    <w:rsid w:val="00027E8B"/>
    <w:rsid w:val="00030C95"/>
    <w:rsid w:val="00032AD2"/>
    <w:rsid w:val="000334ED"/>
    <w:rsid w:val="00033863"/>
    <w:rsid w:val="00035DC0"/>
    <w:rsid w:val="00036829"/>
    <w:rsid w:val="0004071B"/>
    <w:rsid w:val="00040895"/>
    <w:rsid w:val="000415C0"/>
    <w:rsid w:val="000435EE"/>
    <w:rsid w:val="00043C37"/>
    <w:rsid w:val="00045017"/>
    <w:rsid w:val="00045A2B"/>
    <w:rsid w:val="000468C1"/>
    <w:rsid w:val="0004698F"/>
    <w:rsid w:val="000539D0"/>
    <w:rsid w:val="00054621"/>
    <w:rsid w:val="000546D7"/>
    <w:rsid w:val="00056432"/>
    <w:rsid w:val="00056B5E"/>
    <w:rsid w:val="00056ECF"/>
    <w:rsid w:val="0006021D"/>
    <w:rsid w:val="000604DF"/>
    <w:rsid w:val="00063051"/>
    <w:rsid w:val="000653B5"/>
    <w:rsid w:val="00066360"/>
    <w:rsid w:val="00066AF8"/>
    <w:rsid w:val="00067723"/>
    <w:rsid w:val="00071248"/>
    <w:rsid w:val="000720B9"/>
    <w:rsid w:val="000727F0"/>
    <w:rsid w:val="000737F7"/>
    <w:rsid w:val="00074806"/>
    <w:rsid w:val="0007672F"/>
    <w:rsid w:val="00076B54"/>
    <w:rsid w:val="000774F0"/>
    <w:rsid w:val="00080909"/>
    <w:rsid w:val="000812CA"/>
    <w:rsid w:val="00081E63"/>
    <w:rsid w:val="0008258D"/>
    <w:rsid w:val="00083762"/>
    <w:rsid w:val="00083E99"/>
    <w:rsid w:val="000843D4"/>
    <w:rsid w:val="00084FA8"/>
    <w:rsid w:val="000856C5"/>
    <w:rsid w:val="00085C31"/>
    <w:rsid w:val="00085DDA"/>
    <w:rsid w:val="00090024"/>
    <w:rsid w:val="000902D9"/>
    <w:rsid w:val="000905EE"/>
    <w:rsid w:val="00090891"/>
    <w:rsid w:val="00090C7E"/>
    <w:rsid w:val="00092600"/>
    <w:rsid w:val="0009262B"/>
    <w:rsid w:val="00092A24"/>
    <w:rsid w:val="00093310"/>
    <w:rsid w:val="00093533"/>
    <w:rsid w:val="0009445C"/>
    <w:rsid w:val="00095200"/>
    <w:rsid w:val="00095FE5"/>
    <w:rsid w:val="00096284"/>
    <w:rsid w:val="00097815"/>
    <w:rsid w:val="000A1BC0"/>
    <w:rsid w:val="000A3576"/>
    <w:rsid w:val="000A542E"/>
    <w:rsid w:val="000A6039"/>
    <w:rsid w:val="000A7453"/>
    <w:rsid w:val="000A76AF"/>
    <w:rsid w:val="000A7D08"/>
    <w:rsid w:val="000A7E80"/>
    <w:rsid w:val="000B0121"/>
    <w:rsid w:val="000B049A"/>
    <w:rsid w:val="000B0670"/>
    <w:rsid w:val="000B0E75"/>
    <w:rsid w:val="000B2DCB"/>
    <w:rsid w:val="000B3FD7"/>
    <w:rsid w:val="000B5CE0"/>
    <w:rsid w:val="000B61BB"/>
    <w:rsid w:val="000B6CAC"/>
    <w:rsid w:val="000B7612"/>
    <w:rsid w:val="000B78AE"/>
    <w:rsid w:val="000C0CED"/>
    <w:rsid w:val="000C3DF9"/>
    <w:rsid w:val="000C6713"/>
    <w:rsid w:val="000C7C3B"/>
    <w:rsid w:val="000D0F1C"/>
    <w:rsid w:val="000D1BFC"/>
    <w:rsid w:val="000D1D5D"/>
    <w:rsid w:val="000D281A"/>
    <w:rsid w:val="000D2848"/>
    <w:rsid w:val="000D29FF"/>
    <w:rsid w:val="000D326A"/>
    <w:rsid w:val="000D51FB"/>
    <w:rsid w:val="000D6621"/>
    <w:rsid w:val="000E0640"/>
    <w:rsid w:val="000E135D"/>
    <w:rsid w:val="000E1FC2"/>
    <w:rsid w:val="000E588E"/>
    <w:rsid w:val="000E6801"/>
    <w:rsid w:val="000E797E"/>
    <w:rsid w:val="000F00BA"/>
    <w:rsid w:val="000F12E0"/>
    <w:rsid w:val="000F316A"/>
    <w:rsid w:val="000F3C74"/>
    <w:rsid w:val="000F4BB8"/>
    <w:rsid w:val="000F4FA9"/>
    <w:rsid w:val="000F53FB"/>
    <w:rsid w:val="000F6D13"/>
    <w:rsid w:val="000F7127"/>
    <w:rsid w:val="000F7B54"/>
    <w:rsid w:val="00100F8A"/>
    <w:rsid w:val="001027E7"/>
    <w:rsid w:val="001038EF"/>
    <w:rsid w:val="0010452E"/>
    <w:rsid w:val="00104DFA"/>
    <w:rsid w:val="00104EB1"/>
    <w:rsid w:val="00105AE2"/>
    <w:rsid w:val="001060C6"/>
    <w:rsid w:val="00106B80"/>
    <w:rsid w:val="0011032E"/>
    <w:rsid w:val="00113442"/>
    <w:rsid w:val="0011348B"/>
    <w:rsid w:val="00115982"/>
    <w:rsid w:val="00116C53"/>
    <w:rsid w:val="00116C8C"/>
    <w:rsid w:val="00117050"/>
    <w:rsid w:val="001171D5"/>
    <w:rsid w:val="00121799"/>
    <w:rsid w:val="001222FC"/>
    <w:rsid w:val="00122A54"/>
    <w:rsid w:val="0012332C"/>
    <w:rsid w:val="00123902"/>
    <w:rsid w:val="00123940"/>
    <w:rsid w:val="00124A51"/>
    <w:rsid w:val="0012524A"/>
    <w:rsid w:val="00126621"/>
    <w:rsid w:val="00126B1D"/>
    <w:rsid w:val="001270AA"/>
    <w:rsid w:val="001301E9"/>
    <w:rsid w:val="00131634"/>
    <w:rsid w:val="00131D82"/>
    <w:rsid w:val="00132B22"/>
    <w:rsid w:val="00133D36"/>
    <w:rsid w:val="00133D78"/>
    <w:rsid w:val="0013439F"/>
    <w:rsid w:val="0013723B"/>
    <w:rsid w:val="00137645"/>
    <w:rsid w:val="0014015A"/>
    <w:rsid w:val="00140C7E"/>
    <w:rsid w:val="00140E99"/>
    <w:rsid w:val="00143F67"/>
    <w:rsid w:val="00145540"/>
    <w:rsid w:val="001456B0"/>
    <w:rsid w:val="00147E77"/>
    <w:rsid w:val="00147FD3"/>
    <w:rsid w:val="00156F8F"/>
    <w:rsid w:val="00157130"/>
    <w:rsid w:val="001576B1"/>
    <w:rsid w:val="0016047B"/>
    <w:rsid w:val="00160A4C"/>
    <w:rsid w:val="00161912"/>
    <w:rsid w:val="00162913"/>
    <w:rsid w:val="001632DD"/>
    <w:rsid w:val="00163EA8"/>
    <w:rsid w:val="00163EFF"/>
    <w:rsid w:val="00163F66"/>
    <w:rsid w:val="00165DE4"/>
    <w:rsid w:val="001661FB"/>
    <w:rsid w:val="001671A0"/>
    <w:rsid w:val="0016767F"/>
    <w:rsid w:val="00167F40"/>
    <w:rsid w:val="00170FD6"/>
    <w:rsid w:val="00173565"/>
    <w:rsid w:val="00173B07"/>
    <w:rsid w:val="001751FA"/>
    <w:rsid w:val="0017667C"/>
    <w:rsid w:val="00177C5A"/>
    <w:rsid w:val="00180D0D"/>
    <w:rsid w:val="00181D9C"/>
    <w:rsid w:val="00183839"/>
    <w:rsid w:val="00184B0E"/>
    <w:rsid w:val="00185D2F"/>
    <w:rsid w:val="0018752F"/>
    <w:rsid w:val="00193838"/>
    <w:rsid w:val="00193A79"/>
    <w:rsid w:val="00194AD8"/>
    <w:rsid w:val="00195222"/>
    <w:rsid w:val="001975D8"/>
    <w:rsid w:val="001A178E"/>
    <w:rsid w:val="001A43FA"/>
    <w:rsid w:val="001A47C5"/>
    <w:rsid w:val="001A59FB"/>
    <w:rsid w:val="001A5E9E"/>
    <w:rsid w:val="001A6354"/>
    <w:rsid w:val="001A6366"/>
    <w:rsid w:val="001A7AE8"/>
    <w:rsid w:val="001B204E"/>
    <w:rsid w:val="001B2372"/>
    <w:rsid w:val="001B3443"/>
    <w:rsid w:val="001B4D20"/>
    <w:rsid w:val="001C2A9B"/>
    <w:rsid w:val="001C349E"/>
    <w:rsid w:val="001C4299"/>
    <w:rsid w:val="001C4874"/>
    <w:rsid w:val="001C4EA7"/>
    <w:rsid w:val="001C51A7"/>
    <w:rsid w:val="001C5F94"/>
    <w:rsid w:val="001C6543"/>
    <w:rsid w:val="001C6BB9"/>
    <w:rsid w:val="001C6E66"/>
    <w:rsid w:val="001D1100"/>
    <w:rsid w:val="001D1391"/>
    <w:rsid w:val="001D25D7"/>
    <w:rsid w:val="001D2FDF"/>
    <w:rsid w:val="001D50B2"/>
    <w:rsid w:val="001D7645"/>
    <w:rsid w:val="001D77F7"/>
    <w:rsid w:val="001E099B"/>
    <w:rsid w:val="001E1942"/>
    <w:rsid w:val="001E1E86"/>
    <w:rsid w:val="001E238E"/>
    <w:rsid w:val="001E2483"/>
    <w:rsid w:val="001E2B1E"/>
    <w:rsid w:val="001E2CFF"/>
    <w:rsid w:val="001E2F24"/>
    <w:rsid w:val="001E30D4"/>
    <w:rsid w:val="001E34DF"/>
    <w:rsid w:val="001E52EB"/>
    <w:rsid w:val="001E61D2"/>
    <w:rsid w:val="001E740C"/>
    <w:rsid w:val="001F112B"/>
    <w:rsid w:val="001F1235"/>
    <w:rsid w:val="001F1CB3"/>
    <w:rsid w:val="001F38B5"/>
    <w:rsid w:val="001F4081"/>
    <w:rsid w:val="001F4DCB"/>
    <w:rsid w:val="001F6BC4"/>
    <w:rsid w:val="001F7361"/>
    <w:rsid w:val="002011B0"/>
    <w:rsid w:val="00203181"/>
    <w:rsid w:val="00203783"/>
    <w:rsid w:val="0020385F"/>
    <w:rsid w:val="0020678A"/>
    <w:rsid w:val="002068A0"/>
    <w:rsid w:val="00207021"/>
    <w:rsid w:val="0020732F"/>
    <w:rsid w:val="00207D00"/>
    <w:rsid w:val="002105C1"/>
    <w:rsid w:val="00213EF5"/>
    <w:rsid w:val="00216BF5"/>
    <w:rsid w:val="00216E5E"/>
    <w:rsid w:val="00223B49"/>
    <w:rsid w:val="00223D5A"/>
    <w:rsid w:val="00224DD4"/>
    <w:rsid w:val="00225792"/>
    <w:rsid w:val="0022658E"/>
    <w:rsid w:val="002278A0"/>
    <w:rsid w:val="002309CC"/>
    <w:rsid w:val="0023209F"/>
    <w:rsid w:val="00232CB2"/>
    <w:rsid w:val="00233C01"/>
    <w:rsid w:val="0023413C"/>
    <w:rsid w:val="002346F0"/>
    <w:rsid w:val="002350E7"/>
    <w:rsid w:val="00235EB7"/>
    <w:rsid w:val="0023629D"/>
    <w:rsid w:val="00236F15"/>
    <w:rsid w:val="00237255"/>
    <w:rsid w:val="002406BE"/>
    <w:rsid w:val="002424AF"/>
    <w:rsid w:val="00242E58"/>
    <w:rsid w:val="002439DC"/>
    <w:rsid w:val="002441D2"/>
    <w:rsid w:val="002444FC"/>
    <w:rsid w:val="00244DC8"/>
    <w:rsid w:val="002458BA"/>
    <w:rsid w:val="00245CE9"/>
    <w:rsid w:val="0024636C"/>
    <w:rsid w:val="00247925"/>
    <w:rsid w:val="00251006"/>
    <w:rsid w:val="002524D5"/>
    <w:rsid w:val="00253B1D"/>
    <w:rsid w:val="00254202"/>
    <w:rsid w:val="00254DCF"/>
    <w:rsid w:val="0025534B"/>
    <w:rsid w:val="00255BB7"/>
    <w:rsid w:val="00257541"/>
    <w:rsid w:val="00257A39"/>
    <w:rsid w:val="00257AC4"/>
    <w:rsid w:val="00261EEF"/>
    <w:rsid w:val="00262480"/>
    <w:rsid w:val="00262A1A"/>
    <w:rsid w:val="00262A87"/>
    <w:rsid w:val="00264A4B"/>
    <w:rsid w:val="00264CE1"/>
    <w:rsid w:val="00264D26"/>
    <w:rsid w:val="00267642"/>
    <w:rsid w:val="00267AEA"/>
    <w:rsid w:val="002700E6"/>
    <w:rsid w:val="002724BA"/>
    <w:rsid w:val="0027294B"/>
    <w:rsid w:val="00272B2C"/>
    <w:rsid w:val="00273EB4"/>
    <w:rsid w:val="00274682"/>
    <w:rsid w:val="00275C5A"/>
    <w:rsid w:val="002763A2"/>
    <w:rsid w:val="00281014"/>
    <w:rsid w:val="0028665D"/>
    <w:rsid w:val="00290BB0"/>
    <w:rsid w:val="00293569"/>
    <w:rsid w:val="0029640B"/>
    <w:rsid w:val="002964B0"/>
    <w:rsid w:val="002A0DEC"/>
    <w:rsid w:val="002A0DF7"/>
    <w:rsid w:val="002A14AB"/>
    <w:rsid w:val="002A1611"/>
    <w:rsid w:val="002A1C8E"/>
    <w:rsid w:val="002A2ADE"/>
    <w:rsid w:val="002A2F50"/>
    <w:rsid w:val="002A4087"/>
    <w:rsid w:val="002A69A2"/>
    <w:rsid w:val="002A6D7A"/>
    <w:rsid w:val="002B05A1"/>
    <w:rsid w:val="002B09A4"/>
    <w:rsid w:val="002B1C1F"/>
    <w:rsid w:val="002B432F"/>
    <w:rsid w:val="002B4850"/>
    <w:rsid w:val="002B62B3"/>
    <w:rsid w:val="002B6754"/>
    <w:rsid w:val="002B6CCE"/>
    <w:rsid w:val="002C05F9"/>
    <w:rsid w:val="002C2510"/>
    <w:rsid w:val="002C2775"/>
    <w:rsid w:val="002C27C1"/>
    <w:rsid w:val="002C4D94"/>
    <w:rsid w:val="002C5099"/>
    <w:rsid w:val="002C5889"/>
    <w:rsid w:val="002C616F"/>
    <w:rsid w:val="002C6476"/>
    <w:rsid w:val="002C686C"/>
    <w:rsid w:val="002C71CE"/>
    <w:rsid w:val="002D0097"/>
    <w:rsid w:val="002D08F8"/>
    <w:rsid w:val="002D577C"/>
    <w:rsid w:val="002D73F5"/>
    <w:rsid w:val="002E0D62"/>
    <w:rsid w:val="002E1071"/>
    <w:rsid w:val="002E15B9"/>
    <w:rsid w:val="002E2158"/>
    <w:rsid w:val="002E35D6"/>
    <w:rsid w:val="002E4F02"/>
    <w:rsid w:val="002E7722"/>
    <w:rsid w:val="002F07BA"/>
    <w:rsid w:val="002F0DA9"/>
    <w:rsid w:val="002F1014"/>
    <w:rsid w:val="002F643C"/>
    <w:rsid w:val="002F71C0"/>
    <w:rsid w:val="002F74F1"/>
    <w:rsid w:val="00300D2B"/>
    <w:rsid w:val="00301017"/>
    <w:rsid w:val="0030155F"/>
    <w:rsid w:val="0030237A"/>
    <w:rsid w:val="0030587B"/>
    <w:rsid w:val="00306D98"/>
    <w:rsid w:val="0030786C"/>
    <w:rsid w:val="0031031A"/>
    <w:rsid w:val="00310981"/>
    <w:rsid w:val="00310CB2"/>
    <w:rsid w:val="00311BC0"/>
    <w:rsid w:val="003124D9"/>
    <w:rsid w:val="00312594"/>
    <w:rsid w:val="00315498"/>
    <w:rsid w:val="00316474"/>
    <w:rsid w:val="00322107"/>
    <w:rsid w:val="00322355"/>
    <w:rsid w:val="00322846"/>
    <w:rsid w:val="00323520"/>
    <w:rsid w:val="003258E0"/>
    <w:rsid w:val="00326DA7"/>
    <w:rsid w:val="003270E4"/>
    <w:rsid w:val="0033051C"/>
    <w:rsid w:val="00330DAA"/>
    <w:rsid w:val="00330F5C"/>
    <w:rsid w:val="00331F1C"/>
    <w:rsid w:val="00334E06"/>
    <w:rsid w:val="003366C9"/>
    <w:rsid w:val="003371B0"/>
    <w:rsid w:val="00337568"/>
    <w:rsid w:val="00337649"/>
    <w:rsid w:val="00340DF1"/>
    <w:rsid w:val="00343346"/>
    <w:rsid w:val="003437E6"/>
    <w:rsid w:val="00345D8A"/>
    <w:rsid w:val="003501EE"/>
    <w:rsid w:val="003517F9"/>
    <w:rsid w:val="00351BA9"/>
    <w:rsid w:val="003544E6"/>
    <w:rsid w:val="00354942"/>
    <w:rsid w:val="00354F64"/>
    <w:rsid w:val="0035620E"/>
    <w:rsid w:val="00360345"/>
    <w:rsid w:val="00361A05"/>
    <w:rsid w:val="003624C4"/>
    <w:rsid w:val="00362D8D"/>
    <w:rsid w:val="00363B00"/>
    <w:rsid w:val="003654AC"/>
    <w:rsid w:val="00366730"/>
    <w:rsid w:val="003710CF"/>
    <w:rsid w:val="0037358A"/>
    <w:rsid w:val="003750F6"/>
    <w:rsid w:val="003760FC"/>
    <w:rsid w:val="00377F6C"/>
    <w:rsid w:val="0038365C"/>
    <w:rsid w:val="0038369B"/>
    <w:rsid w:val="00383B78"/>
    <w:rsid w:val="00385A9D"/>
    <w:rsid w:val="00387771"/>
    <w:rsid w:val="003902B1"/>
    <w:rsid w:val="0039179C"/>
    <w:rsid w:val="00391D3A"/>
    <w:rsid w:val="00392C45"/>
    <w:rsid w:val="00392C7D"/>
    <w:rsid w:val="00393D20"/>
    <w:rsid w:val="00393E5B"/>
    <w:rsid w:val="00395D06"/>
    <w:rsid w:val="00396896"/>
    <w:rsid w:val="00396FD0"/>
    <w:rsid w:val="00397BE8"/>
    <w:rsid w:val="003A1A7A"/>
    <w:rsid w:val="003A2392"/>
    <w:rsid w:val="003A2831"/>
    <w:rsid w:val="003A3CB6"/>
    <w:rsid w:val="003A3ED1"/>
    <w:rsid w:val="003A414F"/>
    <w:rsid w:val="003A44DB"/>
    <w:rsid w:val="003A4B6C"/>
    <w:rsid w:val="003A5A4C"/>
    <w:rsid w:val="003A6B97"/>
    <w:rsid w:val="003A6E90"/>
    <w:rsid w:val="003B2AF7"/>
    <w:rsid w:val="003B3971"/>
    <w:rsid w:val="003B437E"/>
    <w:rsid w:val="003B4820"/>
    <w:rsid w:val="003B55D1"/>
    <w:rsid w:val="003B5B61"/>
    <w:rsid w:val="003C0E64"/>
    <w:rsid w:val="003C1654"/>
    <w:rsid w:val="003C2B82"/>
    <w:rsid w:val="003C5542"/>
    <w:rsid w:val="003C67EA"/>
    <w:rsid w:val="003C73C7"/>
    <w:rsid w:val="003C7D19"/>
    <w:rsid w:val="003C7D2F"/>
    <w:rsid w:val="003D1828"/>
    <w:rsid w:val="003D1885"/>
    <w:rsid w:val="003D1DE4"/>
    <w:rsid w:val="003D1E9A"/>
    <w:rsid w:val="003D2422"/>
    <w:rsid w:val="003D39A1"/>
    <w:rsid w:val="003D3FBF"/>
    <w:rsid w:val="003D4A30"/>
    <w:rsid w:val="003D4F58"/>
    <w:rsid w:val="003D7452"/>
    <w:rsid w:val="003D79BB"/>
    <w:rsid w:val="003D7C98"/>
    <w:rsid w:val="003D7D9D"/>
    <w:rsid w:val="003E0543"/>
    <w:rsid w:val="003E4EFA"/>
    <w:rsid w:val="003E68A4"/>
    <w:rsid w:val="003E749E"/>
    <w:rsid w:val="003F2AC5"/>
    <w:rsid w:val="003F2EED"/>
    <w:rsid w:val="003F4156"/>
    <w:rsid w:val="003F5ADF"/>
    <w:rsid w:val="003F6525"/>
    <w:rsid w:val="00400B29"/>
    <w:rsid w:val="004025A8"/>
    <w:rsid w:val="0040504B"/>
    <w:rsid w:val="004059F4"/>
    <w:rsid w:val="00405FBF"/>
    <w:rsid w:val="00407FE5"/>
    <w:rsid w:val="004101B0"/>
    <w:rsid w:val="00410326"/>
    <w:rsid w:val="00410708"/>
    <w:rsid w:val="00410C49"/>
    <w:rsid w:val="00410EC7"/>
    <w:rsid w:val="00411B39"/>
    <w:rsid w:val="004127A7"/>
    <w:rsid w:val="00413A1E"/>
    <w:rsid w:val="00414300"/>
    <w:rsid w:val="0041435A"/>
    <w:rsid w:val="00414476"/>
    <w:rsid w:val="00414C2E"/>
    <w:rsid w:val="004151CF"/>
    <w:rsid w:val="00416364"/>
    <w:rsid w:val="004202A0"/>
    <w:rsid w:val="0042047F"/>
    <w:rsid w:val="00420AA6"/>
    <w:rsid w:val="00420B9F"/>
    <w:rsid w:val="0042192C"/>
    <w:rsid w:val="00422260"/>
    <w:rsid w:val="004227CD"/>
    <w:rsid w:val="0042413F"/>
    <w:rsid w:val="00424FE4"/>
    <w:rsid w:val="004269C7"/>
    <w:rsid w:val="004319F8"/>
    <w:rsid w:val="00431E55"/>
    <w:rsid w:val="004321F6"/>
    <w:rsid w:val="00432FED"/>
    <w:rsid w:val="00433044"/>
    <w:rsid w:val="00434088"/>
    <w:rsid w:val="004358D4"/>
    <w:rsid w:val="00435FFD"/>
    <w:rsid w:val="00436DC0"/>
    <w:rsid w:val="004375B9"/>
    <w:rsid w:val="00440831"/>
    <w:rsid w:val="004428D0"/>
    <w:rsid w:val="00444185"/>
    <w:rsid w:val="004443A7"/>
    <w:rsid w:val="0044442C"/>
    <w:rsid w:val="00445941"/>
    <w:rsid w:val="004464EB"/>
    <w:rsid w:val="00446D9A"/>
    <w:rsid w:val="00447D26"/>
    <w:rsid w:val="00447DFC"/>
    <w:rsid w:val="00450983"/>
    <w:rsid w:val="00452D3B"/>
    <w:rsid w:val="00455D45"/>
    <w:rsid w:val="004570C1"/>
    <w:rsid w:val="0046123F"/>
    <w:rsid w:val="00464595"/>
    <w:rsid w:val="004658B5"/>
    <w:rsid w:val="00470018"/>
    <w:rsid w:val="00471EA5"/>
    <w:rsid w:val="00472A79"/>
    <w:rsid w:val="00473E66"/>
    <w:rsid w:val="00473F19"/>
    <w:rsid w:val="004747D2"/>
    <w:rsid w:val="00475E22"/>
    <w:rsid w:val="0048088E"/>
    <w:rsid w:val="00480F2B"/>
    <w:rsid w:val="004814E5"/>
    <w:rsid w:val="00482720"/>
    <w:rsid w:val="004835E7"/>
    <w:rsid w:val="004856B1"/>
    <w:rsid w:val="004867E2"/>
    <w:rsid w:val="00490B17"/>
    <w:rsid w:val="00491B3A"/>
    <w:rsid w:val="00492CFD"/>
    <w:rsid w:val="00494207"/>
    <w:rsid w:val="00494DD5"/>
    <w:rsid w:val="004962D2"/>
    <w:rsid w:val="004A0DA1"/>
    <w:rsid w:val="004A13D6"/>
    <w:rsid w:val="004A52E9"/>
    <w:rsid w:val="004A6040"/>
    <w:rsid w:val="004A6597"/>
    <w:rsid w:val="004A7848"/>
    <w:rsid w:val="004B1CB4"/>
    <w:rsid w:val="004B2F18"/>
    <w:rsid w:val="004B3DDB"/>
    <w:rsid w:val="004B44FD"/>
    <w:rsid w:val="004B5A4D"/>
    <w:rsid w:val="004B5CFC"/>
    <w:rsid w:val="004B6F79"/>
    <w:rsid w:val="004B774D"/>
    <w:rsid w:val="004C4AED"/>
    <w:rsid w:val="004C5AA4"/>
    <w:rsid w:val="004C61A2"/>
    <w:rsid w:val="004D2C2D"/>
    <w:rsid w:val="004D66B2"/>
    <w:rsid w:val="004D69B5"/>
    <w:rsid w:val="004D7227"/>
    <w:rsid w:val="004E0E7F"/>
    <w:rsid w:val="004E0EB8"/>
    <w:rsid w:val="004E18E9"/>
    <w:rsid w:val="004E1D5C"/>
    <w:rsid w:val="004E2ADC"/>
    <w:rsid w:val="004E43B2"/>
    <w:rsid w:val="004E690B"/>
    <w:rsid w:val="004F1D02"/>
    <w:rsid w:val="004F2679"/>
    <w:rsid w:val="004F2E55"/>
    <w:rsid w:val="004F2F21"/>
    <w:rsid w:val="004F3DE5"/>
    <w:rsid w:val="004F6913"/>
    <w:rsid w:val="004F7865"/>
    <w:rsid w:val="0050174E"/>
    <w:rsid w:val="00501854"/>
    <w:rsid w:val="0050219B"/>
    <w:rsid w:val="0050395D"/>
    <w:rsid w:val="00503F17"/>
    <w:rsid w:val="00506322"/>
    <w:rsid w:val="00506928"/>
    <w:rsid w:val="00507432"/>
    <w:rsid w:val="005077EF"/>
    <w:rsid w:val="00510C76"/>
    <w:rsid w:val="00511AD5"/>
    <w:rsid w:val="00511DC7"/>
    <w:rsid w:val="005142C5"/>
    <w:rsid w:val="0051501B"/>
    <w:rsid w:val="005152B5"/>
    <w:rsid w:val="00517E76"/>
    <w:rsid w:val="0052123C"/>
    <w:rsid w:val="00521319"/>
    <w:rsid w:val="00522BC8"/>
    <w:rsid w:val="00523C28"/>
    <w:rsid w:val="00523CE3"/>
    <w:rsid w:val="0053176B"/>
    <w:rsid w:val="005357EC"/>
    <w:rsid w:val="00535B64"/>
    <w:rsid w:val="00536AFF"/>
    <w:rsid w:val="00536F42"/>
    <w:rsid w:val="00537182"/>
    <w:rsid w:val="00541DFB"/>
    <w:rsid w:val="00541EDD"/>
    <w:rsid w:val="00542743"/>
    <w:rsid w:val="00542C2D"/>
    <w:rsid w:val="00545FBE"/>
    <w:rsid w:val="005478BD"/>
    <w:rsid w:val="005479E3"/>
    <w:rsid w:val="00551985"/>
    <w:rsid w:val="005521A6"/>
    <w:rsid w:val="00552BD3"/>
    <w:rsid w:val="005532A0"/>
    <w:rsid w:val="00555109"/>
    <w:rsid w:val="00556B35"/>
    <w:rsid w:val="00556C05"/>
    <w:rsid w:val="0055741A"/>
    <w:rsid w:val="00560CB9"/>
    <w:rsid w:val="005611B7"/>
    <w:rsid w:val="0056157A"/>
    <w:rsid w:val="005618D4"/>
    <w:rsid w:val="0056397F"/>
    <w:rsid w:val="00565DF0"/>
    <w:rsid w:val="0056650E"/>
    <w:rsid w:val="0056696F"/>
    <w:rsid w:val="0057003E"/>
    <w:rsid w:val="00570B8A"/>
    <w:rsid w:val="00572269"/>
    <w:rsid w:val="0057244A"/>
    <w:rsid w:val="00572F26"/>
    <w:rsid w:val="005750C5"/>
    <w:rsid w:val="005752DE"/>
    <w:rsid w:val="005754A9"/>
    <w:rsid w:val="00575D8D"/>
    <w:rsid w:val="00576972"/>
    <w:rsid w:val="00580929"/>
    <w:rsid w:val="00582854"/>
    <w:rsid w:val="00582C08"/>
    <w:rsid w:val="0058360C"/>
    <w:rsid w:val="00583699"/>
    <w:rsid w:val="00585CDD"/>
    <w:rsid w:val="00587058"/>
    <w:rsid w:val="00591957"/>
    <w:rsid w:val="00594775"/>
    <w:rsid w:val="00597BF9"/>
    <w:rsid w:val="005A0ABA"/>
    <w:rsid w:val="005A0E26"/>
    <w:rsid w:val="005A0F5E"/>
    <w:rsid w:val="005A2D3B"/>
    <w:rsid w:val="005A309A"/>
    <w:rsid w:val="005A373D"/>
    <w:rsid w:val="005A6462"/>
    <w:rsid w:val="005A7F8B"/>
    <w:rsid w:val="005B0B58"/>
    <w:rsid w:val="005B193F"/>
    <w:rsid w:val="005B2E17"/>
    <w:rsid w:val="005B3A6E"/>
    <w:rsid w:val="005B4E53"/>
    <w:rsid w:val="005B5857"/>
    <w:rsid w:val="005B58A5"/>
    <w:rsid w:val="005C1B83"/>
    <w:rsid w:val="005C25FF"/>
    <w:rsid w:val="005C2D55"/>
    <w:rsid w:val="005C346B"/>
    <w:rsid w:val="005C7590"/>
    <w:rsid w:val="005C79AA"/>
    <w:rsid w:val="005D044D"/>
    <w:rsid w:val="005D0694"/>
    <w:rsid w:val="005D0ABD"/>
    <w:rsid w:val="005D18AD"/>
    <w:rsid w:val="005D26B4"/>
    <w:rsid w:val="005D3B0F"/>
    <w:rsid w:val="005D4CFB"/>
    <w:rsid w:val="005D5389"/>
    <w:rsid w:val="005D7D16"/>
    <w:rsid w:val="005E13FB"/>
    <w:rsid w:val="005E3214"/>
    <w:rsid w:val="005E3933"/>
    <w:rsid w:val="005E4A0A"/>
    <w:rsid w:val="005E58B6"/>
    <w:rsid w:val="005E6B58"/>
    <w:rsid w:val="005E6CBC"/>
    <w:rsid w:val="005E72FF"/>
    <w:rsid w:val="005E73C0"/>
    <w:rsid w:val="005F2706"/>
    <w:rsid w:val="005F6A8F"/>
    <w:rsid w:val="005F6BB7"/>
    <w:rsid w:val="005F7588"/>
    <w:rsid w:val="00601213"/>
    <w:rsid w:val="00603DB9"/>
    <w:rsid w:val="006057AE"/>
    <w:rsid w:val="00606FBA"/>
    <w:rsid w:val="006074AE"/>
    <w:rsid w:val="00607669"/>
    <w:rsid w:val="006076F4"/>
    <w:rsid w:val="00607AFD"/>
    <w:rsid w:val="006109BC"/>
    <w:rsid w:val="006115E7"/>
    <w:rsid w:val="00612F97"/>
    <w:rsid w:val="0061345D"/>
    <w:rsid w:val="006138C5"/>
    <w:rsid w:val="0061549B"/>
    <w:rsid w:val="00615AF3"/>
    <w:rsid w:val="00616802"/>
    <w:rsid w:val="00617E12"/>
    <w:rsid w:val="00620C25"/>
    <w:rsid w:val="00621477"/>
    <w:rsid w:val="00621ADA"/>
    <w:rsid w:val="00623F7B"/>
    <w:rsid w:val="00625DB2"/>
    <w:rsid w:val="006264CB"/>
    <w:rsid w:val="0063158F"/>
    <w:rsid w:val="00631D6B"/>
    <w:rsid w:val="00632183"/>
    <w:rsid w:val="006324A2"/>
    <w:rsid w:val="006330A1"/>
    <w:rsid w:val="0063479F"/>
    <w:rsid w:val="006353F0"/>
    <w:rsid w:val="006357B5"/>
    <w:rsid w:val="006364A1"/>
    <w:rsid w:val="0063678E"/>
    <w:rsid w:val="00637BFD"/>
    <w:rsid w:val="00641064"/>
    <w:rsid w:val="00641713"/>
    <w:rsid w:val="00641C4E"/>
    <w:rsid w:val="00641FB3"/>
    <w:rsid w:val="00643A84"/>
    <w:rsid w:val="0064434C"/>
    <w:rsid w:val="00645F4E"/>
    <w:rsid w:val="006471CC"/>
    <w:rsid w:val="00647A29"/>
    <w:rsid w:val="0065079F"/>
    <w:rsid w:val="0065228B"/>
    <w:rsid w:val="00652A28"/>
    <w:rsid w:val="0065379F"/>
    <w:rsid w:val="00653877"/>
    <w:rsid w:val="006539C0"/>
    <w:rsid w:val="00656188"/>
    <w:rsid w:val="0065715A"/>
    <w:rsid w:val="00660145"/>
    <w:rsid w:val="006610F1"/>
    <w:rsid w:val="00661C6B"/>
    <w:rsid w:val="00662462"/>
    <w:rsid w:val="00662F78"/>
    <w:rsid w:val="00665A31"/>
    <w:rsid w:val="00671004"/>
    <w:rsid w:val="00671CF3"/>
    <w:rsid w:val="00672646"/>
    <w:rsid w:val="006729C4"/>
    <w:rsid w:val="00674E42"/>
    <w:rsid w:val="00676B59"/>
    <w:rsid w:val="00680327"/>
    <w:rsid w:val="006813F8"/>
    <w:rsid w:val="00682112"/>
    <w:rsid w:val="006824DE"/>
    <w:rsid w:val="00682BA6"/>
    <w:rsid w:val="006849EB"/>
    <w:rsid w:val="006854B1"/>
    <w:rsid w:val="0068643E"/>
    <w:rsid w:val="00686957"/>
    <w:rsid w:val="006872BA"/>
    <w:rsid w:val="006876D0"/>
    <w:rsid w:val="00690795"/>
    <w:rsid w:val="00690BC2"/>
    <w:rsid w:val="00691648"/>
    <w:rsid w:val="006917D7"/>
    <w:rsid w:val="00691A3A"/>
    <w:rsid w:val="0069329D"/>
    <w:rsid w:val="0069434C"/>
    <w:rsid w:val="00694F44"/>
    <w:rsid w:val="0069559A"/>
    <w:rsid w:val="00696F51"/>
    <w:rsid w:val="006979A5"/>
    <w:rsid w:val="006A1339"/>
    <w:rsid w:val="006A2E62"/>
    <w:rsid w:val="006A3F35"/>
    <w:rsid w:val="006A5190"/>
    <w:rsid w:val="006A6B99"/>
    <w:rsid w:val="006A7E5F"/>
    <w:rsid w:val="006B14C5"/>
    <w:rsid w:val="006B2048"/>
    <w:rsid w:val="006B261B"/>
    <w:rsid w:val="006B2C90"/>
    <w:rsid w:val="006B35E6"/>
    <w:rsid w:val="006B465A"/>
    <w:rsid w:val="006B6304"/>
    <w:rsid w:val="006B6DD0"/>
    <w:rsid w:val="006B74EC"/>
    <w:rsid w:val="006C0399"/>
    <w:rsid w:val="006C1F7A"/>
    <w:rsid w:val="006C2A8E"/>
    <w:rsid w:val="006C321F"/>
    <w:rsid w:val="006C3255"/>
    <w:rsid w:val="006C3F26"/>
    <w:rsid w:val="006C60C7"/>
    <w:rsid w:val="006D09DD"/>
    <w:rsid w:val="006D0D17"/>
    <w:rsid w:val="006D3C7D"/>
    <w:rsid w:val="006D4659"/>
    <w:rsid w:val="006D4B48"/>
    <w:rsid w:val="006D4B6C"/>
    <w:rsid w:val="006D5D5F"/>
    <w:rsid w:val="006D68FB"/>
    <w:rsid w:val="006E2868"/>
    <w:rsid w:val="006E4820"/>
    <w:rsid w:val="006E5A54"/>
    <w:rsid w:val="006F1B0A"/>
    <w:rsid w:val="006F306C"/>
    <w:rsid w:val="006F63A5"/>
    <w:rsid w:val="006F6725"/>
    <w:rsid w:val="006F7C50"/>
    <w:rsid w:val="007009ED"/>
    <w:rsid w:val="0070142B"/>
    <w:rsid w:val="00701C1F"/>
    <w:rsid w:val="0070276E"/>
    <w:rsid w:val="00702F8F"/>
    <w:rsid w:val="007039D5"/>
    <w:rsid w:val="00703A30"/>
    <w:rsid w:val="007079FC"/>
    <w:rsid w:val="00711A36"/>
    <w:rsid w:val="00714C26"/>
    <w:rsid w:val="00714E44"/>
    <w:rsid w:val="00715277"/>
    <w:rsid w:val="0071529C"/>
    <w:rsid w:val="00716AF5"/>
    <w:rsid w:val="007170DA"/>
    <w:rsid w:val="007172AD"/>
    <w:rsid w:val="00720801"/>
    <w:rsid w:val="007208E7"/>
    <w:rsid w:val="007208E9"/>
    <w:rsid w:val="007214B1"/>
    <w:rsid w:val="00722B1B"/>
    <w:rsid w:val="0072416F"/>
    <w:rsid w:val="00727C94"/>
    <w:rsid w:val="00731B0A"/>
    <w:rsid w:val="00731EAE"/>
    <w:rsid w:val="0073236F"/>
    <w:rsid w:val="00733073"/>
    <w:rsid w:val="00733499"/>
    <w:rsid w:val="00735033"/>
    <w:rsid w:val="00735328"/>
    <w:rsid w:val="007359E2"/>
    <w:rsid w:val="0073685B"/>
    <w:rsid w:val="00737009"/>
    <w:rsid w:val="007401BC"/>
    <w:rsid w:val="00742759"/>
    <w:rsid w:val="00743F9B"/>
    <w:rsid w:val="007449BF"/>
    <w:rsid w:val="00746BC0"/>
    <w:rsid w:val="007510B4"/>
    <w:rsid w:val="00751108"/>
    <w:rsid w:val="00752142"/>
    <w:rsid w:val="007523F9"/>
    <w:rsid w:val="0075357E"/>
    <w:rsid w:val="00754394"/>
    <w:rsid w:val="00755470"/>
    <w:rsid w:val="007573E8"/>
    <w:rsid w:val="007577AF"/>
    <w:rsid w:val="007602CA"/>
    <w:rsid w:val="00760C4E"/>
    <w:rsid w:val="00760F9E"/>
    <w:rsid w:val="00761D7E"/>
    <w:rsid w:val="007627BE"/>
    <w:rsid w:val="00763B81"/>
    <w:rsid w:val="00764F03"/>
    <w:rsid w:val="00765B1A"/>
    <w:rsid w:val="007704F7"/>
    <w:rsid w:val="007726C4"/>
    <w:rsid w:val="00776886"/>
    <w:rsid w:val="00777335"/>
    <w:rsid w:val="0078144C"/>
    <w:rsid w:val="00783E8D"/>
    <w:rsid w:val="007843F2"/>
    <w:rsid w:val="00784E29"/>
    <w:rsid w:val="00785A9F"/>
    <w:rsid w:val="00790DF6"/>
    <w:rsid w:val="007913BC"/>
    <w:rsid w:val="007923C9"/>
    <w:rsid w:val="007925DF"/>
    <w:rsid w:val="007A08AA"/>
    <w:rsid w:val="007A0A12"/>
    <w:rsid w:val="007A132D"/>
    <w:rsid w:val="007A1345"/>
    <w:rsid w:val="007A2DDB"/>
    <w:rsid w:val="007A680E"/>
    <w:rsid w:val="007A70BA"/>
    <w:rsid w:val="007A75E2"/>
    <w:rsid w:val="007B0D68"/>
    <w:rsid w:val="007B251D"/>
    <w:rsid w:val="007B4A73"/>
    <w:rsid w:val="007B4F58"/>
    <w:rsid w:val="007B528D"/>
    <w:rsid w:val="007B63CA"/>
    <w:rsid w:val="007B77D1"/>
    <w:rsid w:val="007B7A33"/>
    <w:rsid w:val="007C07C7"/>
    <w:rsid w:val="007C1CD9"/>
    <w:rsid w:val="007C1DA1"/>
    <w:rsid w:val="007C32EF"/>
    <w:rsid w:val="007C361D"/>
    <w:rsid w:val="007C4B84"/>
    <w:rsid w:val="007C4DE5"/>
    <w:rsid w:val="007C51AF"/>
    <w:rsid w:val="007C70FF"/>
    <w:rsid w:val="007C7C25"/>
    <w:rsid w:val="007D004F"/>
    <w:rsid w:val="007D04C4"/>
    <w:rsid w:val="007D0B38"/>
    <w:rsid w:val="007D5440"/>
    <w:rsid w:val="007D69EB"/>
    <w:rsid w:val="007E128F"/>
    <w:rsid w:val="007E44A4"/>
    <w:rsid w:val="007E5CB8"/>
    <w:rsid w:val="007E7D38"/>
    <w:rsid w:val="007F00D6"/>
    <w:rsid w:val="007F1017"/>
    <w:rsid w:val="007F364F"/>
    <w:rsid w:val="007F4A3F"/>
    <w:rsid w:val="007F4A61"/>
    <w:rsid w:val="007F5255"/>
    <w:rsid w:val="007F56CC"/>
    <w:rsid w:val="007F61C2"/>
    <w:rsid w:val="007F7221"/>
    <w:rsid w:val="008026E4"/>
    <w:rsid w:val="00803EC1"/>
    <w:rsid w:val="00804879"/>
    <w:rsid w:val="00804C72"/>
    <w:rsid w:val="00805142"/>
    <w:rsid w:val="00805D06"/>
    <w:rsid w:val="00805FCE"/>
    <w:rsid w:val="008065B0"/>
    <w:rsid w:val="00807A8B"/>
    <w:rsid w:val="00811383"/>
    <w:rsid w:val="00812149"/>
    <w:rsid w:val="00812595"/>
    <w:rsid w:val="00812CAC"/>
    <w:rsid w:val="00815AE2"/>
    <w:rsid w:val="00816361"/>
    <w:rsid w:val="008166EF"/>
    <w:rsid w:val="00816FEF"/>
    <w:rsid w:val="00820A8C"/>
    <w:rsid w:val="0082122A"/>
    <w:rsid w:val="008215FB"/>
    <w:rsid w:val="00823174"/>
    <w:rsid w:val="00825751"/>
    <w:rsid w:val="00825AA4"/>
    <w:rsid w:val="00826031"/>
    <w:rsid w:val="008264EB"/>
    <w:rsid w:val="00833B05"/>
    <w:rsid w:val="008362B4"/>
    <w:rsid w:val="0083774C"/>
    <w:rsid w:val="0084046A"/>
    <w:rsid w:val="0084054F"/>
    <w:rsid w:val="00840CA2"/>
    <w:rsid w:val="00842CA1"/>
    <w:rsid w:val="0084374F"/>
    <w:rsid w:val="00844A22"/>
    <w:rsid w:val="008452FE"/>
    <w:rsid w:val="008476E0"/>
    <w:rsid w:val="00847703"/>
    <w:rsid w:val="00847DF5"/>
    <w:rsid w:val="0085309D"/>
    <w:rsid w:val="00856897"/>
    <w:rsid w:val="00856E9A"/>
    <w:rsid w:val="0086075D"/>
    <w:rsid w:val="00861D7A"/>
    <w:rsid w:val="008623A4"/>
    <w:rsid w:val="00862502"/>
    <w:rsid w:val="00862CC1"/>
    <w:rsid w:val="008660D4"/>
    <w:rsid w:val="008705DE"/>
    <w:rsid w:val="00871FA9"/>
    <w:rsid w:val="008728E9"/>
    <w:rsid w:val="00877EBD"/>
    <w:rsid w:val="00881479"/>
    <w:rsid w:val="00882874"/>
    <w:rsid w:val="00882E3C"/>
    <w:rsid w:val="008830F6"/>
    <w:rsid w:val="00883787"/>
    <w:rsid w:val="008838D5"/>
    <w:rsid w:val="00884A40"/>
    <w:rsid w:val="008855E4"/>
    <w:rsid w:val="00886CD2"/>
    <w:rsid w:val="00886DF1"/>
    <w:rsid w:val="00891E6F"/>
    <w:rsid w:val="0089275D"/>
    <w:rsid w:val="00892A36"/>
    <w:rsid w:val="00893239"/>
    <w:rsid w:val="00894489"/>
    <w:rsid w:val="00894B5C"/>
    <w:rsid w:val="008963A5"/>
    <w:rsid w:val="00896D5D"/>
    <w:rsid w:val="008A08AC"/>
    <w:rsid w:val="008A3363"/>
    <w:rsid w:val="008A3371"/>
    <w:rsid w:val="008A3AB6"/>
    <w:rsid w:val="008A3C3E"/>
    <w:rsid w:val="008A41C9"/>
    <w:rsid w:val="008A4294"/>
    <w:rsid w:val="008A4318"/>
    <w:rsid w:val="008A79DE"/>
    <w:rsid w:val="008A7E02"/>
    <w:rsid w:val="008B1757"/>
    <w:rsid w:val="008B5BF6"/>
    <w:rsid w:val="008B7992"/>
    <w:rsid w:val="008B7D7E"/>
    <w:rsid w:val="008C2022"/>
    <w:rsid w:val="008C400C"/>
    <w:rsid w:val="008C5610"/>
    <w:rsid w:val="008C5739"/>
    <w:rsid w:val="008C5E96"/>
    <w:rsid w:val="008C7ECB"/>
    <w:rsid w:val="008D1FAA"/>
    <w:rsid w:val="008D3B86"/>
    <w:rsid w:val="008D4755"/>
    <w:rsid w:val="008D4C3D"/>
    <w:rsid w:val="008D743C"/>
    <w:rsid w:val="008E0D3C"/>
    <w:rsid w:val="008E1B9E"/>
    <w:rsid w:val="008E3C13"/>
    <w:rsid w:val="008E55AB"/>
    <w:rsid w:val="008E64A9"/>
    <w:rsid w:val="008E6604"/>
    <w:rsid w:val="008E7622"/>
    <w:rsid w:val="008F07AF"/>
    <w:rsid w:val="008F120A"/>
    <w:rsid w:val="008F27E0"/>
    <w:rsid w:val="008F48EB"/>
    <w:rsid w:val="008F4F0B"/>
    <w:rsid w:val="008F7523"/>
    <w:rsid w:val="00902A09"/>
    <w:rsid w:val="009046C4"/>
    <w:rsid w:val="009054A4"/>
    <w:rsid w:val="0090602D"/>
    <w:rsid w:val="009062A5"/>
    <w:rsid w:val="009107E7"/>
    <w:rsid w:val="00910FA7"/>
    <w:rsid w:val="00911272"/>
    <w:rsid w:val="009135D6"/>
    <w:rsid w:val="00914C77"/>
    <w:rsid w:val="009208C1"/>
    <w:rsid w:val="009218B1"/>
    <w:rsid w:val="00921ACB"/>
    <w:rsid w:val="0092369B"/>
    <w:rsid w:val="00934988"/>
    <w:rsid w:val="00935B5E"/>
    <w:rsid w:val="00937089"/>
    <w:rsid w:val="00944539"/>
    <w:rsid w:val="00944F8A"/>
    <w:rsid w:val="00945478"/>
    <w:rsid w:val="009510A2"/>
    <w:rsid w:val="00953257"/>
    <w:rsid w:val="0095474C"/>
    <w:rsid w:val="00955127"/>
    <w:rsid w:val="00955B2B"/>
    <w:rsid w:val="00957EB1"/>
    <w:rsid w:val="00962CB9"/>
    <w:rsid w:val="00963376"/>
    <w:rsid w:val="00964312"/>
    <w:rsid w:val="00965B8A"/>
    <w:rsid w:val="0097071F"/>
    <w:rsid w:val="009717AC"/>
    <w:rsid w:val="009751C1"/>
    <w:rsid w:val="009811F1"/>
    <w:rsid w:val="00983C20"/>
    <w:rsid w:val="00983E57"/>
    <w:rsid w:val="00985DE2"/>
    <w:rsid w:val="0098675D"/>
    <w:rsid w:val="009926E0"/>
    <w:rsid w:val="00993CCB"/>
    <w:rsid w:val="0099451E"/>
    <w:rsid w:val="00996B1A"/>
    <w:rsid w:val="0099776E"/>
    <w:rsid w:val="009A2DCC"/>
    <w:rsid w:val="009A42C4"/>
    <w:rsid w:val="009A5ABC"/>
    <w:rsid w:val="009A7F10"/>
    <w:rsid w:val="009B3E26"/>
    <w:rsid w:val="009B6D97"/>
    <w:rsid w:val="009C0458"/>
    <w:rsid w:val="009C3706"/>
    <w:rsid w:val="009C3A3A"/>
    <w:rsid w:val="009C41D4"/>
    <w:rsid w:val="009C6CEA"/>
    <w:rsid w:val="009C71E9"/>
    <w:rsid w:val="009C7B85"/>
    <w:rsid w:val="009D0254"/>
    <w:rsid w:val="009D1A64"/>
    <w:rsid w:val="009D24E8"/>
    <w:rsid w:val="009D5B91"/>
    <w:rsid w:val="009D676E"/>
    <w:rsid w:val="009D740D"/>
    <w:rsid w:val="009D792E"/>
    <w:rsid w:val="009E0DFE"/>
    <w:rsid w:val="009E31F6"/>
    <w:rsid w:val="009E4C07"/>
    <w:rsid w:val="009F0011"/>
    <w:rsid w:val="009F06AF"/>
    <w:rsid w:val="009F352A"/>
    <w:rsid w:val="009F6E11"/>
    <w:rsid w:val="009F7730"/>
    <w:rsid w:val="00A00513"/>
    <w:rsid w:val="00A01184"/>
    <w:rsid w:val="00A02783"/>
    <w:rsid w:val="00A037C2"/>
    <w:rsid w:val="00A03A6D"/>
    <w:rsid w:val="00A03D43"/>
    <w:rsid w:val="00A04380"/>
    <w:rsid w:val="00A04463"/>
    <w:rsid w:val="00A05472"/>
    <w:rsid w:val="00A055A8"/>
    <w:rsid w:val="00A05C32"/>
    <w:rsid w:val="00A061CF"/>
    <w:rsid w:val="00A0653F"/>
    <w:rsid w:val="00A11CD0"/>
    <w:rsid w:val="00A12A47"/>
    <w:rsid w:val="00A13353"/>
    <w:rsid w:val="00A13948"/>
    <w:rsid w:val="00A1555B"/>
    <w:rsid w:val="00A155C5"/>
    <w:rsid w:val="00A16AD8"/>
    <w:rsid w:val="00A17F85"/>
    <w:rsid w:val="00A2171D"/>
    <w:rsid w:val="00A21C95"/>
    <w:rsid w:val="00A21CF3"/>
    <w:rsid w:val="00A22FC3"/>
    <w:rsid w:val="00A24813"/>
    <w:rsid w:val="00A27AEC"/>
    <w:rsid w:val="00A320DB"/>
    <w:rsid w:val="00A35D16"/>
    <w:rsid w:val="00A3775B"/>
    <w:rsid w:val="00A37BCD"/>
    <w:rsid w:val="00A41689"/>
    <w:rsid w:val="00A42592"/>
    <w:rsid w:val="00A43C59"/>
    <w:rsid w:val="00A44040"/>
    <w:rsid w:val="00A50361"/>
    <w:rsid w:val="00A50ECD"/>
    <w:rsid w:val="00A518F3"/>
    <w:rsid w:val="00A52729"/>
    <w:rsid w:val="00A52775"/>
    <w:rsid w:val="00A53675"/>
    <w:rsid w:val="00A54B93"/>
    <w:rsid w:val="00A564D7"/>
    <w:rsid w:val="00A56B6A"/>
    <w:rsid w:val="00A578DC"/>
    <w:rsid w:val="00A605BE"/>
    <w:rsid w:val="00A63CDB"/>
    <w:rsid w:val="00A640E2"/>
    <w:rsid w:val="00A64D65"/>
    <w:rsid w:val="00A6725B"/>
    <w:rsid w:val="00A70605"/>
    <w:rsid w:val="00A73134"/>
    <w:rsid w:val="00A75C96"/>
    <w:rsid w:val="00A76001"/>
    <w:rsid w:val="00A77543"/>
    <w:rsid w:val="00A777B2"/>
    <w:rsid w:val="00A825D4"/>
    <w:rsid w:val="00A828F6"/>
    <w:rsid w:val="00A82B73"/>
    <w:rsid w:val="00A86E8B"/>
    <w:rsid w:val="00A87164"/>
    <w:rsid w:val="00A93072"/>
    <w:rsid w:val="00A938BD"/>
    <w:rsid w:val="00A93953"/>
    <w:rsid w:val="00A95385"/>
    <w:rsid w:val="00A959D8"/>
    <w:rsid w:val="00A97E32"/>
    <w:rsid w:val="00AA113D"/>
    <w:rsid w:val="00AA1479"/>
    <w:rsid w:val="00AA49AC"/>
    <w:rsid w:val="00AA545C"/>
    <w:rsid w:val="00AA6939"/>
    <w:rsid w:val="00AA6BD5"/>
    <w:rsid w:val="00AA6BD8"/>
    <w:rsid w:val="00AA6C7D"/>
    <w:rsid w:val="00AA7FD6"/>
    <w:rsid w:val="00AB042A"/>
    <w:rsid w:val="00AB0D0A"/>
    <w:rsid w:val="00AB0E93"/>
    <w:rsid w:val="00AB1120"/>
    <w:rsid w:val="00AB15A0"/>
    <w:rsid w:val="00AB19EF"/>
    <w:rsid w:val="00AB2D34"/>
    <w:rsid w:val="00AB3430"/>
    <w:rsid w:val="00AB37B9"/>
    <w:rsid w:val="00AB4AD1"/>
    <w:rsid w:val="00AB5E07"/>
    <w:rsid w:val="00AB7430"/>
    <w:rsid w:val="00AB7CFA"/>
    <w:rsid w:val="00AC4937"/>
    <w:rsid w:val="00AC4BB9"/>
    <w:rsid w:val="00AC5B48"/>
    <w:rsid w:val="00AD08C4"/>
    <w:rsid w:val="00AD1450"/>
    <w:rsid w:val="00AD302A"/>
    <w:rsid w:val="00AD38F4"/>
    <w:rsid w:val="00AD478D"/>
    <w:rsid w:val="00AD63DC"/>
    <w:rsid w:val="00AD6502"/>
    <w:rsid w:val="00AD7B0E"/>
    <w:rsid w:val="00AE0695"/>
    <w:rsid w:val="00AE0CF9"/>
    <w:rsid w:val="00AE3E7E"/>
    <w:rsid w:val="00AE4536"/>
    <w:rsid w:val="00AF1315"/>
    <w:rsid w:val="00AF19BF"/>
    <w:rsid w:val="00AF2DC3"/>
    <w:rsid w:val="00AF67AB"/>
    <w:rsid w:val="00B00370"/>
    <w:rsid w:val="00B03283"/>
    <w:rsid w:val="00B033E5"/>
    <w:rsid w:val="00B03A63"/>
    <w:rsid w:val="00B1308B"/>
    <w:rsid w:val="00B13D7E"/>
    <w:rsid w:val="00B15B3A"/>
    <w:rsid w:val="00B16399"/>
    <w:rsid w:val="00B201A4"/>
    <w:rsid w:val="00B201D1"/>
    <w:rsid w:val="00B213A6"/>
    <w:rsid w:val="00B222A3"/>
    <w:rsid w:val="00B2305E"/>
    <w:rsid w:val="00B235B0"/>
    <w:rsid w:val="00B23929"/>
    <w:rsid w:val="00B24DF6"/>
    <w:rsid w:val="00B25B30"/>
    <w:rsid w:val="00B30F4E"/>
    <w:rsid w:val="00B34FE2"/>
    <w:rsid w:val="00B35166"/>
    <w:rsid w:val="00B357D8"/>
    <w:rsid w:val="00B360F4"/>
    <w:rsid w:val="00B36A00"/>
    <w:rsid w:val="00B37BFC"/>
    <w:rsid w:val="00B40358"/>
    <w:rsid w:val="00B40895"/>
    <w:rsid w:val="00B41614"/>
    <w:rsid w:val="00B42851"/>
    <w:rsid w:val="00B42F80"/>
    <w:rsid w:val="00B4354C"/>
    <w:rsid w:val="00B435CB"/>
    <w:rsid w:val="00B457B8"/>
    <w:rsid w:val="00B505C8"/>
    <w:rsid w:val="00B50DB8"/>
    <w:rsid w:val="00B53654"/>
    <w:rsid w:val="00B53905"/>
    <w:rsid w:val="00B54B5B"/>
    <w:rsid w:val="00B5562E"/>
    <w:rsid w:val="00B55D65"/>
    <w:rsid w:val="00B56350"/>
    <w:rsid w:val="00B57000"/>
    <w:rsid w:val="00B604C1"/>
    <w:rsid w:val="00B60939"/>
    <w:rsid w:val="00B60AFD"/>
    <w:rsid w:val="00B62715"/>
    <w:rsid w:val="00B62B99"/>
    <w:rsid w:val="00B65611"/>
    <w:rsid w:val="00B70E8E"/>
    <w:rsid w:val="00B72800"/>
    <w:rsid w:val="00B76C92"/>
    <w:rsid w:val="00B818A4"/>
    <w:rsid w:val="00B84117"/>
    <w:rsid w:val="00B858F0"/>
    <w:rsid w:val="00B85AA2"/>
    <w:rsid w:val="00B8649C"/>
    <w:rsid w:val="00B8695D"/>
    <w:rsid w:val="00B871B8"/>
    <w:rsid w:val="00B87F0A"/>
    <w:rsid w:val="00B91398"/>
    <w:rsid w:val="00B92D0B"/>
    <w:rsid w:val="00B935AA"/>
    <w:rsid w:val="00B94945"/>
    <w:rsid w:val="00B94DD6"/>
    <w:rsid w:val="00BA04D4"/>
    <w:rsid w:val="00BA2228"/>
    <w:rsid w:val="00BA322D"/>
    <w:rsid w:val="00BA3E84"/>
    <w:rsid w:val="00BA63FA"/>
    <w:rsid w:val="00BA6A85"/>
    <w:rsid w:val="00BA75CC"/>
    <w:rsid w:val="00BB00B3"/>
    <w:rsid w:val="00BB0BDD"/>
    <w:rsid w:val="00BB176C"/>
    <w:rsid w:val="00BB2A73"/>
    <w:rsid w:val="00BB3A45"/>
    <w:rsid w:val="00BB4ACC"/>
    <w:rsid w:val="00BB696D"/>
    <w:rsid w:val="00BB703E"/>
    <w:rsid w:val="00BB70D5"/>
    <w:rsid w:val="00BB732D"/>
    <w:rsid w:val="00BB7405"/>
    <w:rsid w:val="00BB7753"/>
    <w:rsid w:val="00BC3631"/>
    <w:rsid w:val="00BC502B"/>
    <w:rsid w:val="00BC591F"/>
    <w:rsid w:val="00BC7D6D"/>
    <w:rsid w:val="00BD0640"/>
    <w:rsid w:val="00BD18C4"/>
    <w:rsid w:val="00BD2108"/>
    <w:rsid w:val="00BD2487"/>
    <w:rsid w:val="00BD68A3"/>
    <w:rsid w:val="00BD6938"/>
    <w:rsid w:val="00BD6CF3"/>
    <w:rsid w:val="00BD7611"/>
    <w:rsid w:val="00BE0ECA"/>
    <w:rsid w:val="00BE2180"/>
    <w:rsid w:val="00BE21F2"/>
    <w:rsid w:val="00BE4275"/>
    <w:rsid w:val="00BE4ABC"/>
    <w:rsid w:val="00BF06AE"/>
    <w:rsid w:val="00BF0BDF"/>
    <w:rsid w:val="00BF0F95"/>
    <w:rsid w:val="00BF2433"/>
    <w:rsid w:val="00BF3395"/>
    <w:rsid w:val="00BF5D1E"/>
    <w:rsid w:val="00BF61C9"/>
    <w:rsid w:val="00BF6C94"/>
    <w:rsid w:val="00BF6F06"/>
    <w:rsid w:val="00C00424"/>
    <w:rsid w:val="00C0048D"/>
    <w:rsid w:val="00C07E63"/>
    <w:rsid w:val="00C10656"/>
    <w:rsid w:val="00C1179F"/>
    <w:rsid w:val="00C12C14"/>
    <w:rsid w:val="00C15F04"/>
    <w:rsid w:val="00C16231"/>
    <w:rsid w:val="00C16833"/>
    <w:rsid w:val="00C16C6D"/>
    <w:rsid w:val="00C179B3"/>
    <w:rsid w:val="00C17E3F"/>
    <w:rsid w:val="00C200AA"/>
    <w:rsid w:val="00C23061"/>
    <w:rsid w:val="00C237ED"/>
    <w:rsid w:val="00C24632"/>
    <w:rsid w:val="00C25418"/>
    <w:rsid w:val="00C25D9C"/>
    <w:rsid w:val="00C2648D"/>
    <w:rsid w:val="00C2778B"/>
    <w:rsid w:val="00C31529"/>
    <w:rsid w:val="00C31649"/>
    <w:rsid w:val="00C32671"/>
    <w:rsid w:val="00C3434C"/>
    <w:rsid w:val="00C35B99"/>
    <w:rsid w:val="00C374B7"/>
    <w:rsid w:val="00C4013D"/>
    <w:rsid w:val="00C40385"/>
    <w:rsid w:val="00C41768"/>
    <w:rsid w:val="00C429BD"/>
    <w:rsid w:val="00C43817"/>
    <w:rsid w:val="00C444E9"/>
    <w:rsid w:val="00C44FB5"/>
    <w:rsid w:val="00C45750"/>
    <w:rsid w:val="00C47129"/>
    <w:rsid w:val="00C475AA"/>
    <w:rsid w:val="00C53C98"/>
    <w:rsid w:val="00C56FCF"/>
    <w:rsid w:val="00C57B6C"/>
    <w:rsid w:val="00C628A6"/>
    <w:rsid w:val="00C64344"/>
    <w:rsid w:val="00C65108"/>
    <w:rsid w:val="00C65576"/>
    <w:rsid w:val="00C66165"/>
    <w:rsid w:val="00C7060A"/>
    <w:rsid w:val="00C7151A"/>
    <w:rsid w:val="00C717E3"/>
    <w:rsid w:val="00C71F60"/>
    <w:rsid w:val="00C72241"/>
    <w:rsid w:val="00C750C8"/>
    <w:rsid w:val="00C751E1"/>
    <w:rsid w:val="00C7560F"/>
    <w:rsid w:val="00C80A0E"/>
    <w:rsid w:val="00C811EF"/>
    <w:rsid w:val="00C8213F"/>
    <w:rsid w:val="00C85154"/>
    <w:rsid w:val="00C8611E"/>
    <w:rsid w:val="00C86A19"/>
    <w:rsid w:val="00C8797A"/>
    <w:rsid w:val="00C900B8"/>
    <w:rsid w:val="00C90C71"/>
    <w:rsid w:val="00C91FD1"/>
    <w:rsid w:val="00C931CF"/>
    <w:rsid w:val="00C938CF"/>
    <w:rsid w:val="00C93BEF"/>
    <w:rsid w:val="00C94053"/>
    <w:rsid w:val="00C9624D"/>
    <w:rsid w:val="00C969DA"/>
    <w:rsid w:val="00C97167"/>
    <w:rsid w:val="00C97213"/>
    <w:rsid w:val="00C97DB4"/>
    <w:rsid w:val="00CA1720"/>
    <w:rsid w:val="00CA2C77"/>
    <w:rsid w:val="00CA3D87"/>
    <w:rsid w:val="00CA444F"/>
    <w:rsid w:val="00CA5245"/>
    <w:rsid w:val="00CA62CF"/>
    <w:rsid w:val="00CA71F4"/>
    <w:rsid w:val="00CA729B"/>
    <w:rsid w:val="00CA7B09"/>
    <w:rsid w:val="00CB12A5"/>
    <w:rsid w:val="00CB1CAC"/>
    <w:rsid w:val="00CB2062"/>
    <w:rsid w:val="00CB2AFA"/>
    <w:rsid w:val="00CB2F2A"/>
    <w:rsid w:val="00CB5B1A"/>
    <w:rsid w:val="00CB6B22"/>
    <w:rsid w:val="00CB7F5F"/>
    <w:rsid w:val="00CC1B39"/>
    <w:rsid w:val="00CC35EA"/>
    <w:rsid w:val="00CC3848"/>
    <w:rsid w:val="00CC75EE"/>
    <w:rsid w:val="00CC7EAA"/>
    <w:rsid w:val="00CD00FA"/>
    <w:rsid w:val="00CD1D99"/>
    <w:rsid w:val="00CD3F77"/>
    <w:rsid w:val="00CD65DF"/>
    <w:rsid w:val="00CD6ACB"/>
    <w:rsid w:val="00CD6ADC"/>
    <w:rsid w:val="00CD7193"/>
    <w:rsid w:val="00CE38C8"/>
    <w:rsid w:val="00CE572B"/>
    <w:rsid w:val="00CE6274"/>
    <w:rsid w:val="00CE77B6"/>
    <w:rsid w:val="00CF110F"/>
    <w:rsid w:val="00CF2B8D"/>
    <w:rsid w:val="00CF456B"/>
    <w:rsid w:val="00CF5A22"/>
    <w:rsid w:val="00D00E64"/>
    <w:rsid w:val="00D0262E"/>
    <w:rsid w:val="00D02CE6"/>
    <w:rsid w:val="00D05E3D"/>
    <w:rsid w:val="00D06139"/>
    <w:rsid w:val="00D10F02"/>
    <w:rsid w:val="00D110BD"/>
    <w:rsid w:val="00D11F7F"/>
    <w:rsid w:val="00D13675"/>
    <w:rsid w:val="00D141E1"/>
    <w:rsid w:val="00D14482"/>
    <w:rsid w:val="00D15314"/>
    <w:rsid w:val="00D15421"/>
    <w:rsid w:val="00D17D6C"/>
    <w:rsid w:val="00D2155B"/>
    <w:rsid w:val="00D23D11"/>
    <w:rsid w:val="00D244B6"/>
    <w:rsid w:val="00D2754D"/>
    <w:rsid w:val="00D27B27"/>
    <w:rsid w:val="00D33BE9"/>
    <w:rsid w:val="00D33F93"/>
    <w:rsid w:val="00D35351"/>
    <w:rsid w:val="00D357FF"/>
    <w:rsid w:val="00D3792C"/>
    <w:rsid w:val="00D418E9"/>
    <w:rsid w:val="00D41ADB"/>
    <w:rsid w:val="00D424C7"/>
    <w:rsid w:val="00D43B2A"/>
    <w:rsid w:val="00D43D83"/>
    <w:rsid w:val="00D47575"/>
    <w:rsid w:val="00D52049"/>
    <w:rsid w:val="00D5243B"/>
    <w:rsid w:val="00D533EC"/>
    <w:rsid w:val="00D55650"/>
    <w:rsid w:val="00D55CD2"/>
    <w:rsid w:val="00D56A95"/>
    <w:rsid w:val="00D647E1"/>
    <w:rsid w:val="00D65B7B"/>
    <w:rsid w:val="00D70896"/>
    <w:rsid w:val="00D70F16"/>
    <w:rsid w:val="00D72F57"/>
    <w:rsid w:val="00D72F94"/>
    <w:rsid w:val="00D76A44"/>
    <w:rsid w:val="00D77851"/>
    <w:rsid w:val="00D815EF"/>
    <w:rsid w:val="00D81F26"/>
    <w:rsid w:val="00D85518"/>
    <w:rsid w:val="00D86231"/>
    <w:rsid w:val="00D90F63"/>
    <w:rsid w:val="00D91923"/>
    <w:rsid w:val="00D92EDA"/>
    <w:rsid w:val="00D93753"/>
    <w:rsid w:val="00D940E4"/>
    <w:rsid w:val="00D94471"/>
    <w:rsid w:val="00D96234"/>
    <w:rsid w:val="00DA09D3"/>
    <w:rsid w:val="00DA0A4D"/>
    <w:rsid w:val="00DA3167"/>
    <w:rsid w:val="00DA4DC3"/>
    <w:rsid w:val="00DA7218"/>
    <w:rsid w:val="00DA77A5"/>
    <w:rsid w:val="00DB3DBF"/>
    <w:rsid w:val="00DB484F"/>
    <w:rsid w:val="00DB6F8F"/>
    <w:rsid w:val="00DB7AD6"/>
    <w:rsid w:val="00DC04F6"/>
    <w:rsid w:val="00DC0690"/>
    <w:rsid w:val="00DC1585"/>
    <w:rsid w:val="00DC1D65"/>
    <w:rsid w:val="00DC33F2"/>
    <w:rsid w:val="00DC39C1"/>
    <w:rsid w:val="00DC3C57"/>
    <w:rsid w:val="00DC5501"/>
    <w:rsid w:val="00DC7154"/>
    <w:rsid w:val="00DC7AF5"/>
    <w:rsid w:val="00DC7E8A"/>
    <w:rsid w:val="00DC7EFE"/>
    <w:rsid w:val="00DD0F78"/>
    <w:rsid w:val="00DD273C"/>
    <w:rsid w:val="00DD3F28"/>
    <w:rsid w:val="00DD4537"/>
    <w:rsid w:val="00DD4E15"/>
    <w:rsid w:val="00DD638F"/>
    <w:rsid w:val="00DE2304"/>
    <w:rsid w:val="00DE2FDA"/>
    <w:rsid w:val="00DE3138"/>
    <w:rsid w:val="00DE37F8"/>
    <w:rsid w:val="00DE3972"/>
    <w:rsid w:val="00DE4FCB"/>
    <w:rsid w:val="00DE5D07"/>
    <w:rsid w:val="00DE72A7"/>
    <w:rsid w:val="00DE7832"/>
    <w:rsid w:val="00DF0DA9"/>
    <w:rsid w:val="00DF16BE"/>
    <w:rsid w:val="00DF18FC"/>
    <w:rsid w:val="00DF468A"/>
    <w:rsid w:val="00DF4934"/>
    <w:rsid w:val="00DF54AF"/>
    <w:rsid w:val="00DF5D2B"/>
    <w:rsid w:val="00DF6D54"/>
    <w:rsid w:val="00DF6E60"/>
    <w:rsid w:val="00E00E8E"/>
    <w:rsid w:val="00E03621"/>
    <w:rsid w:val="00E05630"/>
    <w:rsid w:val="00E05F12"/>
    <w:rsid w:val="00E06DBB"/>
    <w:rsid w:val="00E10149"/>
    <w:rsid w:val="00E10C63"/>
    <w:rsid w:val="00E11340"/>
    <w:rsid w:val="00E122A1"/>
    <w:rsid w:val="00E1351D"/>
    <w:rsid w:val="00E16372"/>
    <w:rsid w:val="00E20E4D"/>
    <w:rsid w:val="00E20ED6"/>
    <w:rsid w:val="00E21358"/>
    <w:rsid w:val="00E21499"/>
    <w:rsid w:val="00E2249B"/>
    <w:rsid w:val="00E22A0D"/>
    <w:rsid w:val="00E23343"/>
    <w:rsid w:val="00E23C52"/>
    <w:rsid w:val="00E244F6"/>
    <w:rsid w:val="00E2771E"/>
    <w:rsid w:val="00E27FCC"/>
    <w:rsid w:val="00E311EF"/>
    <w:rsid w:val="00E32180"/>
    <w:rsid w:val="00E34948"/>
    <w:rsid w:val="00E37569"/>
    <w:rsid w:val="00E37FD1"/>
    <w:rsid w:val="00E401B2"/>
    <w:rsid w:val="00E41E30"/>
    <w:rsid w:val="00E42F73"/>
    <w:rsid w:val="00E4381D"/>
    <w:rsid w:val="00E43D70"/>
    <w:rsid w:val="00E46332"/>
    <w:rsid w:val="00E466F3"/>
    <w:rsid w:val="00E47B2C"/>
    <w:rsid w:val="00E51560"/>
    <w:rsid w:val="00E51CF9"/>
    <w:rsid w:val="00E52AC6"/>
    <w:rsid w:val="00E53FC8"/>
    <w:rsid w:val="00E54347"/>
    <w:rsid w:val="00E545BA"/>
    <w:rsid w:val="00E55424"/>
    <w:rsid w:val="00E55915"/>
    <w:rsid w:val="00E55BB5"/>
    <w:rsid w:val="00E5603D"/>
    <w:rsid w:val="00E571C9"/>
    <w:rsid w:val="00E63429"/>
    <w:rsid w:val="00E6349E"/>
    <w:rsid w:val="00E65AEA"/>
    <w:rsid w:val="00E65E79"/>
    <w:rsid w:val="00E66BA2"/>
    <w:rsid w:val="00E67416"/>
    <w:rsid w:val="00E674C7"/>
    <w:rsid w:val="00E70408"/>
    <w:rsid w:val="00E718B6"/>
    <w:rsid w:val="00E71907"/>
    <w:rsid w:val="00E723BA"/>
    <w:rsid w:val="00E73581"/>
    <w:rsid w:val="00E761D4"/>
    <w:rsid w:val="00E833F7"/>
    <w:rsid w:val="00E83BDF"/>
    <w:rsid w:val="00E83C18"/>
    <w:rsid w:val="00E84AF8"/>
    <w:rsid w:val="00E868C8"/>
    <w:rsid w:val="00E87A1D"/>
    <w:rsid w:val="00E9094A"/>
    <w:rsid w:val="00E91D35"/>
    <w:rsid w:val="00E926A5"/>
    <w:rsid w:val="00E9320F"/>
    <w:rsid w:val="00EA17C3"/>
    <w:rsid w:val="00EA1AD8"/>
    <w:rsid w:val="00EA2CAA"/>
    <w:rsid w:val="00EA3864"/>
    <w:rsid w:val="00EA560F"/>
    <w:rsid w:val="00EA7F1C"/>
    <w:rsid w:val="00EB15B6"/>
    <w:rsid w:val="00EB208D"/>
    <w:rsid w:val="00EB3162"/>
    <w:rsid w:val="00EB3D06"/>
    <w:rsid w:val="00EB44EE"/>
    <w:rsid w:val="00EB4916"/>
    <w:rsid w:val="00EB69AD"/>
    <w:rsid w:val="00EC00C9"/>
    <w:rsid w:val="00EC0DD9"/>
    <w:rsid w:val="00EC1438"/>
    <w:rsid w:val="00EC2649"/>
    <w:rsid w:val="00EC31ED"/>
    <w:rsid w:val="00EC5836"/>
    <w:rsid w:val="00EC688C"/>
    <w:rsid w:val="00ED342B"/>
    <w:rsid w:val="00ED359E"/>
    <w:rsid w:val="00ED57EA"/>
    <w:rsid w:val="00ED5BD4"/>
    <w:rsid w:val="00ED63FA"/>
    <w:rsid w:val="00ED7E62"/>
    <w:rsid w:val="00EE07D3"/>
    <w:rsid w:val="00EE1996"/>
    <w:rsid w:val="00EE1C01"/>
    <w:rsid w:val="00EE22AF"/>
    <w:rsid w:val="00EF0171"/>
    <w:rsid w:val="00EF1B25"/>
    <w:rsid w:val="00EF1DA0"/>
    <w:rsid w:val="00EF2CAD"/>
    <w:rsid w:val="00EF3207"/>
    <w:rsid w:val="00EF3A60"/>
    <w:rsid w:val="00EF4747"/>
    <w:rsid w:val="00EF4BF8"/>
    <w:rsid w:val="00EF5D86"/>
    <w:rsid w:val="00F02253"/>
    <w:rsid w:val="00F02482"/>
    <w:rsid w:val="00F02769"/>
    <w:rsid w:val="00F03C2E"/>
    <w:rsid w:val="00F04A66"/>
    <w:rsid w:val="00F04B4B"/>
    <w:rsid w:val="00F0516C"/>
    <w:rsid w:val="00F0607A"/>
    <w:rsid w:val="00F067A2"/>
    <w:rsid w:val="00F07B9E"/>
    <w:rsid w:val="00F10039"/>
    <w:rsid w:val="00F1116F"/>
    <w:rsid w:val="00F111EE"/>
    <w:rsid w:val="00F1263A"/>
    <w:rsid w:val="00F15B77"/>
    <w:rsid w:val="00F170A0"/>
    <w:rsid w:val="00F21D2A"/>
    <w:rsid w:val="00F24837"/>
    <w:rsid w:val="00F2575F"/>
    <w:rsid w:val="00F27565"/>
    <w:rsid w:val="00F310D4"/>
    <w:rsid w:val="00F31D5A"/>
    <w:rsid w:val="00F33975"/>
    <w:rsid w:val="00F33DE9"/>
    <w:rsid w:val="00F35E6D"/>
    <w:rsid w:val="00F35FCD"/>
    <w:rsid w:val="00F3619A"/>
    <w:rsid w:val="00F40AAA"/>
    <w:rsid w:val="00F40BA7"/>
    <w:rsid w:val="00F40F9D"/>
    <w:rsid w:val="00F41ACD"/>
    <w:rsid w:val="00F44157"/>
    <w:rsid w:val="00F45EA9"/>
    <w:rsid w:val="00F46CB6"/>
    <w:rsid w:val="00F472A7"/>
    <w:rsid w:val="00F4756D"/>
    <w:rsid w:val="00F47DE8"/>
    <w:rsid w:val="00F50050"/>
    <w:rsid w:val="00F51C62"/>
    <w:rsid w:val="00F524EB"/>
    <w:rsid w:val="00F52945"/>
    <w:rsid w:val="00F542C1"/>
    <w:rsid w:val="00F5434E"/>
    <w:rsid w:val="00F55E73"/>
    <w:rsid w:val="00F55EDA"/>
    <w:rsid w:val="00F56C80"/>
    <w:rsid w:val="00F60092"/>
    <w:rsid w:val="00F60BB0"/>
    <w:rsid w:val="00F61C18"/>
    <w:rsid w:val="00F65B13"/>
    <w:rsid w:val="00F65C15"/>
    <w:rsid w:val="00F65F4B"/>
    <w:rsid w:val="00F67A69"/>
    <w:rsid w:val="00F70388"/>
    <w:rsid w:val="00F70BFF"/>
    <w:rsid w:val="00F70C9D"/>
    <w:rsid w:val="00F74CD9"/>
    <w:rsid w:val="00F806BE"/>
    <w:rsid w:val="00F80A7B"/>
    <w:rsid w:val="00F80E5D"/>
    <w:rsid w:val="00F81E78"/>
    <w:rsid w:val="00F84CAD"/>
    <w:rsid w:val="00F851CE"/>
    <w:rsid w:val="00F85828"/>
    <w:rsid w:val="00F91219"/>
    <w:rsid w:val="00F92444"/>
    <w:rsid w:val="00F9393E"/>
    <w:rsid w:val="00F96FD0"/>
    <w:rsid w:val="00F97A78"/>
    <w:rsid w:val="00FA0B20"/>
    <w:rsid w:val="00FA0BFB"/>
    <w:rsid w:val="00FA0F8C"/>
    <w:rsid w:val="00FA1B1A"/>
    <w:rsid w:val="00FA23A7"/>
    <w:rsid w:val="00FA23B7"/>
    <w:rsid w:val="00FA23ED"/>
    <w:rsid w:val="00FA24E7"/>
    <w:rsid w:val="00FA2F73"/>
    <w:rsid w:val="00FA4AE0"/>
    <w:rsid w:val="00FA59B1"/>
    <w:rsid w:val="00FA5EE6"/>
    <w:rsid w:val="00FA7956"/>
    <w:rsid w:val="00FB2FCB"/>
    <w:rsid w:val="00FB3094"/>
    <w:rsid w:val="00FB531F"/>
    <w:rsid w:val="00FB75CE"/>
    <w:rsid w:val="00FB7C55"/>
    <w:rsid w:val="00FC1074"/>
    <w:rsid w:val="00FC1884"/>
    <w:rsid w:val="00FC29C1"/>
    <w:rsid w:val="00FC371D"/>
    <w:rsid w:val="00FC3B9E"/>
    <w:rsid w:val="00FC4EC3"/>
    <w:rsid w:val="00FC5F0B"/>
    <w:rsid w:val="00FC6636"/>
    <w:rsid w:val="00FC7A6D"/>
    <w:rsid w:val="00FD2100"/>
    <w:rsid w:val="00FD436C"/>
    <w:rsid w:val="00FD446D"/>
    <w:rsid w:val="00FD4897"/>
    <w:rsid w:val="00FD4F2C"/>
    <w:rsid w:val="00FD5373"/>
    <w:rsid w:val="00FD6394"/>
    <w:rsid w:val="00FE0D9D"/>
    <w:rsid w:val="00FE0E6C"/>
    <w:rsid w:val="00FE166F"/>
    <w:rsid w:val="00FE1CDC"/>
    <w:rsid w:val="00FE692D"/>
    <w:rsid w:val="00FE70C3"/>
    <w:rsid w:val="00FE778B"/>
    <w:rsid w:val="00FF256A"/>
    <w:rsid w:val="00FF2AD9"/>
    <w:rsid w:val="00FF359F"/>
    <w:rsid w:val="00FF3DCF"/>
    <w:rsid w:val="00FF492C"/>
    <w:rsid w:val="00FF4A21"/>
    <w:rsid w:val="00FF5AA3"/>
    <w:rsid w:val="00FF5AD8"/>
    <w:rsid w:val="00FF61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436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Styl moj,Akapit z listą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625DB2"/>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Default">
    <w:name w:val="Default"/>
    <w:rsid w:val="001171D5"/>
    <w:pPr>
      <w:autoSpaceDE w:val="0"/>
      <w:autoSpaceDN w:val="0"/>
      <w:adjustRightInd w:val="0"/>
    </w:pPr>
    <w:rPr>
      <w:rFonts w:ascii="Arial" w:hAnsi="Arial" w:cs="Arial"/>
      <w:color w:val="000000"/>
      <w:sz w:val="24"/>
      <w:szCs w:val="24"/>
      <w:lang w:val="en-IN"/>
    </w:rPr>
  </w:style>
  <w:style w:type="paragraph" w:styleId="FootnoteText">
    <w:name w:val="footnote text"/>
    <w:aliases w:val=" Char,wcp_Footnote,Footnote_Bas Page,Char"/>
    <w:basedOn w:val="Normal"/>
    <w:link w:val="FootnoteTextChar"/>
    <w:unhideWhenUsed/>
    <w:rsid w:val="001171D5"/>
    <w:rPr>
      <w:sz w:val="20"/>
      <w:szCs w:val="20"/>
    </w:rPr>
  </w:style>
  <w:style w:type="character" w:customStyle="1" w:styleId="FootnoteTextChar">
    <w:name w:val="Footnote Text Char"/>
    <w:aliases w:val=" Char Char,wcp_Footnote Char,Footnote_Bas Page Char,Char Char"/>
    <w:basedOn w:val="DefaultParagraphFont"/>
    <w:link w:val="FootnoteText"/>
    <w:rsid w:val="001171D5"/>
    <w:rPr>
      <w:rFonts w:ascii="Calibri" w:hAnsi="Calibri" w:cs="Arial"/>
    </w:rPr>
  </w:style>
  <w:style w:type="character" w:styleId="FootnoteReference">
    <w:name w:val="footnote reference"/>
    <w:basedOn w:val="DefaultParagraphFont"/>
    <w:unhideWhenUsed/>
    <w:rsid w:val="001171D5"/>
    <w:rPr>
      <w:vertAlign w:val="superscript"/>
    </w:rPr>
  </w:style>
  <w:style w:type="character" w:customStyle="1" w:styleId="Heading1Char">
    <w:name w:val="Heading 1 Char"/>
    <w:basedOn w:val="DefaultParagraphFont"/>
    <w:link w:val="Heading1"/>
    <w:uiPriority w:val="1"/>
    <w:rsid w:val="005357EC"/>
    <w:rPr>
      <w:rFonts w:ascii="Calibri" w:hAnsi="Calibri" w:cs="Arial"/>
      <w:b/>
      <w:caps/>
      <w:sz w:val="32"/>
      <w:szCs w:val="24"/>
    </w:rPr>
  </w:style>
  <w:style w:type="character" w:customStyle="1" w:styleId="Heading3Char">
    <w:name w:val="Heading 3 Char"/>
    <w:basedOn w:val="DefaultParagraphFont"/>
    <w:link w:val="Heading3"/>
    <w:rsid w:val="005357EC"/>
    <w:rPr>
      <w:rFonts w:ascii="Calibri" w:hAnsi="Calibri" w:cs="Arial"/>
      <w:sz w:val="24"/>
      <w:szCs w:val="24"/>
      <w:u w:val="single"/>
    </w:rPr>
  </w:style>
  <w:style w:type="character" w:customStyle="1" w:styleId="Heading4Char">
    <w:name w:val="Heading 4 Char"/>
    <w:basedOn w:val="DefaultParagraphFont"/>
    <w:link w:val="Heading4"/>
    <w:rsid w:val="005357EC"/>
    <w:rPr>
      <w:rFonts w:ascii="Calibri" w:hAnsi="Calibri" w:cs="Arial"/>
      <w:b/>
      <w:bCs/>
      <w:i/>
      <w:sz w:val="26"/>
      <w:szCs w:val="28"/>
    </w:rPr>
  </w:style>
  <w:style w:type="character" w:customStyle="1" w:styleId="Heading5Char">
    <w:name w:val="Heading 5 Char"/>
    <w:basedOn w:val="DefaultParagraphFont"/>
    <w:link w:val="Heading5"/>
    <w:rsid w:val="005357EC"/>
    <w:rPr>
      <w:rFonts w:ascii="Calibri" w:hAnsi="Calibri" w:cs="Arial"/>
      <w:b/>
      <w:bCs/>
      <w:iCs/>
      <w:sz w:val="26"/>
      <w:szCs w:val="26"/>
    </w:rPr>
  </w:style>
  <w:style w:type="character" w:customStyle="1" w:styleId="Heading6Char">
    <w:name w:val="Heading 6 Char"/>
    <w:basedOn w:val="DefaultParagraphFont"/>
    <w:link w:val="Heading6"/>
    <w:rsid w:val="005357EC"/>
    <w:rPr>
      <w:rFonts w:ascii="Calibri" w:hAnsi="Calibri" w:cs="Arial"/>
      <w:b/>
      <w:bCs/>
      <w:i/>
      <w:sz w:val="24"/>
      <w:szCs w:val="24"/>
    </w:rPr>
  </w:style>
  <w:style w:type="paragraph" w:customStyle="1" w:styleId="msonormal0">
    <w:name w:val="msonormal"/>
    <w:basedOn w:val="Normal"/>
    <w:uiPriority w:val="99"/>
    <w:rsid w:val="005357EC"/>
    <w:pPr>
      <w:snapToGrid w:val="0"/>
      <w:spacing w:before="100" w:after="100"/>
      <w:jc w:val="left"/>
    </w:pPr>
    <w:rPr>
      <w:rFonts w:ascii="Times New Roman" w:hAnsi="Times New Roman" w:cs="Times New Roman"/>
      <w:lang w:val="en-GB"/>
    </w:rPr>
  </w:style>
  <w:style w:type="character" w:customStyle="1" w:styleId="FootnoteTextChar1">
    <w:name w:val="Footnote Text Char1"/>
    <w:aliases w:val="Char Char1,wcp_Footnote Char1,Footnote_Bas Page Char1"/>
    <w:basedOn w:val="DefaultParagraphFont"/>
    <w:semiHidden/>
    <w:rsid w:val="005357EC"/>
    <w:rPr>
      <w:rFonts w:ascii="Calibri" w:hAnsi="Calibri" w:cs="Arial"/>
    </w:rPr>
  </w:style>
  <w:style w:type="character" w:customStyle="1" w:styleId="HeaderChar1">
    <w:name w:val="Header Char1"/>
    <w:aliases w:val="Page Header Char1,Header title Char1,he=header Char1,cntr/bld Char1"/>
    <w:basedOn w:val="DefaultParagraphFont"/>
    <w:semiHidden/>
    <w:rsid w:val="005357EC"/>
    <w:rPr>
      <w:rFonts w:ascii="Calibri" w:hAnsi="Calibri" w:cs="Arial"/>
      <w:sz w:val="24"/>
      <w:szCs w:val="24"/>
    </w:rPr>
  </w:style>
  <w:style w:type="character" w:customStyle="1" w:styleId="BodyTextChar0">
    <w:name w:val="BodyText Char"/>
    <w:basedOn w:val="DefaultParagraphFont"/>
    <w:link w:val="BodyText0"/>
    <w:uiPriority w:val="99"/>
    <w:locked/>
    <w:rsid w:val="005357EC"/>
    <w:rPr>
      <w:rFonts w:ascii="SimSun" w:eastAsia="SimSun" w:hAnsi="SimSun"/>
      <w:sz w:val="24"/>
      <w:szCs w:val="24"/>
      <w:lang w:eastAsia="en-US"/>
    </w:rPr>
  </w:style>
  <w:style w:type="paragraph" w:customStyle="1" w:styleId="BodyText0">
    <w:name w:val="BodyText"/>
    <w:basedOn w:val="Normal"/>
    <w:link w:val="BodyTextChar0"/>
    <w:uiPriority w:val="99"/>
    <w:rsid w:val="005357EC"/>
    <w:pPr>
      <w:widowControl w:val="0"/>
    </w:pPr>
    <w:rPr>
      <w:rFonts w:ascii="SimSun" w:eastAsia="SimSun" w:hAnsi="SimSun" w:cs="Times New Roman"/>
      <w:lang w:eastAsia="en-US"/>
    </w:rPr>
  </w:style>
  <w:style w:type="character" w:customStyle="1" w:styleId="TablefootnoteChar">
    <w:name w:val="Table footnote Char"/>
    <w:basedOn w:val="DefaultParagraphFont"/>
    <w:link w:val="Tablefootnote"/>
    <w:locked/>
    <w:rsid w:val="005357EC"/>
    <w:rPr>
      <w:rFonts w:ascii="Arial Narrow" w:hAnsi="Arial Narrow"/>
      <w:sz w:val="18"/>
      <w:szCs w:val="22"/>
      <w:lang w:eastAsia="en-US"/>
    </w:rPr>
  </w:style>
  <w:style w:type="paragraph" w:customStyle="1" w:styleId="Tablefootnote">
    <w:name w:val="Table footnote"/>
    <w:basedOn w:val="Normal"/>
    <w:link w:val="TablefootnoteChar"/>
    <w:qFormat/>
    <w:rsid w:val="005357EC"/>
    <w:pPr>
      <w:keepNext/>
      <w:keepLines/>
      <w:spacing w:before="120" w:after="120"/>
      <w:contextualSpacing/>
      <w:jc w:val="left"/>
    </w:pPr>
    <w:rPr>
      <w:rFonts w:ascii="Arial Narrow" w:hAnsi="Arial Narrow" w:cs="Times New Roman"/>
      <w:sz w:val="18"/>
      <w:szCs w:val="22"/>
      <w:lang w:eastAsia="en-US"/>
    </w:rPr>
  </w:style>
  <w:style w:type="character" w:customStyle="1" w:styleId="NoteChar">
    <w:name w:val="Note Char"/>
    <w:link w:val="Note"/>
    <w:locked/>
    <w:rsid w:val="005357EC"/>
    <w:rPr>
      <w:rFonts w:ascii="Arial Narrow" w:hAnsi="Arial Narrow"/>
      <w:sz w:val="18"/>
      <w:szCs w:val="18"/>
      <w:lang w:val="x-none" w:eastAsia="en-US"/>
    </w:rPr>
  </w:style>
  <w:style w:type="paragraph" w:customStyle="1" w:styleId="Note">
    <w:name w:val="Note"/>
    <w:basedOn w:val="Normal"/>
    <w:link w:val="NoteChar"/>
    <w:qFormat/>
    <w:rsid w:val="005357EC"/>
    <w:pPr>
      <w:keepNext/>
      <w:keepLines/>
      <w:ind w:right="-43"/>
    </w:pPr>
    <w:rPr>
      <w:rFonts w:ascii="Arial Narrow" w:hAnsi="Arial Narrow" w:cs="Times New Roman"/>
      <w:sz w:val="18"/>
      <w:szCs w:val="18"/>
      <w:lang w:val="x-none" w:eastAsia="en-US"/>
    </w:rPr>
  </w:style>
  <w:style w:type="table" w:customStyle="1" w:styleId="ASDTable171">
    <w:name w:val="ASD Table171"/>
    <w:basedOn w:val="TableNormal"/>
    <w:uiPriority w:val="39"/>
    <w:rsid w:val="005357EC"/>
    <w:pPr>
      <w:jc w:val="both"/>
    </w:pPr>
    <w:rPr>
      <w:rFonts w:asciiTheme="minorHAnsi" w:eastAsiaTheme="minorEastAsia"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7">
    <w:name w:val="ASD Table17"/>
    <w:basedOn w:val="TableNormal"/>
    <w:uiPriority w:val="39"/>
    <w:rsid w:val="005357EC"/>
    <w:pPr>
      <w:jc w:val="both"/>
    </w:pPr>
    <w:rPr>
      <w:rFonts w:asciiTheme="minorHAnsi" w:eastAsiaTheme="minorEastAsia"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4850"/>
    <w:rPr>
      <w:color w:val="808080"/>
    </w:rPr>
  </w:style>
  <w:style w:type="character" w:customStyle="1" w:styleId="BodyText1Char">
    <w:name w:val="Body Text1 Char"/>
    <w:link w:val="BodyText1"/>
    <w:locked/>
    <w:rsid w:val="00DC33F2"/>
    <w:rPr>
      <w:rFonts w:ascii="Arial" w:hAnsi="Arial"/>
      <w:sz w:val="22"/>
      <w:szCs w:val="22"/>
      <w:lang w:val="en-US" w:eastAsia="en-GB"/>
    </w:rPr>
  </w:style>
  <w:style w:type="paragraph" w:customStyle="1" w:styleId="BodyText1">
    <w:name w:val="Body Text1"/>
    <w:basedOn w:val="Normal"/>
    <w:link w:val="BodyText1Char"/>
    <w:qFormat/>
    <w:rsid w:val="00DC33F2"/>
    <w:pPr>
      <w:widowControl w:val="0"/>
      <w:spacing w:before="120" w:after="120" w:line="276" w:lineRule="auto"/>
    </w:pPr>
    <w:rPr>
      <w:rFonts w:ascii="Arial" w:hAnsi="Arial" w:cs="Times New Roman"/>
      <w:sz w:val="22"/>
      <w:szCs w:val="22"/>
      <w:lang w:val="en-US" w:eastAsia="en-GB"/>
    </w:rPr>
  </w:style>
  <w:style w:type="paragraph" w:customStyle="1" w:styleId="Heading40">
    <w:name w:val="Heading4"/>
    <w:basedOn w:val="Normal"/>
    <w:next w:val="Normal"/>
    <w:link w:val="Heading4Char0"/>
    <w:autoRedefine/>
    <w:qFormat/>
    <w:rsid w:val="00DC33F2"/>
    <w:pPr>
      <w:keepNext/>
      <w:keepLines/>
      <w:spacing w:before="240" w:after="120" w:line="276" w:lineRule="auto"/>
      <w:contextualSpacing/>
      <w:jc w:val="left"/>
      <w:outlineLvl w:val="3"/>
    </w:pPr>
    <w:rPr>
      <w:rFonts w:ascii="Arial" w:hAnsi="Arial" w:cs="Times New Roman"/>
      <w:b/>
      <w:sz w:val="22"/>
      <w:lang w:eastAsia="en-GB"/>
    </w:rPr>
  </w:style>
  <w:style w:type="character" w:customStyle="1" w:styleId="Heading4Char0">
    <w:name w:val="Heading4 Char"/>
    <w:link w:val="Heading40"/>
    <w:locked/>
    <w:rsid w:val="00DC33F2"/>
    <w:rPr>
      <w:rFonts w:ascii="Arial" w:hAnsi="Arial"/>
      <w:b/>
      <w:sz w:val="22"/>
      <w:szCs w:val="24"/>
      <w:lang w:eastAsia="en-GB"/>
    </w:rPr>
  </w:style>
  <w:style w:type="paragraph" w:customStyle="1" w:styleId="3-SubsectionHeading">
    <w:name w:val="3-Subsection Heading"/>
    <w:basedOn w:val="Heading2"/>
    <w:next w:val="Normal"/>
    <w:link w:val="3-SubsectionHeadingChar"/>
    <w:qFormat/>
    <w:rsid w:val="00C97DB4"/>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C97DB4"/>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7687">
      <w:bodyDiv w:val="1"/>
      <w:marLeft w:val="0"/>
      <w:marRight w:val="0"/>
      <w:marTop w:val="0"/>
      <w:marBottom w:val="0"/>
      <w:divBdr>
        <w:top w:val="none" w:sz="0" w:space="0" w:color="auto"/>
        <w:left w:val="none" w:sz="0" w:space="0" w:color="auto"/>
        <w:bottom w:val="none" w:sz="0" w:space="0" w:color="auto"/>
        <w:right w:val="none" w:sz="0" w:space="0" w:color="auto"/>
      </w:divBdr>
    </w:div>
    <w:div w:id="57167385">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62360173">
      <w:bodyDiv w:val="1"/>
      <w:marLeft w:val="0"/>
      <w:marRight w:val="0"/>
      <w:marTop w:val="0"/>
      <w:marBottom w:val="0"/>
      <w:divBdr>
        <w:top w:val="none" w:sz="0" w:space="0" w:color="auto"/>
        <w:left w:val="none" w:sz="0" w:space="0" w:color="auto"/>
        <w:bottom w:val="none" w:sz="0" w:space="0" w:color="auto"/>
        <w:right w:val="none" w:sz="0" w:space="0" w:color="auto"/>
      </w:divBdr>
    </w:div>
    <w:div w:id="178666157">
      <w:bodyDiv w:val="1"/>
      <w:marLeft w:val="0"/>
      <w:marRight w:val="0"/>
      <w:marTop w:val="0"/>
      <w:marBottom w:val="0"/>
      <w:divBdr>
        <w:top w:val="none" w:sz="0" w:space="0" w:color="auto"/>
        <w:left w:val="none" w:sz="0" w:space="0" w:color="auto"/>
        <w:bottom w:val="none" w:sz="0" w:space="0" w:color="auto"/>
        <w:right w:val="none" w:sz="0" w:space="0" w:color="auto"/>
      </w:divBdr>
    </w:div>
    <w:div w:id="192421771">
      <w:bodyDiv w:val="1"/>
      <w:marLeft w:val="0"/>
      <w:marRight w:val="0"/>
      <w:marTop w:val="0"/>
      <w:marBottom w:val="0"/>
      <w:divBdr>
        <w:top w:val="none" w:sz="0" w:space="0" w:color="auto"/>
        <w:left w:val="none" w:sz="0" w:space="0" w:color="auto"/>
        <w:bottom w:val="none" w:sz="0" w:space="0" w:color="auto"/>
        <w:right w:val="none" w:sz="0" w:space="0" w:color="auto"/>
      </w:divBdr>
    </w:div>
    <w:div w:id="20854225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8826609">
      <w:bodyDiv w:val="1"/>
      <w:marLeft w:val="0"/>
      <w:marRight w:val="0"/>
      <w:marTop w:val="0"/>
      <w:marBottom w:val="0"/>
      <w:divBdr>
        <w:top w:val="none" w:sz="0" w:space="0" w:color="auto"/>
        <w:left w:val="none" w:sz="0" w:space="0" w:color="auto"/>
        <w:bottom w:val="none" w:sz="0" w:space="0" w:color="auto"/>
        <w:right w:val="none" w:sz="0" w:space="0" w:color="auto"/>
      </w:divBdr>
    </w:div>
    <w:div w:id="367606005">
      <w:bodyDiv w:val="1"/>
      <w:marLeft w:val="0"/>
      <w:marRight w:val="0"/>
      <w:marTop w:val="0"/>
      <w:marBottom w:val="0"/>
      <w:divBdr>
        <w:top w:val="none" w:sz="0" w:space="0" w:color="auto"/>
        <w:left w:val="none" w:sz="0" w:space="0" w:color="auto"/>
        <w:bottom w:val="none" w:sz="0" w:space="0" w:color="auto"/>
        <w:right w:val="none" w:sz="0" w:space="0" w:color="auto"/>
      </w:divBdr>
    </w:div>
    <w:div w:id="370157011">
      <w:bodyDiv w:val="1"/>
      <w:marLeft w:val="0"/>
      <w:marRight w:val="0"/>
      <w:marTop w:val="0"/>
      <w:marBottom w:val="0"/>
      <w:divBdr>
        <w:top w:val="none" w:sz="0" w:space="0" w:color="auto"/>
        <w:left w:val="none" w:sz="0" w:space="0" w:color="auto"/>
        <w:bottom w:val="none" w:sz="0" w:space="0" w:color="auto"/>
        <w:right w:val="none" w:sz="0" w:space="0" w:color="auto"/>
      </w:divBdr>
    </w:div>
    <w:div w:id="403452789">
      <w:bodyDiv w:val="1"/>
      <w:marLeft w:val="0"/>
      <w:marRight w:val="0"/>
      <w:marTop w:val="0"/>
      <w:marBottom w:val="0"/>
      <w:divBdr>
        <w:top w:val="none" w:sz="0" w:space="0" w:color="auto"/>
        <w:left w:val="none" w:sz="0" w:space="0" w:color="auto"/>
        <w:bottom w:val="none" w:sz="0" w:space="0" w:color="auto"/>
        <w:right w:val="none" w:sz="0" w:space="0" w:color="auto"/>
      </w:divBdr>
    </w:div>
    <w:div w:id="437140340">
      <w:bodyDiv w:val="1"/>
      <w:marLeft w:val="0"/>
      <w:marRight w:val="0"/>
      <w:marTop w:val="0"/>
      <w:marBottom w:val="0"/>
      <w:divBdr>
        <w:top w:val="none" w:sz="0" w:space="0" w:color="auto"/>
        <w:left w:val="none" w:sz="0" w:space="0" w:color="auto"/>
        <w:bottom w:val="none" w:sz="0" w:space="0" w:color="auto"/>
        <w:right w:val="none" w:sz="0" w:space="0" w:color="auto"/>
      </w:divBdr>
    </w:div>
    <w:div w:id="483545145">
      <w:bodyDiv w:val="1"/>
      <w:marLeft w:val="0"/>
      <w:marRight w:val="0"/>
      <w:marTop w:val="0"/>
      <w:marBottom w:val="0"/>
      <w:divBdr>
        <w:top w:val="none" w:sz="0" w:space="0" w:color="auto"/>
        <w:left w:val="none" w:sz="0" w:space="0" w:color="auto"/>
        <w:bottom w:val="none" w:sz="0" w:space="0" w:color="auto"/>
        <w:right w:val="none" w:sz="0" w:space="0" w:color="auto"/>
      </w:divBdr>
    </w:div>
    <w:div w:id="486941331">
      <w:bodyDiv w:val="1"/>
      <w:marLeft w:val="0"/>
      <w:marRight w:val="0"/>
      <w:marTop w:val="0"/>
      <w:marBottom w:val="0"/>
      <w:divBdr>
        <w:top w:val="none" w:sz="0" w:space="0" w:color="auto"/>
        <w:left w:val="none" w:sz="0" w:space="0" w:color="auto"/>
        <w:bottom w:val="none" w:sz="0" w:space="0" w:color="auto"/>
        <w:right w:val="none" w:sz="0" w:space="0" w:color="auto"/>
      </w:divBdr>
    </w:div>
    <w:div w:id="506402697">
      <w:bodyDiv w:val="1"/>
      <w:marLeft w:val="0"/>
      <w:marRight w:val="0"/>
      <w:marTop w:val="0"/>
      <w:marBottom w:val="0"/>
      <w:divBdr>
        <w:top w:val="none" w:sz="0" w:space="0" w:color="auto"/>
        <w:left w:val="none" w:sz="0" w:space="0" w:color="auto"/>
        <w:bottom w:val="none" w:sz="0" w:space="0" w:color="auto"/>
        <w:right w:val="none" w:sz="0" w:space="0" w:color="auto"/>
      </w:divBdr>
    </w:div>
    <w:div w:id="520247829">
      <w:bodyDiv w:val="1"/>
      <w:marLeft w:val="0"/>
      <w:marRight w:val="0"/>
      <w:marTop w:val="0"/>
      <w:marBottom w:val="0"/>
      <w:divBdr>
        <w:top w:val="none" w:sz="0" w:space="0" w:color="auto"/>
        <w:left w:val="none" w:sz="0" w:space="0" w:color="auto"/>
        <w:bottom w:val="none" w:sz="0" w:space="0" w:color="auto"/>
        <w:right w:val="none" w:sz="0" w:space="0" w:color="auto"/>
      </w:divBdr>
    </w:div>
    <w:div w:id="555043877">
      <w:bodyDiv w:val="1"/>
      <w:marLeft w:val="0"/>
      <w:marRight w:val="0"/>
      <w:marTop w:val="0"/>
      <w:marBottom w:val="0"/>
      <w:divBdr>
        <w:top w:val="none" w:sz="0" w:space="0" w:color="auto"/>
        <w:left w:val="none" w:sz="0" w:space="0" w:color="auto"/>
        <w:bottom w:val="none" w:sz="0" w:space="0" w:color="auto"/>
        <w:right w:val="none" w:sz="0" w:space="0" w:color="auto"/>
      </w:divBdr>
    </w:div>
    <w:div w:id="581911711">
      <w:bodyDiv w:val="1"/>
      <w:marLeft w:val="0"/>
      <w:marRight w:val="0"/>
      <w:marTop w:val="0"/>
      <w:marBottom w:val="0"/>
      <w:divBdr>
        <w:top w:val="none" w:sz="0" w:space="0" w:color="auto"/>
        <w:left w:val="none" w:sz="0" w:space="0" w:color="auto"/>
        <w:bottom w:val="none" w:sz="0" w:space="0" w:color="auto"/>
        <w:right w:val="none" w:sz="0" w:space="0" w:color="auto"/>
      </w:divBdr>
    </w:div>
    <w:div w:id="595671714">
      <w:bodyDiv w:val="1"/>
      <w:marLeft w:val="0"/>
      <w:marRight w:val="0"/>
      <w:marTop w:val="0"/>
      <w:marBottom w:val="0"/>
      <w:divBdr>
        <w:top w:val="none" w:sz="0" w:space="0" w:color="auto"/>
        <w:left w:val="none" w:sz="0" w:space="0" w:color="auto"/>
        <w:bottom w:val="none" w:sz="0" w:space="0" w:color="auto"/>
        <w:right w:val="none" w:sz="0" w:space="0" w:color="auto"/>
      </w:divBdr>
    </w:div>
    <w:div w:id="645083665">
      <w:bodyDiv w:val="1"/>
      <w:marLeft w:val="0"/>
      <w:marRight w:val="0"/>
      <w:marTop w:val="0"/>
      <w:marBottom w:val="0"/>
      <w:divBdr>
        <w:top w:val="none" w:sz="0" w:space="0" w:color="auto"/>
        <w:left w:val="none" w:sz="0" w:space="0" w:color="auto"/>
        <w:bottom w:val="none" w:sz="0" w:space="0" w:color="auto"/>
        <w:right w:val="none" w:sz="0" w:space="0" w:color="auto"/>
      </w:divBdr>
    </w:div>
    <w:div w:id="920405730">
      <w:bodyDiv w:val="1"/>
      <w:marLeft w:val="0"/>
      <w:marRight w:val="0"/>
      <w:marTop w:val="0"/>
      <w:marBottom w:val="0"/>
      <w:divBdr>
        <w:top w:val="none" w:sz="0" w:space="0" w:color="auto"/>
        <w:left w:val="none" w:sz="0" w:space="0" w:color="auto"/>
        <w:bottom w:val="none" w:sz="0" w:space="0" w:color="auto"/>
        <w:right w:val="none" w:sz="0" w:space="0" w:color="auto"/>
      </w:divBdr>
    </w:div>
    <w:div w:id="968513132">
      <w:bodyDiv w:val="1"/>
      <w:marLeft w:val="0"/>
      <w:marRight w:val="0"/>
      <w:marTop w:val="0"/>
      <w:marBottom w:val="0"/>
      <w:divBdr>
        <w:top w:val="none" w:sz="0" w:space="0" w:color="auto"/>
        <w:left w:val="none" w:sz="0" w:space="0" w:color="auto"/>
        <w:bottom w:val="none" w:sz="0" w:space="0" w:color="auto"/>
        <w:right w:val="none" w:sz="0" w:space="0" w:color="auto"/>
      </w:divBdr>
    </w:div>
    <w:div w:id="973675027">
      <w:bodyDiv w:val="1"/>
      <w:marLeft w:val="0"/>
      <w:marRight w:val="0"/>
      <w:marTop w:val="0"/>
      <w:marBottom w:val="0"/>
      <w:divBdr>
        <w:top w:val="none" w:sz="0" w:space="0" w:color="auto"/>
        <w:left w:val="none" w:sz="0" w:space="0" w:color="auto"/>
        <w:bottom w:val="none" w:sz="0" w:space="0" w:color="auto"/>
        <w:right w:val="none" w:sz="0" w:space="0" w:color="auto"/>
      </w:divBdr>
    </w:div>
    <w:div w:id="974405097">
      <w:bodyDiv w:val="1"/>
      <w:marLeft w:val="0"/>
      <w:marRight w:val="0"/>
      <w:marTop w:val="0"/>
      <w:marBottom w:val="0"/>
      <w:divBdr>
        <w:top w:val="none" w:sz="0" w:space="0" w:color="auto"/>
        <w:left w:val="none" w:sz="0" w:space="0" w:color="auto"/>
        <w:bottom w:val="none" w:sz="0" w:space="0" w:color="auto"/>
        <w:right w:val="none" w:sz="0" w:space="0" w:color="auto"/>
      </w:divBdr>
    </w:div>
    <w:div w:id="1015228565">
      <w:bodyDiv w:val="1"/>
      <w:marLeft w:val="0"/>
      <w:marRight w:val="0"/>
      <w:marTop w:val="0"/>
      <w:marBottom w:val="0"/>
      <w:divBdr>
        <w:top w:val="none" w:sz="0" w:space="0" w:color="auto"/>
        <w:left w:val="none" w:sz="0" w:space="0" w:color="auto"/>
        <w:bottom w:val="none" w:sz="0" w:space="0" w:color="auto"/>
        <w:right w:val="none" w:sz="0" w:space="0" w:color="auto"/>
      </w:divBdr>
    </w:div>
    <w:div w:id="1056902536">
      <w:bodyDiv w:val="1"/>
      <w:marLeft w:val="0"/>
      <w:marRight w:val="0"/>
      <w:marTop w:val="0"/>
      <w:marBottom w:val="0"/>
      <w:divBdr>
        <w:top w:val="none" w:sz="0" w:space="0" w:color="auto"/>
        <w:left w:val="none" w:sz="0" w:space="0" w:color="auto"/>
        <w:bottom w:val="none" w:sz="0" w:space="0" w:color="auto"/>
        <w:right w:val="none" w:sz="0" w:space="0" w:color="auto"/>
      </w:divBdr>
    </w:div>
    <w:div w:id="1111824290">
      <w:bodyDiv w:val="1"/>
      <w:marLeft w:val="0"/>
      <w:marRight w:val="0"/>
      <w:marTop w:val="0"/>
      <w:marBottom w:val="0"/>
      <w:divBdr>
        <w:top w:val="none" w:sz="0" w:space="0" w:color="auto"/>
        <w:left w:val="none" w:sz="0" w:space="0" w:color="auto"/>
        <w:bottom w:val="none" w:sz="0" w:space="0" w:color="auto"/>
        <w:right w:val="none" w:sz="0" w:space="0" w:color="auto"/>
      </w:divBdr>
    </w:div>
    <w:div w:id="1114979591">
      <w:bodyDiv w:val="1"/>
      <w:marLeft w:val="0"/>
      <w:marRight w:val="0"/>
      <w:marTop w:val="0"/>
      <w:marBottom w:val="0"/>
      <w:divBdr>
        <w:top w:val="none" w:sz="0" w:space="0" w:color="auto"/>
        <w:left w:val="none" w:sz="0" w:space="0" w:color="auto"/>
        <w:bottom w:val="none" w:sz="0" w:space="0" w:color="auto"/>
        <w:right w:val="none" w:sz="0" w:space="0" w:color="auto"/>
      </w:divBdr>
    </w:div>
    <w:div w:id="1134368346">
      <w:bodyDiv w:val="1"/>
      <w:marLeft w:val="0"/>
      <w:marRight w:val="0"/>
      <w:marTop w:val="0"/>
      <w:marBottom w:val="0"/>
      <w:divBdr>
        <w:top w:val="none" w:sz="0" w:space="0" w:color="auto"/>
        <w:left w:val="none" w:sz="0" w:space="0" w:color="auto"/>
        <w:bottom w:val="none" w:sz="0" w:space="0" w:color="auto"/>
        <w:right w:val="none" w:sz="0" w:space="0" w:color="auto"/>
      </w:divBdr>
    </w:div>
    <w:div w:id="1142193682">
      <w:bodyDiv w:val="1"/>
      <w:marLeft w:val="0"/>
      <w:marRight w:val="0"/>
      <w:marTop w:val="0"/>
      <w:marBottom w:val="0"/>
      <w:divBdr>
        <w:top w:val="none" w:sz="0" w:space="0" w:color="auto"/>
        <w:left w:val="none" w:sz="0" w:space="0" w:color="auto"/>
        <w:bottom w:val="none" w:sz="0" w:space="0" w:color="auto"/>
        <w:right w:val="none" w:sz="0" w:space="0" w:color="auto"/>
      </w:divBdr>
    </w:div>
    <w:div w:id="114786736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0035">
      <w:bodyDiv w:val="1"/>
      <w:marLeft w:val="0"/>
      <w:marRight w:val="0"/>
      <w:marTop w:val="0"/>
      <w:marBottom w:val="0"/>
      <w:divBdr>
        <w:top w:val="none" w:sz="0" w:space="0" w:color="auto"/>
        <w:left w:val="none" w:sz="0" w:space="0" w:color="auto"/>
        <w:bottom w:val="none" w:sz="0" w:space="0" w:color="auto"/>
        <w:right w:val="none" w:sz="0" w:space="0" w:color="auto"/>
      </w:divBdr>
    </w:div>
    <w:div w:id="1222057452">
      <w:bodyDiv w:val="1"/>
      <w:marLeft w:val="0"/>
      <w:marRight w:val="0"/>
      <w:marTop w:val="0"/>
      <w:marBottom w:val="0"/>
      <w:divBdr>
        <w:top w:val="none" w:sz="0" w:space="0" w:color="auto"/>
        <w:left w:val="none" w:sz="0" w:space="0" w:color="auto"/>
        <w:bottom w:val="none" w:sz="0" w:space="0" w:color="auto"/>
        <w:right w:val="none" w:sz="0" w:space="0" w:color="auto"/>
      </w:divBdr>
    </w:div>
    <w:div w:id="1226837193">
      <w:bodyDiv w:val="1"/>
      <w:marLeft w:val="0"/>
      <w:marRight w:val="0"/>
      <w:marTop w:val="0"/>
      <w:marBottom w:val="0"/>
      <w:divBdr>
        <w:top w:val="none" w:sz="0" w:space="0" w:color="auto"/>
        <w:left w:val="none" w:sz="0" w:space="0" w:color="auto"/>
        <w:bottom w:val="none" w:sz="0" w:space="0" w:color="auto"/>
        <w:right w:val="none" w:sz="0" w:space="0" w:color="auto"/>
      </w:divBdr>
    </w:div>
    <w:div w:id="1247349524">
      <w:bodyDiv w:val="1"/>
      <w:marLeft w:val="0"/>
      <w:marRight w:val="0"/>
      <w:marTop w:val="0"/>
      <w:marBottom w:val="0"/>
      <w:divBdr>
        <w:top w:val="none" w:sz="0" w:space="0" w:color="auto"/>
        <w:left w:val="none" w:sz="0" w:space="0" w:color="auto"/>
        <w:bottom w:val="none" w:sz="0" w:space="0" w:color="auto"/>
        <w:right w:val="none" w:sz="0" w:space="0" w:color="auto"/>
      </w:divBdr>
    </w:div>
    <w:div w:id="1301577007">
      <w:bodyDiv w:val="1"/>
      <w:marLeft w:val="0"/>
      <w:marRight w:val="0"/>
      <w:marTop w:val="0"/>
      <w:marBottom w:val="0"/>
      <w:divBdr>
        <w:top w:val="none" w:sz="0" w:space="0" w:color="auto"/>
        <w:left w:val="none" w:sz="0" w:space="0" w:color="auto"/>
        <w:bottom w:val="none" w:sz="0" w:space="0" w:color="auto"/>
        <w:right w:val="none" w:sz="0" w:space="0" w:color="auto"/>
      </w:divBdr>
    </w:div>
    <w:div w:id="1310017736">
      <w:bodyDiv w:val="1"/>
      <w:marLeft w:val="0"/>
      <w:marRight w:val="0"/>
      <w:marTop w:val="0"/>
      <w:marBottom w:val="0"/>
      <w:divBdr>
        <w:top w:val="none" w:sz="0" w:space="0" w:color="auto"/>
        <w:left w:val="none" w:sz="0" w:space="0" w:color="auto"/>
        <w:bottom w:val="none" w:sz="0" w:space="0" w:color="auto"/>
        <w:right w:val="none" w:sz="0" w:space="0" w:color="auto"/>
      </w:divBdr>
    </w:div>
    <w:div w:id="1323268660">
      <w:bodyDiv w:val="1"/>
      <w:marLeft w:val="0"/>
      <w:marRight w:val="0"/>
      <w:marTop w:val="0"/>
      <w:marBottom w:val="0"/>
      <w:divBdr>
        <w:top w:val="none" w:sz="0" w:space="0" w:color="auto"/>
        <w:left w:val="none" w:sz="0" w:space="0" w:color="auto"/>
        <w:bottom w:val="none" w:sz="0" w:space="0" w:color="auto"/>
        <w:right w:val="none" w:sz="0" w:space="0" w:color="auto"/>
      </w:divBdr>
    </w:div>
    <w:div w:id="1380321292">
      <w:bodyDiv w:val="1"/>
      <w:marLeft w:val="0"/>
      <w:marRight w:val="0"/>
      <w:marTop w:val="0"/>
      <w:marBottom w:val="0"/>
      <w:divBdr>
        <w:top w:val="none" w:sz="0" w:space="0" w:color="auto"/>
        <w:left w:val="none" w:sz="0" w:space="0" w:color="auto"/>
        <w:bottom w:val="none" w:sz="0" w:space="0" w:color="auto"/>
        <w:right w:val="none" w:sz="0" w:space="0" w:color="auto"/>
      </w:divBdr>
    </w:div>
    <w:div w:id="1385563262">
      <w:bodyDiv w:val="1"/>
      <w:marLeft w:val="0"/>
      <w:marRight w:val="0"/>
      <w:marTop w:val="0"/>
      <w:marBottom w:val="0"/>
      <w:divBdr>
        <w:top w:val="none" w:sz="0" w:space="0" w:color="auto"/>
        <w:left w:val="none" w:sz="0" w:space="0" w:color="auto"/>
        <w:bottom w:val="none" w:sz="0" w:space="0" w:color="auto"/>
        <w:right w:val="none" w:sz="0" w:space="0" w:color="auto"/>
      </w:divBdr>
    </w:div>
    <w:div w:id="1429691358">
      <w:bodyDiv w:val="1"/>
      <w:marLeft w:val="0"/>
      <w:marRight w:val="0"/>
      <w:marTop w:val="0"/>
      <w:marBottom w:val="0"/>
      <w:divBdr>
        <w:top w:val="none" w:sz="0" w:space="0" w:color="auto"/>
        <w:left w:val="none" w:sz="0" w:space="0" w:color="auto"/>
        <w:bottom w:val="none" w:sz="0" w:space="0" w:color="auto"/>
        <w:right w:val="none" w:sz="0" w:space="0" w:color="auto"/>
      </w:divBdr>
    </w:div>
    <w:div w:id="1429933815">
      <w:bodyDiv w:val="1"/>
      <w:marLeft w:val="0"/>
      <w:marRight w:val="0"/>
      <w:marTop w:val="0"/>
      <w:marBottom w:val="0"/>
      <w:divBdr>
        <w:top w:val="none" w:sz="0" w:space="0" w:color="auto"/>
        <w:left w:val="none" w:sz="0" w:space="0" w:color="auto"/>
        <w:bottom w:val="none" w:sz="0" w:space="0" w:color="auto"/>
        <w:right w:val="none" w:sz="0" w:space="0" w:color="auto"/>
      </w:divBdr>
    </w:div>
    <w:div w:id="1447583615">
      <w:bodyDiv w:val="1"/>
      <w:marLeft w:val="0"/>
      <w:marRight w:val="0"/>
      <w:marTop w:val="0"/>
      <w:marBottom w:val="0"/>
      <w:divBdr>
        <w:top w:val="none" w:sz="0" w:space="0" w:color="auto"/>
        <w:left w:val="none" w:sz="0" w:space="0" w:color="auto"/>
        <w:bottom w:val="none" w:sz="0" w:space="0" w:color="auto"/>
        <w:right w:val="none" w:sz="0" w:space="0" w:color="auto"/>
      </w:divBdr>
    </w:div>
    <w:div w:id="1485467477">
      <w:bodyDiv w:val="1"/>
      <w:marLeft w:val="0"/>
      <w:marRight w:val="0"/>
      <w:marTop w:val="0"/>
      <w:marBottom w:val="0"/>
      <w:divBdr>
        <w:top w:val="none" w:sz="0" w:space="0" w:color="auto"/>
        <w:left w:val="none" w:sz="0" w:space="0" w:color="auto"/>
        <w:bottom w:val="none" w:sz="0" w:space="0" w:color="auto"/>
        <w:right w:val="none" w:sz="0" w:space="0" w:color="auto"/>
      </w:divBdr>
    </w:div>
    <w:div w:id="1495798957">
      <w:bodyDiv w:val="1"/>
      <w:marLeft w:val="0"/>
      <w:marRight w:val="0"/>
      <w:marTop w:val="0"/>
      <w:marBottom w:val="0"/>
      <w:divBdr>
        <w:top w:val="none" w:sz="0" w:space="0" w:color="auto"/>
        <w:left w:val="none" w:sz="0" w:space="0" w:color="auto"/>
        <w:bottom w:val="none" w:sz="0" w:space="0" w:color="auto"/>
        <w:right w:val="none" w:sz="0" w:space="0" w:color="auto"/>
      </w:divBdr>
    </w:div>
    <w:div w:id="1542520905">
      <w:bodyDiv w:val="1"/>
      <w:marLeft w:val="0"/>
      <w:marRight w:val="0"/>
      <w:marTop w:val="0"/>
      <w:marBottom w:val="0"/>
      <w:divBdr>
        <w:top w:val="none" w:sz="0" w:space="0" w:color="auto"/>
        <w:left w:val="none" w:sz="0" w:space="0" w:color="auto"/>
        <w:bottom w:val="none" w:sz="0" w:space="0" w:color="auto"/>
        <w:right w:val="none" w:sz="0" w:space="0" w:color="auto"/>
      </w:divBdr>
    </w:div>
    <w:div w:id="1605073304">
      <w:bodyDiv w:val="1"/>
      <w:marLeft w:val="0"/>
      <w:marRight w:val="0"/>
      <w:marTop w:val="0"/>
      <w:marBottom w:val="0"/>
      <w:divBdr>
        <w:top w:val="none" w:sz="0" w:space="0" w:color="auto"/>
        <w:left w:val="none" w:sz="0" w:space="0" w:color="auto"/>
        <w:bottom w:val="none" w:sz="0" w:space="0" w:color="auto"/>
        <w:right w:val="none" w:sz="0" w:space="0" w:color="auto"/>
      </w:divBdr>
    </w:div>
    <w:div w:id="1620648938">
      <w:bodyDiv w:val="1"/>
      <w:marLeft w:val="0"/>
      <w:marRight w:val="0"/>
      <w:marTop w:val="0"/>
      <w:marBottom w:val="0"/>
      <w:divBdr>
        <w:top w:val="none" w:sz="0" w:space="0" w:color="auto"/>
        <w:left w:val="none" w:sz="0" w:space="0" w:color="auto"/>
        <w:bottom w:val="none" w:sz="0" w:space="0" w:color="auto"/>
        <w:right w:val="none" w:sz="0" w:space="0" w:color="auto"/>
      </w:divBdr>
    </w:div>
    <w:div w:id="1639064226">
      <w:bodyDiv w:val="1"/>
      <w:marLeft w:val="0"/>
      <w:marRight w:val="0"/>
      <w:marTop w:val="0"/>
      <w:marBottom w:val="0"/>
      <w:divBdr>
        <w:top w:val="none" w:sz="0" w:space="0" w:color="auto"/>
        <w:left w:val="none" w:sz="0" w:space="0" w:color="auto"/>
        <w:bottom w:val="none" w:sz="0" w:space="0" w:color="auto"/>
        <w:right w:val="none" w:sz="0" w:space="0" w:color="auto"/>
      </w:divBdr>
    </w:div>
    <w:div w:id="1650554701">
      <w:bodyDiv w:val="1"/>
      <w:marLeft w:val="0"/>
      <w:marRight w:val="0"/>
      <w:marTop w:val="0"/>
      <w:marBottom w:val="0"/>
      <w:divBdr>
        <w:top w:val="none" w:sz="0" w:space="0" w:color="auto"/>
        <w:left w:val="none" w:sz="0" w:space="0" w:color="auto"/>
        <w:bottom w:val="none" w:sz="0" w:space="0" w:color="auto"/>
        <w:right w:val="none" w:sz="0" w:space="0" w:color="auto"/>
      </w:divBdr>
    </w:div>
    <w:div w:id="1657030939">
      <w:bodyDiv w:val="1"/>
      <w:marLeft w:val="0"/>
      <w:marRight w:val="0"/>
      <w:marTop w:val="0"/>
      <w:marBottom w:val="0"/>
      <w:divBdr>
        <w:top w:val="none" w:sz="0" w:space="0" w:color="auto"/>
        <w:left w:val="none" w:sz="0" w:space="0" w:color="auto"/>
        <w:bottom w:val="none" w:sz="0" w:space="0" w:color="auto"/>
        <w:right w:val="none" w:sz="0" w:space="0" w:color="auto"/>
      </w:divBdr>
    </w:div>
    <w:div w:id="1657955828">
      <w:bodyDiv w:val="1"/>
      <w:marLeft w:val="0"/>
      <w:marRight w:val="0"/>
      <w:marTop w:val="0"/>
      <w:marBottom w:val="0"/>
      <w:divBdr>
        <w:top w:val="none" w:sz="0" w:space="0" w:color="auto"/>
        <w:left w:val="none" w:sz="0" w:space="0" w:color="auto"/>
        <w:bottom w:val="none" w:sz="0" w:space="0" w:color="auto"/>
        <w:right w:val="none" w:sz="0" w:space="0" w:color="auto"/>
      </w:divBdr>
    </w:div>
    <w:div w:id="1658534749">
      <w:bodyDiv w:val="1"/>
      <w:marLeft w:val="0"/>
      <w:marRight w:val="0"/>
      <w:marTop w:val="0"/>
      <w:marBottom w:val="0"/>
      <w:divBdr>
        <w:top w:val="none" w:sz="0" w:space="0" w:color="auto"/>
        <w:left w:val="none" w:sz="0" w:space="0" w:color="auto"/>
        <w:bottom w:val="none" w:sz="0" w:space="0" w:color="auto"/>
        <w:right w:val="none" w:sz="0" w:space="0" w:color="auto"/>
      </w:divBdr>
    </w:div>
    <w:div w:id="1680354674">
      <w:bodyDiv w:val="1"/>
      <w:marLeft w:val="0"/>
      <w:marRight w:val="0"/>
      <w:marTop w:val="0"/>
      <w:marBottom w:val="0"/>
      <w:divBdr>
        <w:top w:val="none" w:sz="0" w:space="0" w:color="auto"/>
        <w:left w:val="none" w:sz="0" w:space="0" w:color="auto"/>
        <w:bottom w:val="none" w:sz="0" w:space="0" w:color="auto"/>
        <w:right w:val="none" w:sz="0" w:space="0" w:color="auto"/>
      </w:divBdr>
    </w:div>
    <w:div w:id="1751538542">
      <w:bodyDiv w:val="1"/>
      <w:marLeft w:val="0"/>
      <w:marRight w:val="0"/>
      <w:marTop w:val="0"/>
      <w:marBottom w:val="0"/>
      <w:divBdr>
        <w:top w:val="none" w:sz="0" w:space="0" w:color="auto"/>
        <w:left w:val="none" w:sz="0" w:space="0" w:color="auto"/>
        <w:bottom w:val="none" w:sz="0" w:space="0" w:color="auto"/>
        <w:right w:val="none" w:sz="0" w:space="0" w:color="auto"/>
      </w:divBdr>
    </w:div>
    <w:div w:id="1832522728">
      <w:bodyDiv w:val="1"/>
      <w:marLeft w:val="0"/>
      <w:marRight w:val="0"/>
      <w:marTop w:val="0"/>
      <w:marBottom w:val="0"/>
      <w:divBdr>
        <w:top w:val="none" w:sz="0" w:space="0" w:color="auto"/>
        <w:left w:val="none" w:sz="0" w:space="0" w:color="auto"/>
        <w:bottom w:val="none" w:sz="0" w:space="0" w:color="auto"/>
        <w:right w:val="none" w:sz="0" w:space="0" w:color="auto"/>
      </w:divBdr>
    </w:div>
    <w:div w:id="1836412237">
      <w:bodyDiv w:val="1"/>
      <w:marLeft w:val="0"/>
      <w:marRight w:val="0"/>
      <w:marTop w:val="0"/>
      <w:marBottom w:val="0"/>
      <w:divBdr>
        <w:top w:val="none" w:sz="0" w:space="0" w:color="auto"/>
        <w:left w:val="none" w:sz="0" w:space="0" w:color="auto"/>
        <w:bottom w:val="none" w:sz="0" w:space="0" w:color="auto"/>
        <w:right w:val="none" w:sz="0" w:space="0" w:color="auto"/>
      </w:divBdr>
    </w:div>
    <w:div w:id="1859545051">
      <w:bodyDiv w:val="1"/>
      <w:marLeft w:val="0"/>
      <w:marRight w:val="0"/>
      <w:marTop w:val="0"/>
      <w:marBottom w:val="0"/>
      <w:divBdr>
        <w:top w:val="none" w:sz="0" w:space="0" w:color="auto"/>
        <w:left w:val="none" w:sz="0" w:space="0" w:color="auto"/>
        <w:bottom w:val="none" w:sz="0" w:space="0" w:color="auto"/>
        <w:right w:val="none" w:sz="0" w:space="0" w:color="auto"/>
      </w:divBdr>
    </w:div>
    <w:div w:id="1872377247">
      <w:bodyDiv w:val="1"/>
      <w:marLeft w:val="0"/>
      <w:marRight w:val="0"/>
      <w:marTop w:val="0"/>
      <w:marBottom w:val="0"/>
      <w:divBdr>
        <w:top w:val="none" w:sz="0" w:space="0" w:color="auto"/>
        <w:left w:val="none" w:sz="0" w:space="0" w:color="auto"/>
        <w:bottom w:val="none" w:sz="0" w:space="0" w:color="auto"/>
        <w:right w:val="none" w:sz="0" w:space="0" w:color="auto"/>
      </w:divBdr>
    </w:div>
    <w:div w:id="1908759551">
      <w:bodyDiv w:val="1"/>
      <w:marLeft w:val="0"/>
      <w:marRight w:val="0"/>
      <w:marTop w:val="0"/>
      <w:marBottom w:val="0"/>
      <w:divBdr>
        <w:top w:val="none" w:sz="0" w:space="0" w:color="auto"/>
        <w:left w:val="none" w:sz="0" w:space="0" w:color="auto"/>
        <w:bottom w:val="none" w:sz="0" w:space="0" w:color="auto"/>
        <w:right w:val="none" w:sz="0" w:space="0" w:color="auto"/>
      </w:divBdr>
    </w:div>
    <w:div w:id="1914703262">
      <w:bodyDiv w:val="1"/>
      <w:marLeft w:val="0"/>
      <w:marRight w:val="0"/>
      <w:marTop w:val="0"/>
      <w:marBottom w:val="0"/>
      <w:divBdr>
        <w:top w:val="none" w:sz="0" w:space="0" w:color="auto"/>
        <w:left w:val="none" w:sz="0" w:space="0" w:color="auto"/>
        <w:bottom w:val="none" w:sz="0" w:space="0" w:color="auto"/>
        <w:right w:val="none" w:sz="0" w:space="0" w:color="auto"/>
      </w:divBdr>
    </w:div>
    <w:div w:id="193477590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2566236">
      <w:bodyDiv w:val="1"/>
      <w:marLeft w:val="0"/>
      <w:marRight w:val="0"/>
      <w:marTop w:val="0"/>
      <w:marBottom w:val="0"/>
      <w:divBdr>
        <w:top w:val="none" w:sz="0" w:space="0" w:color="auto"/>
        <w:left w:val="none" w:sz="0" w:space="0" w:color="auto"/>
        <w:bottom w:val="none" w:sz="0" w:space="0" w:color="auto"/>
        <w:right w:val="none" w:sz="0" w:space="0" w:color="auto"/>
      </w:divBdr>
    </w:div>
    <w:div w:id="1998801024">
      <w:bodyDiv w:val="1"/>
      <w:marLeft w:val="0"/>
      <w:marRight w:val="0"/>
      <w:marTop w:val="0"/>
      <w:marBottom w:val="0"/>
      <w:divBdr>
        <w:top w:val="none" w:sz="0" w:space="0" w:color="auto"/>
        <w:left w:val="none" w:sz="0" w:space="0" w:color="auto"/>
        <w:bottom w:val="none" w:sz="0" w:space="0" w:color="auto"/>
        <w:right w:val="none" w:sz="0" w:space="0" w:color="auto"/>
      </w:divBdr>
    </w:div>
    <w:div w:id="2007433426">
      <w:bodyDiv w:val="1"/>
      <w:marLeft w:val="0"/>
      <w:marRight w:val="0"/>
      <w:marTop w:val="0"/>
      <w:marBottom w:val="0"/>
      <w:divBdr>
        <w:top w:val="none" w:sz="0" w:space="0" w:color="auto"/>
        <w:left w:val="none" w:sz="0" w:space="0" w:color="auto"/>
        <w:bottom w:val="none" w:sz="0" w:space="0" w:color="auto"/>
        <w:right w:val="none" w:sz="0" w:space="0" w:color="auto"/>
      </w:divBdr>
    </w:div>
    <w:div w:id="2078428716">
      <w:bodyDiv w:val="1"/>
      <w:marLeft w:val="0"/>
      <w:marRight w:val="0"/>
      <w:marTop w:val="0"/>
      <w:marBottom w:val="0"/>
      <w:divBdr>
        <w:top w:val="none" w:sz="0" w:space="0" w:color="auto"/>
        <w:left w:val="none" w:sz="0" w:space="0" w:color="auto"/>
        <w:bottom w:val="none" w:sz="0" w:space="0" w:color="auto"/>
        <w:right w:val="none" w:sz="0" w:space="0" w:color="auto"/>
      </w:divBdr>
    </w:div>
    <w:div w:id="21460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cdc01\themaprojects\Bayer\1013%20Stivarga\5%20-%20Section%20Drafts\2%20-%20Clinical%20Evaluation\Survival%20curv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Placebo CORRECT</c:v>
          </c:tx>
          <c:spPr>
            <a:ln w="19050" cap="rnd">
              <a:solidFill>
                <a:srgbClr val="0070C0"/>
              </a:solidFill>
              <a:prstDash val="sysDash"/>
              <a:round/>
            </a:ln>
            <a:effectLst/>
          </c:spPr>
          <c:marker>
            <c:symbol val="none"/>
          </c:marker>
          <c:xVal>
            <c:numRef>
              <c:f>Sheet1!$A$3:$A$67</c:f>
              <c:numCache>
                <c:formatCode>General</c:formatCode>
                <c:ptCount val="65"/>
                <c:pt idx="0">
                  <c:v>0</c:v>
                </c:pt>
                <c:pt idx="1">
                  <c:v>2.1723014326845199E-2</c:v>
                </c:pt>
                <c:pt idx="2">
                  <c:v>2.2433531389964598E-2</c:v>
                </c:pt>
                <c:pt idx="3">
                  <c:v>0.31186265705169902</c:v>
                </c:pt>
                <c:pt idx="4">
                  <c:v>0.60118816564172795</c:v>
                </c:pt>
                <c:pt idx="5">
                  <c:v>0.89049887179294296</c:v>
                </c:pt>
                <c:pt idx="6">
                  <c:v>1.1796901716043799</c:v>
                </c:pt>
                <c:pt idx="7">
                  <c:v>1.41982311259762</c:v>
                </c:pt>
                <c:pt idx="8">
                  <c:v>1.5729876040894399</c:v>
                </c:pt>
                <c:pt idx="9">
                  <c:v>1.75775711274392</c:v>
                </c:pt>
                <c:pt idx="10">
                  <c:v>1.8789372963467399</c:v>
                </c:pt>
                <c:pt idx="11">
                  <c:v>2.1155112666586202</c:v>
                </c:pt>
                <c:pt idx="12">
                  <c:v>2.31015637122217</c:v>
                </c:pt>
                <c:pt idx="13">
                  <c:v>2.4769408478871702</c:v>
                </c:pt>
                <c:pt idx="14">
                  <c:v>2.5740392738306599</c:v>
                </c:pt>
                <c:pt idx="15">
                  <c:v>2.7293377545605799</c:v>
                </c:pt>
                <c:pt idx="16">
                  <c:v>2.9079185559367602</c:v>
                </c:pt>
                <c:pt idx="17">
                  <c:v>3.0608761615778399</c:v>
                </c:pt>
                <c:pt idx="18">
                  <c:v>3.3467347474364302</c:v>
                </c:pt>
                <c:pt idx="19">
                  <c:v>3.5057152216264602</c:v>
                </c:pt>
                <c:pt idx="20">
                  <c:v>3.6018434976649698</c:v>
                </c:pt>
                <c:pt idx="21">
                  <c:v>3.7559781390617699</c:v>
                </c:pt>
                <c:pt idx="22">
                  <c:v>3.9113332173518698</c:v>
                </c:pt>
                <c:pt idx="23">
                  <c:v>4.2471443047964899</c:v>
                </c:pt>
                <c:pt idx="24">
                  <c:v>4.5525325318422203</c:v>
                </c:pt>
                <c:pt idx="25">
                  <c:v>4.6881023395341597</c:v>
                </c:pt>
                <c:pt idx="26">
                  <c:v>4.8310945950723196</c:v>
                </c:pt>
                <c:pt idx="27">
                  <c:v>4.93850318086995</c:v>
                </c:pt>
                <c:pt idx="28">
                  <c:v>5.1200204378143397</c:v>
                </c:pt>
                <c:pt idx="29">
                  <c:v>5.2305570401530899</c:v>
                </c:pt>
                <c:pt idx="30">
                  <c:v>5.4093163415267398</c:v>
                </c:pt>
                <c:pt idx="31">
                  <c:v>5.6063651880075103</c:v>
                </c:pt>
                <c:pt idx="32">
                  <c:v>5.6982747496341597</c:v>
                </c:pt>
                <c:pt idx="33">
                  <c:v>5.9875232855423501</c:v>
                </c:pt>
                <c:pt idx="34">
                  <c:v>6.2768635965711903</c:v>
                </c:pt>
                <c:pt idx="35">
                  <c:v>6.5713930505510199</c:v>
                </c:pt>
                <c:pt idx="36">
                  <c:v>6.85540803619178</c:v>
                </c:pt>
                <c:pt idx="37">
                  <c:v>7.0403944623553896</c:v>
                </c:pt>
                <c:pt idx="38">
                  <c:v>7.1446121647835303</c:v>
                </c:pt>
                <c:pt idx="39">
                  <c:v>7.4337156367913302</c:v>
                </c:pt>
                <c:pt idx="40">
                  <c:v>7.5690567729255296</c:v>
                </c:pt>
                <c:pt idx="41">
                  <c:v>7.7230056195282097</c:v>
                </c:pt>
                <c:pt idx="42">
                  <c:v>8.0120081060089898</c:v>
                </c:pt>
                <c:pt idx="43">
                  <c:v>8.1953692050411107</c:v>
                </c:pt>
                <c:pt idx="44">
                  <c:v>8.34220281922412</c:v>
                </c:pt>
                <c:pt idx="45">
                  <c:v>8.6170077932228093</c:v>
                </c:pt>
                <c:pt idx="46">
                  <c:v>8.9064517213233607</c:v>
                </c:pt>
                <c:pt idx="47">
                  <c:v>9.0867713738944502</c:v>
                </c:pt>
                <c:pt idx="48">
                  <c:v>9.1957387435724698</c:v>
                </c:pt>
                <c:pt idx="49">
                  <c:v>9.4851264224055196</c:v>
                </c:pt>
                <c:pt idx="50">
                  <c:v>9.5880557902177408</c:v>
                </c:pt>
                <c:pt idx="51">
                  <c:v>9.7219172297875094</c:v>
                </c:pt>
                <c:pt idx="52">
                  <c:v>9.8106649656052198</c:v>
                </c:pt>
                <c:pt idx="53">
                  <c:v>10.090004071734899</c:v>
                </c:pt>
                <c:pt idx="54">
                  <c:v>10.353947209627</c:v>
                </c:pt>
                <c:pt idx="55">
                  <c:v>10.5071806630691</c:v>
                </c:pt>
                <c:pt idx="56">
                  <c:v>10.5895571058062</c:v>
                </c:pt>
                <c:pt idx="57">
                  <c:v>10.8789832709802</c:v>
                </c:pt>
                <c:pt idx="58">
                  <c:v>11.1684212781052</c:v>
                </c:pt>
                <c:pt idx="59">
                  <c:v>11.5097150147406</c:v>
                </c:pt>
                <c:pt idx="60">
                  <c:v>11.7743909797769</c:v>
                </c:pt>
                <c:pt idx="61">
                  <c:v>12.3262562002627</c:v>
                </c:pt>
                <c:pt idx="62">
                  <c:v>12.8888160957191</c:v>
                </c:pt>
                <c:pt idx="63">
                  <c:v>13.306725514197501</c:v>
                </c:pt>
                <c:pt idx="64">
                  <c:v>13.733927794922399</c:v>
                </c:pt>
              </c:numCache>
            </c:numRef>
          </c:xVal>
          <c:yVal>
            <c:numRef>
              <c:f>Sheet1!$B$3:$B$67</c:f>
              <c:numCache>
                <c:formatCode>General</c:formatCode>
                <c:ptCount val="65"/>
                <c:pt idx="0">
                  <c:v>1</c:v>
                </c:pt>
                <c:pt idx="1">
                  <c:v>0.94829345170706802</c:v>
                </c:pt>
                <c:pt idx="2">
                  <c:v>0.94829345170706802</c:v>
                </c:pt>
                <c:pt idx="3">
                  <c:v>0.94829345170706802</c:v>
                </c:pt>
                <c:pt idx="4">
                  <c:v>0.94829345170706802</c:v>
                </c:pt>
                <c:pt idx="5">
                  <c:v>0.94829345170706802</c:v>
                </c:pt>
                <c:pt idx="6">
                  <c:v>0.94829345170706802</c:v>
                </c:pt>
                <c:pt idx="7">
                  <c:v>0.92301876011339301</c:v>
                </c:pt>
                <c:pt idx="8">
                  <c:v>0.91804118506185595</c:v>
                </c:pt>
                <c:pt idx="9">
                  <c:v>0.90407456426640098</c:v>
                </c:pt>
                <c:pt idx="10">
                  <c:v>0.88085837924639299</c:v>
                </c:pt>
                <c:pt idx="11">
                  <c:v>0.86348981949209502</c:v>
                </c:pt>
                <c:pt idx="12">
                  <c:v>0.83622768280458304</c:v>
                </c:pt>
                <c:pt idx="13">
                  <c:v>0.80897047197066096</c:v>
                </c:pt>
                <c:pt idx="14">
                  <c:v>0.77925033434231195</c:v>
                </c:pt>
                <c:pt idx="15">
                  <c:v>0.76079603435946996</c:v>
                </c:pt>
                <c:pt idx="16">
                  <c:v>0.74701308553005796</c:v>
                </c:pt>
                <c:pt idx="17">
                  <c:v>0.72718406190812701</c:v>
                </c:pt>
                <c:pt idx="18">
                  <c:v>0.69219127691534199</c:v>
                </c:pt>
                <c:pt idx="19">
                  <c:v>0.66027372968393205</c:v>
                </c:pt>
                <c:pt idx="20">
                  <c:v>0.64115760174297298</c:v>
                </c:pt>
                <c:pt idx="21">
                  <c:v>0.62557601700404597</c:v>
                </c:pt>
                <c:pt idx="22">
                  <c:v>0.61118461330519303</c:v>
                </c:pt>
                <c:pt idx="23">
                  <c:v>0.58182092144415898</c:v>
                </c:pt>
                <c:pt idx="24">
                  <c:v>0.55124651461651197</c:v>
                </c:pt>
                <c:pt idx="25">
                  <c:v>0.53877755091485402</c:v>
                </c:pt>
                <c:pt idx="26">
                  <c:v>0.52580097426915595</c:v>
                </c:pt>
                <c:pt idx="27">
                  <c:v>0.51398080394856405</c:v>
                </c:pt>
                <c:pt idx="28">
                  <c:v>0.48877119332957802</c:v>
                </c:pt>
                <c:pt idx="29">
                  <c:v>0.47927570248829399</c:v>
                </c:pt>
                <c:pt idx="30">
                  <c:v>0.478306503477615</c:v>
                </c:pt>
                <c:pt idx="31">
                  <c:v>0.45693203060925403</c:v>
                </c:pt>
                <c:pt idx="32">
                  <c:v>0.44361445055374599</c:v>
                </c:pt>
                <c:pt idx="33">
                  <c:v>0.42974942904256802</c:v>
                </c:pt>
                <c:pt idx="34">
                  <c:v>0.42247255012112001</c:v>
                </c:pt>
                <c:pt idx="35">
                  <c:v>0.40992422668887601</c:v>
                </c:pt>
                <c:pt idx="36">
                  <c:v>0.39814283875797901</c:v>
                </c:pt>
                <c:pt idx="37">
                  <c:v>0.39814283875797901</c:v>
                </c:pt>
                <c:pt idx="38">
                  <c:v>0.38109000631628698</c:v>
                </c:pt>
                <c:pt idx="39">
                  <c:v>0.35681146909876399</c:v>
                </c:pt>
                <c:pt idx="40">
                  <c:v>0.35014937651008099</c:v>
                </c:pt>
                <c:pt idx="41">
                  <c:v>0.345921737789399</c:v>
                </c:pt>
                <c:pt idx="42">
                  <c:v>0.31439388238174498</c:v>
                </c:pt>
                <c:pt idx="43">
                  <c:v>0.310434681949948</c:v>
                </c:pt>
                <c:pt idx="44">
                  <c:v>0.30160784118050699</c:v>
                </c:pt>
                <c:pt idx="45">
                  <c:v>0.30028412721549202</c:v>
                </c:pt>
                <c:pt idx="46">
                  <c:v>0.30028412721549202</c:v>
                </c:pt>
                <c:pt idx="47">
                  <c:v>0.30028412721549202</c:v>
                </c:pt>
                <c:pt idx="48">
                  <c:v>0.28934322176051003</c:v>
                </c:pt>
                <c:pt idx="49">
                  <c:v>0.28546667449827601</c:v>
                </c:pt>
                <c:pt idx="50">
                  <c:v>0.28543597498651502</c:v>
                </c:pt>
                <c:pt idx="51">
                  <c:v>0.28366391870496299</c:v>
                </c:pt>
                <c:pt idx="52">
                  <c:v>0.26559463673061201</c:v>
                </c:pt>
                <c:pt idx="53">
                  <c:v>0.26259634262668502</c:v>
                </c:pt>
                <c:pt idx="54">
                  <c:v>0.26259634262668502</c:v>
                </c:pt>
                <c:pt idx="55">
                  <c:v>0.26259634262668502</c:v>
                </c:pt>
                <c:pt idx="56">
                  <c:v>0.23447882814639601</c:v>
                </c:pt>
                <c:pt idx="57">
                  <c:v>0.23336505035727401</c:v>
                </c:pt>
                <c:pt idx="58">
                  <c:v>0.23310135548295599</c:v>
                </c:pt>
                <c:pt idx="59">
                  <c:v>0.23310135548295599</c:v>
                </c:pt>
                <c:pt idx="60">
                  <c:v>0.233069225483411</c:v>
                </c:pt>
                <c:pt idx="61">
                  <c:v>0.233069225483411</c:v>
                </c:pt>
                <c:pt idx="62">
                  <c:v>0.23287219133985601</c:v>
                </c:pt>
                <c:pt idx="63">
                  <c:v>0.23279830353602399</c:v>
                </c:pt>
                <c:pt idx="64">
                  <c:v>0.23279830353602399</c:v>
                </c:pt>
              </c:numCache>
            </c:numRef>
          </c:yVal>
          <c:smooth val="0"/>
          <c:extLst>
            <c:ext xmlns:c16="http://schemas.microsoft.com/office/drawing/2014/chart" uri="{C3380CC4-5D6E-409C-BE32-E72D297353CC}">
              <c16:uniqueId val="{00000000-441B-4205-951C-61D6F7AAA720}"/>
            </c:ext>
          </c:extLst>
        </c:ser>
        <c:ser>
          <c:idx val="1"/>
          <c:order val="1"/>
          <c:tx>
            <c:v>Regorafenib CORRECT</c:v>
          </c:tx>
          <c:spPr>
            <a:ln w="19050" cap="rnd">
              <a:solidFill>
                <a:srgbClr val="0070C0"/>
              </a:solidFill>
              <a:round/>
            </a:ln>
            <a:effectLst/>
          </c:spPr>
          <c:marker>
            <c:symbol val="none"/>
          </c:marker>
          <c:xVal>
            <c:numRef>
              <c:f>Sheet1!$C$3:$C$67</c:f>
              <c:numCache>
                <c:formatCode>General</c:formatCode>
                <c:ptCount val="65"/>
                <c:pt idx="0" formatCode="0.00">
                  <c:v>0</c:v>
                </c:pt>
                <c:pt idx="1">
                  <c:v>0.18030450183959501</c:v>
                </c:pt>
                <c:pt idx="2">
                  <c:v>0.46968922018488402</c:v>
                </c:pt>
                <c:pt idx="3">
                  <c:v>0.75901768926267599</c:v>
                </c:pt>
                <c:pt idx="4">
                  <c:v>1.0482543832198099</c:v>
                </c:pt>
                <c:pt idx="5">
                  <c:v>1.3645156285019699</c:v>
                </c:pt>
                <c:pt idx="6">
                  <c:v>1.55922969501577</c:v>
                </c:pt>
                <c:pt idx="7">
                  <c:v>1.82373325517645</c:v>
                </c:pt>
                <c:pt idx="8">
                  <c:v>2.0881678533868899</c:v>
                </c:pt>
                <c:pt idx="9">
                  <c:v>2.3108115097494899</c:v>
                </c:pt>
                <c:pt idx="10">
                  <c:v>2.5334551661120899</c:v>
                </c:pt>
                <c:pt idx="11">
                  <c:v>2.6585866248297498</c:v>
                </c:pt>
                <c:pt idx="12">
                  <c:v>2.70418742418466</c:v>
                </c:pt>
                <c:pt idx="13">
                  <c:v>2.9931527400968601</c:v>
                </c:pt>
                <c:pt idx="14">
                  <c:v>3.2822088443004498</c:v>
                </c:pt>
                <c:pt idx="15">
                  <c:v>3.57130639533273</c:v>
                </c:pt>
                <c:pt idx="16">
                  <c:v>3.85502799663618</c:v>
                </c:pt>
                <c:pt idx="17">
                  <c:v>4.1492913027661196</c:v>
                </c:pt>
                <c:pt idx="18">
                  <c:v>4.4382828683364801</c:v>
                </c:pt>
                <c:pt idx="19">
                  <c:v>4.7272702892239797</c:v>
                </c:pt>
                <c:pt idx="20">
                  <c:v>5.0164596153769097</c:v>
                </c:pt>
                <c:pt idx="21">
                  <c:v>5.30556604787248</c:v>
                </c:pt>
                <c:pt idx="22">
                  <c:v>5.5947820184152697</c:v>
                </c:pt>
                <c:pt idx="23">
                  <c:v>5.8838973323741302</c:v>
                </c:pt>
                <c:pt idx="24">
                  <c:v>6.1729563970654899</c:v>
                </c:pt>
                <c:pt idx="25">
                  <c:v>6.4621249998040797</c:v>
                </c:pt>
                <c:pt idx="26">
                  <c:v>6.7513320888835899</c:v>
                </c:pt>
                <c:pt idx="27">
                  <c:v>7.0404947706466503</c:v>
                </c:pt>
                <c:pt idx="28">
                  <c:v>7.3297581089936603</c:v>
                </c:pt>
                <c:pt idx="29">
                  <c:v>7.6190362497794801</c:v>
                </c:pt>
                <c:pt idx="30">
                  <c:v>7.9083617583695096</c:v>
                </c:pt>
                <c:pt idx="31">
                  <c:v>8.1976813459840105</c:v>
                </c:pt>
                <c:pt idx="32">
                  <c:v>8.4869535657943107</c:v>
                </c:pt>
                <c:pt idx="33">
                  <c:v>8.7761103265818505</c:v>
                </c:pt>
                <c:pt idx="34">
                  <c:v>9.0654269537085899</c:v>
                </c:pt>
                <c:pt idx="35">
                  <c:v>9.3547820671762505</c:v>
                </c:pt>
                <c:pt idx="36">
                  <c:v>9.6441786274725896</c:v>
                </c:pt>
                <c:pt idx="37">
                  <c:v>9.9334360448440702</c:v>
                </c:pt>
                <c:pt idx="38">
                  <c:v>10.2226046475826</c:v>
                </c:pt>
                <c:pt idx="39">
                  <c:v>10.511936077148199</c:v>
                </c:pt>
                <c:pt idx="40">
                  <c:v>10.8012438228116</c:v>
                </c:pt>
                <c:pt idx="41">
                  <c:v>11.090346307990201</c:v>
                </c:pt>
                <c:pt idx="42">
                  <c:v>11.3797231317014</c:v>
                </c:pt>
                <c:pt idx="43">
                  <c:v>11.6953057701639</c:v>
                </c:pt>
                <c:pt idx="44">
                  <c:v>11.942071961795</c:v>
                </c:pt>
                <c:pt idx="45">
                  <c:v>11.982306065395999</c:v>
                </c:pt>
                <c:pt idx="46">
                  <c:v>12.273621688324299</c:v>
                </c:pt>
                <c:pt idx="47">
                  <c:v>12.5123872903125</c:v>
                </c:pt>
                <c:pt idx="48">
                  <c:v>12.5260072754857</c:v>
                </c:pt>
                <c:pt idx="49">
                  <c:v>12.693240004827301</c:v>
                </c:pt>
                <c:pt idx="50">
                  <c:v>12.874334086167901</c:v>
                </c:pt>
                <c:pt idx="51">
                  <c:v>13.138941089253899</c:v>
                </c:pt>
                <c:pt idx="52">
                  <c:v>13.363122954166201</c:v>
                </c:pt>
              </c:numCache>
            </c:numRef>
          </c:xVal>
          <c:yVal>
            <c:numRef>
              <c:f>Sheet1!$D$3:$D$67</c:f>
              <c:numCache>
                <c:formatCode>General</c:formatCode>
                <c:ptCount val="65"/>
                <c:pt idx="0" formatCode="0.00">
                  <c:v>1</c:v>
                </c:pt>
                <c:pt idx="1">
                  <c:v>0.99884547196755102</c:v>
                </c:pt>
                <c:pt idx="2">
                  <c:v>0.99475640397661602</c:v>
                </c:pt>
                <c:pt idx="3">
                  <c:v>0.98662944214036297</c:v>
                </c:pt>
                <c:pt idx="4">
                  <c:v>0.97191433771438196</c:v>
                </c:pt>
                <c:pt idx="5">
                  <c:v>0.95273150896135905</c:v>
                </c:pt>
                <c:pt idx="6">
                  <c:v>0.93041985513064496</c:v>
                </c:pt>
                <c:pt idx="7">
                  <c:v>0.91799685237955597</c:v>
                </c:pt>
                <c:pt idx="8">
                  <c:v>0.90062336677166899</c:v>
                </c:pt>
                <c:pt idx="9">
                  <c:v>0.88325726994416498</c:v>
                </c:pt>
                <c:pt idx="10">
                  <c:v>0.86589117311666097</c:v>
                </c:pt>
                <c:pt idx="11">
                  <c:v>0.84854231677671799</c:v>
                </c:pt>
                <c:pt idx="12">
                  <c:v>0.84425049269108998</c:v>
                </c:pt>
                <c:pt idx="13">
                  <c:v>0.81005432146752399</c:v>
                </c:pt>
                <c:pt idx="14">
                  <c:v>0.782375452590786</c:v>
                </c:pt>
                <c:pt idx="15">
                  <c:v>0.75767187391586099</c:v>
                </c:pt>
                <c:pt idx="16">
                  <c:v>0.72482968177070195</c:v>
                </c:pt>
                <c:pt idx="17">
                  <c:v>0.69317574482824496</c:v>
                </c:pt>
                <c:pt idx="18">
                  <c:v>0.66086392406582695</c:v>
                </c:pt>
                <c:pt idx="19">
                  <c:v>0.62825457428322795</c:v>
                </c:pt>
                <c:pt idx="20">
                  <c:v>0.61013913819803101</c:v>
                </c:pt>
                <c:pt idx="21">
                  <c:v>0.586073121709209</c:v>
                </c:pt>
                <c:pt idx="22">
                  <c:v>0.56987037218232095</c:v>
                </c:pt>
                <c:pt idx="23">
                  <c:v>0.54644191787960195</c:v>
                </c:pt>
                <c:pt idx="24">
                  <c:v>0.518975569731565</c:v>
                </c:pt>
                <c:pt idx="25">
                  <c:v>0.49937248854546201</c:v>
                </c:pt>
                <c:pt idx="26">
                  <c:v>0.48253217683247102</c:v>
                </c:pt>
                <c:pt idx="27">
                  <c:v>0.46250405418896701</c:v>
                </c:pt>
                <c:pt idx="28">
                  <c:v>0.44970163632129301</c:v>
                </c:pt>
                <c:pt idx="29">
                  <c:v>0.43796182209712498</c:v>
                </c:pt>
                <c:pt idx="30">
                  <c:v>0.42962233953217099</c:v>
                </c:pt>
                <c:pt idx="31">
                  <c:v>0.42085781550981599</c:v>
                </c:pt>
                <c:pt idx="32">
                  <c:v>0.40869295982824499</c:v>
                </c:pt>
                <c:pt idx="33">
                  <c:v>0.38823979572733902</c:v>
                </c:pt>
                <c:pt idx="34">
                  <c:v>0.37926275097628298</c:v>
                </c:pt>
                <c:pt idx="35">
                  <c:v>0.37304847569833799</c:v>
                </c:pt>
                <c:pt idx="36">
                  <c:v>0.36980949062220703</c:v>
                </c:pt>
                <c:pt idx="37">
                  <c:v>0.35658203129713201</c:v>
                </c:pt>
                <c:pt idx="38">
                  <c:v>0.33697895011102902</c:v>
                </c:pt>
                <c:pt idx="39">
                  <c:v>0.329064509003477</c:v>
                </c:pt>
                <c:pt idx="40">
                  <c:v>0.31944990206631801</c:v>
                </c:pt>
                <c:pt idx="41">
                  <c:v>0.29510052460589498</c:v>
                </c:pt>
                <c:pt idx="42">
                  <c:v>0.29044473467175702</c:v>
                </c:pt>
                <c:pt idx="43">
                  <c:v>0.27810318620523</c:v>
                </c:pt>
                <c:pt idx="44">
                  <c:v>0.270168291787863</c:v>
                </c:pt>
                <c:pt idx="45">
                  <c:v>0.248145747170428</c:v>
                </c:pt>
                <c:pt idx="46">
                  <c:v>0.237368898593318</c:v>
                </c:pt>
                <c:pt idx="47">
                  <c:v>0.210661517507715</c:v>
                </c:pt>
                <c:pt idx="48">
                  <c:v>0.18838188172532899</c:v>
                </c:pt>
                <c:pt idx="49">
                  <c:v>0.18838188172532899</c:v>
                </c:pt>
                <c:pt idx="50">
                  <c:v>0.193270791412266</c:v>
                </c:pt>
                <c:pt idx="51">
                  <c:v>0.18827351294637401</c:v>
                </c:pt>
                <c:pt idx="52">
                  <c:v>0.18827351294637401</c:v>
                </c:pt>
              </c:numCache>
            </c:numRef>
          </c:yVal>
          <c:smooth val="0"/>
          <c:extLst>
            <c:ext xmlns:c16="http://schemas.microsoft.com/office/drawing/2014/chart" uri="{C3380CC4-5D6E-409C-BE32-E72D297353CC}">
              <c16:uniqueId val="{00000001-441B-4205-951C-61D6F7AAA720}"/>
            </c:ext>
          </c:extLst>
        </c:ser>
        <c:ser>
          <c:idx val="4"/>
          <c:order val="4"/>
          <c:tx>
            <c:v>Placebo RECOURSE</c:v>
          </c:tx>
          <c:spPr>
            <a:ln w="19050" cap="rnd">
              <a:solidFill>
                <a:srgbClr val="00B050"/>
              </a:solidFill>
              <a:prstDash val="sysDash"/>
              <a:round/>
            </a:ln>
            <a:effectLst/>
          </c:spPr>
          <c:marker>
            <c:symbol val="none"/>
          </c:marker>
          <c:xVal>
            <c:numRef>
              <c:f>Sheet1!$I$3:$I$56</c:f>
              <c:numCache>
                <c:formatCode>General</c:formatCode>
                <c:ptCount val="54"/>
                <c:pt idx="0">
                  <c:v>0</c:v>
                </c:pt>
                <c:pt idx="1">
                  <c:v>2.35571260306244E-2</c:v>
                </c:pt>
                <c:pt idx="2">
                  <c:v>0.400471142520612</c:v>
                </c:pt>
                <c:pt idx="3">
                  <c:v>0.65959952885747897</c:v>
                </c:pt>
                <c:pt idx="4">
                  <c:v>0.94228504122497003</c:v>
                </c:pt>
                <c:pt idx="5">
                  <c:v>1.27208480565371</c:v>
                </c:pt>
                <c:pt idx="6">
                  <c:v>1.57832744405182</c:v>
                </c:pt>
                <c:pt idx="7">
                  <c:v>2.1201413427561802</c:v>
                </c:pt>
                <c:pt idx="8">
                  <c:v>2.44994110718492</c:v>
                </c:pt>
                <c:pt idx="9">
                  <c:v>2.6619552414605399</c:v>
                </c:pt>
                <c:pt idx="10">
                  <c:v>2.87396937573615</c:v>
                </c:pt>
                <c:pt idx="11">
                  <c:v>2.9917550058892801</c:v>
                </c:pt>
                <c:pt idx="12">
                  <c:v>3.13309776207302</c:v>
                </c:pt>
                <c:pt idx="13">
                  <c:v>3.2979976442873902</c:v>
                </c:pt>
                <c:pt idx="14">
                  <c:v>3.60424028268551</c:v>
                </c:pt>
                <c:pt idx="15">
                  <c:v>3.8398115429917499</c:v>
                </c:pt>
                <c:pt idx="16">
                  <c:v>4.0047114252061196</c:v>
                </c:pt>
                <c:pt idx="17">
                  <c:v>4.2167255594817403</c:v>
                </c:pt>
                <c:pt idx="18">
                  <c:v>4.3816254416961096</c:v>
                </c:pt>
                <c:pt idx="19">
                  <c:v>4.5700824499410997</c:v>
                </c:pt>
                <c:pt idx="20">
                  <c:v>4.9705535924617097</c:v>
                </c:pt>
                <c:pt idx="21">
                  <c:v>5.27679623085983</c:v>
                </c:pt>
                <c:pt idx="22">
                  <c:v>5.6065959952885702</c:v>
                </c:pt>
                <c:pt idx="23">
                  <c:v>5.9363957597173096</c:v>
                </c:pt>
                <c:pt idx="24">
                  <c:v>6.2190812720848001</c:v>
                </c:pt>
                <c:pt idx="25">
                  <c:v>6.6195524146054101</c:v>
                </c:pt>
                <c:pt idx="26">
                  <c:v>6.9022379269729104</c:v>
                </c:pt>
                <c:pt idx="27">
                  <c:v>7.0671378091872796</c:v>
                </c:pt>
                <c:pt idx="28">
                  <c:v>7.3262661955241404</c:v>
                </c:pt>
                <c:pt idx="29">
                  <c:v>7.5147232037691403</c:v>
                </c:pt>
                <c:pt idx="30">
                  <c:v>7.8209658421672499</c:v>
                </c:pt>
                <c:pt idx="31">
                  <c:v>8.1036513545347404</c:v>
                </c:pt>
                <c:pt idx="32">
                  <c:v>8.5747938751472308</c:v>
                </c:pt>
                <c:pt idx="33">
                  <c:v>9.3286219081272002</c:v>
                </c:pt>
                <c:pt idx="34">
                  <c:v>9.5877502944640707</c:v>
                </c:pt>
                <c:pt idx="35">
                  <c:v>9.8468786808009394</c:v>
                </c:pt>
                <c:pt idx="36">
                  <c:v>10.153121319199</c:v>
                </c:pt>
                <c:pt idx="37">
                  <c:v>10.930506478209599</c:v>
                </c:pt>
                <c:pt idx="38">
                  <c:v>11.236749116607699</c:v>
                </c:pt>
                <c:pt idx="39">
                  <c:v>11.613663133097701</c:v>
                </c:pt>
                <c:pt idx="40">
                  <c:v>11.919905771495801</c:v>
                </c:pt>
                <c:pt idx="41">
                  <c:v>12.2261484098939</c:v>
                </c:pt>
                <c:pt idx="42">
                  <c:v>12.555948174322699</c:v>
                </c:pt>
                <c:pt idx="43">
                  <c:v>12.9564193168433</c:v>
                </c:pt>
                <c:pt idx="44">
                  <c:v>13.3568904593639</c:v>
                </c:pt>
                <c:pt idx="45">
                  <c:v>13.592461719670199</c:v>
                </c:pt>
                <c:pt idx="46">
                  <c:v>13.6395759717314</c:v>
                </c:pt>
                <c:pt idx="47">
                  <c:v>14.0871613663133</c:v>
                </c:pt>
                <c:pt idx="48">
                  <c:v>14.181389870435799</c:v>
                </c:pt>
                <c:pt idx="49">
                  <c:v>15.147232037691399</c:v>
                </c:pt>
                <c:pt idx="50">
                  <c:v>15.170789163722</c:v>
                </c:pt>
                <c:pt idx="51">
                  <c:v>18.115429917549999</c:v>
                </c:pt>
                <c:pt idx="52">
                  <c:v>18.115429917549999</c:v>
                </c:pt>
                <c:pt idx="53">
                  <c:v>18.9870435806831</c:v>
                </c:pt>
              </c:numCache>
            </c:numRef>
          </c:xVal>
          <c:yVal>
            <c:numRef>
              <c:f>Sheet1!$J$3:$J$56</c:f>
              <c:numCache>
                <c:formatCode>General</c:formatCode>
                <c:ptCount val="54"/>
                <c:pt idx="0">
                  <c:v>1</c:v>
                </c:pt>
                <c:pt idx="1">
                  <c:v>1</c:v>
                </c:pt>
                <c:pt idx="2">
                  <c:v>1</c:v>
                </c:pt>
                <c:pt idx="3">
                  <c:v>0.99541284403669705</c:v>
                </c:pt>
                <c:pt idx="4">
                  <c:v>0.97706422018348604</c:v>
                </c:pt>
                <c:pt idx="5">
                  <c:v>0.94036697247706402</c:v>
                </c:pt>
                <c:pt idx="6">
                  <c:v>0.91055045871559603</c:v>
                </c:pt>
                <c:pt idx="7">
                  <c:v>0.86238532110091703</c:v>
                </c:pt>
                <c:pt idx="8">
                  <c:v>0.82110091743119196</c:v>
                </c:pt>
                <c:pt idx="9">
                  <c:v>0.79587155963302703</c:v>
                </c:pt>
                <c:pt idx="10">
                  <c:v>0.79128440366972397</c:v>
                </c:pt>
                <c:pt idx="11">
                  <c:v>0.76376146788990795</c:v>
                </c:pt>
                <c:pt idx="12">
                  <c:v>0.740825688073394</c:v>
                </c:pt>
                <c:pt idx="13">
                  <c:v>0.70642201834862395</c:v>
                </c:pt>
                <c:pt idx="14">
                  <c:v>0.65596330275229298</c:v>
                </c:pt>
                <c:pt idx="15">
                  <c:v>0.64220183486238502</c:v>
                </c:pt>
                <c:pt idx="16">
                  <c:v>0.61926605504587096</c:v>
                </c:pt>
                <c:pt idx="17">
                  <c:v>0.61697247706421998</c:v>
                </c:pt>
                <c:pt idx="18">
                  <c:v>0.59403669724770602</c:v>
                </c:pt>
                <c:pt idx="19">
                  <c:v>0.56422018348623804</c:v>
                </c:pt>
                <c:pt idx="20">
                  <c:v>0.52752293577981602</c:v>
                </c:pt>
                <c:pt idx="21">
                  <c:v>0.50229357798165097</c:v>
                </c:pt>
                <c:pt idx="22">
                  <c:v>0.47935779816513702</c:v>
                </c:pt>
                <c:pt idx="23">
                  <c:v>0.44495412844036702</c:v>
                </c:pt>
                <c:pt idx="24">
                  <c:v>0.42431192660550399</c:v>
                </c:pt>
                <c:pt idx="25">
                  <c:v>0.39220183486238502</c:v>
                </c:pt>
                <c:pt idx="26">
                  <c:v>0.37155963302752298</c:v>
                </c:pt>
                <c:pt idx="27">
                  <c:v>0.35321100917431197</c:v>
                </c:pt>
                <c:pt idx="28">
                  <c:v>0.32110091743119201</c:v>
                </c:pt>
                <c:pt idx="29">
                  <c:v>0.293577981651376</c:v>
                </c:pt>
                <c:pt idx="30">
                  <c:v>0.28669724770642202</c:v>
                </c:pt>
                <c:pt idx="31">
                  <c:v>0.26605504587155898</c:v>
                </c:pt>
                <c:pt idx="32">
                  <c:v>0.25688073394495398</c:v>
                </c:pt>
                <c:pt idx="33">
                  <c:v>0.240825688073394</c:v>
                </c:pt>
                <c:pt idx="34">
                  <c:v>0.22706422018348599</c:v>
                </c:pt>
                <c:pt idx="35">
                  <c:v>0.22477064220183399</c:v>
                </c:pt>
                <c:pt idx="36">
                  <c:v>0.21330275229357801</c:v>
                </c:pt>
                <c:pt idx="37">
                  <c:v>0.206422018348623</c:v>
                </c:pt>
                <c:pt idx="38">
                  <c:v>0.194954128440367</c:v>
                </c:pt>
                <c:pt idx="39">
                  <c:v>0.18807339449541199</c:v>
                </c:pt>
                <c:pt idx="40">
                  <c:v>0.18348623853210999</c:v>
                </c:pt>
                <c:pt idx="41">
                  <c:v>0.17660550458715499</c:v>
                </c:pt>
                <c:pt idx="42">
                  <c:v>0.16743119266055001</c:v>
                </c:pt>
                <c:pt idx="43">
                  <c:v>0.155963302752293</c:v>
                </c:pt>
                <c:pt idx="44">
                  <c:v>0.13761467889908199</c:v>
                </c:pt>
                <c:pt idx="45">
                  <c:v>0.12844036697247699</c:v>
                </c:pt>
                <c:pt idx="46">
                  <c:v>0.11697247706422</c:v>
                </c:pt>
                <c:pt idx="47">
                  <c:v>0.11697247706422</c:v>
                </c:pt>
                <c:pt idx="48">
                  <c:v>0.105504587155963</c:v>
                </c:pt>
                <c:pt idx="49">
                  <c:v>0.105504587155963</c:v>
                </c:pt>
                <c:pt idx="50">
                  <c:v>9.1743119266055204E-2</c:v>
                </c:pt>
                <c:pt idx="51">
                  <c:v>8.94495412844038E-2</c:v>
                </c:pt>
                <c:pt idx="52">
                  <c:v>5.9633027522935797E-2</c:v>
                </c:pt>
                <c:pt idx="53">
                  <c:v>5.9633027522935797E-2</c:v>
                </c:pt>
              </c:numCache>
            </c:numRef>
          </c:yVal>
          <c:smooth val="0"/>
          <c:extLst>
            <c:ext xmlns:c16="http://schemas.microsoft.com/office/drawing/2014/chart" uri="{C3380CC4-5D6E-409C-BE32-E72D297353CC}">
              <c16:uniqueId val="{00000002-441B-4205-951C-61D6F7AAA720}"/>
            </c:ext>
          </c:extLst>
        </c:ser>
        <c:ser>
          <c:idx val="5"/>
          <c:order val="5"/>
          <c:tx>
            <c:v>Tripfluridine/tipiracil RECOURSE</c:v>
          </c:tx>
          <c:spPr>
            <a:ln w="19050" cap="rnd">
              <a:solidFill>
                <a:srgbClr val="00B050"/>
              </a:solidFill>
              <a:round/>
            </a:ln>
            <a:effectLst/>
          </c:spPr>
          <c:marker>
            <c:symbol val="none"/>
          </c:marker>
          <c:xVal>
            <c:numRef>
              <c:f>Sheet1!$K$3:$K$44</c:f>
              <c:numCache>
                <c:formatCode>General</c:formatCode>
                <c:ptCount val="42"/>
                <c:pt idx="0">
                  <c:v>0</c:v>
                </c:pt>
                <c:pt idx="1">
                  <c:v>4.4947709348035901E-2</c:v>
                </c:pt>
                <c:pt idx="2">
                  <c:v>0.63094914332336105</c:v>
                </c:pt>
                <c:pt idx="3">
                  <c:v>1.1492076050139599</c:v>
                </c:pt>
                <c:pt idx="4">
                  <c:v>1.5998219892698999</c:v>
                </c:pt>
                <c:pt idx="5">
                  <c:v>1.87015106188345</c:v>
                </c:pt>
                <c:pt idx="6">
                  <c:v>2.4779093628699198</c:v>
                </c:pt>
                <c:pt idx="7">
                  <c:v>3.1531633990159902</c:v>
                </c:pt>
                <c:pt idx="8">
                  <c:v>3.7381264370657799</c:v>
                </c:pt>
                <c:pt idx="9">
                  <c:v>4.2105471357579001</c:v>
                </c:pt>
                <c:pt idx="10">
                  <c:v>4.6607659406136399</c:v>
                </c:pt>
                <c:pt idx="11">
                  <c:v>4.9754988008999401</c:v>
                </c:pt>
                <c:pt idx="12">
                  <c:v>5.3581724231710597</c:v>
                </c:pt>
                <c:pt idx="13">
                  <c:v>5.5829604173362597</c:v>
                </c:pt>
                <c:pt idx="14">
                  <c:v>5.9657823818824598</c:v>
                </c:pt>
                <c:pt idx="15">
                  <c:v>6.1908176131727899</c:v>
                </c:pt>
                <c:pt idx="16">
                  <c:v>6.4609488960862302</c:v>
                </c:pt>
                <c:pt idx="17">
                  <c:v>6.68613246965164</c:v>
                </c:pt>
                <c:pt idx="18">
                  <c:v>6.9108215689667896</c:v>
                </c:pt>
                <c:pt idx="19">
                  <c:v>7.3614359532227303</c:v>
                </c:pt>
                <c:pt idx="20">
                  <c:v>7.8117042055034904</c:v>
                </c:pt>
                <c:pt idx="21">
                  <c:v>8.1718298019630602</c:v>
                </c:pt>
                <c:pt idx="22">
                  <c:v>8.9830148095037892</c:v>
                </c:pt>
                <c:pt idx="23">
                  <c:v>9.3204934853017498</c:v>
                </c:pt>
                <c:pt idx="24">
                  <c:v>9.8388508418424099</c:v>
                </c:pt>
                <c:pt idx="25">
                  <c:v>10.356812618982801</c:v>
                </c:pt>
                <c:pt idx="26">
                  <c:v>10.6269933493213</c:v>
                </c:pt>
                <c:pt idx="27">
                  <c:v>11.032610576804201</c:v>
                </c:pt>
                <c:pt idx="28">
                  <c:v>11.3929339629638</c:v>
                </c:pt>
                <c:pt idx="29">
                  <c:v>11.933888792741101</c:v>
                </c:pt>
                <c:pt idx="30">
                  <c:v>12.3166613098622</c:v>
                </c:pt>
                <c:pt idx="31">
                  <c:v>12.7897248250797</c:v>
                </c:pt>
                <c:pt idx="32">
                  <c:v>13.1954409474126</c:v>
                </c:pt>
                <c:pt idx="33">
                  <c:v>13.5561104655475</c:v>
                </c:pt>
                <c:pt idx="34">
                  <c:v>14.231562291393599</c:v>
                </c:pt>
                <c:pt idx="35">
                  <c:v>14.795213489257501</c:v>
                </c:pt>
                <c:pt idx="36">
                  <c:v>15.223428189977</c:v>
                </c:pt>
                <c:pt idx="37">
                  <c:v>15.990061067569901</c:v>
                </c:pt>
                <c:pt idx="38">
                  <c:v>16.395826637327801</c:v>
                </c:pt>
                <c:pt idx="39">
                  <c:v>17.342645931713101</c:v>
                </c:pt>
                <c:pt idx="40">
                  <c:v>17.3646994832744</c:v>
                </c:pt>
                <c:pt idx="41">
                  <c:v>18.965510421044801</c:v>
                </c:pt>
              </c:numCache>
            </c:numRef>
          </c:xVal>
          <c:yVal>
            <c:numRef>
              <c:f>Sheet1!$L$3:$L$44</c:f>
              <c:numCache>
                <c:formatCode>General</c:formatCode>
                <c:ptCount val="42"/>
                <c:pt idx="0">
                  <c:v>1</c:v>
                </c:pt>
                <c:pt idx="1">
                  <c:v>1</c:v>
                </c:pt>
                <c:pt idx="2">
                  <c:v>0.98917348629070101</c:v>
                </c:pt>
                <c:pt idx="3">
                  <c:v>0.97393626226914198</c:v>
                </c:pt>
                <c:pt idx="4">
                  <c:v>0.95868420402007504</c:v>
                </c:pt>
                <c:pt idx="5">
                  <c:v>0.94777857443073599</c:v>
                </c:pt>
                <c:pt idx="6">
                  <c:v>0.90185922318095202</c:v>
                </c:pt>
                <c:pt idx="7">
                  <c:v>0.849375726259055</c:v>
                </c:pt>
                <c:pt idx="8">
                  <c:v>0.79248646376739895</c:v>
                </c:pt>
                <c:pt idx="9">
                  <c:v>0.74434445076272604</c:v>
                </c:pt>
                <c:pt idx="10">
                  <c:v>0.71154844611466805</c:v>
                </c:pt>
                <c:pt idx="11">
                  <c:v>0.66995079981209904</c:v>
                </c:pt>
                <c:pt idx="12">
                  <c:v>0.641525947536282</c:v>
                </c:pt>
                <c:pt idx="13">
                  <c:v>0.61087348876307201</c:v>
                </c:pt>
                <c:pt idx="14">
                  <c:v>0.58902761638687595</c:v>
                </c:pt>
                <c:pt idx="15">
                  <c:v>0.56934012411303603</c:v>
                </c:pt>
                <c:pt idx="16">
                  <c:v>0.54966252132420201</c:v>
                </c:pt>
                <c:pt idx="17">
                  <c:v>0.53655400894998295</c:v>
                </c:pt>
                <c:pt idx="18">
                  <c:v>0.50151556357702598</c:v>
                </c:pt>
                <c:pt idx="19">
                  <c:v>0.48626350532795898</c:v>
                </c:pt>
                <c:pt idx="20">
                  <c:v>0.45566049397977498</c:v>
                </c:pt>
                <c:pt idx="21">
                  <c:v>0.42723069696145499</c:v>
                </c:pt>
                <c:pt idx="22">
                  <c:v>0.40328578139293297</c:v>
                </c:pt>
                <c:pt idx="23">
                  <c:v>0.37046505303236299</c:v>
                </c:pt>
                <c:pt idx="24">
                  <c:v>0.359613815610552</c:v>
                </c:pt>
                <c:pt idx="25">
                  <c:v>0.33121863178974897</c:v>
                </c:pt>
                <c:pt idx="26">
                  <c:v>0.31373402230078801</c:v>
                </c:pt>
                <c:pt idx="27">
                  <c:v>0.30285806116646402</c:v>
                </c:pt>
                <c:pt idx="28">
                  <c:v>0.28320023734763999</c:v>
                </c:pt>
                <c:pt idx="29">
                  <c:v>0.27454693796820501</c:v>
                </c:pt>
                <c:pt idx="30">
                  <c:v>0.25050807229213501</c:v>
                </c:pt>
                <c:pt idx="31">
                  <c:v>0.23087497218582301</c:v>
                </c:pt>
                <c:pt idx="32">
                  <c:v>0.224384997651247</c:v>
                </c:pt>
                <c:pt idx="33">
                  <c:v>0.22007812693154</c:v>
                </c:pt>
                <c:pt idx="34">
                  <c:v>0.176366603209137</c:v>
                </c:pt>
                <c:pt idx="35">
                  <c:v>0.17429722847182699</c:v>
                </c:pt>
                <c:pt idx="36">
                  <c:v>0.16561920537987901</c:v>
                </c:pt>
                <c:pt idx="37">
                  <c:v>0.16561920537987901</c:v>
                </c:pt>
                <c:pt idx="38">
                  <c:v>0.161490345390263</c:v>
                </c:pt>
                <c:pt idx="39">
                  <c:v>0.15292605137587401</c:v>
                </c:pt>
                <c:pt idx="40">
                  <c:v>0.131001063119637</c:v>
                </c:pt>
                <c:pt idx="41">
                  <c:v>0.12696615323756999</c:v>
                </c:pt>
              </c:numCache>
            </c:numRef>
          </c:yVal>
          <c:smooth val="0"/>
          <c:extLst>
            <c:ext xmlns:c16="http://schemas.microsoft.com/office/drawing/2014/chart" uri="{C3380CC4-5D6E-409C-BE32-E72D297353CC}">
              <c16:uniqueId val="{00000003-441B-4205-951C-61D6F7AAA720}"/>
            </c:ext>
          </c:extLst>
        </c:ser>
        <c:dLbls>
          <c:showLegendKey val="0"/>
          <c:showVal val="0"/>
          <c:showCatName val="0"/>
          <c:showSerName val="0"/>
          <c:showPercent val="0"/>
          <c:showBubbleSize val="0"/>
        </c:dLbls>
        <c:axId val="528901016"/>
        <c:axId val="528902000"/>
        <c:extLst>
          <c:ext xmlns:c15="http://schemas.microsoft.com/office/drawing/2012/chart" uri="{02D57815-91ED-43cb-92C2-25804820EDAC}">
            <c15:filteredScatterSeries>
              <c15:ser>
                <c:idx val="2"/>
                <c:order val="2"/>
                <c:tx>
                  <c:v>Placebo CONCUR</c:v>
                </c:tx>
                <c:spPr>
                  <a:ln w="19050" cap="rnd">
                    <a:solidFill>
                      <a:srgbClr val="FFC000"/>
                    </a:solidFill>
                    <a:prstDash val="sysDash"/>
                    <a:round/>
                  </a:ln>
                  <a:effectLst/>
                </c:spPr>
                <c:marker>
                  <c:symbol val="none"/>
                </c:marker>
                <c:xVal>
                  <c:numRef>
                    <c:extLst>
                      <c:ext uri="{02D57815-91ED-43cb-92C2-25804820EDAC}">
                        <c15:formulaRef>
                          <c15:sqref>Sheet1!$E$3:$E$99</c15:sqref>
                        </c15:formulaRef>
                      </c:ext>
                    </c:extLst>
                    <c:numCache>
                      <c:formatCode>General</c:formatCode>
                      <c:ptCount val="97"/>
                      <c:pt idx="0">
                        <c:v>0</c:v>
                      </c:pt>
                      <c:pt idx="1">
                        <c:v>0.51571164510166301</c:v>
                      </c:pt>
                      <c:pt idx="2">
                        <c:v>0.93160813308687596</c:v>
                      </c:pt>
                      <c:pt idx="3">
                        <c:v>1.1312384473197701</c:v>
                      </c:pt>
                      <c:pt idx="4">
                        <c:v>1.181146025878</c:v>
                      </c:pt>
                      <c:pt idx="5">
                        <c:v>1.24768946395563</c:v>
                      </c:pt>
                      <c:pt idx="6">
                        <c:v>1.34750462107208</c:v>
                      </c:pt>
                      <c:pt idx="7">
                        <c:v>1.64695009242144</c:v>
                      </c:pt>
                      <c:pt idx="8">
                        <c:v>1.8465804066543401</c:v>
                      </c:pt>
                      <c:pt idx="9">
                        <c:v>1.9131238447319701</c:v>
                      </c:pt>
                      <c:pt idx="10">
                        <c:v>2.0628465804066498</c:v>
                      </c:pt>
                      <c:pt idx="11">
                        <c:v>2.19593345656192</c:v>
                      </c:pt>
                      <c:pt idx="12">
                        <c:v>2.3290203327171901</c:v>
                      </c:pt>
                      <c:pt idx="13">
                        <c:v>2.46210720887245</c:v>
                      </c:pt>
                      <c:pt idx="14">
                        <c:v>2.4787430683918599</c:v>
                      </c:pt>
                      <c:pt idx="15">
                        <c:v>2.5452865064695001</c:v>
                      </c:pt>
                      <c:pt idx="16">
                        <c:v>2.5785582255083099</c:v>
                      </c:pt>
                      <c:pt idx="17">
                        <c:v>2.6617375231053599</c:v>
                      </c:pt>
                      <c:pt idx="18">
                        <c:v>2.7116451016635801</c:v>
                      </c:pt>
                      <c:pt idx="19">
                        <c:v>2.7948243992606199</c:v>
                      </c:pt>
                      <c:pt idx="20">
                        <c:v>2.8613678373382601</c:v>
                      </c:pt>
                      <c:pt idx="21">
                        <c:v>2.92791127541589</c:v>
                      </c:pt>
                      <c:pt idx="22">
                        <c:v>3.0277264325323401</c:v>
                      </c:pt>
                      <c:pt idx="23">
                        <c:v>3.1441774491682</c:v>
                      </c:pt>
                      <c:pt idx="24">
                        <c:v>3.24399260628465</c:v>
                      </c:pt>
                      <c:pt idx="25">
                        <c:v>3.3604436229205099</c:v>
                      </c:pt>
                      <c:pt idx="26">
                        <c:v>3.4436229205175501</c:v>
                      </c:pt>
                      <c:pt idx="27">
                        <c:v>3.5600739371534198</c:v>
                      </c:pt>
                      <c:pt idx="28">
                        <c:v>3.7264325323474998</c:v>
                      </c:pt>
                      <c:pt idx="29">
                        <c:v>3.7929759704251298</c:v>
                      </c:pt>
                      <c:pt idx="30">
                        <c:v>3.8927911275415799</c:v>
                      </c:pt>
                      <c:pt idx="31">
                        <c:v>4.0425138632162598</c:v>
                      </c:pt>
                      <c:pt idx="32">
                        <c:v>4.0591497227356701</c:v>
                      </c:pt>
                      <c:pt idx="33">
                        <c:v>4.5582255083179204</c:v>
                      </c:pt>
                      <c:pt idx="34">
                        <c:v>4.6913123844731901</c:v>
                      </c:pt>
                      <c:pt idx="35">
                        <c:v>4.8243992606284598</c:v>
                      </c:pt>
                      <c:pt idx="36">
                        <c:v>4.9242144177449099</c:v>
                      </c:pt>
                      <c:pt idx="37">
                        <c:v>4.99075785582255</c:v>
                      </c:pt>
                      <c:pt idx="38">
                        <c:v>5.12384473197781</c:v>
                      </c:pt>
                      <c:pt idx="39">
                        <c:v>5.2569316081330797</c:v>
                      </c:pt>
                      <c:pt idx="40">
                        <c:v>5.4399260628465802</c:v>
                      </c:pt>
                      <c:pt idx="41">
                        <c:v>5.52310536044362</c:v>
                      </c:pt>
                      <c:pt idx="42">
                        <c:v>5.6728280961182902</c:v>
                      </c:pt>
                      <c:pt idx="43">
                        <c:v>5.8724584103512001</c:v>
                      </c:pt>
                      <c:pt idx="44">
                        <c:v>6.0221811460258703</c:v>
                      </c:pt>
                      <c:pt idx="45">
                        <c:v>6.15526802218114</c:v>
                      </c:pt>
                      <c:pt idx="46">
                        <c:v>6.2384473197781798</c:v>
                      </c:pt>
                      <c:pt idx="47">
                        <c:v>6.2550831792975901</c:v>
                      </c:pt>
                      <c:pt idx="48">
                        <c:v>6.3382624768946396</c:v>
                      </c:pt>
                      <c:pt idx="49">
                        <c:v>6.4380776340110897</c:v>
                      </c:pt>
                      <c:pt idx="50">
                        <c:v>6.5046210720887201</c:v>
                      </c:pt>
                      <c:pt idx="51">
                        <c:v>6.6044362292051702</c:v>
                      </c:pt>
                      <c:pt idx="52">
                        <c:v>6.6876155268022099</c:v>
                      </c:pt>
                      <c:pt idx="53">
                        <c:v>6.8706099815157096</c:v>
                      </c:pt>
                      <c:pt idx="54">
                        <c:v>7.03696857670979</c:v>
                      </c:pt>
                      <c:pt idx="55">
                        <c:v>7.2033271719038803</c:v>
                      </c:pt>
                      <c:pt idx="56">
                        <c:v>7.2698706099815098</c:v>
                      </c:pt>
                      <c:pt idx="57">
                        <c:v>7.4695009242144099</c:v>
                      </c:pt>
                      <c:pt idx="58">
                        <c:v>7.5526802218114497</c:v>
                      </c:pt>
                      <c:pt idx="59">
                        <c:v>7.6025878003696796</c:v>
                      </c:pt>
                      <c:pt idx="60">
                        <c:v>7.7523105360443596</c:v>
                      </c:pt>
                      <c:pt idx="61">
                        <c:v>7.8354898336414003</c:v>
                      </c:pt>
                      <c:pt idx="62">
                        <c:v>7.9020332717190298</c:v>
                      </c:pt>
                      <c:pt idx="63">
                        <c:v>8.0184842883548999</c:v>
                      </c:pt>
                      <c:pt idx="64">
                        <c:v>8.1349353049907496</c:v>
                      </c:pt>
                      <c:pt idx="65">
                        <c:v>8.2513863216266099</c:v>
                      </c:pt>
                      <c:pt idx="66">
                        <c:v>8.5009242144177399</c:v>
                      </c:pt>
                      <c:pt idx="67">
                        <c:v>8.6506469500924208</c:v>
                      </c:pt>
                      <c:pt idx="68">
                        <c:v>8.6839186691312307</c:v>
                      </c:pt>
                      <c:pt idx="69">
                        <c:v>8.8003696857670892</c:v>
                      </c:pt>
                      <c:pt idx="70">
                        <c:v>8.9168207024029495</c:v>
                      </c:pt>
                      <c:pt idx="71">
                        <c:v>8.9667282809611795</c:v>
                      </c:pt>
                      <c:pt idx="72">
                        <c:v>9.0998151571164492</c:v>
                      </c:pt>
                      <c:pt idx="73">
                        <c:v>9.1164510166358603</c:v>
                      </c:pt>
                      <c:pt idx="74">
                        <c:v>10.2809611829944</c:v>
                      </c:pt>
                      <c:pt idx="75">
                        <c:v>10.2975970425138</c:v>
                      </c:pt>
                      <c:pt idx="76">
                        <c:v>10.463955637707899</c:v>
                      </c:pt>
                      <c:pt idx="77">
                        <c:v>10.646950092421401</c:v>
                      </c:pt>
                      <c:pt idx="78">
                        <c:v>10.7634011090573</c:v>
                      </c:pt>
                      <c:pt idx="79">
                        <c:v>10.8632162661737</c:v>
                      </c:pt>
                      <c:pt idx="80">
                        <c:v>11.046210720887199</c:v>
                      </c:pt>
                      <c:pt idx="81">
                        <c:v>11.046210720887199</c:v>
                      </c:pt>
                      <c:pt idx="82">
                        <c:v>11.295748613678301</c:v>
                      </c:pt>
                      <c:pt idx="83">
                        <c:v>12.1940850277264</c:v>
                      </c:pt>
                      <c:pt idx="84">
                        <c:v>12.360443622920499</c:v>
                      </c:pt>
                      <c:pt idx="85">
                        <c:v>12.7763401109057</c:v>
                      </c:pt>
                      <c:pt idx="86">
                        <c:v>12.9260628465804</c:v>
                      </c:pt>
                      <c:pt idx="87">
                        <c:v>13.192236598890901</c:v>
                      </c:pt>
                      <c:pt idx="88">
                        <c:v>13.341959334565599</c:v>
                      </c:pt>
                      <c:pt idx="89">
                        <c:v>13.724584103512001</c:v>
                      </c:pt>
                      <c:pt idx="90">
                        <c:v>13.9075785582255</c:v>
                      </c:pt>
                      <c:pt idx="91">
                        <c:v>13.924214417744899</c:v>
                      </c:pt>
                      <c:pt idx="92">
                        <c:v>14.1903881700554</c:v>
                      </c:pt>
                      <c:pt idx="93">
                        <c:v>14.822550831792899</c:v>
                      </c:pt>
                      <c:pt idx="94">
                        <c:v>14.8391866913123</c:v>
                      </c:pt>
                      <c:pt idx="95">
                        <c:v>15.338262476894601</c:v>
                      </c:pt>
                      <c:pt idx="96">
                        <c:v>17.0850277264325</c:v>
                      </c:pt>
                    </c:numCache>
                  </c:numRef>
                </c:xVal>
                <c:yVal>
                  <c:numRef>
                    <c:extLst>
                      <c:ext uri="{02D57815-91ED-43cb-92C2-25804820EDAC}">
                        <c15:formulaRef>
                          <c15:sqref>Sheet1!$F$3:$F$99</c15:sqref>
                        </c15:formulaRef>
                      </c:ext>
                    </c:extLst>
                    <c:numCache>
                      <c:formatCode>General</c:formatCode>
                      <c:ptCount val="97"/>
                      <c:pt idx="0">
                        <c:v>1</c:v>
                      </c:pt>
                      <c:pt idx="1">
                        <c:v>1</c:v>
                      </c:pt>
                      <c:pt idx="2">
                        <c:v>1</c:v>
                      </c:pt>
                      <c:pt idx="3">
                        <c:v>1</c:v>
                      </c:pt>
                      <c:pt idx="4">
                        <c:v>0.98309178743961301</c:v>
                      </c:pt>
                      <c:pt idx="5">
                        <c:v>0.96859903381642498</c:v>
                      </c:pt>
                      <c:pt idx="6">
                        <c:v>0.958937198067633</c:v>
                      </c:pt>
                      <c:pt idx="7">
                        <c:v>0.958937198067633</c:v>
                      </c:pt>
                      <c:pt idx="8">
                        <c:v>0.958937198067633</c:v>
                      </c:pt>
                      <c:pt idx="9">
                        <c:v>0.94202898550724601</c:v>
                      </c:pt>
                      <c:pt idx="10">
                        <c:v>0.92753623188405798</c:v>
                      </c:pt>
                      <c:pt idx="11">
                        <c:v>0.92753623188405798</c:v>
                      </c:pt>
                      <c:pt idx="12">
                        <c:v>0.91304347826086896</c:v>
                      </c:pt>
                      <c:pt idx="13">
                        <c:v>0.91304347826086896</c:v>
                      </c:pt>
                      <c:pt idx="14">
                        <c:v>0.88888888888888895</c:v>
                      </c:pt>
                      <c:pt idx="15">
                        <c:v>0.86714975845410602</c:v>
                      </c:pt>
                      <c:pt idx="16">
                        <c:v>0.84541062801932298</c:v>
                      </c:pt>
                      <c:pt idx="17">
                        <c:v>0.835748792270531</c:v>
                      </c:pt>
                      <c:pt idx="18">
                        <c:v>0.82125603864734298</c:v>
                      </c:pt>
                      <c:pt idx="19">
                        <c:v>0.80676328502415395</c:v>
                      </c:pt>
                      <c:pt idx="20">
                        <c:v>0.77777777777777801</c:v>
                      </c:pt>
                      <c:pt idx="21">
                        <c:v>0.75845410628019305</c:v>
                      </c:pt>
                      <c:pt idx="22">
                        <c:v>0.75362318840579701</c:v>
                      </c:pt>
                      <c:pt idx="23">
                        <c:v>0.73188405797101397</c:v>
                      </c:pt>
                      <c:pt idx="24">
                        <c:v>0.71739130434782605</c:v>
                      </c:pt>
                      <c:pt idx="25">
                        <c:v>0.70289855072463703</c:v>
                      </c:pt>
                      <c:pt idx="26">
                        <c:v>0.69323671497584505</c:v>
                      </c:pt>
                      <c:pt idx="27">
                        <c:v>0.68599033816425103</c:v>
                      </c:pt>
                      <c:pt idx="28">
                        <c:v>0.68599033816425103</c:v>
                      </c:pt>
                      <c:pt idx="29">
                        <c:v>0.67149758454106301</c:v>
                      </c:pt>
                      <c:pt idx="30">
                        <c:v>0.65700483091787398</c:v>
                      </c:pt>
                      <c:pt idx="31">
                        <c:v>0.65700483091787398</c:v>
                      </c:pt>
                      <c:pt idx="32">
                        <c:v>0.64251207729468596</c:v>
                      </c:pt>
                      <c:pt idx="33">
                        <c:v>0.64009661835748799</c:v>
                      </c:pt>
                      <c:pt idx="34">
                        <c:v>0.62560386473429896</c:v>
                      </c:pt>
                      <c:pt idx="35">
                        <c:v>0.59661835748792202</c:v>
                      </c:pt>
                      <c:pt idx="36">
                        <c:v>0.57971014492753603</c:v>
                      </c:pt>
                      <c:pt idx="37">
                        <c:v>0.565217391304348</c:v>
                      </c:pt>
                      <c:pt idx="38">
                        <c:v>0.565217391304348</c:v>
                      </c:pt>
                      <c:pt idx="39">
                        <c:v>0.55314009661835695</c:v>
                      </c:pt>
                      <c:pt idx="40">
                        <c:v>0.55314009661835695</c:v>
                      </c:pt>
                      <c:pt idx="41">
                        <c:v>0.53864734299516903</c:v>
                      </c:pt>
                      <c:pt idx="42">
                        <c:v>0.52173913043478204</c:v>
                      </c:pt>
                      <c:pt idx="43">
                        <c:v>0.52173913043478204</c:v>
                      </c:pt>
                      <c:pt idx="44">
                        <c:v>0.52173913043478204</c:v>
                      </c:pt>
                      <c:pt idx="45">
                        <c:v>0.52173913043478204</c:v>
                      </c:pt>
                      <c:pt idx="46">
                        <c:v>0.50724637681159401</c:v>
                      </c:pt>
                      <c:pt idx="47">
                        <c:v>0.487922705314009</c:v>
                      </c:pt>
                      <c:pt idx="48">
                        <c:v>0.487922705314009</c:v>
                      </c:pt>
                      <c:pt idx="49">
                        <c:v>0.487922705314009</c:v>
                      </c:pt>
                      <c:pt idx="50">
                        <c:v>0.47342995169082103</c:v>
                      </c:pt>
                      <c:pt idx="51">
                        <c:v>0.45652173913043398</c:v>
                      </c:pt>
                      <c:pt idx="52">
                        <c:v>0.43236714975845397</c:v>
                      </c:pt>
                      <c:pt idx="53">
                        <c:v>0.42753623188405798</c:v>
                      </c:pt>
                      <c:pt idx="54">
                        <c:v>0.417874396135265</c:v>
                      </c:pt>
                      <c:pt idx="55">
                        <c:v>0.41062801932367099</c:v>
                      </c:pt>
                      <c:pt idx="56">
                        <c:v>0.393719806763285</c:v>
                      </c:pt>
                      <c:pt idx="57">
                        <c:v>0.393719806763285</c:v>
                      </c:pt>
                      <c:pt idx="58">
                        <c:v>0.38164251207729399</c:v>
                      </c:pt>
                      <c:pt idx="59">
                        <c:v>0.364734299516908</c:v>
                      </c:pt>
                      <c:pt idx="60">
                        <c:v>0.364734299516908</c:v>
                      </c:pt>
                      <c:pt idx="61">
                        <c:v>0.352657004830918</c:v>
                      </c:pt>
                      <c:pt idx="62">
                        <c:v>0.33333333333333298</c:v>
                      </c:pt>
                      <c:pt idx="63">
                        <c:v>0.323671497584541</c:v>
                      </c:pt>
                      <c:pt idx="64">
                        <c:v>0.31884057971014501</c:v>
                      </c:pt>
                      <c:pt idx="65">
                        <c:v>0.30676328502415401</c:v>
                      </c:pt>
                      <c:pt idx="66">
                        <c:v>0.30193236714975802</c:v>
                      </c:pt>
                      <c:pt idx="67">
                        <c:v>0.28502415458937203</c:v>
                      </c:pt>
                      <c:pt idx="68">
                        <c:v>0.26086956521739102</c:v>
                      </c:pt>
                      <c:pt idx="69">
                        <c:v>0.258454106280193</c:v>
                      </c:pt>
                      <c:pt idx="70">
                        <c:v>0.243961352657005</c:v>
                      </c:pt>
                      <c:pt idx="71">
                        <c:v>0.229468599033816</c:v>
                      </c:pt>
                      <c:pt idx="72">
                        <c:v>0.229468599033816</c:v>
                      </c:pt>
                      <c:pt idx="73">
                        <c:v>0.21256038647343001</c:v>
                      </c:pt>
                      <c:pt idx="74">
                        <c:v>0.21256038647343001</c:v>
                      </c:pt>
                      <c:pt idx="75">
                        <c:v>0.19806763285024101</c:v>
                      </c:pt>
                      <c:pt idx="76">
                        <c:v>0.19806763285024101</c:v>
                      </c:pt>
                      <c:pt idx="77">
                        <c:v>0.19806763285024101</c:v>
                      </c:pt>
                      <c:pt idx="78">
                        <c:v>0.18357487922705301</c:v>
                      </c:pt>
                      <c:pt idx="79">
                        <c:v>0.16666666666666599</c:v>
                      </c:pt>
                      <c:pt idx="80">
                        <c:v>0.16666666666666599</c:v>
                      </c:pt>
                      <c:pt idx="81">
                        <c:v>0.147342995169082</c:v>
                      </c:pt>
                      <c:pt idx="82">
                        <c:v>0.14492753623188401</c:v>
                      </c:pt>
                      <c:pt idx="83">
                        <c:v>0.14492753623188401</c:v>
                      </c:pt>
                      <c:pt idx="84">
                        <c:v>0.14492753623188401</c:v>
                      </c:pt>
                      <c:pt idx="85">
                        <c:v>0.13043478260869501</c:v>
                      </c:pt>
                      <c:pt idx="86">
                        <c:v>0.13043478260869501</c:v>
                      </c:pt>
                      <c:pt idx="87">
                        <c:v>0.12801932367149699</c:v>
                      </c:pt>
                      <c:pt idx="88">
                        <c:v>0.101449275362319</c:v>
                      </c:pt>
                      <c:pt idx="89">
                        <c:v>9.9033816425120796E-2</c:v>
                      </c:pt>
                      <c:pt idx="90">
                        <c:v>9.9033816425120796E-2</c:v>
                      </c:pt>
                      <c:pt idx="91">
                        <c:v>7.2463768115942198E-2</c:v>
                      </c:pt>
                      <c:pt idx="92">
                        <c:v>7.2463768115942198E-2</c:v>
                      </c:pt>
                      <c:pt idx="93">
                        <c:v>7.2463768115942198E-2</c:v>
                      </c:pt>
                      <c:pt idx="94">
                        <c:v>4.1062801932367297E-2</c:v>
                      </c:pt>
                      <c:pt idx="95">
                        <c:v>4.1062801932367297E-2</c:v>
                      </c:pt>
                      <c:pt idx="96">
                        <c:v>4.1062801932367297E-2</c:v>
                      </c:pt>
                    </c:numCache>
                  </c:numRef>
                </c:yVal>
                <c:smooth val="0"/>
                <c:extLst>
                  <c:ext xmlns:c16="http://schemas.microsoft.com/office/drawing/2014/chart" uri="{C3380CC4-5D6E-409C-BE32-E72D297353CC}">
                    <c16:uniqueId val="{00000004-441B-4205-951C-61D6F7AAA720}"/>
                  </c:ext>
                </c:extLst>
              </c15:ser>
            </c15:filteredScatterSeries>
            <c15:filteredScatterSeries>
              <c15:ser>
                <c:idx val="3"/>
                <c:order val="3"/>
                <c:tx>
                  <c:v>Regorafenib CONCUR</c:v>
                </c:tx>
                <c:spPr>
                  <a:ln w="19050" cap="rnd">
                    <a:solidFill>
                      <a:schemeClr val="accent4"/>
                    </a:solidFill>
                    <a:round/>
                  </a:ln>
                  <a:effectLst/>
                </c:spPr>
                <c:marker>
                  <c:symbol val="none"/>
                </c:marker>
                <c:xVal>
                  <c:numRef>
                    <c:extLst xmlns:c15="http://schemas.microsoft.com/office/drawing/2012/chart">
                      <c:ext xmlns:c15="http://schemas.microsoft.com/office/drawing/2012/chart" uri="{02D57815-91ED-43cb-92C2-25804820EDAC}">
                        <c15:formulaRef>
                          <c15:sqref>Sheet1!$G$3:$G$85</c15:sqref>
                        </c15:formulaRef>
                      </c:ext>
                    </c:extLst>
                    <c:numCache>
                      <c:formatCode>General</c:formatCode>
                      <c:ptCount val="83"/>
                      <c:pt idx="0">
                        <c:v>0</c:v>
                      </c:pt>
                      <c:pt idx="1">
                        <c:v>7.7926336363118798E-2</c:v>
                      </c:pt>
                      <c:pt idx="2">
                        <c:v>0.42979942693409701</c:v>
                      </c:pt>
                      <c:pt idx="3">
                        <c:v>0.722063037249283</c:v>
                      </c:pt>
                      <c:pt idx="4">
                        <c:v>1.16905444126074</c:v>
                      </c:pt>
                      <c:pt idx="5">
                        <c:v>1.53008595988538</c:v>
                      </c:pt>
                      <c:pt idx="6">
                        <c:v>1.7707736389684801</c:v>
                      </c:pt>
                      <c:pt idx="7">
                        <c:v>2.0776029905690798</c:v>
                      </c:pt>
                      <c:pt idx="8">
                        <c:v>2.3890927721588602</c:v>
                      </c:pt>
                      <c:pt idx="9">
                        <c:v>2.6786466536366902</c:v>
                      </c:pt>
                      <c:pt idx="10">
                        <c:v>2.96820053511451</c:v>
                      </c:pt>
                      <c:pt idx="11">
                        <c:v>3.24985749255204</c:v>
                      </c:pt>
                      <c:pt idx="12">
                        <c:v>3.54730829807017</c:v>
                      </c:pt>
                      <c:pt idx="13">
                        <c:v>3.8105390994136501</c:v>
                      </c:pt>
                      <c:pt idx="14">
                        <c:v>4.1790622212945197</c:v>
                      </c:pt>
                      <c:pt idx="15">
                        <c:v>4.4686161027723399</c:v>
                      </c:pt>
                      <c:pt idx="16">
                        <c:v>4.6934097421203402</c:v>
                      </c:pt>
                      <c:pt idx="17">
                        <c:v>4.7581699842501699</c:v>
                      </c:pt>
                      <c:pt idx="18">
                        <c:v>4.91690544412607</c:v>
                      </c:pt>
                      <c:pt idx="19">
                        <c:v>5.0028653295128898</c:v>
                      </c:pt>
                      <c:pt idx="20">
                        <c:v>5.0556207897682999</c:v>
                      </c:pt>
                      <c:pt idx="21">
                        <c:v>5.19197707736389</c:v>
                      </c:pt>
                      <c:pt idx="22">
                        <c:v>5.3372777472058202</c:v>
                      </c:pt>
                      <c:pt idx="23">
                        <c:v>5.5014326647564404</c:v>
                      </c:pt>
                      <c:pt idx="24">
                        <c:v>5.6268316286836502</c:v>
                      </c:pt>
                      <c:pt idx="25">
                        <c:v>5.7936962750716301</c:v>
                      </c:pt>
                      <c:pt idx="26">
                        <c:v>5.8900624300271298</c:v>
                      </c:pt>
                      <c:pt idx="27">
                        <c:v>6</c:v>
                      </c:pt>
                      <c:pt idx="28">
                        <c:v>6.0171919770773599</c:v>
                      </c:pt>
                      <c:pt idx="29">
                        <c:v>6.1138086111690901</c:v>
                      </c:pt>
                      <c:pt idx="30">
                        <c:v>6.3094555873925398</c:v>
                      </c:pt>
                      <c:pt idx="31">
                        <c:v>6.4428471128484404</c:v>
                      </c:pt>
                      <c:pt idx="32">
                        <c:v>6.5845272206303704</c:v>
                      </c:pt>
                      <c:pt idx="33">
                        <c:v>6.7324009943262597</c:v>
                      </c:pt>
                      <c:pt idx="34">
                        <c:v>6.9111747851002798</c:v>
                      </c:pt>
                      <c:pt idx="35">
                        <c:v>7.0219548758040897</c:v>
                      </c:pt>
                      <c:pt idx="36">
                        <c:v>7.3115087572819197</c:v>
                      </c:pt>
                      <c:pt idx="37">
                        <c:v>7.4957020057306503</c:v>
                      </c:pt>
                      <c:pt idx="38">
                        <c:v>7.60106263875974</c:v>
                      </c:pt>
                      <c:pt idx="39">
                        <c:v>7.89061652023757</c:v>
                      </c:pt>
                      <c:pt idx="40">
                        <c:v>8.0974212034383903</c:v>
                      </c:pt>
                      <c:pt idx="41">
                        <c:v>8.1801704017154009</c:v>
                      </c:pt>
                      <c:pt idx="42">
                        <c:v>8.46972428319323</c:v>
                      </c:pt>
                      <c:pt idx="43">
                        <c:v>8.7592781646710502</c:v>
                      </c:pt>
                      <c:pt idx="44">
                        <c:v>8.9961858858801804</c:v>
                      </c:pt>
                      <c:pt idx="45">
                        <c:v>9.1977077363896793</c:v>
                      </c:pt>
                      <c:pt idx="46">
                        <c:v>9.3778705478282305</c:v>
                      </c:pt>
                      <c:pt idx="47">
                        <c:v>9.7069090495075798</c:v>
                      </c:pt>
                      <c:pt idx="48">
                        <c:v>9.9964629309854001</c:v>
                      </c:pt>
                      <c:pt idx="49">
                        <c:v>10.177650429799399</c:v>
                      </c:pt>
                      <c:pt idx="50">
                        <c:v>10.286016812463201</c:v>
                      </c:pt>
                      <c:pt idx="51">
                        <c:v>10.435530085959799</c:v>
                      </c:pt>
                      <c:pt idx="52">
                        <c:v>10.575570693941</c:v>
                      </c:pt>
                      <c:pt idx="53">
                        <c:v>10.8651245754188</c:v>
                      </c:pt>
                      <c:pt idx="54">
                        <c:v>11.106017191976999</c:v>
                      </c:pt>
                      <c:pt idx="55">
                        <c:v>11.154678456896701</c:v>
                      </c:pt>
                      <c:pt idx="56">
                        <c:v>11.444232338374499</c:v>
                      </c:pt>
                      <c:pt idx="57">
                        <c:v>11.7337862198523</c:v>
                      </c:pt>
                      <c:pt idx="58">
                        <c:v>12.023340101330099</c:v>
                      </c:pt>
                      <c:pt idx="59">
                        <c:v>12.312893982807999</c:v>
                      </c:pt>
                      <c:pt idx="60">
                        <c:v>12.6024478642858</c:v>
                      </c:pt>
                      <c:pt idx="61">
                        <c:v>12.892001745763601</c:v>
                      </c:pt>
                      <c:pt idx="62">
                        <c:v>13.181555627241501</c:v>
                      </c:pt>
                      <c:pt idx="63">
                        <c:v>13.4711095087193</c:v>
                      </c:pt>
                      <c:pt idx="64">
                        <c:v>13.7606633901971</c:v>
                      </c:pt>
                      <c:pt idx="65">
                        <c:v>13.9083094555873</c:v>
                      </c:pt>
                      <c:pt idx="66">
                        <c:v>14.050217271674899</c:v>
                      </c:pt>
                      <c:pt idx="67">
                        <c:v>14.3397711531528</c:v>
                      </c:pt>
                      <c:pt idx="68">
                        <c:v>14.6293250346306</c:v>
                      </c:pt>
                      <c:pt idx="69">
                        <c:v>14.859651985806099</c:v>
                      </c:pt>
                      <c:pt idx="70">
                        <c:v>15.037332776713001</c:v>
                      </c:pt>
                      <c:pt idx="71">
                        <c:v>15.6296020797358</c:v>
                      </c:pt>
                      <c:pt idx="72">
                        <c:v>15.8928328810793</c:v>
                      </c:pt>
                      <c:pt idx="73">
                        <c:v>16.2218713827586</c:v>
                      </c:pt>
                      <c:pt idx="74">
                        <c:v>16.314002163228899</c:v>
                      </c:pt>
                      <c:pt idx="75">
                        <c:v>16.314002163228899</c:v>
                      </c:pt>
                      <c:pt idx="76">
                        <c:v>16.3151862464183</c:v>
                      </c:pt>
                      <c:pt idx="77">
                        <c:v>16.573065902578701</c:v>
                      </c:pt>
                      <c:pt idx="78">
                        <c:v>16.945756086453201</c:v>
                      </c:pt>
                    </c:numCache>
                  </c:numRef>
                </c:xVal>
                <c:yVal>
                  <c:numRef>
                    <c:extLst xmlns:c15="http://schemas.microsoft.com/office/drawing/2012/chart">
                      <c:ext xmlns:c15="http://schemas.microsoft.com/office/drawing/2012/chart" uri="{02D57815-91ED-43cb-92C2-25804820EDAC}">
                        <c15:formulaRef>
                          <c15:sqref>Sheet1!$H$3:$H$81</c15:sqref>
                        </c15:formulaRef>
                      </c:ext>
                    </c:extLst>
                    <c:numCache>
                      <c:formatCode>General</c:formatCode>
                      <c:ptCount val="79"/>
                      <c:pt idx="0">
                        <c:v>1</c:v>
                      </c:pt>
                      <c:pt idx="1">
                        <c:v>0.99848326204356597</c:v>
                      </c:pt>
                      <c:pt idx="2">
                        <c:v>0.99501246882793004</c:v>
                      </c:pt>
                      <c:pt idx="3">
                        <c:v>0.98503740648379001</c:v>
                      </c:pt>
                      <c:pt idx="4">
                        <c:v>0.98254364089775503</c:v>
                      </c:pt>
                      <c:pt idx="5">
                        <c:v>0.98004987531172005</c:v>
                      </c:pt>
                      <c:pt idx="6">
                        <c:v>0.97007481296758102</c:v>
                      </c:pt>
                      <c:pt idx="7">
                        <c:v>0.961541510462255</c:v>
                      </c:pt>
                      <c:pt idx="8">
                        <c:v>0.95039042970538701</c:v>
                      </c:pt>
                      <c:pt idx="9">
                        <c:v>0.93893562301350697</c:v>
                      </c:pt>
                      <c:pt idx="10">
                        <c:v>0.91654668266119699</c:v>
                      </c:pt>
                      <c:pt idx="11">
                        <c:v>0.88928077158098096</c:v>
                      </c:pt>
                      <c:pt idx="12">
                        <c:v>0.859793322233249</c:v>
                      </c:pt>
                      <c:pt idx="13">
                        <c:v>0.85171324815261296</c:v>
                      </c:pt>
                      <c:pt idx="14">
                        <c:v>0.83115630550355002</c:v>
                      </c:pt>
                      <c:pt idx="15">
                        <c:v>0.79627121239646204</c:v>
                      </c:pt>
                      <c:pt idx="16">
                        <c:v>0.79052369077306694</c:v>
                      </c:pt>
                      <c:pt idx="17">
                        <c:v>0.77804765629574402</c:v>
                      </c:pt>
                      <c:pt idx="18">
                        <c:v>0.76807980049875302</c:v>
                      </c:pt>
                      <c:pt idx="19">
                        <c:v>0.75810473815461299</c:v>
                      </c:pt>
                      <c:pt idx="20">
                        <c:v>0.74227741903519295</c:v>
                      </c:pt>
                      <c:pt idx="21">
                        <c:v>0.72817955112219401</c:v>
                      </c:pt>
                      <c:pt idx="22">
                        <c:v>0.69907891319263504</c:v>
                      </c:pt>
                      <c:pt idx="23">
                        <c:v>0.69077306733167099</c:v>
                      </c:pt>
                      <c:pt idx="24">
                        <c:v>0.67911978032042097</c:v>
                      </c:pt>
                      <c:pt idx="25">
                        <c:v>0.66832917705735595</c:v>
                      </c:pt>
                      <c:pt idx="26">
                        <c:v>0.659739173038705</c:v>
                      </c:pt>
                      <c:pt idx="27">
                        <c:v>0.65087281795511198</c:v>
                      </c:pt>
                      <c:pt idx="28">
                        <c:v>0.62842892768079806</c:v>
                      </c:pt>
                      <c:pt idx="29">
                        <c:v>0.62457928027613097</c:v>
                      </c:pt>
                      <c:pt idx="30">
                        <c:v>0.61596009975062305</c:v>
                      </c:pt>
                      <c:pt idx="31">
                        <c:v>0.59685344135146701</c:v>
                      </c:pt>
                      <c:pt idx="32">
                        <c:v>0.59102244389027403</c:v>
                      </c:pt>
                      <c:pt idx="33">
                        <c:v>0.58262171182519296</c:v>
                      </c:pt>
                      <c:pt idx="34">
                        <c:v>0.57605985037406504</c:v>
                      </c:pt>
                      <c:pt idx="35">
                        <c:v>0.57550584706205599</c:v>
                      </c:pt>
                      <c:pt idx="36">
                        <c:v>0.56196834824438002</c:v>
                      </c:pt>
                      <c:pt idx="37">
                        <c:v>0.54613466334164595</c:v>
                      </c:pt>
                      <c:pt idx="38">
                        <c:v>0.53992652324636903</c:v>
                      </c:pt>
                      <c:pt idx="39">
                        <c:v>0.53819094647487198</c:v>
                      </c:pt>
                      <c:pt idx="40">
                        <c:v>0.53819094647487198</c:v>
                      </c:pt>
                      <c:pt idx="41">
                        <c:v>0.52638902442869295</c:v>
                      </c:pt>
                      <c:pt idx="42">
                        <c:v>0.50139671891913795</c:v>
                      </c:pt>
                      <c:pt idx="43">
                        <c:v>0.48664431636141398</c:v>
                      </c:pt>
                      <c:pt idx="44">
                        <c:v>0.45527996470507698</c:v>
                      </c:pt>
                      <c:pt idx="45">
                        <c:v>0.43640897755610902</c:v>
                      </c:pt>
                      <c:pt idx="46">
                        <c:v>0.42817707387161202</c:v>
                      </c:pt>
                      <c:pt idx="47">
                        <c:v>0.403163073652413</c:v>
                      </c:pt>
                      <c:pt idx="48">
                        <c:v>0.39413807444062898</c:v>
                      </c:pt>
                      <c:pt idx="49">
                        <c:v>0.38902743142144602</c:v>
                      </c:pt>
                      <c:pt idx="50">
                        <c:v>0.38902743142144602</c:v>
                      </c:pt>
                      <c:pt idx="51">
                        <c:v>0.38902743142144602</c:v>
                      </c:pt>
                      <c:pt idx="52">
                        <c:v>0.38632797896889298</c:v>
                      </c:pt>
                      <c:pt idx="53">
                        <c:v>0.38216259471730002</c:v>
                      </c:pt>
                      <c:pt idx="54">
                        <c:v>0.38154613466334097</c:v>
                      </c:pt>
                      <c:pt idx="55">
                        <c:v>0.368625095899624</c:v>
                      </c:pt>
                      <c:pt idx="56">
                        <c:v>0.36255057719938499</c:v>
                      </c:pt>
                      <c:pt idx="57">
                        <c:v>0.36255057719938499</c:v>
                      </c:pt>
                      <c:pt idx="58">
                        <c:v>0.35236852680660302</c:v>
                      </c:pt>
                      <c:pt idx="59">
                        <c:v>0.340508752201375</c:v>
                      </c:pt>
                      <c:pt idx="60">
                        <c:v>0.32575634964365102</c:v>
                      </c:pt>
                      <c:pt idx="61">
                        <c:v>0.32523567661220198</c:v>
                      </c:pt>
                      <c:pt idx="62">
                        <c:v>0.31759913881761498</c:v>
                      </c:pt>
                      <c:pt idx="63">
                        <c:v>0.30545010141713702</c:v>
                      </c:pt>
                      <c:pt idx="64">
                        <c:v>0.30093760181124501</c:v>
                      </c:pt>
                      <c:pt idx="65">
                        <c:v>0.30093760181124501</c:v>
                      </c:pt>
                      <c:pt idx="66">
                        <c:v>0.27698664236458798</c:v>
                      </c:pt>
                      <c:pt idx="67">
                        <c:v>0.27525106559309098</c:v>
                      </c:pt>
                      <c:pt idx="68">
                        <c:v>0.25362577902023897</c:v>
                      </c:pt>
                      <c:pt idx="69">
                        <c:v>0.223024667910797</c:v>
                      </c:pt>
                      <c:pt idx="70">
                        <c:v>0.223024667910797</c:v>
                      </c:pt>
                      <c:pt idx="71">
                        <c:v>0.223024667910797</c:v>
                      </c:pt>
                      <c:pt idx="72">
                        <c:v>0.22275951034848501</c:v>
                      </c:pt>
                      <c:pt idx="73">
                        <c:v>0.22032006077521399</c:v>
                      </c:pt>
                      <c:pt idx="74">
                        <c:v>0.16018232564284601</c:v>
                      </c:pt>
                      <c:pt idx="75">
                        <c:v>0.12009050222126801</c:v>
                      </c:pt>
                      <c:pt idx="76">
                        <c:v>9.9750623441396596E-2</c:v>
                      </c:pt>
                      <c:pt idx="77">
                        <c:v>9.9750623441396596E-2</c:v>
                      </c:pt>
                      <c:pt idx="78">
                        <c:v>9.9750623441396596E-2</c:v>
                      </c:pt>
                    </c:numCache>
                  </c:numRef>
                </c:yVal>
                <c:smooth val="0"/>
                <c:extLst xmlns:c15="http://schemas.microsoft.com/office/drawing/2012/chart">
                  <c:ext xmlns:c16="http://schemas.microsoft.com/office/drawing/2014/chart" uri="{C3380CC4-5D6E-409C-BE32-E72D297353CC}">
                    <c16:uniqueId val="{00000005-441B-4205-951C-61D6F7AAA720}"/>
                  </c:ext>
                </c:extLst>
              </c15:ser>
            </c15:filteredScatterSeries>
            <c15:filteredScatterSeries>
              <c15:ser>
                <c:idx val="6"/>
                <c:order val="6"/>
                <c:tx>
                  <c:v>Placebo YOSHINO</c:v>
                </c:tx>
                <c:spPr>
                  <a:ln w="19050" cap="rnd">
                    <a:solidFill>
                      <a:srgbClr val="FF0000"/>
                    </a:solidFill>
                    <a:prstDash val="sysDash"/>
                    <a:round/>
                  </a:ln>
                  <a:effectLst/>
                </c:spPr>
                <c:marker>
                  <c:symbol val="none"/>
                </c:marker>
                <c:xVal>
                  <c:numRef>
                    <c:extLst xmlns:c15="http://schemas.microsoft.com/office/drawing/2012/chart">
                      <c:ext xmlns:c15="http://schemas.microsoft.com/office/drawing/2012/chart" uri="{02D57815-91ED-43cb-92C2-25804820EDAC}">
                        <c15:formulaRef>
                          <c15:sqref>Sheet1!$M$3:$M$80</c15:sqref>
                        </c15:formulaRef>
                      </c:ext>
                    </c:extLst>
                    <c:numCache>
                      <c:formatCode>General</c:formatCode>
                      <c:ptCount val="78"/>
                      <c:pt idx="0">
                        <c:v>0</c:v>
                      </c:pt>
                      <c:pt idx="1">
                        <c:v>1.1330166270783799</c:v>
                      </c:pt>
                      <c:pt idx="2">
                        <c:v>1.1757719714964301</c:v>
                      </c:pt>
                      <c:pt idx="3">
                        <c:v>1.4750593824228</c:v>
                      </c:pt>
                      <c:pt idx="4">
                        <c:v>1.5178147268408499</c:v>
                      </c:pt>
                      <c:pt idx="5">
                        <c:v>1.8384798099762401</c:v>
                      </c:pt>
                      <c:pt idx="6">
                        <c:v>1.85985748218527</c:v>
                      </c:pt>
                      <c:pt idx="7">
                        <c:v>2.07363420427553</c:v>
                      </c:pt>
                      <c:pt idx="8">
                        <c:v>2.1377672209026102</c:v>
                      </c:pt>
                      <c:pt idx="9">
                        <c:v>2.1591448931116299</c:v>
                      </c:pt>
                      <c:pt idx="10">
                        <c:v>2.4798099762470298</c:v>
                      </c:pt>
                      <c:pt idx="11">
                        <c:v>2.50118764845605</c:v>
                      </c:pt>
                      <c:pt idx="12">
                        <c:v>2.6294536817102099</c:v>
                      </c:pt>
                      <c:pt idx="13">
                        <c:v>2.6294536817102099</c:v>
                      </c:pt>
                      <c:pt idx="14">
                        <c:v>2.75771971496436</c:v>
                      </c:pt>
                      <c:pt idx="15">
                        <c:v>2.7790973871733899</c:v>
                      </c:pt>
                      <c:pt idx="16">
                        <c:v>2.8432304038004701</c:v>
                      </c:pt>
                      <c:pt idx="17">
                        <c:v>2.8859857482185198</c:v>
                      </c:pt>
                      <c:pt idx="18">
                        <c:v>3.0356294536816999</c:v>
                      </c:pt>
                      <c:pt idx="19">
                        <c:v>3.0783847980997598</c:v>
                      </c:pt>
                      <c:pt idx="20">
                        <c:v>3.3562945368171002</c:v>
                      </c:pt>
                      <c:pt idx="21">
                        <c:v>3.37767220902612</c:v>
                      </c:pt>
                      <c:pt idx="22">
                        <c:v>3.4418052256532001</c:v>
                      </c:pt>
                      <c:pt idx="23">
                        <c:v>3.57007125890736</c:v>
                      </c:pt>
                      <c:pt idx="24">
                        <c:v>3.5914489311163802</c:v>
                      </c:pt>
                      <c:pt idx="25">
                        <c:v>3.6983372921615199</c:v>
                      </c:pt>
                      <c:pt idx="26">
                        <c:v>3.7197149643705401</c:v>
                      </c:pt>
                      <c:pt idx="27">
                        <c:v>3.8693586698337201</c:v>
                      </c:pt>
                      <c:pt idx="28">
                        <c:v>3.8907363420427501</c:v>
                      </c:pt>
                      <c:pt idx="29">
                        <c:v>4.1045130641330099</c:v>
                      </c:pt>
                      <c:pt idx="30">
                        <c:v>4.1258907363420398</c:v>
                      </c:pt>
                      <c:pt idx="31">
                        <c:v>4.16864608076009</c:v>
                      </c:pt>
                      <c:pt idx="32">
                        <c:v>4.3182897862232696</c:v>
                      </c:pt>
                      <c:pt idx="33">
                        <c:v>4.9168646080759997</c:v>
                      </c:pt>
                      <c:pt idx="34">
                        <c:v>4.9596199524940596</c:v>
                      </c:pt>
                      <c:pt idx="35">
                        <c:v>5.1306413301662701</c:v>
                      </c:pt>
                      <c:pt idx="36">
                        <c:v>5.1733966745843203</c:v>
                      </c:pt>
                      <c:pt idx="37">
                        <c:v>5.3444180522565299</c:v>
                      </c:pt>
                      <c:pt idx="38">
                        <c:v>5.3444180522565299</c:v>
                      </c:pt>
                      <c:pt idx="39">
                        <c:v>5.66508313539192</c:v>
                      </c:pt>
                      <c:pt idx="40">
                        <c:v>5.7078384798099702</c:v>
                      </c:pt>
                      <c:pt idx="41">
                        <c:v>5.9216152019002299</c:v>
                      </c:pt>
                      <c:pt idx="42">
                        <c:v>5.9643705463182801</c:v>
                      </c:pt>
                      <c:pt idx="43">
                        <c:v>6.0498812351543902</c:v>
                      </c:pt>
                      <c:pt idx="44">
                        <c:v>6.0926365795724404</c:v>
                      </c:pt>
                      <c:pt idx="45">
                        <c:v>6.6057007125890701</c:v>
                      </c:pt>
                      <c:pt idx="46">
                        <c:v>6.6270783847980903</c:v>
                      </c:pt>
                      <c:pt idx="47">
                        <c:v>6.7980997624702999</c:v>
                      </c:pt>
                      <c:pt idx="48">
                        <c:v>6.7980997624702999</c:v>
                      </c:pt>
                      <c:pt idx="49">
                        <c:v>6.9691211401425104</c:v>
                      </c:pt>
                      <c:pt idx="50">
                        <c:v>6.9691211401425104</c:v>
                      </c:pt>
                      <c:pt idx="51">
                        <c:v>7.0546318289786196</c:v>
                      </c:pt>
                      <c:pt idx="52">
                        <c:v>7.4180522565320599</c:v>
                      </c:pt>
                      <c:pt idx="53">
                        <c:v>7.4394299287410899</c:v>
                      </c:pt>
                      <c:pt idx="54">
                        <c:v>7.6318289786223197</c:v>
                      </c:pt>
                      <c:pt idx="55">
                        <c:v>7.76009501187648</c:v>
                      </c:pt>
                      <c:pt idx="56">
                        <c:v>8.0166270783847899</c:v>
                      </c:pt>
                      <c:pt idx="57">
                        <c:v>8.0166270783847899</c:v>
                      </c:pt>
                      <c:pt idx="58">
                        <c:v>8.5083135391923896</c:v>
                      </c:pt>
                      <c:pt idx="59">
                        <c:v>8.5510688836104496</c:v>
                      </c:pt>
                      <c:pt idx="60">
                        <c:v>8.6152019002375209</c:v>
                      </c:pt>
                      <c:pt idx="61">
                        <c:v>8.9144893111638908</c:v>
                      </c:pt>
                      <c:pt idx="62">
                        <c:v>8.9358669833729198</c:v>
                      </c:pt>
                      <c:pt idx="63">
                        <c:v>9.25653206650831</c:v>
                      </c:pt>
                      <c:pt idx="64">
                        <c:v>9.2779097387173302</c:v>
                      </c:pt>
                      <c:pt idx="65">
                        <c:v>9.4061757719714905</c:v>
                      </c:pt>
                      <c:pt idx="66">
                        <c:v>10.0475059382422</c:v>
                      </c:pt>
                      <c:pt idx="67">
                        <c:v>10.0688836104513</c:v>
                      </c:pt>
                      <c:pt idx="68">
                        <c:v>10.1330166270783</c:v>
                      </c:pt>
                      <c:pt idx="69">
                        <c:v>10.389548693586599</c:v>
                      </c:pt>
                      <c:pt idx="70">
                        <c:v>10.4323040380047</c:v>
                      </c:pt>
                      <c:pt idx="71">
                        <c:v>10.7743467933491</c:v>
                      </c:pt>
                      <c:pt idx="72">
                        <c:v>10.7957244655581</c:v>
                      </c:pt>
                      <c:pt idx="73">
                        <c:v>11.116389548693499</c:v>
                      </c:pt>
                      <c:pt idx="74">
                        <c:v>11.1377672209026</c:v>
                      </c:pt>
                      <c:pt idx="75">
                        <c:v>12.099762470308701</c:v>
                      </c:pt>
                      <c:pt idx="76">
                        <c:v>12.1425178147268</c:v>
                      </c:pt>
                      <c:pt idx="77">
                        <c:v>15.2636579572446</c:v>
                      </c:pt>
                    </c:numCache>
                  </c:numRef>
                </c:xVal>
                <c:yVal>
                  <c:numRef>
                    <c:extLst xmlns:c15="http://schemas.microsoft.com/office/drawing/2012/chart">
                      <c:ext xmlns:c15="http://schemas.microsoft.com/office/drawing/2012/chart" uri="{02D57815-91ED-43cb-92C2-25804820EDAC}">
                        <c15:formulaRef>
                          <c15:sqref>Sheet1!$N$3:$N$80</c15:sqref>
                        </c15:formulaRef>
                      </c:ext>
                    </c:extLst>
                    <c:numCache>
                      <c:formatCode>General</c:formatCode>
                      <c:ptCount val="78"/>
                      <c:pt idx="0">
                        <c:v>1</c:v>
                      </c:pt>
                      <c:pt idx="1">
                        <c:v>0.99805677263588399</c:v>
                      </c:pt>
                      <c:pt idx="2">
                        <c:v>0.98159904814427201</c:v>
                      </c:pt>
                      <c:pt idx="3">
                        <c:v>0.97974049772674898</c:v>
                      </c:pt>
                      <c:pt idx="4">
                        <c:v>0.963282773235137</c:v>
                      </c:pt>
                      <c:pt idx="5">
                        <c:v>0.96325020517875504</c:v>
                      </c:pt>
                      <c:pt idx="6">
                        <c:v>0.94496649832600099</c:v>
                      </c:pt>
                      <c:pt idx="7">
                        <c:v>0.94494478628841405</c:v>
                      </c:pt>
                      <c:pt idx="8">
                        <c:v>0.93031304415794203</c:v>
                      </c:pt>
                      <c:pt idx="9">
                        <c:v>0.91202933730518798</c:v>
                      </c:pt>
                      <c:pt idx="10">
                        <c:v>0.91199676924880602</c:v>
                      </c:pt>
                      <c:pt idx="11">
                        <c:v>0.89371306239605297</c:v>
                      </c:pt>
                      <c:pt idx="12">
                        <c:v>0.87724665308940497</c:v>
                      </c:pt>
                      <c:pt idx="13">
                        <c:v>0.87724665308940497</c:v>
                      </c:pt>
                      <c:pt idx="14">
                        <c:v>0.85895209021785801</c:v>
                      </c:pt>
                      <c:pt idx="15">
                        <c:v>0.84066838336510497</c:v>
                      </c:pt>
                      <c:pt idx="16">
                        <c:v>0.82238033410483402</c:v>
                      </c:pt>
                      <c:pt idx="17">
                        <c:v>0.80409445604832197</c:v>
                      </c:pt>
                      <c:pt idx="18">
                        <c:v>0.80407925762201005</c:v>
                      </c:pt>
                      <c:pt idx="19">
                        <c:v>0.78762153313039795</c:v>
                      </c:pt>
                      <c:pt idx="20">
                        <c:v>0.78762153313039795</c:v>
                      </c:pt>
                      <c:pt idx="21">
                        <c:v>0.77113775419368003</c:v>
                      </c:pt>
                      <c:pt idx="22">
                        <c:v>0.75284970493340897</c:v>
                      </c:pt>
                      <c:pt idx="23">
                        <c:v>0.75283667771085605</c:v>
                      </c:pt>
                      <c:pt idx="24">
                        <c:v>0.73638112442300196</c:v>
                      </c:pt>
                      <c:pt idx="25">
                        <c:v>0.71808873275521401</c:v>
                      </c:pt>
                      <c:pt idx="26">
                        <c:v>0.69980502590245997</c:v>
                      </c:pt>
                      <c:pt idx="27">
                        <c:v>0.69978982747614904</c:v>
                      </c:pt>
                      <c:pt idx="28">
                        <c:v>0.68150612062339599</c:v>
                      </c:pt>
                      <c:pt idx="29">
                        <c:v>0.68148440858580805</c:v>
                      </c:pt>
                      <c:pt idx="30">
                        <c:v>0.66320070173305401</c:v>
                      </c:pt>
                      <c:pt idx="31">
                        <c:v>0.64674297724144203</c:v>
                      </c:pt>
                      <c:pt idx="32">
                        <c:v>0.63027439673103502</c:v>
                      </c:pt>
                      <c:pt idx="33">
                        <c:v>0.63021360302578899</c:v>
                      </c:pt>
                      <c:pt idx="34">
                        <c:v>0.61375587853417701</c:v>
                      </c:pt>
                      <c:pt idx="35">
                        <c:v>0.61373850890410597</c:v>
                      </c:pt>
                      <c:pt idx="36">
                        <c:v>0.59545263084759403</c:v>
                      </c:pt>
                      <c:pt idx="37">
                        <c:v>0.59543526121752399</c:v>
                      </c:pt>
                      <c:pt idx="38">
                        <c:v>0.57715372556852895</c:v>
                      </c:pt>
                      <c:pt idx="39">
                        <c:v>0.57712115751214699</c:v>
                      </c:pt>
                      <c:pt idx="40">
                        <c:v>0.56249158658543397</c:v>
                      </c:pt>
                      <c:pt idx="41">
                        <c:v>0.56064172098294696</c:v>
                      </c:pt>
                      <c:pt idx="42">
                        <c:v>0.54418399649133398</c:v>
                      </c:pt>
                      <c:pt idx="43">
                        <c:v>0.52589377602730503</c:v>
                      </c:pt>
                      <c:pt idx="44">
                        <c:v>0.50760789797079298</c:v>
                      </c:pt>
                      <c:pt idx="45">
                        <c:v>0.50755578908058196</c:v>
                      </c:pt>
                      <c:pt idx="46">
                        <c:v>0.48927208222782798</c:v>
                      </c:pt>
                      <c:pt idx="47">
                        <c:v>0.48925471259775799</c:v>
                      </c:pt>
                      <c:pt idx="48">
                        <c:v>0.47462948407856198</c:v>
                      </c:pt>
                      <c:pt idx="49">
                        <c:v>0.47095580731869302</c:v>
                      </c:pt>
                      <c:pt idx="50">
                        <c:v>0.454502425234598</c:v>
                      </c:pt>
                      <c:pt idx="51">
                        <c:v>0.43621220477056799</c:v>
                      </c:pt>
                      <c:pt idx="52">
                        <c:v>0.43434714074177</c:v>
                      </c:pt>
                      <c:pt idx="53">
                        <c:v>0.421547894583715</c:v>
                      </c:pt>
                      <c:pt idx="54">
                        <c:v>0.40324681810089102</c:v>
                      </c:pt>
                      <c:pt idx="55">
                        <c:v>0.38495225522934401</c:v>
                      </c:pt>
                      <c:pt idx="56">
                        <c:v>0.384926200784238</c:v>
                      </c:pt>
                      <c:pt idx="57">
                        <c:v>0.36664466513524402</c:v>
                      </c:pt>
                      <c:pt idx="58">
                        <c:v>0.36664466513524402</c:v>
                      </c:pt>
                      <c:pt idx="59">
                        <c:v>0.34830884939228002</c:v>
                      </c:pt>
                      <c:pt idx="60">
                        <c:v>0.33002080013200902</c:v>
                      </c:pt>
                      <c:pt idx="61">
                        <c:v>0.33002080013200902</c:v>
                      </c:pt>
                      <c:pt idx="62">
                        <c:v>0.31353484999153203</c:v>
                      </c:pt>
                      <c:pt idx="63">
                        <c:v>0.31350228193515001</c:v>
                      </c:pt>
                      <c:pt idx="64">
                        <c:v>0.29704672864729598</c:v>
                      </c:pt>
                      <c:pt idx="65">
                        <c:v>0.28058031934064798</c:v>
                      </c:pt>
                      <c:pt idx="66">
                        <c:v>0.28051518322788499</c:v>
                      </c:pt>
                      <c:pt idx="67">
                        <c:v>0.26405962994003102</c:v>
                      </c:pt>
                      <c:pt idx="68">
                        <c:v>0.24211527354996101</c:v>
                      </c:pt>
                      <c:pt idx="69">
                        <c:v>0.24026106553995599</c:v>
                      </c:pt>
                      <c:pt idx="70">
                        <c:v>0.22380334104834301</c:v>
                      </c:pt>
                      <c:pt idx="71">
                        <c:v>0.22376860178820299</c:v>
                      </c:pt>
                      <c:pt idx="72">
                        <c:v>0.185375205721556</c:v>
                      </c:pt>
                      <c:pt idx="73">
                        <c:v>0.18351448410027399</c:v>
                      </c:pt>
                      <c:pt idx="74">
                        <c:v>0.15791816298792299</c:v>
                      </c:pt>
                      <c:pt idx="75">
                        <c:v>0.15782045881877799</c:v>
                      </c:pt>
                      <c:pt idx="76">
                        <c:v>0.115768584418573</c:v>
                      </c:pt>
                      <c:pt idx="77">
                        <c:v>0.11545158866979</c:v>
                      </c:pt>
                    </c:numCache>
                  </c:numRef>
                </c:yVal>
                <c:smooth val="0"/>
                <c:extLst xmlns:c15="http://schemas.microsoft.com/office/drawing/2012/chart">
                  <c:ext xmlns:c16="http://schemas.microsoft.com/office/drawing/2014/chart" uri="{C3380CC4-5D6E-409C-BE32-E72D297353CC}">
                    <c16:uniqueId val="{00000006-441B-4205-951C-61D6F7AAA720}"/>
                  </c:ext>
                </c:extLst>
              </c15:ser>
            </c15:filteredScatterSeries>
            <c15:filteredScatterSeries>
              <c15:ser>
                <c:idx val="7"/>
                <c:order val="7"/>
                <c:tx>
                  <c:v>Trifluridine/tipiracil YOSHINO</c:v>
                </c:tx>
                <c:spPr>
                  <a:ln w="19050" cap="rnd">
                    <a:solidFill>
                      <a:srgbClr val="FF0000"/>
                    </a:solidFill>
                    <a:round/>
                  </a:ln>
                  <a:effectLst/>
                </c:spPr>
                <c:marker>
                  <c:symbol val="none"/>
                </c:marker>
                <c:xVal>
                  <c:numRef>
                    <c:extLst xmlns:c15="http://schemas.microsoft.com/office/drawing/2012/chart">
                      <c:ext xmlns:c15="http://schemas.microsoft.com/office/drawing/2012/chart" uri="{02D57815-91ED-43cb-92C2-25804820EDAC}">
                        <c15:formulaRef>
                          <c15:sqref>Sheet1!$O$3:$O$79</c15:sqref>
                        </c15:formulaRef>
                      </c:ext>
                    </c:extLst>
                    <c:numCache>
                      <c:formatCode>General</c:formatCode>
                      <c:ptCount val="77"/>
                      <c:pt idx="0">
                        <c:v>0</c:v>
                      </c:pt>
                      <c:pt idx="1">
                        <c:v>2.1377672209026401E-2</c:v>
                      </c:pt>
                      <c:pt idx="2">
                        <c:v>1.3254156769596099</c:v>
                      </c:pt>
                      <c:pt idx="3">
                        <c:v>1.43230403800475</c:v>
                      </c:pt>
                      <c:pt idx="4">
                        <c:v>1.6033254156769501</c:v>
                      </c:pt>
                      <c:pt idx="5">
                        <c:v>2.1377672209026102</c:v>
                      </c:pt>
                      <c:pt idx="6">
                        <c:v>2.2660332541567598</c:v>
                      </c:pt>
                      <c:pt idx="7">
                        <c:v>3.2707838479809901</c:v>
                      </c:pt>
                      <c:pt idx="8">
                        <c:v>3.4631828978622301</c:v>
                      </c:pt>
                      <c:pt idx="9">
                        <c:v>3.5273159144893098</c:v>
                      </c:pt>
                      <c:pt idx="10">
                        <c:v>3.6769596199524899</c:v>
                      </c:pt>
                      <c:pt idx="11">
                        <c:v>3.8052256532066502</c:v>
                      </c:pt>
                      <c:pt idx="12">
                        <c:v>4.0617577197149597</c:v>
                      </c:pt>
                      <c:pt idx="13">
                        <c:v>4.1258907363420398</c:v>
                      </c:pt>
                      <c:pt idx="14">
                        <c:v>4.2969121140142503</c:v>
                      </c:pt>
                      <c:pt idx="15">
                        <c:v>4.4465558194774299</c:v>
                      </c:pt>
                      <c:pt idx="16">
                        <c:v>4.5534441805225603</c:v>
                      </c:pt>
                      <c:pt idx="17">
                        <c:v>4.6817102137767197</c:v>
                      </c:pt>
                      <c:pt idx="18">
                        <c:v>4.7672209026128201</c:v>
                      </c:pt>
                      <c:pt idx="19">
                        <c:v>4.9809976247030798</c:v>
                      </c:pt>
                      <c:pt idx="20">
                        <c:v>5.2375296912114004</c:v>
                      </c:pt>
                      <c:pt idx="21">
                        <c:v>5.3444180522565299</c:v>
                      </c:pt>
                      <c:pt idx="22">
                        <c:v>5.64370546318289</c:v>
                      </c:pt>
                      <c:pt idx="23">
                        <c:v>5.7719714964370503</c:v>
                      </c:pt>
                      <c:pt idx="24">
                        <c:v>5.9216152019002299</c:v>
                      </c:pt>
                      <c:pt idx="25">
                        <c:v>5.9429928741092599</c:v>
                      </c:pt>
                      <c:pt idx="26">
                        <c:v>6.1140142517814704</c:v>
                      </c:pt>
                      <c:pt idx="27">
                        <c:v>6.1995249406175699</c:v>
                      </c:pt>
                      <c:pt idx="28">
                        <c:v>6.6057007125890701</c:v>
                      </c:pt>
                      <c:pt idx="29">
                        <c:v>6.6484560570071203</c:v>
                      </c:pt>
                      <c:pt idx="30">
                        <c:v>6.6912114014251696</c:v>
                      </c:pt>
                      <c:pt idx="31">
                        <c:v>6.8408551068883501</c:v>
                      </c:pt>
                      <c:pt idx="32">
                        <c:v>6.9691211401425104</c:v>
                      </c:pt>
                      <c:pt idx="33">
                        <c:v>6.9904988123515404</c:v>
                      </c:pt>
                      <c:pt idx="34">
                        <c:v>7.0332541567695896</c:v>
                      </c:pt>
                      <c:pt idx="35">
                        <c:v>7.14014251781472</c:v>
                      </c:pt>
                      <c:pt idx="36">
                        <c:v>7.2470308788598503</c:v>
                      </c:pt>
                      <c:pt idx="37">
                        <c:v>7.2470308788598503</c:v>
                      </c:pt>
                      <c:pt idx="38">
                        <c:v>7.4180522565320599</c:v>
                      </c:pt>
                      <c:pt idx="39">
                        <c:v>7.4821852731591401</c:v>
                      </c:pt>
                      <c:pt idx="40">
                        <c:v>7.8028503562945302</c:v>
                      </c:pt>
                      <c:pt idx="41">
                        <c:v>7.8028503562945302</c:v>
                      </c:pt>
                      <c:pt idx="42">
                        <c:v>7.9738717339667398</c:v>
                      </c:pt>
                      <c:pt idx="43">
                        <c:v>8.1021377672208992</c:v>
                      </c:pt>
                      <c:pt idx="44">
                        <c:v>8.2945368171021308</c:v>
                      </c:pt>
                      <c:pt idx="45">
                        <c:v>8.3586698337292091</c:v>
                      </c:pt>
                      <c:pt idx="46">
                        <c:v>8.5938242280285007</c:v>
                      </c:pt>
                      <c:pt idx="47">
                        <c:v>8.6579572446555702</c:v>
                      </c:pt>
                      <c:pt idx="48">
                        <c:v>8.9358669833729198</c:v>
                      </c:pt>
                      <c:pt idx="49">
                        <c:v>9.0427553444180493</c:v>
                      </c:pt>
                      <c:pt idx="50">
                        <c:v>9.1068883610451294</c:v>
                      </c:pt>
                      <c:pt idx="51">
                        <c:v>9.25653206650831</c:v>
                      </c:pt>
                      <c:pt idx="52">
                        <c:v>9.3847980997624596</c:v>
                      </c:pt>
                      <c:pt idx="53">
                        <c:v>9.4061757719714905</c:v>
                      </c:pt>
                      <c:pt idx="54">
                        <c:v>10.325415676959601</c:v>
                      </c:pt>
                      <c:pt idx="55">
                        <c:v>10.3681710213776</c:v>
                      </c:pt>
                      <c:pt idx="56">
                        <c:v>10.453681710213701</c:v>
                      </c:pt>
                      <c:pt idx="57">
                        <c:v>10.475059382422801</c:v>
                      </c:pt>
                      <c:pt idx="58">
                        <c:v>10.603325415676901</c:v>
                      </c:pt>
                      <c:pt idx="59">
                        <c:v>10.710213776722</c:v>
                      </c:pt>
                      <c:pt idx="60">
                        <c:v>11.330166270783799</c:v>
                      </c:pt>
                      <c:pt idx="61">
                        <c:v>11.330166270783799</c:v>
                      </c:pt>
                      <c:pt idx="62">
                        <c:v>11.7790973871733</c:v>
                      </c:pt>
                      <c:pt idx="63">
                        <c:v>11.8004750593824</c:v>
                      </c:pt>
                      <c:pt idx="64">
                        <c:v>11.971496437054601</c:v>
                      </c:pt>
                      <c:pt idx="65">
                        <c:v>11.9928741092636</c:v>
                      </c:pt>
                      <c:pt idx="66">
                        <c:v>12.976247030878801</c:v>
                      </c:pt>
                      <c:pt idx="67">
                        <c:v>13.0403800475059</c:v>
                      </c:pt>
                      <c:pt idx="68">
                        <c:v>13.2969121140142</c:v>
                      </c:pt>
                      <c:pt idx="69">
                        <c:v>13.361045130641299</c:v>
                      </c:pt>
                      <c:pt idx="70">
                        <c:v>13.553444180522501</c:v>
                      </c:pt>
                      <c:pt idx="71">
                        <c:v>13.5961995249406</c:v>
                      </c:pt>
                      <c:pt idx="72">
                        <c:v>14.280285035629401</c:v>
                      </c:pt>
                      <c:pt idx="73">
                        <c:v>14.280285035629401</c:v>
                      </c:pt>
                      <c:pt idx="74">
                        <c:v>14.5368171021377</c:v>
                      </c:pt>
                      <c:pt idx="75">
                        <c:v>14.579572446555799</c:v>
                      </c:pt>
                      <c:pt idx="76">
                        <c:v>16.995249406175699</c:v>
                      </c:pt>
                    </c:numCache>
                  </c:numRef>
                </c:xVal>
                <c:yVal>
                  <c:numRef>
                    <c:extLst xmlns:c15="http://schemas.microsoft.com/office/drawing/2012/chart">
                      <c:ext xmlns:c15="http://schemas.microsoft.com/office/drawing/2012/chart" uri="{02D57815-91ED-43cb-92C2-25804820EDAC}">
                        <c15:formulaRef>
                          <c15:sqref>Sheet1!$P$3:$P$79</c15:sqref>
                        </c15:formulaRef>
                      </c:ext>
                    </c:extLst>
                    <c:numCache>
                      <c:formatCode>General</c:formatCode>
                      <c:ptCount val="77"/>
                      <c:pt idx="0">
                        <c:v>1</c:v>
                      </c:pt>
                      <c:pt idx="1">
                        <c:v>0.999997828796241</c:v>
                      </c:pt>
                      <c:pt idx="2">
                        <c:v>0.99803723180205495</c:v>
                      </c:pt>
                      <c:pt idx="3">
                        <c:v>0.98157299369916595</c:v>
                      </c:pt>
                      <c:pt idx="4">
                        <c:v>0.95596147416050403</c:v>
                      </c:pt>
                      <c:pt idx="5">
                        <c:v>0.95407904050163495</c:v>
                      </c:pt>
                      <c:pt idx="6">
                        <c:v>0.92664370980558997</c:v>
                      </c:pt>
                      <c:pt idx="7">
                        <c:v>0.92654166322892695</c:v>
                      </c:pt>
                      <c:pt idx="8">
                        <c:v>0.88995905109710904</c:v>
                      </c:pt>
                      <c:pt idx="9">
                        <c:v>0.87349915540173695</c:v>
                      </c:pt>
                      <c:pt idx="10">
                        <c:v>0.87348395697542602</c:v>
                      </c:pt>
                      <c:pt idx="11">
                        <c:v>0.86433016192837597</c:v>
                      </c:pt>
                      <c:pt idx="12">
                        <c:v>0.86430410748327002</c:v>
                      </c:pt>
                      <c:pt idx="13">
                        <c:v>0.84601605822299997</c:v>
                      </c:pt>
                      <c:pt idx="14">
                        <c:v>0.80029484947044305</c:v>
                      </c:pt>
                      <c:pt idx="15">
                        <c:v>0.78382626896003604</c:v>
                      </c:pt>
                      <c:pt idx="16">
                        <c:v>0.774674645116745</c:v>
                      </c:pt>
                      <c:pt idx="17">
                        <c:v>0.77466161789419297</c:v>
                      </c:pt>
                      <c:pt idx="18">
                        <c:v>0.75819955099506198</c:v>
                      </c:pt>
                      <c:pt idx="19">
                        <c:v>0.75634968539257497</c:v>
                      </c:pt>
                      <c:pt idx="20">
                        <c:v>0.75083917025277103</c:v>
                      </c:pt>
                      <c:pt idx="21">
                        <c:v>0.72157785719558598</c:v>
                      </c:pt>
                      <c:pt idx="22">
                        <c:v>0.71971930677806395</c:v>
                      </c:pt>
                      <c:pt idx="23">
                        <c:v>0.70508105103631502</c:v>
                      </c:pt>
                      <c:pt idx="24">
                        <c:v>0.70506585261000398</c:v>
                      </c:pt>
                      <c:pt idx="25">
                        <c:v>0.68678214575725005</c:v>
                      </c:pt>
                      <c:pt idx="26">
                        <c:v>0.67579585473778303</c:v>
                      </c:pt>
                      <c:pt idx="27">
                        <c:v>0.66664640209825099</c:v>
                      </c:pt>
                      <c:pt idx="28">
                        <c:v>0.666605149226834</c:v>
                      </c:pt>
                      <c:pt idx="29">
                        <c:v>0.65197557830012098</c:v>
                      </c:pt>
                      <c:pt idx="30">
                        <c:v>0.64283046806810595</c:v>
                      </c:pt>
                      <c:pt idx="31">
                        <c:v>0.64281526964179403</c:v>
                      </c:pt>
                      <c:pt idx="32">
                        <c:v>0.642802242419242</c:v>
                      </c:pt>
                      <c:pt idx="33">
                        <c:v>0.63365930339098597</c:v>
                      </c:pt>
                      <c:pt idx="34">
                        <c:v>0.62451419315897105</c:v>
                      </c:pt>
                      <c:pt idx="35">
                        <c:v>0.60804995505608195</c:v>
                      </c:pt>
                      <c:pt idx="36">
                        <c:v>0.59158571695319295</c:v>
                      </c:pt>
                      <c:pt idx="37">
                        <c:v>0.59158571695319295</c:v>
                      </c:pt>
                      <c:pt idx="38">
                        <c:v>0.58791204019332399</c:v>
                      </c:pt>
                      <c:pt idx="39">
                        <c:v>0.57145214449795201</c:v>
                      </c:pt>
                      <c:pt idx="40">
                        <c:v>0.57141957644157004</c:v>
                      </c:pt>
                      <c:pt idx="41">
                        <c:v>0.553138040792576</c:v>
                      </c:pt>
                      <c:pt idx="42">
                        <c:v>0.54397990333800805</c:v>
                      </c:pt>
                      <c:pt idx="43">
                        <c:v>0.52568534046646098</c:v>
                      </c:pt>
                      <c:pt idx="44">
                        <c:v>0.52566579963263205</c:v>
                      </c:pt>
                      <c:pt idx="45">
                        <c:v>0.51651851819685801</c:v>
                      </c:pt>
                      <c:pt idx="46">
                        <c:v>0.51649463495551196</c:v>
                      </c:pt>
                      <c:pt idx="47">
                        <c:v>0.50734735351973803</c:v>
                      </c:pt>
                      <c:pt idx="48">
                        <c:v>0.50731912787087396</c:v>
                      </c:pt>
                      <c:pt idx="49">
                        <c:v>0.49085488976798503</c:v>
                      </c:pt>
                      <c:pt idx="50">
                        <c:v>0.48170760833221099</c:v>
                      </c:pt>
                      <c:pt idx="51">
                        <c:v>0.47255164208140199</c:v>
                      </c:pt>
                      <c:pt idx="52">
                        <c:v>0.47253861485884902</c:v>
                      </c:pt>
                      <c:pt idx="53">
                        <c:v>0.46339567583059299</c:v>
                      </c:pt>
                      <c:pt idx="54">
                        <c:v>0.46330231406896599</c:v>
                      </c:pt>
                      <c:pt idx="55">
                        <c:v>0.44136012888265502</c:v>
                      </c:pt>
                      <c:pt idx="56">
                        <c:v>0.43221067624312198</c:v>
                      </c:pt>
                      <c:pt idx="57">
                        <c:v>0.421239583649967</c:v>
                      </c:pt>
                      <c:pt idx="58">
                        <c:v>0.42122655642741402</c:v>
                      </c:pt>
                      <c:pt idx="59">
                        <c:v>0.41207493258412298</c:v>
                      </c:pt>
                      <c:pt idx="60">
                        <c:v>0.412011967675118</c:v>
                      </c:pt>
                      <c:pt idx="61">
                        <c:v>0.39738673915592199</c:v>
                      </c:pt>
                      <c:pt idx="62">
                        <c:v>0.39734114387698799</c:v>
                      </c:pt>
                      <c:pt idx="63">
                        <c:v>0.38088559058913402</c:v>
                      </c:pt>
                      <c:pt idx="64">
                        <c:v>0.38088559058913402</c:v>
                      </c:pt>
                      <c:pt idx="65">
                        <c:v>0.36624082123610902</c:v>
                      </c:pt>
                      <c:pt idx="66">
                        <c:v>0.36431279229830599</c:v>
                      </c:pt>
                      <c:pt idx="67">
                        <c:v>0.31128982530494498</c:v>
                      </c:pt>
                      <c:pt idx="68">
                        <c:v>0.30943561729494001</c:v>
                      </c:pt>
                      <c:pt idx="69">
                        <c:v>0.28931941446977</c:v>
                      </c:pt>
                      <c:pt idx="70">
                        <c:v>0.28929987363594101</c:v>
                      </c:pt>
                      <c:pt idx="71">
                        <c:v>0.269185842014529</c:v>
                      </c:pt>
                      <c:pt idx="72">
                        <c:v>0.269116363494248</c:v>
                      </c:pt>
                      <c:pt idx="73">
                        <c:v>0.24352221358565601</c:v>
                      </c:pt>
                      <c:pt idx="74">
                        <c:v>0.24349615914055001</c:v>
                      </c:pt>
                      <c:pt idx="75">
                        <c:v>0.20875689899994301</c:v>
                      </c:pt>
                      <c:pt idx="76">
                        <c:v>0.20851155297519999</c:v>
                      </c:pt>
                    </c:numCache>
                  </c:numRef>
                </c:yVal>
                <c:smooth val="0"/>
                <c:extLst xmlns:c15="http://schemas.microsoft.com/office/drawing/2012/chart">
                  <c:ext xmlns:c16="http://schemas.microsoft.com/office/drawing/2014/chart" uri="{C3380CC4-5D6E-409C-BE32-E72D297353CC}">
                    <c16:uniqueId val="{00000007-441B-4205-951C-61D6F7AAA720}"/>
                  </c:ext>
                </c:extLst>
              </c15:ser>
            </c15:filteredScatterSeries>
            <c15:filteredScatterSeries>
              <c15:ser>
                <c:idx val="8"/>
                <c:order val="8"/>
                <c:tx>
                  <c:v>Placebo TERRA</c:v>
                </c:tx>
                <c:spPr>
                  <a:ln w="19050" cap="rnd">
                    <a:solidFill>
                      <a:schemeClr val="tx1"/>
                    </a:solidFill>
                    <a:prstDash val="sysDash"/>
                    <a:round/>
                  </a:ln>
                  <a:effectLst/>
                </c:spPr>
                <c:marker>
                  <c:symbol val="none"/>
                </c:marker>
                <c:xVal>
                  <c:numRef>
                    <c:extLst xmlns:c15="http://schemas.microsoft.com/office/drawing/2012/chart">
                      <c:ext xmlns:c15="http://schemas.microsoft.com/office/drawing/2012/chart" uri="{02D57815-91ED-43cb-92C2-25804820EDAC}">
                        <c15:formulaRef>
                          <c15:sqref>Sheet1!$Q$3:$Q$70</c15:sqref>
                        </c15:formulaRef>
                      </c:ext>
                    </c:extLst>
                    <c:numCache>
                      <c:formatCode>General</c:formatCode>
                      <c:ptCount val="68"/>
                      <c:pt idx="0">
                        <c:v>0</c:v>
                      </c:pt>
                      <c:pt idx="1">
                        <c:v>0.50168337138655605</c:v>
                      </c:pt>
                      <c:pt idx="2">
                        <c:v>1.12878758561975</c:v>
                      </c:pt>
                      <c:pt idx="3">
                        <c:v>1.15892380325838</c:v>
                      </c:pt>
                      <c:pt idx="4">
                        <c:v>1.6915560543322601</c:v>
                      </c:pt>
                      <c:pt idx="5">
                        <c:v>2.2866955613172801</c:v>
                      </c:pt>
                      <c:pt idx="6">
                        <c:v>2.34818698966758</c:v>
                      </c:pt>
                      <c:pt idx="7">
                        <c:v>2.4715761773925098</c:v>
                      </c:pt>
                      <c:pt idx="8">
                        <c:v>2.5961843581904702</c:v>
                      </c:pt>
                      <c:pt idx="9">
                        <c:v>2.8116075229286701</c:v>
                      </c:pt>
                      <c:pt idx="10">
                        <c:v>3.15265469602569</c:v>
                      </c:pt>
                      <c:pt idx="11">
                        <c:v>3.3069927634379401</c:v>
                      </c:pt>
                      <c:pt idx="12">
                        <c:v>3.6179037188963199</c:v>
                      </c:pt>
                      <c:pt idx="13">
                        <c:v>3.7746797724546202</c:v>
                      </c:pt>
                      <c:pt idx="14">
                        <c:v>3.86691691498006</c:v>
                      </c:pt>
                      <c:pt idx="15">
                        <c:v>3.9894934406563198</c:v>
                      </c:pt>
                      <c:pt idx="16">
                        <c:v>4.2378971402035504</c:v>
                      </c:pt>
                      <c:pt idx="17">
                        <c:v>4.3301342827289897</c:v>
                      </c:pt>
                      <c:pt idx="18">
                        <c:v>4.5484017646375898</c:v>
                      </c:pt>
                      <c:pt idx="19">
                        <c:v>4.7978212917456702</c:v>
                      </c:pt>
                      <c:pt idx="20">
                        <c:v>5.0154792771177501</c:v>
                      </c:pt>
                      <c:pt idx="21">
                        <c:v>5.39052281258465</c:v>
                      </c:pt>
                      <c:pt idx="22">
                        <c:v>5.7323826477303497</c:v>
                      </c:pt>
                      <c:pt idx="23">
                        <c:v>6.0123447235014096</c:v>
                      </c:pt>
                      <c:pt idx="24">
                        <c:v>6.3867787624317902</c:v>
                      </c:pt>
                      <c:pt idx="25">
                        <c:v>6.4470511977090599</c:v>
                      </c:pt>
                      <c:pt idx="26">
                        <c:v>6.69768971789017</c:v>
                      </c:pt>
                      <c:pt idx="27">
                        <c:v>6.9167698618474498</c:v>
                      </c:pt>
                      <c:pt idx="28">
                        <c:v>7.1653767269068496</c:v>
                      </c:pt>
                      <c:pt idx="29">
                        <c:v>7.31890213227042</c:v>
                      </c:pt>
                      <c:pt idx="30">
                        <c:v>7.5996768700901596</c:v>
                      </c:pt>
                      <c:pt idx="31">
                        <c:v>7.8798421113733896</c:v>
                      </c:pt>
                      <c:pt idx="32">
                        <c:v>8.4727467977245396</c:v>
                      </c:pt>
                      <c:pt idx="33">
                        <c:v>8.8154192949189198</c:v>
                      </c:pt>
                      <c:pt idx="34">
                        <c:v>9.2843252970086194</c:v>
                      </c:pt>
                      <c:pt idx="35">
                        <c:v>9.7540439611470102</c:v>
                      </c:pt>
                      <c:pt idx="36">
                        <c:v>10.002244495182</c:v>
                      </c:pt>
                      <c:pt idx="37">
                        <c:v>10.251867187802301</c:v>
                      </c:pt>
                      <c:pt idx="38">
                        <c:v>10.7203668588676</c:v>
                      </c:pt>
                      <c:pt idx="39">
                        <c:v>11.0015479277117</c:v>
                      </c:pt>
                      <c:pt idx="40">
                        <c:v>11.3110367245849</c:v>
                      </c:pt>
                      <c:pt idx="41">
                        <c:v>11.340360280174901</c:v>
                      </c:pt>
                      <c:pt idx="42">
                        <c:v>11.716622808714799</c:v>
                      </c:pt>
                      <c:pt idx="43">
                        <c:v>12.2181030145892</c:v>
                      </c:pt>
                      <c:pt idx="44">
                        <c:v>12.405421616810401</c:v>
                      </c:pt>
                      <c:pt idx="45">
                        <c:v>12.529826632096199</c:v>
                      </c:pt>
                      <c:pt idx="46">
                        <c:v>12.622673271158201</c:v>
                      </c:pt>
                      <c:pt idx="47">
                        <c:v>12.936428543787001</c:v>
                      </c:pt>
                      <c:pt idx="48">
                        <c:v>13.0296815138733</c:v>
                      </c:pt>
                      <c:pt idx="49">
                        <c:v>13.4684512983243</c:v>
                      </c:pt>
                      <c:pt idx="50">
                        <c:v>13.719089818505401</c:v>
                      </c:pt>
                      <c:pt idx="51">
                        <c:v>13.876069037575901</c:v>
                      </c:pt>
                      <c:pt idx="52">
                        <c:v>13.905798924190201</c:v>
                      </c:pt>
                      <c:pt idx="53">
                        <c:v>14.1566406098835</c:v>
                      </c:pt>
                      <c:pt idx="54">
                        <c:v>14.186370496497799</c:v>
                      </c:pt>
                      <c:pt idx="55">
                        <c:v>14.468567392902701</c:v>
                      </c:pt>
                      <c:pt idx="56">
                        <c:v>14.529652490228701</c:v>
                      </c:pt>
                      <c:pt idx="57">
                        <c:v>15.1254014937502</c:v>
                      </c:pt>
                      <c:pt idx="58">
                        <c:v>15.437328276769399</c:v>
                      </c:pt>
                      <c:pt idx="59">
                        <c:v>15.4389536008668</c:v>
                      </c:pt>
                      <c:pt idx="60">
                        <c:v>15.9998935799698</c:v>
                      </c:pt>
                      <c:pt idx="61">
                        <c:v>16.001518904067101</c:v>
                      </c:pt>
                      <c:pt idx="62">
                        <c:v>16.812894237839</c:v>
                      </c:pt>
                      <c:pt idx="63">
                        <c:v>16.814925892960702</c:v>
                      </c:pt>
                      <c:pt idx="64">
                        <c:v>17.2834255640261</c:v>
                      </c:pt>
                      <c:pt idx="65">
                        <c:v>17.941681823458801</c:v>
                      </c:pt>
                      <c:pt idx="66">
                        <c:v>19.384224681707298</c:v>
                      </c:pt>
                      <c:pt idx="67">
                        <c:v>19.410907085639099</c:v>
                      </c:pt>
                    </c:numCache>
                  </c:numRef>
                </c:xVal>
                <c:yVal>
                  <c:numRef>
                    <c:extLst xmlns:c15="http://schemas.microsoft.com/office/drawing/2012/chart">
                      <c:ext xmlns:c15="http://schemas.microsoft.com/office/drawing/2012/chart" uri="{02D57815-91ED-43cb-92C2-25804820EDAC}">
                        <c15:formulaRef>
                          <c15:sqref>Sheet1!$R$3:$R$70</c15:sqref>
                        </c15:formulaRef>
                      </c:ext>
                    </c:extLst>
                    <c:numCache>
                      <c:formatCode>General</c:formatCode>
                      <c:ptCount val="68"/>
                      <c:pt idx="0">
                        <c:v>1</c:v>
                      </c:pt>
                      <c:pt idx="1">
                        <c:v>1</c:v>
                      </c:pt>
                      <c:pt idx="2">
                        <c:v>1</c:v>
                      </c:pt>
                      <c:pt idx="3">
                        <c:v>0.98712801362176295</c:v>
                      </c:pt>
                      <c:pt idx="4">
                        <c:v>0.98284944468093305</c:v>
                      </c:pt>
                      <c:pt idx="5">
                        <c:v>0.97641587012886399</c:v>
                      </c:pt>
                      <c:pt idx="6">
                        <c:v>0.96346165009093998</c:v>
                      </c:pt>
                      <c:pt idx="7">
                        <c:v>0.94187289578576605</c:v>
                      </c:pt>
                      <c:pt idx="8">
                        <c:v>0.93324319879261597</c:v>
                      </c:pt>
                      <c:pt idx="9">
                        <c:v>0.89006327154521803</c:v>
                      </c:pt>
                      <c:pt idx="10">
                        <c:v>0.84905286173135697</c:v>
                      </c:pt>
                      <c:pt idx="11">
                        <c:v>0.82314684029255802</c:v>
                      </c:pt>
                      <c:pt idx="12">
                        <c:v>0.79509306915366995</c:v>
                      </c:pt>
                      <c:pt idx="13">
                        <c:v>0.79509306915366995</c:v>
                      </c:pt>
                      <c:pt idx="14">
                        <c:v>0.77567383228203202</c:v>
                      </c:pt>
                      <c:pt idx="15">
                        <c:v>0.745445706435509</c:v>
                      </c:pt>
                      <c:pt idx="16">
                        <c:v>0.71954694090785898</c:v>
                      </c:pt>
                      <c:pt idx="17">
                        <c:v>0.70011561085097296</c:v>
                      </c:pt>
                      <c:pt idx="18">
                        <c:v>0.68717348399829703</c:v>
                      </c:pt>
                      <c:pt idx="19">
                        <c:v>0.67207393289733297</c:v>
                      </c:pt>
                      <c:pt idx="20">
                        <c:v>0.65265227738864495</c:v>
                      </c:pt>
                      <c:pt idx="21">
                        <c:v>0.639722243721218</c:v>
                      </c:pt>
                      <c:pt idx="22">
                        <c:v>0.60735120544870502</c:v>
                      </c:pt>
                      <c:pt idx="23">
                        <c:v>0.58361470144344196</c:v>
                      </c:pt>
                      <c:pt idx="24">
                        <c:v>0.56420513912000303</c:v>
                      </c:pt>
                      <c:pt idx="25">
                        <c:v>0.53829186177005495</c:v>
                      </c:pt>
                      <c:pt idx="26">
                        <c:v>0.53615136798111496</c:v>
                      </c:pt>
                      <c:pt idx="27">
                        <c:v>0.531848612669788</c:v>
                      </c:pt>
                      <c:pt idx="28">
                        <c:v>0.50810969002747497</c:v>
                      </c:pt>
                      <c:pt idx="29">
                        <c:v>0.473564297047327</c:v>
                      </c:pt>
                      <c:pt idx="30">
                        <c:v>0.45846716458341302</c:v>
                      </c:pt>
                      <c:pt idx="31">
                        <c:v>0.43689050346348801</c:v>
                      </c:pt>
                      <c:pt idx="32">
                        <c:v>0.40669865717270998</c:v>
                      </c:pt>
                      <c:pt idx="33">
                        <c:v>0.38296699044154597</c:v>
                      </c:pt>
                      <c:pt idx="34">
                        <c:v>0.36788436979993</c:v>
                      </c:pt>
                      <c:pt idx="35">
                        <c:v>0.361441120699663</c:v>
                      </c:pt>
                      <c:pt idx="36">
                        <c:v>0.33338251228667598</c:v>
                      </c:pt>
                      <c:pt idx="37">
                        <c:v>0.32044280407104903</c:v>
                      </c:pt>
                      <c:pt idx="38">
                        <c:v>0.30104049765875901</c:v>
                      </c:pt>
                      <c:pt idx="39">
                        <c:v>0.29026305096551902</c:v>
                      </c:pt>
                      <c:pt idx="40">
                        <c:v>0.247090379629271</c:v>
                      </c:pt>
                      <c:pt idx="41">
                        <c:v>0.22549436941294801</c:v>
                      </c:pt>
                      <c:pt idx="42">
                        <c:v>0.22549436941294801</c:v>
                      </c:pt>
                      <c:pt idx="43">
                        <c:v>0.223402248365001</c:v>
                      </c:pt>
                      <c:pt idx="44">
                        <c:v>0.21477738864595</c:v>
                      </c:pt>
                      <c:pt idx="45">
                        <c:v>0.20398784876746201</c:v>
                      </c:pt>
                      <c:pt idx="46">
                        <c:v>0.191036047366587</c:v>
                      </c:pt>
                      <c:pt idx="47">
                        <c:v>0.191036047366587</c:v>
                      </c:pt>
                      <c:pt idx="48">
                        <c:v>0.184587960992221</c:v>
                      </c:pt>
                      <c:pt idx="49">
                        <c:v>0.18246197902557901</c:v>
                      </c:pt>
                      <c:pt idx="50">
                        <c:v>0.18032148523663899</c:v>
                      </c:pt>
                      <c:pt idx="51">
                        <c:v>0.18032148523663899</c:v>
                      </c:pt>
                      <c:pt idx="52">
                        <c:v>0.16521709686157601</c:v>
                      </c:pt>
                      <c:pt idx="53">
                        <c:v>0.16521709686157601</c:v>
                      </c:pt>
                      <c:pt idx="54">
                        <c:v>0.14796012151232499</c:v>
                      </c:pt>
                      <c:pt idx="55">
                        <c:v>0.14796012151232499</c:v>
                      </c:pt>
                      <c:pt idx="56">
                        <c:v>0.13070798343717299</c:v>
                      </c:pt>
                      <c:pt idx="57">
                        <c:v>0.13070798343717299</c:v>
                      </c:pt>
                      <c:pt idx="58">
                        <c:v>0.113499380828915</c:v>
                      </c:pt>
                      <c:pt idx="59">
                        <c:v>0.113499380828915</c:v>
                      </c:pt>
                      <c:pt idx="60">
                        <c:v>9.41043303277736E-2</c:v>
                      </c:pt>
                      <c:pt idx="61">
                        <c:v>9.41043303277736E-2</c:v>
                      </c:pt>
                      <c:pt idx="62">
                        <c:v>7.0408943152354797E-2</c:v>
                      </c:pt>
                      <c:pt idx="63">
                        <c:v>7.0408943152354797E-2</c:v>
                      </c:pt>
                      <c:pt idx="64">
                        <c:v>7.0408943152354797E-2</c:v>
                      </c:pt>
                      <c:pt idx="65">
                        <c:v>7.0408943152354797E-2</c:v>
                      </c:pt>
                      <c:pt idx="66">
                        <c:v>7.0408943152354797E-2</c:v>
                      </c:pt>
                      <c:pt idx="67">
                        <c:v>2.30931465500561E-2</c:v>
                      </c:pt>
                    </c:numCache>
                  </c:numRef>
                </c:yVal>
                <c:smooth val="0"/>
                <c:extLst xmlns:c15="http://schemas.microsoft.com/office/drawing/2012/chart">
                  <c:ext xmlns:c16="http://schemas.microsoft.com/office/drawing/2014/chart" uri="{C3380CC4-5D6E-409C-BE32-E72D297353CC}">
                    <c16:uniqueId val="{00000008-441B-4205-951C-61D6F7AAA720}"/>
                  </c:ext>
                </c:extLst>
              </c15:ser>
            </c15:filteredScatterSeries>
            <c15:filteredScatterSeries>
              <c15:ser>
                <c:idx val="9"/>
                <c:order val="9"/>
                <c:tx>
                  <c:v>Trifluridine/tipiracil</c:v>
                </c:tx>
                <c:spPr>
                  <a:ln w="19050"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Sheet1!$S$3:$S$58</c15:sqref>
                        </c15:formulaRef>
                      </c:ext>
                    </c:extLst>
                    <c:numCache>
                      <c:formatCode>General</c:formatCode>
                      <c:ptCount val="56"/>
                      <c:pt idx="0">
                        <c:v>0</c:v>
                      </c:pt>
                      <c:pt idx="1">
                        <c:v>0.31314577609225602</c:v>
                      </c:pt>
                      <c:pt idx="2">
                        <c:v>1.03431562246043</c:v>
                      </c:pt>
                      <c:pt idx="3">
                        <c:v>1.62782980534808</c:v>
                      </c:pt>
                      <c:pt idx="4">
                        <c:v>2.3769010487210198</c:v>
                      </c:pt>
                      <c:pt idx="5">
                        <c:v>2.7835029604117398</c:v>
                      </c:pt>
                      <c:pt idx="6">
                        <c:v>2.8763495994736998</c:v>
                      </c:pt>
                      <c:pt idx="7">
                        <c:v>3.0306876668859499</c:v>
                      </c:pt>
                      <c:pt idx="8">
                        <c:v>3.2173967725707202</c:v>
                      </c:pt>
                      <c:pt idx="9">
                        <c:v>3.46661313416663</c:v>
                      </c:pt>
                      <c:pt idx="10">
                        <c:v>3.6215606981153901</c:v>
                      </c:pt>
                      <c:pt idx="11">
                        <c:v>3.83962501451182</c:v>
                      </c:pt>
                      <c:pt idx="12">
                        <c:v>4.1814848496575197</c:v>
                      </c:pt>
                      <c:pt idx="13">
                        <c:v>4.55551255756356</c:v>
                      </c:pt>
                      <c:pt idx="14">
                        <c:v>4.7725610463991304</c:v>
                      </c:pt>
                      <c:pt idx="15">
                        <c:v>5.1463855887929997</c:v>
                      </c:pt>
                      <c:pt idx="16">
                        <c:v>5.4599376959096002</c:v>
                      </c:pt>
                      <c:pt idx="17">
                        <c:v>5.7087477264811701</c:v>
                      </c:pt>
                      <c:pt idx="18">
                        <c:v>6.0206745095003997</c:v>
                      </c:pt>
                      <c:pt idx="19">
                        <c:v>6.2057582910878004</c:v>
                      </c:pt>
                      <c:pt idx="20">
                        <c:v>7.0782187221856701</c:v>
                      </c:pt>
                      <c:pt idx="21">
                        <c:v>7.5440772415928103</c:v>
                      </c:pt>
                      <c:pt idx="22">
                        <c:v>7.9172922874501701</c:v>
                      </c:pt>
                      <c:pt idx="23">
                        <c:v>8.2917263263805498</c:v>
                      </c:pt>
                      <c:pt idx="24">
                        <c:v>8.7602259974459198</c:v>
                      </c:pt>
                      <c:pt idx="25">
                        <c:v>9.1031016601524701</c:v>
                      </c:pt>
                      <c:pt idx="26">
                        <c:v>9.6023470453929693</c:v>
                      </c:pt>
                      <c:pt idx="27">
                        <c:v>10.0712530474826</c:v>
                      </c:pt>
                      <c:pt idx="28">
                        <c:v>10.9160152470879</c:v>
                      </c:pt>
                      <c:pt idx="29">
                        <c:v>11.070962811036701</c:v>
                      </c:pt>
                      <c:pt idx="30">
                        <c:v>11.2898397894818</c:v>
                      </c:pt>
                      <c:pt idx="31">
                        <c:v>11.8495607755117</c:v>
                      </c:pt>
                      <c:pt idx="32">
                        <c:v>12.225010642002999</c:v>
                      </c:pt>
                      <c:pt idx="33">
                        <c:v>12.756627065516</c:v>
                      </c:pt>
                      <c:pt idx="34">
                        <c:v>13.22593939863</c:v>
                      </c:pt>
                      <c:pt idx="35">
                        <c:v>13.506307805425401</c:v>
                      </c:pt>
                      <c:pt idx="36">
                        <c:v>13.882570333965401</c:v>
                      </c:pt>
                      <c:pt idx="37">
                        <c:v>14.226055493208399</c:v>
                      </c:pt>
                      <c:pt idx="38">
                        <c:v>14.3180894702217</c:v>
                      </c:pt>
                      <c:pt idx="39">
                        <c:v>15.101766572501001</c:v>
                      </c:pt>
                      <c:pt idx="40">
                        <c:v>15.2569173019619</c:v>
                      </c:pt>
                      <c:pt idx="41">
                        <c:v>15.350170272048199</c:v>
                      </c:pt>
                      <c:pt idx="42">
                        <c:v>16.948879687318598</c:v>
                      </c:pt>
                      <c:pt idx="43">
                        <c:v>16.979219070469401</c:v>
                      </c:pt>
                      <c:pt idx="44">
                        <c:v>17.198908710963099</c:v>
                      </c:pt>
                      <c:pt idx="45">
                        <c:v>17.449750396656398</c:v>
                      </c:pt>
                      <c:pt idx="46">
                        <c:v>17.949808443945599</c:v>
                      </c:pt>
                      <c:pt idx="47">
                        <c:v>17.951230602530799</c:v>
                      </c:pt>
                      <c:pt idx="48">
                        <c:v>18.514202236755501</c:v>
                      </c:pt>
                      <c:pt idx="49">
                        <c:v>18.634543941797901</c:v>
                      </c:pt>
                      <c:pt idx="50">
                        <c:v>19.4184242095894</c:v>
                      </c:pt>
                      <c:pt idx="51">
                        <c:v>21.862098989977099</c:v>
                      </c:pt>
                      <c:pt idx="52">
                        <c:v>21.8641306450988</c:v>
                      </c:pt>
                      <c:pt idx="53">
                        <c:v>24.840640842072599</c:v>
                      </c:pt>
                      <c:pt idx="54">
                        <c:v>24.8701675631747</c:v>
                      </c:pt>
                      <c:pt idx="55">
                        <c:v>27.284315622460401</c:v>
                      </c:pt>
                    </c:numCache>
                  </c:numRef>
                </c:xVal>
                <c:yVal>
                  <c:numRef>
                    <c:extLst xmlns:c15="http://schemas.microsoft.com/office/drawing/2012/chart">
                      <c:ext xmlns:c15="http://schemas.microsoft.com/office/drawing/2012/chart" uri="{02D57815-91ED-43cb-92C2-25804820EDAC}">
                        <c15:formulaRef>
                          <c15:sqref>Sheet1!$T$3:$T$58</c15:sqref>
                        </c15:formulaRef>
                      </c:ext>
                    </c:extLst>
                    <c:numCache>
                      <c:formatCode>General</c:formatCode>
                      <c:ptCount val="56"/>
                      <c:pt idx="0">
                        <c:v>1</c:v>
                      </c:pt>
                      <c:pt idx="1">
                        <c:v>0.99570208196277199</c:v>
                      </c:pt>
                      <c:pt idx="2">
                        <c:v>0.99570208196277199</c:v>
                      </c:pt>
                      <c:pt idx="3">
                        <c:v>0.97204539298014703</c:v>
                      </c:pt>
                      <c:pt idx="4">
                        <c:v>0.93538611121860604</c:v>
                      </c:pt>
                      <c:pt idx="5">
                        <c:v>0.92461833907356505</c:v>
                      </c:pt>
                      <c:pt idx="6">
                        <c:v>0.91166653767269001</c:v>
                      </c:pt>
                      <c:pt idx="7">
                        <c:v>0.88576051623389096</c:v>
                      </c:pt>
                      <c:pt idx="8">
                        <c:v>0.87065612785882895</c:v>
                      </c:pt>
                      <c:pt idx="9">
                        <c:v>0.85339673387252801</c:v>
                      </c:pt>
                      <c:pt idx="10">
                        <c:v>0.83397024108974105</c:v>
                      </c:pt>
                      <c:pt idx="11">
                        <c:v>0.81886827135172702</c:v>
                      </c:pt>
                      <c:pt idx="12">
                        <c:v>0.78649723307921504</c:v>
                      </c:pt>
                      <c:pt idx="13">
                        <c:v>0.76276798498510101</c:v>
                      </c:pt>
                      <c:pt idx="14">
                        <c:v>0.73686680082040101</c:v>
                      </c:pt>
                      <c:pt idx="15">
                        <c:v>0.71097770984094999</c:v>
                      </c:pt>
                      <c:pt idx="16">
                        <c:v>0.71097770984094999</c:v>
                      </c:pt>
                      <c:pt idx="17">
                        <c:v>0.68942281645447101</c:v>
                      </c:pt>
                      <c:pt idx="18">
                        <c:v>0.67216825974227001</c:v>
                      </c:pt>
                      <c:pt idx="19">
                        <c:v>0.63978512828450895</c:v>
                      </c:pt>
                      <c:pt idx="20">
                        <c:v>0.58153709221779304</c:v>
                      </c:pt>
                      <c:pt idx="21">
                        <c:v>0.534056828296118</c:v>
                      </c:pt>
                      <c:pt idx="22">
                        <c:v>0.501688208660655</c:v>
                      </c:pt>
                      <c:pt idx="23">
                        <c:v>0.48227864633721601</c:v>
                      </c:pt>
                      <c:pt idx="24">
                        <c:v>0.462876339924925</c:v>
                      </c:pt>
                      <c:pt idx="25">
                        <c:v>0.44130451607909899</c:v>
                      </c:pt>
                      <c:pt idx="26">
                        <c:v>0.41542509964784602</c:v>
                      </c:pt>
                      <c:pt idx="27">
                        <c:v>0.40034247900622999</c:v>
                      </c:pt>
                      <c:pt idx="28">
                        <c:v>0.38096919623853498</c:v>
                      </c:pt>
                      <c:pt idx="29">
                        <c:v>0.36154270345574802</c:v>
                      </c:pt>
                      <c:pt idx="30">
                        <c:v>0.35508010525908401</c:v>
                      </c:pt>
                      <c:pt idx="31">
                        <c:v>0.30544725436322101</c:v>
                      </c:pt>
                      <c:pt idx="32">
                        <c:v>0.29683690646646799</c:v>
                      </c:pt>
                      <c:pt idx="33">
                        <c:v>0.28175912309895101</c:v>
                      </c:pt>
                      <c:pt idx="34">
                        <c:v>0.27099618822800903</c:v>
                      </c:pt>
                      <c:pt idx="35">
                        <c:v>0.25157936999342101</c:v>
                      </c:pt>
                      <c:pt idx="36">
                        <c:v>0.25157936999342101</c:v>
                      </c:pt>
                      <c:pt idx="37">
                        <c:v>0.23651609844820201</c:v>
                      </c:pt>
                      <c:pt idx="38">
                        <c:v>0.214924925505978</c:v>
                      </c:pt>
                      <c:pt idx="39">
                        <c:v>0.21282554854688199</c:v>
                      </c:pt>
                      <c:pt idx="40">
                        <c:v>0.19555889864943299</c:v>
                      </c:pt>
                      <c:pt idx="41">
                        <c:v>0.18692678301923299</c:v>
                      </c:pt>
                      <c:pt idx="42">
                        <c:v>0.18273044773809</c:v>
                      </c:pt>
                      <c:pt idx="43">
                        <c:v>0.171933651948454</c:v>
                      </c:pt>
                      <c:pt idx="44">
                        <c:v>0.171933651948454</c:v>
                      </c:pt>
                      <c:pt idx="45">
                        <c:v>0.171933651948454</c:v>
                      </c:pt>
                      <c:pt idx="46">
                        <c:v>0.15688972949963201</c:v>
                      </c:pt>
                      <c:pt idx="47">
                        <c:v>0.15688972949963201</c:v>
                      </c:pt>
                      <c:pt idx="48">
                        <c:v>0.15688972949963201</c:v>
                      </c:pt>
                      <c:pt idx="49">
                        <c:v>0.10294686738129299</c:v>
                      </c:pt>
                      <c:pt idx="50">
                        <c:v>0.10294686738129299</c:v>
                      </c:pt>
                      <c:pt idx="51">
                        <c:v>8.1597558144034604E-2</c:v>
                      </c:pt>
                      <c:pt idx="52">
                        <c:v>8.1597558144034604E-2</c:v>
                      </c:pt>
                      <c:pt idx="53">
                        <c:v>7.9667485778414093E-2</c:v>
                      </c:pt>
                      <c:pt idx="54">
                        <c:v>6.0231318447428503E-2</c:v>
                      </c:pt>
                      <c:pt idx="55">
                        <c:v>5.82577106149142E-2</c:v>
                      </c:pt>
                    </c:numCache>
                  </c:numRef>
                </c:yVal>
                <c:smooth val="0"/>
                <c:extLst xmlns:c15="http://schemas.microsoft.com/office/drawing/2012/chart">
                  <c:ext xmlns:c16="http://schemas.microsoft.com/office/drawing/2014/chart" uri="{C3380CC4-5D6E-409C-BE32-E72D297353CC}">
                    <c16:uniqueId val="{00000009-441B-4205-951C-61D6F7AAA720}"/>
                  </c:ext>
                </c:extLst>
              </c15:ser>
            </c15:filteredScatterSeries>
          </c:ext>
        </c:extLst>
      </c:scatterChart>
      <c:valAx>
        <c:axId val="5289010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Months</a:t>
                </a:r>
              </a:p>
            </c:rich>
          </c:tx>
          <c:layout>
            <c:manualLayout>
              <c:xMode val="edge"/>
              <c:yMode val="edge"/>
              <c:x val="0.48838384234871934"/>
              <c:y val="0.7726044255051995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902000"/>
        <c:crosses val="autoZero"/>
        <c:crossBetween val="midCat"/>
      </c:valAx>
      <c:valAx>
        <c:axId val="528902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Overall</a:t>
                </a:r>
                <a:r>
                  <a:rPr lang="en-AU" baseline="0"/>
                  <a:t> survival rate</a:t>
                </a:r>
                <a:endParaRPr lang="en-AU"/>
              </a:p>
            </c:rich>
          </c:tx>
          <c:layout>
            <c:manualLayout>
              <c:xMode val="edge"/>
              <c:yMode val="edge"/>
              <c:x val="2.4371330453085188E-2"/>
              <c:y val="0.3448868900207371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901016"/>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8BB33-3F78-44A2-80C5-75E5A68A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7740</Words>
  <Characters>45870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2022-03-02T01:57:00Z</dcterms:created>
  <dcterms:modified xsi:type="dcterms:W3CDTF">2022-03-02T01:57:00Z</dcterms:modified>
</cp:coreProperties>
</file>