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18797B" w14:textId="77777777" w:rsidR="00E20CFC" w:rsidRPr="009E20FD" w:rsidRDefault="007D5862" w:rsidP="00673D10">
      <w:pPr>
        <w:pStyle w:val="1MainTitle"/>
        <w:ind w:left="1134" w:hanging="1134"/>
        <w:jc w:val="left"/>
      </w:pPr>
      <w:r w:rsidRPr="00F835F2">
        <w:t>5</w:t>
      </w:r>
      <w:r w:rsidR="00872E8F" w:rsidRPr="00F835F2">
        <w:t>.</w:t>
      </w:r>
      <w:r w:rsidRPr="00F835F2">
        <w:t>26</w:t>
      </w:r>
      <w:r w:rsidR="00872E8F" w:rsidRPr="00F835F2">
        <w:tab/>
      </w:r>
      <w:r w:rsidRPr="00F835F2">
        <w:t>RISANKIZUMAB</w:t>
      </w:r>
      <w:r w:rsidR="00872E8F" w:rsidRPr="00F835F2">
        <w:t>,</w:t>
      </w:r>
      <w:r w:rsidR="00872E8F" w:rsidRPr="00F835F2">
        <w:br/>
      </w:r>
      <w:r w:rsidR="00207619" w:rsidRPr="00F835F2">
        <w:t xml:space="preserve">Injection </w:t>
      </w:r>
      <w:r w:rsidRPr="00F835F2">
        <w:t xml:space="preserve">150 mg in 1 mL pre-filled </w:t>
      </w:r>
      <w:r w:rsidR="00207619" w:rsidRPr="00F835F2">
        <w:t>pen</w:t>
      </w:r>
      <w:r w:rsidRPr="00F835F2">
        <w:t xml:space="preserve"> </w:t>
      </w:r>
      <w:r w:rsidR="00673D10">
        <w:t>and</w:t>
      </w:r>
      <w:r w:rsidR="00207619" w:rsidRPr="00F835F2">
        <w:t xml:space="preserve"> </w:t>
      </w:r>
      <w:r w:rsidRPr="00F835F2">
        <w:t xml:space="preserve">150 mg in 1 mL pre-filled </w:t>
      </w:r>
      <w:r w:rsidR="00207619" w:rsidRPr="00F835F2">
        <w:t>syringe</w:t>
      </w:r>
      <w:r w:rsidR="00872E8F" w:rsidRPr="00F835F2">
        <w:t>,</w:t>
      </w:r>
      <w:r w:rsidR="00872E8F" w:rsidRPr="00F835F2">
        <w:br/>
      </w:r>
      <w:r w:rsidRPr="00F835F2">
        <w:t>Skyrizi</w:t>
      </w:r>
      <w:r w:rsidR="00872E8F" w:rsidRPr="00F835F2">
        <w:t>®,</w:t>
      </w:r>
      <w:r w:rsidR="00872E8F" w:rsidRPr="00F835F2">
        <w:br/>
      </w:r>
      <w:r w:rsidRPr="00F835F2">
        <w:t>Abb</w:t>
      </w:r>
      <w:r w:rsidR="00004977" w:rsidRPr="00F835F2">
        <w:t>V</w:t>
      </w:r>
      <w:r w:rsidRPr="00F835F2">
        <w:t>ie Pty Ltd</w:t>
      </w:r>
    </w:p>
    <w:p w14:paraId="14F933A3" w14:textId="77777777" w:rsidR="00E11F44" w:rsidRPr="00F835F2" w:rsidRDefault="007E490F" w:rsidP="00CD6257">
      <w:pPr>
        <w:pStyle w:val="2-SectionHeading"/>
        <w:rPr>
          <w:rFonts w:cstheme="minorHAnsi"/>
          <w:color w:val="FF0000"/>
        </w:rPr>
      </w:pPr>
      <w:r w:rsidRPr="00F835F2">
        <w:t xml:space="preserve">Purpose of </w:t>
      </w:r>
      <w:r w:rsidR="00FA0B04" w:rsidRPr="00F835F2">
        <w:t>Submission</w:t>
      </w:r>
      <w:r w:rsidRPr="00F835F2">
        <w:t xml:space="preserve"> </w:t>
      </w:r>
    </w:p>
    <w:p w14:paraId="373EA06C" w14:textId="77777777" w:rsidR="007E490F" w:rsidRPr="00F835F2" w:rsidRDefault="00FF76EA" w:rsidP="00676516">
      <w:pPr>
        <w:pStyle w:val="3Bodytext"/>
        <w:ind w:left="720"/>
        <w:jc w:val="both"/>
        <w:rPr>
          <w:rFonts w:cstheme="minorHAnsi"/>
          <w:bCs/>
        </w:rPr>
      </w:pPr>
      <w:r w:rsidRPr="00F835F2">
        <w:rPr>
          <w:rFonts w:cstheme="minorHAnsi"/>
          <w:bCs/>
        </w:rPr>
        <w:t xml:space="preserve">The Category 4 submission requested General Schedule listings for new forms of risankizumab injection (Skyrizi®), that is, </w:t>
      </w:r>
      <w:r w:rsidR="009F2762" w:rsidRPr="00F835F2">
        <w:rPr>
          <w:rFonts w:cstheme="minorHAnsi"/>
          <w:bCs/>
        </w:rPr>
        <w:t xml:space="preserve">a </w:t>
      </w:r>
      <w:r w:rsidRPr="00F835F2">
        <w:rPr>
          <w:rFonts w:cstheme="minorHAnsi"/>
          <w:bCs/>
        </w:rPr>
        <w:t>150 mg</w:t>
      </w:r>
      <w:r w:rsidR="00F51BF3" w:rsidRPr="00F835F2">
        <w:rPr>
          <w:rFonts w:cstheme="minorHAnsi"/>
          <w:bCs/>
        </w:rPr>
        <w:t>/</w:t>
      </w:r>
      <w:r w:rsidRPr="00F835F2">
        <w:rPr>
          <w:rFonts w:cstheme="minorHAnsi"/>
          <w:bCs/>
        </w:rPr>
        <w:t>1 mL pre-filled pen (PFP) and</w:t>
      </w:r>
      <w:r w:rsidR="00864494" w:rsidRPr="00F835F2">
        <w:rPr>
          <w:rFonts w:cstheme="minorHAnsi"/>
          <w:bCs/>
        </w:rPr>
        <w:t xml:space="preserve"> a</w:t>
      </w:r>
      <w:r w:rsidRPr="00F835F2">
        <w:rPr>
          <w:rFonts w:cstheme="minorHAnsi"/>
          <w:bCs/>
        </w:rPr>
        <w:t xml:space="preserve"> 150</w:t>
      </w:r>
      <w:r w:rsidR="00255585" w:rsidRPr="00F835F2">
        <w:rPr>
          <w:rFonts w:cstheme="minorHAnsi"/>
          <w:bCs/>
        </w:rPr>
        <w:t> </w:t>
      </w:r>
      <w:r w:rsidRPr="00F835F2">
        <w:rPr>
          <w:rFonts w:cstheme="minorHAnsi"/>
          <w:bCs/>
        </w:rPr>
        <w:t>mg</w:t>
      </w:r>
      <w:r w:rsidR="00F51BF3" w:rsidRPr="00F835F2">
        <w:rPr>
          <w:rFonts w:cstheme="minorHAnsi"/>
          <w:bCs/>
        </w:rPr>
        <w:t>/</w:t>
      </w:r>
      <w:r w:rsidRPr="00F835F2">
        <w:rPr>
          <w:rFonts w:cstheme="minorHAnsi"/>
          <w:bCs/>
        </w:rPr>
        <w:t>1 mL pre-filled syringe (PFS), under the same circumstances as the currently listed risankizumab 75 mg</w:t>
      </w:r>
      <w:r w:rsidR="00F51BF3" w:rsidRPr="00F835F2">
        <w:rPr>
          <w:rFonts w:cstheme="minorHAnsi"/>
          <w:bCs/>
        </w:rPr>
        <w:t>/</w:t>
      </w:r>
      <w:r w:rsidRPr="00F835F2">
        <w:rPr>
          <w:rFonts w:cstheme="minorHAnsi"/>
          <w:bCs/>
        </w:rPr>
        <w:t xml:space="preserve">0.83 mL PFS. </w:t>
      </w:r>
    </w:p>
    <w:p w14:paraId="789D2F84" w14:textId="77777777" w:rsidR="007E490F" w:rsidRPr="00F835F2" w:rsidRDefault="007E490F" w:rsidP="00623F1D">
      <w:pPr>
        <w:pStyle w:val="2-SectionHeading"/>
        <w:numPr>
          <w:ilvl w:val="0"/>
          <w:numId w:val="2"/>
        </w:numPr>
      </w:pPr>
      <w:r w:rsidRPr="00F835F2">
        <w:t xml:space="preserve">Background </w:t>
      </w:r>
    </w:p>
    <w:p w14:paraId="4134C474" w14:textId="77777777" w:rsidR="007E490F" w:rsidRPr="00F835F2" w:rsidRDefault="007E490F" w:rsidP="007E490F">
      <w:pPr>
        <w:pStyle w:val="4-SubsectionHeading"/>
        <w:rPr>
          <w:i w:val="0"/>
        </w:rPr>
      </w:pPr>
      <w:r w:rsidRPr="00F835F2">
        <w:rPr>
          <w:i w:val="0"/>
        </w:rPr>
        <w:t>Registration status</w:t>
      </w:r>
    </w:p>
    <w:p w14:paraId="20616664" w14:textId="77777777" w:rsidR="00510A35" w:rsidRPr="00F835F2" w:rsidRDefault="00E975AD" w:rsidP="00676516">
      <w:pPr>
        <w:pStyle w:val="3Bodytext"/>
        <w:ind w:left="720"/>
        <w:jc w:val="both"/>
        <w:rPr>
          <w:rFonts w:cstheme="minorHAnsi"/>
          <w:bCs/>
        </w:rPr>
      </w:pPr>
      <w:r w:rsidRPr="00F835F2">
        <w:rPr>
          <w:rFonts w:cstheme="minorHAnsi"/>
          <w:bCs/>
        </w:rPr>
        <w:t xml:space="preserve">Risankizumab </w:t>
      </w:r>
      <w:r w:rsidR="00FF76EA" w:rsidRPr="00F835F2">
        <w:rPr>
          <w:rFonts w:cstheme="minorHAnsi"/>
          <w:bCs/>
        </w:rPr>
        <w:t xml:space="preserve">is indicated </w:t>
      </w:r>
      <w:r w:rsidR="00510A35" w:rsidRPr="00F835F2">
        <w:rPr>
          <w:rFonts w:cstheme="minorHAnsi"/>
          <w:bCs/>
        </w:rPr>
        <w:t>for the</w:t>
      </w:r>
      <w:r w:rsidR="00510A35" w:rsidRPr="00F835F2" w:rsidDel="009A61CA">
        <w:rPr>
          <w:rFonts w:cstheme="minorHAnsi"/>
          <w:bCs/>
        </w:rPr>
        <w:t xml:space="preserve"> </w:t>
      </w:r>
      <w:r w:rsidR="00510A35" w:rsidRPr="00F835F2">
        <w:rPr>
          <w:rFonts w:cstheme="minorHAnsi"/>
          <w:bCs/>
        </w:rPr>
        <w:t>treatment of moderate to severe plaque psoriasis in adults (18 years or older) who are candidates for phototherapy or systemic therapy. According to the Product Information, the recommended dose is 150 mg by subcutaneous injection at Week 0, Week 4 and every 12 weeks thereafter.</w:t>
      </w:r>
    </w:p>
    <w:p w14:paraId="53A1D269" w14:textId="77777777" w:rsidR="00EB4BAE" w:rsidRPr="00F835F2" w:rsidRDefault="00510A35" w:rsidP="00676516">
      <w:pPr>
        <w:pStyle w:val="3Bodytext"/>
        <w:ind w:left="720"/>
        <w:jc w:val="both"/>
        <w:rPr>
          <w:rFonts w:cstheme="minorHAnsi"/>
          <w:bCs/>
        </w:rPr>
      </w:pPr>
      <w:r w:rsidRPr="00F835F2">
        <w:rPr>
          <w:rFonts w:cstheme="minorHAnsi"/>
          <w:bCs/>
        </w:rPr>
        <w:t xml:space="preserve">The </w:t>
      </w:r>
      <w:r w:rsidR="00970219" w:rsidRPr="00F835F2">
        <w:rPr>
          <w:rFonts w:cstheme="minorHAnsi"/>
          <w:bCs/>
        </w:rPr>
        <w:t xml:space="preserve">150 mg </w:t>
      </w:r>
      <w:r w:rsidR="00E975AD" w:rsidRPr="00F835F2">
        <w:rPr>
          <w:rFonts w:cstheme="minorHAnsi"/>
          <w:bCs/>
        </w:rPr>
        <w:t>PF</w:t>
      </w:r>
      <w:r w:rsidR="00FF76EA" w:rsidRPr="00F835F2">
        <w:rPr>
          <w:rFonts w:cstheme="minorHAnsi"/>
          <w:bCs/>
        </w:rPr>
        <w:t>P</w:t>
      </w:r>
      <w:r w:rsidR="00E975AD" w:rsidRPr="00F835F2">
        <w:rPr>
          <w:rFonts w:cstheme="minorHAnsi"/>
          <w:bCs/>
        </w:rPr>
        <w:t xml:space="preserve"> and </w:t>
      </w:r>
      <w:r w:rsidR="00316B51" w:rsidRPr="00F835F2">
        <w:rPr>
          <w:rFonts w:cstheme="minorHAnsi"/>
          <w:bCs/>
        </w:rPr>
        <w:t xml:space="preserve">150 mg </w:t>
      </w:r>
      <w:r w:rsidR="00E975AD" w:rsidRPr="00F835F2">
        <w:rPr>
          <w:rFonts w:cstheme="minorHAnsi"/>
          <w:bCs/>
        </w:rPr>
        <w:t>PF</w:t>
      </w:r>
      <w:r w:rsidR="00FF76EA" w:rsidRPr="00F835F2">
        <w:rPr>
          <w:rFonts w:cstheme="minorHAnsi"/>
          <w:bCs/>
        </w:rPr>
        <w:t>S</w:t>
      </w:r>
      <w:r w:rsidR="00E975AD" w:rsidRPr="00F835F2">
        <w:rPr>
          <w:rFonts w:cstheme="minorHAnsi"/>
          <w:bCs/>
        </w:rPr>
        <w:t xml:space="preserve"> w</w:t>
      </w:r>
      <w:r w:rsidRPr="00F835F2">
        <w:rPr>
          <w:rFonts w:cstheme="minorHAnsi"/>
          <w:bCs/>
        </w:rPr>
        <w:t xml:space="preserve">ere listed on the Australian Register of Therapeutic Goods (ARTG) on 19 August 2021. </w:t>
      </w:r>
      <w:r w:rsidR="00E975AD" w:rsidRPr="00F835F2">
        <w:rPr>
          <w:rFonts w:cstheme="minorHAnsi"/>
          <w:bCs/>
        </w:rPr>
        <w:t xml:space="preserve"> </w:t>
      </w:r>
    </w:p>
    <w:p w14:paraId="0211D5F3" w14:textId="77777777" w:rsidR="007E490F" w:rsidRPr="00F835F2" w:rsidRDefault="007E490F" w:rsidP="007E490F">
      <w:pPr>
        <w:pStyle w:val="4-SubsectionHeading"/>
        <w:rPr>
          <w:i w:val="0"/>
        </w:rPr>
      </w:pPr>
      <w:r w:rsidRPr="00F835F2">
        <w:rPr>
          <w:i w:val="0"/>
        </w:rPr>
        <w:t xml:space="preserve">Previous PBAC consideration </w:t>
      </w:r>
    </w:p>
    <w:p w14:paraId="0149698D" w14:textId="77777777" w:rsidR="00FF76EA" w:rsidRDefault="00510A35" w:rsidP="00676516">
      <w:pPr>
        <w:pStyle w:val="3Bodytext"/>
        <w:ind w:left="720"/>
        <w:jc w:val="both"/>
        <w:rPr>
          <w:rFonts w:cstheme="minorHAnsi"/>
          <w:bCs/>
        </w:rPr>
      </w:pPr>
      <w:r w:rsidRPr="00F835F2">
        <w:rPr>
          <w:rFonts w:cstheme="minorHAnsi"/>
          <w:bCs/>
        </w:rPr>
        <w:t>At its July 2019 meeting, the PBAC recommended risankizumab (75 mg</w:t>
      </w:r>
      <w:r w:rsidR="00F5347B" w:rsidRPr="00F835F2">
        <w:rPr>
          <w:rFonts w:cstheme="minorHAnsi"/>
          <w:bCs/>
        </w:rPr>
        <w:t>/</w:t>
      </w:r>
      <w:r w:rsidRPr="00F835F2">
        <w:rPr>
          <w:rFonts w:cstheme="minorHAnsi"/>
          <w:bCs/>
        </w:rPr>
        <w:t>0.83 mL PFS) for the treatment of severe chronic plaque psoriasis</w:t>
      </w:r>
      <w:r w:rsidR="00676516" w:rsidRPr="00F835F2">
        <w:rPr>
          <w:rFonts w:cstheme="minorHAnsi"/>
          <w:bCs/>
        </w:rPr>
        <w:t xml:space="preserve"> (CPP)</w:t>
      </w:r>
      <w:r w:rsidRPr="00F835F2">
        <w:rPr>
          <w:rFonts w:cstheme="minorHAnsi"/>
          <w:bCs/>
        </w:rPr>
        <w:t xml:space="preserve">, which </w:t>
      </w:r>
      <w:r w:rsidR="00701369" w:rsidRPr="00F835F2">
        <w:rPr>
          <w:rFonts w:cstheme="minorHAnsi"/>
          <w:bCs/>
        </w:rPr>
        <w:t xml:space="preserve">was </w:t>
      </w:r>
      <w:r w:rsidRPr="00F835F2">
        <w:rPr>
          <w:rFonts w:cstheme="minorHAnsi"/>
          <w:bCs/>
        </w:rPr>
        <w:t xml:space="preserve">listed on the PBS on 1 December 2019. </w:t>
      </w:r>
    </w:p>
    <w:p w14:paraId="78630862" w14:textId="77777777" w:rsidR="00964A9F" w:rsidRPr="00F835F2" w:rsidRDefault="00964A9F" w:rsidP="00964A9F">
      <w:pPr>
        <w:pStyle w:val="2-SectionHeading"/>
      </w:pPr>
      <w:r w:rsidRPr="00F835F2">
        <w:t xml:space="preserve">Requested listing </w:t>
      </w:r>
    </w:p>
    <w:p w14:paraId="0A45975A" w14:textId="77777777" w:rsidR="00162E67" w:rsidRPr="00F835F2" w:rsidRDefault="00964A9F" w:rsidP="00162E67">
      <w:pPr>
        <w:pStyle w:val="3Bodytext"/>
        <w:ind w:left="720"/>
        <w:jc w:val="both"/>
        <w:rPr>
          <w:rFonts w:cstheme="minorHAnsi"/>
          <w:bCs/>
        </w:rPr>
      </w:pPr>
      <w:r w:rsidRPr="00F835F2">
        <w:rPr>
          <w:rFonts w:cstheme="minorHAnsi"/>
          <w:bCs/>
        </w:rPr>
        <w:t xml:space="preserve">The submission requested </w:t>
      </w:r>
      <w:r w:rsidR="003D047C" w:rsidRPr="00F835F2">
        <w:rPr>
          <w:rFonts w:cstheme="minorHAnsi"/>
          <w:bCs/>
        </w:rPr>
        <w:t xml:space="preserve">listing risankizumab </w:t>
      </w:r>
      <w:r w:rsidR="00EE5D3F" w:rsidRPr="00F835F2">
        <w:rPr>
          <w:rFonts w:cstheme="minorHAnsi"/>
          <w:bCs/>
        </w:rPr>
        <w:t xml:space="preserve">150 mg </w:t>
      </w:r>
      <w:r w:rsidR="003D047C" w:rsidRPr="00F835F2">
        <w:rPr>
          <w:rFonts w:cstheme="minorHAnsi"/>
          <w:bCs/>
        </w:rPr>
        <w:t>PF</w:t>
      </w:r>
      <w:r w:rsidR="00510A35" w:rsidRPr="00F835F2">
        <w:rPr>
          <w:rFonts w:cstheme="minorHAnsi"/>
          <w:bCs/>
        </w:rPr>
        <w:t>P</w:t>
      </w:r>
      <w:r w:rsidR="003D047C" w:rsidRPr="00F835F2">
        <w:rPr>
          <w:rFonts w:cstheme="minorHAnsi"/>
          <w:bCs/>
        </w:rPr>
        <w:t xml:space="preserve"> and </w:t>
      </w:r>
      <w:r w:rsidR="00316B51" w:rsidRPr="00F835F2">
        <w:rPr>
          <w:rFonts w:cstheme="minorHAnsi"/>
          <w:bCs/>
        </w:rPr>
        <w:t xml:space="preserve">150 mg </w:t>
      </w:r>
      <w:r w:rsidR="00DB0340" w:rsidRPr="00F835F2">
        <w:rPr>
          <w:rFonts w:cstheme="minorHAnsi"/>
          <w:bCs/>
        </w:rPr>
        <w:t>PF</w:t>
      </w:r>
      <w:r w:rsidR="00510A35" w:rsidRPr="00F835F2">
        <w:rPr>
          <w:rFonts w:cstheme="minorHAnsi"/>
          <w:bCs/>
        </w:rPr>
        <w:t>S</w:t>
      </w:r>
      <w:r w:rsidR="00DB0340" w:rsidRPr="00F835F2">
        <w:rPr>
          <w:rFonts w:cstheme="minorHAnsi"/>
          <w:bCs/>
        </w:rPr>
        <w:t xml:space="preserve"> under the </w:t>
      </w:r>
      <w:r w:rsidR="003D047C" w:rsidRPr="00F835F2">
        <w:rPr>
          <w:rFonts w:cstheme="minorHAnsi"/>
          <w:bCs/>
        </w:rPr>
        <w:t xml:space="preserve">same </w:t>
      </w:r>
      <w:r w:rsidR="00E36EB7" w:rsidRPr="00F835F2">
        <w:rPr>
          <w:rFonts w:cstheme="minorHAnsi"/>
          <w:bCs/>
        </w:rPr>
        <w:t>circumstances</w:t>
      </w:r>
      <w:r w:rsidR="00DB0340" w:rsidRPr="00F835F2">
        <w:rPr>
          <w:rFonts w:cstheme="minorHAnsi"/>
          <w:bCs/>
        </w:rPr>
        <w:t xml:space="preserve"> </w:t>
      </w:r>
      <w:r w:rsidR="003D047C" w:rsidRPr="00F835F2">
        <w:rPr>
          <w:rFonts w:cstheme="minorHAnsi"/>
          <w:bCs/>
        </w:rPr>
        <w:t>as</w:t>
      </w:r>
      <w:r w:rsidR="00DB0340" w:rsidRPr="00F835F2">
        <w:rPr>
          <w:rFonts w:cstheme="minorHAnsi"/>
          <w:bCs/>
        </w:rPr>
        <w:t xml:space="preserve"> the currently PBS-listed</w:t>
      </w:r>
      <w:r w:rsidR="003D047C" w:rsidRPr="00F835F2">
        <w:rPr>
          <w:rFonts w:cstheme="minorHAnsi"/>
          <w:bCs/>
        </w:rPr>
        <w:t xml:space="preserve"> risankizumab </w:t>
      </w:r>
      <w:r w:rsidR="00E36EB7" w:rsidRPr="00F835F2">
        <w:rPr>
          <w:rFonts w:cstheme="minorHAnsi"/>
          <w:bCs/>
        </w:rPr>
        <w:t>75 mg</w:t>
      </w:r>
      <w:r w:rsidR="00F51BF3" w:rsidRPr="00F835F2">
        <w:rPr>
          <w:rFonts w:cstheme="minorHAnsi"/>
          <w:bCs/>
        </w:rPr>
        <w:t>/0.83 mL</w:t>
      </w:r>
      <w:r w:rsidR="00E36EB7" w:rsidRPr="00F835F2">
        <w:rPr>
          <w:rFonts w:cstheme="minorHAnsi"/>
          <w:bCs/>
        </w:rPr>
        <w:t xml:space="preserve"> </w:t>
      </w:r>
      <w:r w:rsidR="004C0C54" w:rsidRPr="00F835F2">
        <w:rPr>
          <w:rFonts w:cstheme="minorHAnsi"/>
          <w:bCs/>
        </w:rPr>
        <w:t>PFS</w:t>
      </w:r>
      <w:r w:rsidR="003D047C" w:rsidRPr="00F835F2">
        <w:rPr>
          <w:rFonts w:cstheme="minorHAnsi"/>
          <w:bCs/>
        </w:rPr>
        <w:t>.</w:t>
      </w:r>
      <w:r w:rsidR="00EE5D3F" w:rsidRPr="00F835F2">
        <w:rPr>
          <w:rFonts w:cstheme="minorHAnsi"/>
          <w:bCs/>
        </w:rPr>
        <w:t xml:space="preserve"> </w:t>
      </w:r>
      <w:r w:rsidR="00B00712" w:rsidRPr="00F835F2">
        <w:rPr>
          <w:rFonts w:cstheme="minorHAnsi"/>
          <w:bCs/>
        </w:rPr>
        <w:t>As n</w:t>
      </w:r>
      <w:r w:rsidR="00162E67" w:rsidRPr="00F835F2">
        <w:rPr>
          <w:rFonts w:cstheme="minorHAnsi"/>
          <w:bCs/>
        </w:rPr>
        <w:t>o changes to the restrictions were requested</w:t>
      </w:r>
      <w:r w:rsidR="00B00712" w:rsidRPr="00F835F2">
        <w:rPr>
          <w:rFonts w:cstheme="minorHAnsi"/>
          <w:bCs/>
        </w:rPr>
        <w:t xml:space="preserve">, they have not been reproduced. </w:t>
      </w:r>
    </w:p>
    <w:p w14:paraId="2ACC12D1" w14:textId="77777777" w:rsidR="00246F62" w:rsidRPr="00F835F2" w:rsidRDefault="00246F62" w:rsidP="00246F62">
      <w:pPr>
        <w:pStyle w:val="3Bodytext"/>
        <w:numPr>
          <w:ilvl w:val="0"/>
          <w:numId w:val="0"/>
        </w:numPr>
        <w:jc w:val="both"/>
        <w:rPr>
          <w:rFonts w:cstheme="minorHAnsi"/>
          <w:bCs/>
        </w:rPr>
      </w:pPr>
      <w:r w:rsidRPr="00F835F2">
        <w:rPr>
          <w:rFonts w:cstheme="minorHAnsi"/>
          <w:bCs/>
        </w:rPr>
        <w:t>Add new medicinal product pack</w:t>
      </w:r>
      <w:r w:rsidR="002B6A4F" w:rsidRPr="00F835F2">
        <w:rPr>
          <w:rFonts w:cstheme="minorHAnsi"/>
          <w:bCs/>
        </w:rPr>
        <w:t>s</w:t>
      </w:r>
      <w:r w:rsidRPr="00F835F2">
        <w:rPr>
          <w:rFonts w:cstheme="minorHAnsi"/>
          <w:bCs/>
        </w:rPr>
        <w:t xml:space="preserve"> as follows:</w:t>
      </w:r>
    </w:p>
    <w:tbl>
      <w:tblPr>
        <w:tblW w:w="8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4"/>
        <w:gridCol w:w="993"/>
        <w:gridCol w:w="850"/>
        <w:gridCol w:w="851"/>
        <w:gridCol w:w="708"/>
        <w:gridCol w:w="1559"/>
      </w:tblGrid>
      <w:tr w:rsidR="00964A9F" w:rsidRPr="00F835F2" w14:paraId="26EE21CF" w14:textId="77777777" w:rsidTr="00CF7528">
        <w:trPr>
          <w:cantSplit/>
          <w:trHeight w:val="471"/>
        </w:trPr>
        <w:tc>
          <w:tcPr>
            <w:tcW w:w="3964" w:type="dxa"/>
          </w:tcPr>
          <w:p w14:paraId="71FA9B76" w14:textId="77777777" w:rsidR="00964A9F" w:rsidRPr="00F835F2" w:rsidRDefault="00964A9F" w:rsidP="008A5970">
            <w:pPr>
              <w:keepNext/>
              <w:ind w:left="-108"/>
              <w:rPr>
                <w:rFonts w:ascii="Arial Narrow" w:hAnsi="Arial Narrow" w:cs="Arial"/>
                <w:b/>
                <w:bCs/>
                <w:sz w:val="20"/>
                <w:szCs w:val="20"/>
              </w:rPr>
            </w:pPr>
            <w:r w:rsidRPr="00F835F2">
              <w:rPr>
                <w:rFonts w:ascii="Arial Narrow" w:hAnsi="Arial Narrow" w:cs="Arial"/>
                <w:b/>
                <w:bCs/>
                <w:sz w:val="20"/>
                <w:szCs w:val="20"/>
              </w:rPr>
              <w:lastRenderedPageBreak/>
              <w:t>MEDICINAL PRODUCT</w:t>
            </w:r>
          </w:p>
          <w:p w14:paraId="362AFF45" w14:textId="77777777" w:rsidR="008A5970" w:rsidRPr="00F835F2" w:rsidRDefault="008A5970" w:rsidP="008A5970">
            <w:pPr>
              <w:keepNext/>
              <w:ind w:left="-108"/>
              <w:rPr>
                <w:rFonts w:ascii="Arial Narrow" w:hAnsi="Arial Narrow" w:cs="Arial"/>
                <w:b/>
                <w:bCs/>
                <w:sz w:val="20"/>
                <w:szCs w:val="20"/>
              </w:rPr>
            </w:pPr>
            <w:r w:rsidRPr="00F835F2">
              <w:rPr>
                <w:rFonts w:ascii="Arial Narrow" w:hAnsi="Arial Narrow" w:cs="Arial"/>
                <w:b/>
                <w:bCs/>
                <w:sz w:val="20"/>
                <w:szCs w:val="20"/>
              </w:rPr>
              <w:t>Medicinal Product Pack</w:t>
            </w:r>
          </w:p>
        </w:tc>
        <w:tc>
          <w:tcPr>
            <w:tcW w:w="993" w:type="dxa"/>
          </w:tcPr>
          <w:p w14:paraId="2A8FC838" w14:textId="77777777" w:rsidR="00964A9F" w:rsidRPr="00F835F2" w:rsidRDefault="00964A9F" w:rsidP="00CF7528">
            <w:pPr>
              <w:keepNext/>
              <w:ind w:left="-108"/>
              <w:jc w:val="center"/>
              <w:rPr>
                <w:rFonts w:ascii="Arial Narrow" w:hAnsi="Arial Narrow" w:cs="Arial"/>
                <w:b/>
                <w:sz w:val="20"/>
                <w:szCs w:val="20"/>
              </w:rPr>
            </w:pPr>
            <w:r w:rsidRPr="00F835F2">
              <w:rPr>
                <w:rFonts w:ascii="Arial Narrow" w:hAnsi="Arial Narrow" w:cs="Arial"/>
                <w:b/>
                <w:sz w:val="20"/>
                <w:szCs w:val="20"/>
              </w:rPr>
              <w:t>PBS item code</w:t>
            </w:r>
          </w:p>
        </w:tc>
        <w:tc>
          <w:tcPr>
            <w:tcW w:w="850" w:type="dxa"/>
          </w:tcPr>
          <w:p w14:paraId="6900D120" w14:textId="77777777" w:rsidR="00964A9F" w:rsidRPr="00F835F2" w:rsidRDefault="00964A9F" w:rsidP="00CF7528">
            <w:pPr>
              <w:keepNext/>
              <w:ind w:left="-108"/>
              <w:jc w:val="center"/>
              <w:rPr>
                <w:rFonts w:ascii="Arial Narrow" w:hAnsi="Arial Narrow" w:cs="Arial"/>
                <w:b/>
                <w:sz w:val="20"/>
                <w:szCs w:val="20"/>
              </w:rPr>
            </w:pPr>
            <w:r w:rsidRPr="00F835F2">
              <w:rPr>
                <w:rFonts w:ascii="Arial Narrow" w:hAnsi="Arial Narrow" w:cs="Arial"/>
                <w:b/>
                <w:sz w:val="20"/>
                <w:szCs w:val="20"/>
              </w:rPr>
              <w:t>Max. qty packs</w:t>
            </w:r>
          </w:p>
        </w:tc>
        <w:tc>
          <w:tcPr>
            <w:tcW w:w="851" w:type="dxa"/>
          </w:tcPr>
          <w:p w14:paraId="5F63AF16" w14:textId="77777777" w:rsidR="00964A9F" w:rsidRPr="00F835F2" w:rsidRDefault="00964A9F" w:rsidP="00CF7528">
            <w:pPr>
              <w:keepNext/>
              <w:ind w:left="-108"/>
              <w:jc w:val="center"/>
              <w:rPr>
                <w:rFonts w:ascii="Arial Narrow" w:hAnsi="Arial Narrow" w:cs="Arial"/>
                <w:b/>
                <w:sz w:val="20"/>
                <w:szCs w:val="20"/>
              </w:rPr>
            </w:pPr>
            <w:r w:rsidRPr="00F835F2">
              <w:rPr>
                <w:rFonts w:ascii="Arial Narrow" w:hAnsi="Arial Narrow" w:cs="Arial"/>
                <w:b/>
                <w:sz w:val="20"/>
                <w:szCs w:val="20"/>
              </w:rPr>
              <w:t>Max. qty units</w:t>
            </w:r>
          </w:p>
        </w:tc>
        <w:tc>
          <w:tcPr>
            <w:tcW w:w="708" w:type="dxa"/>
          </w:tcPr>
          <w:p w14:paraId="0E40BF81" w14:textId="77777777" w:rsidR="00964A9F" w:rsidRPr="00F835F2" w:rsidRDefault="00964A9F" w:rsidP="00CF7528">
            <w:pPr>
              <w:keepNext/>
              <w:ind w:left="-108"/>
              <w:jc w:val="center"/>
              <w:rPr>
                <w:rFonts w:ascii="Arial Narrow" w:hAnsi="Arial Narrow" w:cs="Arial"/>
                <w:b/>
                <w:sz w:val="20"/>
                <w:szCs w:val="20"/>
              </w:rPr>
            </w:pPr>
            <w:r w:rsidRPr="00F835F2">
              <w:rPr>
                <w:rFonts w:ascii="Arial Narrow" w:hAnsi="Arial Narrow" w:cs="Arial"/>
                <w:b/>
                <w:sz w:val="20"/>
                <w:szCs w:val="20"/>
              </w:rPr>
              <w:t>№.of</w:t>
            </w:r>
          </w:p>
          <w:p w14:paraId="64FF698A" w14:textId="77777777" w:rsidR="00964A9F" w:rsidRPr="00F835F2" w:rsidRDefault="00964A9F" w:rsidP="00CF7528">
            <w:pPr>
              <w:keepNext/>
              <w:ind w:left="-108"/>
              <w:jc w:val="center"/>
              <w:rPr>
                <w:rFonts w:ascii="Arial Narrow" w:hAnsi="Arial Narrow" w:cs="Arial"/>
                <w:b/>
                <w:sz w:val="20"/>
                <w:szCs w:val="20"/>
              </w:rPr>
            </w:pPr>
            <w:r w:rsidRPr="00F835F2">
              <w:rPr>
                <w:rFonts w:ascii="Arial Narrow" w:hAnsi="Arial Narrow" w:cs="Arial"/>
                <w:b/>
                <w:sz w:val="20"/>
                <w:szCs w:val="20"/>
              </w:rPr>
              <w:t>Rpts</w:t>
            </w:r>
          </w:p>
        </w:tc>
        <w:tc>
          <w:tcPr>
            <w:tcW w:w="1559" w:type="dxa"/>
          </w:tcPr>
          <w:p w14:paraId="3580BD62" w14:textId="77777777" w:rsidR="00964A9F" w:rsidRPr="00F835F2" w:rsidRDefault="00964A9F" w:rsidP="00CF7528">
            <w:pPr>
              <w:keepNext/>
              <w:rPr>
                <w:rFonts w:ascii="Arial Narrow" w:hAnsi="Arial Narrow" w:cs="Arial"/>
                <w:b/>
                <w:sz w:val="20"/>
                <w:szCs w:val="20"/>
                <w:lang w:val="fr-FR"/>
              </w:rPr>
            </w:pPr>
            <w:r w:rsidRPr="00F835F2">
              <w:rPr>
                <w:rFonts w:ascii="Arial Narrow" w:hAnsi="Arial Narrow" w:cs="Arial"/>
                <w:b/>
                <w:sz w:val="20"/>
                <w:szCs w:val="20"/>
              </w:rPr>
              <w:t>Available brands</w:t>
            </w:r>
          </w:p>
        </w:tc>
      </w:tr>
      <w:tr w:rsidR="00A64F1F" w:rsidRPr="00F835F2" w14:paraId="4D8BDB27" w14:textId="77777777" w:rsidTr="008D4687">
        <w:trPr>
          <w:cantSplit/>
          <w:trHeight w:val="283"/>
        </w:trPr>
        <w:tc>
          <w:tcPr>
            <w:tcW w:w="3964" w:type="dxa"/>
          </w:tcPr>
          <w:p w14:paraId="1893C770" w14:textId="77777777" w:rsidR="00A64F1F" w:rsidRPr="00F835F2" w:rsidRDefault="00A64F1F" w:rsidP="00A64F1F">
            <w:pPr>
              <w:keepNext/>
              <w:ind w:left="-108"/>
              <w:rPr>
                <w:rFonts w:ascii="Arial Narrow" w:hAnsi="Arial Narrow" w:cs="Arial"/>
                <w:b/>
                <w:bCs/>
                <w:sz w:val="20"/>
                <w:szCs w:val="20"/>
              </w:rPr>
            </w:pPr>
            <w:r w:rsidRPr="00F835F2">
              <w:rPr>
                <w:rFonts w:ascii="Arial Narrow" w:hAnsi="Arial Narrow" w:cs="Arial"/>
                <w:b/>
                <w:bCs/>
                <w:sz w:val="20"/>
                <w:szCs w:val="20"/>
              </w:rPr>
              <w:t xml:space="preserve">Initial treatment </w:t>
            </w:r>
          </w:p>
        </w:tc>
        <w:tc>
          <w:tcPr>
            <w:tcW w:w="993" w:type="dxa"/>
          </w:tcPr>
          <w:p w14:paraId="7856C0DE" w14:textId="77777777" w:rsidR="00A64F1F" w:rsidRPr="00F835F2" w:rsidRDefault="00A64F1F" w:rsidP="00CF7528">
            <w:pPr>
              <w:keepNext/>
              <w:ind w:left="-108"/>
              <w:jc w:val="center"/>
              <w:rPr>
                <w:rFonts w:ascii="Arial Narrow" w:hAnsi="Arial Narrow" w:cs="Arial"/>
                <w:sz w:val="20"/>
                <w:szCs w:val="20"/>
              </w:rPr>
            </w:pPr>
          </w:p>
        </w:tc>
        <w:tc>
          <w:tcPr>
            <w:tcW w:w="850" w:type="dxa"/>
          </w:tcPr>
          <w:p w14:paraId="3331F2CB" w14:textId="77777777" w:rsidR="00A64F1F" w:rsidRPr="00F835F2" w:rsidRDefault="00A64F1F" w:rsidP="00CF7528">
            <w:pPr>
              <w:keepNext/>
              <w:jc w:val="center"/>
              <w:rPr>
                <w:rFonts w:ascii="Arial Narrow" w:hAnsi="Arial Narrow" w:cs="Arial"/>
                <w:sz w:val="20"/>
                <w:szCs w:val="20"/>
              </w:rPr>
            </w:pPr>
          </w:p>
        </w:tc>
        <w:tc>
          <w:tcPr>
            <w:tcW w:w="851" w:type="dxa"/>
          </w:tcPr>
          <w:p w14:paraId="1E3C3030" w14:textId="77777777" w:rsidR="00A64F1F" w:rsidRPr="00F835F2" w:rsidRDefault="00A64F1F" w:rsidP="00CF7528">
            <w:pPr>
              <w:keepNext/>
              <w:ind w:left="-108"/>
              <w:jc w:val="center"/>
              <w:rPr>
                <w:rFonts w:ascii="Arial Narrow" w:hAnsi="Arial Narrow" w:cs="Arial"/>
                <w:sz w:val="20"/>
                <w:szCs w:val="20"/>
              </w:rPr>
            </w:pPr>
          </w:p>
        </w:tc>
        <w:tc>
          <w:tcPr>
            <w:tcW w:w="708" w:type="dxa"/>
          </w:tcPr>
          <w:p w14:paraId="06115E22" w14:textId="77777777" w:rsidR="00A64F1F" w:rsidRPr="00F835F2" w:rsidRDefault="00A64F1F" w:rsidP="009C249D">
            <w:pPr>
              <w:keepNext/>
              <w:rPr>
                <w:rFonts w:ascii="Arial Narrow" w:hAnsi="Arial Narrow" w:cs="Arial"/>
                <w:sz w:val="20"/>
                <w:szCs w:val="20"/>
              </w:rPr>
            </w:pPr>
          </w:p>
        </w:tc>
        <w:tc>
          <w:tcPr>
            <w:tcW w:w="1559" w:type="dxa"/>
            <w:vMerge w:val="restart"/>
          </w:tcPr>
          <w:p w14:paraId="6354F6C5" w14:textId="77777777" w:rsidR="00A64F1F" w:rsidRPr="00F835F2" w:rsidRDefault="00A64F1F" w:rsidP="00A64F1F">
            <w:pPr>
              <w:keepNext/>
              <w:jc w:val="center"/>
              <w:rPr>
                <w:rFonts w:ascii="Arial Narrow" w:hAnsi="Arial Narrow" w:cs="Arial"/>
                <w:sz w:val="20"/>
                <w:szCs w:val="20"/>
              </w:rPr>
            </w:pPr>
            <w:r w:rsidRPr="00F835F2">
              <w:rPr>
                <w:rFonts w:ascii="Arial Narrow" w:hAnsi="Arial Narrow" w:cs="Arial"/>
                <w:sz w:val="20"/>
                <w:szCs w:val="20"/>
              </w:rPr>
              <w:t>Skyrizi</w:t>
            </w:r>
          </w:p>
        </w:tc>
      </w:tr>
      <w:tr w:rsidR="00A64F1F" w:rsidRPr="00F835F2" w14:paraId="53F500A4" w14:textId="77777777" w:rsidTr="00A64F1F">
        <w:trPr>
          <w:cantSplit/>
          <w:trHeight w:val="547"/>
        </w:trPr>
        <w:tc>
          <w:tcPr>
            <w:tcW w:w="3964" w:type="dxa"/>
          </w:tcPr>
          <w:p w14:paraId="09633D1D" w14:textId="77777777" w:rsidR="00A64F1F" w:rsidRPr="00F835F2" w:rsidRDefault="00A64F1F" w:rsidP="00A64F1F">
            <w:pPr>
              <w:keepNext/>
              <w:ind w:left="-108"/>
              <w:rPr>
                <w:rFonts w:ascii="Arial Narrow" w:hAnsi="Arial Narrow" w:cs="Arial"/>
                <w:sz w:val="20"/>
                <w:szCs w:val="20"/>
              </w:rPr>
            </w:pPr>
            <w:r w:rsidRPr="00F835F2">
              <w:rPr>
                <w:rFonts w:ascii="Arial Narrow" w:hAnsi="Arial Narrow" w:cs="Arial"/>
                <w:sz w:val="20"/>
                <w:szCs w:val="20"/>
              </w:rPr>
              <w:t>RISANKIZUMAB</w:t>
            </w:r>
          </w:p>
          <w:p w14:paraId="3F2C4220" w14:textId="77777777" w:rsidR="00A64F1F" w:rsidRPr="00F835F2" w:rsidRDefault="00A64F1F" w:rsidP="00A64F1F">
            <w:pPr>
              <w:keepNext/>
              <w:ind w:left="-108"/>
              <w:rPr>
                <w:rFonts w:ascii="Arial Narrow" w:hAnsi="Arial Narrow" w:cs="Arial"/>
                <w:b/>
                <w:bCs/>
                <w:sz w:val="20"/>
                <w:szCs w:val="20"/>
              </w:rPr>
            </w:pPr>
            <w:r w:rsidRPr="00F835F2">
              <w:rPr>
                <w:rFonts w:ascii="Arial Narrow" w:hAnsi="Arial Narrow" w:cs="Arial Narrow"/>
                <w:sz w:val="20"/>
                <w:szCs w:val="20"/>
              </w:rPr>
              <w:t>150 mg/1 mL injection, 1 mL pen</w:t>
            </w:r>
            <w:r w:rsidR="0026393B" w:rsidRPr="00F835F2">
              <w:rPr>
                <w:rFonts w:ascii="Arial Narrow" w:hAnsi="Arial Narrow" w:cs="Arial Narrow"/>
                <w:sz w:val="20"/>
                <w:szCs w:val="20"/>
              </w:rPr>
              <w:t xml:space="preserve"> device</w:t>
            </w:r>
          </w:p>
        </w:tc>
        <w:tc>
          <w:tcPr>
            <w:tcW w:w="993" w:type="dxa"/>
          </w:tcPr>
          <w:p w14:paraId="1FF18F22" w14:textId="77777777" w:rsidR="00A64F1F" w:rsidRPr="00F835F2" w:rsidRDefault="00A64F1F" w:rsidP="00CF7528">
            <w:pPr>
              <w:keepNext/>
              <w:ind w:left="-108"/>
              <w:jc w:val="center"/>
              <w:rPr>
                <w:rFonts w:ascii="Arial Narrow" w:hAnsi="Arial Narrow" w:cs="Arial"/>
                <w:sz w:val="20"/>
                <w:szCs w:val="20"/>
              </w:rPr>
            </w:pPr>
            <w:r w:rsidRPr="00F835F2">
              <w:rPr>
                <w:rFonts w:ascii="Arial Narrow" w:hAnsi="Arial Narrow" w:cs="Arial"/>
                <w:sz w:val="20"/>
                <w:szCs w:val="20"/>
              </w:rPr>
              <w:t>NEW</w:t>
            </w:r>
          </w:p>
        </w:tc>
        <w:tc>
          <w:tcPr>
            <w:tcW w:w="850" w:type="dxa"/>
          </w:tcPr>
          <w:p w14:paraId="110CC619" w14:textId="77777777" w:rsidR="00A64F1F" w:rsidRPr="00F835F2" w:rsidRDefault="00A64F1F" w:rsidP="00CF7528">
            <w:pPr>
              <w:keepNext/>
              <w:jc w:val="center"/>
              <w:rPr>
                <w:rFonts w:ascii="Arial Narrow" w:hAnsi="Arial Narrow" w:cs="Arial"/>
                <w:sz w:val="20"/>
                <w:szCs w:val="20"/>
              </w:rPr>
            </w:pPr>
            <w:r w:rsidRPr="00F835F2">
              <w:rPr>
                <w:rFonts w:ascii="Arial Narrow" w:hAnsi="Arial Narrow" w:cs="Arial"/>
                <w:sz w:val="20"/>
                <w:szCs w:val="20"/>
              </w:rPr>
              <w:t>1</w:t>
            </w:r>
          </w:p>
        </w:tc>
        <w:tc>
          <w:tcPr>
            <w:tcW w:w="851" w:type="dxa"/>
          </w:tcPr>
          <w:p w14:paraId="32187025" w14:textId="77777777" w:rsidR="00A64F1F" w:rsidRPr="00F835F2" w:rsidRDefault="00A64F1F" w:rsidP="00CF7528">
            <w:pPr>
              <w:keepNext/>
              <w:ind w:left="-108"/>
              <w:jc w:val="center"/>
              <w:rPr>
                <w:rFonts w:ascii="Arial Narrow" w:hAnsi="Arial Narrow" w:cs="Arial"/>
                <w:sz w:val="20"/>
                <w:szCs w:val="20"/>
              </w:rPr>
            </w:pPr>
            <w:r w:rsidRPr="00F835F2">
              <w:rPr>
                <w:rFonts w:ascii="Arial Narrow" w:hAnsi="Arial Narrow" w:cs="Arial"/>
                <w:sz w:val="20"/>
                <w:szCs w:val="20"/>
              </w:rPr>
              <w:t>1</w:t>
            </w:r>
          </w:p>
        </w:tc>
        <w:tc>
          <w:tcPr>
            <w:tcW w:w="708" w:type="dxa"/>
          </w:tcPr>
          <w:p w14:paraId="6E9304B8" w14:textId="77777777" w:rsidR="00A64F1F" w:rsidRPr="00F835F2" w:rsidRDefault="00A64F1F" w:rsidP="00A64F1F">
            <w:pPr>
              <w:keepNext/>
              <w:jc w:val="center"/>
              <w:rPr>
                <w:rFonts w:ascii="Arial Narrow" w:hAnsi="Arial Narrow" w:cs="Arial"/>
                <w:sz w:val="20"/>
                <w:szCs w:val="20"/>
              </w:rPr>
            </w:pPr>
            <w:r w:rsidRPr="00F835F2">
              <w:rPr>
                <w:rFonts w:ascii="Arial Narrow" w:hAnsi="Arial Narrow" w:cs="Arial"/>
                <w:sz w:val="20"/>
                <w:szCs w:val="20"/>
              </w:rPr>
              <w:t>2</w:t>
            </w:r>
          </w:p>
        </w:tc>
        <w:tc>
          <w:tcPr>
            <w:tcW w:w="1559" w:type="dxa"/>
            <w:vMerge/>
          </w:tcPr>
          <w:p w14:paraId="1928F969" w14:textId="77777777" w:rsidR="00A64F1F" w:rsidRPr="00F835F2" w:rsidRDefault="00A64F1F" w:rsidP="00A64F1F">
            <w:pPr>
              <w:keepNext/>
              <w:jc w:val="center"/>
              <w:rPr>
                <w:rFonts w:ascii="Arial Narrow" w:hAnsi="Arial Narrow" w:cs="Arial"/>
                <w:sz w:val="20"/>
                <w:szCs w:val="20"/>
              </w:rPr>
            </w:pPr>
          </w:p>
        </w:tc>
      </w:tr>
      <w:tr w:rsidR="00A64F1F" w:rsidRPr="00F835F2" w14:paraId="1790BE00" w14:textId="77777777" w:rsidTr="00A64F1F">
        <w:trPr>
          <w:cantSplit/>
          <w:trHeight w:val="554"/>
        </w:trPr>
        <w:tc>
          <w:tcPr>
            <w:tcW w:w="3964" w:type="dxa"/>
          </w:tcPr>
          <w:p w14:paraId="79268910" w14:textId="77777777" w:rsidR="00A64F1F" w:rsidRPr="00F835F2" w:rsidRDefault="00A64F1F" w:rsidP="00A64F1F">
            <w:pPr>
              <w:keepNext/>
              <w:ind w:left="-108"/>
              <w:rPr>
                <w:rFonts w:ascii="Arial Narrow" w:hAnsi="Arial Narrow" w:cs="Arial"/>
                <w:sz w:val="20"/>
                <w:szCs w:val="20"/>
              </w:rPr>
            </w:pPr>
            <w:r w:rsidRPr="00F835F2">
              <w:rPr>
                <w:rFonts w:ascii="Arial Narrow" w:hAnsi="Arial Narrow" w:cs="Arial"/>
                <w:sz w:val="20"/>
                <w:szCs w:val="20"/>
              </w:rPr>
              <w:t>RISANKIZUMAB</w:t>
            </w:r>
          </w:p>
          <w:p w14:paraId="566523D2" w14:textId="77777777" w:rsidR="00A64F1F" w:rsidRPr="00F835F2" w:rsidRDefault="00A64F1F" w:rsidP="00A64F1F">
            <w:pPr>
              <w:keepNext/>
              <w:ind w:left="-108"/>
              <w:rPr>
                <w:rFonts w:ascii="Arial Narrow" w:hAnsi="Arial Narrow" w:cs="Arial"/>
                <w:sz w:val="20"/>
                <w:szCs w:val="20"/>
              </w:rPr>
            </w:pPr>
            <w:r w:rsidRPr="00F835F2">
              <w:rPr>
                <w:rFonts w:ascii="Arial Narrow" w:hAnsi="Arial Narrow" w:cs="Arial"/>
                <w:sz w:val="20"/>
                <w:szCs w:val="20"/>
              </w:rPr>
              <w:t xml:space="preserve">150 mg/1 mL injection, 1 mL syringe </w:t>
            </w:r>
          </w:p>
        </w:tc>
        <w:tc>
          <w:tcPr>
            <w:tcW w:w="993" w:type="dxa"/>
          </w:tcPr>
          <w:p w14:paraId="011C169F" w14:textId="77777777" w:rsidR="00A64F1F" w:rsidRPr="00F835F2" w:rsidRDefault="00A64F1F" w:rsidP="00CF7528">
            <w:pPr>
              <w:keepNext/>
              <w:ind w:left="-108"/>
              <w:jc w:val="center"/>
              <w:rPr>
                <w:rFonts w:ascii="Arial Narrow" w:hAnsi="Arial Narrow" w:cs="Arial"/>
                <w:sz w:val="20"/>
                <w:szCs w:val="20"/>
              </w:rPr>
            </w:pPr>
            <w:r w:rsidRPr="00F835F2">
              <w:rPr>
                <w:rFonts w:ascii="Arial Narrow" w:hAnsi="Arial Narrow" w:cs="Arial"/>
                <w:sz w:val="20"/>
                <w:szCs w:val="20"/>
              </w:rPr>
              <w:t>NEW</w:t>
            </w:r>
          </w:p>
        </w:tc>
        <w:tc>
          <w:tcPr>
            <w:tcW w:w="850" w:type="dxa"/>
          </w:tcPr>
          <w:p w14:paraId="2D9C7162" w14:textId="77777777" w:rsidR="00A64F1F" w:rsidRPr="00F835F2" w:rsidRDefault="00A64F1F" w:rsidP="00CF7528">
            <w:pPr>
              <w:keepNext/>
              <w:jc w:val="center"/>
              <w:rPr>
                <w:rFonts w:ascii="Arial Narrow" w:hAnsi="Arial Narrow" w:cs="Arial"/>
                <w:sz w:val="20"/>
                <w:szCs w:val="20"/>
              </w:rPr>
            </w:pPr>
            <w:r w:rsidRPr="00F835F2">
              <w:rPr>
                <w:rFonts w:ascii="Arial Narrow" w:hAnsi="Arial Narrow" w:cs="Arial"/>
                <w:sz w:val="20"/>
                <w:szCs w:val="20"/>
              </w:rPr>
              <w:t>1</w:t>
            </w:r>
          </w:p>
        </w:tc>
        <w:tc>
          <w:tcPr>
            <w:tcW w:w="851" w:type="dxa"/>
          </w:tcPr>
          <w:p w14:paraId="65B6891A" w14:textId="77777777" w:rsidR="00A64F1F" w:rsidRPr="00F835F2" w:rsidRDefault="00A64F1F" w:rsidP="00CF7528">
            <w:pPr>
              <w:keepNext/>
              <w:ind w:left="-108"/>
              <w:jc w:val="center"/>
              <w:rPr>
                <w:rFonts w:ascii="Arial Narrow" w:hAnsi="Arial Narrow" w:cs="Arial"/>
                <w:sz w:val="20"/>
                <w:szCs w:val="20"/>
              </w:rPr>
            </w:pPr>
            <w:r w:rsidRPr="00F835F2">
              <w:rPr>
                <w:rFonts w:ascii="Arial Narrow" w:hAnsi="Arial Narrow" w:cs="Arial"/>
                <w:sz w:val="20"/>
                <w:szCs w:val="20"/>
              </w:rPr>
              <w:t>1</w:t>
            </w:r>
          </w:p>
        </w:tc>
        <w:tc>
          <w:tcPr>
            <w:tcW w:w="708" w:type="dxa"/>
          </w:tcPr>
          <w:p w14:paraId="26B6A13F" w14:textId="77777777" w:rsidR="00A64F1F" w:rsidRPr="00F835F2" w:rsidRDefault="00A64F1F" w:rsidP="00A64F1F">
            <w:pPr>
              <w:keepNext/>
              <w:jc w:val="center"/>
              <w:rPr>
                <w:rFonts w:ascii="Arial Narrow" w:hAnsi="Arial Narrow" w:cs="Arial"/>
                <w:sz w:val="20"/>
                <w:szCs w:val="20"/>
              </w:rPr>
            </w:pPr>
            <w:r w:rsidRPr="00F835F2">
              <w:rPr>
                <w:rFonts w:ascii="Arial Narrow" w:hAnsi="Arial Narrow" w:cs="Arial"/>
                <w:sz w:val="20"/>
                <w:szCs w:val="20"/>
              </w:rPr>
              <w:t>2</w:t>
            </w:r>
          </w:p>
        </w:tc>
        <w:tc>
          <w:tcPr>
            <w:tcW w:w="1559" w:type="dxa"/>
            <w:vMerge/>
          </w:tcPr>
          <w:p w14:paraId="4754B42B" w14:textId="77777777" w:rsidR="00A64F1F" w:rsidRPr="00F835F2" w:rsidRDefault="00A64F1F" w:rsidP="00CF7528">
            <w:pPr>
              <w:keepNext/>
              <w:rPr>
                <w:rFonts w:ascii="Arial Narrow" w:hAnsi="Arial Narrow" w:cs="Arial"/>
                <w:sz w:val="20"/>
                <w:szCs w:val="20"/>
              </w:rPr>
            </w:pPr>
          </w:p>
        </w:tc>
      </w:tr>
      <w:tr w:rsidR="00A64F1F" w:rsidRPr="00F835F2" w14:paraId="66B41176" w14:textId="77777777" w:rsidTr="00A64F1F">
        <w:trPr>
          <w:cantSplit/>
          <w:trHeight w:val="279"/>
        </w:trPr>
        <w:tc>
          <w:tcPr>
            <w:tcW w:w="3964" w:type="dxa"/>
          </w:tcPr>
          <w:p w14:paraId="26D5BA74" w14:textId="77777777" w:rsidR="00A64F1F" w:rsidRPr="00F835F2" w:rsidRDefault="00A64F1F" w:rsidP="00A64F1F">
            <w:pPr>
              <w:keepNext/>
              <w:ind w:left="-108"/>
              <w:rPr>
                <w:rFonts w:ascii="Arial Narrow" w:hAnsi="Arial Narrow" w:cs="Arial"/>
                <w:b/>
                <w:bCs/>
                <w:sz w:val="20"/>
                <w:szCs w:val="20"/>
              </w:rPr>
            </w:pPr>
            <w:r w:rsidRPr="00F835F2">
              <w:rPr>
                <w:rFonts w:ascii="Arial Narrow" w:hAnsi="Arial Narrow" w:cs="Arial"/>
                <w:b/>
                <w:bCs/>
                <w:sz w:val="20"/>
                <w:szCs w:val="20"/>
              </w:rPr>
              <w:t xml:space="preserve">Continuing treatment </w:t>
            </w:r>
          </w:p>
        </w:tc>
        <w:tc>
          <w:tcPr>
            <w:tcW w:w="993" w:type="dxa"/>
          </w:tcPr>
          <w:p w14:paraId="705EAD4F" w14:textId="77777777" w:rsidR="00A64F1F" w:rsidRPr="00F835F2" w:rsidRDefault="00A64F1F" w:rsidP="00CF7528">
            <w:pPr>
              <w:keepNext/>
              <w:ind w:left="-108"/>
              <w:jc w:val="center"/>
              <w:rPr>
                <w:rFonts w:ascii="Arial Narrow" w:hAnsi="Arial Narrow" w:cs="Arial"/>
                <w:sz w:val="20"/>
                <w:szCs w:val="20"/>
              </w:rPr>
            </w:pPr>
          </w:p>
        </w:tc>
        <w:tc>
          <w:tcPr>
            <w:tcW w:w="850" w:type="dxa"/>
          </w:tcPr>
          <w:p w14:paraId="7B2BA03D" w14:textId="77777777" w:rsidR="00A64F1F" w:rsidRPr="00F835F2" w:rsidRDefault="00A64F1F" w:rsidP="00CF7528">
            <w:pPr>
              <w:keepNext/>
              <w:jc w:val="center"/>
              <w:rPr>
                <w:rFonts w:ascii="Arial Narrow" w:hAnsi="Arial Narrow" w:cs="Arial"/>
                <w:sz w:val="20"/>
                <w:szCs w:val="20"/>
              </w:rPr>
            </w:pPr>
          </w:p>
        </w:tc>
        <w:tc>
          <w:tcPr>
            <w:tcW w:w="851" w:type="dxa"/>
          </w:tcPr>
          <w:p w14:paraId="53AF3DC5" w14:textId="77777777" w:rsidR="00A64F1F" w:rsidRPr="00F835F2" w:rsidRDefault="00A64F1F" w:rsidP="00CF7528">
            <w:pPr>
              <w:keepNext/>
              <w:ind w:left="-108"/>
              <w:jc w:val="center"/>
              <w:rPr>
                <w:rFonts w:ascii="Arial Narrow" w:hAnsi="Arial Narrow" w:cs="Arial"/>
                <w:sz w:val="20"/>
                <w:szCs w:val="20"/>
              </w:rPr>
            </w:pPr>
          </w:p>
        </w:tc>
        <w:tc>
          <w:tcPr>
            <w:tcW w:w="708" w:type="dxa"/>
          </w:tcPr>
          <w:p w14:paraId="04E180EB" w14:textId="77777777" w:rsidR="00A64F1F" w:rsidRPr="00F835F2" w:rsidRDefault="00A64F1F" w:rsidP="00A64F1F">
            <w:pPr>
              <w:keepNext/>
              <w:jc w:val="center"/>
              <w:rPr>
                <w:rFonts w:ascii="Arial Narrow" w:hAnsi="Arial Narrow" w:cs="Arial"/>
                <w:sz w:val="20"/>
                <w:szCs w:val="20"/>
              </w:rPr>
            </w:pPr>
          </w:p>
        </w:tc>
        <w:tc>
          <w:tcPr>
            <w:tcW w:w="1559" w:type="dxa"/>
            <w:vMerge/>
          </w:tcPr>
          <w:p w14:paraId="5A1B5C62" w14:textId="77777777" w:rsidR="00A64F1F" w:rsidRPr="00F835F2" w:rsidRDefault="00A64F1F" w:rsidP="00CF7528">
            <w:pPr>
              <w:keepNext/>
              <w:rPr>
                <w:rFonts w:ascii="Arial Narrow" w:hAnsi="Arial Narrow" w:cs="Arial"/>
                <w:sz w:val="20"/>
                <w:szCs w:val="20"/>
              </w:rPr>
            </w:pPr>
          </w:p>
        </w:tc>
      </w:tr>
      <w:tr w:rsidR="00A64F1F" w:rsidRPr="00F835F2" w14:paraId="775030E0" w14:textId="77777777" w:rsidTr="00684A91">
        <w:trPr>
          <w:cantSplit/>
          <w:trHeight w:val="550"/>
        </w:trPr>
        <w:tc>
          <w:tcPr>
            <w:tcW w:w="3964" w:type="dxa"/>
          </w:tcPr>
          <w:p w14:paraId="250ED15B" w14:textId="77777777" w:rsidR="00A64F1F" w:rsidRPr="00F835F2" w:rsidRDefault="00A64F1F" w:rsidP="00A64F1F">
            <w:pPr>
              <w:keepNext/>
              <w:ind w:left="-108"/>
              <w:rPr>
                <w:rFonts w:ascii="Arial Narrow" w:hAnsi="Arial Narrow" w:cs="Arial"/>
                <w:sz w:val="20"/>
                <w:szCs w:val="20"/>
              </w:rPr>
            </w:pPr>
            <w:r w:rsidRPr="00F835F2">
              <w:rPr>
                <w:rFonts w:ascii="Arial Narrow" w:hAnsi="Arial Narrow" w:cs="Arial"/>
                <w:sz w:val="20"/>
                <w:szCs w:val="20"/>
              </w:rPr>
              <w:t>RISANKIZUMAB</w:t>
            </w:r>
          </w:p>
          <w:p w14:paraId="448262B4" w14:textId="77777777" w:rsidR="00A64F1F" w:rsidRPr="00F835F2" w:rsidRDefault="00A64F1F" w:rsidP="00A64F1F">
            <w:pPr>
              <w:keepNext/>
              <w:ind w:left="-108"/>
              <w:rPr>
                <w:rFonts w:ascii="Arial Narrow" w:hAnsi="Arial Narrow" w:cs="Arial"/>
                <w:sz w:val="20"/>
                <w:szCs w:val="20"/>
              </w:rPr>
            </w:pPr>
            <w:r w:rsidRPr="00F835F2">
              <w:rPr>
                <w:rFonts w:ascii="Arial Narrow" w:hAnsi="Arial Narrow" w:cs="Arial Narrow"/>
                <w:sz w:val="20"/>
                <w:szCs w:val="20"/>
              </w:rPr>
              <w:t>150 mg/1 mL injection, 1 mL pen</w:t>
            </w:r>
            <w:r w:rsidR="0026393B" w:rsidRPr="00F835F2">
              <w:rPr>
                <w:rFonts w:ascii="Arial Narrow" w:hAnsi="Arial Narrow" w:cs="Arial Narrow"/>
                <w:sz w:val="20"/>
                <w:szCs w:val="20"/>
              </w:rPr>
              <w:t xml:space="preserve"> device</w:t>
            </w:r>
          </w:p>
        </w:tc>
        <w:tc>
          <w:tcPr>
            <w:tcW w:w="993" w:type="dxa"/>
          </w:tcPr>
          <w:p w14:paraId="59117AA4" w14:textId="77777777" w:rsidR="00A64F1F" w:rsidRPr="00F835F2" w:rsidRDefault="00A64F1F" w:rsidP="00A64F1F">
            <w:pPr>
              <w:keepNext/>
              <w:ind w:left="-108"/>
              <w:jc w:val="center"/>
              <w:rPr>
                <w:rFonts w:ascii="Arial Narrow" w:hAnsi="Arial Narrow" w:cs="Arial"/>
                <w:sz w:val="20"/>
                <w:szCs w:val="20"/>
              </w:rPr>
            </w:pPr>
            <w:r w:rsidRPr="00F835F2">
              <w:rPr>
                <w:rFonts w:ascii="Arial Narrow" w:hAnsi="Arial Narrow" w:cs="Arial"/>
                <w:sz w:val="20"/>
                <w:szCs w:val="20"/>
              </w:rPr>
              <w:t>NEW</w:t>
            </w:r>
          </w:p>
        </w:tc>
        <w:tc>
          <w:tcPr>
            <w:tcW w:w="850" w:type="dxa"/>
          </w:tcPr>
          <w:p w14:paraId="0E9ACAF6" w14:textId="77777777" w:rsidR="00A64F1F" w:rsidRPr="00F835F2" w:rsidRDefault="00A64F1F" w:rsidP="00A64F1F">
            <w:pPr>
              <w:keepNext/>
              <w:jc w:val="center"/>
              <w:rPr>
                <w:rFonts w:ascii="Arial Narrow" w:hAnsi="Arial Narrow" w:cs="Arial"/>
                <w:sz w:val="20"/>
                <w:szCs w:val="20"/>
              </w:rPr>
            </w:pPr>
            <w:r w:rsidRPr="00F835F2">
              <w:rPr>
                <w:rFonts w:ascii="Arial Narrow" w:hAnsi="Arial Narrow" w:cs="Arial"/>
                <w:sz w:val="20"/>
                <w:szCs w:val="20"/>
              </w:rPr>
              <w:t>1</w:t>
            </w:r>
          </w:p>
        </w:tc>
        <w:tc>
          <w:tcPr>
            <w:tcW w:w="851" w:type="dxa"/>
          </w:tcPr>
          <w:p w14:paraId="6368E9A0" w14:textId="77777777" w:rsidR="00A64F1F" w:rsidRPr="00F835F2" w:rsidRDefault="00A64F1F" w:rsidP="00A64F1F">
            <w:pPr>
              <w:keepNext/>
              <w:ind w:left="-108"/>
              <w:jc w:val="center"/>
              <w:rPr>
                <w:rFonts w:ascii="Arial Narrow" w:hAnsi="Arial Narrow" w:cs="Arial"/>
                <w:sz w:val="20"/>
                <w:szCs w:val="20"/>
              </w:rPr>
            </w:pPr>
            <w:r w:rsidRPr="00F835F2">
              <w:rPr>
                <w:rFonts w:ascii="Arial Narrow" w:hAnsi="Arial Narrow" w:cs="Arial"/>
                <w:sz w:val="20"/>
                <w:szCs w:val="20"/>
              </w:rPr>
              <w:t>1</w:t>
            </w:r>
          </w:p>
        </w:tc>
        <w:tc>
          <w:tcPr>
            <w:tcW w:w="708" w:type="dxa"/>
          </w:tcPr>
          <w:p w14:paraId="4AD78A0C" w14:textId="77777777" w:rsidR="00A64F1F" w:rsidRPr="00F835F2" w:rsidRDefault="00A64F1F" w:rsidP="00A64F1F">
            <w:pPr>
              <w:keepNext/>
              <w:jc w:val="center"/>
              <w:rPr>
                <w:rFonts w:ascii="Arial Narrow" w:hAnsi="Arial Narrow" w:cs="Arial"/>
                <w:sz w:val="20"/>
                <w:szCs w:val="20"/>
              </w:rPr>
            </w:pPr>
            <w:r w:rsidRPr="00F835F2">
              <w:rPr>
                <w:rFonts w:ascii="Arial Narrow" w:hAnsi="Arial Narrow" w:cs="Arial"/>
                <w:sz w:val="20"/>
                <w:szCs w:val="20"/>
              </w:rPr>
              <w:t>1</w:t>
            </w:r>
          </w:p>
        </w:tc>
        <w:tc>
          <w:tcPr>
            <w:tcW w:w="1559" w:type="dxa"/>
            <w:vMerge/>
          </w:tcPr>
          <w:p w14:paraId="49D7CFEA" w14:textId="77777777" w:rsidR="00A64F1F" w:rsidRPr="00F835F2" w:rsidRDefault="00A64F1F" w:rsidP="00A64F1F">
            <w:pPr>
              <w:keepNext/>
              <w:rPr>
                <w:rFonts w:ascii="Arial Narrow" w:hAnsi="Arial Narrow" w:cs="Arial"/>
                <w:sz w:val="20"/>
                <w:szCs w:val="20"/>
              </w:rPr>
            </w:pPr>
          </w:p>
        </w:tc>
      </w:tr>
      <w:tr w:rsidR="00A64F1F" w:rsidRPr="00F835F2" w14:paraId="6439A2B2" w14:textId="77777777" w:rsidTr="00684A91">
        <w:trPr>
          <w:cantSplit/>
          <w:trHeight w:val="559"/>
        </w:trPr>
        <w:tc>
          <w:tcPr>
            <w:tcW w:w="3964" w:type="dxa"/>
          </w:tcPr>
          <w:p w14:paraId="5A6FFEA7" w14:textId="77777777" w:rsidR="00A64F1F" w:rsidRPr="00F835F2" w:rsidRDefault="00A64F1F" w:rsidP="00A64F1F">
            <w:pPr>
              <w:keepNext/>
              <w:ind w:left="-108"/>
              <w:rPr>
                <w:rFonts w:ascii="Arial Narrow" w:hAnsi="Arial Narrow" w:cs="Arial"/>
                <w:sz w:val="20"/>
                <w:szCs w:val="20"/>
              </w:rPr>
            </w:pPr>
            <w:r w:rsidRPr="00F835F2">
              <w:rPr>
                <w:rFonts w:ascii="Arial Narrow" w:hAnsi="Arial Narrow" w:cs="Arial"/>
                <w:sz w:val="20"/>
                <w:szCs w:val="20"/>
              </w:rPr>
              <w:t>RISANKIZUMAB</w:t>
            </w:r>
          </w:p>
          <w:p w14:paraId="1589417C" w14:textId="77777777" w:rsidR="00A64F1F" w:rsidRPr="00F835F2" w:rsidRDefault="00A64F1F" w:rsidP="00A64F1F">
            <w:pPr>
              <w:keepNext/>
              <w:ind w:left="-108"/>
              <w:rPr>
                <w:rFonts w:ascii="Arial Narrow" w:hAnsi="Arial Narrow" w:cs="Arial"/>
                <w:sz w:val="20"/>
                <w:szCs w:val="20"/>
              </w:rPr>
            </w:pPr>
            <w:r w:rsidRPr="00F835F2">
              <w:rPr>
                <w:rFonts w:ascii="Arial Narrow" w:hAnsi="Arial Narrow" w:cs="Arial"/>
                <w:sz w:val="20"/>
                <w:szCs w:val="20"/>
              </w:rPr>
              <w:t xml:space="preserve">150 mg/1 mL injection, 1 mL syringe </w:t>
            </w:r>
          </w:p>
        </w:tc>
        <w:tc>
          <w:tcPr>
            <w:tcW w:w="993" w:type="dxa"/>
          </w:tcPr>
          <w:p w14:paraId="4DA1EC57" w14:textId="77777777" w:rsidR="00A64F1F" w:rsidRPr="00F835F2" w:rsidRDefault="00A64F1F" w:rsidP="00A64F1F">
            <w:pPr>
              <w:keepNext/>
              <w:ind w:left="-108"/>
              <w:jc w:val="center"/>
              <w:rPr>
                <w:rFonts w:ascii="Arial Narrow" w:hAnsi="Arial Narrow" w:cs="Arial"/>
                <w:sz w:val="20"/>
                <w:szCs w:val="20"/>
              </w:rPr>
            </w:pPr>
            <w:r w:rsidRPr="00F835F2">
              <w:rPr>
                <w:rFonts w:ascii="Arial Narrow" w:hAnsi="Arial Narrow" w:cs="Arial"/>
                <w:sz w:val="20"/>
                <w:szCs w:val="20"/>
              </w:rPr>
              <w:t>NEW</w:t>
            </w:r>
          </w:p>
        </w:tc>
        <w:tc>
          <w:tcPr>
            <w:tcW w:w="850" w:type="dxa"/>
          </w:tcPr>
          <w:p w14:paraId="57F4AB95" w14:textId="77777777" w:rsidR="00A64F1F" w:rsidRPr="00F835F2" w:rsidRDefault="00A64F1F" w:rsidP="00A64F1F">
            <w:pPr>
              <w:keepNext/>
              <w:jc w:val="center"/>
              <w:rPr>
                <w:rFonts w:ascii="Arial Narrow" w:hAnsi="Arial Narrow" w:cs="Arial"/>
                <w:sz w:val="20"/>
                <w:szCs w:val="20"/>
              </w:rPr>
            </w:pPr>
            <w:r w:rsidRPr="00F835F2">
              <w:rPr>
                <w:rFonts w:ascii="Arial Narrow" w:hAnsi="Arial Narrow" w:cs="Arial"/>
                <w:sz w:val="20"/>
                <w:szCs w:val="20"/>
              </w:rPr>
              <w:t>1</w:t>
            </w:r>
          </w:p>
        </w:tc>
        <w:tc>
          <w:tcPr>
            <w:tcW w:w="851" w:type="dxa"/>
          </w:tcPr>
          <w:p w14:paraId="60675522" w14:textId="77777777" w:rsidR="00A64F1F" w:rsidRPr="00F835F2" w:rsidRDefault="00A64F1F" w:rsidP="00A64F1F">
            <w:pPr>
              <w:keepNext/>
              <w:ind w:left="-108"/>
              <w:jc w:val="center"/>
              <w:rPr>
                <w:rFonts w:ascii="Arial Narrow" w:hAnsi="Arial Narrow" w:cs="Arial"/>
                <w:sz w:val="20"/>
                <w:szCs w:val="20"/>
              </w:rPr>
            </w:pPr>
            <w:r w:rsidRPr="00F835F2">
              <w:rPr>
                <w:rFonts w:ascii="Arial Narrow" w:hAnsi="Arial Narrow" w:cs="Arial"/>
                <w:sz w:val="20"/>
                <w:szCs w:val="20"/>
              </w:rPr>
              <w:t>1</w:t>
            </w:r>
          </w:p>
        </w:tc>
        <w:tc>
          <w:tcPr>
            <w:tcW w:w="708" w:type="dxa"/>
          </w:tcPr>
          <w:p w14:paraId="7739E9AB" w14:textId="77777777" w:rsidR="00A64F1F" w:rsidRPr="00F835F2" w:rsidRDefault="00A64F1F" w:rsidP="00A64F1F">
            <w:pPr>
              <w:keepNext/>
              <w:jc w:val="center"/>
              <w:rPr>
                <w:rFonts w:ascii="Arial Narrow" w:hAnsi="Arial Narrow" w:cs="Arial"/>
                <w:sz w:val="20"/>
                <w:szCs w:val="20"/>
              </w:rPr>
            </w:pPr>
            <w:r w:rsidRPr="00F835F2">
              <w:rPr>
                <w:rFonts w:ascii="Arial Narrow" w:hAnsi="Arial Narrow" w:cs="Arial"/>
                <w:sz w:val="20"/>
                <w:szCs w:val="20"/>
              </w:rPr>
              <w:t>1</w:t>
            </w:r>
          </w:p>
        </w:tc>
        <w:tc>
          <w:tcPr>
            <w:tcW w:w="1559" w:type="dxa"/>
            <w:vMerge/>
          </w:tcPr>
          <w:p w14:paraId="03C629AE" w14:textId="77777777" w:rsidR="00A64F1F" w:rsidRPr="00F835F2" w:rsidRDefault="00A64F1F" w:rsidP="00A64F1F">
            <w:pPr>
              <w:keepNext/>
              <w:rPr>
                <w:rFonts w:ascii="Arial Narrow" w:hAnsi="Arial Narrow" w:cs="Arial"/>
                <w:sz w:val="20"/>
                <w:szCs w:val="20"/>
              </w:rPr>
            </w:pPr>
          </w:p>
        </w:tc>
      </w:tr>
    </w:tbl>
    <w:p w14:paraId="12236022" w14:textId="77777777" w:rsidR="00162E67" w:rsidRPr="00F835F2" w:rsidRDefault="00162E67" w:rsidP="00C77202">
      <w:pPr>
        <w:pStyle w:val="3Bodytext"/>
        <w:numPr>
          <w:ilvl w:val="0"/>
          <w:numId w:val="0"/>
        </w:numPr>
        <w:jc w:val="both"/>
        <w:rPr>
          <w:rFonts w:cstheme="minorHAnsi"/>
          <w:bCs/>
        </w:rPr>
      </w:pPr>
    </w:p>
    <w:p w14:paraId="722BA72E" w14:textId="77777777" w:rsidR="00162E67" w:rsidRPr="00F835F2" w:rsidRDefault="00792E02" w:rsidP="00676516">
      <w:pPr>
        <w:pStyle w:val="3Bodytext"/>
        <w:ind w:left="720"/>
        <w:jc w:val="both"/>
        <w:rPr>
          <w:rFonts w:cstheme="minorHAnsi"/>
          <w:bCs/>
        </w:rPr>
      </w:pPr>
      <w:r w:rsidRPr="00F835F2">
        <w:rPr>
          <w:rFonts w:cstheme="minorHAnsi"/>
          <w:bCs/>
        </w:rPr>
        <w:t xml:space="preserve">The submission noted that at the July 2020 PBAC meeting, a PFP of guselkumab was recommended, including an update to the administrative advice to clarify that patients are not </w:t>
      </w:r>
      <w:r w:rsidR="00B00712" w:rsidRPr="00F835F2">
        <w:rPr>
          <w:rFonts w:cstheme="minorHAnsi"/>
          <w:bCs/>
        </w:rPr>
        <w:t xml:space="preserve">to </w:t>
      </w:r>
      <w:r w:rsidRPr="00F835F2">
        <w:rPr>
          <w:rFonts w:cstheme="minorHAnsi"/>
          <w:bCs/>
        </w:rPr>
        <w:t>be approved for concurrent use of guselkumab PF</w:t>
      </w:r>
      <w:r w:rsidR="00B00712" w:rsidRPr="00F835F2">
        <w:rPr>
          <w:rFonts w:cstheme="minorHAnsi"/>
          <w:bCs/>
        </w:rPr>
        <w:t>P</w:t>
      </w:r>
      <w:r w:rsidRPr="00F835F2">
        <w:rPr>
          <w:rFonts w:cstheme="minorHAnsi"/>
          <w:bCs/>
        </w:rPr>
        <w:t xml:space="preserve"> and PF</w:t>
      </w:r>
      <w:r w:rsidR="00B00712" w:rsidRPr="00F835F2">
        <w:rPr>
          <w:rFonts w:cstheme="minorHAnsi"/>
          <w:bCs/>
        </w:rPr>
        <w:t>S</w:t>
      </w:r>
      <w:r w:rsidR="00793484" w:rsidRPr="00F835F2">
        <w:rPr>
          <w:rFonts w:cstheme="minorHAnsi"/>
          <w:bCs/>
        </w:rPr>
        <w:t>.</w:t>
      </w:r>
      <w:r w:rsidR="00793484">
        <w:rPr>
          <w:rFonts w:cstheme="minorHAnsi"/>
          <w:bCs/>
        </w:rPr>
        <w:t xml:space="preserve"> The submission considered that the same approach could apply to the administrative advice for risankizumab.</w:t>
      </w:r>
    </w:p>
    <w:p w14:paraId="0FB97DB5" w14:textId="77777777" w:rsidR="00C77202" w:rsidRPr="00981301" w:rsidRDefault="00EB7CAB" w:rsidP="00981301">
      <w:pPr>
        <w:pStyle w:val="3Bodytext"/>
        <w:ind w:left="720"/>
        <w:jc w:val="both"/>
        <w:rPr>
          <w:i/>
        </w:rPr>
      </w:pPr>
      <w:r>
        <w:rPr>
          <w:rFonts w:cstheme="minorHAnsi"/>
          <w:bCs/>
        </w:rPr>
        <w:t>The pre-PBAC response</w:t>
      </w:r>
      <w:r w:rsidR="00981301">
        <w:rPr>
          <w:rFonts w:cstheme="minorHAnsi"/>
          <w:bCs/>
        </w:rPr>
        <w:t xml:space="preserve"> consider</w:t>
      </w:r>
      <w:r w:rsidR="00DE2315">
        <w:rPr>
          <w:rFonts w:cstheme="minorHAnsi"/>
          <w:bCs/>
        </w:rPr>
        <w:t>ed</w:t>
      </w:r>
      <w:r w:rsidR="00981301">
        <w:rPr>
          <w:rFonts w:cstheme="minorHAnsi"/>
          <w:bCs/>
        </w:rPr>
        <w:t xml:space="preserve"> the 150 mg PFP and 150 mg PFS should</w:t>
      </w:r>
      <w:r w:rsidR="00DE2315">
        <w:rPr>
          <w:rFonts w:cstheme="minorHAnsi"/>
          <w:bCs/>
        </w:rPr>
        <w:t xml:space="preserve"> not</w:t>
      </w:r>
      <w:r w:rsidR="00981301">
        <w:rPr>
          <w:rFonts w:cstheme="minorHAnsi"/>
          <w:bCs/>
        </w:rPr>
        <w:t xml:space="preserve"> be considered equivalent for the purposes of </w:t>
      </w:r>
      <w:r w:rsidR="00981301" w:rsidRPr="00F835F2">
        <w:rPr>
          <w:rFonts w:cstheme="minorHAnsi"/>
          <w:bCs/>
        </w:rPr>
        <w:t>substitution (i.e. ‘a’ flagged in the Schedule</w:t>
      </w:r>
      <w:r w:rsidR="00981301">
        <w:rPr>
          <w:rFonts w:cstheme="minorHAnsi"/>
          <w:bCs/>
        </w:rPr>
        <w:t xml:space="preserve">). </w:t>
      </w:r>
      <w:r w:rsidR="00981301">
        <w:t>T</w:t>
      </w:r>
      <w:r w:rsidR="001C1981" w:rsidRPr="00981301">
        <w:t xml:space="preserve">he different injection techniques </w:t>
      </w:r>
      <w:r w:rsidR="00DE2315">
        <w:t>present</w:t>
      </w:r>
      <w:r w:rsidR="001C1981" w:rsidRPr="00981301">
        <w:t xml:space="preserve"> a risk of incorrect injecting of a dose if patients are dispensed a different presentation to what they were trained to use</w:t>
      </w:r>
      <w:r w:rsidR="00981301">
        <w:t>.</w:t>
      </w:r>
    </w:p>
    <w:p w14:paraId="5A18551B" w14:textId="77777777" w:rsidR="00411424" w:rsidRPr="00411424" w:rsidRDefault="00411424" w:rsidP="00411424">
      <w:pPr>
        <w:ind w:firstLine="709"/>
        <w:rPr>
          <w:rFonts w:asciiTheme="minorHAnsi" w:hAnsiTheme="minorHAnsi"/>
          <w:i/>
        </w:rPr>
      </w:pPr>
      <w:r w:rsidRPr="00C33D30">
        <w:rPr>
          <w:rFonts w:asciiTheme="minorHAnsi" w:hAnsiTheme="minorHAnsi"/>
          <w:i/>
        </w:rPr>
        <w:t xml:space="preserve">For more detail on PBAC’s view, see section </w:t>
      </w:r>
      <w:r w:rsidR="00DE2315">
        <w:rPr>
          <w:rFonts w:asciiTheme="minorHAnsi" w:hAnsiTheme="minorHAnsi"/>
          <w:i/>
        </w:rPr>
        <w:t>6</w:t>
      </w:r>
      <w:r w:rsidRPr="00C33D30">
        <w:rPr>
          <w:rFonts w:asciiTheme="minorHAnsi" w:hAnsiTheme="minorHAnsi"/>
          <w:i/>
        </w:rPr>
        <w:t xml:space="preserve"> PBAC outcome.</w:t>
      </w:r>
    </w:p>
    <w:p w14:paraId="7285CA2B" w14:textId="77777777" w:rsidR="00C27C1C" w:rsidRPr="00F835F2" w:rsidRDefault="00C27C1C" w:rsidP="00623F1D">
      <w:pPr>
        <w:pStyle w:val="2-SectionHeading"/>
        <w:numPr>
          <w:ilvl w:val="0"/>
          <w:numId w:val="2"/>
        </w:numPr>
        <w:rPr>
          <w:color w:val="FF0000"/>
        </w:rPr>
      </w:pPr>
      <w:r w:rsidRPr="00F835F2">
        <w:t xml:space="preserve">Comparator </w:t>
      </w:r>
    </w:p>
    <w:p w14:paraId="11A9B9E7" w14:textId="77777777" w:rsidR="008D4687" w:rsidRPr="00F835F2" w:rsidRDefault="004160C4" w:rsidP="00676516">
      <w:pPr>
        <w:pStyle w:val="3Bodytext"/>
        <w:ind w:left="720"/>
        <w:jc w:val="both"/>
        <w:rPr>
          <w:rFonts w:cstheme="minorHAnsi"/>
          <w:bCs/>
        </w:rPr>
      </w:pPr>
      <w:r w:rsidRPr="00F835F2">
        <w:rPr>
          <w:rFonts w:cstheme="minorHAnsi"/>
          <w:bCs/>
        </w:rPr>
        <w:t>The submission nominated r</w:t>
      </w:r>
      <w:r w:rsidR="00F5347B" w:rsidRPr="00F835F2">
        <w:rPr>
          <w:rFonts w:cstheme="minorHAnsi"/>
          <w:bCs/>
        </w:rPr>
        <w:t xml:space="preserve">isankizumab </w:t>
      </w:r>
      <w:r w:rsidR="008D4687" w:rsidRPr="00F835F2">
        <w:rPr>
          <w:rFonts w:cstheme="minorHAnsi"/>
          <w:bCs/>
        </w:rPr>
        <w:t>(t</w:t>
      </w:r>
      <w:r w:rsidR="00F5347B" w:rsidRPr="00F835F2">
        <w:rPr>
          <w:rFonts w:cstheme="minorHAnsi"/>
          <w:bCs/>
        </w:rPr>
        <w:t xml:space="preserve">wo x 75 mg/0.83mL </w:t>
      </w:r>
      <w:r w:rsidRPr="00F835F2">
        <w:rPr>
          <w:rFonts w:cstheme="minorHAnsi"/>
          <w:bCs/>
        </w:rPr>
        <w:t>PFS) as the comparator and stated that t</w:t>
      </w:r>
      <w:r w:rsidR="00F5347B" w:rsidRPr="00F835F2">
        <w:rPr>
          <w:rFonts w:cstheme="minorHAnsi"/>
          <w:bCs/>
        </w:rPr>
        <w:t>his PBS</w:t>
      </w:r>
      <w:r w:rsidRPr="00F835F2">
        <w:rPr>
          <w:rFonts w:cstheme="minorHAnsi"/>
          <w:bCs/>
        </w:rPr>
        <w:t>-</w:t>
      </w:r>
      <w:r w:rsidR="00F5347B" w:rsidRPr="00F835F2">
        <w:rPr>
          <w:rFonts w:cstheme="minorHAnsi"/>
          <w:bCs/>
        </w:rPr>
        <w:t xml:space="preserve">listed </w:t>
      </w:r>
      <w:r w:rsidRPr="00F835F2">
        <w:rPr>
          <w:rFonts w:cstheme="minorHAnsi"/>
          <w:bCs/>
        </w:rPr>
        <w:t>item</w:t>
      </w:r>
      <w:r w:rsidR="00F5347B" w:rsidRPr="00F835F2">
        <w:rPr>
          <w:rFonts w:cstheme="minorHAnsi"/>
          <w:bCs/>
        </w:rPr>
        <w:t xml:space="preserve"> will be substituted directly for the </w:t>
      </w:r>
      <w:r w:rsidRPr="00F835F2">
        <w:rPr>
          <w:rFonts w:cstheme="minorHAnsi"/>
          <w:bCs/>
        </w:rPr>
        <w:t xml:space="preserve">150 mg PFP and </w:t>
      </w:r>
      <w:r w:rsidR="00316B51" w:rsidRPr="00F835F2">
        <w:rPr>
          <w:rFonts w:cstheme="minorHAnsi"/>
          <w:bCs/>
        </w:rPr>
        <w:t xml:space="preserve">150 mg </w:t>
      </w:r>
      <w:r w:rsidRPr="00F835F2">
        <w:rPr>
          <w:rFonts w:cstheme="minorHAnsi"/>
          <w:bCs/>
        </w:rPr>
        <w:t>PFS</w:t>
      </w:r>
      <w:r w:rsidR="00626064" w:rsidRPr="00F835F2">
        <w:rPr>
          <w:rFonts w:cstheme="minorHAnsi"/>
          <w:bCs/>
        </w:rPr>
        <w:t xml:space="preserve">. The PBAC </w:t>
      </w:r>
      <w:r w:rsidR="00A64DBE">
        <w:rPr>
          <w:rFonts w:cstheme="minorHAnsi"/>
          <w:bCs/>
        </w:rPr>
        <w:t xml:space="preserve">agreed the </w:t>
      </w:r>
      <w:r w:rsidR="00626064" w:rsidRPr="00F835F2">
        <w:rPr>
          <w:rFonts w:cstheme="minorHAnsi"/>
          <w:bCs/>
        </w:rPr>
        <w:t xml:space="preserve">comparator is appropriate. </w:t>
      </w:r>
    </w:p>
    <w:p w14:paraId="374D8426" w14:textId="77777777" w:rsidR="001C1981" w:rsidRPr="00411424" w:rsidRDefault="00411424" w:rsidP="00411424">
      <w:pPr>
        <w:ind w:firstLine="709"/>
        <w:rPr>
          <w:rFonts w:asciiTheme="minorHAnsi" w:hAnsiTheme="minorHAnsi"/>
          <w:i/>
        </w:rPr>
      </w:pPr>
      <w:bookmarkStart w:id="0" w:name="_Hlk87973409"/>
      <w:r w:rsidRPr="00C33D30">
        <w:rPr>
          <w:rFonts w:asciiTheme="minorHAnsi" w:hAnsiTheme="minorHAnsi"/>
          <w:i/>
        </w:rPr>
        <w:t xml:space="preserve">For more detail on PBAC’s view, see section </w:t>
      </w:r>
      <w:r w:rsidR="00DE2315">
        <w:rPr>
          <w:rFonts w:asciiTheme="minorHAnsi" w:hAnsiTheme="minorHAnsi"/>
          <w:i/>
        </w:rPr>
        <w:t>6</w:t>
      </w:r>
      <w:r w:rsidRPr="00C33D30">
        <w:rPr>
          <w:rFonts w:asciiTheme="minorHAnsi" w:hAnsiTheme="minorHAnsi"/>
          <w:i/>
        </w:rPr>
        <w:t xml:space="preserve"> PBAC outcome.</w:t>
      </w:r>
    </w:p>
    <w:bookmarkEnd w:id="0"/>
    <w:p w14:paraId="33D3663E" w14:textId="77777777" w:rsidR="00C27C1C" w:rsidRPr="00F835F2" w:rsidRDefault="00C27C1C" w:rsidP="00C27C1C">
      <w:pPr>
        <w:pStyle w:val="Heading1"/>
        <w:keepLines/>
        <w:numPr>
          <w:ilvl w:val="0"/>
          <w:numId w:val="2"/>
        </w:numPr>
        <w:spacing w:before="240"/>
        <w:ind w:left="709" w:hanging="709"/>
        <w:rPr>
          <w:sz w:val="32"/>
          <w:szCs w:val="32"/>
        </w:rPr>
      </w:pPr>
      <w:r w:rsidRPr="00F835F2">
        <w:rPr>
          <w:sz w:val="32"/>
          <w:szCs w:val="32"/>
        </w:rPr>
        <w:t>Consideration of the evidence</w:t>
      </w:r>
    </w:p>
    <w:p w14:paraId="50063A74" w14:textId="77777777" w:rsidR="00C31043" w:rsidRPr="00F835F2" w:rsidRDefault="00C31043" w:rsidP="00C31043">
      <w:pPr>
        <w:pStyle w:val="3Bodytext"/>
        <w:ind w:left="720"/>
      </w:pPr>
      <w:r w:rsidRPr="00F835F2">
        <w:t>The submission stated that there were three clinical trials included in the TGA submission to support registration of risankizumab 150 mg PFP and risankizumab</w:t>
      </w:r>
      <w:r w:rsidR="00B4192A" w:rsidRPr="00F835F2">
        <w:t> </w:t>
      </w:r>
      <w:r w:rsidRPr="00F835F2">
        <w:t xml:space="preserve">150 mg PFS (see Table 1 below). </w:t>
      </w:r>
      <w:r w:rsidRPr="00F835F2">
        <w:rPr>
          <w:lang w:eastAsia="en-US"/>
        </w:rPr>
        <w:t>As a Category 4 submission, no evaluation of the clinical evidence was undertaken</w:t>
      </w:r>
      <w:r w:rsidRPr="00F835F2">
        <w:t>.</w:t>
      </w:r>
    </w:p>
    <w:p w14:paraId="458D9CDE" w14:textId="77777777" w:rsidR="00E9664E" w:rsidRDefault="00E9664E" w:rsidP="00C31043">
      <w:pPr>
        <w:pStyle w:val="Tabletitles"/>
        <w:rPr>
          <w:szCs w:val="20"/>
        </w:rPr>
      </w:pPr>
    </w:p>
    <w:p w14:paraId="62143389" w14:textId="77777777" w:rsidR="00E9664E" w:rsidRDefault="00E9664E" w:rsidP="00C31043">
      <w:pPr>
        <w:pStyle w:val="Tabletitles"/>
        <w:rPr>
          <w:szCs w:val="20"/>
        </w:rPr>
      </w:pPr>
    </w:p>
    <w:p w14:paraId="63CB933B" w14:textId="77777777" w:rsidR="00E9664E" w:rsidRDefault="00E9664E" w:rsidP="00C31043">
      <w:pPr>
        <w:pStyle w:val="Tabletitles"/>
        <w:rPr>
          <w:szCs w:val="20"/>
        </w:rPr>
      </w:pPr>
    </w:p>
    <w:p w14:paraId="7E11E1CC" w14:textId="77777777" w:rsidR="00E9664E" w:rsidRDefault="00E9664E" w:rsidP="00C31043">
      <w:pPr>
        <w:pStyle w:val="Tabletitles"/>
        <w:rPr>
          <w:szCs w:val="20"/>
        </w:rPr>
      </w:pPr>
    </w:p>
    <w:p w14:paraId="7D5B3D6D" w14:textId="77777777" w:rsidR="00E9664E" w:rsidRDefault="00E9664E" w:rsidP="00C31043">
      <w:pPr>
        <w:pStyle w:val="Tabletitles"/>
        <w:rPr>
          <w:szCs w:val="20"/>
        </w:rPr>
      </w:pPr>
    </w:p>
    <w:p w14:paraId="1C7360E8" w14:textId="77777777" w:rsidR="00E9664E" w:rsidRDefault="00E9664E" w:rsidP="00C31043">
      <w:pPr>
        <w:pStyle w:val="Tabletitles"/>
        <w:rPr>
          <w:szCs w:val="20"/>
        </w:rPr>
      </w:pPr>
    </w:p>
    <w:p w14:paraId="19FD5D7E" w14:textId="305087B8" w:rsidR="00C31043" w:rsidRPr="00F835F2" w:rsidRDefault="00C31043" w:rsidP="00C31043">
      <w:pPr>
        <w:pStyle w:val="Tabletitles"/>
        <w:rPr>
          <w:szCs w:val="20"/>
        </w:rPr>
      </w:pPr>
      <w:r w:rsidRPr="00F835F2">
        <w:rPr>
          <w:szCs w:val="20"/>
        </w:rPr>
        <w:lastRenderedPageBreak/>
        <w:t>Table</w:t>
      </w:r>
      <w:r w:rsidRPr="00F835F2">
        <w:rPr>
          <w:rFonts w:eastAsiaTheme="majorEastAsia"/>
          <w:szCs w:val="20"/>
        </w:rPr>
        <w:t xml:space="preserve"> 1: </w:t>
      </w:r>
      <w:r w:rsidRPr="00F835F2">
        <w:rPr>
          <w:szCs w:val="20"/>
        </w:rPr>
        <w:t>Trials and associated reports presented in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Table 1: Trials and associated reports presented in the submission"/>
      </w:tblPr>
      <w:tblGrid>
        <w:gridCol w:w="1875"/>
        <w:gridCol w:w="7141"/>
      </w:tblGrid>
      <w:tr w:rsidR="00C31043" w:rsidRPr="00F835F2" w14:paraId="71A1B379" w14:textId="77777777" w:rsidTr="009056AD">
        <w:trPr>
          <w:cantSplit/>
          <w:trHeight w:val="285"/>
          <w:tblHeader/>
        </w:trPr>
        <w:tc>
          <w:tcPr>
            <w:tcW w:w="1040" w:type="pct"/>
          </w:tcPr>
          <w:p w14:paraId="27F86D16" w14:textId="77777777" w:rsidR="00C31043" w:rsidRPr="00F835F2" w:rsidRDefault="00C31043" w:rsidP="00403511">
            <w:pPr>
              <w:pStyle w:val="TableText0"/>
              <w:rPr>
                <w:b/>
                <w:szCs w:val="20"/>
              </w:rPr>
            </w:pPr>
            <w:r w:rsidRPr="00F835F2">
              <w:rPr>
                <w:b/>
                <w:szCs w:val="20"/>
              </w:rPr>
              <w:t>Trial ID</w:t>
            </w:r>
          </w:p>
        </w:tc>
        <w:tc>
          <w:tcPr>
            <w:tcW w:w="3960" w:type="pct"/>
          </w:tcPr>
          <w:p w14:paraId="007DB552" w14:textId="77777777" w:rsidR="00C31043" w:rsidRPr="00F835F2" w:rsidRDefault="00C31043" w:rsidP="00403511">
            <w:pPr>
              <w:pStyle w:val="TableText0"/>
              <w:rPr>
                <w:b/>
                <w:szCs w:val="20"/>
              </w:rPr>
            </w:pPr>
            <w:r w:rsidRPr="00F835F2">
              <w:rPr>
                <w:b/>
                <w:szCs w:val="20"/>
              </w:rPr>
              <w:t>Protocol title/ Publication title</w:t>
            </w:r>
          </w:p>
        </w:tc>
      </w:tr>
      <w:tr w:rsidR="00C31043" w:rsidRPr="00F835F2" w14:paraId="13D4A1D1" w14:textId="77777777" w:rsidTr="00403511">
        <w:trPr>
          <w:cantSplit/>
          <w:trHeight w:val="493"/>
        </w:trPr>
        <w:tc>
          <w:tcPr>
            <w:tcW w:w="1040" w:type="pct"/>
          </w:tcPr>
          <w:p w14:paraId="636F1AFF" w14:textId="77777777" w:rsidR="00C31043" w:rsidRPr="00F835F2" w:rsidRDefault="009056AD" w:rsidP="00403511">
            <w:pPr>
              <w:pStyle w:val="TableText0"/>
              <w:rPr>
                <w:b/>
                <w:bCs w:val="0"/>
                <w:szCs w:val="20"/>
              </w:rPr>
            </w:pPr>
            <w:r w:rsidRPr="00F835F2">
              <w:rPr>
                <w:b/>
                <w:bCs w:val="0"/>
                <w:szCs w:val="20"/>
              </w:rPr>
              <w:t>M15-990</w:t>
            </w:r>
          </w:p>
        </w:tc>
        <w:tc>
          <w:tcPr>
            <w:tcW w:w="3960" w:type="pct"/>
          </w:tcPr>
          <w:p w14:paraId="386B9F8C" w14:textId="77777777" w:rsidR="00C31043" w:rsidRPr="00F835F2" w:rsidRDefault="009056AD" w:rsidP="00403511">
            <w:pPr>
              <w:pStyle w:val="EndNoteBibliography"/>
              <w:spacing w:after="0"/>
              <w:rPr>
                <w:rFonts w:ascii="Arial Narrow" w:hAnsi="Arial Narrow"/>
                <w:sz w:val="20"/>
                <w:szCs w:val="20"/>
              </w:rPr>
            </w:pPr>
            <w:r w:rsidRPr="00F835F2">
              <w:rPr>
                <w:rFonts w:ascii="Arial Narrow" w:hAnsi="Arial Narrow"/>
                <w:sz w:val="20"/>
                <w:szCs w:val="20"/>
              </w:rPr>
              <w:t>Phase I bioequivalence bridging study conducted in healthy participants following a single dose administration of either 150 mg/mL in PFS or AI, or 2x 75mg/0.83 mL PFS.</w:t>
            </w:r>
          </w:p>
        </w:tc>
      </w:tr>
      <w:tr w:rsidR="00C31043" w:rsidRPr="00F835F2" w14:paraId="799F5577" w14:textId="77777777" w:rsidTr="00403511">
        <w:trPr>
          <w:cantSplit/>
          <w:trHeight w:val="308"/>
        </w:trPr>
        <w:tc>
          <w:tcPr>
            <w:tcW w:w="1040" w:type="pct"/>
          </w:tcPr>
          <w:p w14:paraId="5F508E3D" w14:textId="77777777" w:rsidR="00C31043" w:rsidRPr="00F835F2" w:rsidRDefault="009056AD" w:rsidP="00403511">
            <w:pPr>
              <w:pStyle w:val="TableText0"/>
              <w:rPr>
                <w:b/>
                <w:bCs w:val="0"/>
                <w:szCs w:val="20"/>
              </w:rPr>
            </w:pPr>
            <w:r w:rsidRPr="00F835F2">
              <w:rPr>
                <w:b/>
                <w:bCs w:val="0"/>
                <w:szCs w:val="20"/>
              </w:rPr>
              <w:t>M15-999</w:t>
            </w:r>
          </w:p>
        </w:tc>
        <w:tc>
          <w:tcPr>
            <w:tcW w:w="3960" w:type="pct"/>
          </w:tcPr>
          <w:p w14:paraId="306DA6A8" w14:textId="77777777" w:rsidR="00C31043" w:rsidRPr="00F835F2" w:rsidRDefault="009056AD" w:rsidP="00403511">
            <w:pPr>
              <w:pStyle w:val="TableText0"/>
              <w:rPr>
                <w:szCs w:val="20"/>
              </w:rPr>
            </w:pPr>
            <w:r w:rsidRPr="00F835F2">
              <w:rPr>
                <w:szCs w:val="20"/>
              </w:rPr>
              <w:t>Phase 3 multicenter, randomised, double-blind, placebo-controlled evaluation of the same dose and dosing regimen as in the approved 75mg/0.83mL formulation in adult subjects with moderate to severe chronic plaque psoriasis.</w:t>
            </w:r>
          </w:p>
        </w:tc>
      </w:tr>
      <w:tr w:rsidR="00C31043" w:rsidRPr="00F835F2" w14:paraId="32CD5D65" w14:textId="77777777" w:rsidTr="009056AD">
        <w:trPr>
          <w:cantSplit/>
          <w:trHeight w:val="536"/>
        </w:trPr>
        <w:tc>
          <w:tcPr>
            <w:tcW w:w="1040" w:type="pct"/>
          </w:tcPr>
          <w:p w14:paraId="709EBFA5" w14:textId="77777777" w:rsidR="00C31043" w:rsidRPr="00F835F2" w:rsidRDefault="009056AD" w:rsidP="00403511">
            <w:pPr>
              <w:pStyle w:val="TableText0"/>
              <w:rPr>
                <w:b/>
                <w:bCs w:val="0"/>
                <w:szCs w:val="20"/>
              </w:rPr>
            </w:pPr>
            <w:r w:rsidRPr="00F835F2">
              <w:rPr>
                <w:b/>
                <w:bCs w:val="0"/>
                <w:szCs w:val="20"/>
              </w:rPr>
              <w:t>M16-005</w:t>
            </w:r>
          </w:p>
        </w:tc>
        <w:tc>
          <w:tcPr>
            <w:tcW w:w="3960" w:type="pct"/>
          </w:tcPr>
          <w:p w14:paraId="152B223E" w14:textId="77777777" w:rsidR="00C31043" w:rsidRPr="00F835F2" w:rsidRDefault="009056AD" w:rsidP="00403511">
            <w:pPr>
              <w:pStyle w:val="TableText0"/>
              <w:rPr>
                <w:szCs w:val="20"/>
              </w:rPr>
            </w:pPr>
            <w:r w:rsidRPr="00F835F2">
              <w:rPr>
                <w:szCs w:val="20"/>
              </w:rPr>
              <w:t>Phase 3 multicenter, single-arm, open-label study in adult patients with moderate to severe plaque psoriasis.</w:t>
            </w:r>
          </w:p>
        </w:tc>
      </w:tr>
    </w:tbl>
    <w:p w14:paraId="0B84C05D" w14:textId="77777777" w:rsidR="00C31043" w:rsidRPr="00F835F2" w:rsidRDefault="00C31043" w:rsidP="00C31043">
      <w:pPr>
        <w:pStyle w:val="NormalNoSpace"/>
        <w:rPr>
          <w:rFonts w:ascii="Arial Narrow" w:hAnsi="Arial Narrow"/>
          <w:sz w:val="18"/>
          <w:szCs w:val="18"/>
        </w:rPr>
      </w:pPr>
      <w:r w:rsidRPr="00F835F2">
        <w:rPr>
          <w:rFonts w:ascii="Arial Narrow" w:hAnsi="Arial Narrow"/>
          <w:sz w:val="18"/>
          <w:szCs w:val="18"/>
        </w:rPr>
        <w:t xml:space="preserve">Source: Table 4, page 5 of submission </w:t>
      </w:r>
      <w:r w:rsidRPr="00F835F2">
        <w:rPr>
          <w:rFonts w:ascii="Arial Narrow" w:hAnsi="Arial Narrow"/>
          <w:sz w:val="18"/>
          <w:szCs w:val="18"/>
        </w:rPr>
        <w:br/>
      </w:r>
    </w:p>
    <w:p w14:paraId="7ED46D00" w14:textId="77777777" w:rsidR="00CD02B9" w:rsidRPr="00F835F2" w:rsidRDefault="00D06472" w:rsidP="00CD02B9">
      <w:pPr>
        <w:pStyle w:val="3Bodytext"/>
        <w:ind w:left="720"/>
        <w:jc w:val="both"/>
        <w:rPr>
          <w:rFonts w:cstheme="minorHAnsi"/>
          <w:bCs/>
        </w:rPr>
      </w:pPr>
      <w:r w:rsidRPr="00F835F2">
        <w:rPr>
          <w:rFonts w:cstheme="minorHAnsi"/>
          <w:bCs/>
        </w:rPr>
        <w:t xml:space="preserve">In consideration of the evidence for the 150 mg PFP and 150 mg PFS compared with the 75 mg/0.83 mL </w:t>
      </w:r>
      <w:r w:rsidR="00CD02B9" w:rsidRPr="00F835F2">
        <w:rPr>
          <w:rFonts w:cstheme="minorHAnsi"/>
          <w:bCs/>
        </w:rPr>
        <w:t>PFS</w:t>
      </w:r>
      <w:r w:rsidRPr="00F835F2">
        <w:rPr>
          <w:rFonts w:cstheme="minorHAnsi"/>
          <w:bCs/>
        </w:rPr>
        <w:t xml:space="preserve">, the TGA Evaluator concluded that bioequivalence </w:t>
      </w:r>
      <w:r w:rsidR="00DE2315">
        <w:rPr>
          <w:rFonts w:cstheme="minorHAnsi"/>
          <w:bCs/>
        </w:rPr>
        <w:t>was</w:t>
      </w:r>
      <w:r w:rsidRPr="00F835F2">
        <w:rPr>
          <w:rFonts w:cstheme="minorHAnsi"/>
          <w:bCs/>
        </w:rPr>
        <w:t xml:space="preserve"> demonstrated (paragraph 5.2, page 7, C</w:t>
      </w:r>
      <w:r w:rsidR="00CD02B9" w:rsidRPr="00F835F2">
        <w:rPr>
          <w:rFonts w:cstheme="minorHAnsi"/>
          <w:bCs/>
        </w:rPr>
        <w:t>linical Evaluation Report (CER)</w:t>
      </w:r>
      <w:r w:rsidRPr="00F835F2">
        <w:rPr>
          <w:rFonts w:cstheme="minorHAnsi"/>
          <w:bCs/>
        </w:rPr>
        <w:t xml:space="preserve"> 2) and that, overall, the benefit-risk profile </w:t>
      </w:r>
      <w:r w:rsidR="00DE2315">
        <w:rPr>
          <w:rFonts w:cstheme="minorHAnsi"/>
          <w:bCs/>
        </w:rPr>
        <w:t>was</w:t>
      </w:r>
      <w:r w:rsidRPr="00F835F2">
        <w:rPr>
          <w:rFonts w:cstheme="minorHAnsi"/>
          <w:bCs/>
        </w:rPr>
        <w:t xml:space="preserve"> favourable (paragraph 16.3, page 60, CER 2). </w:t>
      </w:r>
    </w:p>
    <w:p w14:paraId="36668233" w14:textId="77777777" w:rsidR="00985A31" w:rsidRPr="00F835F2" w:rsidRDefault="00985A31" w:rsidP="00985A31">
      <w:pPr>
        <w:pStyle w:val="3Bodytext"/>
        <w:ind w:left="720"/>
        <w:jc w:val="both"/>
        <w:rPr>
          <w:rFonts w:cstheme="minorHAnsi"/>
          <w:bCs/>
        </w:rPr>
      </w:pPr>
      <w:r w:rsidRPr="00F835F2">
        <w:rPr>
          <w:rFonts w:cstheme="minorHAnsi"/>
          <w:bCs/>
        </w:rPr>
        <w:t xml:space="preserve">The TGA </w:t>
      </w:r>
      <w:r w:rsidR="00DE2315">
        <w:rPr>
          <w:rFonts w:cstheme="minorHAnsi"/>
          <w:bCs/>
        </w:rPr>
        <w:t xml:space="preserve">Delegate </w:t>
      </w:r>
      <w:r w:rsidRPr="00F835F2">
        <w:rPr>
          <w:rFonts w:cstheme="minorHAnsi"/>
          <w:bCs/>
        </w:rPr>
        <w:t>considered that the 150 mg PFS is bioequivalent to two 75</w:t>
      </w:r>
      <w:r w:rsidR="00B64EC4">
        <w:rPr>
          <w:rFonts w:cstheme="minorHAnsi"/>
          <w:bCs/>
        </w:rPr>
        <w:t> </w:t>
      </w:r>
      <w:r w:rsidRPr="00F835F2">
        <w:rPr>
          <w:rFonts w:cstheme="minorHAnsi"/>
          <w:bCs/>
        </w:rPr>
        <w:t>mg/0.83 mL PFS injections, and that the 150 mg PFS is bioequivalent to the 150 mg PFP.</w:t>
      </w:r>
    </w:p>
    <w:p w14:paraId="159DB945" w14:textId="77777777" w:rsidR="00926502" w:rsidRPr="00F835F2" w:rsidRDefault="00CD02B9" w:rsidP="00C31043">
      <w:pPr>
        <w:pStyle w:val="3Bodytext"/>
        <w:ind w:left="720"/>
        <w:jc w:val="both"/>
        <w:rPr>
          <w:rStyle w:val="CommentReference"/>
          <w:rFonts w:cstheme="minorHAnsi"/>
          <w:bCs/>
          <w:sz w:val="24"/>
          <w:szCs w:val="22"/>
        </w:rPr>
      </w:pPr>
      <w:r w:rsidRPr="00F835F2">
        <w:t>The TGA Delegate concluded: “The sponsor has submitted acceptable data to support the registration of the 150</w:t>
      </w:r>
      <w:r w:rsidR="00B64EC4">
        <w:t> </w:t>
      </w:r>
      <w:r w:rsidRPr="00F835F2">
        <w:t>mg/mL pre-filled syringe and pen presentations.” (TGA Delegate’s Overview, page 10).</w:t>
      </w:r>
    </w:p>
    <w:p w14:paraId="5ED93E44" w14:textId="77777777" w:rsidR="00074320" w:rsidRPr="00F835F2" w:rsidRDefault="00074320" w:rsidP="00FA0B04">
      <w:pPr>
        <w:pStyle w:val="4-SubsectionHeading"/>
        <w:rPr>
          <w:i w:val="0"/>
          <w:lang w:eastAsia="en-US"/>
        </w:rPr>
      </w:pPr>
      <w:r w:rsidRPr="00F835F2">
        <w:rPr>
          <w:i w:val="0"/>
          <w:lang w:eastAsia="en-US"/>
        </w:rPr>
        <w:t>Pricing consideration</w:t>
      </w:r>
      <w:r w:rsidR="00BE6791" w:rsidRPr="00F835F2">
        <w:rPr>
          <w:i w:val="0"/>
          <w:lang w:eastAsia="en-US"/>
        </w:rPr>
        <w:t>s</w:t>
      </w:r>
    </w:p>
    <w:p w14:paraId="4F36AB5E" w14:textId="77777777" w:rsidR="00575571" w:rsidRPr="00F835F2" w:rsidRDefault="00575571" w:rsidP="00676516">
      <w:pPr>
        <w:pStyle w:val="3Bodytext"/>
        <w:ind w:left="720"/>
        <w:jc w:val="both"/>
        <w:rPr>
          <w:rFonts w:cstheme="minorHAnsi"/>
          <w:bCs/>
        </w:rPr>
      </w:pPr>
      <w:r w:rsidRPr="00F835F2">
        <w:rPr>
          <w:rFonts w:cstheme="minorHAnsi"/>
          <w:bCs/>
        </w:rPr>
        <w:t xml:space="preserve">The </w:t>
      </w:r>
      <w:r w:rsidR="00DA3558" w:rsidRPr="00F835F2">
        <w:rPr>
          <w:rFonts w:cstheme="minorHAnsi"/>
          <w:bCs/>
        </w:rPr>
        <w:t xml:space="preserve">submission </w:t>
      </w:r>
      <w:r w:rsidRPr="00F835F2">
        <w:rPr>
          <w:rFonts w:cstheme="minorHAnsi"/>
          <w:bCs/>
        </w:rPr>
        <w:t xml:space="preserve">proposed </w:t>
      </w:r>
      <w:r w:rsidR="00DA3558" w:rsidRPr="00F835F2">
        <w:rPr>
          <w:rFonts w:cstheme="minorHAnsi"/>
          <w:bCs/>
        </w:rPr>
        <w:t xml:space="preserve">the same </w:t>
      </w:r>
      <w:r w:rsidRPr="00F835F2">
        <w:rPr>
          <w:rFonts w:cstheme="minorHAnsi"/>
          <w:bCs/>
        </w:rPr>
        <w:t>published</w:t>
      </w:r>
      <w:r w:rsidR="00684A91" w:rsidRPr="00F835F2">
        <w:rPr>
          <w:rFonts w:cstheme="minorHAnsi"/>
          <w:bCs/>
        </w:rPr>
        <w:t xml:space="preserve"> and effective</w:t>
      </w:r>
      <w:r w:rsidRPr="00F835F2">
        <w:rPr>
          <w:rFonts w:cstheme="minorHAnsi"/>
          <w:bCs/>
        </w:rPr>
        <w:t xml:space="preserve"> price</w:t>
      </w:r>
      <w:r w:rsidR="00684A91" w:rsidRPr="00F835F2">
        <w:rPr>
          <w:rFonts w:cstheme="minorHAnsi"/>
          <w:bCs/>
        </w:rPr>
        <w:t>s</w:t>
      </w:r>
      <w:r w:rsidRPr="00F835F2">
        <w:rPr>
          <w:rFonts w:cstheme="minorHAnsi"/>
          <w:bCs/>
        </w:rPr>
        <w:t xml:space="preserve"> for</w:t>
      </w:r>
      <w:r w:rsidR="00DA3558" w:rsidRPr="00F835F2">
        <w:rPr>
          <w:rFonts w:cstheme="minorHAnsi"/>
          <w:bCs/>
        </w:rPr>
        <w:t xml:space="preserve"> the </w:t>
      </w:r>
      <w:r w:rsidRPr="00F835F2">
        <w:rPr>
          <w:rFonts w:cstheme="minorHAnsi"/>
          <w:bCs/>
        </w:rPr>
        <w:t>150</w:t>
      </w:r>
      <w:r w:rsidR="00684A91" w:rsidRPr="00F835F2">
        <w:rPr>
          <w:rFonts w:cstheme="minorHAnsi"/>
          <w:bCs/>
        </w:rPr>
        <w:t xml:space="preserve"> </w:t>
      </w:r>
      <w:r w:rsidRPr="00F835F2">
        <w:rPr>
          <w:rFonts w:cstheme="minorHAnsi"/>
          <w:bCs/>
        </w:rPr>
        <w:t>mg</w:t>
      </w:r>
      <w:r w:rsidR="00B4192A" w:rsidRPr="00F835F2">
        <w:rPr>
          <w:rFonts w:cstheme="minorHAnsi"/>
          <w:bCs/>
        </w:rPr>
        <w:t> </w:t>
      </w:r>
      <w:r w:rsidRPr="00F835F2">
        <w:rPr>
          <w:rFonts w:cstheme="minorHAnsi"/>
          <w:bCs/>
        </w:rPr>
        <w:t xml:space="preserve">PFP </w:t>
      </w:r>
      <w:r w:rsidR="008D4687" w:rsidRPr="00F835F2">
        <w:rPr>
          <w:rFonts w:cstheme="minorHAnsi"/>
          <w:bCs/>
        </w:rPr>
        <w:t>and</w:t>
      </w:r>
      <w:r w:rsidR="00316B51" w:rsidRPr="00F835F2">
        <w:rPr>
          <w:rFonts w:cstheme="minorHAnsi"/>
          <w:bCs/>
        </w:rPr>
        <w:t xml:space="preserve"> 150 mg</w:t>
      </w:r>
      <w:r w:rsidRPr="00F835F2">
        <w:rPr>
          <w:rFonts w:cstheme="minorHAnsi"/>
          <w:bCs/>
        </w:rPr>
        <w:t xml:space="preserve"> PF</w:t>
      </w:r>
      <w:r w:rsidR="008D4687" w:rsidRPr="00F835F2">
        <w:rPr>
          <w:rFonts w:cstheme="minorHAnsi"/>
          <w:bCs/>
        </w:rPr>
        <w:t>S</w:t>
      </w:r>
      <w:r w:rsidRPr="00F835F2">
        <w:rPr>
          <w:rFonts w:cstheme="minorHAnsi"/>
          <w:bCs/>
        </w:rPr>
        <w:t xml:space="preserve"> </w:t>
      </w:r>
      <w:r w:rsidR="00326B76" w:rsidRPr="00F835F2">
        <w:rPr>
          <w:rFonts w:cstheme="minorHAnsi"/>
          <w:bCs/>
        </w:rPr>
        <w:t>as the</w:t>
      </w:r>
      <w:r w:rsidRPr="00F835F2">
        <w:rPr>
          <w:rFonts w:cstheme="minorHAnsi"/>
          <w:bCs/>
        </w:rPr>
        <w:t xml:space="preserve"> PBS-listed two pack of 75</w:t>
      </w:r>
      <w:r w:rsidR="00D06472" w:rsidRPr="00F835F2">
        <w:rPr>
          <w:rFonts w:cstheme="minorHAnsi"/>
          <w:bCs/>
        </w:rPr>
        <w:t xml:space="preserve"> </w:t>
      </w:r>
      <w:r w:rsidRPr="00F835F2">
        <w:rPr>
          <w:rFonts w:cstheme="minorHAnsi"/>
          <w:bCs/>
        </w:rPr>
        <w:t xml:space="preserve">mg PFS. </w:t>
      </w:r>
    </w:p>
    <w:p w14:paraId="7F5907DE" w14:textId="77777777" w:rsidR="00575571" w:rsidRPr="00F835F2" w:rsidRDefault="00575571" w:rsidP="00676516">
      <w:pPr>
        <w:pStyle w:val="3Bodytext"/>
        <w:ind w:left="720"/>
        <w:jc w:val="both"/>
        <w:rPr>
          <w:rFonts w:cstheme="minorHAnsi"/>
          <w:bCs/>
        </w:rPr>
      </w:pPr>
      <w:r w:rsidRPr="00F835F2">
        <w:rPr>
          <w:rFonts w:cstheme="minorHAnsi"/>
          <w:bCs/>
        </w:rPr>
        <w:t xml:space="preserve">The submission requested no changes to the existing Special Pricing Arrangement for risankizumab in </w:t>
      </w:r>
      <w:r w:rsidR="00676516" w:rsidRPr="00F835F2">
        <w:rPr>
          <w:rFonts w:cstheme="minorHAnsi"/>
          <w:bCs/>
        </w:rPr>
        <w:t>severe CPP</w:t>
      </w:r>
      <w:r w:rsidRPr="00F835F2">
        <w:rPr>
          <w:rFonts w:cstheme="minorHAnsi"/>
          <w:bCs/>
        </w:rPr>
        <w:t xml:space="preserve">. </w:t>
      </w:r>
    </w:p>
    <w:p w14:paraId="158FBDDF" w14:textId="77777777" w:rsidR="00E31528" w:rsidRPr="00F835F2" w:rsidRDefault="002B6A4F" w:rsidP="002B6A4F">
      <w:pPr>
        <w:pStyle w:val="3Bodytext"/>
        <w:ind w:left="720"/>
        <w:jc w:val="both"/>
        <w:rPr>
          <w:rFonts w:cs="Arial"/>
          <w:bCs/>
          <w:snapToGrid w:val="0"/>
        </w:rPr>
      </w:pPr>
      <w:r w:rsidRPr="00F835F2">
        <w:t xml:space="preserve">The submission considered that the </w:t>
      </w:r>
      <w:r w:rsidRPr="00F835F2">
        <w:rPr>
          <w:rFonts w:cstheme="minorHAnsi"/>
          <w:bCs/>
        </w:rPr>
        <w:t xml:space="preserve">150 mg PFP and </w:t>
      </w:r>
      <w:r w:rsidR="00316B51" w:rsidRPr="00F835F2">
        <w:rPr>
          <w:rFonts w:cstheme="minorHAnsi"/>
          <w:bCs/>
        </w:rPr>
        <w:t xml:space="preserve">150 mg </w:t>
      </w:r>
      <w:r w:rsidRPr="00F835F2">
        <w:rPr>
          <w:rFonts w:cstheme="minorHAnsi"/>
          <w:bCs/>
        </w:rPr>
        <w:t xml:space="preserve">PFS </w:t>
      </w:r>
      <w:r w:rsidRPr="00F835F2">
        <w:t xml:space="preserve">should be cost-minimised to the existing PBS-listed </w:t>
      </w:r>
      <w:r w:rsidR="00D06472" w:rsidRPr="00F835F2">
        <w:t>risankizumab 75 mg PFS</w:t>
      </w:r>
      <w:r w:rsidRPr="00F835F2">
        <w:t xml:space="preserve"> rather than the lowest cost comparator. </w:t>
      </w:r>
      <w:r w:rsidR="0050118F">
        <w:t>The</w:t>
      </w:r>
      <w:r w:rsidR="00B64EC4">
        <w:t xml:space="preserve"> sponsor maintained this view in the</w:t>
      </w:r>
      <w:r w:rsidR="0050118F">
        <w:t xml:space="preserve"> pre-PBAC response.</w:t>
      </w:r>
    </w:p>
    <w:p w14:paraId="4673CEFB" w14:textId="77777777" w:rsidR="00DD56E5" w:rsidRPr="00F835F2" w:rsidRDefault="00DD56E5" w:rsidP="002B6A4F">
      <w:pPr>
        <w:pStyle w:val="Bodytextitalics"/>
        <w:numPr>
          <w:ilvl w:val="1"/>
          <w:numId w:val="2"/>
        </w:numPr>
        <w:ind w:left="720"/>
        <w:rPr>
          <w:i w:val="0"/>
          <w:color w:val="000000" w:themeColor="text1"/>
        </w:rPr>
      </w:pPr>
      <w:r w:rsidRPr="00F835F2">
        <w:rPr>
          <w:i w:val="0"/>
          <w:color w:val="000000" w:themeColor="text1"/>
        </w:rPr>
        <w:t>Section 101(3B)</w:t>
      </w:r>
      <w:r w:rsidR="00B64EC4">
        <w:rPr>
          <w:i w:val="0"/>
          <w:color w:val="000000" w:themeColor="text1"/>
        </w:rPr>
        <w:t xml:space="preserve"> of the Act</w:t>
      </w:r>
      <w:r w:rsidRPr="00F835F2">
        <w:rPr>
          <w:i w:val="0"/>
          <w:color w:val="000000" w:themeColor="text1"/>
        </w:rPr>
        <w:t xml:space="preserve"> stipulates that if the requested treatment is substantially more costly than alternative therapies, then the PBAC could only recommend listing at the higher price if it is satisfied that the treatment provides, for some patients, a significant improvement in efficacy or reduction of toxicity over the existing therapies</w:t>
      </w:r>
      <w:r w:rsidRPr="00F835F2">
        <w:rPr>
          <w:bCs/>
          <w:i w:val="0"/>
        </w:rPr>
        <w:t xml:space="preserve">. The advice provided by the PBAC applies to each medicine on a case by case basis. </w:t>
      </w:r>
    </w:p>
    <w:p w14:paraId="63D84B26" w14:textId="77777777" w:rsidR="00B563D6" w:rsidRPr="00F835F2" w:rsidRDefault="00B563D6" w:rsidP="00B563D6">
      <w:pPr>
        <w:keepNext/>
        <w:keepLines/>
        <w:spacing w:before="240" w:after="120"/>
        <w:outlineLvl w:val="1"/>
        <w:rPr>
          <w:rFonts w:asciiTheme="minorHAnsi" w:eastAsiaTheme="majorEastAsia" w:hAnsiTheme="minorHAnsi" w:cstheme="majorBidi"/>
          <w:b/>
          <w:sz w:val="28"/>
          <w:szCs w:val="28"/>
        </w:rPr>
      </w:pPr>
      <w:r w:rsidRPr="00F835F2">
        <w:rPr>
          <w:rFonts w:eastAsiaTheme="majorEastAsia" w:cstheme="majorBidi"/>
          <w:b/>
          <w:sz w:val="28"/>
          <w:szCs w:val="28"/>
        </w:rPr>
        <w:t>Estimated PBS usage &amp; financial implications</w:t>
      </w:r>
    </w:p>
    <w:p w14:paraId="7BC7D415" w14:textId="77777777" w:rsidR="00326B76" w:rsidRPr="00F835F2" w:rsidRDefault="008C5888" w:rsidP="00676516">
      <w:pPr>
        <w:pStyle w:val="3Bodytext"/>
        <w:ind w:left="720"/>
        <w:jc w:val="both"/>
        <w:rPr>
          <w:rFonts w:cstheme="minorHAnsi"/>
          <w:bCs/>
        </w:rPr>
      </w:pPr>
      <w:r w:rsidRPr="00F835F2">
        <w:rPr>
          <w:rFonts w:cstheme="minorHAnsi"/>
          <w:bCs/>
        </w:rPr>
        <w:t>With no expected changes to current utilisation, mark-up fees and co-payments, and with the same price and dosing schedule as the 75 mg PFS, t</w:t>
      </w:r>
      <w:r w:rsidR="00C9585B" w:rsidRPr="00F835F2">
        <w:rPr>
          <w:rFonts w:cstheme="minorHAnsi"/>
          <w:bCs/>
        </w:rPr>
        <w:t xml:space="preserve">he submission claimed </w:t>
      </w:r>
      <w:r w:rsidR="00B64EC4">
        <w:rPr>
          <w:rFonts w:cstheme="minorHAnsi"/>
          <w:bCs/>
        </w:rPr>
        <w:t>nil</w:t>
      </w:r>
      <w:r w:rsidR="00326B76" w:rsidRPr="00F835F2">
        <w:rPr>
          <w:rFonts w:cstheme="minorHAnsi"/>
          <w:bCs/>
        </w:rPr>
        <w:t xml:space="preserve"> </w:t>
      </w:r>
      <w:r w:rsidR="00C656A6" w:rsidRPr="00F835F2">
        <w:rPr>
          <w:rFonts w:cstheme="minorHAnsi"/>
          <w:bCs/>
        </w:rPr>
        <w:t xml:space="preserve">net </w:t>
      </w:r>
      <w:r w:rsidR="00326B76" w:rsidRPr="00F835F2">
        <w:rPr>
          <w:rFonts w:cstheme="minorHAnsi"/>
          <w:bCs/>
        </w:rPr>
        <w:t xml:space="preserve">financial impact of </w:t>
      </w:r>
      <w:r w:rsidR="00B64EC4">
        <w:rPr>
          <w:rFonts w:cstheme="minorHAnsi"/>
          <w:bCs/>
        </w:rPr>
        <w:t xml:space="preserve">listing </w:t>
      </w:r>
      <w:r w:rsidR="00326B76" w:rsidRPr="00F835F2">
        <w:rPr>
          <w:rFonts w:cstheme="minorHAnsi"/>
          <w:bCs/>
        </w:rPr>
        <w:t xml:space="preserve">the 150 mg PFP and </w:t>
      </w:r>
      <w:r w:rsidR="00316B51" w:rsidRPr="00F835F2">
        <w:rPr>
          <w:rFonts w:cstheme="minorHAnsi"/>
          <w:bCs/>
        </w:rPr>
        <w:t xml:space="preserve">150 mg </w:t>
      </w:r>
      <w:r w:rsidR="00326B76" w:rsidRPr="00F835F2">
        <w:rPr>
          <w:rFonts w:cstheme="minorHAnsi"/>
          <w:bCs/>
        </w:rPr>
        <w:t>PFS</w:t>
      </w:r>
      <w:r w:rsidRPr="00F835F2">
        <w:rPr>
          <w:rFonts w:cstheme="minorHAnsi"/>
          <w:bCs/>
        </w:rPr>
        <w:t xml:space="preserve">. </w:t>
      </w:r>
    </w:p>
    <w:p w14:paraId="3C201D52" w14:textId="77777777" w:rsidR="00C77202" w:rsidRDefault="00326B76" w:rsidP="003C5EC6">
      <w:pPr>
        <w:pStyle w:val="3Bodytext"/>
        <w:ind w:left="720"/>
        <w:jc w:val="both"/>
        <w:rPr>
          <w:rFonts w:cstheme="minorHAnsi"/>
          <w:bCs/>
        </w:rPr>
      </w:pPr>
      <w:bookmarkStart w:id="1" w:name="_Hlk83205378"/>
      <w:r w:rsidRPr="00F835F2">
        <w:rPr>
          <w:rFonts w:cstheme="minorHAnsi"/>
          <w:bCs/>
        </w:rPr>
        <w:t xml:space="preserve">The </w:t>
      </w:r>
      <w:r w:rsidRPr="004B3D89">
        <w:rPr>
          <w:rFonts w:cstheme="minorHAnsi"/>
          <w:bCs/>
        </w:rPr>
        <w:t xml:space="preserve">submission assumed that </w:t>
      </w:r>
      <w:r w:rsidR="002715DD">
        <w:rPr>
          <w:rFonts w:cstheme="minorHAnsi"/>
          <w:bCs/>
          <w:noProof/>
          <w:color w:val="000000"/>
          <w:highlight w:val="black"/>
        </w:rPr>
        <w:t>'''''</w:t>
      </w:r>
      <w:r w:rsidRPr="004B3D89">
        <w:rPr>
          <w:rFonts w:cstheme="minorHAnsi"/>
          <w:bCs/>
        </w:rPr>
        <w:t xml:space="preserve">% of patients </w:t>
      </w:r>
      <w:r w:rsidR="00B64EC4" w:rsidRPr="004B3D89">
        <w:rPr>
          <w:rFonts w:cstheme="minorHAnsi"/>
          <w:bCs/>
        </w:rPr>
        <w:t xml:space="preserve">would </w:t>
      </w:r>
      <w:r w:rsidRPr="004B3D89">
        <w:rPr>
          <w:rFonts w:cstheme="minorHAnsi"/>
          <w:bCs/>
        </w:rPr>
        <w:t xml:space="preserve">move to the 150 mg PFP, while the remaining </w:t>
      </w:r>
      <w:r w:rsidR="002715DD">
        <w:rPr>
          <w:rFonts w:cstheme="minorHAnsi"/>
          <w:bCs/>
          <w:noProof/>
          <w:color w:val="000000"/>
          <w:highlight w:val="black"/>
        </w:rPr>
        <w:t>''''''</w:t>
      </w:r>
      <w:r w:rsidRPr="004B3D89">
        <w:rPr>
          <w:rFonts w:cstheme="minorHAnsi"/>
          <w:bCs/>
        </w:rPr>
        <w:t>%</w:t>
      </w:r>
      <w:r w:rsidRPr="00F835F2">
        <w:rPr>
          <w:rFonts w:cstheme="minorHAnsi"/>
          <w:bCs/>
        </w:rPr>
        <w:t xml:space="preserve"> </w:t>
      </w:r>
      <w:r w:rsidR="00B64EC4">
        <w:rPr>
          <w:rFonts w:cstheme="minorHAnsi"/>
          <w:bCs/>
        </w:rPr>
        <w:t>would</w:t>
      </w:r>
      <w:r w:rsidR="00B64EC4" w:rsidRPr="00F835F2">
        <w:rPr>
          <w:rFonts w:cstheme="minorHAnsi"/>
          <w:bCs/>
        </w:rPr>
        <w:t xml:space="preserve"> </w:t>
      </w:r>
      <w:r w:rsidRPr="00F835F2">
        <w:rPr>
          <w:rFonts w:cstheme="minorHAnsi"/>
          <w:bCs/>
        </w:rPr>
        <w:t>move to the 150 mg PFS</w:t>
      </w:r>
      <w:bookmarkEnd w:id="1"/>
      <w:r w:rsidR="00684A91" w:rsidRPr="00F835F2">
        <w:rPr>
          <w:rFonts w:cstheme="minorHAnsi"/>
          <w:bCs/>
        </w:rPr>
        <w:t xml:space="preserve">. </w:t>
      </w:r>
    </w:p>
    <w:p w14:paraId="371197A6" w14:textId="77777777" w:rsidR="00E31528" w:rsidRPr="00F835F2" w:rsidRDefault="00846828" w:rsidP="003C5EC6">
      <w:pPr>
        <w:pStyle w:val="3Bodytext"/>
        <w:ind w:left="720"/>
        <w:jc w:val="both"/>
        <w:rPr>
          <w:rFonts w:cstheme="minorHAnsi"/>
          <w:bCs/>
        </w:rPr>
      </w:pPr>
      <w:r>
        <w:rPr>
          <w:rFonts w:cstheme="minorHAnsi"/>
          <w:bCs/>
        </w:rPr>
        <w:lastRenderedPageBreak/>
        <w:t>In the pre-PBAC response, the sponsor confirm</w:t>
      </w:r>
      <w:r w:rsidR="001F2355">
        <w:rPr>
          <w:rFonts w:cstheme="minorHAnsi"/>
          <w:bCs/>
        </w:rPr>
        <w:t>ed</w:t>
      </w:r>
      <w:r>
        <w:rPr>
          <w:rFonts w:cstheme="minorHAnsi"/>
          <w:bCs/>
        </w:rPr>
        <w:t xml:space="preserve"> the 75 mg strength would be discontinued </w:t>
      </w:r>
      <w:r w:rsidR="00C77202">
        <w:rPr>
          <w:rFonts w:cstheme="minorHAnsi"/>
          <w:bCs/>
        </w:rPr>
        <w:t>in the future</w:t>
      </w:r>
      <w:r>
        <w:rPr>
          <w:rFonts w:cstheme="minorHAnsi"/>
          <w:bCs/>
        </w:rPr>
        <w:t xml:space="preserve"> </w:t>
      </w:r>
      <w:r w:rsidR="00C77202">
        <w:rPr>
          <w:rFonts w:cstheme="minorHAnsi"/>
          <w:bCs/>
        </w:rPr>
        <w:t>but did not specify a date.</w:t>
      </w:r>
    </w:p>
    <w:p w14:paraId="38F3925F" w14:textId="77777777" w:rsidR="008C5888" w:rsidRPr="00F835F2" w:rsidRDefault="008C5888" w:rsidP="008C5888">
      <w:pPr>
        <w:pStyle w:val="3Bodytext"/>
        <w:numPr>
          <w:ilvl w:val="0"/>
          <w:numId w:val="0"/>
        </w:numPr>
        <w:rPr>
          <w:rFonts w:cstheme="minorHAnsi"/>
          <w:bCs/>
        </w:rPr>
      </w:pPr>
      <w:r w:rsidRPr="00F835F2">
        <w:rPr>
          <w:rFonts w:eastAsiaTheme="majorEastAsia" w:cstheme="majorBidi"/>
          <w:b/>
          <w:sz w:val="28"/>
          <w:szCs w:val="28"/>
        </w:rPr>
        <w:t>Quality use of medicines</w:t>
      </w:r>
    </w:p>
    <w:p w14:paraId="734322E5" w14:textId="77777777" w:rsidR="008C5888" w:rsidRPr="00F835F2" w:rsidRDefault="008C5888" w:rsidP="00676516">
      <w:pPr>
        <w:pStyle w:val="3Bodytext"/>
        <w:ind w:left="720"/>
        <w:jc w:val="both"/>
        <w:rPr>
          <w:rFonts w:cstheme="minorHAnsi"/>
          <w:bCs/>
        </w:rPr>
      </w:pPr>
      <w:r w:rsidRPr="00F835F2">
        <w:rPr>
          <w:rFonts w:cstheme="minorHAnsi"/>
          <w:bCs/>
        </w:rPr>
        <w:t xml:space="preserve">The submission claimed that the availability </w:t>
      </w:r>
      <w:r w:rsidR="008D4687" w:rsidRPr="00F835F2">
        <w:rPr>
          <w:rFonts w:cstheme="minorHAnsi"/>
          <w:bCs/>
        </w:rPr>
        <w:t xml:space="preserve">of </w:t>
      </w:r>
      <w:r w:rsidRPr="00F835F2">
        <w:rPr>
          <w:rFonts w:cstheme="minorHAnsi"/>
          <w:bCs/>
        </w:rPr>
        <w:t xml:space="preserve">the 150 mg PFP and </w:t>
      </w:r>
      <w:r w:rsidR="00316B51" w:rsidRPr="00F835F2">
        <w:rPr>
          <w:rFonts w:cstheme="minorHAnsi"/>
          <w:bCs/>
        </w:rPr>
        <w:t xml:space="preserve">150 mg </w:t>
      </w:r>
      <w:r w:rsidRPr="00F835F2">
        <w:rPr>
          <w:rFonts w:cstheme="minorHAnsi"/>
          <w:bCs/>
        </w:rPr>
        <w:t xml:space="preserve">PFS will reduce the burden for patients by halving the number of required injections. </w:t>
      </w:r>
    </w:p>
    <w:p w14:paraId="719EA9F8" w14:textId="77777777" w:rsidR="008C5888" w:rsidRPr="00411424" w:rsidRDefault="008C5888" w:rsidP="00201FB8">
      <w:pPr>
        <w:pStyle w:val="3Bodytext"/>
        <w:ind w:left="720"/>
        <w:jc w:val="both"/>
        <w:rPr>
          <w:rFonts w:cstheme="minorHAnsi"/>
          <w:bCs/>
        </w:rPr>
      </w:pPr>
      <w:r w:rsidRPr="00F835F2">
        <w:rPr>
          <w:rFonts w:cstheme="minorHAnsi"/>
          <w:bCs/>
        </w:rPr>
        <w:t xml:space="preserve">The submission also claimed that the </w:t>
      </w:r>
      <w:r w:rsidR="00911E32" w:rsidRPr="00F835F2">
        <w:rPr>
          <w:rFonts w:cstheme="minorHAnsi"/>
          <w:bCs/>
        </w:rPr>
        <w:t xml:space="preserve">150 mg PFP and </w:t>
      </w:r>
      <w:r w:rsidR="00316B51" w:rsidRPr="00F835F2">
        <w:rPr>
          <w:rFonts w:cstheme="minorHAnsi"/>
          <w:bCs/>
        </w:rPr>
        <w:t xml:space="preserve">150 mg </w:t>
      </w:r>
      <w:r w:rsidR="00911E32" w:rsidRPr="00F835F2">
        <w:rPr>
          <w:rFonts w:cstheme="minorHAnsi"/>
          <w:bCs/>
        </w:rPr>
        <w:t xml:space="preserve">PFS </w:t>
      </w:r>
      <w:r w:rsidRPr="00F835F2">
        <w:rPr>
          <w:rFonts w:cstheme="minorHAnsi"/>
          <w:bCs/>
        </w:rPr>
        <w:t xml:space="preserve">may help to improve quality use of medicines by reducing the risk of under-dosing with the 75 mg PFS and </w:t>
      </w:r>
      <w:r w:rsidR="00E5439F" w:rsidRPr="00F835F2">
        <w:rPr>
          <w:rFonts w:cstheme="minorHAnsi"/>
          <w:bCs/>
        </w:rPr>
        <w:t xml:space="preserve">will </w:t>
      </w:r>
      <w:r w:rsidRPr="00F835F2">
        <w:rPr>
          <w:rFonts w:cstheme="minorHAnsi"/>
          <w:bCs/>
        </w:rPr>
        <w:t>provide options to meet various patient preferences regarding choice of device.</w:t>
      </w:r>
    </w:p>
    <w:p w14:paraId="6EEB75D1" w14:textId="77777777" w:rsidR="00411424" w:rsidRPr="00C33D30" w:rsidRDefault="00411424" w:rsidP="00411424">
      <w:pPr>
        <w:ind w:firstLine="709"/>
        <w:rPr>
          <w:rFonts w:asciiTheme="minorHAnsi" w:hAnsiTheme="minorHAnsi"/>
          <w:i/>
        </w:rPr>
      </w:pPr>
      <w:bookmarkStart w:id="2" w:name="_Hlk76375324"/>
      <w:r w:rsidRPr="00C33D30">
        <w:rPr>
          <w:rFonts w:asciiTheme="minorHAnsi" w:hAnsiTheme="minorHAnsi"/>
          <w:i/>
        </w:rPr>
        <w:t xml:space="preserve">For more detail on PBAC’s view, see section </w:t>
      </w:r>
      <w:r w:rsidR="00B64EC4">
        <w:rPr>
          <w:rFonts w:asciiTheme="minorHAnsi" w:hAnsiTheme="minorHAnsi"/>
          <w:i/>
        </w:rPr>
        <w:t>6</w:t>
      </w:r>
      <w:r w:rsidRPr="00C33D30">
        <w:rPr>
          <w:rFonts w:asciiTheme="minorHAnsi" w:hAnsiTheme="minorHAnsi"/>
          <w:i/>
        </w:rPr>
        <w:t xml:space="preserve"> PBAC outcome.</w:t>
      </w:r>
    </w:p>
    <w:p w14:paraId="5A13D453" w14:textId="77777777" w:rsidR="008C59AA" w:rsidRPr="006E1229" w:rsidRDefault="008C59AA" w:rsidP="008C59AA">
      <w:pPr>
        <w:pStyle w:val="3-SubsectionHeading"/>
        <w:rPr>
          <w:lang w:eastAsia="en-AU"/>
        </w:rPr>
      </w:pPr>
      <w:bookmarkStart w:id="3" w:name="_Hlk76375935"/>
      <w:bookmarkEnd w:id="2"/>
      <w:r w:rsidRPr="006E1229">
        <w:rPr>
          <w:lang w:eastAsia="en-AU"/>
        </w:rPr>
        <w:t>Sponsor hearing</w:t>
      </w:r>
    </w:p>
    <w:p w14:paraId="45C568AA" w14:textId="77777777" w:rsidR="008C59AA" w:rsidRPr="00F91542" w:rsidRDefault="008C59AA" w:rsidP="008C59AA">
      <w:pPr>
        <w:widowControl w:val="0"/>
        <w:numPr>
          <w:ilvl w:val="1"/>
          <w:numId w:val="2"/>
        </w:numPr>
        <w:spacing w:after="120"/>
        <w:ind w:left="720"/>
        <w:rPr>
          <w:rFonts w:cs="Calibri"/>
          <w:bCs/>
          <w:snapToGrid w:val="0"/>
        </w:rPr>
      </w:pPr>
      <w:r w:rsidRPr="00F91542">
        <w:rPr>
          <w:rFonts w:cs="Calibri"/>
          <w:bCs/>
          <w:snapToGrid w:val="0"/>
        </w:rPr>
        <w:t>There was no hearing for this item.</w:t>
      </w:r>
    </w:p>
    <w:p w14:paraId="414D2CE8" w14:textId="77777777" w:rsidR="008C59AA" w:rsidRPr="006E1229" w:rsidRDefault="008C59AA" w:rsidP="008C59AA">
      <w:pPr>
        <w:pStyle w:val="3-SubsectionHeading"/>
        <w:rPr>
          <w:lang w:eastAsia="en-AU"/>
        </w:rPr>
      </w:pPr>
      <w:r w:rsidRPr="006E1229">
        <w:rPr>
          <w:lang w:eastAsia="en-AU"/>
        </w:rPr>
        <w:t>Consumer comments</w:t>
      </w:r>
    </w:p>
    <w:p w14:paraId="48C09061" w14:textId="77777777" w:rsidR="00B64EC4" w:rsidRPr="00836F75" w:rsidRDefault="008C59AA" w:rsidP="00B64EC4">
      <w:pPr>
        <w:widowControl w:val="0"/>
        <w:numPr>
          <w:ilvl w:val="1"/>
          <w:numId w:val="2"/>
        </w:numPr>
        <w:spacing w:after="120"/>
        <w:ind w:left="720"/>
        <w:rPr>
          <w:rFonts w:asciiTheme="minorHAnsi" w:hAnsiTheme="minorHAnsi" w:cs="Arial"/>
          <w:bCs/>
          <w:snapToGrid w:val="0"/>
        </w:rPr>
      </w:pPr>
      <w:bookmarkStart w:id="4" w:name="_Hlk76382618"/>
      <w:r w:rsidRPr="00836F75">
        <w:rPr>
          <w:rFonts w:asciiTheme="minorHAnsi" w:hAnsiTheme="minorHAnsi" w:cs="Arial"/>
          <w:bCs/>
          <w:snapToGrid w:val="0"/>
        </w:rPr>
        <w:t>The PBAC noted that no consumer comments were received for this item</w:t>
      </w:r>
      <w:r w:rsidR="00AE16E1">
        <w:rPr>
          <w:rFonts w:asciiTheme="minorHAnsi" w:hAnsiTheme="minorHAnsi" w:cs="Arial"/>
          <w:bCs/>
          <w:snapToGrid w:val="0"/>
        </w:rPr>
        <w:t>.</w:t>
      </w:r>
    </w:p>
    <w:p w14:paraId="1E6FB9C0" w14:textId="77777777" w:rsidR="008C59AA" w:rsidRPr="0090150D" w:rsidRDefault="008C59AA" w:rsidP="00673D10">
      <w:pPr>
        <w:pStyle w:val="2-SectionHeading"/>
      </w:pPr>
      <w:bookmarkStart w:id="5" w:name="_Hlk76381249"/>
      <w:bookmarkStart w:id="6" w:name="_Hlk76377955"/>
      <w:bookmarkEnd w:id="3"/>
      <w:bookmarkEnd w:id="4"/>
      <w:r w:rsidRPr="00673D10">
        <w:t>PBAC</w:t>
      </w:r>
      <w:r w:rsidRPr="0090150D">
        <w:t xml:space="preserve"> Outcome</w:t>
      </w:r>
    </w:p>
    <w:p w14:paraId="3F35AC6E" w14:textId="77777777" w:rsidR="003130E5" w:rsidRPr="00FB3B90" w:rsidRDefault="00AE16E1" w:rsidP="00E70C90">
      <w:pPr>
        <w:widowControl w:val="0"/>
        <w:numPr>
          <w:ilvl w:val="1"/>
          <w:numId w:val="2"/>
        </w:numPr>
        <w:spacing w:after="120"/>
        <w:ind w:left="720"/>
        <w:rPr>
          <w:rFonts w:asciiTheme="minorHAnsi" w:hAnsiTheme="minorHAnsi" w:cs="Arial"/>
          <w:snapToGrid w:val="0"/>
          <w:lang w:val="en-GB"/>
        </w:rPr>
      </w:pPr>
      <w:r w:rsidRPr="001A392F">
        <w:rPr>
          <w:rFonts w:asciiTheme="minorHAnsi" w:hAnsiTheme="minorHAnsi" w:cs="Arial"/>
          <w:snapToGrid w:val="0"/>
          <w:lang w:val="en-GB"/>
        </w:rPr>
        <w:t xml:space="preserve">The PBAC recommended the listing of </w:t>
      </w:r>
      <w:r w:rsidR="003130E5">
        <w:rPr>
          <w:rFonts w:asciiTheme="minorHAnsi" w:hAnsiTheme="minorHAnsi" w:cs="Arial"/>
          <w:snapToGrid w:val="0"/>
          <w:lang w:val="en-GB"/>
        </w:rPr>
        <w:t xml:space="preserve">risankizumab </w:t>
      </w:r>
      <w:r w:rsidR="001A392F" w:rsidRPr="00F835F2">
        <w:rPr>
          <w:rFonts w:cstheme="minorHAnsi"/>
          <w:bCs/>
        </w:rPr>
        <w:t>150 mg/1 mL PFP and 150 mg/1</w:t>
      </w:r>
      <w:r w:rsidR="00B64EC4">
        <w:rPr>
          <w:rFonts w:cstheme="minorHAnsi"/>
          <w:bCs/>
        </w:rPr>
        <w:t> </w:t>
      </w:r>
      <w:r w:rsidR="001A392F" w:rsidRPr="00F835F2">
        <w:rPr>
          <w:rFonts w:cstheme="minorHAnsi"/>
          <w:bCs/>
        </w:rPr>
        <w:t>mL PFS under the same circumstances as the currently listed risankizumab 75 mg/0.83 mL PFS</w:t>
      </w:r>
      <w:r w:rsidR="003130E5">
        <w:rPr>
          <w:rFonts w:cstheme="minorHAnsi"/>
          <w:bCs/>
        </w:rPr>
        <w:t>.</w:t>
      </w:r>
    </w:p>
    <w:p w14:paraId="0924BBDA" w14:textId="77777777" w:rsidR="00FB3B90" w:rsidRPr="00501BE2" w:rsidRDefault="00FB3B90" w:rsidP="00E70C90">
      <w:pPr>
        <w:widowControl w:val="0"/>
        <w:numPr>
          <w:ilvl w:val="1"/>
          <w:numId w:val="2"/>
        </w:numPr>
        <w:spacing w:after="120"/>
        <w:ind w:left="720"/>
        <w:rPr>
          <w:rFonts w:asciiTheme="minorHAnsi" w:hAnsiTheme="minorHAnsi" w:cs="Arial"/>
          <w:snapToGrid w:val="0"/>
          <w:lang w:val="en-GB"/>
        </w:rPr>
      </w:pPr>
      <w:r>
        <w:rPr>
          <w:rFonts w:cstheme="minorHAnsi"/>
          <w:bCs/>
        </w:rPr>
        <w:t xml:space="preserve">The PBAC considered that risankizumab 150 mg PFP and PFS were likely to be equivalent in efficacy and safety </w:t>
      </w:r>
      <w:r w:rsidR="0060528D">
        <w:rPr>
          <w:rFonts w:cstheme="minorHAnsi"/>
          <w:bCs/>
        </w:rPr>
        <w:t xml:space="preserve">when </w:t>
      </w:r>
      <w:r w:rsidR="0060528D" w:rsidRPr="00F835F2">
        <w:rPr>
          <w:rFonts w:cstheme="minorHAnsi"/>
          <w:bCs/>
        </w:rPr>
        <w:t xml:space="preserve">compared </w:t>
      </w:r>
      <w:r w:rsidR="006B3851">
        <w:rPr>
          <w:rFonts w:cstheme="minorHAnsi"/>
          <w:bCs/>
        </w:rPr>
        <w:t>to</w:t>
      </w:r>
      <w:r w:rsidR="0060528D" w:rsidRPr="00F835F2">
        <w:rPr>
          <w:rFonts w:cstheme="minorHAnsi"/>
          <w:bCs/>
        </w:rPr>
        <w:t xml:space="preserve"> </w:t>
      </w:r>
      <w:r w:rsidR="0060528D">
        <w:rPr>
          <w:rFonts w:cstheme="minorHAnsi"/>
          <w:bCs/>
        </w:rPr>
        <w:t xml:space="preserve">risankizumab </w:t>
      </w:r>
      <w:r w:rsidR="0060528D" w:rsidRPr="00F835F2">
        <w:rPr>
          <w:rFonts w:cstheme="minorHAnsi"/>
          <w:bCs/>
        </w:rPr>
        <w:t>75 mg/0.83 mL PFS</w:t>
      </w:r>
      <w:r w:rsidR="0060528D">
        <w:rPr>
          <w:rFonts w:cstheme="minorHAnsi"/>
          <w:bCs/>
        </w:rPr>
        <w:t xml:space="preserve"> </w:t>
      </w:r>
      <w:r>
        <w:rPr>
          <w:rFonts w:cstheme="minorHAnsi"/>
          <w:bCs/>
        </w:rPr>
        <w:t>based on the TGA evaluation.</w:t>
      </w:r>
    </w:p>
    <w:p w14:paraId="61473D09" w14:textId="77777777" w:rsidR="00A64E11" w:rsidRPr="005A7B7D" w:rsidRDefault="00A64E11" w:rsidP="00A64E11">
      <w:pPr>
        <w:widowControl w:val="0"/>
        <w:numPr>
          <w:ilvl w:val="1"/>
          <w:numId w:val="2"/>
        </w:numPr>
        <w:spacing w:after="120"/>
        <w:ind w:left="720"/>
        <w:rPr>
          <w:rFonts w:asciiTheme="minorHAnsi" w:hAnsiTheme="minorHAnsi" w:cs="Arial"/>
          <w:snapToGrid w:val="0"/>
          <w:lang w:val="en-GB"/>
        </w:rPr>
      </w:pPr>
      <w:r>
        <w:rPr>
          <w:rFonts w:cstheme="minorHAnsi"/>
          <w:bCs/>
        </w:rPr>
        <w:t xml:space="preserve">Consistent with Section 101(3B) of the Act, the PBAC advised that </w:t>
      </w:r>
      <w:r>
        <w:rPr>
          <w:rFonts w:asciiTheme="minorHAnsi" w:hAnsiTheme="minorHAnsi" w:cs="Arial"/>
          <w:snapToGrid w:val="0"/>
          <w:lang w:val="en-GB"/>
        </w:rPr>
        <w:t xml:space="preserve">risankizumab PFP and PFS </w:t>
      </w:r>
      <w:r>
        <w:t>should be cost-minimised to the lowest cost biological agent available for severe CPP, noting that any of the current PBS listed bDMARDs for severe CPP could be an alternative therapy to risankizumab.</w:t>
      </w:r>
      <w:r w:rsidRPr="00516D15">
        <w:t xml:space="preserve"> </w:t>
      </w:r>
      <w:r>
        <w:t>R</w:t>
      </w:r>
      <w:r w:rsidRPr="00516D15">
        <w:t xml:space="preserve">elevant </w:t>
      </w:r>
      <w:r>
        <w:t xml:space="preserve">PBS-listed </w:t>
      </w:r>
      <w:r w:rsidRPr="00516D15">
        <w:t xml:space="preserve">comparators include adalimumab, etanercept, </w:t>
      </w:r>
      <w:r>
        <w:t xml:space="preserve">guselkumab, </w:t>
      </w:r>
      <w:r w:rsidRPr="00516D15">
        <w:t xml:space="preserve">infliximab, ixekizumab, </w:t>
      </w:r>
      <w:r>
        <w:t xml:space="preserve">Risankizumab, </w:t>
      </w:r>
      <w:r w:rsidRPr="00516D15">
        <w:t>secukinumab, tildrakizumab and ustekinumab</w:t>
      </w:r>
      <w:r>
        <w:t>.</w:t>
      </w:r>
    </w:p>
    <w:p w14:paraId="04FD6DDF" w14:textId="77777777" w:rsidR="006B3851" w:rsidRPr="006B3851" w:rsidRDefault="006B3851" w:rsidP="00AA35BB">
      <w:pPr>
        <w:pStyle w:val="3Bodytext"/>
        <w:ind w:left="720"/>
        <w:jc w:val="both"/>
        <w:rPr>
          <w:rFonts w:cs="Arial"/>
          <w:snapToGrid w:val="0"/>
          <w:lang w:val="en-GB"/>
        </w:rPr>
      </w:pPr>
      <w:r w:rsidRPr="00F835F2">
        <w:rPr>
          <w:rFonts w:cstheme="minorHAnsi"/>
          <w:bCs/>
        </w:rPr>
        <w:t xml:space="preserve">The </w:t>
      </w:r>
      <w:r>
        <w:rPr>
          <w:rFonts w:cstheme="minorHAnsi"/>
          <w:bCs/>
        </w:rPr>
        <w:t xml:space="preserve">PBAC considered the </w:t>
      </w:r>
      <w:r w:rsidRPr="00F835F2">
        <w:rPr>
          <w:rFonts w:cstheme="minorHAnsi"/>
          <w:bCs/>
        </w:rPr>
        <w:t>requested maximum quantities and repeats are appropriate as the 150 mg PFP and 150 mg PFS are intended to be used in place of the 75</w:t>
      </w:r>
      <w:r w:rsidR="004461F7">
        <w:rPr>
          <w:rFonts w:cstheme="minorHAnsi"/>
          <w:bCs/>
        </w:rPr>
        <w:t> </w:t>
      </w:r>
      <w:r w:rsidRPr="00F835F2">
        <w:rPr>
          <w:rFonts w:cstheme="minorHAnsi"/>
          <w:bCs/>
        </w:rPr>
        <w:t>mg PFS (two pack) (item codes: 11827L for initial treatment, and 11858D for continuing treatment).</w:t>
      </w:r>
    </w:p>
    <w:p w14:paraId="096CB132" w14:textId="77777777" w:rsidR="005A7B7D" w:rsidRPr="005A7B7D" w:rsidRDefault="005A7B7D" w:rsidP="005A7B7D">
      <w:pPr>
        <w:pStyle w:val="3Bodytext"/>
        <w:ind w:left="720"/>
        <w:jc w:val="both"/>
        <w:rPr>
          <w:rFonts w:cstheme="minorHAnsi"/>
          <w:bCs/>
        </w:rPr>
      </w:pPr>
      <w:r w:rsidRPr="00F835F2">
        <w:rPr>
          <w:rFonts w:cstheme="minorHAnsi"/>
          <w:bCs/>
        </w:rPr>
        <w:t xml:space="preserve">The </w:t>
      </w:r>
      <w:r>
        <w:rPr>
          <w:rFonts w:cstheme="minorHAnsi"/>
          <w:bCs/>
        </w:rPr>
        <w:t>PBAC</w:t>
      </w:r>
      <w:r w:rsidRPr="00F835F2">
        <w:rPr>
          <w:rFonts w:cstheme="minorHAnsi"/>
          <w:bCs/>
        </w:rPr>
        <w:t xml:space="preserve"> considered</w:t>
      </w:r>
      <w:r w:rsidR="00516D15">
        <w:rPr>
          <w:rFonts w:cstheme="minorHAnsi"/>
          <w:bCs/>
        </w:rPr>
        <w:t xml:space="preserve"> it appropriate to</w:t>
      </w:r>
      <w:r w:rsidR="00814B6F">
        <w:rPr>
          <w:rFonts w:cstheme="minorHAnsi"/>
          <w:bCs/>
        </w:rPr>
        <w:t xml:space="preserve"> include </w:t>
      </w:r>
      <w:r w:rsidRPr="00F835F2">
        <w:rPr>
          <w:rFonts w:cstheme="minorHAnsi"/>
          <w:bCs/>
        </w:rPr>
        <w:t xml:space="preserve">administrative advice </w:t>
      </w:r>
      <w:r w:rsidR="00814B6F">
        <w:rPr>
          <w:rFonts w:cstheme="minorHAnsi"/>
          <w:bCs/>
        </w:rPr>
        <w:t>noting PFP and PFS are not to be prescribed concurrently</w:t>
      </w:r>
      <w:r w:rsidR="0014032B">
        <w:rPr>
          <w:rFonts w:cstheme="minorHAnsi"/>
          <w:bCs/>
        </w:rPr>
        <w:t>.</w:t>
      </w:r>
      <w:r w:rsidR="00EA7138">
        <w:rPr>
          <w:rFonts w:cstheme="minorHAnsi"/>
          <w:bCs/>
        </w:rPr>
        <w:t xml:space="preserve"> </w:t>
      </w:r>
      <w:r w:rsidR="0014032B">
        <w:rPr>
          <w:rFonts w:cstheme="minorHAnsi"/>
          <w:bCs/>
        </w:rPr>
        <w:t>T</w:t>
      </w:r>
      <w:r w:rsidR="00EA7138">
        <w:rPr>
          <w:rFonts w:cstheme="minorHAnsi"/>
          <w:bCs/>
        </w:rPr>
        <w:t>his should flow on to the existing 75 mg PFS listing</w:t>
      </w:r>
      <w:r w:rsidRPr="00F835F2">
        <w:rPr>
          <w:rFonts w:cstheme="minorHAnsi"/>
          <w:bCs/>
        </w:rPr>
        <w:t xml:space="preserve">. </w:t>
      </w:r>
    </w:p>
    <w:p w14:paraId="29D692F2" w14:textId="77777777" w:rsidR="008C59AA" w:rsidRPr="007A58E5" w:rsidRDefault="008C59AA" w:rsidP="007A58E5">
      <w:pPr>
        <w:pStyle w:val="3Bodytext"/>
        <w:ind w:left="720"/>
        <w:jc w:val="both"/>
        <w:rPr>
          <w:rFonts w:cstheme="minorHAnsi"/>
          <w:bCs/>
        </w:rPr>
      </w:pPr>
      <w:r w:rsidRPr="007A58E5">
        <w:rPr>
          <w:rFonts w:cs="Arial"/>
          <w:bCs/>
          <w:snapToGrid w:val="0"/>
          <w:lang w:val="en-GB"/>
        </w:rPr>
        <w:t>The PBAC advised, under Section 101 (4AACD) of the</w:t>
      </w:r>
      <w:r w:rsidR="00AA35BB">
        <w:rPr>
          <w:rFonts w:cs="Arial"/>
          <w:bCs/>
          <w:snapToGrid w:val="0"/>
          <w:lang w:val="en-GB"/>
        </w:rPr>
        <w:t xml:space="preserve"> Act</w:t>
      </w:r>
      <w:r w:rsidRPr="007A58E5">
        <w:rPr>
          <w:rFonts w:cs="Arial"/>
          <w:bCs/>
          <w:snapToGrid w:val="0"/>
          <w:lang w:val="en-GB"/>
        </w:rPr>
        <w:t>, that</w:t>
      </w:r>
      <w:r w:rsidR="007A58E5" w:rsidRPr="007A58E5">
        <w:rPr>
          <w:rFonts w:cs="Arial"/>
          <w:bCs/>
          <w:snapToGrid w:val="0"/>
          <w:lang w:val="en-GB"/>
        </w:rPr>
        <w:t xml:space="preserve"> risankizumab 150 mg PFP</w:t>
      </w:r>
      <w:r w:rsidRPr="007A58E5">
        <w:rPr>
          <w:rFonts w:cs="Arial"/>
          <w:bCs/>
          <w:snapToGrid w:val="0"/>
          <w:lang w:val="en-GB"/>
        </w:rPr>
        <w:t xml:space="preserve"> and</w:t>
      </w:r>
      <w:r w:rsidR="007A58E5" w:rsidRPr="007A58E5">
        <w:rPr>
          <w:rFonts w:cs="Arial"/>
          <w:bCs/>
          <w:snapToGrid w:val="0"/>
          <w:lang w:val="en-GB"/>
        </w:rPr>
        <w:t xml:space="preserve"> risankizumab 150 mg PFS</w:t>
      </w:r>
      <w:r w:rsidRPr="007A58E5">
        <w:rPr>
          <w:rFonts w:cs="Arial"/>
          <w:bCs/>
          <w:snapToGrid w:val="0"/>
          <w:lang w:val="en-GB"/>
        </w:rPr>
        <w:t xml:space="preserve"> should</w:t>
      </w:r>
      <w:r w:rsidR="00EB38A8">
        <w:rPr>
          <w:rFonts w:cs="Arial"/>
          <w:bCs/>
          <w:snapToGrid w:val="0"/>
          <w:lang w:val="en-GB"/>
        </w:rPr>
        <w:t xml:space="preserve"> not</w:t>
      </w:r>
      <w:r w:rsidRPr="007A58E5">
        <w:rPr>
          <w:rFonts w:cs="Arial"/>
          <w:bCs/>
          <w:snapToGrid w:val="0"/>
          <w:lang w:val="en-GB"/>
        </w:rPr>
        <w:t xml:space="preserve"> be considered equivalent for the purposes of substitution (i.e., ‘a’ flagged in the Schedule)</w:t>
      </w:r>
      <w:r w:rsidR="0014032B">
        <w:rPr>
          <w:rFonts w:cs="Arial"/>
          <w:bCs/>
          <w:snapToGrid w:val="0"/>
          <w:lang w:val="en-GB"/>
        </w:rPr>
        <w:t>.</w:t>
      </w:r>
    </w:p>
    <w:p w14:paraId="27D02834" w14:textId="77777777" w:rsidR="0014032B" w:rsidRDefault="0014032B" w:rsidP="0014032B">
      <w:pPr>
        <w:pStyle w:val="3Bodytext"/>
        <w:ind w:left="720"/>
        <w:jc w:val="both"/>
        <w:rPr>
          <w:rFonts w:cstheme="minorHAnsi"/>
          <w:bCs/>
        </w:rPr>
      </w:pPr>
      <w:r>
        <w:rPr>
          <w:rFonts w:cstheme="minorHAnsi"/>
          <w:bCs/>
        </w:rPr>
        <w:lastRenderedPageBreak/>
        <w:t xml:space="preserve">The PBAC </w:t>
      </w:r>
      <w:r w:rsidR="004461F7">
        <w:rPr>
          <w:rFonts w:cstheme="minorHAnsi"/>
          <w:bCs/>
        </w:rPr>
        <w:t>considered that the</w:t>
      </w:r>
      <w:r w:rsidRPr="00F835F2">
        <w:rPr>
          <w:rFonts w:cstheme="minorHAnsi"/>
          <w:bCs/>
        </w:rPr>
        <w:t xml:space="preserve"> </w:t>
      </w:r>
      <w:r w:rsidR="00EB38A8">
        <w:rPr>
          <w:rFonts w:cstheme="minorHAnsi"/>
          <w:bCs/>
        </w:rPr>
        <w:t xml:space="preserve">listing </w:t>
      </w:r>
      <w:r w:rsidRPr="00F835F2">
        <w:rPr>
          <w:rFonts w:cstheme="minorHAnsi"/>
          <w:bCs/>
        </w:rPr>
        <w:t>the 150 mg PFP and 150</w:t>
      </w:r>
      <w:r w:rsidR="00EB38A8">
        <w:rPr>
          <w:rFonts w:cstheme="minorHAnsi"/>
          <w:bCs/>
        </w:rPr>
        <w:t> </w:t>
      </w:r>
      <w:r w:rsidRPr="00F835F2">
        <w:rPr>
          <w:rFonts w:cstheme="minorHAnsi"/>
          <w:bCs/>
        </w:rPr>
        <w:t xml:space="preserve">mg PFS </w:t>
      </w:r>
      <w:r w:rsidR="00EB38A8">
        <w:rPr>
          <w:rFonts w:cstheme="minorHAnsi"/>
          <w:bCs/>
        </w:rPr>
        <w:t>would</w:t>
      </w:r>
      <w:r w:rsidRPr="00F835F2">
        <w:rPr>
          <w:rFonts w:cstheme="minorHAnsi"/>
          <w:bCs/>
        </w:rPr>
        <w:t xml:space="preserve"> </w:t>
      </w:r>
      <w:r w:rsidR="004461F7">
        <w:rPr>
          <w:rFonts w:cstheme="minorHAnsi"/>
          <w:bCs/>
        </w:rPr>
        <w:t>not result in any additional cost to government</w:t>
      </w:r>
      <w:r w:rsidRPr="00F835F2">
        <w:rPr>
          <w:rFonts w:cstheme="minorHAnsi"/>
          <w:bCs/>
        </w:rPr>
        <w:t>.</w:t>
      </w:r>
    </w:p>
    <w:p w14:paraId="77A32802" w14:textId="77777777" w:rsidR="008C59AA" w:rsidRPr="00510BA0" w:rsidRDefault="008C59AA" w:rsidP="00510BA0">
      <w:pPr>
        <w:pStyle w:val="3Bodytext"/>
        <w:ind w:left="709"/>
        <w:rPr>
          <w:bCs/>
          <w:lang w:val="en-GB"/>
        </w:rPr>
      </w:pPr>
      <w:r w:rsidRPr="004B356D">
        <w:rPr>
          <w:lang w:val="en-GB"/>
        </w:rPr>
        <w:t xml:space="preserve">The PBAC noted that its recommendation was on a cost-minimisation basis and advised that, because </w:t>
      </w:r>
      <w:r w:rsidR="003130E5" w:rsidRPr="004B356D">
        <w:rPr>
          <w:lang w:val="en-GB"/>
        </w:rPr>
        <w:t>risankizumab 150 mg PFP and PFS are</w:t>
      </w:r>
      <w:r w:rsidRPr="004B356D">
        <w:rPr>
          <w:lang w:val="en-GB"/>
        </w:rPr>
        <w:t xml:space="preserve"> not expected to provide a substantial</w:t>
      </w:r>
      <w:r w:rsidRPr="004B356D">
        <w:rPr>
          <w:bCs/>
          <w:lang w:val="en-GB"/>
        </w:rPr>
        <w:t xml:space="preserve"> and clinically relevant improvement in efficacy, or reduction of toxicity, over </w:t>
      </w:r>
      <w:r w:rsidR="003130E5" w:rsidRPr="004B356D">
        <w:rPr>
          <w:bCs/>
          <w:lang w:val="en-GB"/>
        </w:rPr>
        <w:t>risankizumab 75 mg PFS</w:t>
      </w:r>
      <w:r w:rsidRPr="004B356D">
        <w:rPr>
          <w:bCs/>
          <w:lang w:val="en-GB"/>
        </w:rPr>
        <w:t xml:space="preserve">, or not expected to address a high and urgent unmet clinical need given the presence of an alternative therapy, the criteria prescribed by the </w:t>
      </w:r>
      <w:r w:rsidRPr="004B356D">
        <w:rPr>
          <w:bCs/>
          <w:i/>
          <w:lang w:val="en-GB"/>
        </w:rPr>
        <w:t>National Health (Pharmaceuticals and Vaccines – Cost Recovery) Regulations 2009</w:t>
      </w:r>
      <w:r w:rsidRPr="004B356D">
        <w:rPr>
          <w:bCs/>
          <w:lang w:val="en-GB"/>
        </w:rPr>
        <w:t xml:space="preserve"> for Pricing Pathway A were not met.</w:t>
      </w:r>
    </w:p>
    <w:p w14:paraId="4942BBC1" w14:textId="77777777" w:rsidR="008C59AA" w:rsidRDefault="008C59AA" w:rsidP="001A392F">
      <w:pPr>
        <w:widowControl w:val="0"/>
        <w:numPr>
          <w:ilvl w:val="1"/>
          <w:numId w:val="2"/>
        </w:numPr>
        <w:spacing w:after="120"/>
        <w:ind w:left="720"/>
        <w:rPr>
          <w:rFonts w:asciiTheme="minorHAnsi" w:hAnsiTheme="minorHAnsi" w:cs="Arial"/>
          <w:bCs/>
          <w:i/>
          <w:snapToGrid w:val="0"/>
          <w:lang w:val="en-GB"/>
        </w:rPr>
      </w:pPr>
      <w:r w:rsidRPr="00525B39">
        <w:rPr>
          <w:rFonts w:asciiTheme="minorHAnsi" w:hAnsiTheme="minorHAnsi" w:cs="Arial"/>
          <w:bCs/>
          <w:snapToGrid w:val="0"/>
          <w:lang w:val="en-GB"/>
        </w:rPr>
        <w:t>The PBAC noted that this submission is not eligible for an Independent Review</w:t>
      </w:r>
      <w:r w:rsidR="003130E5">
        <w:rPr>
          <w:rFonts w:asciiTheme="minorHAnsi" w:hAnsiTheme="minorHAnsi" w:cs="Arial"/>
          <w:bCs/>
          <w:snapToGrid w:val="0"/>
          <w:lang w:val="en-GB"/>
        </w:rPr>
        <w:t xml:space="preserve"> as it received a positive recommendation.</w:t>
      </w:r>
    </w:p>
    <w:p w14:paraId="2029ABAA" w14:textId="77777777" w:rsidR="008C59AA" w:rsidRPr="00525B39" w:rsidRDefault="008C59AA" w:rsidP="008C59AA">
      <w:pPr>
        <w:spacing w:before="240"/>
        <w:rPr>
          <w:rFonts w:asciiTheme="minorHAnsi" w:hAnsiTheme="minorHAnsi" w:cs="Arial"/>
          <w:b/>
          <w:bCs/>
          <w:snapToGrid w:val="0"/>
          <w:lang w:val="en-GB"/>
        </w:rPr>
      </w:pPr>
      <w:r w:rsidRPr="00525B39">
        <w:rPr>
          <w:rFonts w:asciiTheme="minorHAnsi" w:hAnsiTheme="minorHAnsi" w:cs="Arial"/>
          <w:b/>
          <w:bCs/>
          <w:snapToGrid w:val="0"/>
          <w:lang w:val="en-GB"/>
        </w:rPr>
        <w:t>Outcome:</w:t>
      </w:r>
    </w:p>
    <w:p w14:paraId="79AB5658" w14:textId="77777777" w:rsidR="008C59AA" w:rsidRPr="00673D10" w:rsidRDefault="008C59AA" w:rsidP="00673D10">
      <w:pPr>
        <w:rPr>
          <w:rFonts w:asciiTheme="minorHAnsi" w:hAnsiTheme="minorHAnsi" w:cs="Arial"/>
          <w:bCs/>
          <w:snapToGrid w:val="0"/>
          <w:lang w:val="en-GB"/>
        </w:rPr>
      </w:pPr>
      <w:r w:rsidRPr="00525B39">
        <w:rPr>
          <w:rFonts w:asciiTheme="minorHAnsi" w:hAnsiTheme="minorHAnsi" w:cs="Arial"/>
          <w:bCs/>
          <w:snapToGrid w:val="0"/>
          <w:lang w:val="en-GB"/>
        </w:rPr>
        <w:t xml:space="preserve">Recommended </w:t>
      </w:r>
    </w:p>
    <w:bookmarkEnd w:id="5"/>
    <w:p w14:paraId="3D1C7A03" w14:textId="77777777" w:rsidR="008C59AA" w:rsidRPr="00F237A4" w:rsidRDefault="008C59AA" w:rsidP="00673D10">
      <w:pPr>
        <w:pStyle w:val="2-SectionHeading"/>
        <w:rPr>
          <w:b w:val="0"/>
          <w:iCs/>
          <w:lang w:val="en-GB"/>
        </w:rPr>
      </w:pPr>
      <w:r w:rsidRPr="00525B39">
        <w:rPr>
          <w:lang w:val="en-GB"/>
        </w:rPr>
        <w:t>Recommended listing</w:t>
      </w:r>
    </w:p>
    <w:p w14:paraId="08818B4D" w14:textId="77777777" w:rsidR="00BF6B64" w:rsidRDefault="00BF6B64" w:rsidP="000A7568">
      <w:pPr>
        <w:widowControl w:val="0"/>
        <w:numPr>
          <w:ilvl w:val="1"/>
          <w:numId w:val="2"/>
        </w:numPr>
        <w:spacing w:before="240" w:after="120"/>
        <w:ind w:left="720"/>
        <w:contextualSpacing/>
        <w:rPr>
          <w:rFonts w:asciiTheme="minorHAnsi" w:hAnsiTheme="minorHAnsi" w:cs="Arial"/>
          <w:bCs/>
          <w:snapToGrid w:val="0"/>
        </w:rPr>
      </w:pPr>
      <w:r w:rsidRPr="00F835F2">
        <w:rPr>
          <w:rFonts w:cstheme="minorHAnsi"/>
          <w:bCs/>
        </w:rPr>
        <w:t xml:space="preserve">Add new </w:t>
      </w:r>
      <w:r>
        <w:rPr>
          <w:rFonts w:cstheme="minorHAnsi"/>
          <w:bCs/>
        </w:rPr>
        <w:t>ite</w:t>
      </w:r>
      <w:r w:rsidR="000A7568">
        <w:rPr>
          <w:rFonts w:cstheme="minorHAnsi"/>
          <w:bCs/>
        </w:rPr>
        <w:t>ms</w:t>
      </w:r>
      <w:r w:rsidRPr="00F835F2">
        <w:rPr>
          <w:rFonts w:cstheme="minorHAnsi"/>
          <w:bCs/>
        </w:rPr>
        <w:t>:</w:t>
      </w:r>
    </w:p>
    <w:p w14:paraId="6CC9C404" w14:textId="77777777" w:rsidR="000A7568" w:rsidRPr="000A7568" w:rsidRDefault="000A7568" w:rsidP="000A7568">
      <w:pPr>
        <w:widowControl w:val="0"/>
        <w:spacing w:after="120"/>
        <w:contextualSpacing/>
        <w:rPr>
          <w:rFonts w:asciiTheme="minorHAnsi" w:hAnsiTheme="minorHAnsi" w:cs="Arial"/>
          <w:bCs/>
          <w:snapToGrid w:val="0"/>
        </w:rPr>
      </w:pPr>
    </w:p>
    <w:tbl>
      <w:tblPr>
        <w:tblW w:w="8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4"/>
        <w:gridCol w:w="993"/>
        <w:gridCol w:w="850"/>
        <w:gridCol w:w="851"/>
        <w:gridCol w:w="708"/>
        <w:gridCol w:w="1559"/>
      </w:tblGrid>
      <w:tr w:rsidR="00BF6B64" w:rsidRPr="00F835F2" w14:paraId="0F7BF9C5" w14:textId="77777777" w:rsidTr="00AB2813">
        <w:trPr>
          <w:cantSplit/>
          <w:trHeight w:val="471"/>
        </w:trPr>
        <w:tc>
          <w:tcPr>
            <w:tcW w:w="3964" w:type="dxa"/>
          </w:tcPr>
          <w:p w14:paraId="1371AC64" w14:textId="77777777" w:rsidR="00BF6B64" w:rsidRPr="00F835F2" w:rsidRDefault="00BF6B64" w:rsidP="00AB2813">
            <w:pPr>
              <w:keepNext/>
              <w:ind w:left="-108"/>
              <w:rPr>
                <w:rFonts w:ascii="Arial Narrow" w:hAnsi="Arial Narrow" w:cs="Arial"/>
                <w:b/>
                <w:bCs/>
                <w:sz w:val="20"/>
                <w:szCs w:val="20"/>
              </w:rPr>
            </w:pPr>
            <w:r w:rsidRPr="00F835F2">
              <w:rPr>
                <w:rFonts w:ascii="Arial Narrow" w:hAnsi="Arial Narrow" w:cs="Arial"/>
                <w:b/>
                <w:bCs/>
                <w:sz w:val="20"/>
                <w:szCs w:val="20"/>
              </w:rPr>
              <w:t>MEDICINAL PRODUCT</w:t>
            </w:r>
          </w:p>
          <w:p w14:paraId="0AEF3134" w14:textId="77777777" w:rsidR="00BF6B64" w:rsidRPr="00F835F2" w:rsidRDefault="00BF6B64" w:rsidP="00AB2813">
            <w:pPr>
              <w:keepNext/>
              <w:ind w:left="-108"/>
              <w:rPr>
                <w:rFonts w:ascii="Arial Narrow" w:hAnsi="Arial Narrow" w:cs="Arial"/>
                <w:b/>
                <w:bCs/>
                <w:sz w:val="20"/>
                <w:szCs w:val="20"/>
              </w:rPr>
            </w:pPr>
            <w:r w:rsidRPr="00F835F2">
              <w:rPr>
                <w:rFonts w:ascii="Arial Narrow" w:hAnsi="Arial Narrow" w:cs="Arial"/>
                <w:b/>
                <w:bCs/>
                <w:sz w:val="20"/>
                <w:szCs w:val="20"/>
              </w:rPr>
              <w:t>Medicinal Product Pack</w:t>
            </w:r>
          </w:p>
        </w:tc>
        <w:tc>
          <w:tcPr>
            <w:tcW w:w="993" w:type="dxa"/>
          </w:tcPr>
          <w:p w14:paraId="153F4633" w14:textId="77777777" w:rsidR="00BF6B64" w:rsidRPr="00F835F2" w:rsidRDefault="00BF6B64" w:rsidP="00AB2813">
            <w:pPr>
              <w:keepNext/>
              <w:ind w:left="-108"/>
              <w:jc w:val="center"/>
              <w:rPr>
                <w:rFonts w:ascii="Arial Narrow" w:hAnsi="Arial Narrow" w:cs="Arial"/>
                <w:b/>
                <w:sz w:val="20"/>
                <w:szCs w:val="20"/>
              </w:rPr>
            </w:pPr>
            <w:r w:rsidRPr="00F835F2">
              <w:rPr>
                <w:rFonts w:ascii="Arial Narrow" w:hAnsi="Arial Narrow" w:cs="Arial"/>
                <w:b/>
                <w:sz w:val="20"/>
                <w:szCs w:val="20"/>
              </w:rPr>
              <w:t>PBS item code</w:t>
            </w:r>
          </w:p>
        </w:tc>
        <w:tc>
          <w:tcPr>
            <w:tcW w:w="850" w:type="dxa"/>
          </w:tcPr>
          <w:p w14:paraId="3774CFBF" w14:textId="77777777" w:rsidR="00BF6B64" w:rsidRPr="00F835F2" w:rsidRDefault="00BF6B64" w:rsidP="00AB2813">
            <w:pPr>
              <w:keepNext/>
              <w:ind w:left="-108"/>
              <w:jc w:val="center"/>
              <w:rPr>
                <w:rFonts w:ascii="Arial Narrow" w:hAnsi="Arial Narrow" w:cs="Arial"/>
                <w:b/>
                <w:sz w:val="20"/>
                <w:szCs w:val="20"/>
              </w:rPr>
            </w:pPr>
            <w:r w:rsidRPr="00F835F2">
              <w:rPr>
                <w:rFonts w:ascii="Arial Narrow" w:hAnsi="Arial Narrow" w:cs="Arial"/>
                <w:b/>
                <w:sz w:val="20"/>
                <w:szCs w:val="20"/>
              </w:rPr>
              <w:t>Max. qty packs</w:t>
            </w:r>
          </w:p>
        </w:tc>
        <w:tc>
          <w:tcPr>
            <w:tcW w:w="851" w:type="dxa"/>
          </w:tcPr>
          <w:p w14:paraId="1752953A" w14:textId="77777777" w:rsidR="00BF6B64" w:rsidRPr="00F835F2" w:rsidRDefault="00BF6B64" w:rsidP="00AB2813">
            <w:pPr>
              <w:keepNext/>
              <w:ind w:left="-108"/>
              <w:jc w:val="center"/>
              <w:rPr>
                <w:rFonts w:ascii="Arial Narrow" w:hAnsi="Arial Narrow" w:cs="Arial"/>
                <w:b/>
                <w:sz w:val="20"/>
                <w:szCs w:val="20"/>
              </w:rPr>
            </w:pPr>
            <w:r w:rsidRPr="00F835F2">
              <w:rPr>
                <w:rFonts w:ascii="Arial Narrow" w:hAnsi="Arial Narrow" w:cs="Arial"/>
                <w:b/>
                <w:sz w:val="20"/>
                <w:szCs w:val="20"/>
              </w:rPr>
              <w:t>Max. qty units</w:t>
            </w:r>
          </w:p>
        </w:tc>
        <w:tc>
          <w:tcPr>
            <w:tcW w:w="708" w:type="dxa"/>
          </w:tcPr>
          <w:p w14:paraId="56338672" w14:textId="77777777" w:rsidR="00BF6B64" w:rsidRPr="00F835F2" w:rsidRDefault="00BF6B64" w:rsidP="00AB2813">
            <w:pPr>
              <w:keepNext/>
              <w:ind w:left="-108"/>
              <w:jc w:val="center"/>
              <w:rPr>
                <w:rFonts w:ascii="Arial Narrow" w:hAnsi="Arial Narrow" w:cs="Arial"/>
                <w:b/>
                <w:sz w:val="20"/>
                <w:szCs w:val="20"/>
              </w:rPr>
            </w:pPr>
            <w:r w:rsidRPr="00F835F2">
              <w:rPr>
                <w:rFonts w:ascii="Arial Narrow" w:hAnsi="Arial Narrow" w:cs="Arial"/>
                <w:b/>
                <w:sz w:val="20"/>
                <w:szCs w:val="20"/>
              </w:rPr>
              <w:t>№.of</w:t>
            </w:r>
          </w:p>
          <w:p w14:paraId="11B99BFC" w14:textId="77777777" w:rsidR="00BF6B64" w:rsidRPr="00F835F2" w:rsidRDefault="00BF6B64" w:rsidP="00AB2813">
            <w:pPr>
              <w:keepNext/>
              <w:ind w:left="-108"/>
              <w:jc w:val="center"/>
              <w:rPr>
                <w:rFonts w:ascii="Arial Narrow" w:hAnsi="Arial Narrow" w:cs="Arial"/>
                <w:b/>
                <w:sz w:val="20"/>
                <w:szCs w:val="20"/>
              </w:rPr>
            </w:pPr>
            <w:r w:rsidRPr="00F835F2">
              <w:rPr>
                <w:rFonts w:ascii="Arial Narrow" w:hAnsi="Arial Narrow" w:cs="Arial"/>
                <w:b/>
                <w:sz w:val="20"/>
                <w:szCs w:val="20"/>
              </w:rPr>
              <w:t>Rpts</w:t>
            </w:r>
          </w:p>
        </w:tc>
        <w:tc>
          <w:tcPr>
            <w:tcW w:w="1559" w:type="dxa"/>
          </w:tcPr>
          <w:p w14:paraId="18A1BA7D" w14:textId="77777777" w:rsidR="00BF6B64" w:rsidRPr="00F835F2" w:rsidRDefault="00BF6B64" w:rsidP="00AB2813">
            <w:pPr>
              <w:keepNext/>
              <w:rPr>
                <w:rFonts w:ascii="Arial Narrow" w:hAnsi="Arial Narrow" w:cs="Arial"/>
                <w:b/>
                <w:sz w:val="20"/>
                <w:szCs w:val="20"/>
                <w:lang w:val="fr-FR"/>
              </w:rPr>
            </w:pPr>
            <w:r w:rsidRPr="00F835F2">
              <w:rPr>
                <w:rFonts w:ascii="Arial Narrow" w:hAnsi="Arial Narrow" w:cs="Arial"/>
                <w:b/>
                <w:sz w:val="20"/>
                <w:szCs w:val="20"/>
              </w:rPr>
              <w:t>Available brands</w:t>
            </w:r>
          </w:p>
        </w:tc>
      </w:tr>
      <w:tr w:rsidR="00BF6B64" w:rsidRPr="00F835F2" w14:paraId="55112155" w14:textId="77777777" w:rsidTr="00AB2813">
        <w:trPr>
          <w:cantSplit/>
          <w:trHeight w:val="283"/>
        </w:trPr>
        <w:tc>
          <w:tcPr>
            <w:tcW w:w="3964" w:type="dxa"/>
          </w:tcPr>
          <w:p w14:paraId="2229C26D" w14:textId="77777777" w:rsidR="00BF6B64" w:rsidRPr="00F835F2" w:rsidRDefault="00BF6B64" w:rsidP="00AB2813">
            <w:pPr>
              <w:keepNext/>
              <w:ind w:left="-108"/>
              <w:rPr>
                <w:rFonts w:ascii="Arial Narrow" w:hAnsi="Arial Narrow" w:cs="Arial"/>
                <w:b/>
                <w:bCs/>
                <w:sz w:val="20"/>
                <w:szCs w:val="20"/>
              </w:rPr>
            </w:pPr>
            <w:r w:rsidRPr="00F835F2">
              <w:rPr>
                <w:rFonts w:ascii="Arial Narrow" w:hAnsi="Arial Narrow" w:cs="Arial"/>
                <w:b/>
                <w:bCs/>
                <w:sz w:val="20"/>
                <w:szCs w:val="20"/>
              </w:rPr>
              <w:t xml:space="preserve">Initial treatment </w:t>
            </w:r>
          </w:p>
        </w:tc>
        <w:tc>
          <w:tcPr>
            <w:tcW w:w="993" w:type="dxa"/>
          </w:tcPr>
          <w:p w14:paraId="37148A7E" w14:textId="77777777" w:rsidR="00BF6B64" w:rsidRPr="00F835F2" w:rsidRDefault="00BF6B64" w:rsidP="00AB2813">
            <w:pPr>
              <w:keepNext/>
              <w:ind w:left="-108"/>
              <w:jc w:val="center"/>
              <w:rPr>
                <w:rFonts w:ascii="Arial Narrow" w:hAnsi="Arial Narrow" w:cs="Arial"/>
                <w:sz w:val="20"/>
                <w:szCs w:val="20"/>
              </w:rPr>
            </w:pPr>
          </w:p>
        </w:tc>
        <w:tc>
          <w:tcPr>
            <w:tcW w:w="850" w:type="dxa"/>
          </w:tcPr>
          <w:p w14:paraId="2A11D4C6" w14:textId="77777777" w:rsidR="00BF6B64" w:rsidRPr="00F835F2" w:rsidRDefault="00BF6B64" w:rsidP="00AB2813">
            <w:pPr>
              <w:keepNext/>
              <w:jc w:val="center"/>
              <w:rPr>
                <w:rFonts w:ascii="Arial Narrow" w:hAnsi="Arial Narrow" w:cs="Arial"/>
                <w:sz w:val="20"/>
                <w:szCs w:val="20"/>
              </w:rPr>
            </w:pPr>
          </w:p>
        </w:tc>
        <w:tc>
          <w:tcPr>
            <w:tcW w:w="851" w:type="dxa"/>
          </w:tcPr>
          <w:p w14:paraId="091C70F9" w14:textId="77777777" w:rsidR="00BF6B64" w:rsidRPr="00F835F2" w:rsidRDefault="00BF6B64" w:rsidP="00AB2813">
            <w:pPr>
              <w:keepNext/>
              <w:ind w:left="-108"/>
              <w:jc w:val="center"/>
              <w:rPr>
                <w:rFonts w:ascii="Arial Narrow" w:hAnsi="Arial Narrow" w:cs="Arial"/>
                <w:sz w:val="20"/>
                <w:szCs w:val="20"/>
              </w:rPr>
            </w:pPr>
          </w:p>
        </w:tc>
        <w:tc>
          <w:tcPr>
            <w:tcW w:w="708" w:type="dxa"/>
          </w:tcPr>
          <w:p w14:paraId="2326A70C" w14:textId="77777777" w:rsidR="00BF6B64" w:rsidRPr="00F835F2" w:rsidRDefault="00BF6B64" w:rsidP="00AB2813">
            <w:pPr>
              <w:keepNext/>
              <w:rPr>
                <w:rFonts w:ascii="Arial Narrow" w:hAnsi="Arial Narrow" w:cs="Arial"/>
                <w:sz w:val="20"/>
                <w:szCs w:val="20"/>
              </w:rPr>
            </w:pPr>
          </w:p>
        </w:tc>
        <w:tc>
          <w:tcPr>
            <w:tcW w:w="1559" w:type="dxa"/>
            <w:vMerge w:val="restart"/>
          </w:tcPr>
          <w:p w14:paraId="1CE33FBE" w14:textId="77777777" w:rsidR="00BF6B64" w:rsidRPr="00F835F2" w:rsidRDefault="00BF6B64" w:rsidP="00AB2813">
            <w:pPr>
              <w:keepNext/>
              <w:jc w:val="center"/>
              <w:rPr>
                <w:rFonts w:ascii="Arial Narrow" w:hAnsi="Arial Narrow" w:cs="Arial"/>
                <w:sz w:val="20"/>
                <w:szCs w:val="20"/>
              </w:rPr>
            </w:pPr>
            <w:r w:rsidRPr="00F835F2">
              <w:rPr>
                <w:rFonts w:ascii="Arial Narrow" w:hAnsi="Arial Narrow" w:cs="Arial"/>
                <w:sz w:val="20"/>
                <w:szCs w:val="20"/>
              </w:rPr>
              <w:t>Skyrizi</w:t>
            </w:r>
          </w:p>
        </w:tc>
      </w:tr>
      <w:tr w:rsidR="00BF6B64" w:rsidRPr="00F835F2" w14:paraId="5CBA07AD" w14:textId="77777777" w:rsidTr="00AB2813">
        <w:trPr>
          <w:cantSplit/>
          <w:trHeight w:val="547"/>
        </w:trPr>
        <w:tc>
          <w:tcPr>
            <w:tcW w:w="3964" w:type="dxa"/>
          </w:tcPr>
          <w:p w14:paraId="0D389465" w14:textId="77777777" w:rsidR="00BF6B64" w:rsidRPr="00F835F2" w:rsidRDefault="00BF6B64" w:rsidP="00AB2813">
            <w:pPr>
              <w:keepNext/>
              <w:ind w:left="-108"/>
              <w:rPr>
                <w:rFonts w:ascii="Arial Narrow" w:hAnsi="Arial Narrow" w:cs="Arial"/>
                <w:sz w:val="20"/>
                <w:szCs w:val="20"/>
              </w:rPr>
            </w:pPr>
            <w:r w:rsidRPr="00F835F2">
              <w:rPr>
                <w:rFonts w:ascii="Arial Narrow" w:hAnsi="Arial Narrow" w:cs="Arial"/>
                <w:sz w:val="20"/>
                <w:szCs w:val="20"/>
              </w:rPr>
              <w:t>RISANKIZUMAB</w:t>
            </w:r>
          </w:p>
          <w:p w14:paraId="4EA1AA5A" w14:textId="77777777" w:rsidR="00BF6B64" w:rsidRPr="00F835F2" w:rsidRDefault="00BF6B64" w:rsidP="00AB2813">
            <w:pPr>
              <w:keepNext/>
              <w:ind w:left="-108"/>
              <w:rPr>
                <w:rFonts w:ascii="Arial Narrow" w:hAnsi="Arial Narrow" w:cs="Arial"/>
                <w:b/>
                <w:bCs/>
                <w:sz w:val="20"/>
                <w:szCs w:val="20"/>
              </w:rPr>
            </w:pPr>
            <w:r w:rsidRPr="00F835F2">
              <w:rPr>
                <w:rFonts w:ascii="Arial Narrow" w:hAnsi="Arial Narrow" w:cs="Arial Narrow"/>
                <w:sz w:val="20"/>
                <w:szCs w:val="20"/>
              </w:rPr>
              <w:t>150 mg/1 mL injection, 1 mL pen device</w:t>
            </w:r>
          </w:p>
        </w:tc>
        <w:tc>
          <w:tcPr>
            <w:tcW w:w="993" w:type="dxa"/>
          </w:tcPr>
          <w:p w14:paraId="2B11195C" w14:textId="77777777" w:rsidR="00BF6B64" w:rsidRPr="00F835F2" w:rsidRDefault="00BF6B64" w:rsidP="00AB2813">
            <w:pPr>
              <w:keepNext/>
              <w:ind w:left="-108"/>
              <w:jc w:val="center"/>
              <w:rPr>
                <w:rFonts w:ascii="Arial Narrow" w:hAnsi="Arial Narrow" w:cs="Arial"/>
                <w:sz w:val="20"/>
                <w:szCs w:val="20"/>
              </w:rPr>
            </w:pPr>
            <w:r w:rsidRPr="00F835F2">
              <w:rPr>
                <w:rFonts w:ascii="Arial Narrow" w:hAnsi="Arial Narrow" w:cs="Arial"/>
                <w:sz w:val="20"/>
                <w:szCs w:val="20"/>
              </w:rPr>
              <w:t>NEW</w:t>
            </w:r>
          </w:p>
        </w:tc>
        <w:tc>
          <w:tcPr>
            <w:tcW w:w="850" w:type="dxa"/>
          </w:tcPr>
          <w:p w14:paraId="4A06B005" w14:textId="77777777" w:rsidR="00BF6B64" w:rsidRPr="00F835F2" w:rsidRDefault="00BF6B64" w:rsidP="00AB2813">
            <w:pPr>
              <w:keepNext/>
              <w:jc w:val="center"/>
              <w:rPr>
                <w:rFonts w:ascii="Arial Narrow" w:hAnsi="Arial Narrow" w:cs="Arial"/>
                <w:sz w:val="20"/>
                <w:szCs w:val="20"/>
              </w:rPr>
            </w:pPr>
            <w:r w:rsidRPr="00F835F2">
              <w:rPr>
                <w:rFonts w:ascii="Arial Narrow" w:hAnsi="Arial Narrow" w:cs="Arial"/>
                <w:sz w:val="20"/>
                <w:szCs w:val="20"/>
              </w:rPr>
              <w:t>1</w:t>
            </w:r>
          </w:p>
        </w:tc>
        <w:tc>
          <w:tcPr>
            <w:tcW w:w="851" w:type="dxa"/>
          </w:tcPr>
          <w:p w14:paraId="7D9B823C" w14:textId="77777777" w:rsidR="00BF6B64" w:rsidRPr="00F835F2" w:rsidRDefault="00BF6B64" w:rsidP="00AB2813">
            <w:pPr>
              <w:keepNext/>
              <w:ind w:left="-108"/>
              <w:jc w:val="center"/>
              <w:rPr>
                <w:rFonts w:ascii="Arial Narrow" w:hAnsi="Arial Narrow" w:cs="Arial"/>
                <w:sz w:val="20"/>
                <w:szCs w:val="20"/>
              </w:rPr>
            </w:pPr>
            <w:r w:rsidRPr="00F835F2">
              <w:rPr>
                <w:rFonts w:ascii="Arial Narrow" w:hAnsi="Arial Narrow" w:cs="Arial"/>
                <w:sz w:val="20"/>
                <w:szCs w:val="20"/>
              </w:rPr>
              <w:t>1</w:t>
            </w:r>
          </w:p>
        </w:tc>
        <w:tc>
          <w:tcPr>
            <w:tcW w:w="708" w:type="dxa"/>
          </w:tcPr>
          <w:p w14:paraId="51E03081" w14:textId="77777777" w:rsidR="00BF6B64" w:rsidRPr="00F835F2" w:rsidRDefault="00BF6B64" w:rsidP="00AB2813">
            <w:pPr>
              <w:keepNext/>
              <w:jc w:val="center"/>
              <w:rPr>
                <w:rFonts w:ascii="Arial Narrow" w:hAnsi="Arial Narrow" w:cs="Arial"/>
                <w:sz w:val="20"/>
                <w:szCs w:val="20"/>
              </w:rPr>
            </w:pPr>
            <w:r w:rsidRPr="00F835F2">
              <w:rPr>
                <w:rFonts w:ascii="Arial Narrow" w:hAnsi="Arial Narrow" w:cs="Arial"/>
                <w:sz w:val="20"/>
                <w:szCs w:val="20"/>
              </w:rPr>
              <w:t>2</w:t>
            </w:r>
          </w:p>
        </w:tc>
        <w:tc>
          <w:tcPr>
            <w:tcW w:w="1559" w:type="dxa"/>
            <w:vMerge/>
          </w:tcPr>
          <w:p w14:paraId="20B1B6AE" w14:textId="77777777" w:rsidR="00BF6B64" w:rsidRPr="00F835F2" w:rsidRDefault="00BF6B64" w:rsidP="00AB2813">
            <w:pPr>
              <w:keepNext/>
              <w:jc w:val="center"/>
              <w:rPr>
                <w:rFonts w:ascii="Arial Narrow" w:hAnsi="Arial Narrow" w:cs="Arial"/>
                <w:sz w:val="20"/>
                <w:szCs w:val="20"/>
              </w:rPr>
            </w:pPr>
          </w:p>
        </w:tc>
      </w:tr>
      <w:tr w:rsidR="00BF6B64" w:rsidRPr="00F835F2" w14:paraId="5A8F4AB2" w14:textId="77777777" w:rsidTr="00AB2813">
        <w:trPr>
          <w:cantSplit/>
          <w:trHeight w:val="554"/>
        </w:trPr>
        <w:tc>
          <w:tcPr>
            <w:tcW w:w="3964" w:type="dxa"/>
          </w:tcPr>
          <w:p w14:paraId="67C56936" w14:textId="77777777" w:rsidR="00BF6B64" w:rsidRPr="00F835F2" w:rsidRDefault="00BF6B64" w:rsidP="00AB2813">
            <w:pPr>
              <w:keepNext/>
              <w:ind w:left="-108"/>
              <w:rPr>
                <w:rFonts w:ascii="Arial Narrow" w:hAnsi="Arial Narrow" w:cs="Arial"/>
                <w:sz w:val="20"/>
                <w:szCs w:val="20"/>
              </w:rPr>
            </w:pPr>
            <w:r w:rsidRPr="00F835F2">
              <w:rPr>
                <w:rFonts w:ascii="Arial Narrow" w:hAnsi="Arial Narrow" w:cs="Arial"/>
                <w:sz w:val="20"/>
                <w:szCs w:val="20"/>
              </w:rPr>
              <w:t>RISANKIZUMAB</w:t>
            </w:r>
          </w:p>
          <w:p w14:paraId="1B623601" w14:textId="77777777" w:rsidR="00BF6B64" w:rsidRPr="00F835F2" w:rsidRDefault="00BF6B64" w:rsidP="00AB2813">
            <w:pPr>
              <w:keepNext/>
              <w:ind w:left="-108"/>
              <w:rPr>
                <w:rFonts w:ascii="Arial Narrow" w:hAnsi="Arial Narrow" w:cs="Arial"/>
                <w:sz w:val="20"/>
                <w:szCs w:val="20"/>
              </w:rPr>
            </w:pPr>
            <w:r w:rsidRPr="00F835F2">
              <w:rPr>
                <w:rFonts w:ascii="Arial Narrow" w:hAnsi="Arial Narrow" w:cs="Arial"/>
                <w:sz w:val="20"/>
                <w:szCs w:val="20"/>
              </w:rPr>
              <w:t xml:space="preserve">150 mg/1 mL injection, 1 mL syringe </w:t>
            </w:r>
          </w:p>
        </w:tc>
        <w:tc>
          <w:tcPr>
            <w:tcW w:w="993" w:type="dxa"/>
          </w:tcPr>
          <w:p w14:paraId="21BE81BB" w14:textId="77777777" w:rsidR="00BF6B64" w:rsidRPr="00F835F2" w:rsidRDefault="00BF6B64" w:rsidP="00AB2813">
            <w:pPr>
              <w:keepNext/>
              <w:ind w:left="-108"/>
              <w:jc w:val="center"/>
              <w:rPr>
                <w:rFonts w:ascii="Arial Narrow" w:hAnsi="Arial Narrow" w:cs="Arial"/>
                <w:sz w:val="20"/>
                <w:szCs w:val="20"/>
              </w:rPr>
            </w:pPr>
            <w:r w:rsidRPr="00F835F2">
              <w:rPr>
                <w:rFonts w:ascii="Arial Narrow" w:hAnsi="Arial Narrow" w:cs="Arial"/>
                <w:sz w:val="20"/>
                <w:szCs w:val="20"/>
              </w:rPr>
              <w:t>NEW</w:t>
            </w:r>
          </w:p>
        </w:tc>
        <w:tc>
          <w:tcPr>
            <w:tcW w:w="850" w:type="dxa"/>
          </w:tcPr>
          <w:p w14:paraId="2483B3B5" w14:textId="77777777" w:rsidR="00BF6B64" w:rsidRPr="00F835F2" w:rsidRDefault="00BF6B64" w:rsidP="00AB2813">
            <w:pPr>
              <w:keepNext/>
              <w:jc w:val="center"/>
              <w:rPr>
                <w:rFonts w:ascii="Arial Narrow" w:hAnsi="Arial Narrow" w:cs="Arial"/>
                <w:sz w:val="20"/>
                <w:szCs w:val="20"/>
              </w:rPr>
            </w:pPr>
            <w:r w:rsidRPr="00F835F2">
              <w:rPr>
                <w:rFonts w:ascii="Arial Narrow" w:hAnsi="Arial Narrow" w:cs="Arial"/>
                <w:sz w:val="20"/>
                <w:szCs w:val="20"/>
              </w:rPr>
              <w:t>1</w:t>
            </w:r>
          </w:p>
        </w:tc>
        <w:tc>
          <w:tcPr>
            <w:tcW w:w="851" w:type="dxa"/>
          </w:tcPr>
          <w:p w14:paraId="6B91F93F" w14:textId="77777777" w:rsidR="00BF6B64" w:rsidRPr="00F835F2" w:rsidRDefault="00BF6B64" w:rsidP="00AB2813">
            <w:pPr>
              <w:keepNext/>
              <w:ind w:left="-108"/>
              <w:jc w:val="center"/>
              <w:rPr>
                <w:rFonts w:ascii="Arial Narrow" w:hAnsi="Arial Narrow" w:cs="Arial"/>
                <w:sz w:val="20"/>
                <w:szCs w:val="20"/>
              </w:rPr>
            </w:pPr>
            <w:r w:rsidRPr="00F835F2">
              <w:rPr>
                <w:rFonts w:ascii="Arial Narrow" w:hAnsi="Arial Narrow" w:cs="Arial"/>
                <w:sz w:val="20"/>
                <w:szCs w:val="20"/>
              </w:rPr>
              <w:t>1</w:t>
            </w:r>
          </w:p>
        </w:tc>
        <w:tc>
          <w:tcPr>
            <w:tcW w:w="708" w:type="dxa"/>
          </w:tcPr>
          <w:p w14:paraId="5A13E590" w14:textId="77777777" w:rsidR="00BF6B64" w:rsidRPr="00F835F2" w:rsidRDefault="00BF6B64" w:rsidP="00AB2813">
            <w:pPr>
              <w:keepNext/>
              <w:jc w:val="center"/>
              <w:rPr>
                <w:rFonts w:ascii="Arial Narrow" w:hAnsi="Arial Narrow" w:cs="Arial"/>
                <w:sz w:val="20"/>
                <w:szCs w:val="20"/>
              </w:rPr>
            </w:pPr>
            <w:r w:rsidRPr="00F835F2">
              <w:rPr>
                <w:rFonts w:ascii="Arial Narrow" w:hAnsi="Arial Narrow" w:cs="Arial"/>
                <w:sz w:val="20"/>
                <w:szCs w:val="20"/>
              </w:rPr>
              <w:t>2</w:t>
            </w:r>
          </w:p>
        </w:tc>
        <w:tc>
          <w:tcPr>
            <w:tcW w:w="1559" w:type="dxa"/>
            <w:vMerge/>
          </w:tcPr>
          <w:p w14:paraId="485AB2EF" w14:textId="77777777" w:rsidR="00BF6B64" w:rsidRPr="00F835F2" w:rsidRDefault="00BF6B64" w:rsidP="00AB2813">
            <w:pPr>
              <w:keepNext/>
              <w:rPr>
                <w:rFonts w:ascii="Arial Narrow" w:hAnsi="Arial Narrow" w:cs="Arial"/>
                <w:sz w:val="20"/>
                <w:szCs w:val="20"/>
              </w:rPr>
            </w:pPr>
          </w:p>
        </w:tc>
      </w:tr>
      <w:tr w:rsidR="00BF6B64" w:rsidRPr="00F835F2" w14:paraId="15FA0EC9" w14:textId="77777777" w:rsidTr="00AB2813">
        <w:trPr>
          <w:cantSplit/>
          <w:trHeight w:val="279"/>
        </w:trPr>
        <w:tc>
          <w:tcPr>
            <w:tcW w:w="3964" w:type="dxa"/>
          </w:tcPr>
          <w:p w14:paraId="463180A1" w14:textId="77777777" w:rsidR="00BF6B64" w:rsidRPr="00F835F2" w:rsidRDefault="00BF6B64" w:rsidP="00AB2813">
            <w:pPr>
              <w:keepNext/>
              <w:ind w:left="-108"/>
              <w:rPr>
                <w:rFonts w:ascii="Arial Narrow" w:hAnsi="Arial Narrow" w:cs="Arial"/>
                <w:b/>
                <w:bCs/>
                <w:sz w:val="20"/>
                <w:szCs w:val="20"/>
              </w:rPr>
            </w:pPr>
            <w:r w:rsidRPr="00F835F2">
              <w:rPr>
                <w:rFonts w:ascii="Arial Narrow" w:hAnsi="Arial Narrow" w:cs="Arial"/>
                <w:b/>
                <w:bCs/>
                <w:sz w:val="20"/>
                <w:szCs w:val="20"/>
              </w:rPr>
              <w:t xml:space="preserve">Continuing treatment </w:t>
            </w:r>
          </w:p>
        </w:tc>
        <w:tc>
          <w:tcPr>
            <w:tcW w:w="993" w:type="dxa"/>
          </w:tcPr>
          <w:p w14:paraId="742084E4" w14:textId="77777777" w:rsidR="00BF6B64" w:rsidRPr="00F835F2" w:rsidRDefault="00BF6B64" w:rsidP="00AB2813">
            <w:pPr>
              <w:keepNext/>
              <w:ind w:left="-108"/>
              <w:jc w:val="center"/>
              <w:rPr>
                <w:rFonts w:ascii="Arial Narrow" w:hAnsi="Arial Narrow" w:cs="Arial"/>
                <w:sz w:val="20"/>
                <w:szCs w:val="20"/>
              </w:rPr>
            </w:pPr>
          </w:p>
        </w:tc>
        <w:tc>
          <w:tcPr>
            <w:tcW w:w="850" w:type="dxa"/>
          </w:tcPr>
          <w:p w14:paraId="1E9707F4" w14:textId="77777777" w:rsidR="00BF6B64" w:rsidRPr="00F835F2" w:rsidRDefault="00BF6B64" w:rsidP="00AB2813">
            <w:pPr>
              <w:keepNext/>
              <w:jc w:val="center"/>
              <w:rPr>
                <w:rFonts w:ascii="Arial Narrow" w:hAnsi="Arial Narrow" w:cs="Arial"/>
                <w:sz w:val="20"/>
                <w:szCs w:val="20"/>
              </w:rPr>
            </w:pPr>
          </w:p>
        </w:tc>
        <w:tc>
          <w:tcPr>
            <w:tcW w:w="851" w:type="dxa"/>
          </w:tcPr>
          <w:p w14:paraId="2318EF7D" w14:textId="77777777" w:rsidR="00BF6B64" w:rsidRPr="00F835F2" w:rsidRDefault="00BF6B64" w:rsidP="00AB2813">
            <w:pPr>
              <w:keepNext/>
              <w:ind w:left="-108"/>
              <w:jc w:val="center"/>
              <w:rPr>
                <w:rFonts w:ascii="Arial Narrow" w:hAnsi="Arial Narrow" w:cs="Arial"/>
                <w:sz w:val="20"/>
                <w:szCs w:val="20"/>
              </w:rPr>
            </w:pPr>
          </w:p>
        </w:tc>
        <w:tc>
          <w:tcPr>
            <w:tcW w:w="708" w:type="dxa"/>
          </w:tcPr>
          <w:p w14:paraId="0EA84BB4" w14:textId="77777777" w:rsidR="00BF6B64" w:rsidRPr="00F835F2" w:rsidRDefault="00BF6B64" w:rsidP="00AB2813">
            <w:pPr>
              <w:keepNext/>
              <w:jc w:val="center"/>
              <w:rPr>
                <w:rFonts w:ascii="Arial Narrow" w:hAnsi="Arial Narrow" w:cs="Arial"/>
                <w:sz w:val="20"/>
                <w:szCs w:val="20"/>
              </w:rPr>
            </w:pPr>
          </w:p>
        </w:tc>
        <w:tc>
          <w:tcPr>
            <w:tcW w:w="1559" w:type="dxa"/>
            <w:vMerge/>
          </w:tcPr>
          <w:p w14:paraId="696D0231" w14:textId="77777777" w:rsidR="00BF6B64" w:rsidRPr="00F835F2" w:rsidRDefault="00BF6B64" w:rsidP="00AB2813">
            <w:pPr>
              <w:keepNext/>
              <w:rPr>
                <w:rFonts w:ascii="Arial Narrow" w:hAnsi="Arial Narrow" w:cs="Arial"/>
                <w:sz w:val="20"/>
                <w:szCs w:val="20"/>
              </w:rPr>
            </w:pPr>
          </w:p>
        </w:tc>
      </w:tr>
      <w:tr w:rsidR="00BF6B64" w:rsidRPr="00F835F2" w14:paraId="093F55D3" w14:textId="77777777" w:rsidTr="00AB2813">
        <w:trPr>
          <w:cantSplit/>
          <w:trHeight w:val="550"/>
        </w:trPr>
        <w:tc>
          <w:tcPr>
            <w:tcW w:w="3964" w:type="dxa"/>
          </w:tcPr>
          <w:p w14:paraId="3515E799" w14:textId="77777777" w:rsidR="00BF6B64" w:rsidRPr="00F835F2" w:rsidRDefault="00BF6B64" w:rsidP="00AB2813">
            <w:pPr>
              <w:keepNext/>
              <w:ind w:left="-108"/>
              <w:rPr>
                <w:rFonts w:ascii="Arial Narrow" w:hAnsi="Arial Narrow" w:cs="Arial"/>
                <w:sz w:val="20"/>
                <w:szCs w:val="20"/>
              </w:rPr>
            </w:pPr>
            <w:r w:rsidRPr="00F835F2">
              <w:rPr>
                <w:rFonts w:ascii="Arial Narrow" w:hAnsi="Arial Narrow" w:cs="Arial"/>
                <w:sz w:val="20"/>
                <w:szCs w:val="20"/>
              </w:rPr>
              <w:t>RISANKIZUMAB</w:t>
            </w:r>
          </w:p>
          <w:p w14:paraId="2462A35D" w14:textId="77777777" w:rsidR="00BF6B64" w:rsidRPr="00F835F2" w:rsidRDefault="00BF6B64" w:rsidP="00AB2813">
            <w:pPr>
              <w:keepNext/>
              <w:ind w:left="-108"/>
              <w:rPr>
                <w:rFonts w:ascii="Arial Narrow" w:hAnsi="Arial Narrow" w:cs="Arial"/>
                <w:sz w:val="20"/>
                <w:szCs w:val="20"/>
              </w:rPr>
            </w:pPr>
            <w:r w:rsidRPr="00F835F2">
              <w:rPr>
                <w:rFonts w:ascii="Arial Narrow" w:hAnsi="Arial Narrow" w:cs="Arial Narrow"/>
                <w:sz w:val="20"/>
                <w:szCs w:val="20"/>
              </w:rPr>
              <w:t>150 mg/1 mL injection, 1 mL pen device</w:t>
            </w:r>
          </w:p>
        </w:tc>
        <w:tc>
          <w:tcPr>
            <w:tcW w:w="993" w:type="dxa"/>
          </w:tcPr>
          <w:p w14:paraId="7721E4E6" w14:textId="77777777" w:rsidR="00BF6B64" w:rsidRPr="00F835F2" w:rsidRDefault="00BF6B64" w:rsidP="00AB2813">
            <w:pPr>
              <w:keepNext/>
              <w:ind w:left="-108"/>
              <w:jc w:val="center"/>
              <w:rPr>
                <w:rFonts w:ascii="Arial Narrow" w:hAnsi="Arial Narrow" w:cs="Arial"/>
                <w:sz w:val="20"/>
                <w:szCs w:val="20"/>
              </w:rPr>
            </w:pPr>
            <w:r w:rsidRPr="00F835F2">
              <w:rPr>
                <w:rFonts w:ascii="Arial Narrow" w:hAnsi="Arial Narrow" w:cs="Arial"/>
                <w:sz w:val="20"/>
                <w:szCs w:val="20"/>
              </w:rPr>
              <w:t>NEW</w:t>
            </w:r>
          </w:p>
        </w:tc>
        <w:tc>
          <w:tcPr>
            <w:tcW w:w="850" w:type="dxa"/>
          </w:tcPr>
          <w:p w14:paraId="6A573BA5" w14:textId="77777777" w:rsidR="00BF6B64" w:rsidRPr="00F835F2" w:rsidRDefault="00BF6B64" w:rsidP="00AB2813">
            <w:pPr>
              <w:keepNext/>
              <w:jc w:val="center"/>
              <w:rPr>
                <w:rFonts w:ascii="Arial Narrow" w:hAnsi="Arial Narrow" w:cs="Arial"/>
                <w:sz w:val="20"/>
                <w:szCs w:val="20"/>
              </w:rPr>
            </w:pPr>
            <w:r w:rsidRPr="00F835F2">
              <w:rPr>
                <w:rFonts w:ascii="Arial Narrow" w:hAnsi="Arial Narrow" w:cs="Arial"/>
                <w:sz w:val="20"/>
                <w:szCs w:val="20"/>
              </w:rPr>
              <w:t>1</w:t>
            </w:r>
          </w:p>
        </w:tc>
        <w:tc>
          <w:tcPr>
            <w:tcW w:w="851" w:type="dxa"/>
          </w:tcPr>
          <w:p w14:paraId="2F981EF4" w14:textId="77777777" w:rsidR="00BF6B64" w:rsidRPr="00F835F2" w:rsidRDefault="00BF6B64" w:rsidP="00AB2813">
            <w:pPr>
              <w:keepNext/>
              <w:ind w:left="-108"/>
              <w:jc w:val="center"/>
              <w:rPr>
                <w:rFonts w:ascii="Arial Narrow" w:hAnsi="Arial Narrow" w:cs="Arial"/>
                <w:sz w:val="20"/>
                <w:szCs w:val="20"/>
              </w:rPr>
            </w:pPr>
            <w:r w:rsidRPr="00F835F2">
              <w:rPr>
                <w:rFonts w:ascii="Arial Narrow" w:hAnsi="Arial Narrow" w:cs="Arial"/>
                <w:sz w:val="20"/>
                <w:szCs w:val="20"/>
              </w:rPr>
              <w:t>1</w:t>
            </w:r>
          </w:p>
        </w:tc>
        <w:tc>
          <w:tcPr>
            <w:tcW w:w="708" w:type="dxa"/>
          </w:tcPr>
          <w:p w14:paraId="79E853B3" w14:textId="77777777" w:rsidR="00BF6B64" w:rsidRPr="00F835F2" w:rsidRDefault="00BF6B64" w:rsidP="00AB2813">
            <w:pPr>
              <w:keepNext/>
              <w:jc w:val="center"/>
              <w:rPr>
                <w:rFonts w:ascii="Arial Narrow" w:hAnsi="Arial Narrow" w:cs="Arial"/>
                <w:sz w:val="20"/>
                <w:szCs w:val="20"/>
              </w:rPr>
            </w:pPr>
            <w:r w:rsidRPr="00F835F2">
              <w:rPr>
                <w:rFonts w:ascii="Arial Narrow" w:hAnsi="Arial Narrow" w:cs="Arial"/>
                <w:sz w:val="20"/>
                <w:szCs w:val="20"/>
              </w:rPr>
              <w:t>1</w:t>
            </w:r>
          </w:p>
        </w:tc>
        <w:tc>
          <w:tcPr>
            <w:tcW w:w="1559" w:type="dxa"/>
            <w:vMerge/>
          </w:tcPr>
          <w:p w14:paraId="60DFEACB" w14:textId="77777777" w:rsidR="00BF6B64" w:rsidRPr="00F835F2" w:rsidRDefault="00BF6B64" w:rsidP="00AB2813">
            <w:pPr>
              <w:keepNext/>
              <w:rPr>
                <w:rFonts w:ascii="Arial Narrow" w:hAnsi="Arial Narrow" w:cs="Arial"/>
                <w:sz w:val="20"/>
                <w:szCs w:val="20"/>
              </w:rPr>
            </w:pPr>
          </w:p>
        </w:tc>
      </w:tr>
      <w:tr w:rsidR="00BF6B64" w:rsidRPr="00F835F2" w14:paraId="55E3E65D" w14:textId="77777777" w:rsidTr="00AB2813">
        <w:trPr>
          <w:cantSplit/>
          <w:trHeight w:val="559"/>
        </w:trPr>
        <w:tc>
          <w:tcPr>
            <w:tcW w:w="3964" w:type="dxa"/>
          </w:tcPr>
          <w:p w14:paraId="5DCC3E97" w14:textId="77777777" w:rsidR="00BF6B64" w:rsidRPr="00F835F2" w:rsidRDefault="00BF6B64" w:rsidP="00AB2813">
            <w:pPr>
              <w:keepNext/>
              <w:ind w:left="-108"/>
              <w:rPr>
                <w:rFonts w:ascii="Arial Narrow" w:hAnsi="Arial Narrow" w:cs="Arial"/>
                <w:sz w:val="20"/>
                <w:szCs w:val="20"/>
              </w:rPr>
            </w:pPr>
            <w:r w:rsidRPr="00F835F2">
              <w:rPr>
                <w:rFonts w:ascii="Arial Narrow" w:hAnsi="Arial Narrow" w:cs="Arial"/>
                <w:sz w:val="20"/>
                <w:szCs w:val="20"/>
              </w:rPr>
              <w:t>RISANKIZUMAB</w:t>
            </w:r>
          </w:p>
          <w:p w14:paraId="7F8A16DF" w14:textId="77777777" w:rsidR="00BF6B64" w:rsidRPr="00F835F2" w:rsidRDefault="00BF6B64" w:rsidP="00AB2813">
            <w:pPr>
              <w:keepNext/>
              <w:ind w:left="-108"/>
              <w:rPr>
                <w:rFonts w:ascii="Arial Narrow" w:hAnsi="Arial Narrow" w:cs="Arial"/>
                <w:sz w:val="20"/>
                <w:szCs w:val="20"/>
              </w:rPr>
            </w:pPr>
            <w:r w:rsidRPr="00F835F2">
              <w:rPr>
                <w:rFonts w:ascii="Arial Narrow" w:hAnsi="Arial Narrow" w:cs="Arial"/>
                <w:sz w:val="20"/>
                <w:szCs w:val="20"/>
              </w:rPr>
              <w:t xml:space="preserve">150 mg/1 mL injection, 1 mL syringe </w:t>
            </w:r>
          </w:p>
        </w:tc>
        <w:tc>
          <w:tcPr>
            <w:tcW w:w="993" w:type="dxa"/>
          </w:tcPr>
          <w:p w14:paraId="6F9C580E" w14:textId="77777777" w:rsidR="00BF6B64" w:rsidRPr="00F835F2" w:rsidRDefault="00BF6B64" w:rsidP="00AB2813">
            <w:pPr>
              <w:keepNext/>
              <w:ind w:left="-108"/>
              <w:jc w:val="center"/>
              <w:rPr>
                <w:rFonts w:ascii="Arial Narrow" w:hAnsi="Arial Narrow" w:cs="Arial"/>
                <w:sz w:val="20"/>
                <w:szCs w:val="20"/>
              </w:rPr>
            </w:pPr>
            <w:r w:rsidRPr="00F835F2">
              <w:rPr>
                <w:rFonts w:ascii="Arial Narrow" w:hAnsi="Arial Narrow" w:cs="Arial"/>
                <w:sz w:val="20"/>
                <w:szCs w:val="20"/>
              </w:rPr>
              <w:t>NEW</w:t>
            </w:r>
          </w:p>
        </w:tc>
        <w:tc>
          <w:tcPr>
            <w:tcW w:w="850" w:type="dxa"/>
          </w:tcPr>
          <w:p w14:paraId="5BEAF26B" w14:textId="77777777" w:rsidR="00BF6B64" w:rsidRPr="00F835F2" w:rsidRDefault="00BF6B64" w:rsidP="00AB2813">
            <w:pPr>
              <w:keepNext/>
              <w:jc w:val="center"/>
              <w:rPr>
                <w:rFonts w:ascii="Arial Narrow" w:hAnsi="Arial Narrow" w:cs="Arial"/>
                <w:sz w:val="20"/>
                <w:szCs w:val="20"/>
              </w:rPr>
            </w:pPr>
            <w:r w:rsidRPr="00F835F2">
              <w:rPr>
                <w:rFonts w:ascii="Arial Narrow" w:hAnsi="Arial Narrow" w:cs="Arial"/>
                <w:sz w:val="20"/>
                <w:szCs w:val="20"/>
              </w:rPr>
              <w:t>1</w:t>
            </w:r>
          </w:p>
        </w:tc>
        <w:tc>
          <w:tcPr>
            <w:tcW w:w="851" w:type="dxa"/>
          </w:tcPr>
          <w:p w14:paraId="5F62CAE9" w14:textId="77777777" w:rsidR="00BF6B64" w:rsidRPr="00F835F2" w:rsidRDefault="00BF6B64" w:rsidP="00AB2813">
            <w:pPr>
              <w:keepNext/>
              <w:ind w:left="-108"/>
              <w:jc w:val="center"/>
              <w:rPr>
                <w:rFonts w:ascii="Arial Narrow" w:hAnsi="Arial Narrow" w:cs="Arial"/>
                <w:sz w:val="20"/>
                <w:szCs w:val="20"/>
              </w:rPr>
            </w:pPr>
            <w:r w:rsidRPr="00F835F2">
              <w:rPr>
                <w:rFonts w:ascii="Arial Narrow" w:hAnsi="Arial Narrow" w:cs="Arial"/>
                <w:sz w:val="20"/>
                <w:szCs w:val="20"/>
              </w:rPr>
              <w:t>1</w:t>
            </w:r>
          </w:p>
        </w:tc>
        <w:tc>
          <w:tcPr>
            <w:tcW w:w="708" w:type="dxa"/>
          </w:tcPr>
          <w:p w14:paraId="6C0F36E4" w14:textId="77777777" w:rsidR="00BF6B64" w:rsidRPr="00F835F2" w:rsidRDefault="00BF6B64" w:rsidP="00AB2813">
            <w:pPr>
              <w:keepNext/>
              <w:jc w:val="center"/>
              <w:rPr>
                <w:rFonts w:ascii="Arial Narrow" w:hAnsi="Arial Narrow" w:cs="Arial"/>
                <w:sz w:val="20"/>
                <w:szCs w:val="20"/>
              </w:rPr>
            </w:pPr>
            <w:r w:rsidRPr="00F835F2">
              <w:rPr>
                <w:rFonts w:ascii="Arial Narrow" w:hAnsi="Arial Narrow" w:cs="Arial"/>
                <w:sz w:val="20"/>
                <w:szCs w:val="20"/>
              </w:rPr>
              <w:t>1</w:t>
            </w:r>
          </w:p>
        </w:tc>
        <w:tc>
          <w:tcPr>
            <w:tcW w:w="1559" w:type="dxa"/>
            <w:vMerge/>
          </w:tcPr>
          <w:p w14:paraId="1EB9B866" w14:textId="77777777" w:rsidR="00BF6B64" w:rsidRPr="00F835F2" w:rsidRDefault="00BF6B64" w:rsidP="00AB2813">
            <w:pPr>
              <w:keepNext/>
              <w:rPr>
                <w:rFonts w:ascii="Arial Narrow" w:hAnsi="Arial Narrow" w:cs="Arial"/>
                <w:sz w:val="20"/>
                <w:szCs w:val="20"/>
              </w:rPr>
            </w:pPr>
          </w:p>
        </w:tc>
      </w:tr>
    </w:tbl>
    <w:p w14:paraId="2309584D" w14:textId="77777777" w:rsidR="00BF6B64" w:rsidRDefault="00BF6B64" w:rsidP="008C59AA">
      <w:pPr>
        <w:widowControl w:val="0"/>
        <w:rPr>
          <w:rFonts w:asciiTheme="minorHAnsi" w:hAnsiTheme="minorHAnsi" w:cs="Arial"/>
          <w:bCs/>
          <w:snapToGrid w:val="0"/>
        </w:rPr>
      </w:pPr>
    </w:p>
    <w:p w14:paraId="388D45A2" w14:textId="77777777" w:rsidR="00B40CB5" w:rsidRPr="00B40CB5" w:rsidRDefault="00B40CB5" w:rsidP="00B40CB5">
      <w:pPr>
        <w:pStyle w:val="3Bodytext"/>
        <w:rPr>
          <w:snapToGrid w:val="0"/>
        </w:rPr>
      </w:pPr>
      <w:r>
        <w:t>Attach the following restriction summaries to the new item</w:t>
      </w:r>
      <w:r w:rsidR="000A7568">
        <w:t>s</w:t>
      </w:r>
      <w:r>
        <w:t xml:space="preserve"> (full restriction text not shown; refer to www.pbs.gov.au for full text):</w:t>
      </w:r>
    </w:p>
    <w:p w14:paraId="1EB53284" w14:textId="77777777" w:rsidR="00B40CB5" w:rsidRPr="000A7568" w:rsidRDefault="00B40CB5" w:rsidP="00DF31CC">
      <w:pPr>
        <w:pStyle w:val="3Bodytext"/>
        <w:numPr>
          <w:ilvl w:val="0"/>
          <w:numId w:val="0"/>
        </w:numPr>
        <w:ind w:hanging="11"/>
        <w:rPr>
          <w:rFonts w:eastAsia="Times New Roman" w:cstheme="minorHAnsi"/>
          <w:b/>
          <w:snapToGrid w:val="0"/>
          <w:sz w:val="22"/>
          <w:u w:val="single"/>
          <w:lang w:val="en-GB"/>
        </w:rPr>
      </w:pPr>
      <w:r w:rsidRPr="000A7568">
        <w:rPr>
          <w:rFonts w:eastAsia="Times New Roman" w:cstheme="minorHAnsi"/>
          <w:b/>
          <w:snapToGrid w:val="0"/>
          <w:sz w:val="22"/>
          <w:u w:val="single"/>
          <w:lang w:val="en-GB"/>
        </w:rPr>
        <w:t>Initial treatment</w:t>
      </w:r>
      <w:r w:rsidR="00DF31CC" w:rsidRPr="000A7568">
        <w:rPr>
          <w:rFonts w:eastAsia="Times New Roman" w:cstheme="minorHAnsi"/>
          <w:b/>
          <w:snapToGrid w:val="0"/>
          <w:sz w:val="22"/>
          <w:u w:val="single"/>
          <w:lang w:val="en-GB"/>
        </w:rPr>
        <w:t>: Benefit Type 49329</w:t>
      </w:r>
    </w:p>
    <w:p w14:paraId="285FC38D" w14:textId="77777777" w:rsidR="00DF31CC" w:rsidRDefault="00B40CB5" w:rsidP="00DF31CC">
      <w:pPr>
        <w:pStyle w:val="3Bodytext"/>
        <w:numPr>
          <w:ilvl w:val="0"/>
          <w:numId w:val="0"/>
        </w:numPr>
        <w:ind w:hanging="11"/>
        <w:rPr>
          <w:rFonts w:ascii="Arial Narrow" w:eastAsia="Times New Roman" w:hAnsi="Arial Narrow" w:cs="Arial"/>
          <w:bCs/>
          <w:snapToGrid w:val="0"/>
          <w:sz w:val="20"/>
          <w:szCs w:val="20"/>
          <w:lang w:val="en-GB"/>
        </w:rPr>
      </w:pPr>
      <w:r w:rsidRPr="007B0EBD">
        <w:rPr>
          <w:rFonts w:ascii="Arial Narrow" w:eastAsia="Times New Roman" w:hAnsi="Arial Narrow" w:cs="Arial"/>
          <w:b/>
          <w:snapToGrid w:val="0"/>
          <w:sz w:val="20"/>
          <w:szCs w:val="20"/>
          <w:lang w:val="en-GB"/>
        </w:rPr>
        <w:t>Restriction summary</w:t>
      </w:r>
      <w:r w:rsidR="007B0EBD" w:rsidRPr="007B0EBD">
        <w:rPr>
          <w:rFonts w:ascii="Arial Narrow" w:eastAsia="Times New Roman" w:hAnsi="Arial Narrow" w:cs="Arial"/>
          <w:b/>
          <w:snapToGrid w:val="0"/>
          <w:sz w:val="20"/>
          <w:szCs w:val="20"/>
          <w:lang w:val="en-GB"/>
        </w:rPr>
        <w:t xml:space="preserve"> 11155</w:t>
      </w:r>
      <w:r w:rsidR="00DF31CC" w:rsidRPr="00DF31CC">
        <w:rPr>
          <w:rFonts w:ascii="Arial Narrow" w:eastAsia="Times New Roman" w:hAnsi="Arial Narrow" w:cs="Arial"/>
          <w:bCs/>
          <w:snapToGrid w:val="0"/>
          <w:sz w:val="20"/>
          <w:szCs w:val="20"/>
          <w:lang w:val="en-GB"/>
        </w:rPr>
        <w:t xml:space="preserve"> </w:t>
      </w:r>
      <w:r w:rsidR="007B0EBD">
        <w:rPr>
          <w:rFonts w:ascii="Arial Narrow" w:eastAsia="Times New Roman" w:hAnsi="Arial Narrow" w:cs="Arial"/>
          <w:bCs/>
          <w:snapToGrid w:val="0"/>
          <w:sz w:val="20"/>
          <w:szCs w:val="20"/>
          <w:lang w:val="en-GB"/>
        </w:rPr>
        <w:t>(</w:t>
      </w:r>
      <w:r w:rsidR="00DF31CC" w:rsidRPr="00DF31CC">
        <w:rPr>
          <w:rFonts w:ascii="Arial Narrow" w:eastAsia="Times New Roman" w:hAnsi="Arial Narrow" w:cs="Arial"/>
          <w:bCs/>
          <w:snapToGrid w:val="0"/>
          <w:sz w:val="20"/>
          <w:szCs w:val="20"/>
          <w:lang w:val="en-GB"/>
        </w:rPr>
        <w:t>Initial treatment - Initial 3, Face, hand, foot (re-commencement of treatment after a break in biological medicine of more than 5 years)</w:t>
      </w:r>
      <w:r w:rsidR="007B0EBD">
        <w:rPr>
          <w:rFonts w:ascii="Arial Narrow" w:eastAsia="Times New Roman" w:hAnsi="Arial Narrow" w:cs="Arial"/>
          <w:bCs/>
          <w:snapToGrid w:val="0"/>
          <w:sz w:val="20"/>
          <w:szCs w:val="20"/>
          <w:lang w:val="en-GB"/>
        </w:rPr>
        <w:t>)</w:t>
      </w:r>
    </w:p>
    <w:p w14:paraId="7CDDCAA4" w14:textId="77777777" w:rsidR="00DF31CC" w:rsidRDefault="007B0EBD" w:rsidP="00DF31CC">
      <w:pPr>
        <w:pStyle w:val="3Bodytext"/>
        <w:numPr>
          <w:ilvl w:val="0"/>
          <w:numId w:val="0"/>
        </w:numPr>
        <w:ind w:hanging="11"/>
        <w:rPr>
          <w:rFonts w:ascii="Arial Narrow" w:eastAsia="Times New Roman" w:hAnsi="Arial Narrow" w:cs="Arial"/>
          <w:bCs/>
          <w:snapToGrid w:val="0"/>
          <w:sz w:val="20"/>
          <w:szCs w:val="20"/>
          <w:lang w:val="en-GB"/>
        </w:rPr>
      </w:pPr>
      <w:r w:rsidRPr="007B0EBD">
        <w:rPr>
          <w:rFonts w:ascii="Arial Narrow" w:eastAsia="Times New Roman" w:hAnsi="Arial Narrow" w:cs="Arial"/>
          <w:b/>
          <w:snapToGrid w:val="0"/>
          <w:sz w:val="20"/>
          <w:szCs w:val="20"/>
          <w:lang w:val="en-GB"/>
        </w:rPr>
        <w:t>Restriction summary 11164</w:t>
      </w:r>
      <w:r>
        <w:rPr>
          <w:rFonts w:ascii="Arial Narrow" w:eastAsia="Times New Roman" w:hAnsi="Arial Narrow" w:cs="Arial"/>
          <w:bCs/>
          <w:snapToGrid w:val="0"/>
          <w:sz w:val="20"/>
          <w:szCs w:val="20"/>
          <w:lang w:val="en-GB"/>
        </w:rPr>
        <w:t xml:space="preserve"> (</w:t>
      </w:r>
      <w:r w:rsidR="00DF31CC" w:rsidRPr="00DF31CC">
        <w:rPr>
          <w:rFonts w:ascii="Arial Narrow" w:eastAsia="Times New Roman" w:hAnsi="Arial Narrow" w:cs="Arial"/>
          <w:bCs/>
          <w:snapToGrid w:val="0"/>
          <w:sz w:val="20"/>
          <w:szCs w:val="20"/>
          <w:lang w:val="en-GB"/>
        </w:rPr>
        <w:t>Initial treatment - Initial 2, Face, hand, foot (change or re-commencement of treatment after a break in biological medicine of less than 5 years)</w:t>
      </w:r>
      <w:r>
        <w:rPr>
          <w:rFonts w:ascii="Arial Narrow" w:eastAsia="Times New Roman" w:hAnsi="Arial Narrow" w:cs="Arial"/>
          <w:bCs/>
          <w:snapToGrid w:val="0"/>
          <w:sz w:val="20"/>
          <w:szCs w:val="20"/>
          <w:lang w:val="en-GB"/>
        </w:rPr>
        <w:t>)</w:t>
      </w:r>
    </w:p>
    <w:p w14:paraId="63B3EE49" w14:textId="77777777" w:rsidR="00DF31CC" w:rsidRDefault="007B0EBD" w:rsidP="00DF31CC">
      <w:pPr>
        <w:pStyle w:val="3Bodytext"/>
        <w:numPr>
          <w:ilvl w:val="0"/>
          <w:numId w:val="0"/>
        </w:numPr>
        <w:ind w:hanging="11"/>
        <w:rPr>
          <w:rFonts w:ascii="Arial Narrow" w:eastAsia="Times New Roman" w:hAnsi="Arial Narrow" w:cs="Arial"/>
          <w:bCs/>
          <w:snapToGrid w:val="0"/>
          <w:sz w:val="20"/>
          <w:szCs w:val="20"/>
          <w:lang w:val="en-GB"/>
        </w:rPr>
      </w:pPr>
      <w:r w:rsidRPr="007B0EBD">
        <w:rPr>
          <w:rFonts w:ascii="Arial Narrow" w:eastAsia="Times New Roman" w:hAnsi="Arial Narrow" w:cs="Arial"/>
          <w:b/>
          <w:snapToGrid w:val="0"/>
          <w:sz w:val="20"/>
          <w:szCs w:val="20"/>
          <w:lang w:val="en-GB"/>
        </w:rPr>
        <w:t>Restriction summary 10851</w:t>
      </w:r>
      <w:r w:rsidRPr="00DF31CC">
        <w:rPr>
          <w:rFonts w:ascii="Arial Narrow" w:eastAsia="Times New Roman" w:hAnsi="Arial Narrow" w:cs="Arial"/>
          <w:bCs/>
          <w:snapToGrid w:val="0"/>
          <w:sz w:val="20"/>
          <w:szCs w:val="20"/>
          <w:lang w:val="en-GB"/>
        </w:rPr>
        <w:t xml:space="preserve"> </w:t>
      </w:r>
      <w:r>
        <w:rPr>
          <w:rFonts w:ascii="Arial Narrow" w:eastAsia="Times New Roman" w:hAnsi="Arial Narrow" w:cs="Arial"/>
          <w:bCs/>
          <w:snapToGrid w:val="0"/>
          <w:sz w:val="20"/>
          <w:szCs w:val="20"/>
          <w:lang w:val="en-GB"/>
        </w:rPr>
        <w:t>(</w:t>
      </w:r>
      <w:r w:rsidR="00DF31CC" w:rsidRPr="00DF31CC">
        <w:rPr>
          <w:rFonts w:ascii="Arial Narrow" w:eastAsia="Times New Roman" w:hAnsi="Arial Narrow" w:cs="Arial"/>
          <w:bCs/>
          <w:snapToGrid w:val="0"/>
          <w:sz w:val="20"/>
          <w:szCs w:val="20"/>
          <w:lang w:val="en-GB"/>
        </w:rPr>
        <w:t>Initial treatment - Initial 1, Face, hand, foot (new patient)</w:t>
      </w:r>
      <w:r>
        <w:rPr>
          <w:rFonts w:ascii="Arial Narrow" w:eastAsia="Times New Roman" w:hAnsi="Arial Narrow" w:cs="Arial"/>
          <w:bCs/>
          <w:snapToGrid w:val="0"/>
          <w:sz w:val="20"/>
          <w:szCs w:val="20"/>
          <w:lang w:val="en-GB"/>
        </w:rPr>
        <w:t>)</w:t>
      </w:r>
    </w:p>
    <w:p w14:paraId="08C95857" w14:textId="77777777" w:rsidR="00DF31CC" w:rsidRDefault="007B0EBD" w:rsidP="00DF31CC">
      <w:pPr>
        <w:pStyle w:val="3Bodytext"/>
        <w:numPr>
          <w:ilvl w:val="0"/>
          <w:numId w:val="0"/>
        </w:numPr>
        <w:ind w:hanging="11"/>
        <w:rPr>
          <w:rFonts w:ascii="Arial Narrow" w:eastAsia="Times New Roman" w:hAnsi="Arial Narrow" w:cs="Arial"/>
          <w:bCs/>
          <w:snapToGrid w:val="0"/>
          <w:sz w:val="20"/>
          <w:szCs w:val="20"/>
          <w:lang w:val="en-GB"/>
        </w:rPr>
      </w:pPr>
      <w:r w:rsidRPr="007B0EBD">
        <w:rPr>
          <w:rFonts w:ascii="Arial Narrow" w:eastAsia="Times New Roman" w:hAnsi="Arial Narrow" w:cs="Arial"/>
          <w:b/>
          <w:snapToGrid w:val="0"/>
          <w:sz w:val="20"/>
          <w:szCs w:val="20"/>
          <w:lang w:val="en-GB"/>
        </w:rPr>
        <w:t>Restriction summary 11156</w:t>
      </w:r>
      <w:r>
        <w:rPr>
          <w:rFonts w:ascii="Arial Narrow" w:eastAsia="Times New Roman" w:hAnsi="Arial Narrow" w:cs="Arial"/>
          <w:bCs/>
          <w:snapToGrid w:val="0"/>
          <w:sz w:val="20"/>
          <w:szCs w:val="20"/>
          <w:lang w:val="en-GB"/>
        </w:rPr>
        <w:t xml:space="preserve"> (</w:t>
      </w:r>
      <w:r w:rsidR="00DF31CC" w:rsidRPr="00DF31CC">
        <w:rPr>
          <w:rFonts w:ascii="Arial Narrow" w:eastAsia="Times New Roman" w:hAnsi="Arial Narrow" w:cs="Arial"/>
          <w:bCs/>
          <w:snapToGrid w:val="0"/>
          <w:sz w:val="20"/>
          <w:szCs w:val="20"/>
          <w:lang w:val="en-GB"/>
        </w:rPr>
        <w:t>Initial treatment - Initial 3, Whole body (re-commencement of treatment after a break in biological medicine of more than 5 years)</w:t>
      </w:r>
      <w:r>
        <w:rPr>
          <w:rFonts w:ascii="Arial Narrow" w:eastAsia="Times New Roman" w:hAnsi="Arial Narrow" w:cs="Arial"/>
          <w:bCs/>
          <w:snapToGrid w:val="0"/>
          <w:sz w:val="20"/>
          <w:szCs w:val="20"/>
          <w:lang w:val="en-GB"/>
        </w:rPr>
        <w:t>)</w:t>
      </w:r>
    </w:p>
    <w:p w14:paraId="2F4EB1B6" w14:textId="77777777" w:rsidR="00DF31CC" w:rsidRDefault="007B0EBD" w:rsidP="00DF31CC">
      <w:pPr>
        <w:pStyle w:val="3Bodytext"/>
        <w:numPr>
          <w:ilvl w:val="0"/>
          <w:numId w:val="0"/>
        </w:numPr>
        <w:ind w:hanging="11"/>
        <w:rPr>
          <w:rFonts w:ascii="Arial Narrow" w:eastAsia="Times New Roman" w:hAnsi="Arial Narrow" w:cs="Arial"/>
          <w:bCs/>
          <w:snapToGrid w:val="0"/>
          <w:sz w:val="20"/>
          <w:szCs w:val="20"/>
          <w:lang w:val="en-GB"/>
        </w:rPr>
      </w:pPr>
      <w:r w:rsidRPr="007B0EBD">
        <w:rPr>
          <w:rFonts w:ascii="Arial Narrow" w:eastAsia="Times New Roman" w:hAnsi="Arial Narrow" w:cs="Arial"/>
          <w:b/>
          <w:snapToGrid w:val="0"/>
          <w:sz w:val="20"/>
          <w:szCs w:val="20"/>
          <w:lang w:val="en-GB"/>
        </w:rPr>
        <w:t>Restriction summary 11108</w:t>
      </w:r>
      <w:r>
        <w:rPr>
          <w:rFonts w:ascii="Arial Narrow" w:eastAsia="Times New Roman" w:hAnsi="Arial Narrow" w:cs="Arial"/>
          <w:bCs/>
          <w:snapToGrid w:val="0"/>
          <w:sz w:val="20"/>
          <w:szCs w:val="20"/>
          <w:lang w:val="en-GB"/>
        </w:rPr>
        <w:t xml:space="preserve"> (</w:t>
      </w:r>
      <w:r w:rsidRPr="007B0EBD">
        <w:rPr>
          <w:rFonts w:ascii="Arial Narrow" w:eastAsia="Times New Roman" w:hAnsi="Arial Narrow" w:cs="Arial"/>
          <w:bCs/>
          <w:snapToGrid w:val="0"/>
          <w:sz w:val="20"/>
          <w:szCs w:val="20"/>
          <w:lang w:val="en-GB"/>
        </w:rPr>
        <w:t>Initial treatment - Initial 2, Whole body (change or re-commencement of treatment after a break in biological medicine of less than 5 years)</w:t>
      </w:r>
      <w:r>
        <w:rPr>
          <w:rFonts w:ascii="Arial Narrow" w:eastAsia="Times New Roman" w:hAnsi="Arial Narrow" w:cs="Arial"/>
          <w:bCs/>
          <w:snapToGrid w:val="0"/>
          <w:sz w:val="20"/>
          <w:szCs w:val="20"/>
          <w:lang w:val="en-GB"/>
        </w:rPr>
        <w:t>)</w:t>
      </w:r>
    </w:p>
    <w:p w14:paraId="79045E1E" w14:textId="77777777" w:rsidR="007B0EBD" w:rsidRDefault="007B0EBD" w:rsidP="00DF31CC">
      <w:pPr>
        <w:pStyle w:val="3Bodytext"/>
        <w:numPr>
          <w:ilvl w:val="0"/>
          <w:numId w:val="0"/>
        </w:numPr>
        <w:ind w:hanging="11"/>
        <w:rPr>
          <w:rFonts w:ascii="Arial Narrow" w:eastAsia="Times New Roman" w:hAnsi="Arial Narrow" w:cs="Arial"/>
          <w:bCs/>
          <w:snapToGrid w:val="0"/>
          <w:sz w:val="20"/>
          <w:szCs w:val="20"/>
          <w:lang w:val="en-GB"/>
        </w:rPr>
      </w:pPr>
      <w:r w:rsidRPr="007B0EBD">
        <w:rPr>
          <w:rFonts w:ascii="Arial Narrow" w:eastAsia="Times New Roman" w:hAnsi="Arial Narrow" w:cs="Arial"/>
          <w:b/>
          <w:snapToGrid w:val="0"/>
          <w:sz w:val="20"/>
          <w:szCs w:val="20"/>
          <w:lang w:val="en-GB"/>
        </w:rPr>
        <w:lastRenderedPageBreak/>
        <w:t>Restriction summary 10905</w:t>
      </w:r>
      <w:r>
        <w:rPr>
          <w:rFonts w:ascii="Arial Narrow" w:eastAsia="Times New Roman" w:hAnsi="Arial Narrow" w:cs="Arial"/>
          <w:bCs/>
          <w:snapToGrid w:val="0"/>
          <w:sz w:val="20"/>
          <w:szCs w:val="20"/>
          <w:lang w:val="en-GB"/>
        </w:rPr>
        <w:t xml:space="preserve"> (</w:t>
      </w:r>
      <w:r w:rsidRPr="007B0EBD">
        <w:rPr>
          <w:rFonts w:ascii="Arial Narrow" w:eastAsia="Times New Roman" w:hAnsi="Arial Narrow" w:cs="Arial"/>
          <w:bCs/>
          <w:snapToGrid w:val="0"/>
          <w:sz w:val="20"/>
          <w:szCs w:val="20"/>
          <w:lang w:val="en-GB"/>
        </w:rPr>
        <w:t>Initial treatment - Initial 1, Whole body (new patient)</w:t>
      </w:r>
      <w:r>
        <w:rPr>
          <w:rFonts w:ascii="Arial Narrow" w:eastAsia="Times New Roman" w:hAnsi="Arial Narrow" w:cs="Arial"/>
          <w:bCs/>
          <w:snapToGrid w:val="0"/>
          <w:sz w:val="20"/>
          <w:szCs w:val="20"/>
          <w:lang w:val="en-GB"/>
        </w:rPr>
        <w:t>)</w:t>
      </w:r>
    </w:p>
    <w:p w14:paraId="379B9E48" w14:textId="77777777" w:rsidR="007B0EBD" w:rsidRPr="00DF31CC" w:rsidRDefault="007B0EBD" w:rsidP="00DF31CC">
      <w:pPr>
        <w:pStyle w:val="3Bodytext"/>
        <w:numPr>
          <w:ilvl w:val="0"/>
          <w:numId w:val="0"/>
        </w:numPr>
        <w:ind w:hanging="11"/>
        <w:rPr>
          <w:rFonts w:ascii="Arial Narrow" w:eastAsia="Times New Roman" w:hAnsi="Arial Narrow" w:cs="Arial"/>
          <w:bCs/>
          <w:snapToGrid w:val="0"/>
          <w:sz w:val="20"/>
          <w:szCs w:val="20"/>
          <w:lang w:val="en-GB"/>
        </w:rPr>
      </w:pPr>
      <w:r w:rsidRPr="007B0EBD">
        <w:rPr>
          <w:rFonts w:ascii="Arial Narrow" w:eastAsia="Times New Roman" w:hAnsi="Arial Narrow" w:cs="Arial"/>
          <w:b/>
          <w:snapToGrid w:val="0"/>
          <w:sz w:val="20"/>
          <w:szCs w:val="20"/>
          <w:lang w:val="en-GB"/>
        </w:rPr>
        <w:t>Restriction summary 11092</w:t>
      </w:r>
      <w:r>
        <w:rPr>
          <w:rFonts w:ascii="Arial Narrow" w:eastAsia="Times New Roman" w:hAnsi="Arial Narrow" w:cs="Arial"/>
          <w:bCs/>
          <w:snapToGrid w:val="0"/>
          <w:sz w:val="20"/>
          <w:szCs w:val="20"/>
          <w:lang w:val="en-GB"/>
        </w:rPr>
        <w:t xml:space="preserve"> (</w:t>
      </w:r>
      <w:r w:rsidRPr="007B0EBD">
        <w:rPr>
          <w:rFonts w:ascii="Arial Narrow" w:eastAsia="Times New Roman" w:hAnsi="Arial Narrow" w:cs="Arial"/>
          <w:bCs/>
          <w:snapToGrid w:val="0"/>
          <w:sz w:val="20"/>
          <w:szCs w:val="20"/>
          <w:lang w:val="en-GB"/>
        </w:rPr>
        <w:t>Initial treatment - Initial 1, Whole body or Face, hand, foot (new patient) or Initial 2, Whole body or Face, hand, foot (change or re-commencement of treatment after a break in biological medicine of less than 5 years) or Initial 3, Whole body or Face, hand, foot (re-commencement of treatment after a break in biological medicine of more than 5 years) - balance of supply</w:t>
      </w:r>
      <w:r>
        <w:rPr>
          <w:rFonts w:ascii="Arial Narrow" w:eastAsia="Times New Roman" w:hAnsi="Arial Narrow" w:cs="Arial"/>
          <w:bCs/>
          <w:snapToGrid w:val="0"/>
          <w:sz w:val="20"/>
          <w:szCs w:val="20"/>
          <w:lang w:val="en-GB"/>
        </w:rPr>
        <w:t>)</w:t>
      </w:r>
    </w:p>
    <w:p w14:paraId="681413E2" w14:textId="77777777" w:rsidR="00DF31CC" w:rsidRPr="000A7568" w:rsidRDefault="00DF31CC" w:rsidP="00DF31CC">
      <w:pPr>
        <w:pStyle w:val="3Bodytext"/>
        <w:numPr>
          <w:ilvl w:val="0"/>
          <w:numId w:val="0"/>
        </w:numPr>
        <w:ind w:hanging="11"/>
        <w:rPr>
          <w:rFonts w:eastAsia="Times New Roman" w:cstheme="minorHAnsi"/>
          <w:b/>
          <w:snapToGrid w:val="0"/>
          <w:sz w:val="22"/>
          <w:u w:val="single"/>
          <w:lang w:val="en-GB"/>
        </w:rPr>
      </w:pPr>
      <w:r w:rsidRPr="000A7568">
        <w:rPr>
          <w:rFonts w:eastAsia="Times New Roman" w:cstheme="minorHAnsi"/>
          <w:b/>
          <w:snapToGrid w:val="0"/>
          <w:sz w:val="22"/>
          <w:u w:val="single"/>
          <w:lang w:val="en-GB"/>
        </w:rPr>
        <w:t>Continuing treatment: Benefit Type 54136</w:t>
      </w:r>
    </w:p>
    <w:p w14:paraId="654BBC3C" w14:textId="77777777" w:rsidR="00B40CB5" w:rsidRPr="00DF31CC" w:rsidRDefault="00DF31CC" w:rsidP="00DF31CC">
      <w:pPr>
        <w:pStyle w:val="3Bodytext"/>
        <w:numPr>
          <w:ilvl w:val="0"/>
          <w:numId w:val="0"/>
        </w:numPr>
        <w:ind w:hanging="11"/>
        <w:rPr>
          <w:rFonts w:ascii="Arial Narrow" w:eastAsia="Times New Roman" w:hAnsi="Arial Narrow" w:cs="Arial"/>
          <w:bCs/>
          <w:snapToGrid w:val="0"/>
          <w:sz w:val="20"/>
          <w:szCs w:val="20"/>
          <w:lang w:val="en-GB"/>
        </w:rPr>
      </w:pPr>
      <w:r w:rsidRPr="00DF31CC">
        <w:rPr>
          <w:rFonts w:ascii="Arial Narrow" w:eastAsia="Times New Roman" w:hAnsi="Arial Narrow" w:cs="Arial"/>
          <w:b/>
          <w:snapToGrid w:val="0"/>
          <w:sz w:val="20"/>
          <w:szCs w:val="20"/>
          <w:lang w:val="en-GB"/>
        </w:rPr>
        <w:t>Restriction summary 9985</w:t>
      </w:r>
      <w:r w:rsidR="00B40CB5" w:rsidRPr="00DF31CC">
        <w:rPr>
          <w:rFonts w:ascii="Arial Narrow" w:eastAsia="Times New Roman" w:hAnsi="Arial Narrow" w:cs="Arial"/>
          <w:bCs/>
          <w:snapToGrid w:val="0"/>
          <w:sz w:val="20"/>
          <w:szCs w:val="20"/>
          <w:lang w:val="en-GB"/>
        </w:rPr>
        <w:t xml:space="preserve"> </w:t>
      </w:r>
      <w:r w:rsidRPr="00DF31CC">
        <w:rPr>
          <w:rFonts w:ascii="Arial Narrow" w:eastAsia="Times New Roman" w:hAnsi="Arial Narrow" w:cs="Arial"/>
          <w:bCs/>
          <w:snapToGrid w:val="0"/>
          <w:sz w:val="20"/>
          <w:szCs w:val="20"/>
          <w:lang w:val="en-GB"/>
        </w:rPr>
        <w:t>(Continuing treatment, Whole body or Continuing treatment, Face, hand, foot - balance of supply)</w:t>
      </w:r>
    </w:p>
    <w:p w14:paraId="258142A8" w14:textId="77777777" w:rsidR="00DF31CC" w:rsidRPr="00DF31CC" w:rsidRDefault="00DF31CC" w:rsidP="00DF31CC">
      <w:pPr>
        <w:pStyle w:val="3Bodytext"/>
        <w:numPr>
          <w:ilvl w:val="0"/>
          <w:numId w:val="0"/>
        </w:numPr>
        <w:ind w:hanging="11"/>
        <w:rPr>
          <w:rFonts w:ascii="Arial Narrow" w:eastAsia="Times New Roman" w:hAnsi="Arial Narrow" w:cs="Arial"/>
          <w:bCs/>
          <w:snapToGrid w:val="0"/>
          <w:sz w:val="20"/>
          <w:szCs w:val="20"/>
          <w:lang w:val="en-GB"/>
        </w:rPr>
      </w:pPr>
      <w:r w:rsidRPr="00DF31CC">
        <w:rPr>
          <w:rFonts w:ascii="Arial Narrow" w:eastAsia="Times New Roman" w:hAnsi="Arial Narrow" w:cs="Arial"/>
          <w:b/>
          <w:snapToGrid w:val="0"/>
          <w:sz w:val="20"/>
          <w:szCs w:val="20"/>
          <w:lang w:val="en-GB"/>
        </w:rPr>
        <w:t>Restriction summary 10002</w:t>
      </w:r>
      <w:r w:rsidRPr="00DF31CC">
        <w:rPr>
          <w:rFonts w:ascii="Arial Narrow" w:eastAsia="Times New Roman" w:hAnsi="Arial Narrow" w:cs="Arial"/>
          <w:bCs/>
          <w:snapToGrid w:val="0"/>
          <w:sz w:val="20"/>
          <w:szCs w:val="20"/>
          <w:lang w:val="en-GB"/>
        </w:rPr>
        <w:t xml:space="preserve"> (Continuing treatment, Face, hand, foot)</w:t>
      </w:r>
    </w:p>
    <w:p w14:paraId="6AE70058" w14:textId="77777777" w:rsidR="00DF31CC" w:rsidRPr="00DF31CC" w:rsidRDefault="00DF31CC" w:rsidP="00DF31CC">
      <w:pPr>
        <w:pStyle w:val="3Bodytext"/>
        <w:numPr>
          <w:ilvl w:val="0"/>
          <w:numId w:val="0"/>
        </w:numPr>
        <w:ind w:hanging="11"/>
        <w:rPr>
          <w:rFonts w:ascii="Arial Narrow" w:eastAsia="Times New Roman" w:hAnsi="Arial Narrow" w:cs="Arial"/>
          <w:bCs/>
          <w:snapToGrid w:val="0"/>
          <w:sz w:val="20"/>
          <w:szCs w:val="20"/>
          <w:lang w:val="en-GB"/>
        </w:rPr>
      </w:pPr>
      <w:r w:rsidRPr="00DF31CC">
        <w:rPr>
          <w:rFonts w:ascii="Arial Narrow" w:eastAsia="Times New Roman" w:hAnsi="Arial Narrow" w:cs="Arial"/>
          <w:b/>
          <w:snapToGrid w:val="0"/>
          <w:sz w:val="20"/>
          <w:szCs w:val="20"/>
          <w:lang w:val="en-GB"/>
        </w:rPr>
        <w:t>Restriction summary 12343</w:t>
      </w:r>
      <w:r w:rsidRPr="00DF31CC">
        <w:rPr>
          <w:rFonts w:ascii="Arial Narrow" w:eastAsia="Times New Roman" w:hAnsi="Arial Narrow" w:cs="Arial"/>
          <w:bCs/>
          <w:snapToGrid w:val="0"/>
          <w:sz w:val="20"/>
          <w:szCs w:val="20"/>
          <w:lang w:val="en-GB"/>
        </w:rPr>
        <w:t xml:space="preserve"> (Continuing treatment, Whole body)</w:t>
      </w:r>
    </w:p>
    <w:bookmarkEnd w:id="6"/>
    <w:p w14:paraId="3B051D97" w14:textId="77777777" w:rsidR="00E4714D" w:rsidRDefault="00DF31CC" w:rsidP="00411424">
      <w:pPr>
        <w:rPr>
          <w:rFonts w:ascii="Arial Narrow" w:hAnsi="Arial Narrow"/>
          <w:sz w:val="18"/>
          <w:szCs w:val="18"/>
        </w:rPr>
      </w:pPr>
      <w:r w:rsidRPr="00DF31CC">
        <w:rPr>
          <w:rFonts w:ascii="Arial Narrow" w:hAnsi="Arial Narrow"/>
          <w:sz w:val="18"/>
          <w:szCs w:val="18"/>
        </w:rPr>
        <w:t xml:space="preserve">(Restriction summary numbers current as of </w:t>
      </w:r>
      <w:r>
        <w:rPr>
          <w:rFonts w:ascii="Arial Narrow" w:hAnsi="Arial Narrow"/>
          <w:sz w:val="18"/>
          <w:szCs w:val="18"/>
        </w:rPr>
        <w:t xml:space="preserve">November </w:t>
      </w:r>
      <w:r w:rsidRPr="00DF31CC">
        <w:rPr>
          <w:rFonts w:ascii="Arial Narrow" w:hAnsi="Arial Narrow"/>
          <w:sz w:val="18"/>
          <w:szCs w:val="18"/>
        </w:rPr>
        <w:t>202</w:t>
      </w:r>
      <w:r>
        <w:rPr>
          <w:rFonts w:ascii="Arial Narrow" w:hAnsi="Arial Narrow"/>
          <w:sz w:val="18"/>
          <w:szCs w:val="18"/>
        </w:rPr>
        <w:t>1</w:t>
      </w:r>
      <w:r w:rsidRPr="00DF31CC">
        <w:rPr>
          <w:rFonts w:ascii="Arial Narrow" w:hAnsi="Arial Narrow"/>
          <w:sz w:val="18"/>
          <w:szCs w:val="18"/>
        </w:rPr>
        <w:t>)</w:t>
      </w:r>
    </w:p>
    <w:p w14:paraId="4E4CF9CE" w14:textId="77777777" w:rsidR="000A7568" w:rsidRDefault="000A7568" w:rsidP="00411424">
      <w:pPr>
        <w:rPr>
          <w:rFonts w:ascii="Arial Narrow" w:hAnsi="Arial Narrow"/>
          <w:sz w:val="18"/>
          <w:szCs w:val="18"/>
        </w:rPr>
      </w:pPr>
    </w:p>
    <w:p w14:paraId="7A182667" w14:textId="77777777" w:rsidR="000A7568" w:rsidRDefault="000A7568" w:rsidP="000A7568">
      <w:pPr>
        <w:pStyle w:val="3Bodytext"/>
      </w:pPr>
      <w:r>
        <w:t>Add the following ‘Note’ to each of the item listed above in 7.1</w:t>
      </w:r>
      <w:r w:rsidR="00CE77F4">
        <w:t xml:space="preserve"> and to be flowed on to 75 mg risankizumab PFS (11827L and 11858D)</w:t>
      </w:r>
      <w:r>
        <w:t>:</w:t>
      </w:r>
    </w:p>
    <w:tbl>
      <w:tblP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87"/>
        <w:gridCol w:w="7939"/>
      </w:tblGrid>
      <w:tr w:rsidR="000A7568" w:rsidRPr="00120A12" w14:paraId="37E70309" w14:textId="77777777" w:rsidTr="00AB2813">
        <w:trPr>
          <w:trHeight w:val="498"/>
        </w:trPr>
        <w:tc>
          <w:tcPr>
            <w:tcW w:w="553" w:type="pct"/>
            <w:vAlign w:val="center"/>
          </w:tcPr>
          <w:p w14:paraId="0B864411" w14:textId="77777777" w:rsidR="000A7568" w:rsidRPr="00120A12" w:rsidRDefault="000A7568" w:rsidP="00AB2813">
            <w:pPr>
              <w:jc w:val="center"/>
              <w:rPr>
                <w:rFonts w:ascii="Arial Narrow" w:hAnsi="Arial Narrow"/>
                <w:color w:val="333333"/>
                <w:sz w:val="18"/>
                <w:szCs w:val="18"/>
              </w:rPr>
            </w:pPr>
            <w:r>
              <w:rPr>
                <w:rFonts w:ascii="Arial Narrow" w:hAnsi="Arial Narrow"/>
                <w:color w:val="333333"/>
                <w:sz w:val="18"/>
                <w:szCs w:val="18"/>
              </w:rPr>
              <w:t>new</w:t>
            </w:r>
          </w:p>
        </w:tc>
        <w:tc>
          <w:tcPr>
            <w:tcW w:w="4447" w:type="pct"/>
            <w:vAlign w:val="center"/>
          </w:tcPr>
          <w:p w14:paraId="38EE0363" w14:textId="77777777" w:rsidR="000A7568" w:rsidRPr="00120A12" w:rsidRDefault="000A7568" w:rsidP="00AB2813">
            <w:pPr>
              <w:rPr>
                <w:rFonts w:ascii="Arial Narrow" w:hAnsi="Arial Narrow"/>
                <w:color w:val="333333"/>
                <w:sz w:val="18"/>
                <w:szCs w:val="18"/>
              </w:rPr>
            </w:pPr>
            <w:r w:rsidRPr="00120A12">
              <w:rPr>
                <w:rFonts w:ascii="Arial Narrow" w:hAnsi="Arial Narrow"/>
                <w:b/>
                <w:bCs/>
                <w:color w:val="333333"/>
                <w:sz w:val="18"/>
                <w:szCs w:val="18"/>
              </w:rPr>
              <w:t>Administrative Advice:</w:t>
            </w:r>
          </w:p>
          <w:p w14:paraId="1E04C42F" w14:textId="77777777" w:rsidR="000A7568" w:rsidRPr="00120A12" w:rsidRDefault="000A7568" w:rsidP="00AB2813">
            <w:pPr>
              <w:rPr>
                <w:rFonts w:ascii="Arial Narrow" w:hAnsi="Arial Narrow"/>
                <w:color w:val="333333"/>
                <w:sz w:val="18"/>
                <w:szCs w:val="18"/>
              </w:rPr>
            </w:pPr>
            <w:r>
              <w:rPr>
                <w:rFonts w:ascii="Arial Narrow" w:hAnsi="Arial Narrow"/>
                <w:color w:val="333333"/>
                <w:sz w:val="18"/>
                <w:szCs w:val="18"/>
              </w:rPr>
              <w:t>Multiple forms/presentations of this drug are not to be prescribed as PBS-benefits simultaneously on an ongoing basis.</w:t>
            </w:r>
          </w:p>
        </w:tc>
      </w:tr>
    </w:tbl>
    <w:p w14:paraId="346C4072" w14:textId="77777777" w:rsidR="000A7568" w:rsidRPr="00C16609" w:rsidRDefault="000A7568" w:rsidP="000A7568">
      <w:pPr>
        <w:spacing w:before="120" w:after="120"/>
        <w:rPr>
          <w:rFonts w:asciiTheme="minorHAnsi" w:eastAsiaTheme="minorHAnsi" w:hAnsiTheme="minorHAnsi" w:cstheme="minorBidi"/>
          <w:b/>
          <w:i/>
          <w:snapToGrid w:val="0"/>
          <w:szCs w:val="22"/>
          <w:lang w:eastAsia="en-US"/>
        </w:rPr>
      </w:pPr>
      <w:r w:rsidRPr="00C16609">
        <w:rPr>
          <w:rFonts w:asciiTheme="minorHAnsi" w:eastAsiaTheme="minorHAnsi" w:hAnsiTheme="minorHAnsi" w:cstheme="minorBidi"/>
          <w:b/>
          <w:i/>
          <w:snapToGrid w:val="0"/>
          <w:szCs w:val="22"/>
          <w:lang w:eastAsia="en-US"/>
        </w:rPr>
        <w:t>This restriction may be subject to further review. Should there be any changes made to the restriction the Sponsor will be informed.</w:t>
      </w:r>
    </w:p>
    <w:p w14:paraId="37F11687" w14:textId="77777777" w:rsidR="000A7568" w:rsidRPr="00DF31CC" w:rsidRDefault="000A7568" w:rsidP="00411424">
      <w:pPr>
        <w:rPr>
          <w:rFonts w:ascii="Arial Narrow" w:hAnsi="Arial Narrow"/>
          <w:sz w:val="18"/>
          <w:szCs w:val="18"/>
        </w:rPr>
      </w:pPr>
    </w:p>
    <w:p w14:paraId="36FA0CF7" w14:textId="77777777" w:rsidR="00A50CC7" w:rsidRPr="00405A8E" w:rsidRDefault="00A50CC7" w:rsidP="004B3D89">
      <w:pPr>
        <w:pStyle w:val="2-SectionHeading"/>
        <w:rPr>
          <w:lang w:val="en-GB"/>
        </w:rPr>
      </w:pPr>
      <w:r w:rsidRPr="004B3D89">
        <w:rPr>
          <w:lang w:val="en-GB"/>
        </w:rPr>
        <w:t>Context for Decision</w:t>
      </w:r>
    </w:p>
    <w:p w14:paraId="31D023FE" w14:textId="77777777" w:rsidR="00A50CC7" w:rsidRPr="007129F2" w:rsidRDefault="00A50CC7" w:rsidP="004B3D89">
      <w:pPr>
        <w:spacing w:after="120"/>
        <w:ind w:left="720"/>
        <w:rPr>
          <w:rFonts w:cs="Arial"/>
          <w:bCs/>
          <w:lang w:val="en-GB"/>
        </w:rPr>
      </w:pPr>
      <w:r w:rsidRPr="007129F2">
        <w:rPr>
          <w:rFonts w:cs="Arial"/>
          <w:bCs/>
          <w:lang w:val="en-GB"/>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14:paraId="19018CF6" w14:textId="77777777" w:rsidR="00A50CC7" w:rsidRPr="004B3D89" w:rsidRDefault="00A50CC7" w:rsidP="004B3D89">
      <w:pPr>
        <w:pStyle w:val="2-SectionHeading"/>
        <w:rPr>
          <w:b w:val="0"/>
          <w:lang w:val="en-GB"/>
        </w:rPr>
      </w:pPr>
      <w:r w:rsidRPr="004B3D89">
        <w:rPr>
          <w:lang w:val="en-GB"/>
        </w:rPr>
        <w:t>Sponsor’s Comment</w:t>
      </w:r>
    </w:p>
    <w:p w14:paraId="6B8969FE" w14:textId="77777777" w:rsidR="00A50CC7" w:rsidRPr="001179AC" w:rsidRDefault="00A50CC7" w:rsidP="004B3D89">
      <w:pPr>
        <w:spacing w:after="120"/>
        <w:ind w:left="426" w:firstLine="294"/>
        <w:rPr>
          <w:rFonts w:cs="Arial"/>
          <w:bCs/>
        </w:rPr>
      </w:pPr>
      <w:r w:rsidRPr="00C07617">
        <w:rPr>
          <w:rFonts w:cs="Arial"/>
          <w:bCs/>
        </w:rPr>
        <w:t>The sponsor had no comment.</w:t>
      </w:r>
    </w:p>
    <w:p w14:paraId="11B4310F" w14:textId="77777777" w:rsidR="008C59AA" w:rsidRDefault="008C59AA" w:rsidP="00411424"/>
    <w:sectPr w:rsidR="008C59AA" w:rsidSect="00C27B58">
      <w:headerReference w:type="even" r:id="rId8"/>
      <w:headerReference w:type="default" r:id="rId9"/>
      <w:footerReference w:type="even" r:id="rId10"/>
      <w:footerReference w:type="default" r:id="rId11"/>
      <w:footerReference w:type="first" r:id="rId12"/>
      <w:pgSz w:w="11906" w:h="16838"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2750A1" w14:textId="77777777" w:rsidR="002715DD" w:rsidRDefault="002715DD">
      <w:r>
        <w:separator/>
      </w:r>
    </w:p>
    <w:p w14:paraId="1F4CEAB6" w14:textId="77777777" w:rsidR="002715DD" w:rsidRDefault="002715DD"/>
  </w:endnote>
  <w:endnote w:type="continuationSeparator" w:id="0">
    <w:p w14:paraId="5A8B1EF7" w14:textId="77777777" w:rsidR="002715DD" w:rsidRDefault="002715DD">
      <w:r>
        <w:continuationSeparator/>
      </w:r>
    </w:p>
    <w:p w14:paraId="262FD9AD" w14:textId="77777777" w:rsidR="002715DD" w:rsidRDefault="002715DD"/>
  </w:endnote>
  <w:endnote w:type="continuationNotice" w:id="1">
    <w:p w14:paraId="6BC9EA40" w14:textId="77777777" w:rsidR="002715DD" w:rsidRDefault="002715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Arial Bold">
    <w:altName w:val="Arial"/>
    <w:panose1 w:val="020B0704020202020204"/>
    <w:charset w:val="00"/>
    <w:family w:val="swiss"/>
    <w:pitch w:val="variable"/>
    <w:sig w:usb0="E0002AFF" w:usb1="C0007843" w:usb2="00000009" w:usb3="00000000" w:csb0="000001FF" w:csb1="00000000"/>
  </w:font>
  <w:font w:name="Candara">
    <w:panose1 w:val="020E0502030303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87" w:rightFromText="187" w:bottomFromText="200" w:vertAnchor="text" w:tblpY="1"/>
      <w:tblW w:w="5000" w:type="pct"/>
      <w:tblLook w:val="04A0" w:firstRow="1" w:lastRow="0" w:firstColumn="1" w:lastColumn="0" w:noHBand="0" w:noVBand="1"/>
    </w:tblPr>
    <w:tblGrid>
      <w:gridCol w:w="3887"/>
      <w:gridCol w:w="1252"/>
      <w:gridCol w:w="3887"/>
    </w:tblGrid>
    <w:tr w:rsidR="00E50A57" w14:paraId="3CF3C3B7" w14:textId="77777777" w:rsidTr="005A3173">
      <w:trPr>
        <w:trHeight w:val="151"/>
      </w:trPr>
      <w:tc>
        <w:tcPr>
          <w:tcW w:w="2250" w:type="pct"/>
          <w:tcBorders>
            <w:top w:val="nil"/>
            <w:left w:val="nil"/>
            <w:bottom w:val="single" w:sz="4" w:space="0" w:color="4F81BD"/>
            <w:right w:val="nil"/>
          </w:tcBorders>
        </w:tcPr>
        <w:p w14:paraId="7EF72C51" w14:textId="77777777" w:rsidR="00E50A57" w:rsidRPr="005A3173" w:rsidRDefault="00E50A57" w:rsidP="005A3173">
          <w:pPr>
            <w:pStyle w:val="Header"/>
            <w:spacing w:line="276" w:lineRule="auto"/>
            <w:rPr>
              <w:rFonts w:eastAsia="MS Gothic"/>
              <w:b/>
              <w:bCs/>
              <w:color w:val="4F81BD"/>
            </w:rPr>
          </w:pPr>
        </w:p>
      </w:tc>
      <w:tc>
        <w:tcPr>
          <w:tcW w:w="500" w:type="pct"/>
          <w:vMerge w:val="restart"/>
          <w:noWrap/>
          <w:vAlign w:val="center"/>
          <w:hideMark/>
        </w:tcPr>
        <w:p w14:paraId="6B6C2B8A" w14:textId="77777777" w:rsidR="00E50A57" w:rsidRPr="005A3173" w:rsidRDefault="00E50A57"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14:paraId="2FCF40C0" w14:textId="77777777" w:rsidR="00E50A57" w:rsidRPr="005A3173" w:rsidRDefault="00E50A57" w:rsidP="005A3173">
          <w:pPr>
            <w:pStyle w:val="Header"/>
            <w:spacing w:line="276" w:lineRule="auto"/>
            <w:rPr>
              <w:rFonts w:eastAsia="MS Gothic"/>
              <w:b/>
              <w:bCs/>
              <w:color w:val="4F81BD"/>
            </w:rPr>
          </w:pPr>
        </w:p>
      </w:tc>
    </w:tr>
    <w:tr w:rsidR="00E50A57" w14:paraId="470D8494" w14:textId="77777777" w:rsidTr="005A3173">
      <w:trPr>
        <w:trHeight w:val="150"/>
      </w:trPr>
      <w:tc>
        <w:tcPr>
          <w:tcW w:w="2250" w:type="pct"/>
          <w:tcBorders>
            <w:top w:val="single" w:sz="4" w:space="0" w:color="4F81BD"/>
            <w:left w:val="nil"/>
            <w:bottom w:val="nil"/>
            <w:right w:val="nil"/>
          </w:tcBorders>
        </w:tcPr>
        <w:p w14:paraId="6EA825A2" w14:textId="77777777" w:rsidR="00E50A57" w:rsidRPr="005A3173" w:rsidRDefault="00E50A57" w:rsidP="005A3173">
          <w:pPr>
            <w:pStyle w:val="Header"/>
            <w:spacing w:line="276" w:lineRule="auto"/>
            <w:rPr>
              <w:rFonts w:eastAsia="MS Gothic"/>
              <w:b/>
              <w:bCs/>
              <w:color w:val="4F81BD"/>
            </w:rPr>
          </w:pPr>
        </w:p>
      </w:tc>
      <w:tc>
        <w:tcPr>
          <w:tcW w:w="0" w:type="auto"/>
          <w:vMerge/>
          <w:vAlign w:val="center"/>
          <w:hideMark/>
        </w:tcPr>
        <w:p w14:paraId="43B8B61B" w14:textId="77777777" w:rsidR="00E50A57" w:rsidRPr="005A3173" w:rsidRDefault="00E50A57" w:rsidP="005A3173">
          <w:pPr>
            <w:rPr>
              <w:color w:val="365F91"/>
              <w:sz w:val="22"/>
              <w:szCs w:val="22"/>
            </w:rPr>
          </w:pPr>
        </w:p>
      </w:tc>
      <w:tc>
        <w:tcPr>
          <w:tcW w:w="2250" w:type="pct"/>
          <w:tcBorders>
            <w:top w:val="single" w:sz="4" w:space="0" w:color="4F81BD"/>
            <w:left w:val="nil"/>
            <w:bottom w:val="nil"/>
            <w:right w:val="nil"/>
          </w:tcBorders>
        </w:tcPr>
        <w:p w14:paraId="202F0633" w14:textId="77777777" w:rsidR="00E50A57" w:rsidRPr="005A3173" w:rsidRDefault="00E50A57" w:rsidP="005A3173">
          <w:pPr>
            <w:pStyle w:val="Header"/>
            <w:spacing w:line="276" w:lineRule="auto"/>
            <w:rPr>
              <w:rFonts w:eastAsia="MS Gothic"/>
              <w:b/>
              <w:bCs/>
              <w:color w:val="4F81BD"/>
            </w:rPr>
          </w:pPr>
        </w:p>
      </w:tc>
    </w:tr>
  </w:tbl>
  <w:p w14:paraId="6CA4087D" w14:textId="77777777" w:rsidR="00E50A57" w:rsidRDefault="00E50A57"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BE6A4BC" w14:textId="77777777" w:rsidR="00E50A57" w:rsidRDefault="00E50A57">
    <w:pPr>
      <w:pStyle w:val="Footer"/>
    </w:pPr>
  </w:p>
  <w:p w14:paraId="0A4AADEC" w14:textId="77777777" w:rsidR="00E50A57" w:rsidRDefault="00E50A5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okmarkStart w:id="8" w:name="_Hlk76375156"/>
  <w:p w14:paraId="65F07C5C" w14:textId="77777777" w:rsidR="00E50A57" w:rsidRPr="00F835F2" w:rsidRDefault="00F835F2" w:rsidP="00F835F2">
    <w:pPr>
      <w:pStyle w:val="Footer"/>
      <w:keepNext/>
      <w:ind w:left="360"/>
      <w:jc w:val="center"/>
      <w:rPr>
        <w:rFonts w:asciiTheme="minorHAnsi" w:hAnsiTheme="minorHAnsi" w:cs="Arial"/>
      </w:rPr>
    </w:pPr>
    <w:r w:rsidRPr="00836F75">
      <w:rPr>
        <w:rFonts w:cs="Arial"/>
        <w:b/>
      </w:rPr>
      <w:fldChar w:fldCharType="begin"/>
    </w:r>
    <w:r w:rsidRPr="00836F75">
      <w:rPr>
        <w:rFonts w:cs="Arial"/>
        <w:b/>
      </w:rPr>
      <w:instrText xml:space="preserve"> PAGE   \* MERGEFORMAT </w:instrText>
    </w:r>
    <w:r w:rsidRPr="00836F75">
      <w:rPr>
        <w:rFonts w:cs="Arial"/>
        <w:b/>
      </w:rPr>
      <w:fldChar w:fldCharType="separate"/>
    </w:r>
    <w:r w:rsidR="002715DD">
      <w:rPr>
        <w:rFonts w:cs="Arial"/>
        <w:b/>
        <w:noProof/>
      </w:rPr>
      <w:t>6</w:t>
    </w:r>
    <w:r w:rsidRPr="00836F75">
      <w:rPr>
        <w:rFonts w:cs="Arial"/>
        <w:b/>
        <w:noProof/>
      </w:rPr>
      <w:fldChar w:fldCharType="end"/>
    </w:r>
    <w:r>
      <w:rPr>
        <w:rFonts w:cs="Arial"/>
        <w:b/>
        <w:noProof/>
      </w:rPr>
      <w:t xml:space="preserve"> </w:t>
    </w:r>
    <w:bookmarkEnd w:id="8"/>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4A0" w:firstRow="1" w:lastRow="0" w:firstColumn="1" w:lastColumn="0" w:noHBand="0" w:noVBand="1"/>
    </w:tblPr>
    <w:tblGrid>
      <w:gridCol w:w="3887"/>
      <w:gridCol w:w="1252"/>
      <w:gridCol w:w="3887"/>
    </w:tblGrid>
    <w:tr w:rsidR="00E50A57" w14:paraId="4C795F8E" w14:textId="77777777" w:rsidTr="005A3173">
      <w:trPr>
        <w:trHeight w:val="151"/>
      </w:trPr>
      <w:tc>
        <w:tcPr>
          <w:tcW w:w="2250" w:type="pct"/>
          <w:tcBorders>
            <w:top w:val="nil"/>
            <w:left w:val="nil"/>
            <w:bottom w:val="single" w:sz="4" w:space="0" w:color="4F81BD"/>
            <w:right w:val="nil"/>
          </w:tcBorders>
        </w:tcPr>
        <w:p w14:paraId="7EEC91C0" w14:textId="77777777" w:rsidR="00E50A57" w:rsidRPr="005A3173" w:rsidRDefault="00E50A57" w:rsidP="005A3173">
          <w:pPr>
            <w:pStyle w:val="Header"/>
            <w:spacing w:line="276" w:lineRule="auto"/>
            <w:rPr>
              <w:rFonts w:eastAsia="MS Gothic"/>
              <w:b/>
              <w:bCs/>
              <w:color w:val="4F81BD"/>
            </w:rPr>
          </w:pPr>
        </w:p>
      </w:tc>
      <w:tc>
        <w:tcPr>
          <w:tcW w:w="500" w:type="pct"/>
          <w:vMerge w:val="restart"/>
          <w:noWrap/>
          <w:vAlign w:val="center"/>
          <w:hideMark/>
        </w:tcPr>
        <w:p w14:paraId="54A078DF" w14:textId="77777777" w:rsidR="00E50A57" w:rsidRPr="005A3173" w:rsidRDefault="00E50A57"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14:paraId="2B49E23F" w14:textId="77777777" w:rsidR="00E50A57" w:rsidRPr="005A3173" w:rsidRDefault="00E50A57" w:rsidP="005A3173">
          <w:pPr>
            <w:pStyle w:val="Header"/>
            <w:spacing w:line="276" w:lineRule="auto"/>
            <w:rPr>
              <w:rFonts w:eastAsia="MS Gothic"/>
              <w:b/>
              <w:bCs/>
              <w:color w:val="4F81BD"/>
            </w:rPr>
          </w:pPr>
        </w:p>
      </w:tc>
    </w:tr>
    <w:tr w:rsidR="00E50A57" w14:paraId="01DC5418" w14:textId="77777777" w:rsidTr="005A3173">
      <w:trPr>
        <w:trHeight w:val="150"/>
      </w:trPr>
      <w:tc>
        <w:tcPr>
          <w:tcW w:w="2250" w:type="pct"/>
          <w:tcBorders>
            <w:top w:val="single" w:sz="4" w:space="0" w:color="4F81BD"/>
            <w:left w:val="nil"/>
            <w:bottom w:val="nil"/>
            <w:right w:val="nil"/>
          </w:tcBorders>
        </w:tcPr>
        <w:p w14:paraId="6753AE2A" w14:textId="77777777" w:rsidR="00E50A57" w:rsidRPr="005A3173" w:rsidRDefault="00E50A57" w:rsidP="005A3173">
          <w:pPr>
            <w:pStyle w:val="Header"/>
            <w:spacing w:line="276" w:lineRule="auto"/>
            <w:rPr>
              <w:rFonts w:eastAsia="MS Gothic"/>
              <w:b/>
              <w:bCs/>
              <w:color w:val="4F81BD"/>
            </w:rPr>
          </w:pPr>
        </w:p>
      </w:tc>
      <w:tc>
        <w:tcPr>
          <w:tcW w:w="0" w:type="auto"/>
          <w:vMerge/>
          <w:vAlign w:val="center"/>
          <w:hideMark/>
        </w:tcPr>
        <w:p w14:paraId="104D6A76" w14:textId="77777777" w:rsidR="00E50A57" w:rsidRPr="005A3173" w:rsidRDefault="00E50A57" w:rsidP="005A3173">
          <w:pPr>
            <w:rPr>
              <w:color w:val="365F91"/>
              <w:sz w:val="22"/>
              <w:szCs w:val="22"/>
            </w:rPr>
          </w:pPr>
        </w:p>
      </w:tc>
      <w:tc>
        <w:tcPr>
          <w:tcW w:w="2250" w:type="pct"/>
          <w:tcBorders>
            <w:top w:val="single" w:sz="4" w:space="0" w:color="4F81BD"/>
            <w:left w:val="nil"/>
            <w:bottom w:val="nil"/>
            <w:right w:val="nil"/>
          </w:tcBorders>
        </w:tcPr>
        <w:p w14:paraId="04F9E53F" w14:textId="77777777" w:rsidR="00E50A57" w:rsidRPr="005A3173" w:rsidRDefault="00E50A57" w:rsidP="005A3173">
          <w:pPr>
            <w:pStyle w:val="Header"/>
            <w:spacing w:line="276" w:lineRule="auto"/>
            <w:rPr>
              <w:rFonts w:eastAsia="MS Gothic"/>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887"/>
      <w:gridCol w:w="1252"/>
      <w:gridCol w:w="3887"/>
    </w:tblGrid>
    <w:tr w:rsidR="00E50A57" w14:paraId="70757584" w14:textId="77777777" w:rsidTr="005A3173">
      <w:trPr>
        <w:trHeight w:val="151"/>
      </w:trPr>
      <w:tc>
        <w:tcPr>
          <w:tcW w:w="2250" w:type="pct"/>
          <w:tcBorders>
            <w:top w:val="nil"/>
            <w:left w:val="nil"/>
            <w:bottom w:val="single" w:sz="4" w:space="0" w:color="4F81BD"/>
            <w:right w:val="nil"/>
          </w:tcBorders>
        </w:tcPr>
        <w:p w14:paraId="7C92C4A7" w14:textId="77777777" w:rsidR="00E50A57" w:rsidRPr="005A3173" w:rsidRDefault="00E50A57" w:rsidP="005A3173">
          <w:pPr>
            <w:pStyle w:val="Header"/>
            <w:spacing w:line="276" w:lineRule="auto"/>
            <w:rPr>
              <w:rFonts w:eastAsia="MS Gothic"/>
              <w:b/>
              <w:bCs/>
              <w:color w:val="4F81BD"/>
            </w:rPr>
          </w:pPr>
        </w:p>
      </w:tc>
      <w:tc>
        <w:tcPr>
          <w:tcW w:w="500" w:type="pct"/>
          <w:vMerge w:val="restart"/>
          <w:noWrap/>
          <w:vAlign w:val="center"/>
          <w:hideMark/>
        </w:tcPr>
        <w:p w14:paraId="258F33C2" w14:textId="77777777" w:rsidR="00E50A57" w:rsidRPr="005A3173" w:rsidRDefault="00E50A57"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14:paraId="01C1520D" w14:textId="77777777" w:rsidR="00E50A57" w:rsidRPr="005A3173" w:rsidRDefault="00E50A57" w:rsidP="005A3173">
          <w:pPr>
            <w:pStyle w:val="Header"/>
            <w:spacing w:line="276" w:lineRule="auto"/>
            <w:rPr>
              <w:rFonts w:eastAsia="MS Gothic"/>
              <w:b/>
              <w:bCs/>
              <w:color w:val="4F81BD"/>
            </w:rPr>
          </w:pPr>
        </w:p>
      </w:tc>
    </w:tr>
    <w:tr w:rsidR="00E50A57" w14:paraId="2D4624F8" w14:textId="77777777" w:rsidTr="005A3173">
      <w:trPr>
        <w:trHeight w:val="150"/>
      </w:trPr>
      <w:tc>
        <w:tcPr>
          <w:tcW w:w="2250" w:type="pct"/>
          <w:tcBorders>
            <w:top w:val="single" w:sz="4" w:space="0" w:color="4F81BD"/>
            <w:left w:val="nil"/>
            <w:bottom w:val="nil"/>
            <w:right w:val="nil"/>
          </w:tcBorders>
        </w:tcPr>
        <w:p w14:paraId="652A3D04" w14:textId="77777777" w:rsidR="00E50A57" w:rsidRPr="005A3173" w:rsidRDefault="00E50A57" w:rsidP="005A3173">
          <w:pPr>
            <w:pStyle w:val="Header"/>
            <w:spacing w:line="276" w:lineRule="auto"/>
            <w:rPr>
              <w:rFonts w:eastAsia="MS Gothic"/>
              <w:b/>
              <w:bCs/>
              <w:color w:val="4F81BD"/>
            </w:rPr>
          </w:pPr>
        </w:p>
      </w:tc>
      <w:tc>
        <w:tcPr>
          <w:tcW w:w="0" w:type="auto"/>
          <w:vMerge/>
          <w:vAlign w:val="center"/>
          <w:hideMark/>
        </w:tcPr>
        <w:p w14:paraId="2073C129" w14:textId="77777777" w:rsidR="00E50A57" w:rsidRPr="005A3173" w:rsidRDefault="00E50A57" w:rsidP="005A3173">
          <w:pPr>
            <w:rPr>
              <w:color w:val="365F91"/>
              <w:sz w:val="22"/>
              <w:szCs w:val="22"/>
            </w:rPr>
          </w:pPr>
        </w:p>
      </w:tc>
      <w:tc>
        <w:tcPr>
          <w:tcW w:w="2250" w:type="pct"/>
          <w:tcBorders>
            <w:top w:val="single" w:sz="4" w:space="0" w:color="4F81BD"/>
            <w:left w:val="nil"/>
            <w:bottom w:val="nil"/>
            <w:right w:val="nil"/>
          </w:tcBorders>
        </w:tcPr>
        <w:p w14:paraId="13C5FB4B" w14:textId="77777777" w:rsidR="00E50A57" w:rsidRPr="005A3173" w:rsidRDefault="00E50A57" w:rsidP="005A3173">
          <w:pPr>
            <w:pStyle w:val="Header"/>
            <w:spacing w:line="276" w:lineRule="auto"/>
            <w:rPr>
              <w:rFonts w:eastAsia="MS Gothic"/>
              <w:b/>
              <w:bCs/>
              <w:color w:val="4F81BD"/>
            </w:rPr>
          </w:pPr>
        </w:p>
      </w:tc>
    </w:tr>
  </w:tbl>
  <w:p w14:paraId="770504D3" w14:textId="77777777" w:rsidR="00E50A57" w:rsidRPr="007C0F57" w:rsidRDefault="00E50A57" w:rsidP="007C0F57">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sidRPr="007C0F57">
      <w:rPr>
        <w:b/>
        <w:i/>
        <w:sz w:val="20"/>
        <w:szCs w:val="20"/>
      </w:rPr>
      <w:t>BAC Meeting</w:t>
    </w:r>
  </w:p>
  <w:p w14:paraId="1696FE7A" w14:textId="77777777" w:rsidR="00E50A57" w:rsidRPr="007C0F57" w:rsidRDefault="00E50A57" w:rsidP="007C0F57">
    <w:pPr>
      <w:pStyle w:val="Footer"/>
      <w:jc w:val="center"/>
      <w:rPr>
        <w:b/>
        <w:i/>
        <w:sz w:val="20"/>
        <w:szCs w:val="20"/>
      </w:rPr>
    </w:pPr>
    <w:r w:rsidRPr="007C0F57">
      <w:rPr>
        <w:b/>
        <w:i/>
        <w:sz w:val="20"/>
        <w:szCs w:val="20"/>
      </w:rPr>
      <w:t>Commercial-in-Confidence</w:t>
    </w:r>
  </w:p>
  <w:p w14:paraId="39AD507C" w14:textId="77777777" w:rsidR="00E50A57" w:rsidRDefault="00E50A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CAC29F" w14:textId="77777777" w:rsidR="002715DD" w:rsidRDefault="002715DD">
      <w:r>
        <w:separator/>
      </w:r>
    </w:p>
    <w:p w14:paraId="2599341E" w14:textId="77777777" w:rsidR="002715DD" w:rsidRDefault="002715DD"/>
  </w:footnote>
  <w:footnote w:type="continuationSeparator" w:id="0">
    <w:p w14:paraId="6B266A87" w14:textId="77777777" w:rsidR="002715DD" w:rsidRDefault="002715DD">
      <w:r>
        <w:continuationSeparator/>
      </w:r>
    </w:p>
    <w:p w14:paraId="3BD1A379" w14:textId="77777777" w:rsidR="002715DD" w:rsidRDefault="002715DD"/>
  </w:footnote>
  <w:footnote w:type="continuationNotice" w:id="1">
    <w:p w14:paraId="6659E7E7" w14:textId="77777777" w:rsidR="002715DD" w:rsidRDefault="002715D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87" w:rightFromText="187" w:bottomFromText="200" w:vertAnchor="text" w:tblpY="1"/>
      <w:tblW w:w="4937" w:type="pct"/>
      <w:tblLook w:val="04A0" w:firstRow="1" w:lastRow="0" w:firstColumn="1" w:lastColumn="0" w:noHBand="0" w:noVBand="1"/>
    </w:tblPr>
    <w:tblGrid>
      <w:gridCol w:w="3929"/>
      <w:gridCol w:w="1252"/>
      <w:gridCol w:w="3731"/>
    </w:tblGrid>
    <w:tr w:rsidR="00E50A57" w:rsidRPr="008E0D90" w14:paraId="6691DAE6" w14:textId="77777777" w:rsidTr="00A06225">
      <w:trPr>
        <w:trHeight w:val="151"/>
      </w:trPr>
      <w:tc>
        <w:tcPr>
          <w:tcW w:w="2389" w:type="pct"/>
          <w:tcBorders>
            <w:top w:val="nil"/>
            <w:left w:val="nil"/>
            <w:bottom w:val="single" w:sz="4" w:space="0" w:color="4F81BD"/>
            <w:right w:val="nil"/>
          </w:tcBorders>
        </w:tcPr>
        <w:p w14:paraId="139AE4D3" w14:textId="77777777" w:rsidR="00E50A57" w:rsidRPr="00A06225" w:rsidRDefault="00E50A57">
          <w:pPr>
            <w:pStyle w:val="Header"/>
            <w:spacing w:line="276" w:lineRule="auto"/>
            <w:rPr>
              <w:rFonts w:ascii="Cambria" w:eastAsia="MS Gothic" w:hAnsi="Cambria"/>
              <w:b/>
              <w:bCs/>
              <w:color w:val="4F81BD"/>
            </w:rPr>
          </w:pPr>
        </w:p>
      </w:tc>
      <w:tc>
        <w:tcPr>
          <w:tcW w:w="333" w:type="pct"/>
          <w:vMerge w:val="restart"/>
          <w:noWrap/>
          <w:vAlign w:val="center"/>
          <w:hideMark/>
        </w:tcPr>
        <w:p w14:paraId="38493471" w14:textId="77777777" w:rsidR="00E50A57" w:rsidRPr="00A06225" w:rsidRDefault="00E50A57"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14:paraId="6B6D98F5" w14:textId="77777777" w:rsidR="00E50A57" w:rsidRPr="00A06225" w:rsidRDefault="00E50A57">
          <w:pPr>
            <w:pStyle w:val="Header"/>
            <w:spacing w:line="276" w:lineRule="auto"/>
            <w:rPr>
              <w:rFonts w:ascii="Cambria" w:eastAsia="MS Gothic" w:hAnsi="Cambria"/>
              <w:b/>
              <w:bCs/>
              <w:color w:val="4F81BD"/>
            </w:rPr>
          </w:pPr>
        </w:p>
      </w:tc>
    </w:tr>
    <w:tr w:rsidR="00E50A57" w:rsidRPr="008E0D90" w14:paraId="0992EEF9" w14:textId="77777777" w:rsidTr="00A06225">
      <w:trPr>
        <w:trHeight w:val="150"/>
      </w:trPr>
      <w:tc>
        <w:tcPr>
          <w:tcW w:w="2389" w:type="pct"/>
          <w:tcBorders>
            <w:top w:val="single" w:sz="4" w:space="0" w:color="4F81BD"/>
            <w:left w:val="nil"/>
            <w:bottom w:val="nil"/>
            <w:right w:val="nil"/>
          </w:tcBorders>
        </w:tcPr>
        <w:p w14:paraId="048798FA" w14:textId="77777777" w:rsidR="00E50A57" w:rsidRPr="00A06225" w:rsidRDefault="00E50A57">
          <w:pPr>
            <w:pStyle w:val="Header"/>
            <w:spacing w:line="276" w:lineRule="auto"/>
            <w:rPr>
              <w:rFonts w:ascii="Cambria" w:eastAsia="MS Gothic" w:hAnsi="Cambria"/>
              <w:b/>
              <w:bCs/>
              <w:color w:val="4F81BD"/>
            </w:rPr>
          </w:pPr>
        </w:p>
      </w:tc>
      <w:tc>
        <w:tcPr>
          <w:tcW w:w="0" w:type="auto"/>
          <w:vMerge/>
          <w:vAlign w:val="center"/>
          <w:hideMark/>
        </w:tcPr>
        <w:p w14:paraId="6104661E" w14:textId="77777777" w:rsidR="00E50A57" w:rsidRPr="00A06225" w:rsidRDefault="00E50A57">
          <w:pPr>
            <w:rPr>
              <w:rFonts w:ascii="Cambria" w:hAnsi="Cambria"/>
              <w:color w:val="4F81BD"/>
              <w:sz w:val="22"/>
              <w:szCs w:val="22"/>
            </w:rPr>
          </w:pPr>
        </w:p>
      </w:tc>
      <w:tc>
        <w:tcPr>
          <w:tcW w:w="2278" w:type="pct"/>
          <w:tcBorders>
            <w:top w:val="single" w:sz="4" w:space="0" w:color="4F81BD"/>
            <w:left w:val="nil"/>
            <w:bottom w:val="nil"/>
            <w:right w:val="nil"/>
          </w:tcBorders>
        </w:tcPr>
        <w:p w14:paraId="00CE68B1" w14:textId="77777777" w:rsidR="00E50A57" w:rsidRPr="00A06225" w:rsidRDefault="00E50A57">
          <w:pPr>
            <w:pStyle w:val="Header"/>
            <w:spacing w:line="276" w:lineRule="auto"/>
            <w:rPr>
              <w:rFonts w:ascii="Cambria" w:eastAsia="MS Gothic" w:hAnsi="Cambria"/>
              <w:b/>
              <w:bCs/>
              <w:color w:val="4F81BD"/>
            </w:rPr>
          </w:pPr>
        </w:p>
      </w:tc>
    </w:tr>
  </w:tbl>
  <w:p w14:paraId="64E6816D" w14:textId="77777777" w:rsidR="00E50A57" w:rsidRDefault="00E50A57">
    <w:pPr>
      <w:pStyle w:val="Header"/>
    </w:pPr>
  </w:p>
  <w:p w14:paraId="7A001610" w14:textId="77777777" w:rsidR="00E50A57" w:rsidRDefault="00E50A5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F3B7D3" w14:textId="77777777" w:rsidR="00F835F2" w:rsidRPr="00056684" w:rsidRDefault="00A50CC7" w:rsidP="00F835F2">
    <w:pPr>
      <w:pStyle w:val="Header"/>
      <w:ind w:left="360"/>
      <w:rPr>
        <w:rFonts w:asciiTheme="minorHAnsi" w:hAnsiTheme="minorHAnsi" w:cs="Arial"/>
        <w:i/>
        <w:color w:val="808080"/>
      </w:rPr>
    </w:pPr>
    <w:bookmarkStart w:id="7" w:name="_Hlk76375146"/>
    <w:r w:rsidRPr="00A50CC7">
      <w:rPr>
        <w:rFonts w:asciiTheme="minorHAnsi" w:hAnsiTheme="minorHAnsi" w:cs="Arial"/>
        <w:i/>
        <w:color w:val="808080"/>
      </w:rPr>
      <w:t>Public Summary Document</w:t>
    </w:r>
    <w:r w:rsidRPr="00A50CC7" w:rsidDel="00A50CC7">
      <w:rPr>
        <w:rFonts w:asciiTheme="minorHAnsi" w:hAnsiTheme="minorHAnsi" w:cs="Arial"/>
        <w:i/>
        <w:color w:val="808080"/>
      </w:rPr>
      <w:t xml:space="preserve"> </w:t>
    </w:r>
    <w:r w:rsidR="00F835F2" w:rsidRPr="00056684">
      <w:rPr>
        <w:rFonts w:asciiTheme="minorHAnsi" w:hAnsiTheme="minorHAnsi" w:cs="Arial"/>
        <w:i/>
        <w:color w:val="808080"/>
      </w:rPr>
      <w:t xml:space="preserve">– </w:t>
    </w:r>
    <w:r w:rsidR="0083209F">
      <w:rPr>
        <w:rFonts w:asciiTheme="minorHAnsi" w:hAnsiTheme="minorHAnsi" w:cs="Arial"/>
        <w:i/>
        <w:color w:val="808080"/>
      </w:rPr>
      <w:t xml:space="preserve">November </w:t>
    </w:r>
    <w:r w:rsidR="00F835F2">
      <w:rPr>
        <w:rFonts w:asciiTheme="minorHAnsi" w:hAnsiTheme="minorHAnsi" w:cs="Arial"/>
        <w:i/>
        <w:color w:val="808080"/>
      </w:rPr>
      <w:t>2021</w:t>
    </w:r>
    <w:r w:rsidR="00F835F2" w:rsidRPr="00056684">
      <w:rPr>
        <w:rFonts w:asciiTheme="minorHAnsi" w:hAnsiTheme="minorHAnsi" w:cs="Arial"/>
        <w:i/>
        <w:color w:val="808080"/>
      </w:rPr>
      <w:t xml:space="preserve"> PBAC Meeting</w:t>
    </w:r>
  </w:p>
  <w:bookmarkEnd w:id="7"/>
  <w:p w14:paraId="72E006F8" w14:textId="77777777" w:rsidR="00E50A57" w:rsidRPr="00F835F2" w:rsidRDefault="00E50A57" w:rsidP="00F835F2">
    <w:pPr>
      <w:pStyle w:val="Header"/>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EE52495A"/>
    <w:lvl w:ilvl="0">
      <w:start w:val="1"/>
      <w:numFmt w:val="decimal"/>
      <w:pStyle w:val="3-BodyText"/>
      <w:lvlText w:val="%1."/>
      <w:lvlJc w:val="left"/>
      <w:pPr>
        <w:tabs>
          <w:tab w:val="num" w:pos="360"/>
        </w:tabs>
        <w:ind w:left="360" w:hanging="360"/>
      </w:pPr>
    </w:lvl>
  </w:abstractNum>
  <w:abstractNum w:abstractNumId="1" w15:restartNumberingAfterBreak="0">
    <w:nsid w:val="FFFFFF89"/>
    <w:multiLevelType w:val="hybridMultilevel"/>
    <w:tmpl w:val="98E4CF80"/>
    <w:lvl w:ilvl="0" w:tplc="DBD660D0">
      <w:start w:val="1"/>
      <w:numFmt w:val="bullet"/>
      <w:pStyle w:val="ListBullet"/>
      <w:lvlText w:val=""/>
      <w:lvlJc w:val="left"/>
      <w:pPr>
        <w:tabs>
          <w:tab w:val="num" w:pos="360"/>
        </w:tabs>
        <w:ind w:left="360" w:hanging="360"/>
      </w:pPr>
      <w:rPr>
        <w:rFonts w:ascii="Symbol" w:hAnsi="Symbol" w:hint="default"/>
      </w:rPr>
    </w:lvl>
    <w:lvl w:ilvl="1" w:tplc="73E220B8">
      <w:numFmt w:val="decimal"/>
      <w:lvlText w:val=""/>
      <w:lvlJc w:val="left"/>
    </w:lvl>
    <w:lvl w:ilvl="2" w:tplc="83E2E2DA">
      <w:numFmt w:val="decimal"/>
      <w:lvlText w:val=""/>
      <w:lvlJc w:val="left"/>
    </w:lvl>
    <w:lvl w:ilvl="3" w:tplc="8B723C16">
      <w:numFmt w:val="decimal"/>
      <w:lvlText w:val=""/>
      <w:lvlJc w:val="left"/>
    </w:lvl>
    <w:lvl w:ilvl="4" w:tplc="AB960680">
      <w:numFmt w:val="decimal"/>
      <w:lvlText w:val=""/>
      <w:lvlJc w:val="left"/>
    </w:lvl>
    <w:lvl w:ilvl="5" w:tplc="E098C210">
      <w:numFmt w:val="decimal"/>
      <w:lvlText w:val=""/>
      <w:lvlJc w:val="left"/>
    </w:lvl>
    <w:lvl w:ilvl="6" w:tplc="6B18DA12">
      <w:numFmt w:val="decimal"/>
      <w:lvlText w:val=""/>
      <w:lvlJc w:val="left"/>
    </w:lvl>
    <w:lvl w:ilvl="7" w:tplc="A7D4E182">
      <w:numFmt w:val="decimal"/>
      <w:lvlText w:val=""/>
      <w:lvlJc w:val="left"/>
    </w:lvl>
    <w:lvl w:ilvl="8" w:tplc="E84689B2">
      <w:numFmt w:val="decimal"/>
      <w:lvlText w:val=""/>
      <w:lvlJc w:val="left"/>
    </w:lvl>
  </w:abstractNum>
  <w:abstractNum w:abstractNumId="2" w15:restartNumberingAfterBreak="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8D4654B"/>
    <w:multiLevelType w:val="hybridMultilevel"/>
    <w:tmpl w:val="81F2B3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3924B96"/>
    <w:multiLevelType w:val="hybridMultilevel"/>
    <w:tmpl w:val="FC18D9B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15:restartNumberingAfterBreak="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C975E3F"/>
    <w:multiLevelType w:val="hybridMultilevel"/>
    <w:tmpl w:val="E624A8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6244933"/>
    <w:multiLevelType w:val="hybridMultilevel"/>
    <w:tmpl w:val="871A5276"/>
    <w:lvl w:ilvl="0" w:tplc="0B3C3EC8">
      <w:start w:val="1"/>
      <w:numFmt w:val="upperLetter"/>
      <w:lvlText w:val="%1."/>
      <w:lvlJc w:val="left"/>
      <w:pPr>
        <w:ind w:left="360" w:hanging="360"/>
      </w:pPr>
      <w:rPr>
        <w:color w:val="auto"/>
      </w:rPr>
    </w:lvl>
    <w:lvl w:ilvl="1" w:tplc="442A8F9A">
      <w:start w:val="1"/>
      <w:numFmt w:val="lowerLetter"/>
      <w:lvlText w:val="%2."/>
      <w:lvlJc w:val="left"/>
      <w:pPr>
        <w:ind w:left="1080" w:hanging="360"/>
      </w:pPr>
    </w:lvl>
    <w:lvl w:ilvl="2" w:tplc="AE6252A8">
      <w:start w:val="1"/>
      <w:numFmt w:val="lowerRoman"/>
      <w:lvlText w:val="%3."/>
      <w:lvlJc w:val="right"/>
      <w:pPr>
        <w:ind w:left="1800" w:hanging="180"/>
      </w:pPr>
    </w:lvl>
    <w:lvl w:ilvl="3" w:tplc="827A251E">
      <w:start w:val="1"/>
      <w:numFmt w:val="decimal"/>
      <w:lvlText w:val="%4."/>
      <w:lvlJc w:val="left"/>
      <w:pPr>
        <w:ind w:left="2520" w:hanging="360"/>
      </w:pPr>
    </w:lvl>
    <w:lvl w:ilvl="4" w:tplc="6AA6B8AE">
      <w:start w:val="1"/>
      <w:numFmt w:val="lowerLetter"/>
      <w:lvlText w:val="%5."/>
      <w:lvlJc w:val="left"/>
      <w:pPr>
        <w:ind w:left="3240" w:hanging="360"/>
      </w:pPr>
    </w:lvl>
    <w:lvl w:ilvl="5" w:tplc="5FE8C990">
      <w:start w:val="1"/>
      <w:numFmt w:val="lowerRoman"/>
      <w:lvlText w:val="%6."/>
      <w:lvlJc w:val="right"/>
      <w:pPr>
        <w:ind w:left="3960" w:hanging="180"/>
      </w:pPr>
    </w:lvl>
    <w:lvl w:ilvl="6" w:tplc="2D5CA0F4">
      <w:start w:val="1"/>
      <w:numFmt w:val="decimal"/>
      <w:lvlText w:val="%7."/>
      <w:lvlJc w:val="left"/>
      <w:pPr>
        <w:ind w:left="4680" w:hanging="360"/>
      </w:pPr>
    </w:lvl>
    <w:lvl w:ilvl="7" w:tplc="17D46400">
      <w:start w:val="1"/>
      <w:numFmt w:val="lowerLetter"/>
      <w:lvlText w:val="%8."/>
      <w:lvlJc w:val="left"/>
      <w:pPr>
        <w:ind w:left="5400" w:hanging="360"/>
      </w:pPr>
    </w:lvl>
    <w:lvl w:ilvl="8" w:tplc="F3580F02">
      <w:start w:val="1"/>
      <w:numFmt w:val="lowerRoman"/>
      <w:lvlText w:val="%9."/>
      <w:lvlJc w:val="right"/>
      <w:pPr>
        <w:ind w:left="6120" w:hanging="180"/>
      </w:pPr>
    </w:lvl>
  </w:abstractNum>
  <w:abstractNum w:abstractNumId="9" w15:restartNumberingAfterBreak="0">
    <w:nsid w:val="3E9B0E61"/>
    <w:multiLevelType w:val="hybridMultilevel"/>
    <w:tmpl w:val="58CAAE7C"/>
    <w:lvl w:ilvl="0" w:tplc="023293D0">
      <w:start w:val="1"/>
      <w:numFmt w:val="decimal"/>
      <w:pStyle w:val="ProcedureStep"/>
      <w:lvlText w:val="%1)"/>
      <w:lvlJc w:val="left"/>
      <w:pPr>
        <w:tabs>
          <w:tab w:val="num" w:pos="1134"/>
        </w:tabs>
        <w:ind w:left="1134" w:hanging="567"/>
      </w:pPr>
      <w:rPr>
        <w:rFonts w:hint="default"/>
      </w:rPr>
    </w:lvl>
    <w:lvl w:ilvl="1" w:tplc="FEF0FA2E">
      <w:numFmt w:val="decimal"/>
      <w:lvlText w:val=""/>
      <w:lvlJc w:val="left"/>
    </w:lvl>
    <w:lvl w:ilvl="2" w:tplc="4D60BAB6">
      <w:numFmt w:val="decimal"/>
      <w:lvlText w:val=""/>
      <w:lvlJc w:val="left"/>
    </w:lvl>
    <w:lvl w:ilvl="3" w:tplc="79345ED4">
      <w:numFmt w:val="decimal"/>
      <w:lvlText w:val=""/>
      <w:lvlJc w:val="left"/>
    </w:lvl>
    <w:lvl w:ilvl="4" w:tplc="4F1E9D76">
      <w:numFmt w:val="decimal"/>
      <w:lvlText w:val=""/>
      <w:lvlJc w:val="left"/>
    </w:lvl>
    <w:lvl w:ilvl="5" w:tplc="1DE660BE">
      <w:numFmt w:val="decimal"/>
      <w:lvlText w:val=""/>
      <w:lvlJc w:val="left"/>
    </w:lvl>
    <w:lvl w:ilvl="6" w:tplc="F39AEA7A">
      <w:numFmt w:val="decimal"/>
      <w:lvlText w:val=""/>
      <w:lvlJc w:val="left"/>
    </w:lvl>
    <w:lvl w:ilvl="7" w:tplc="C952D1F8">
      <w:numFmt w:val="decimal"/>
      <w:lvlText w:val=""/>
      <w:lvlJc w:val="left"/>
    </w:lvl>
    <w:lvl w:ilvl="8" w:tplc="C93A6AF8">
      <w:numFmt w:val="decimal"/>
      <w:lvlText w:val=""/>
      <w:lvlJc w:val="left"/>
    </w:lvl>
  </w:abstractNum>
  <w:abstractNum w:abstractNumId="10" w15:restartNumberingAfterBreak="0">
    <w:nsid w:val="420B6ECC"/>
    <w:multiLevelType w:val="hybridMultilevel"/>
    <w:tmpl w:val="C23E7B90"/>
    <w:lvl w:ilvl="0" w:tplc="1B3645DE">
      <w:start w:val="1"/>
      <w:numFmt w:val="bullet"/>
      <w:pStyle w:val="ListBullets"/>
      <w:lvlText w:val=""/>
      <w:lvlJc w:val="left"/>
      <w:pPr>
        <w:ind w:left="720" w:hanging="360"/>
      </w:pPr>
      <w:rPr>
        <w:rFonts w:ascii="Symbol" w:hAnsi="Symbol" w:hint="default"/>
      </w:rPr>
    </w:lvl>
    <w:lvl w:ilvl="1" w:tplc="CC2ADE4A">
      <w:start w:val="1"/>
      <w:numFmt w:val="bullet"/>
      <w:lvlText w:val="o"/>
      <w:lvlJc w:val="left"/>
      <w:pPr>
        <w:ind w:left="1440" w:hanging="360"/>
      </w:pPr>
      <w:rPr>
        <w:rFonts w:ascii="Courier New" w:hAnsi="Courier New" w:cs="Courier New" w:hint="default"/>
      </w:rPr>
    </w:lvl>
    <w:lvl w:ilvl="2" w:tplc="61E61A46" w:tentative="1">
      <w:start w:val="1"/>
      <w:numFmt w:val="bullet"/>
      <w:lvlText w:val=""/>
      <w:lvlJc w:val="left"/>
      <w:pPr>
        <w:ind w:left="2160" w:hanging="360"/>
      </w:pPr>
      <w:rPr>
        <w:rFonts w:ascii="Wingdings" w:hAnsi="Wingdings" w:hint="default"/>
      </w:rPr>
    </w:lvl>
    <w:lvl w:ilvl="3" w:tplc="48E8658E" w:tentative="1">
      <w:start w:val="1"/>
      <w:numFmt w:val="bullet"/>
      <w:lvlText w:val=""/>
      <w:lvlJc w:val="left"/>
      <w:pPr>
        <w:ind w:left="2880" w:hanging="360"/>
      </w:pPr>
      <w:rPr>
        <w:rFonts w:ascii="Symbol" w:hAnsi="Symbol" w:hint="default"/>
      </w:rPr>
    </w:lvl>
    <w:lvl w:ilvl="4" w:tplc="4EE87910" w:tentative="1">
      <w:start w:val="1"/>
      <w:numFmt w:val="bullet"/>
      <w:lvlText w:val="o"/>
      <w:lvlJc w:val="left"/>
      <w:pPr>
        <w:ind w:left="3600" w:hanging="360"/>
      </w:pPr>
      <w:rPr>
        <w:rFonts w:ascii="Courier New" w:hAnsi="Courier New" w:cs="Courier New" w:hint="default"/>
      </w:rPr>
    </w:lvl>
    <w:lvl w:ilvl="5" w:tplc="E2D8FC36" w:tentative="1">
      <w:start w:val="1"/>
      <w:numFmt w:val="bullet"/>
      <w:lvlText w:val=""/>
      <w:lvlJc w:val="left"/>
      <w:pPr>
        <w:ind w:left="4320" w:hanging="360"/>
      </w:pPr>
      <w:rPr>
        <w:rFonts w:ascii="Wingdings" w:hAnsi="Wingdings" w:hint="default"/>
      </w:rPr>
    </w:lvl>
    <w:lvl w:ilvl="6" w:tplc="4B22A9DC" w:tentative="1">
      <w:start w:val="1"/>
      <w:numFmt w:val="bullet"/>
      <w:lvlText w:val=""/>
      <w:lvlJc w:val="left"/>
      <w:pPr>
        <w:ind w:left="5040" w:hanging="360"/>
      </w:pPr>
      <w:rPr>
        <w:rFonts w:ascii="Symbol" w:hAnsi="Symbol" w:hint="default"/>
      </w:rPr>
    </w:lvl>
    <w:lvl w:ilvl="7" w:tplc="02445202" w:tentative="1">
      <w:start w:val="1"/>
      <w:numFmt w:val="bullet"/>
      <w:lvlText w:val="o"/>
      <w:lvlJc w:val="left"/>
      <w:pPr>
        <w:ind w:left="5760" w:hanging="360"/>
      </w:pPr>
      <w:rPr>
        <w:rFonts w:ascii="Courier New" w:hAnsi="Courier New" w:cs="Courier New" w:hint="default"/>
      </w:rPr>
    </w:lvl>
    <w:lvl w:ilvl="8" w:tplc="947490A4" w:tentative="1">
      <w:start w:val="1"/>
      <w:numFmt w:val="bullet"/>
      <w:lvlText w:val=""/>
      <w:lvlJc w:val="left"/>
      <w:pPr>
        <w:ind w:left="6480" w:hanging="360"/>
      </w:pPr>
      <w:rPr>
        <w:rFonts w:ascii="Wingdings" w:hAnsi="Wingdings" w:hint="default"/>
      </w:rPr>
    </w:lvl>
  </w:abstractNum>
  <w:abstractNum w:abstractNumId="11" w15:restartNumberingAfterBreak="0">
    <w:nsid w:val="4CE710A4"/>
    <w:multiLevelType w:val="hybridMultilevel"/>
    <w:tmpl w:val="9D4CF2C8"/>
    <w:lvl w:ilvl="0" w:tplc="4A96AD60">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54C430CE"/>
    <w:multiLevelType w:val="hybridMultilevel"/>
    <w:tmpl w:val="16A6223C"/>
    <w:lvl w:ilvl="0" w:tplc="BC6C023C">
      <w:start w:val="1"/>
      <w:numFmt w:val="decimal"/>
      <w:lvlText w:val="%1."/>
      <w:lvlJc w:val="left"/>
      <w:pPr>
        <w:tabs>
          <w:tab w:val="num" w:pos="360"/>
        </w:tabs>
        <w:ind w:left="360" w:hanging="360"/>
      </w:pPr>
      <w:rPr>
        <w:rFonts w:ascii="Arial" w:hAnsi="Arial" w:cs="Arial" w:hint="default"/>
        <w:sz w:val="22"/>
        <w:szCs w:val="22"/>
      </w:rPr>
    </w:lvl>
    <w:lvl w:ilvl="1" w:tplc="0C090019">
      <w:start w:val="1"/>
      <w:numFmt w:val="lowerLetter"/>
      <w:lvlText w:val="%2."/>
      <w:lvlJc w:val="left"/>
      <w:pPr>
        <w:tabs>
          <w:tab w:val="num" w:pos="1080"/>
        </w:tabs>
        <w:ind w:left="1080" w:hanging="360"/>
      </w:pPr>
      <w:rPr>
        <w:rFonts w:cs="Times New Roman"/>
      </w:rPr>
    </w:lvl>
    <w:lvl w:ilvl="2" w:tplc="0C09001B">
      <w:start w:val="1"/>
      <w:numFmt w:val="lowerRoman"/>
      <w:lvlText w:val="%3."/>
      <w:lvlJc w:val="right"/>
      <w:pPr>
        <w:tabs>
          <w:tab w:val="num" w:pos="1800"/>
        </w:tabs>
        <w:ind w:left="1800" w:hanging="180"/>
      </w:pPr>
      <w:rPr>
        <w:rFonts w:cs="Times New Roman"/>
      </w:rPr>
    </w:lvl>
    <w:lvl w:ilvl="3" w:tplc="0C09000F">
      <w:start w:val="1"/>
      <w:numFmt w:val="decimal"/>
      <w:lvlText w:val="%4."/>
      <w:lvlJc w:val="left"/>
      <w:pPr>
        <w:tabs>
          <w:tab w:val="num" w:pos="2520"/>
        </w:tabs>
        <w:ind w:left="2520" w:hanging="360"/>
      </w:pPr>
      <w:rPr>
        <w:rFonts w:cs="Times New Roman"/>
      </w:rPr>
    </w:lvl>
    <w:lvl w:ilvl="4" w:tplc="0C090019">
      <w:start w:val="1"/>
      <w:numFmt w:val="lowerLetter"/>
      <w:lvlText w:val="%5."/>
      <w:lvlJc w:val="left"/>
      <w:pPr>
        <w:tabs>
          <w:tab w:val="num" w:pos="3240"/>
        </w:tabs>
        <w:ind w:left="3240" w:hanging="360"/>
      </w:pPr>
      <w:rPr>
        <w:rFonts w:cs="Times New Roman"/>
      </w:rPr>
    </w:lvl>
    <w:lvl w:ilvl="5" w:tplc="0C09001B">
      <w:start w:val="1"/>
      <w:numFmt w:val="lowerRoman"/>
      <w:lvlText w:val="%6."/>
      <w:lvlJc w:val="right"/>
      <w:pPr>
        <w:tabs>
          <w:tab w:val="num" w:pos="3960"/>
        </w:tabs>
        <w:ind w:left="3960" w:hanging="180"/>
      </w:pPr>
      <w:rPr>
        <w:rFonts w:cs="Times New Roman"/>
      </w:rPr>
    </w:lvl>
    <w:lvl w:ilvl="6" w:tplc="0C09000F">
      <w:start w:val="1"/>
      <w:numFmt w:val="decimal"/>
      <w:lvlText w:val="%7."/>
      <w:lvlJc w:val="left"/>
      <w:pPr>
        <w:tabs>
          <w:tab w:val="num" w:pos="4680"/>
        </w:tabs>
        <w:ind w:left="4680" w:hanging="360"/>
      </w:pPr>
      <w:rPr>
        <w:rFonts w:cs="Times New Roman"/>
      </w:rPr>
    </w:lvl>
    <w:lvl w:ilvl="7" w:tplc="0C090019">
      <w:start w:val="1"/>
      <w:numFmt w:val="lowerLetter"/>
      <w:lvlText w:val="%8."/>
      <w:lvlJc w:val="left"/>
      <w:pPr>
        <w:tabs>
          <w:tab w:val="num" w:pos="5400"/>
        </w:tabs>
        <w:ind w:left="5400" w:hanging="360"/>
      </w:pPr>
      <w:rPr>
        <w:rFonts w:cs="Times New Roman"/>
      </w:rPr>
    </w:lvl>
    <w:lvl w:ilvl="8" w:tplc="0C09001B">
      <w:start w:val="1"/>
      <w:numFmt w:val="lowerRoman"/>
      <w:lvlText w:val="%9."/>
      <w:lvlJc w:val="right"/>
      <w:pPr>
        <w:tabs>
          <w:tab w:val="num" w:pos="6120"/>
        </w:tabs>
        <w:ind w:left="6120" w:hanging="180"/>
      </w:pPr>
      <w:rPr>
        <w:rFonts w:cs="Times New Roman"/>
      </w:rPr>
    </w:lvl>
  </w:abstractNum>
  <w:abstractNum w:abstractNumId="13"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DAC5FFD"/>
    <w:multiLevelType w:val="hybridMultilevel"/>
    <w:tmpl w:val="36F4BAC2"/>
    <w:lvl w:ilvl="0" w:tplc="309414AC">
      <w:start w:val="1"/>
      <w:numFmt w:val="decimal"/>
      <w:pStyle w:val="Lists"/>
      <w:lvlText w:val="(%1)"/>
      <w:lvlJc w:val="left"/>
      <w:pPr>
        <w:ind w:left="1080" w:hanging="360"/>
      </w:pPr>
      <w:rPr>
        <w:rFonts w:hint="default"/>
      </w:rPr>
    </w:lvl>
    <w:lvl w:ilvl="1" w:tplc="0C090019">
      <w:start w:val="1"/>
      <w:numFmt w:val="lowerLetter"/>
      <w:pStyle w:val="Lists"/>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5" w15:restartNumberingAfterBreak="0">
    <w:nsid w:val="5FFA4976"/>
    <w:multiLevelType w:val="hybridMultilevel"/>
    <w:tmpl w:val="B32407CA"/>
    <w:lvl w:ilvl="0" w:tplc="0C090019">
      <w:start w:val="2"/>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6" w15:restartNumberingAfterBreak="0">
    <w:nsid w:val="60084FBF"/>
    <w:multiLevelType w:val="hybridMultilevel"/>
    <w:tmpl w:val="47C2347C"/>
    <w:lvl w:ilvl="0" w:tplc="65423536">
      <w:start w:val="1"/>
      <w:numFmt w:val="bullet"/>
      <w:pStyle w:val="TableBulle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945511A"/>
    <w:multiLevelType w:val="hybridMultilevel"/>
    <w:tmpl w:val="4E94D3C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8" w15:restartNumberingAfterBreak="0">
    <w:nsid w:val="6D5D538F"/>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772E77F9"/>
    <w:multiLevelType w:val="hybridMultilevel"/>
    <w:tmpl w:val="83561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84D033C"/>
    <w:multiLevelType w:val="multilevel"/>
    <w:tmpl w:val="213AF02C"/>
    <w:lvl w:ilvl="0">
      <w:start w:val="1"/>
      <w:numFmt w:val="decimal"/>
      <w:pStyle w:val="2-SectionHeading"/>
      <w:lvlText w:val="%1"/>
      <w:lvlJc w:val="left"/>
      <w:pPr>
        <w:ind w:left="720" w:hanging="720"/>
      </w:pPr>
      <w:rPr>
        <w:b/>
        <w:color w:val="auto"/>
      </w:rPr>
    </w:lvl>
    <w:lvl w:ilvl="1">
      <w:start w:val="1"/>
      <w:numFmt w:val="decimal"/>
      <w:pStyle w:val="3Bodytext"/>
      <w:lvlText w:val="%1.%2"/>
      <w:lvlJc w:val="left"/>
      <w:pPr>
        <w:ind w:left="862" w:hanging="720"/>
      </w:pPr>
      <w:rPr>
        <w:b w:val="0"/>
        <w:i w:val="0"/>
        <w:color w:val="auto"/>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1" w15:restartNumberingAfterBreak="0">
    <w:nsid w:val="7BBB7FF1"/>
    <w:multiLevelType w:val="hybridMultilevel"/>
    <w:tmpl w:val="13B4458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8"/>
  </w:num>
  <w:num w:numId="2">
    <w:abstractNumId w:val="20"/>
  </w:num>
  <w:num w:numId="3">
    <w:abstractNumId w:val="0"/>
  </w:num>
  <w:num w:numId="4">
    <w:abstractNumId w:val="14"/>
  </w:num>
  <w:num w:numId="5">
    <w:abstractNumId w:val="21"/>
  </w:num>
  <w:num w:numId="6">
    <w:abstractNumId w:val="11"/>
  </w:num>
  <w:num w:numId="7">
    <w:abstractNumId w:val="9"/>
  </w:num>
  <w:num w:numId="8">
    <w:abstractNumId w:val="1"/>
  </w:num>
  <w:num w:numId="9">
    <w:abstractNumId w:val="20"/>
  </w:num>
  <w:num w:numId="10">
    <w:abstractNumId w:val="17"/>
  </w:num>
  <w:num w:numId="11">
    <w:abstractNumId w:val="10"/>
  </w:num>
  <w:num w:numId="12">
    <w:abstractNumId w:val="16"/>
  </w:num>
  <w:num w:numId="13">
    <w:abstractNumId w:val="19"/>
  </w:num>
  <w:num w:numId="14">
    <w:abstractNumId w:val="20"/>
  </w:num>
  <w:num w:numId="15">
    <w:abstractNumId w:val="20"/>
  </w:num>
  <w:num w:numId="16">
    <w:abstractNumId w:val="20"/>
  </w:num>
  <w:num w:numId="17">
    <w:abstractNumId w:val="20"/>
  </w:num>
  <w:num w:numId="18">
    <w:abstractNumId w:val="20"/>
  </w:num>
  <w:num w:numId="19">
    <w:abstractNumId w:val="20"/>
  </w:num>
  <w:num w:numId="20">
    <w:abstractNumId w:val="20"/>
  </w:num>
  <w:num w:numId="21">
    <w:abstractNumId w:val="20"/>
  </w:num>
  <w:num w:numId="22">
    <w:abstractNumId w:val="20"/>
  </w:num>
  <w:num w:numId="23">
    <w:abstractNumId w:val="20"/>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num>
  <w:num w:numId="26">
    <w:abstractNumId w:val="12"/>
  </w:num>
  <w:num w:numId="27">
    <w:abstractNumId w:val="13"/>
  </w:num>
  <w:num w:numId="28">
    <w:abstractNumId w:val="4"/>
  </w:num>
  <w:num w:numId="29">
    <w:abstractNumId w:val="2"/>
  </w:num>
  <w:num w:numId="30">
    <w:abstractNumId w:val="6"/>
  </w:num>
  <w:num w:numId="31">
    <w:abstractNumId w:val="3"/>
  </w:num>
  <w:num w:numId="32">
    <w:abstractNumId w:val="7"/>
  </w:num>
  <w:num w:numId="33">
    <w:abstractNumId w:val="5"/>
  </w:num>
  <w:num w:numId="34">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8"/>
  </w:num>
  <w:num w:numId="36">
    <w:abstractNumId w:val="20"/>
  </w:num>
  <w:num w:numId="37">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02BB"/>
    <w:rsid w:val="0000080A"/>
    <w:rsid w:val="00001663"/>
    <w:rsid w:val="000025AD"/>
    <w:rsid w:val="0000335D"/>
    <w:rsid w:val="00004977"/>
    <w:rsid w:val="00006782"/>
    <w:rsid w:val="00011A59"/>
    <w:rsid w:val="00014D69"/>
    <w:rsid w:val="00016310"/>
    <w:rsid w:val="00016A41"/>
    <w:rsid w:val="000214D1"/>
    <w:rsid w:val="0002464A"/>
    <w:rsid w:val="00025A04"/>
    <w:rsid w:val="0002693D"/>
    <w:rsid w:val="0003050E"/>
    <w:rsid w:val="0003106B"/>
    <w:rsid w:val="00034905"/>
    <w:rsid w:val="000421A1"/>
    <w:rsid w:val="0004240E"/>
    <w:rsid w:val="00044EC4"/>
    <w:rsid w:val="00045E26"/>
    <w:rsid w:val="000514B5"/>
    <w:rsid w:val="0005322E"/>
    <w:rsid w:val="00054E2B"/>
    <w:rsid w:val="00060E64"/>
    <w:rsid w:val="00062E88"/>
    <w:rsid w:val="00066193"/>
    <w:rsid w:val="00066755"/>
    <w:rsid w:val="00071A5B"/>
    <w:rsid w:val="00072730"/>
    <w:rsid w:val="0007337F"/>
    <w:rsid w:val="00074320"/>
    <w:rsid w:val="000763D5"/>
    <w:rsid w:val="00076C38"/>
    <w:rsid w:val="00077143"/>
    <w:rsid w:val="00077DF7"/>
    <w:rsid w:val="0008050C"/>
    <w:rsid w:val="00082169"/>
    <w:rsid w:val="000834BE"/>
    <w:rsid w:val="00083F01"/>
    <w:rsid w:val="00087C4C"/>
    <w:rsid w:val="000918CB"/>
    <w:rsid w:val="00091B06"/>
    <w:rsid w:val="000951C4"/>
    <w:rsid w:val="00095ADA"/>
    <w:rsid w:val="000969AD"/>
    <w:rsid w:val="000975FB"/>
    <w:rsid w:val="000A02F8"/>
    <w:rsid w:val="000A3AA2"/>
    <w:rsid w:val="000A44B2"/>
    <w:rsid w:val="000A52F6"/>
    <w:rsid w:val="000A7568"/>
    <w:rsid w:val="000B0CC3"/>
    <w:rsid w:val="000B44C3"/>
    <w:rsid w:val="000B558D"/>
    <w:rsid w:val="000B5A89"/>
    <w:rsid w:val="000B65F6"/>
    <w:rsid w:val="000B7767"/>
    <w:rsid w:val="000C5F95"/>
    <w:rsid w:val="000C6996"/>
    <w:rsid w:val="000C7C46"/>
    <w:rsid w:val="000D09E9"/>
    <w:rsid w:val="000D113F"/>
    <w:rsid w:val="000D23BA"/>
    <w:rsid w:val="000D276A"/>
    <w:rsid w:val="000D6A59"/>
    <w:rsid w:val="000E19B7"/>
    <w:rsid w:val="000E20FC"/>
    <w:rsid w:val="000E3DFB"/>
    <w:rsid w:val="000E3E46"/>
    <w:rsid w:val="000E5EA1"/>
    <w:rsid w:val="000E681E"/>
    <w:rsid w:val="000E7E52"/>
    <w:rsid w:val="000F0003"/>
    <w:rsid w:val="000F0BBF"/>
    <w:rsid w:val="000F3384"/>
    <w:rsid w:val="000F4E6A"/>
    <w:rsid w:val="000F7354"/>
    <w:rsid w:val="0010052C"/>
    <w:rsid w:val="00101ABE"/>
    <w:rsid w:val="00102202"/>
    <w:rsid w:val="00102700"/>
    <w:rsid w:val="00102A78"/>
    <w:rsid w:val="00103118"/>
    <w:rsid w:val="00104227"/>
    <w:rsid w:val="001107BF"/>
    <w:rsid w:val="00113649"/>
    <w:rsid w:val="00113D5C"/>
    <w:rsid w:val="00123A18"/>
    <w:rsid w:val="0012417C"/>
    <w:rsid w:val="00124BF2"/>
    <w:rsid w:val="0012597F"/>
    <w:rsid w:val="0012749D"/>
    <w:rsid w:val="001306A5"/>
    <w:rsid w:val="00130918"/>
    <w:rsid w:val="001311AE"/>
    <w:rsid w:val="0013421A"/>
    <w:rsid w:val="0014032B"/>
    <w:rsid w:val="00140B74"/>
    <w:rsid w:val="00140D94"/>
    <w:rsid w:val="00142395"/>
    <w:rsid w:val="00142714"/>
    <w:rsid w:val="00144D09"/>
    <w:rsid w:val="001452ED"/>
    <w:rsid w:val="00147D84"/>
    <w:rsid w:val="001549C1"/>
    <w:rsid w:val="00156C8D"/>
    <w:rsid w:val="00160F4D"/>
    <w:rsid w:val="00162BDD"/>
    <w:rsid w:val="00162D4E"/>
    <w:rsid w:val="00162E67"/>
    <w:rsid w:val="00163329"/>
    <w:rsid w:val="00164623"/>
    <w:rsid w:val="001652DE"/>
    <w:rsid w:val="00165B64"/>
    <w:rsid w:val="00167C39"/>
    <w:rsid w:val="00172B73"/>
    <w:rsid w:val="001758A9"/>
    <w:rsid w:val="00176B9D"/>
    <w:rsid w:val="00180713"/>
    <w:rsid w:val="00180720"/>
    <w:rsid w:val="00182E32"/>
    <w:rsid w:val="001830CE"/>
    <w:rsid w:val="001836E3"/>
    <w:rsid w:val="0018643B"/>
    <w:rsid w:val="00193193"/>
    <w:rsid w:val="00196307"/>
    <w:rsid w:val="00197F03"/>
    <w:rsid w:val="001A0D10"/>
    <w:rsid w:val="001A33EA"/>
    <w:rsid w:val="001A392F"/>
    <w:rsid w:val="001A4413"/>
    <w:rsid w:val="001A4C4F"/>
    <w:rsid w:val="001A5A2B"/>
    <w:rsid w:val="001A76FB"/>
    <w:rsid w:val="001B017F"/>
    <w:rsid w:val="001B0B79"/>
    <w:rsid w:val="001B2BBC"/>
    <w:rsid w:val="001B2BCD"/>
    <w:rsid w:val="001B3A40"/>
    <w:rsid w:val="001B3FFE"/>
    <w:rsid w:val="001B5129"/>
    <w:rsid w:val="001C0B4C"/>
    <w:rsid w:val="001C0EC4"/>
    <w:rsid w:val="001C1195"/>
    <w:rsid w:val="001C12AE"/>
    <w:rsid w:val="001C1981"/>
    <w:rsid w:val="001C1E84"/>
    <w:rsid w:val="001C2E42"/>
    <w:rsid w:val="001D1F5F"/>
    <w:rsid w:val="001E06D2"/>
    <w:rsid w:val="001E1387"/>
    <w:rsid w:val="001E17C4"/>
    <w:rsid w:val="001F005B"/>
    <w:rsid w:val="001F1850"/>
    <w:rsid w:val="001F1FBF"/>
    <w:rsid w:val="001F2355"/>
    <w:rsid w:val="001F2B80"/>
    <w:rsid w:val="001F2F1C"/>
    <w:rsid w:val="001F3189"/>
    <w:rsid w:val="002005C8"/>
    <w:rsid w:val="00201FB8"/>
    <w:rsid w:val="00203FAC"/>
    <w:rsid w:val="00207619"/>
    <w:rsid w:val="00213CFB"/>
    <w:rsid w:val="0021553C"/>
    <w:rsid w:val="0021557B"/>
    <w:rsid w:val="00216B87"/>
    <w:rsid w:val="002174FD"/>
    <w:rsid w:val="00217BE1"/>
    <w:rsid w:val="002214B9"/>
    <w:rsid w:val="00223370"/>
    <w:rsid w:val="00230F63"/>
    <w:rsid w:val="0023320D"/>
    <w:rsid w:val="00234252"/>
    <w:rsid w:val="0023466E"/>
    <w:rsid w:val="00237AC6"/>
    <w:rsid w:val="00242438"/>
    <w:rsid w:val="00244139"/>
    <w:rsid w:val="00244490"/>
    <w:rsid w:val="00245B9C"/>
    <w:rsid w:val="00246F62"/>
    <w:rsid w:val="00253499"/>
    <w:rsid w:val="002551A4"/>
    <w:rsid w:val="00255585"/>
    <w:rsid w:val="00257664"/>
    <w:rsid w:val="00260165"/>
    <w:rsid w:val="002611DA"/>
    <w:rsid w:val="00261CBA"/>
    <w:rsid w:val="0026393B"/>
    <w:rsid w:val="00265151"/>
    <w:rsid w:val="00265C2C"/>
    <w:rsid w:val="00266509"/>
    <w:rsid w:val="002715DD"/>
    <w:rsid w:val="00271BA1"/>
    <w:rsid w:val="00273AC5"/>
    <w:rsid w:val="002762FA"/>
    <w:rsid w:val="00277505"/>
    <w:rsid w:val="0028158C"/>
    <w:rsid w:val="002823B6"/>
    <w:rsid w:val="00290C03"/>
    <w:rsid w:val="00294274"/>
    <w:rsid w:val="0029458F"/>
    <w:rsid w:val="002A018F"/>
    <w:rsid w:val="002A0E04"/>
    <w:rsid w:val="002A104C"/>
    <w:rsid w:val="002A1EF7"/>
    <w:rsid w:val="002A494D"/>
    <w:rsid w:val="002A4960"/>
    <w:rsid w:val="002A636A"/>
    <w:rsid w:val="002B0AE0"/>
    <w:rsid w:val="002B1AE6"/>
    <w:rsid w:val="002B1D51"/>
    <w:rsid w:val="002B2DE8"/>
    <w:rsid w:val="002B30F8"/>
    <w:rsid w:val="002B388A"/>
    <w:rsid w:val="002B3C1A"/>
    <w:rsid w:val="002B5596"/>
    <w:rsid w:val="002B6A4F"/>
    <w:rsid w:val="002B77D7"/>
    <w:rsid w:val="002C212F"/>
    <w:rsid w:val="002C2A19"/>
    <w:rsid w:val="002C2F35"/>
    <w:rsid w:val="002C6AA9"/>
    <w:rsid w:val="002C7485"/>
    <w:rsid w:val="002C7888"/>
    <w:rsid w:val="002D2641"/>
    <w:rsid w:val="002D283A"/>
    <w:rsid w:val="002D4543"/>
    <w:rsid w:val="002D61FC"/>
    <w:rsid w:val="002E3153"/>
    <w:rsid w:val="002E4A02"/>
    <w:rsid w:val="002E5292"/>
    <w:rsid w:val="002E6C3F"/>
    <w:rsid w:val="002E72CA"/>
    <w:rsid w:val="002F1D07"/>
    <w:rsid w:val="002F600D"/>
    <w:rsid w:val="002F6C5B"/>
    <w:rsid w:val="002F6F0F"/>
    <w:rsid w:val="002F7E47"/>
    <w:rsid w:val="00300AD6"/>
    <w:rsid w:val="00300B1B"/>
    <w:rsid w:val="003012C2"/>
    <w:rsid w:val="003019D0"/>
    <w:rsid w:val="003064AF"/>
    <w:rsid w:val="00307DC6"/>
    <w:rsid w:val="00310A8B"/>
    <w:rsid w:val="00310B68"/>
    <w:rsid w:val="003130E5"/>
    <w:rsid w:val="003160D2"/>
    <w:rsid w:val="00316B51"/>
    <w:rsid w:val="003173FC"/>
    <w:rsid w:val="00317C6C"/>
    <w:rsid w:val="00320B80"/>
    <w:rsid w:val="00320CD3"/>
    <w:rsid w:val="003233DE"/>
    <w:rsid w:val="00326B76"/>
    <w:rsid w:val="00326E79"/>
    <w:rsid w:val="0032748A"/>
    <w:rsid w:val="003301B1"/>
    <w:rsid w:val="00331189"/>
    <w:rsid w:val="0033263D"/>
    <w:rsid w:val="00334E69"/>
    <w:rsid w:val="0033518A"/>
    <w:rsid w:val="00335535"/>
    <w:rsid w:val="003367EF"/>
    <w:rsid w:val="00341AE4"/>
    <w:rsid w:val="003476EE"/>
    <w:rsid w:val="003541DD"/>
    <w:rsid w:val="00356E5B"/>
    <w:rsid w:val="00364A7A"/>
    <w:rsid w:val="003736C9"/>
    <w:rsid w:val="00377663"/>
    <w:rsid w:val="0038170B"/>
    <w:rsid w:val="00383B77"/>
    <w:rsid w:val="00384988"/>
    <w:rsid w:val="003872CF"/>
    <w:rsid w:val="0039184A"/>
    <w:rsid w:val="0039782C"/>
    <w:rsid w:val="003A13A6"/>
    <w:rsid w:val="003A2165"/>
    <w:rsid w:val="003A3AF3"/>
    <w:rsid w:val="003A5B4A"/>
    <w:rsid w:val="003A5D95"/>
    <w:rsid w:val="003B0D3A"/>
    <w:rsid w:val="003B0FDE"/>
    <w:rsid w:val="003B2302"/>
    <w:rsid w:val="003B23C5"/>
    <w:rsid w:val="003B2A75"/>
    <w:rsid w:val="003B49B2"/>
    <w:rsid w:val="003B6124"/>
    <w:rsid w:val="003B7960"/>
    <w:rsid w:val="003C0908"/>
    <w:rsid w:val="003C093A"/>
    <w:rsid w:val="003C1ECF"/>
    <w:rsid w:val="003C2FB5"/>
    <w:rsid w:val="003C5EC6"/>
    <w:rsid w:val="003D047C"/>
    <w:rsid w:val="003D20DE"/>
    <w:rsid w:val="003D24C5"/>
    <w:rsid w:val="003D4594"/>
    <w:rsid w:val="003D4AC4"/>
    <w:rsid w:val="003D63B7"/>
    <w:rsid w:val="003D74C5"/>
    <w:rsid w:val="003E4316"/>
    <w:rsid w:val="003E4374"/>
    <w:rsid w:val="003E468B"/>
    <w:rsid w:val="003E4770"/>
    <w:rsid w:val="003E62BD"/>
    <w:rsid w:val="003F044F"/>
    <w:rsid w:val="003F0C3A"/>
    <w:rsid w:val="003F15F0"/>
    <w:rsid w:val="003F3228"/>
    <w:rsid w:val="003F5C8C"/>
    <w:rsid w:val="003F63CE"/>
    <w:rsid w:val="003F775A"/>
    <w:rsid w:val="00400E55"/>
    <w:rsid w:val="0040128E"/>
    <w:rsid w:val="0040182E"/>
    <w:rsid w:val="0040216B"/>
    <w:rsid w:val="0040590E"/>
    <w:rsid w:val="00405A8E"/>
    <w:rsid w:val="00411424"/>
    <w:rsid w:val="00414F0C"/>
    <w:rsid w:val="004160C4"/>
    <w:rsid w:val="00420400"/>
    <w:rsid w:val="004252EC"/>
    <w:rsid w:val="00430D39"/>
    <w:rsid w:val="00433F7B"/>
    <w:rsid w:val="00442471"/>
    <w:rsid w:val="00442C91"/>
    <w:rsid w:val="004461F7"/>
    <w:rsid w:val="004465BD"/>
    <w:rsid w:val="00446938"/>
    <w:rsid w:val="004528FA"/>
    <w:rsid w:val="00460CD1"/>
    <w:rsid w:val="00461A44"/>
    <w:rsid w:val="00462B60"/>
    <w:rsid w:val="00462D26"/>
    <w:rsid w:val="0046385A"/>
    <w:rsid w:val="00463A26"/>
    <w:rsid w:val="00464039"/>
    <w:rsid w:val="00466ADA"/>
    <w:rsid w:val="004702BB"/>
    <w:rsid w:val="0047494B"/>
    <w:rsid w:val="00476245"/>
    <w:rsid w:val="00477A9B"/>
    <w:rsid w:val="00483035"/>
    <w:rsid w:val="00485940"/>
    <w:rsid w:val="00486C95"/>
    <w:rsid w:val="004877C2"/>
    <w:rsid w:val="004904B9"/>
    <w:rsid w:val="00493706"/>
    <w:rsid w:val="00496662"/>
    <w:rsid w:val="004A1431"/>
    <w:rsid w:val="004A2484"/>
    <w:rsid w:val="004A5A85"/>
    <w:rsid w:val="004A71D1"/>
    <w:rsid w:val="004A7C5B"/>
    <w:rsid w:val="004B1845"/>
    <w:rsid w:val="004B2348"/>
    <w:rsid w:val="004B2E01"/>
    <w:rsid w:val="004B2E98"/>
    <w:rsid w:val="004B356D"/>
    <w:rsid w:val="004B3D89"/>
    <w:rsid w:val="004B5640"/>
    <w:rsid w:val="004B5DA9"/>
    <w:rsid w:val="004B6084"/>
    <w:rsid w:val="004BCF29"/>
    <w:rsid w:val="004C0206"/>
    <w:rsid w:val="004C03D0"/>
    <w:rsid w:val="004C0C54"/>
    <w:rsid w:val="004C1BD7"/>
    <w:rsid w:val="004C239C"/>
    <w:rsid w:val="004C2E5F"/>
    <w:rsid w:val="004C31FE"/>
    <w:rsid w:val="004C524C"/>
    <w:rsid w:val="004C5FFA"/>
    <w:rsid w:val="004C691D"/>
    <w:rsid w:val="004C6C07"/>
    <w:rsid w:val="004C7E15"/>
    <w:rsid w:val="004D2CD1"/>
    <w:rsid w:val="004D4FF6"/>
    <w:rsid w:val="004D5ADD"/>
    <w:rsid w:val="004E692D"/>
    <w:rsid w:val="004E7230"/>
    <w:rsid w:val="004E7D87"/>
    <w:rsid w:val="004F2553"/>
    <w:rsid w:val="004F306A"/>
    <w:rsid w:val="0050118F"/>
    <w:rsid w:val="00501554"/>
    <w:rsid w:val="00501BE2"/>
    <w:rsid w:val="00502AFE"/>
    <w:rsid w:val="00502E64"/>
    <w:rsid w:val="00503AD7"/>
    <w:rsid w:val="00503E89"/>
    <w:rsid w:val="00504E0C"/>
    <w:rsid w:val="00504E13"/>
    <w:rsid w:val="005109D4"/>
    <w:rsid w:val="00510A35"/>
    <w:rsid w:val="00510BA0"/>
    <w:rsid w:val="00514CD7"/>
    <w:rsid w:val="005167EC"/>
    <w:rsid w:val="00516D15"/>
    <w:rsid w:val="005170DA"/>
    <w:rsid w:val="00517CEE"/>
    <w:rsid w:val="00520D6A"/>
    <w:rsid w:val="00522DB6"/>
    <w:rsid w:val="005264A7"/>
    <w:rsid w:val="0052792D"/>
    <w:rsid w:val="005319B2"/>
    <w:rsid w:val="00532402"/>
    <w:rsid w:val="00532C74"/>
    <w:rsid w:val="00534E2E"/>
    <w:rsid w:val="00535133"/>
    <w:rsid w:val="0054064C"/>
    <w:rsid w:val="00544552"/>
    <w:rsid w:val="00545130"/>
    <w:rsid w:val="0055286A"/>
    <w:rsid w:val="00555745"/>
    <w:rsid w:val="0055623B"/>
    <w:rsid w:val="00557D4F"/>
    <w:rsid w:val="0056122E"/>
    <w:rsid w:val="0056484E"/>
    <w:rsid w:val="00567D8A"/>
    <w:rsid w:val="00575571"/>
    <w:rsid w:val="005764CD"/>
    <w:rsid w:val="00577C4D"/>
    <w:rsid w:val="00580532"/>
    <w:rsid w:val="00581932"/>
    <w:rsid w:val="00590716"/>
    <w:rsid w:val="00590F67"/>
    <w:rsid w:val="005963BB"/>
    <w:rsid w:val="005A15D2"/>
    <w:rsid w:val="005A3173"/>
    <w:rsid w:val="005A3223"/>
    <w:rsid w:val="005A3DA3"/>
    <w:rsid w:val="005A52C4"/>
    <w:rsid w:val="005A63A1"/>
    <w:rsid w:val="005A7B7D"/>
    <w:rsid w:val="005B1473"/>
    <w:rsid w:val="005C4F73"/>
    <w:rsid w:val="005D03AB"/>
    <w:rsid w:val="005D131B"/>
    <w:rsid w:val="005D401D"/>
    <w:rsid w:val="005D5017"/>
    <w:rsid w:val="005D63FA"/>
    <w:rsid w:val="005D73C7"/>
    <w:rsid w:val="005E0C2D"/>
    <w:rsid w:val="005E0D82"/>
    <w:rsid w:val="005E0F59"/>
    <w:rsid w:val="005E1333"/>
    <w:rsid w:val="005E3136"/>
    <w:rsid w:val="005E507D"/>
    <w:rsid w:val="005E7028"/>
    <w:rsid w:val="005F0AD0"/>
    <w:rsid w:val="00601A91"/>
    <w:rsid w:val="00602BA3"/>
    <w:rsid w:val="00602F6A"/>
    <w:rsid w:val="0060528D"/>
    <w:rsid w:val="00605B63"/>
    <w:rsid w:val="00605F9A"/>
    <w:rsid w:val="00606442"/>
    <w:rsid w:val="0060676F"/>
    <w:rsid w:val="00606EED"/>
    <w:rsid w:val="00612A95"/>
    <w:rsid w:val="00612E34"/>
    <w:rsid w:val="00614159"/>
    <w:rsid w:val="006158A3"/>
    <w:rsid w:val="00616C5F"/>
    <w:rsid w:val="00616DAC"/>
    <w:rsid w:val="00617725"/>
    <w:rsid w:val="00617C00"/>
    <w:rsid w:val="00623F1D"/>
    <w:rsid w:val="00626064"/>
    <w:rsid w:val="006263BF"/>
    <w:rsid w:val="0062748A"/>
    <w:rsid w:val="00630546"/>
    <w:rsid w:val="00630A2C"/>
    <w:rsid w:val="00634CD9"/>
    <w:rsid w:val="0063682E"/>
    <w:rsid w:val="00640088"/>
    <w:rsid w:val="00642672"/>
    <w:rsid w:val="00642DA8"/>
    <w:rsid w:val="006436CD"/>
    <w:rsid w:val="00651169"/>
    <w:rsid w:val="00653D69"/>
    <w:rsid w:val="006552E6"/>
    <w:rsid w:val="00655794"/>
    <w:rsid w:val="00656F2F"/>
    <w:rsid w:val="00657C63"/>
    <w:rsid w:val="00661CBC"/>
    <w:rsid w:val="00662B85"/>
    <w:rsid w:val="00662B99"/>
    <w:rsid w:val="006670BE"/>
    <w:rsid w:val="00670A76"/>
    <w:rsid w:val="006711AA"/>
    <w:rsid w:val="00672B57"/>
    <w:rsid w:val="00673D10"/>
    <w:rsid w:val="00673F1F"/>
    <w:rsid w:val="00675622"/>
    <w:rsid w:val="00676516"/>
    <w:rsid w:val="0067747D"/>
    <w:rsid w:val="006818D5"/>
    <w:rsid w:val="00681CA4"/>
    <w:rsid w:val="00684A91"/>
    <w:rsid w:val="006858BE"/>
    <w:rsid w:val="0069039D"/>
    <w:rsid w:val="006906DB"/>
    <w:rsid w:val="00691900"/>
    <w:rsid w:val="00691E6C"/>
    <w:rsid w:val="0069342D"/>
    <w:rsid w:val="00693DFB"/>
    <w:rsid w:val="00694FD5"/>
    <w:rsid w:val="0069501D"/>
    <w:rsid w:val="00696129"/>
    <w:rsid w:val="00697CF2"/>
    <w:rsid w:val="006A12A5"/>
    <w:rsid w:val="006A13C3"/>
    <w:rsid w:val="006A2515"/>
    <w:rsid w:val="006A5AB8"/>
    <w:rsid w:val="006A5E20"/>
    <w:rsid w:val="006B0D94"/>
    <w:rsid w:val="006B3851"/>
    <w:rsid w:val="006B485D"/>
    <w:rsid w:val="006C0C45"/>
    <w:rsid w:val="006C334C"/>
    <w:rsid w:val="006C5C3D"/>
    <w:rsid w:val="006C6C10"/>
    <w:rsid w:val="006C708E"/>
    <w:rsid w:val="006D14E7"/>
    <w:rsid w:val="006D4444"/>
    <w:rsid w:val="006D5187"/>
    <w:rsid w:val="006D52D5"/>
    <w:rsid w:val="006D6493"/>
    <w:rsid w:val="006D6EC7"/>
    <w:rsid w:val="006E09B1"/>
    <w:rsid w:val="006E1BCD"/>
    <w:rsid w:val="006E2732"/>
    <w:rsid w:val="006E59CD"/>
    <w:rsid w:val="006F0A71"/>
    <w:rsid w:val="006F1C6B"/>
    <w:rsid w:val="006F3994"/>
    <w:rsid w:val="006F40C2"/>
    <w:rsid w:val="006F5125"/>
    <w:rsid w:val="006F5211"/>
    <w:rsid w:val="006F733D"/>
    <w:rsid w:val="00700765"/>
    <w:rsid w:val="00701369"/>
    <w:rsid w:val="00702959"/>
    <w:rsid w:val="00702B6F"/>
    <w:rsid w:val="007035E3"/>
    <w:rsid w:val="00704069"/>
    <w:rsid w:val="00706A2F"/>
    <w:rsid w:val="0070718E"/>
    <w:rsid w:val="00707E52"/>
    <w:rsid w:val="00710259"/>
    <w:rsid w:val="0071031F"/>
    <w:rsid w:val="0071340B"/>
    <w:rsid w:val="0071436D"/>
    <w:rsid w:val="00715BBB"/>
    <w:rsid w:val="007174BB"/>
    <w:rsid w:val="0072025D"/>
    <w:rsid w:val="00723328"/>
    <w:rsid w:val="0073137C"/>
    <w:rsid w:val="007340B9"/>
    <w:rsid w:val="007353D3"/>
    <w:rsid w:val="0073779F"/>
    <w:rsid w:val="0074156B"/>
    <w:rsid w:val="00741619"/>
    <w:rsid w:val="00747092"/>
    <w:rsid w:val="007526E6"/>
    <w:rsid w:val="00754DF9"/>
    <w:rsid w:val="007555E8"/>
    <w:rsid w:val="00755CC5"/>
    <w:rsid w:val="0076420C"/>
    <w:rsid w:val="00771D07"/>
    <w:rsid w:val="00773BE3"/>
    <w:rsid w:val="007743DD"/>
    <w:rsid w:val="00774E2C"/>
    <w:rsid w:val="0077518D"/>
    <w:rsid w:val="007753C2"/>
    <w:rsid w:val="007838B8"/>
    <w:rsid w:val="00787FD8"/>
    <w:rsid w:val="007915BA"/>
    <w:rsid w:val="00791844"/>
    <w:rsid w:val="007929CA"/>
    <w:rsid w:val="00792E02"/>
    <w:rsid w:val="00793484"/>
    <w:rsid w:val="007979BD"/>
    <w:rsid w:val="00797BE7"/>
    <w:rsid w:val="007A2AB3"/>
    <w:rsid w:val="007A58E5"/>
    <w:rsid w:val="007A6A2F"/>
    <w:rsid w:val="007B024E"/>
    <w:rsid w:val="007B0EBD"/>
    <w:rsid w:val="007B1C8A"/>
    <w:rsid w:val="007B3DDC"/>
    <w:rsid w:val="007B72A6"/>
    <w:rsid w:val="007C06D2"/>
    <w:rsid w:val="007C08E0"/>
    <w:rsid w:val="007C0F57"/>
    <w:rsid w:val="007C40B6"/>
    <w:rsid w:val="007C729F"/>
    <w:rsid w:val="007D503D"/>
    <w:rsid w:val="007D5862"/>
    <w:rsid w:val="007D59E7"/>
    <w:rsid w:val="007D5F2A"/>
    <w:rsid w:val="007E1D28"/>
    <w:rsid w:val="007E3E71"/>
    <w:rsid w:val="007E490F"/>
    <w:rsid w:val="007E61C2"/>
    <w:rsid w:val="007F0021"/>
    <w:rsid w:val="007F2641"/>
    <w:rsid w:val="007F7C36"/>
    <w:rsid w:val="0080534D"/>
    <w:rsid w:val="008055AF"/>
    <w:rsid w:val="008057CD"/>
    <w:rsid w:val="00806796"/>
    <w:rsid w:val="00810167"/>
    <w:rsid w:val="00811CC0"/>
    <w:rsid w:val="00814B6F"/>
    <w:rsid w:val="008151D6"/>
    <w:rsid w:val="00821527"/>
    <w:rsid w:val="00822696"/>
    <w:rsid w:val="00825A6C"/>
    <w:rsid w:val="0082617E"/>
    <w:rsid w:val="008268BB"/>
    <w:rsid w:val="00826F6D"/>
    <w:rsid w:val="008272BD"/>
    <w:rsid w:val="008306F3"/>
    <w:rsid w:val="00830E40"/>
    <w:rsid w:val="0083209F"/>
    <w:rsid w:val="00832D9A"/>
    <w:rsid w:val="00835C62"/>
    <w:rsid w:val="00835E5D"/>
    <w:rsid w:val="008368A1"/>
    <w:rsid w:val="00840EF7"/>
    <w:rsid w:val="00844C0A"/>
    <w:rsid w:val="00846056"/>
    <w:rsid w:val="0084681F"/>
    <w:rsid w:val="00846828"/>
    <w:rsid w:val="00847EC0"/>
    <w:rsid w:val="00851A42"/>
    <w:rsid w:val="00852D1C"/>
    <w:rsid w:val="00855FD6"/>
    <w:rsid w:val="00856DDD"/>
    <w:rsid w:val="00863E68"/>
    <w:rsid w:val="00864494"/>
    <w:rsid w:val="008647B5"/>
    <w:rsid w:val="008654E8"/>
    <w:rsid w:val="00867D64"/>
    <w:rsid w:val="00872E8F"/>
    <w:rsid w:val="00875DCB"/>
    <w:rsid w:val="00875EC7"/>
    <w:rsid w:val="0087755A"/>
    <w:rsid w:val="00882085"/>
    <w:rsid w:val="00883188"/>
    <w:rsid w:val="00884A0C"/>
    <w:rsid w:val="00884BEC"/>
    <w:rsid w:val="00886ACA"/>
    <w:rsid w:val="0089031E"/>
    <w:rsid w:val="008925D1"/>
    <w:rsid w:val="0089460B"/>
    <w:rsid w:val="00897D58"/>
    <w:rsid w:val="00897F22"/>
    <w:rsid w:val="008A0B39"/>
    <w:rsid w:val="008A17A3"/>
    <w:rsid w:val="008A1956"/>
    <w:rsid w:val="008A1E85"/>
    <w:rsid w:val="008A2419"/>
    <w:rsid w:val="008A4937"/>
    <w:rsid w:val="008A50F1"/>
    <w:rsid w:val="008A5970"/>
    <w:rsid w:val="008A59D9"/>
    <w:rsid w:val="008A5E52"/>
    <w:rsid w:val="008A61A7"/>
    <w:rsid w:val="008A643E"/>
    <w:rsid w:val="008A6819"/>
    <w:rsid w:val="008B2EC0"/>
    <w:rsid w:val="008B3C3F"/>
    <w:rsid w:val="008B6DCF"/>
    <w:rsid w:val="008C4844"/>
    <w:rsid w:val="008C5888"/>
    <w:rsid w:val="008C59AA"/>
    <w:rsid w:val="008D0945"/>
    <w:rsid w:val="008D1409"/>
    <w:rsid w:val="008D15CC"/>
    <w:rsid w:val="008D1729"/>
    <w:rsid w:val="008D1B5C"/>
    <w:rsid w:val="008D3C82"/>
    <w:rsid w:val="008D447E"/>
    <w:rsid w:val="008D4687"/>
    <w:rsid w:val="008D68BB"/>
    <w:rsid w:val="008D6ACF"/>
    <w:rsid w:val="008D7A41"/>
    <w:rsid w:val="008E2C72"/>
    <w:rsid w:val="008E3680"/>
    <w:rsid w:val="008E5870"/>
    <w:rsid w:val="008E77E4"/>
    <w:rsid w:val="008F0137"/>
    <w:rsid w:val="008F0213"/>
    <w:rsid w:val="008F07ED"/>
    <w:rsid w:val="008F11F8"/>
    <w:rsid w:val="008F1434"/>
    <w:rsid w:val="008F2BB9"/>
    <w:rsid w:val="008F3D6A"/>
    <w:rsid w:val="008F54C3"/>
    <w:rsid w:val="008F7355"/>
    <w:rsid w:val="009000A4"/>
    <w:rsid w:val="009023DC"/>
    <w:rsid w:val="009027C5"/>
    <w:rsid w:val="00904413"/>
    <w:rsid w:val="009056AD"/>
    <w:rsid w:val="009067B7"/>
    <w:rsid w:val="0090775A"/>
    <w:rsid w:val="00907DFD"/>
    <w:rsid w:val="00907FF4"/>
    <w:rsid w:val="00911E32"/>
    <w:rsid w:val="00913C99"/>
    <w:rsid w:val="009153CA"/>
    <w:rsid w:val="00917D69"/>
    <w:rsid w:val="00920B6D"/>
    <w:rsid w:val="0092642B"/>
    <w:rsid w:val="00926502"/>
    <w:rsid w:val="00926560"/>
    <w:rsid w:val="00926B15"/>
    <w:rsid w:val="00930291"/>
    <w:rsid w:val="00930937"/>
    <w:rsid w:val="009324A6"/>
    <w:rsid w:val="00933E6C"/>
    <w:rsid w:val="00934437"/>
    <w:rsid w:val="00935A6E"/>
    <w:rsid w:val="009360EE"/>
    <w:rsid w:val="00937958"/>
    <w:rsid w:val="009406E5"/>
    <w:rsid w:val="00941602"/>
    <w:rsid w:val="00942160"/>
    <w:rsid w:val="00946921"/>
    <w:rsid w:val="00946DB1"/>
    <w:rsid w:val="00947343"/>
    <w:rsid w:val="00947452"/>
    <w:rsid w:val="0095146F"/>
    <w:rsid w:val="009534C7"/>
    <w:rsid w:val="00957944"/>
    <w:rsid w:val="009602C5"/>
    <w:rsid w:val="00962223"/>
    <w:rsid w:val="0096252B"/>
    <w:rsid w:val="00964A9F"/>
    <w:rsid w:val="00965163"/>
    <w:rsid w:val="00966D0D"/>
    <w:rsid w:val="00967732"/>
    <w:rsid w:val="0096783C"/>
    <w:rsid w:val="00970219"/>
    <w:rsid w:val="009722B3"/>
    <w:rsid w:val="0097274B"/>
    <w:rsid w:val="00973E24"/>
    <w:rsid w:val="00974C21"/>
    <w:rsid w:val="00975948"/>
    <w:rsid w:val="00977BF3"/>
    <w:rsid w:val="009803E4"/>
    <w:rsid w:val="00980B0E"/>
    <w:rsid w:val="00981301"/>
    <w:rsid w:val="0098152A"/>
    <w:rsid w:val="00982B39"/>
    <w:rsid w:val="009836A3"/>
    <w:rsid w:val="00984C58"/>
    <w:rsid w:val="009855A8"/>
    <w:rsid w:val="00985A31"/>
    <w:rsid w:val="00985D1A"/>
    <w:rsid w:val="00990101"/>
    <w:rsid w:val="009913F4"/>
    <w:rsid w:val="00991782"/>
    <w:rsid w:val="009937F7"/>
    <w:rsid w:val="0099465B"/>
    <w:rsid w:val="009951A1"/>
    <w:rsid w:val="009970E1"/>
    <w:rsid w:val="00997A44"/>
    <w:rsid w:val="009A0CDD"/>
    <w:rsid w:val="009A12A2"/>
    <w:rsid w:val="009A220C"/>
    <w:rsid w:val="009A3168"/>
    <w:rsid w:val="009A3789"/>
    <w:rsid w:val="009A4BDF"/>
    <w:rsid w:val="009A5D04"/>
    <w:rsid w:val="009A61CA"/>
    <w:rsid w:val="009B0C64"/>
    <w:rsid w:val="009B0F67"/>
    <w:rsid w:val="009B2756"/>
    <w:rsid w:val="009B3D56"/>
    <w:rsid w:val="009B3F8C"/>
    <w:rsid w:val="009B533B"/>
    <w:rsid w:val="009C249D"/>
    <w:rsid w:val="009C703C"/>
    <w:rsid w:val="009D0C29"/>
    <w:rsid w:val="009D1F53"/>
    <w:rsid w:val="009D206E"/>
    <w:rsid w:val="009D3CAA"/>
    <w:rsid w:val="009D507A"/>
    <w:rsid w:val="009D6532"/>
    <w:rsid w:val="009D71FD"/>
    <w:rsid w:val="009E10AD"/>
    <w:rsid w:val="009E20FD"/>
    <w:rsid w:val="009E2588"/>
    <w:rsid w:val="009E2E8E"/>
    <w:rsid w:val="009E40E1"/>
    <w:rsid w:val="009F0EFA"/>
    <w:rsid w:val="009F2762"/>
    <w:rsid w:val="009F4E46"/>
    <w:rsid w:val="009F5B65"/>
    <w:rsid w:val="009F5F2E"/>
    <w:rsid w:val="00A01432"/>
    <w:rsid w:val="00A054BE"/>
    <w:rsid w:val="00A06225"/>
    <w:rsid w:val="00A110D1"/>
    <w:rsid w:val="00A12587"/>
    <w:rsid w:val="00A128E6"/>
    <w:rsid w:val="00A144D3"/>
    <w:rsid w:val="00A22AC3"/>
    <w:rsid w:val="00A23F3F"/>
    <w:rsid w:val="00A24067"/>
    <w:rsid w:val="00A24A4B"/>
    <w:rsid w:val="00A2744D"/>
    <w:rsid w:val="00A30D16"/>
    <w:rsid w:val="00A34E6C"/>
    <w:rsid w:val="00A34FD0"/>
    <w:rsid w:val="00A36398"/>
    <w:rsid w:val="00A37C8D"/>
    <w:rsid w:val="00A4020E"/>
    <w:rsid w:val="00A408E8"/>
    <w:rsid w:val="00A40FB5"/>
    <w:rsid w:val="00A42826"/>
    <w:rsid w:val="00A429B3"/>
    <w:rsid w:val="00A44EC1"/>
    <w:rsid w:val="00A50CC7"/>
    <w:rsid w:val="00A510E4"/>
    <w:rsid w:val="00A5273B"/>
    <w:rsid w:val="00A53A9D"/>
    <w:rsid w:val="00A55FEE"/>
    <w:rsid w:val="00A57422"/>
    <w:rsid w:val="00A62C1A"/>
    <w:rsid w:val="00A6426D"/>
    <w:rsid w:val="00A64DBE"/>
    <w:rsid w:val="00A64E11"/>
    <w:rsid w:val="00A64F1F"/>
    <w:rsid w:val="00A665C1"/>
    <w:rsid w:val="00A673A4"/>
    <w:rsid w:val="00A7001A"/>
    <w:rsid w:val="00A70622"/>
    <w:rsid w:val="00A70977"/>
    <w:rsid w:val="00A70D58"/>
    <w:rsid w:val="00A73954"/>
    <w:rsid w:val="00A744F9"/>
    <w:rsid w:val="00A77613"/>
    <w:rsid w:val="00A77B87"/>
    <w:rsid w:val="00A815C7"/>
    <w:rsid w:val="00A81851"/>
    <w:rsid w:val="00A8390C"/>
    <w:rsid w:val="00A86AE0"/>
    <w:rsid w:val="00A91362"/>
    <w:rsid w:val="00A9151C"/>
    <w:rsid w:val="00A919C6"/>
    <w:rsid w:val="00A928BD"/>
    <w:rsid w:val="00A97DE9"/>
    <w:rsid w:val="00AA12CD"/>
    <w:rsid w:val="00AA35BB"/>
    <w:rsid w:val="00AA4D1C"/>
    <w:rsid w:val="00AA52FD"/>
    <w:rsid w:val="00AA6521"/>
    <w:rsid w:val="00AA7006"/>
    <w:rsid w:val="00AB4684"/>
    <w:rsid w:val="00AB5856"/>
    <w:rsid w:val="00AC081D"/>
    <w:rsid w:val="00AC193C"/>
    <w:rsid w:val="00AC30C1"/>
    <w:rsid w:val="00AC4DE5"/>
    <w:rsid w:val="00AC5206"/>
    <w:rsid w:val="00AD3106"/>
    <w:rsid w:val="00AD4322"/>
    <w:rsid w:val="00AE11A5"/>
    <w:rsid w:val="00AE13E2"/>
    <w:rsid w:val="00AE16E1"/>
    <w:rsid w:val="00AE1B36"/>
    <w:rsid w:val="00AE22D3"/>
    <w:rsid w:val="00AE5A49"/>
    <w:rsid w:val="00AF11D8"/>
    <w:rsid w:val="00AF5867"/>
    <w:rsid w:val="00AF62DF"/>
    <w:rsid w:val="00AF68CC"/>
    <w:rsid w:val="00AF70D7"/>
    <w:rsid w:val="00B00712"/>
    <w:rsid w:val="00B00CD0"/>
    <w:rsid w:val="00B00E7F"/>
    <w:rsid w:val="00B01FF4"/>
    <w:rsid w:val="00B0326D"/>
    <w:rsid w:val="00B06478"/>
    <w:rsid w:val="00B07533"/>
    <w:rsid w:val="00B07CFB"/>
    <w:rsid w:val="00B1059E"/>
    <w:rsid w:val="00B14A36"/>
    <w:rsid w:val="00B16273"/>
    <w:rsid w:val="00B1700C"/>
    <w:rsid w:val="00B170A5"/>
    <w:rsid w:val="00B1725F"/>
    <w:rsid w:val="00B176C8"/>
    <w:rsid w:val="00B17EE5"/>
    <w:rsid w:val="00B205AA"/>
    <w:rsid w:val="00B22E84"/>
    <w:rsid w:val="00B233AD"/>
    <w:rsid w:val="00B23E25"/>
    <w:rsid w:val="00B25F75"/>
    <w:rsid w:val="00B26B3F"/>
    <w:rsid w:val="00B2732E"/>
    <w:rsid w:val="00B2778F"/>
    <w:rsid w:val="00B3222E"/>
    <w:rsid w:val="00B327E2"/>
    <w:rsid w:val="00B33635"/>
    <w:rsid w:val="00B40CB5"/>
    <w:rsid w:val="00B4192A"/>
    <w:rsid w:val="00B42AF4"/>
    <w:rsid w:val="00B43E90"/>
    <w:rsid w:val="00B44308"/>
    <w:rsid w:val="00B44A46"/>
    <w:rsid w:val="00B45722"/>
    <w:rsid w:val="00B467DC"/>
    <w:rsid w:val="00B5392A"/>
    <w:rsid w:val="00B54FA0"/>
    <w:rsid w:val="00B56118"/>
    <w:rsid w:val="00B563D6"/>
    <w:rsid w:val="00B566E1"/>
    <w:rsid w:val="00B602F6"/>
    <w:rsid w:val="00B64EC4"/>
    <w:rsid w:val="00B6773F"/>
    <w:rsid w:val="00B70EB3"/>
    <w:rsid w:val="00B72906"/>
    <w:rsid w:val="00B73135"/>
    <w:rsid w:val="00B74F48"/>
    <w:rsid w:val="00B7525E"/>
    <w:rsid w:val="00B760FB"/>
    <w:rsid w:val="00B76765"/>
    <w:rsid w:val="00B767AB"/>
    <w:rsid w:val="00B801BA"/>
    <w:rsid w:val="00B812D6"/>
    <w:rsid w:val="00B84D5C"/>
    <w:rsid w:val="00B858B8"/>
    <w:rsid w:val="00B85AF6"/>
    <w:rsid w:val="00B956ED"/>
    <w:rsid w:val="00BA2DA8"/>
    <w:rsid w:val="00BA347C"/>
    <w:rsid w:val="00BB298A"/>
    <w:rsid w:val="00BB3469"/>
    <w:rsid w:val="00BB5C49"/>
    <w:rsid w:val="00BB6240"/>
    <w:rsid w:val="00BB6285"/>
    <w:rsid w:val="00BB69F5"/>
    <w:rsid w:val="00BB7EC3"/>
    <w:rsid w:val="00BC04B1"/>
    <w:rsid w:val="00BC1FAA"/>
    <w:rsid w:val="00BC470E"/>
    <w:rsid w:val="00BC4B9A"/>
    <w:rsid w:val="00BD02C3"/>
    <w:rsid w:val="00BD7483"/>
    <w:rsid w:val="00BD784C"/>
    <w:rsid w:val="00BE020A"/>
    <w:rsid w:val="00BE13DF"/>
    <w:rsid w:val="00BE25D7"/>
    <w:rsid w:val="00BE6791"/>
    <w:rsid w:val="00BF092C"/>
    <w:rsid w:val="00BF27A0"/>
    <w:rsid w:val="00BF3CEA"/>
    <w:rsid w:val="00BF4CB6"/>
    <w:rsid w:val="00BF6B64"/>
    <w:rsid w:val="00BF6CBD"/>
    <w:rsid w:val="00C00DA7"/>
    <w:rsid w:val="00C04207"/>
    <w:rsid w:val="00C04CDE"/>
    <w:rsid w:val="00C068A6"/>
    <w:rsid w:val="00C12768"/>
    <w:rsid w:val="00C12D70"/>
    <w:rsid w:val="00C16724"/>
    <w:rsid w:val="00C217BD"/>
    <w:rsid w:val="00C21B09"/>
    <w:rsid w:val="00C234F0"/>
    <w:rsid w:val="00C2673A"/>
    <w:rsid w:val="00C27B58"/>
    <w:rsid w:val="00C27C1C"/>
    <w:rsid w:val="00C308EB"/>
    <w:rsid w:val="00C31043"/>
    <w:rsid w:val="00C31647"/>
    <w:rsid w:val="00C33186"/>
    <w:rsid w:val="00C35996"/>
    <w:rsid w:val="00C4747E"/>
    <w:rsid w:val="00C47559"/>
    <w:rsid w:val="00C5151E"/>
    <w:rsid w:val="00C5342C"/>
    <w:rsid w:val="00C53B2B"/>
    <w:rsid w:val="00C57465"/>
    <w:rsid w:val="00C60272"/>
    <w:rsid w:val="00C603D4"/>
    <w:rsid w:val="00C6224F"/>
    <w:rsid w:val="00C6256A"/>
    <w:rsid w:val="00C64EBC"/>
    <w:rsid w:val="00C656A6"/>
    <w:rsid w:val="00C664D2"/>
    <w:rsid w:val="00C710E2"/>
    <w:rsid w:val="00C71C3F"/>
    <w:rsid w:val="00C7409E"/>
    <w:rsid w:val="00C74D6D"/>
    <w:rsid w:val="00C76E76"/>
    <w:rsid w:val="00C77202"/>
    <w:rsid w:val="00C77891"/>
    <w:rsid w:val="00C828F8"/>
    <w:rsid w:val="00C829A9"/>
    <w:rsid w:val="00C87B80"/>
    <w:rsid w:val="00C90330"/>
    <w:rsid w:val="00C91449"/>
    <w:rsid w:val="00C92D10"/>
    <w:rsid w:val="00C9585B"/>
    <w:rsid w:val="00C96EC0"/>
    <w:rsid w:val="00CA2765"/>
    <w:rsid w:val="00CA48D9"/>
    <w:rsid w:val="00CA4D5C"/>
    <w:rsid w:val="00CB1193"/>
    <w:rsid w:val="00CB4767"/>
    <w:rsid w:val="00CB493D"/>
    <w:rsid w:val="00CB5E79"/>
    <w:rsid w:val="00CC28E4"/>
    <w:rsid w:val="00CC3B97"/>
    <w:rsid w:val="00CD02B9"/>
    <w:rsid w:val="00CD558A"/>
    <w:rsid w:val="00CD6257"/>
    <w:rsid w:val="00CD7C0B"/>
    <w:rsid w:val="00CE10C4"/>
    <w:rsid w:val="00CE2343"/>
    <w:rsid w:val="00CE27B5"/>
    <w:rsid w:val="00CE6DAF"/>
    <w:rsid w:val="00CE77F4"/>
    <w:rsid w:val="00CF21EF"/>
    <w:rsid w:val="00CF410A"/>
    <w:rsid w:val="00CF513B"/>
    <w:rsid w:val="00CF7528"/>
    <w:rsid w:val="00CF7FDE"/>
    <w:rsid w:val="00D0321E"/>
    <w:rsid w:val="00D06472"/>
    <w:rsid w:val="00D069EB"/>
    <w:rsid w:val="00D07A8A"/>
    <w:rsid w:val="00D1005A"/>
    <w:rsid w:val="00D11199"/>
    <w:rsid w:val="00D1455A"/>
    <w:rsid w:val="00D14A70"/>
    <w:rsid w:val="00D207EA"/>
    <w:rsid w:val="00D22093"/>
    <w:rsid w:val="00D31150"/>
    <w:rsid w:val="00D3138B"/>
    <w:rsid w:val="00D31FCE"/>
    <w:rsid w:val="00D3280C"/>
    <w:rsid w:val="00D3406A"/>
    <w:rsid w:val="00D40B11"/>
    <w:rsid w:val="00D429EC"/>
    <w:rsid w:val="00D441F1"/>
    <w:rsid w:val="00D4572C"/>
    <w:rsid w:val="00D469B2"/>
    <w:rsid w:val="00D52B24"/>
    <w:rsid w:val="00D54B09"/>
    <w:rsid w:val="00D570F0"/>
    <w:rsid w:val="00D6243E"/>
    <w:rsid w:val="00D63A83"/>
    <w:rsid w:val="00D65658"/>
    <w:rsid w:val="00D67EB2"/>
    <w:rsid w:val="00D70349"/>
    <w:rsid w:val="00D72B6F"/>
    <w:rsid w:val="00D741EB"/>
    <w:rsid w:val="00D7679C"/>
    <w:rsid w:val="00D820F3"/>
    <w:rsid w:val="00D82BF2"/>
    <w:rsid w:val="00D83605"/>
    <w:rsid w:val="00D84934"/>
    <w:rsid w:val="00D866EB"/>
    <w:rsid w:val="00D87D1A"/>
    <w:rsid w:val="00D91271"/>
    <w:rsid w:val="00D919F5"/>
    <w:rsid w:val="00D945F6"/>
    <w:rsid w:val="00D94F03"/>
    <w:rsid w:val="00D95161"/>
    <w:rsid w:val="00DA0A82"/>
    <w:rsid w:val="00DA0D14"/>
    <w:rsid w:val="00DA1FC9"/>
    <w:rsid w:val="00DA2CB5"/>
    <w:rsid w:val="00DA3558"/>
    <w:rsid w:val="00DA4BAC"/>
    <w:rsid w:val="00DB0151"/>
    <w:rsid w:val="00DB0340"/>
    <w:rsid w:val="00DB04D7"/>
    <w:rsid w:val="00DB50E1"/>
    <w:rsid w:val="00DC0566"/>
    <w:rsid w:val="00DC05E1"/>
    <w:rsid w:val="00DC1499"/>
    <w:rsid w:val="00DC2674"/>
    <w:rsid w:val="00DC2C3E"/>
    <w:rsid w:val="00DC3137"/>
    <w:rsid w:val="00DC4880"/>
    <w:rsid w:val="00DD26F9"/>
    <w:rsid w:val="00DD3B54"/>
    <w:rsid w:val="00DD42AB"/>
    <w:rsid w:val="00DD56E5"/>
    <w:rsid w:val="00DE06AF"/>
    <w:rsid w:val="00DE2315"/>
    <w:rsid w:val="00DE6D27"/>
    <w:rsid w:val="00DF01F8"/>
    <w:rsid w:val="00DF021D"/>
    <w:rsid w:val="00DF14EE"/>
    <w:rsid w:val="00DF217D"/>
    <w:rsid w:val="00DF26A7"/>
    <w:rsid w:val="00DF31CC"/>
    <w:rsid w:val="00DF3277"/>
    <w:rsid w:val="00DF6A31"/>
    <w:rsid w:val="00DF77A1"/>
    <w:rsid w:val="00DF7919"/>
    <w:rsid w:val="00E0207E"/>
    <w:rsid w:val="00E02AE6"/>
    <w:rsid w:val="00E03912"/>
    <w:rsid w:val="00E04748"/>
    <w:rsid w:val="00E078D9"/>
    <w:rsid w:val="00E10293"/>
    <w:rsid w:val="00E103A0"/>
    <w:rsid w:val="00E1043F"/>
    <w:rsid w:val="00E11F44"/>
    <w:rsid w:val="00E13E60"/>
    <w:rsid w:val="00E15627"/>
    <w:rsid w:val="00E164B3"/>
    <w:rsid w:val="00E16910"/>
    <w:rsid w:val="00E20CFC"/>
    <w:rsid w:val="00E2113D"/>
    <w:rsid w:val="00E231D1"/>
    <w:rsid w:val="00E239E2"/>
    <w:rsid w:val="00E24E09"/>
    <w:rsid w:val="00E27234"/>
    <w:rsid w:val="00E31528"/>
    <w:rsid w:val="00E3495C"/>
    <w:rsid w:val="00E36EB7"/>
    <w:rsid w:val="00E42BDB"/>
    <w:rsid w:val="00E4714D"/>
    <w:rsid w:val="00E50A1F"/>
    <w:rsid w:val="00E50A57"/>
    <w:rsid w:val="00E5439F"/>
    <w:rsid w:val="00E5726D"/>
    <w:rsid w:val="00E577AE"/>
    <w:rsid w:val="00E57EEB"/>
    <w:rsid w:val="00E62D94"/>
    <w:rsid w:val="00E62ECC"/>
    <w:rsid w:val="00E64F37"/>
    <w:rsid w:val="00E65091"/>
    <w:rsid w:val="00E65E54"/>
    <w:rsid w:val="00E661C7"/>
    <w:rsid w:val="00E66D9D"/>
    <w:rsid w:val="00E67378"/>
    <w:rsid w:val="00E67C0A"/>
    <w:rsid w:val="00E732C4"/>
    <w:rsid w:val="00E74E41"/>
    <w:rsid w:val="00E7623C"/>
    <w:rsid w:val="00E80155"/>
    <w:rsid w:val="00E8134B"/>
    <w:rsid w:val="00E81E0D"/>
    <w:rsid w:val="00E81F28"/>
    <w:rsid w:val="00E848C0"/>
    <w:rsid w:val="00E84BB8"/>
    <w:rsid w:val="00E86F92"/>
    <w:rsid w:val="00E91B96"/>
    <w:rsid w:val="00E92EE2"/>
    <w:rsid w:val="00E935DA"/>
    <w:rsid w:val="00E93D1E"/>
    <w:rsid w:val="00E941A1"/>
    <w:rsid w:val="00E95CE3"/>
    <w:rsid w:val="00E95F9A"/>
    <w:rsid w:val="00E9664E"/>
    <w:rsid w:val="00E975AD"/>
    <w:rsid w:val="00EA0856"/>
    <w:rsid w:val="00EA0F83"/>
    <w:rsid w:val="00EA252F"/>
    <w:rsid w:val="00EA2825"/>
    <w:rsid w:val="00EA6518"/>
    <w:rsid w:val="00EA7138"/>
    <w:rsid w:val="00EA71A2"/>
    <w:rsid w:val="00EA7466"/>
    <w:rsid w:val="00EA7EDE"/>
    <w:rsid w:val="00EB0B63"/>
    <w:rsid w:val="00EB1936"/>
    <w:rsid w:val="00EB3545"/>
    <w:rsid w:val="00EB37BE"/>
    <w:rsid w:val="00EB38A8"/>
    <w:rsid w:val="00EB4BAE"/>
    <w:rsid w:val="00EB5088"/>
    <w:rsid w:val="00EB6DEA"/>
    <w:rsid w:val="00EB7210"/>
    <w:rsid w:val="00EB7CAB"/>
    <w:rsid w:val="00EC2726"/>
    <w:rsid w:val="00EC2D4B"/>
    <w:rsid w:val="00EC681C"/>
    <w:rsid w:val="00ED1644"/>
    <w:rsid w:val="00ED2593"/>
    <w:rsid w:val="00ED3709"/>
    <w:rsid w:val="00ED5E97"/>
    <w:rsid w:val="00ED6B3E"/>
    <w:rsid w:val="00ED7D55"/>
    <w:rsid w:val="00ED7D9C"/>
    <w:rsid w:val="00EE31A2"/>
    <w:rsid w:val="00EE5D3F"/>
    <w:rsid w:val="00EF0069"/>
    <w:rsid w:val="00EF44A0"/>
    <w:rsid w:val="00EF4580"/>
    <w:rsid w:val="00EF4FED"/>
    <w:rsid w:val="00EF5F45"/>
    <w:rsid w:val="00EF6843"/>
    <w:rsid w:val="00EF6FB3"/>
    <w:rsid w:val="00F0068B"/>
    <w:rsid w:val="00F007C6"/>
    <w:rsid w:val="00F0172E"/>
    <w:rsid w:val="00F02121"/>
    <w:rsid w:val="00F050BD"/>
    <w:rsid w:val="00F05657"/>
    <w:rsid w:val="00F05AB0"/>
    <w:rsid w:val="00F12C74"/>
    <w:rsid w:val="00F1559A"/>
    <w:rsid w:val="00F17ED6"/>
    <w:rsid w:val="00F20676"/>
    <w:rsid w:val="00F209E2"/>
    <w:rsid w:val="00F22BD9"/>
    <w:rsid w:val="00F25578"/>
    <w:rsid w:val="00F258E5"/>
    <w:rsid w:val="00F25B9C"/>
    <w:rsid w:val="00F2675A"/>
    <w:rsid w:val="00F26CC6"/>
    <w:rsid w:val="00F300BC"/>
    <w:rsid w:val="00F3263C"/>
    <w:rsid w:val="00F3334E"/>
    <w:rsid w:val="00F36CCB"/>
    <w:rsid w:val="00F374E5"/>
    <w:rsid w:val="00F37B93"/>
    <w:rsid w:val="00F37BAD"/>
    <w:rsid w:val="00F37ECA"/>
    <w:rsid w:val="00F40A1C"/>
    <w:rsid w:val="00F43AF2"/>
    <w:rsid w:val="00F45216"/>
    <w:rsid w:val="00F5007E"/>
    <w:rsid w:val="00F50EC4"/>
    <w:rsid w:val="00F51BF3"/>
    <w:rsid w:val="00F52232"/>
    <w:rsid w:val="00F52DC2"/>
    <w:rsid w:val="00F5347B"/>
    <w:rsid w:val="00F550CF"/>
    <w:rsid w:val="00F553D2"/>
    <w:rsid w:val="00F57A6D"/>
    <w:rsid w:val="00F6044B"/>
    <w:rsid w:val="00F62F19"/>
    <w:rsid w:val="00F638CC"/>
    <w:rsid w:val="00F64C9E"/>
    <w:rsid w:val="00F64CC1"/>
    <w:rsid w:val="00F65226"/>
    <w:rsid w:val="00F72317"/>
    <w:rsid w:val="00F72DBB"/>
    <w:rsid w:val="00F7300B"/>
    <w:rsid w:val="00F73DC1"/>
    <w:rsid w:val="00F7403F"/>
    <w:rsid w:val="00F75BB8"/>
    <w:rsid w:val="00F77714"/>
    <w:rsid w:val="00F80475"/>
    <w:rsid w:val="00F80E6E"/>
    <w:rsid w:val="00F81390"/>
    <w:rsid w:val="00F81F7A"/>
    <w:rsid w:val="00F8247A"/>
    <w:rsid w:val="00F82E5C"/>
    <w:rsid w:val="00F835F2"/>
    <w:rsid w:val="00F83F58"/>
    <w:rsid w:val="00F85206"/>
    <w:rsid w:val="00F87CEA"/>
    <w:rsid w:val="00F94B01"/>
    <w:rsid w:val="00F9629A"/>
    <w:rsid w:val="00F97EFC"/>
    <w:rsid w:val="00FA0B04"/>
    <w:rsid w:val="00FA0C7C"/>
    <w:rsid w:val="00FA1BDD"/>
    <w:rsid w:val="00FA305C"/>
    <w:rsid w:val="00FA462E"/>
    <w:rsid w:val="00FA4DD5"/>
    <w:rsid w:val="00FA5883"/>
    <w:rsid w:val="00FA6055"/>
    <w:rsid w:val="00FB0B39"/>
    <w:rsid w:val="00FB322F"/>
    <w:rsid w:val="00FB3B90"/>
    <w:rsid w:val="00FB442F"/>
    <w:rsid w:val="00FC10D6"/>
    <w:rsid w:val="00FC118C"/>
    <w:rsid w:val="00FC1929"/>
    <w:rsid w:val="00FC5B46"/>
    <w:rsid w:val="00FD1D4F"/>
    <w:rsid w:val="00FD24BF"/>
    <w:rsid w:val="00FD3B6E"/>
    <w:rsid w:val="00FD57EB"/>
    <w:rsid w:val="00FD5AB2"/>
    <w:rsid w:val="00FD6D8E"/>
    <w:rsid w:val="00FE0663"/>
    <w:rsid w:val="00FE0E94"/>
    <w:rsid w:val="00FE369C"/>
    <w:rsid w:val="00FE3CD9"/>
    <w:rsid w:val="00FF00BD"/>
    <w:rsid w:val="00FF0B13"/>
    <w:rsid w:val="00FF1ED4"/>
    <w:rsid w:val="00FF2801"/>
    <w:rsid w:val="00FF6723"/>
    <w:rsid w:val="00FF76EA"/>
    <w:rsid w:val="00FF799B"/>
    <w:rsid w:val="012A7082"/>
    <w:rsid w:val="0143FC8B"/>
    <w:rsid w:val="01BAC867"/>
    <w:rsid w:val="0254441C"/>
    <w:rsid w:val="02E816C3"/>
    <w:rsid w:val="032394EB"/>
    <w:rsid w:val="033B2F40"/>
    <w:rsid w:val="04A12F4E"/>
    <w:rsid w:val="04DBE9EA"/>
    <w:rsid w:val="05182518"/>
    <w:rsid w:val="051D99F9"/>
    <w:rsid w:val="05B612E3"/>
    <w:rsid w:val="0605216C"/>
    <w:rsid w:val="063EE9F7"/>
    <w:rsid w:val="069F379E"/>
    <w:rsid w:val="08185FB9"/>
    <w:rsid w:val="082A09EB"/>
    <w:rsid w:val="0A0C7AE1"/>
    <w:rsid w:val="0A663D94"/>
    <w:rsid w:val="0B1BF5E7"/>
    <w:rsid w:val="0CF130DF"/>
    <w:rsid w:val="0CFE1DFD"/>
    <w:rsid w:val="0D4FC7CF"/>
    <w:rsid w:val="0DC4E36E"/>
    <w:rsid w:val="0E5E506F"/>
    <w:rsid w:val="0F5CF529"/>
    <w:rsid w:val="0FC31246"/>
    <w:rsid w:val="1023E0F9"/>
    <w:rsid w:val="1272477B"/>
    <w:rsid w:val="12B95C68"/>
    <w:rsid w:val="15107A79"/>
    <w:rsid w:val="1559BAC6"/>
    <w:rsid w:val="162998A6"/>
    <w:rsid w:val="17FD5F39"/>
    <w:rsid w:val="18657CF4"/>
    <w:rsid w:val="19B44400"/>
    <w:rsid w:val="19F2311B"/>
    <w:rsid w:val="1A0D3C6A"/>
    <w:rsid w:val="1A2D1BE7"/>
    <w:rsid w:val="1A8A0C43"/>
    <w:rsid w:val="1B0BFFE7"/>
    <w:rsid w:val="1B4DABE9"/>
    <w:rsid w:val="1D4E7C25"/>
    <w:rsid w:val="1D6033D6"/>
    <w:rsid w:val="1DDBDA0D"/>
    <w:rsid w:val="1E382E8C"/>
    <w:rsid w:val="1E938E64"/>
    <w:rsid w:val="1F3EECBD"/>
    <w:rsid w:val="1FB6E350"/>
    <w:rsid w:val="1FF3162D"/>
    <w:rsid w:val="2009EB8A"/>
    <w:rsid w:val="210F5AF1"/>
    <w:rsid w:val="212CBC64"/>
    <w:rsid w:val="231C3354"/>
    <w:rsid w:val="238CC620"/>
    <w:rsid w:val="244B8CF8"/>
    <w:rsid w:val="24C0A041"/>
    <w:rsid w:val="24CA5046"/>
    <w:rsid w:val="24F49182"/>
    <w:rsid w:val="26615FE7"/>
    <w:rsid w:val="2678B15D"/>
    <w:rsid w:val="27394882"/>
    <w:rsid w:val="29365BD7"/>
    <w:rsid w:val="29882150"/>
    <w:rsid w:val="29E0E709"/>
    <w:rsid w:val="2AA490C3"/>
    <w:rsid w:val="2C4C1D68"/>
    <w:rsid w:val="2C7C3DFB"/>
    <w:rsid w:val="2D470254"/>
    <w:rsid w:val="2E4579D6"/>
    <w:rsid w:val="2EF0545B"/>
    <w:rsid w:val="2FC97F8A"/>
    <w:rsid w:val="300EDF22"/>
    <w:rsid w:val="3079EB0D"/>
    <w:rsid w:val="307D714D"/>
    <w:rsid w:val="3093AC95"/>
    <w:rsid w:val="31C1265F"/>
    <w:rsid w:val="321F658F"/>
    <w:rsid w:val="32FFC29C"/>
    <w:rsid w:val="3320F36F"/>
    <w:rsid w:val="340D0A3D"/>
    <w:rsid w:val="343A4F58"/>
    <w:rsid w:val="34E7EA92"/>
    <w:rsid w:val="363425FC"/>
    <w:rsid w:val="373C6128"/>
    <w:rsid w:val="37C1F8E8"/>
    <w:rsid w:val="3805C0E7"/>
    <w:rsid w:val="38168071"/>
    <w:rsid w:val="393376D2"/>
    <w:rsid w:val="395463D1"/>
    <w:rsid w:val="398863F1"/>
    <w:rsid w:val="3A20C143"/>
    <w:rsid w:val="3BA095AD"/>
    <w:rsid w:val="40771079"/>
    <w:rsid w:val="40930EF5"/>
    <w:rsid w:val="4110CDB4"/>
    <w:rsid w:val="42691D0F"/>
    <w:rsid w:val="4372D6C2"/>
    <w:rsid w:val="443448FB"/>
    <w:rsid w:val="44505BFC"/>
    <w:rsid w:val="450F5A46"/>
    <w:rsid w:val="456C4AA2"/>
    <w:rsid w:val="4641A0D0"/>
    <w:rsid w:val="4873567A"/>
    <w:rsid w:val="48F582C0"/>
    <w:rsid w:val="49B7B512"/>
    <w:rsid w:val="4AE86C22"/>
    <w:rsid w:val="4D21EA56"/>
    <w:rsid w:val="4DA14906"/>
    <w:rsid w:val="4DD74500"/>
    <w:rsid w:val="4EE3854C"/>
    <w:rsid w:val="4F28A562"/>
    <w:rsid w:val="5057B658"/>
    <w:rsid w:val="517C50E5"/>
    <w:rsid w:val="51A107A9"/>
    <w:rsid w:val="53229BC9"/>
    <w:rsid w:val="53B39A2E"/>
    <w:rsid w:val="54C17BA2"/>
    <w:rsid w:val="553311EF"/>
    <w:rsid w:val="55ACD1A0"/>
    <w:rsid w:val="56AFA43F"/>
    <w:rsid w:val="58963761"/>
    <w:rsid w:val="593F501C"/>
    <w:rsid w:val="5A05D725"/>
    <w:rsid w:val="5B9D8C93"/>
    <w:rsid w:val="5CB076C8"/>
    <w:rsid w:val="5D5832E9"/>
    <w:rsid w:val="5D80A09E"/>
    <w:rsid w:val="5DF2A876"/>
    <w:rsid w:val="5EBDDC85"/>
    <w:rsid w:val="5F8C18FC"/>
    <w:rsid w:val="600E03FD"/>
    <w:rsid w:val="62AD93BA"/>
    <w:rsid w:val="63555756"/>
    <w:rsid w:val="644E444D"/>
    <w:rsid w:val="65573E26"/>
    <w:rsid w:val="65AD35BA"/>
    <w:rsid w:val="65C2D45A"/>
    <w:rsid w:val="6657D135"/>
    <w:rsid w:val="66D9E62A"/>
    <w:rsid w:val="6728F4B3"/>
    <w:rsid w:val="673BE400"/>
    <w:rsid w:val="67B6BAF7"/>
    <w:rsid w:val="68E0347C"/>
    <w:rsid w:val="699B3EBB"/>
    <w:rsid w:val="6A2AAF49"/>
    <w:rsid w:val="6BAD574D"/>
    <w:rsid w:val="6CA77350"/>
    <w:rsid w:val="709A626A"/>
    <w:rsid w:val="716D6D8F"/>
    <w:rsid w:val="731BA24E"/>
    <w:rsid w:val="73E7CF48"/>
    <w:rsid w:val="764DA178"/>
    <w:rsid w:val="77B642A1"/>
    <w:rsid w:val="78063D85"/>
    <w:rsid w:val="78168F3E"/>
    <w:rsid w:val="78E271BD"/>
    <w:rsid w:val="78E93C4E"/>
    <w:rsid w:val="79E941EA"/>
    <w:rsid w:val="7A3DE86F"/>
    <w:rsid w:val="7AD6838E"/>
    <w:rsid w:val="7B180F93"/>
    <w:rsid w:val="7B1B6DA9"/>
    <w:rsid w:val="7B349606"/>
    <w:rsid w:val="7C63B7C1"/>
    <w:rsid w:val="7C73E7A8"/>
    <w:rsid w:val="7C7878ED"/>
    <w:rsid w:val="7CDEBC17"/>
    <w:rsid w:val="7D61AEBC"/>
    <w:rsid w:val="7D98DA3E"/>
    <w:rsid w:val="7DAC400C"/>
    <w:rsid w:val="7E3EF267"/>
    <w:rsid w:val="7E77EEEF"/>
    <w:rsid w:val="7E784689"/>
    <w:rsid w:val="7E9A54A9"/>
    <w:rsid w:val="7F47C472"/>
    <w:rsid w:val="7FA82C29"/>
    <w:rsid w:val="7FC1548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3EE4F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1"/>
    <w:lsdException w:name="heading 2" w:uiPriority="1" w:qFormat="1"/>
    <w:lsdException w:name="heading 3" w:semiHidden="1" w:unhideWhenUsed="1"/>
    <w:lsdException w:name="heading 4"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64EC4"/>
    <w:pPr>
      <w:jc w:val="both"/>
    </w:pPr>
    <w:rPr>
      <w:rFonts w:ascii="Calibri" w:hAnsi="Calibri"/>
      <w:sz w:val="24"/>
      <w:szCs w:val="24"/>
    </w:rPr>
  </w:style>
  <w:style w:type="paragraph" w:styleId="Heading1">
    <w:name w:val="heading 1"/>
    <w:basedOn w:val="ListParagraph"/>
    <w:next w:val="Normal"/>
    <w:link w:val="Heading1Char"/>
    <w:uiPriority w:val="1"/>
    <w:rsid w:val="00C603D4"/>
    <w:pPr>
      <w:ind w:left="0"/>
      <w:outlineLvl w:val="0"/>
    </w:pPr>
    <w:rPr>
      <w:b/>
      <w:szCs w:val="22"/>
    </w:rPr>
  </w:style>
  <w:style w:type="paragraph" w:styleId="Heading2">
    <w:name w:val="heading 2"/>
    <w:aliases w:val="Subsection Headings"/>
    <w:basedOn w:val="Normal"/>
    <w:next w:val="Normal"/>
    <w:link w:val="Heading2Char"/>
    <w:uiPriority w:val="1"/>
    <w:qFormat/>
    <w:rsid w:val="00B1059E"/>
    <w:pPr>
      <w:keepNext/>
      <w:outlineLvl w:val="1"/>
    </w:pPr>
    <w:rPr>
      <w:rFonts w:ascii="Arial" w:hAnsi="Arial"/>
      <w:b/>
      <w:i/>
      <w:sz w:val="22"/>
    </w:rPr>
  </w:style>
  <w:style w:type="paragraph" w:styleId="Heading3">
    <w:name w:val="heading 3"/>
    <w:basedOn w:val="Normal"/>
    <w:next w:val="Normal"/>
    <w:link w:val="Heading3Char"/>
    <w:unhideWhenUsed/>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pPr>
      <w:spacing w:before="240" w:after="60"/>
      <w:outlineLvl w:val="4"/>
    </w:pPr>
    <w:rPr>
      <w:b/>
      <w:bCs/>
      <w:i/>
      <w:iCs/>
      <w:sz w:val="26"/>
      <w:szCs w:val="26"/>
    </w:rPr>
  </w:style>
  <w:style w:type="paragraph" w:styleId="Heading6">
    <w:name w:val="heading 6"/>
    <w:basedOn w:val="Normal"/>
    <w:next w:val="Normal"/>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qFormat/>
    <w:rsid w:val="00446938"/>
    <w:pPr>
      <w:keepNext/>
      <w:tabs>
        <w:tab w:val="center" w:pos="4513"/>
        <w:tab w:val="right" w:pos="9026"/>
      </w:tabs>
      <w:jc w:val="center"/>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aliases w:val="Dossier table,Table Gridbeth,Summary box,new style"/>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link w:val="TabletextChar"/>
    <w:uiPriority w:val="2"/>
    <w:pPr>
      <w:spacing w:after="120"/>
    </w:pPr>
    <w:rPr>
      <w:rFonts w:ascii="Arial" w:hAnsi="Arial"/>
      <w:sz w:val="20"/>
      <w:szCs w:val="20"/>
      <w:lang w:eastAsia="en-US"/>
    </w:rPr>
  </w:style>
  <w:style w:type="paragraph" w:styleId="BodyText2">
    <w:name w:val="Body Text 2"/>
    <w:basedOn w:val="Normal"/>
    <w:link w:val="BodyText2Char"/>
    <w:pPr>
      <w:widowControl w:val="0"/>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rPr>
      <w:sz w:val="20"/>
      <w:szCs w:val="20"/>
      <w:lang w:eastAsia="en-US"/>
    </w:rPr>
  </w:style>
  <w:style w:type="character" w:customStyle="1" w:styleId="HeaderChar">
    <w:name w:val="Header Char"/>
    <w:aliases w:val="Page Header Char,Header title Char,he=header Char,cntr/bld Char"/>
    <w:basedOn w:val="DefaultParagraphFont"/>
    <w:link w:val="Header"/>
    <w:uiPriority w:val="99"/>
    <w:rsid w:val="00446938"/>
    <w:rPr>
      <w:rFonts w:ascii="Calibri" w:hAnsi="Calibri"/>
      <w:sz w:val="24"/>
      <w:szCs w:val="24"/>
    </w:rPr>
  </w:style>
  <w:style w:type="paragraph" w:customStyle="1" w:styleId="MediumGrid21">
    <w:name w:val="Medium Grid 21"/>
    <w:link w:val="MediumGrid2Char"/>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Numbered para,Body Text Bullet Points,List Paragraph1,Bullet point,List Paragraph11,Recommendation,Section heading,Footnote,ES Paragraph,PBAC ES Paragraph,PBAC normal points,Bullet List"/>
    <w:next w:val="ListBullet"/>
    <w:link w:val="ListParagraphChar"/>
    <w:uiPriority w:val="34"/>
    <w:qFormat/>
    <w:rsid w:val="00446938"/>
    <w:pPr>
      <w:spacing w:after="120"/>
      <w:ind w:left="1134" w:hanging="357"/>
    </w:pPr>
    <w:rPr>
      <w:rFonts w:asciiTheme="minorHAnsi" w:hAnsiTheme="minorHAnsi" w:cs="Arial"/>
      <w:snapToGrid w:val="0"/>
      <w:sz w:val="24"/>
      <w:szCs w:val="24"/>
    </w:r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link w:val="NoSpacingChar"/>
    <w:uiPriority w:val="1"/>
    <w:qFormat/>
    <w:rsid w:val="00C27B58"/>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tabs>
        <w:tab w:val="num" w:pos="360"/>
      </w:tabs>
      <w:ind w:left="360" w:hanging="360"/>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aliases w:val="BulletPoints Char,Numbered para Char,Body Text Bullet Points Char,List Paragraph1 Char,Bullet point Char,List Paragraph11 Char,Recommendation Char,Section heading Char,Footnote Char,ES Paragraph Char,PBAC ES Paragraph Char"/>
    <w:basedOn w:val="DefaultParagraphFont"/>
    <w:link w:val="ListParagraph"/>
    <w:uiPriority w:val="34"/>
    <w:qFormat/>
    <w:rsid w:val="00446938"/>
    <w:rPr>
      <w:rFonts w:asciiTheme="minorHAnsi" w:hAnsiTheme="minorHAnsi" w:cs="Arial"/>
      <w:snapToGrid w:val="0"/>
      <w:sz w:val="24"/>
      <w:szCs w:val="24"/>
    </w:rPr>
  </w:style>
  <w:style w:type="paragraph" w:customStyle="1" w:styleId="2Sections">
    <w:name w:val="2. Sections"/>
    <w:qFormat/>
    <w:rsid w:val="0033263D"/>
    <w:pPr>
      <w:spacing w:before="240" w:after="120"/>
      <w:outlineLvl w:val="0"/>
    </w:pPr>
    <w:rPr>
      <w:rFonts w:asciiTheme="minorHAnsi" w:hAnsiTheme="minorHAnsi" w:cs="Arial"/>
      <w:b/>
      <w:snapToGrid w:val="0"/>
      <w:sz w:val="32"/>
      <w:szCs w:val="32"/>
      <w:lang w:eastAsia="en-US"/>
    </w:rPr>
  </w:style>
  <w:style w:type="character" w:customStyle="1" w:styleId="Heading1Char">
    <w:name w:val="Heading 1 Char"/>
    <w:basedOn w:val="DefaultParagraphFont"/>
    <w:link w:val="Heading1"/>
    <w:uiPriority w:val="1"/>
    <w:rsid w:val="003C2FB5"/>
    <w:rPr>
      <w:rFonts w:asciiTheme="minorHAnsi" w:hAnsiTheme="minorHAnsi" w:cs="Arial"/>
      <w:b/>
      <w:snapToGrid w:val="0"/>
      <w:sz w:val="24"/>
      <w:szCs w:val="22"/>
    </w:rPr>
  </w:style>
  <w:style w:type="character" w:customStyle="1" w:styleId="Heading2Char">
    <w:name w:val="Heading 2 Char"/>
    <w:aliases w:val="Subsection Headings Char"/>
    <w:basedOn w:val="DefaultParagraphFont"/>
    <w:link w:val="Heading2"/>
    <w:uiPriority w:val="1"/>
    <w:rsid w:val="003C2FB5"/>
    <w:rPr>
      <w:rFonts w:ascii="Arial" w:hAnsi="Arial"/>
      <w:b/>
      <w:i/>
      <w:sz w:val="22"/>
      <w:szCs w:val="24"/>
    </w:rPr>
  </w:style>
  <w:style w:type="paragraph" w:customStyle="1" w:styleId="1MainTitle">
    <w:name w:val="1. Main Title"/>
    <w:basedOn w:val="Title"/>
    <w:link w:val="1MainTitleChar"/>
    <w:qFormat/>
    <w:rsid w:val="00706A2F"/>
    <w:pPr>
      <w:spacing w:before="120" w:after="160"/>
      <w:ind w:left="720" w:hanging="720"/>
    </w:pPr>
    <w:rPr>
      <w:rFonts w:asciiTheme="minorHAnsi" w:hAnsiTheme="minorHAnsi"/>
      <w:sz w:val="36"/>
      <w:szCs w:val="36"/>
    </w:rPr>
  </w:style>
  <w:style w:type="paragraph" w:customStyle="1" w:styleId="MinorOVRHeader">
    <w:name w:val="Minor OVR Header"/>
    <w:basedOn w:val="Header"/>
    <w:link w:val="MinorOVRHeaderChar"/>
    <w:rsid w:val="00706A2F"/>
    <w:pPr>
      <w:jc w:val="right"/>
    </w:pPr>
    <w:rPr>
      <w:rFonts w:asciiTheme="minorHAnsi" w:hAnsiTheme="minorHAnsi" w:cs="Arial"/>
    </w:rPr>
  </w:style>
  <w:style w:type="character" w:customStyle="1" w:styleId="1MainTitleChar">
    <w:name w:val="1. Main Title Char"/>
    <w:basedOn w:val="TitleChar"/>
    <w:link w:val="1MainTitle"/>
    <w:rsid w:val="00706A2F"/>
    <w:rPr>
      <w:rFonts w:asciiTheme="minorHAnsi" w:eastAsiaTheme="majorEastAsia" w:hAnsiTheme="minorHAnsi" w:cstheme="majorBidi"/>
      <w:b/>
      <w:spacing w:val="5"/>
      <w:kern w:val="28"/>
      <w:sz w:val="36"/>
      <w:szCs w:val="36"/>
    </w:rPr>
  </w:style>
  <w:style w:type="paragraph" w:customStyle="1" w:styleId="Tabletitles">
    <w:name w:val="Table titles"/>
    <w:basedOn w:val="NoSpacing"/>
    <w:link w:val="TabletitlesChar"/>
    <w:qFormat/>
    <w:rsid w:val="00774E2C"/>
    <w:pPr>
      <w:spacing w:after="60"/>
    </w:pPr>
    <w:rPr>
      <w:rFonts w:ascii="Arial Narrow" w:hAnsi="Arial Narrow"/>
      <w:b/>
      <w:sz w:val="20"/>
    </w:rPr>
  </w:style>
  <w:style w:type="character" w:customStyle="1" w:styleId="MinorOVRHeaderChar">
    <w:name w:val="Minor OVR Header Char"/>
    <w:basedOn w:val="HeaderChar"/>
    <w:link w:val="MinorOVRHeader"/>
    <w:rsid w:val="00706A2F"/>
    <w:rPr>
      <w:rFonts w:asciiTheme="minorHAnsi" w:hAnsiTheme="minorHAnsi" w:cs="Arial"/>
      <w:sz w:val="24"/>
      <w:szCs w:val="24"/>
      <w:lang w:eastAsia="en-AU"/>
    </w:rPr>
  </w:style>
  <w:style w:type="character" w:customStyle="1" w:styleId="NoSpacingChar">
    <w:name w:val="No Spacing Char"/>
    <w:basedOn w:val="DefaultParagraphFont"/>
    <w:link w:val="NoSpacing"/>
    <w:uiPriority w:val="1"/>
    <w:rsid w:val="00774E2C"/>
    <w:rPr>
      <w:rFonts w:ascii="Arial" w:hAnsi="Arial"/>
      <w:sz w:val="22"/>
      <w:szCs w:val="22"/>
    </w:rPr>
  </w:style>
  <w:style w:type="character" w:customStyle="1" w:styleId="TabletitlesChar">
    <w:name w:val="Table titles Char"/>
    <w:basedOn w:val="NoSpacingChar"/>
    <w:link w:val="Tabletitles"/>
    <w:rsid w:val="00774E2C"/>
    <w:rPr>
      <w:rFonts w:ascii="Arial Narrow" w:hAnsi="Arial Narrow"/>
      <w:b/>
      <w:sz w:val="22"/>
      <w:szCs w:val="22"/>
    </w:rPr>
  </w:style>
  <w:style w:type="paragraph" w:customStyle="1" w:styleId="3Bodytext">
    <w:name w:val="3. Body text"/>
    <w:basedOn w:val="ListParagraph"/>
    <w:link w:val="3BodytextChar"/>
    <w:qFormat/>
    <w:rsid w:val="00A673A4"/>
    <w:pPr>
      <w:numPr>
        <w:ilvl w:val="1"/>
        <w:numId w:val="2"/>
      </w:numPr>
    </w:pPr>
    <w:rPr>
      <w:rFonts w:eastAsiaTheme="minorHAnsi" w:cstheme="minorBidi"/>
      <w:snapToGrid/>
      <w:szCs w:val="22"/>
    </w:rPr>
  </w:style>
  <w:style w:type="paragraph" w:customStyle="1" w:styleId="PBACFooter">
    <w:name w:val="PBAC Footer"/>
    <w:basedOn w:val="Footer"/>
    <w:link w:val="PBACFooterChar"/>
    <w:qFormat/>
    <w:rsid w:val="00E27234"/>
    <w:pPr>
      <w:jc w:val="center"/>
    </w:pPr>
    <w:rPr>
      <w:rFonts w:ascii="Arial" w:hAnsi="Arial" w:cs="Arial"/>
      <w:b/>
      <w:sz w:val="20"/>
      <w:szCs w:val="20"/>
    </w:rPr>
  </w:style>
  <w:style w:type="character" w:customStyle="1" w:styleId="3BodytextChar">
    <w:name w:val="3. Body text Char"/>
    <w:basedOn w:val="ListParagraphChar"/>
    <w:link w:val="3Bodytext"/>
    <w:rsid w:val="00A673A4"/>
    <w:rPr>
      <w:rFonts w:asciiTheme="minorHAnsi" w:eastAsiaTheme="minorHAnsi" w:hAnsiTheme="minorHAnsi" w:cstheme="minorBidi"/>
      <w:snapToGrid/>
      <w:sz w:val="24"/>
      <w:szCs w:val="22"/>
    </w:rPr>
  </w:style>
  <w:style w:type="character" w:customStyle="1" w:styleId="PBACFooterChar">
    <w:name w:val="PBAC Footer Char"/>
    <w:basedOn w:val="FooterChar"/>
    <w:link w:val="PBACFooter"/>
    <w:rsid w:val="00E27234"/>
    <w:rPr>
      <w:rFonts w:ascii="Arial" w:hAnsi="Arial" w:cs="Arial"/>
      <w:b/>
      <w:sz w:val="24"/>
      <w:szCs w:val="24"/>
    </w:rPr>
  </w:style>
  <w:style w:type="paragraph" w:customStyle="1" w:styleId="PBACHeading1">
    <w:name w:val="PBAC Heading 1"/>
    <w:rsid w:val="00162D4E"/>
    <w:pPr>
      <w:ind w:left="720" w:hanging="720"/>
      <w:outlineLvl w:val="0"/>
    </w:pPr>
    <w:rPr>
      <w:rFonts w:ascii="Arial" w:hAnsi="Arial" w:cs="Arial"/>
      <w:b/>
      <w:snapToGrid w:val="0"/>
      <w:sz w:val="22"/>
      <w:szCs w:val="22"/>
      <w:lang w:eastAsia="en-US"/>
    </w:rPr>
  </w:style>
  <w:style w:type="paragraph" w:customStyle="1" w:styleId="TableText0">
    <w:name w:val="Table Text"/>
    <w:link w:val="TableTextChar0"/>
    <w:qFormat/>
    <w:rsid w:val="00446938"/>
    <w:pPr>
      <w:keepNext/>
    </w:pPr>
    <w:rPr>
      <w:rFonts w:ascii="Arial Narrow" w:eastAsiaTheme="majorEastAsia" w:hAnsi="Arial Narrow" w:cstheme="majorBidi"/>
      <w:bCs/>
      <w:szCs w:val="24"/>
    </w:rPr>
  </w:style>
  <w:style w:type="paragraph" w:customStyle="1" w:styleId="Lists">
    <w:name w:val="Lists"/>
    <w:basedOn w:val="3Bodytext"/>
    <w:link w:val="ListsChar"/>
    <w:rsid w:val="000A44B2"/>
    <w:pPr>
      <w:numPr>
        <w:numId w:val="4"/>
      </w:numPr>
    </w:pPr>
  </w:style>
  <w:style w:type="character" w:customStyle="1" w:styleId="TableTextChar0">
    <w:name w:val="Table Text Char"/>
    <w:basedOn w:val="DefaultParagraphFont"/>
    <w:link w:val="TableText0"/>
    <w:rsid w:val="00446938"/>
    <w:rPr>
      <w:rFonts w:ascii="Arial Narrow" w:eastAsiaTheme="majorEastAsia" w:hAnsi="Arial Narrow" w:cstheme="majorBidi"/>
      <w:bCs/>
      <w:szCs w:val="24"/>
    </w:rPr>
  </w:style>
  <w:style w:type="character" w:styleId="FollowedHyperlink">
    <w:name w:val="FollowedHyperlink"/>
    <w:basedOn w:val="DefaultParagraphFont"/>
    <w:semiHidden/>
    <w:unhideWhenUsed/>
    <w:rsid w:val="00FA4DD5"/>
    <w:rPr>
      <w:color w:val="800080" w:themeColor="followedHyperlink"/>
      <w:u w:val="single"/>
    </w:rPr>
  </w:style>
  <w:style w:type="character" w:customStyle="1" w:styleId="ListsChar">
    <w:name w:val="Lists Char"/>
    <w:basedOn w:val="3BodytextChar"/>
    <w:link w:val="Lists"/>
    <w:rsid w:val="000A44B2"/>
    <w:rPr>
      <w:rFonts w:asciiTheme="minorHAnsi" w:eastAsiaTheme="minorHAnsi" w:hAnsiTheme="minorHAnsi" w:cstheme="minorBidi"/>
      <w:snapToGrid/>
      <w:sz w:val="24"/>
      <w:szCs w:val="22"/>
    </w:rPr>
  </w:style>
  <w:style w:type="paragraph" w:customStyle="1" w:styleId="Bulletpoints">
    <w:name w:val="Bullet points"/>
    <w:basedOn w:val="ListParagraph"/>
    <w:qFormat/>
    <w:rsid w:val="00FA305C"/>
    <w:pPr>
      <w:ind w:left="720" w:hanging="360"/>
    </w:pPr>
    <w:rPr>
      <w:rFonts w:cstheme="minorHAnsi"/>
      <w:color w:val="000000" w:themeColor="text1"/>
    </w:rPr>
  </w:style>
  <w:style w:type="paragraph" w:customStyle="1" w:styleId="TableFooter">
    <w:name w:val="Table Footer"/>
    <w:basedOn w:val="Normal"/>
    <w:link w:val="TableFooterChar"/>
    <w:qFormat/>
    <w:rsid w:val="00C7409E"/>
    <w:pPr>
      <w:widowControl w:val="0"/>
    </w:pPr>
    <w:rPr>
      <w:rFonts w:ascii="Arial Narrow" w:hAnsi="Arial Narrow" w:cs="Arial"/>
      <w:snapToGrid w:val="0"/>
      <w:sz w:val="18"/>
      <w:szCs w:val="22"/>
      <w:lang w:eastAsia="en-US"/>
    </w:rPr>
  </w:style>
  <w:style w:type="character" w:customStyle="1" w:styleId="TableFooterChar">
    <w:name w:val="Table Footer Char"/>
    <w:link w:val="TableFooter"/>
    <w:rsid w:val="00C7409E"/>
    <w:rPr>
      <w:rFonts w:ascii="Arial Narrow" w:hAnsi="Arial Narrow" w:cs="Arial"/>
      <w:snapToGrid w:val="0"/>
      <w:sz w:val="18"/>
      <w:szCs w:val="22"/>
      <w:lang w:eastAsia="en-US"/>
    </w:rPr>
  </w:style>
  <w:style w:type="character" w:customStyle="1" w:styleId="TabletextChar">
    <w:name w:val="Table text Char"/>
    <w:link w:val="Tabletext"/>
    <w:uiPriority w:val="2"/>
    <w:rsid w:val="00C7409E"/>
    <w:rPr>
      <w:rFonts w:ascii="Arial" w:hAnsi="Arial"/>
      <w:lang w:eastAsia="en-US"/>
    </w:rPr>
  </w:style>
  <w:style w:type="paragraph" w:customStyle="1" w:styleId="Bodytextitalics">
    <w:name w:val="Body text italics"/>
    <w:basedOn w:val="BodyText"/>
    <w:qFormat/>
    <w:rsid w:val="00E03912"/>
    <w:rPr>
      <w:rFonts w:asciiTheme="minorHAnsi" w:eastAsiaTheme="minorHAnsi" w:hAnsiTheme="minorHAnsi" w:cstheme="minorBidi"/>
      <w:i/>
      <w:szCs w:val="22"/>
    </w:rPr>
  </w:style>
  <w:style w:type="paragraph" w:styleId="BodyText">
    <w:name w:val="Body Text"/>
    <w:basedOn w:val="Normal"/>
    <w:link w:val="BodyTextChar"/>
    <w:semiHidden/>
    <w:unhideWhenUsed/>
    <w:rsid w:val="00E03912"/>
    <w:pPr>
      <w:spacing w:after="120"/>
    </w:pPr>
  </w:style>
  <w:style w:type="character" w:customStyle="1" w:styleId="BodyTextChar">
    <w:name w:val="Body Text Char"/>
    <w:basedOn w:val="DefaultParagraphFont"/>
    <w:link w:val="BodyText"/>
    <w:semiHidden/>
    <w:rsid w:val="00E03912"/>
    <w:rPr>
      <w:sz w:val="24"/>
      <w:szCs w:val="24"/>
    </w:rPr>
  </w:style>
  <w:style w:type="paragraph" w:styleId="Caption">
    <w:name w:val="caption"/>
    <w:basedOn w:val="Normal"/>
    <w:next w:val="Normal"/>
    <w:unhideWhenUsed/>
    <w:qFormat/>
    <w:rsid w:val="00BF092C"/>
    <w:pPr>
      <w:spacing w:after="200"/>
    </w:pPr>
    <w:rPr>
      <w:i/>
      <w:iCs/>
      <w:color w:val="000000" w:themeColor="text1"/>
      <w:sz w:val="18"/>
      <w:szCs w:val="18"/>
    </w:rPr>
  </w:style>
  <w:style w:type="paragraph" w:customStyle="1" w:styleId="ProcedureStep">
    <w:name w:val="ProcedureStep"/>
    <w:basedOn w:val="Normal"/>
    <w:rsid w:val="00BF27A0"/>
    <w:pPr>
      <w:numPr>
        <w:numId w:val="7"/>
      </w:numPr>
      <w:spacing w:before="60" w:after="60" w:line="300" w:lineRule="atLeast"/>
      <w:ind w:right="567"/>
    </w:pPr>
    <w:rPr>
      <w:rFonts w:ascii="Tahoma" w:hAnsi="Tahoma"/>
      <w:sz w:val="22"/>
      <w:szCs w:val="20"/>
    </w:rPr>
  </w:style>
  <w:style w:type="paragraph" w:customStyle="1" w:styleId="GeneralHeading">
    <w:name w:val="General Heading"/>
    <w:qFormat/>
    <w:rsid w:val="00446938"/>
    <w:pPr>
      <w:keepNext/>
      <w:spacing w:before="120" w:after="120"/>
      <w:ind w:left="720" w:hanging="720"/>
      <w:outlineLvl w:val="0"/>
    </w:pPr>
    <w:rPr>
      <w:rFonts w:ascii="Calibri" w:hAnsi="Calibri" w:cs="Arial"/>
      <w:b/>
      <w:snapToGrid w:val="0"/>
      <w:sz w:val="28"/>
      <w:szCs w:val="22"/>
    </w:rPr>
  </w:style>
  <w:style w:type="paragraph" w:customStyle="1" w:styleId="In-tableHeading">
    <w:name w:val="In-table Heading"/>
    <w:qFormat/>
    <w:rsid w:val="00446938"/>
    <w:pPr>
      <w:keepNext/>
    </w:pPr>
    <w:rPr>
      <w:rFonts w:ascii="Arial Narrow" w:eastAsiaTheme="majorEastAsia" w:hAnsi="Arial Narrow"/>
      <w:b/>
      <w:szCs w:val="24"/>
      <w:lang w:val="en-US"/>
    </w:rPr>
  </w:style>
  <w:style w:type="paragraph" w:customStyle="1" w:styleId="2-SectionHeading">
    <w:name w:val="2-Section Heading"/>
    <w:qFormat/>
    <w:rsid w:val="00446938"/>
    <w:pPr>
      <w:keepNext/>
      <w:numPr>
        <w:numId w:val="9"/>
      </w:numPr>
      <w:spacing w:before="240" w:after="120"/>
      <w:outlineLvl w:val="0"/>
    </w:pPr>
    <w:rPr>
      <w:rFonts w:asciiTheme="minorHAnsi" w:hAnsiTheme="minorHAnsi" w:cs="Arial"/>
      <w:b/>
      <w:snapToGrid w:val="0"/>
      <w:sz w:val="32"/>
      <w:szCs w:val="32"/>
    </w:rPr>
  </w:style>
  <w:style w:type="paragraph" w:customStyle="1" w:styleId="1-MainHeading">
    <w:name w:val="1-Main Heading"/>
    <w:link w:val="1-MainHeadingChar"/>
    <w:qFormat/>
    <w:rsid w:val="00446938"/>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446938"/>
    <w:rPr>
      <w:rFonts w:asciiTheme="minorHAnsi" w:eastAsiaTheme="majorEastAsia" w:hAnsiTheme="minorHAnsi" w:cstheme="majorBidi"/>
      <w:b/>
      <w:spacing w:val="5"/>
      <w:kern w:val="28"/>
      <w:sz w:val="36"/>
      <w:szCs w:val="36"/>
    </w:rPr>
  </w:style>
  <w:style w:type="paragraph" w:customStyle="1" w:styleId="TableFigureHeading">
    <w:name w:val="Table/Figure Heading"/>
    <w:link w:val="TableFigureHeadingChar"/>
    <w:qFormat/>
    <w:rsid w:val="00446938"/>
    <w:pPr>
      <w:keepNext/>
    </w:pPr>
    <w:rPr>
      <w:rFonts w:ascii="Arial Narrow" w:eastAsiaTheme="majorEastAsia" w:hAnsi="Arial Narrow" w:cstheme="majorBidi"/>
      <w:b/>
      <w:bCs/>
      <w:szCs w:val="24"/>
    </w:rPr>
  </w:style>
  <w:style w:type="character" w:customStyle="1" w:styleId="TableFigureHeadingChar">
    <w:name w:val="Table/Figure Heading Char"/>
    <w:basedOn w:val="DefaultParagraphFont"/>
    <w:link w:val="TableFigureHeading"/>
    <w:rsid w:val="00446938"/>
    <w:rPr>
      <w:rFonts w:ascii="Arial Narrow" w:eastAsiaTheme="majorEastAsia" w:hAnsi="Arial Narrow" w:cstheme="majorBidi"/>
      <w:b/>
      <w:bCs/>
      <w:szCs w:val="24"/>
    </w:rPr>
  </w:style>
  <w:style w:type="paragraph" w:customStyle="1" w:styleId="3-BodyText">
    <w:name w:val="3-Body Text"/>
    <w:link w:val="3-BodyTextChar"/>
    <w:qFormat/>
    <w:rsid w:val="00446938"/>
    <w:pPr>
      <w:numPr>
        <w:ilvl w:val="1"/>
        <w:numId w:val="3"/>
      </w:numPr>
      <w:spacing w:after="120"/>
      <w:jc w:val="both"/>
    </w:pPr>
    <w:rPr>
      <w:rFonts w:asciiTheme="minorHAnsi" w:eastAsiaTheme="minorHAnsi" w:hAnsiTheme="minorHAnsi" w:cstheme="minorBidi"/>
      <w:sz w:val="24"/>
      <w:szCs w:val="22"/>
    </w:rPr>
  </w:style>
  <w:style w:type="character" w:customStyle="1" w:styleId="3-BodyTextChar">
    <w:name w:val="3-Body Text Char"/>
    <w:basedOn w:val="ListParagraphChar"/>
    <w:link w:val="3-BodyText"/>
    <w:rsid w:val="00446938"/>
    <w:rPr>
      <w:rFonts w:asciiTheme="minorHAnsi" w:eastAsiaTheme="minorHAnsi" w:hAnsiTheme="minorHAnsi" w:cstheme="minorBidi"/>
      <w:snapToGrid/>
      <w:sz w:val="24"/>
      <w:szCs w:val="22"/>
    </w:rPr>
  </w:style>
  <w:style w:type="paragraph" w:customStyle="1" w:styleId="PageFooter">
    <w:name w:val="Page Footer"/>
    <w:basedOn w:val="Normal"/>
    <w:link w:val="PageFooterChar"/>
    <w:qFormat/>
    <w:rsid w:val="00446938"/>
    <w:pPr>
      <w:keepNext/>
      <w:tabs>
        <w:tab w:val="center" w:pos="4153"/>
        <w:tab w:val="center" w:pos="4513"/>
        <w:tab w:val="right" w:pos="8306"/>
        <w:tab w:val="right" w:pos="9026"/>
      </w:tabs>
      <w:jc w:val="center"/>
    </w:pPr>
    <w:rPr>
      <w:rFonts w:cs="Arial"/>
      <w:b/>
    </w:rPr>
  </w:style>
  <w:style w:type="character" w:customStyle="1" w:styleId="PageFooterChar">
    <w:name w:val="Page Footer Char"/>
    <w:basedOn w:val="DefaultParagraphFont"/>
    <w:link w:val="PageFooter"/>
    <w:rsid w:val="00446938"/>
    <w:rPr>
      <w:rFonts w:ascii="Calibri" w:hAnsi="Calibri" w:cs="Arial"/>
      <w:b/>
      <w:sz w:val="24"/>
      <w:szCs w:val="24"/>
    </w:rPr>
  </w:style>
  <w:style w:type="paragraph" w:customStyle="1" w:styleId="TableFigureFooter">
    <w:name w:val="Table/Figure Footer"/>
    <w:basedOn w:val="Normal"/>
    <w:link w:val="TableFigureFooterChar"/>
    <w:qFormat/>
    <w:rsid w:val="00446938"/>
    <w:pPr>
      <w:spacing w:after="120"/>
      <w:contextualSpacing/>
    </w:pPr>
    <w:rPr>
      <w:rFonts w:ascii="Arial Narrow" w:hAnsi="Arial Narrow" w:cs="Arial"/>
      <w:snapToGrid w:val="0"/>
      <w:sz w:val="18"/>
      <w:szCs w:val="22"/>
    </w:rPr>
  </w:style>
  <w:style w:type="character" w:customStyle="1" w:styleId="TableFigureFooterChar">
    <w:name w:val="Table/Figure Footer Char"/>
    <w:link w:val="TableFigureFooter"/>
    <w:rsid w:val="00446938"/>
    <w:rPr>
      <w:rFonts w:ascii="Arial Narrow" w:hAnsi="Arial Narrow" w:cs="Arial"/>
      <w:snapToGrid w:val="0"/>
      <w:sz w:val="18"/>
      <w:szCs w:val="22"/>
    </w:rPr>
  </w:style>
  <w:style w:type="paragraph" w:customStyle="1" w:styleId="4-SubsectionHeading">
    <w:name w:val="4-Subsection Heading"/>
    <w:basedOn w:val="Heading2"/>
    <w:next w:val="3-BodyText"/>
    <w:link w:val="4-SubsectionHeadingChar"/>
    <w:qFormat/>
    <w:rsid w:val="00446938"/>
    <w:pPr>
      <w:spacing w:before="120" w:after="120"/>
    </w:pPr>
    <w:rPr>
      <w:rFonts w:asciiTheme="minorHAnsi" w:eastAsiaTheme="majorEastAsia" w:hAnsiTheme="minorHAnsi" w:cstheme="majorBidi"/>
      <w:spacing w:val="5"/>
      <w:kern w:val="28"/>
      <w:sz w:val="28"/>
      <w:szCs w:val="36"/>
    </w:rPr>
  </w:style>
  <w:style w:type="character" w:customStyle="1" w:styleId="4-SubsectionHeadingChar">
    <w:name w:val="4-Subsection Heading Char"/>
    <w:basedOn w:val="Heading2Char"/>
    <w:link w:val="4-SubsectionHeading"/>
    <w:rsid w:val="00446938"/>
    <w:rPr>
      <w:rFonts w:asciiTheme="minorHAnsi" w:eastAsiaTheme="majorEastAsia" w:hAnsiTheme="minorHAnsi" w:cstheme="majorBidi"/>
      <w:b/>
      <w:i/>
      <w:spacing w:val="5"/>
      <w:kern w:val="28"/>
      <w:sz w:val="28"/>
      <w:szCs w:val="36"/>
    </w:rPr>
  </w:style>
  <w:style w:type="paragraph" w:customStyle="1" w:styleId="5-SubsectionSubheading">
    <w:name w:val="5-Subsection Subheading"/>
    <w:basedOn w:val="Heading3"/>
    <w:next w:val="3-BodyText"/>
    <w:link w:val="5-SubsectionSubheadingChar"/>
    <w:qFormat/>
    <w:rsid w:val="00446938"/>
    <w:pPr>
      <w:spacing w:before="40"/>
    </w:pPr>
    <w:rPr>
      <w:rFonts w:asciiTheme="minorHAnsi" w:hAnsiTheme="minorHAnsi"/>
      <w:bCs w:val="0"/>
      <w:color w:val="000000" w:themeColor="text1"/>
    </w:rPr>
  </w:style>
  <w:style w:type="character" w:customStyle="1" w:styleId="5-SubsectionSubheadingChar">
    <w:name w:val="5-Subsection Subheading Char"/>
    <w:basedOn w:val="Heading3Char"/>
    <w:link w:val="5-SubsectionSubheading"/>
    <w:rsid w:val="00446938"/>
    <w:rPr>
      <w:rFonts w:asciiTheme="minorHAnsi" w:eastAsiaTheme="majorEastAsia" w:hAnsiTheme="minorHAnsi" w:cstheme="majorBidi"/>
      <w:b/>
      <w:bCs w:val="0"/>
      <w:color w:val="000000" w:themeColor="text1"/>
      <w:sz w:val="24"/>
      <w:szCs w:val="24"/>
    </w:rPr>
  </w:style>
  <w:style w:type="paragraph" w:styleId="ListBullet">
    <w:name w:val="List Bullet"/>
    <w:basedOn w:val="Normal"/>
    <w:unhideWhenUsed/>
    <w:rsid w:val="006F40C2"/>
    <w:pPr>
      <w:numPr>
        <w:numId w:val="8"/>
      </w:numPr>
      <w:contextualSpacing/>
    </w:pPr>
  </w:style>
  <w:style w:type="paragraph" w:styleId="Revision">
    <w:name w:val="Revision"/>
    <w:hidden/>
    <w:uiPriority w:val="71"/>
    <w:semiHidden/>
    <w:rsid w:val="00DF021D"/>
    <w:rPr>
      <w:rFonts w:ascii="Calibri" w:hAnsi="Calibri"/>
      <w:sz w:val="24"/>
      <w:szCs w:val="24"/>
    </w:rPr>
  </w:style>
  <w:style w:type="paragraph" w:customStyle="1" w:styleId="Default">
    <w:name w:val="Default"/>
    <w:rsid w:val="000B7767"/>
    <w:pPr>
      <w:autoSpaceDE w:val="0"/>
      <w:autoSpaceDN w:val="0"/>
      <w:adjustRightInd w:val="0"/>
    </w:pPr>
    <w:rPr>
      <w:rFonts w:ascii="Calibri" w:hAnsi="Calibri" w:cs="Calibri"/>
      <w:color w:val="000000"/>
      <w:sz w:val="24"/>
      <w:szCs w:val="24"/>
    </w:rPr>
  </w:style>
  <w:style w:type="character" w:customStyle="1" w:styleId="EndNoteBibliographyChar">
    <w:name w:val="EndNote Bibliography Char"/>
    <w:basedOn w:val="DefaultParagraphFont"/>
    <w:link w:val="EndNoteBibliography"/>
    <w:locked/>
    <w:rsid w:val="00463A26"/>
    <w:rPr>
      <w:rFonts w:ascii="Calibri" w:eastAsiaTheme="minorHAnsi" w:hAnsi="Calibri" w:cstheme="minorBidi"/>
      <w:noProof/>
      <w:sz w:val="24"/>
      <w:szCs w:val="22"/>
      <w:lang w:val="en-US" w:eastAsia="en-US"/>
    </w:rPr>
  </w:style>
  <w:style w:type="paragraph" w:customStyle="1" w:styleId="EndNoteBibliography">
    <w:name w:val="EndNote Bibliography"/>
    <w:basedOn w:val="Normal"/>
    <w:link w:val="EndNoteBibliographyChar"/>
    <w:qFormat/>
    <w:rsid w:val="00463A26"/>
    <w:pPr>
      <w:spacing w:after="240"/>
      <w:jc w:val="left"/>
    </w:pPr>
    <w:rPr>
      <w:rFonts w:eastAsiaTheme="minorHAnsi" w:cstheme="minorBidi"/>
      <w:noProof/>
      <w:szCs w:val="22"/>
      <w:lang w:val="en-US" w:eastAsia="en-US"/>
    </w:rPr>
  </w:style>
  <w:style w:type="character" w:customStyle="1" w:styleId="SmallBold">
    <w:name w:val="Small Bold"/>
    <w:basedOn w:val="DefaultParagraphFont"/>
    <w:uiPriority w:val="4"/>
    <w:qFormat/>
    <w:rsid w:val="0080534D"/>
    <w:rPr>
      <w:rFonts w:ascii="Candara" w:hAnsi="Candara" w:hint="default"/>
      <w:b/>
      <w:bCs w:val="0"/>
      <w:sz w:val="20"/>
      <w:lang w:val="en-AU"/>
    </w:rPr>
  </w:style>
  <w:style w:type="paragraph" w:customStyle="1" w:styleId="ListBullets">
    <w:name w:val="List Bullets"/>
    <w:basedOn w:val="Normal"/>
    <w:qFormat/>
    <w:rsid w:val="00F5347B"/>
    <w:pPr>
      <w:numPr>
        <w:numId w:val="11"/>
      </w:numPr>
      <w:spacing w:after="240" w:line="276" w:lineRule="auto"/>
      <w:ind w:left="357" w:hanging="357"/>
      <w:contextualSpacing/>
      <w:jc w:val="left"/>
    </w:pPr>
    <w:rPr>
      <w:rFonts w:eastAsiaTheme="majorEastAsia" w:cstheme="majorBidi"/>
      <w:szCs w:val="22"/>
      <w:lang w:eastAsia="en-US" w:bidi="en-US"/>
    </w:rPr>
  </w:style>
  <w:style w:type="paragraph" w:customStyle="1" w:styleId="TableLeft">
    <w:name w:val="Table Left"/>
    <w:basedOn w:val="Normal"/>
    <w:link w:val="TableLeftChar"/>
    <w:uiPriority w:val="5"/>
    <w:qFormat/>
    <w:rsid w:val="00F5347B"/>
    <w:pPr>
      <w:jc w:val="left"/>
    </w:pPr>
    <w:rPr>
      <w:rFonts w:eastAsiaTheme="majorEastAsia" w:cstheme="majorBidi"/>
      <w:sz w:val="20"/>
      <w:szCs w:val="22"/>
      <w:lang w:eastAsia="en-US" w:bidi="en-US"/>
    </w:rPr>
  </w:style>
  <w:style w:type="character" w:customStyle="1" w:styleId="TableLeftChar">
    <w:name w:val="Table Left Char"/>
    <w:basedOn w:val="DefaultParagraphFont"/>
    <w:link w:val="TableLeft"/>
    <w:uiPriority w:val="5"/>
    <w:rsid w:val="00F5347B"/>
    <w:rPr>
      <w:rFonts w:ascii="Calibri" w:eastAsiaTheme="majorEastAsia" w:hAnsi="Calibri" w:cstheme="majorBidi"/>
      <w:szCs w:val="22"/>
      <w:lang w:eastAsia="en-US" w:bidi="en-US"/>
    </w:rPr>
  </w:style>
  <w:style w:type="paragraph" w:customStyle="1" w:styleId="TableBullets">
    <w:name w:val="Table Bullets"/>
    <w:basedOn w:val="TableLeft"/>
    <w:uiPriority w:val="5"/>
    <w:qFormat/>
    <w:rsid w:val="00F5347B"/>
    <w:pPr>
      <w:numPr>
        <w:numId w:val="12"/>
      </w:numPr>
      <w:ind w:left="470" w:hanging="357"/>
    </w:pPr>
  </w:style>
  <w:style w:type="character" w:styleId="FootnoteReference">
    <w:name w:val="footnote reference"/>
    <w:basedOn w:val="DefaultParagraphFont"/>
    <w:semiHidden/>
    <w:unhideWhenUsed/>
    <w:rsid w:val="008D68BB"/>
    <w:rPr>
      <w:vertAlign w:val="superscript"/>
    </w:rPr>
  </w:style>
  <w:style w:type="paragraph" w:customStyle="1" w:styleId="NormalNoSpace">
    <w:name w:val="Normal NoSpace"/>
    <w:basedOn w:val="Normal"/>
    <w:qFormat/>
    <w:rsid w:val="008D68BB"/>
    <w:pPr>
      <w:spacing w:line="276" w:lineRule="auto"/>
      <w:jc w:val="left"/>
    </w:pPr>
    <w:rPr>
      <w:rFonts w:eastAsiaTheme="majorEastAsia" w:cstheme="majorBidi"/>
      <w:szCs w:val="22"/>
      <w:lang w:eastAsia="en-US" w:bidi="en-US"/>
    </w:rPr>
  </w:style>
  <w:style w:type="paragraph" w:customStyle="1" w:styleId="3-SubsectionHeading">
    <w:name w:val="3-Subsection Heading"/>
    <w:basedOn w:val="Heading2"/>
    <w:next w:val="Normal"/>
    <w:link w:val="3-SubsectionHeadingChar"/>
    <w:qFormat/>
    <w:rsid w:val="008C59AA"/>
    <w:pPr>
      <w:spacing w:before="120" w:after="120"/>
      <w:outlineLvl w:val="9"/>
    </w:pPr>
    <w:rPr>
      <w:rFonts w:asciiTheme="minorHAnsi" w:eastAsiaTheme="majorEastAsia" w:hAnsiTheme="minorHAnsi" w:cstheme="majorBidi"/>
      <w:spacing w:val="5"/>
      <w:kern w:val="28"/>
      <w:sz w:val="28"/>
      <w:szCs w:val="36"/>
      <w:lang w:eastAsia="en-US"/>
    </w:rPr>
  </w:style>
  <w:style w:type="character" w:customStyle="1" w:styleId="3-SubsectionHeadingChar">
    <w:name w:val="3-Subsection Heading Char"/>
    <w:basedOn w:val="Heading2Char"/>
    <w:link w:val="3-SubsectionHeading"/>
    <w:rsid w:val="008C59AA"/>
    <w:rPr>
      <w:rFonts w:asciiTheme="minorHAnsi" w:eastAsiaTheme="majorEastAsia" w:hAnsiTheme="minorHAnsi" w:cstheme="majorBidi"/>
      <w:b/>
      <w:i/>
      <w:spacing w:val="5"/>
      <w:kern w:val="28"/>
      <w:sz w:val="28"/>
      <w:szCs w:val="3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947954">
      <w:bodyDiv w:val="1"/>
      <w:marLeft w:val="0"/>
      <w:marRight w:val="0"/>
      <w:marTop w:val="0"/>
      <w:marBottom w:val="0"/>
      <w:divBdr>
        <w:top w:val="none" w:sz="0" w:space="0" w:color="auto"/>
        <w:left w:val="none" w:sz="0" w:space="0" w:color="auto"/>
        <w:bottom w:val="none" w:sz="0" w:space="0" w:color="auto"/>
        <w:right w:val="none" w:sz="0" w:space="0" w:color="auto"/>
      </w:divBdr>
    </w:div>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64451384">
      <w:bodyDiv w:val="1"/>
      <w:marLeft w:val="0"/>
      <w:marRight w:val="0"/>
      <w:marTop w:val="0"/>
      <w:marBottom w:val="0"/>
      <w:divBdr>
        <w:top w:val="none" w:sz="0" w:space="0" w:color="auto"/>
        <w:left w:val="none" w:sz="0" w:space="0" w:color="auto"/>
        <w:bottom w:val="none" w:sz="0" w:space="0" w:color="auto"/>
        <w:right w:val="none" w:sz="0" w:space="0" w:color="auto"/>
      </w:divBdr>
    </w:div>
    <w:div w:id="84805399">
      <w:bodyDiv w:val="1"/>
      <w:marLeft w:val="0"/>
      <w:marRight w:val="0"/>
      <w:marTop w:val="0"/>
      <w:marBottom w:val="0"/>
      <w:divBdr>
        <w:top w:val="none" w:sz="0" w:space="0" w:color="auto"/>
        <w:left w:val="none" w:sz="0" w:space="0" w:color="auto"/>
        <w:bottom w:val="none" w:sz="0" w:space="0" w:color="auto"/>
        <w:right w:val="none" w:sz="0" w:space="0" w:color="auto"/>
      </w:divBdr>
    </w:div>
    <w:div w:id="122694238">
      <w:bodyDiv w:val="1"/>
      <w:marLeft w:val="0"/>
      <w:marRight w:val="0"/>
      <w:marTop w:val="0"/>
      <w:marBottom w:val="0"/>
      <w:divBdr>
        <w:top w:val="none" w:sz="0" w:space="0" w:color="auto"/>
        <w:left w:val="none" w:sz="0" w:space="0" w:color="auto"/>
        <w:bottom w:val="none" w:sz="0" w:space="0" w:color="auto"/>
        <w:right w:val="none" w:sz="0" w:space="0" w:color="auto"/>
      </w:divBdr>
    </w:div>
    <w:div w:id="271713479">
      <w:bodyDiv w:val="1"/>
      <w:marLeft w:val="0"/>
      <w:marRight w:val="0"/>
      <w:marTop w:val="0"/>
      <w:marBottom w:val="0"/>
      <w:divBdr>
        <w:top w:val="none" w:sz="0" w:space="0" w:color="auto"/>
        <w:left w:val="none" w:sz="0" w:space="0" w:color="auto"/>
        <w:bottom w:val="none" w:sz="0" w:space="0" w:color="auto"/>
        <w:right w:val="none" w:sz="0" w:space="0" w:color="auto"/>
      </w:divBdr>
    </w:div>
    <w:div w:id="395930387">
      <w:bodyDiv w:val="1"/>
      <w:marLeft w:val="0"/>
      <w:marRight w:val="0"/>
      <w:marTop w:val="0"/>
      <w:marBottom w:val="0"/>
      <w:divBdr>
        <w:top w:val="none" w:sz="0" w:space="0" w:color="auto"/>
        <w:left w:val="none" w:sz="0" w:space="0" w:color="auto"/>
        <w:bottom w:val="none" w:sz="0" w:space="0" w:color="auto"/>
        <w:right w:val="none" w:sz="0" w:space="0" w:color="auto"/>
      </w:divBdr>
    </w:div>
    <w:div w:id="417101693">
      <w:bodyDiv w:val="1"/>
      <w:marLeft w:val="0"/>
      <w:marRight w:val="0"/>
      <w:marTop w:val="0"/>
      <w:marBottom w:val="0"/>
      <w:divBdr>
        <w:top w:val="none" w:sz="0" w:space="0" w:color="auto"/>
        <w:left w:val="none" w:sz="0" w:space="0" w:color="auto"/>
        <w:bottom w:val="none" w:sz="0" w:space="0" w:color="auto"/>
        <w:right w:val="none" w:sz="0" w:space="0" w:color="auto"/>
      </w:divBdr>
    </w:div>
    <w:div w:id="559678510">
      <w:bodyDiv w:val="1"/>
      <w:marLeft w:val="0"/>
      <w:marRight w:val="0"/>
      <w:marTop w:val="0"/>
      <w:marBottom w:val="0"/>
      <w:divBdr>
        <w:top w:val="none" w:sz="0" w:space="0" w:color="auto"/>
        <w:left w:val="none" w:sz="0" w:space="0" w:color="auto"/>
        <w:bottom w:val="none" w:sz="0" w:space="0" w:color="auto"/>
        <w:right w:val="none" w:sz="0" w:space="0" w:color="auto"/>
      </w:divBdr>
    </w:div>
    <w:div w:id="605504948">
      <w:bodyDiv w:val="1"/>
      <w:marLeft w:val="0"/>
      <w:marRight w:val="0"/>
      <w:marTop w:val="0"/>
      <w:marBottom w:val="0"/>
      <w:divBdr>
        <w:top w:val="none" w:sz="0" w:space="0" w:color="auto"/>
        <w:left w:val="none" w:sz="0" w:space="0" w:color="auto"/>
        <w:bottom w:val="none" w:sz="0" w:space="0" w:color="auto"/>
        <w:right w:val="none" w:sz="0" w:space="0" w:color="auto"/>
      </w:divBdr>
    </w:div>
    <w:div w:id="753667543">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865482256">
      <w:bodyDiv w:val="1"/>
      <w:marLeft w:val="0"/>
      <w:marRight w:val="0"/>
      <w:marTop w:val="0"/>
      <w:marBottom w:val="0"/>
      <w:divBdr>
        <w:top w:val="none" w:sz="0" w:space="0" w:color="auto"/>
        <w:left w:val="none" w:sz="0" w:space="0" w:color="auto"/>
        <w:bottom w:val="none" w:sz="0" w:space="0" w:color="auto"/>
        <w:right w:val="none" w:sz="0" w:space="0" w:color="auto"/>
      </w:divBdr>
    </w:div>
    <w:div w:id="962998671">
      <w:bodyDiv w:val="1"/>
      <w:marLeft w:val="0"/>
      <w:marRight w:val="0"/>
      <w:marTop w:val="0"/>
      <w:marBottom w:val="0"/>
      <w:divBdr>
        <w:top w:val="none" w:sz="0" w:space="0" w:color="auto"/>
        <w:left w:val="none" w:sz="0" w:space="0" w:color="auto"/>
        <w:bottom w:val="none" w:sz="0" w:space="0" w:color="auto"/>
        <w:right w:val="none" w:sz="0" w:space="0" w:color="auto"/>
      </w:divBdr>
    </w:div>
    <w:div w:id="1183588103">
      <w:bodyDiv w:val="1"/>
      <w:marLeft w:val="0"/>
      <w:marRight w:val="0"/>
      <w:marTop w:val="0"/>
      <w:marBottom w:val="0"/>
      <w:divBdr>
        <w:top w:val="none" w:sz="0" w:space="0" w:color="auto"/>
        <w:left w:val="none" w:sz="0" w:space="0" w:color="auto"/>
        <w:bottom w:val="none" w:sz="0" w:space="0" w:color="auto"/>
        <w:right w:val="none" w:sz="0" w:space="0" w:color="auto"/>
      </w:divBdr>
    </w:div>
    <w:div w:id="1191991561">
      <w:bodyDiv w:val="1"/>
      <w:marLeft w:val="0"/>
      <w:marRight w:val="0"/>
      <w:marTop w:val="0"/>
      <w:marBottom w:val="0"/>
      <w:divBdr>
        <w:top w:val="none" w:sz="0" w:space="0" w:color="auto"/>
        <w:left w:val="none" w:sz="0" w:space="0" w:color="auto"/>
        <w:bottom w:val="none" w:sz="0" w:space="0" w:color="auto"/>
        <w:right w:val="none" w:sz="0" w:space="0" w:color="auto"/>
      </w:divBdr>
    </w:div>
    <w:div w:id="1259756296">
      <w:bodyDiv w:val="1"/>
      <w:marLeft w:val="0"/>
      <w:marRight w:val="0"/>
      <w:marTop w:val="0"/>
      <w:marBottom w:val="0"/>
      <w:divBdr>
        <w:top w:val="none" w:sz="0" w:space="0" w:color="auto"/>
        <w:left w:val="none" w:sz="0" w:space="0" w:color="auto"/>
        <w:bottom w:val="none" w:sz="0" w:space="0" w:color="auto"/>
        <w:right w:val="none" w:sz="0" w:space="0" w:color="auto"/>
      </w:divBdr>
    </w:div>
    <w:div w:id="1263613129">
      <w:bodyDiv w:val="1"/>
      <w:marLeft w:val="0"/>
      <w:marRight w:val="0"/>
      <w:marTop w:val="0"/>
      <w:marBottom w:val="0"/>
      <w:divBdr>
        <w:top w:val="none" w:sz="0" w:space="0" w:color="auto"/>
        <w:left w:val="none" w:sz="0" w:space="0" w:color="auto"/>
        <w:bottom w:val="none" w:sz="0" w:space="0" w:color="auto"/>
        <w:right w:val="none" w:sz="0" w:space="0" w:color="auto"/>
      </w:divBdr>
    </w:div>
    <w:div w:id="1306548319">
      <w:bodyDiv w:val="1"/>
      <w:marLeft w:val="0"/>
      <w:marRight w:val="0"/>
      <w:marTop w:val="0"/>
      <w:marBottom w:val="0"/>
      <w:divBdr>
        <w:top w:val="none" w:sz="0" w:space="0" w:color="auto"/>
        <w:left w:val="none" w:sz="0" w:space="0" w:color="auto"/>
        <w:bottom w:val="none" w:sz="0" w:space="0" w:color="auto"/>
        <w:right w:val="none" w:sz="0" w:space="0" w:color="auto"/>
      </w:divBdr>
    </w:div>
    <w:div w:id="1342197664">
      <w:bodyDiv w:val="1"/>
      <w:marLeft w:val="0"/>
      <w:marRight w:val="0"/>
      <w:marTop w:val="0"/>
      <w:marBottom w:val="0"/>
      <w:divBdr>
        <w:top w:val="none" w:sz="0" w:space="0" w:color="auto"/>
        <w:left w:val="none" w:sz="0" w:space="0" w:color="auto"/>
        <w:bottom w:val="none" w:sz="0" w:space="0" w:color="auto"/>
        <w:right w:val="none" w:sz="0" w:space="0" w:color="auto"/>
      </w:divBdr>
    </w:div>
    <w:div w:id="1548684218">
      <w:bodyDiv w:val="1"/>
      <w:marLeft w:val="0"/>
      <w:marRight w:val="0"/>
      <w:marTop w:val="0"/>
      <w:marBottom w:val="0"/>
      <w:divBdr>
        <w:top w:val="none" w:sz="0" w:space="0" w:color="auto"/>
        <w:left w:val="none" w:sz="0" w:space="0" w:color="auto"/>
        <w:bottom w:val="none" w:sz="0" w:space="0" w:color="auto"/>
        <w:right w:val="none" w:sz="0" w:space="0" w:color="auto"/>
      </w:divBdr>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742676564">
      <w:bodyDiv w:val="1"/>
      <w:marLeft w:val="0"/>
      <w:marRight w:val="0"/>
      <w:marTop w:val="0"/>
      <w:marBottom w:val="0"/>
      <w:divBdr>
        <w:top w:val="none" w:sz="0" w:space="0" w:color="auto"/>
        <w:left w:val="none" w:sz="0" w:space="0" w:color="auto"/>
        <w:bottom w:val="none" w:sz="0" w:space="0" w:color="auto"/>
        <w:right w:val="none" w:sz="0" w:space="0" w:color="auto"/>
      </w:divBdr>
    </w:div>
    <w:div w:id="1891531523">
      <w:bodyDiv w:val="1"/>
      <w:marLeft w:val="0"/>
      <w:marRight w:val="0"/>
      <w:marTop w:val="0"/>
      <w:marBottom w:val="0"/>
      <w:divBdr>
        <w:top w:val="none" w:sz="0" w:space="0" w:color="auto"/>
        <w:left w:val="none" w:sz="0" w:space="0" w:color="auto"/>
        <w:bottom w:val="none" w:sz="0" w:space="0" w:color="auto"/>
        <w:right w:val="none" w:sz="0" w:space="0" w:color="auto"/>
      </w:divBdr>
    </w:div>
    <w:div w:id="1892837688">
      <w:bodyDiv w:val="1"/>
      <w:marLeft w:val="0"/>
      <w:marRight w:val="0"/>
      <w:marTop w:val="0"/>
      <w:marBottom w:val="0"/>
      <w:divBdr>
        <w:top w:val="none" w:sz="0" w:space="0" w:color="auto"/>
        <w:left w:val="none" w:sz="0" w:space="0" w:color="auto"/>
        <w:bottom w:val="none" w:sz="0" w:space="0" w:color="auto"/>
        <w:right w:val="none" w:sz="0" w:space="0" w:color="auto"/>
      </w:divBdr>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 w:id="1978029779">
      <w:bodyDiv w:val="1"/>
      <w:marLeft w:val="0"/>
      <w:marRight w:val="0"/>
      <w:marTop w:val="0"/>
      <w:marBottom w:val="0"/>
      <w:divBdr>
        <w:top w:val="none" w:sz="0" w:space="0" w:color="auto"/>
        <w:left w:val="none" w:sz="0" w:space="0" w:color="auto"/>
        <w:bottom w:val="none" w:sz="0" w:space="0" w:color="auto"/>
        <w:right w:val="none" w:sz="0" w:space="0" w:color="auto"/>
      </w:divBdr>
    </w:div>
    <w:div w:id="2091001195">
      <w:bodyDiv w:val="1"/>
      <w:marLeft w:val="0"/>
      <w:marRight w:val="0"/>
      <w:marTop w:val="0"/>
      <w:marBottom w:val="0"/>
      <w:divBdr>
        <w:top w:val="none" w:sz="0" w:space="0" w:color="auto"/>
        <w:left w:val="none" w:sz="0" w:space="0" w:color="auto"/>
        <w:bottom w:val="none" w:sz="0" w:space="0" w:color="auto"/>
        <w:right w:val="none" w:sz="0" w:space="0" w:color="auto"/>
      </w:divBdr>
    </w:div>
    <w:div w:id="2098478299">
      <w:bodyDiv w:val="1"/>
      <w:marLeft w:val="0"/>
      <w:marRight w:val="0"/>
      <w:marTop w:val="0"/>
      <w:marBottom w:val="0"/>
      <w:divBdr>
        <w:top w:val="none" w:sz="0" w:space="0" w:color="auto"/>
        <w:left w:val="none" w:sz="0" w:space="0" w:color="auto"/>
        <w:bottom w:val="none" w:sz="0" w:space="0" w:color="auto"/>
        <w:right w:val="none" w:sz="0" w:space="0" w:color="auto"/>
      </w:divBdr>
    </w:div>
    <w:div w:id="2113669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43FDE8-11B3-449D-9CD2-B34858FF31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2006</Words>
  <Characters>10243</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2022-02-22T23:07:00Z</dcterms:created>
  <dcterms:modified xsi:type="dcterms:W3CDTF">2022-02-22T23:12:00Z</dcterms:modified>
</cp:coreProperties>
</file>