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BE01E" w14:textId="17A34BC8" w:rsidR="00E374F0" w:rsidRPr="00906719" w:rsidRDefault="00160932" w:rsidP="00E374F0">
      <w:pPr>
        <w:pStyle w:val="1-MainHeading"/>
        <w:spacing w:before="0" w:after="0"/>
        <w:jc w:val="left"/>
        <w:rPr>
          <w:rFonts w:cs="Arial"/>
          <w:color w:val="000000" w:themeColor="text1"/>
        </w:rPr>
      </w:pPr>
      <w:bookmarkStart w:id="0" w:name="_Toc93506443"/>
      <w:bookmarkStart w:id="1" w:name="_Toc22897637"/>
      <w:bookmarkStart w:id="2" w:name="_Toc22898843"/>
      <w:bookmarkStart w:id="3" w:name="_Toc22898867"/>
      <w:r w:rsidRPr="00906719">
        <w:rPr>
          <w:rFonts w:cs="Arial"/>
          <w:color w:val="000000" w:themeColor="text1"/>
        </w:rPr>
        <w:t>6</w:t>
      </w:r>
      <w:r w:rsidR="00E374F0" w:rsidRPr="00906719">
        <w:rPr>
          <w:rFonts w:cs="Arial"/>
          <w:color w:val="000000" w:themeColor="text1"/>
        </w:rPr>
        <w:t>.</w:t>
      </w:r>
      <w:r w:rsidRPr="00906719">
        <w:rPr>
          <w:rFonts w:cs="Arial"/>
          <w:color w:val="000000" w:themeColor="text1"/>
        </w:rPr>
        <w:t>02</w:t>
      </w:r>
      <w:r w:rsidR="00080CFD">
        <w:rPr>
          <w:rFonts w:cs="Arial"/>
          <w:color w:val="000000" w:themeColor="text1"/>
        </w:rPr>
        <w:t xml:space="preserve"> </w:t>
      </w:r>
      <w:r w:rsidR="00E374F0" w:rsidRPr="00906719">
        <w:rPr>
          <w:rFonts w:cs="Arial"/>
          <w:color w:val="000000" w:themeColor="text1"/>
        </w:rPr>
        <w:t>BECLOMETASONE WITH FORM</w:t>
      </w:r>
      <w:r w:rsidR="00771A42">
        <w:rPr>
          <w:rFonts w:cs="Arial"/>
          <w:color w:val="000000" w:themeColor="text1"/>
        </w:rPr>
        <w:t>O</w:t>
      </w:r>
      <w:r w:rsidR="00E374F0" w:rsidRPr="00906719">
        <w:rPr>
          <w:rFonts w:cs="Arial"/>
          <w:color w:val="000000" w:themeColor="text1"/>
        </w:rPr>
        <w:t>TEROL,</w:t>
      </w:r>
      <w:bookmarkEnd w:id="0"/>
    </w:p>
    <w:p w14:paraId="0C01CF85" w14:textId="047BB43F" w:rsidR="00E374F0" w:rsidRPr="00F46E6C" w:rsidRDefault="00E374F0" w:rsidP="00A40B6A">
      <w:pPr>
        <w:pStyle w:val="NoSpacing"/>
        <w:ind w:left="720"/>
        <w:jc w:val="left"/>
        <w:rPr>
          <w:rStyle w:val="MainBodyTextEmphasiswithBold"/>
          <w:rFonts w:asciiTheme="minorHAnsi" w:hAnsiTheme="minorHAnsi"/>
          <w:color w:val="000000" w:themeColor="text1"/>
          <w:sz w:val="36"/>
          <w:szCs w:val="36"/>
        </w:rPr>
      </w:pPr>
      <w:r w:rsidRPr="00F46E6C">
        <w:rPr>
          <w:rStyle w:val="MainBodyTextEmphasiswithBold"/>
          <w:rFonts w:asciiTheme="minorHAnsi" w:hAnsiTheme="minorHAnsi"/>
          <w:color w:val="000000" w:themeColor="text1"/>
          <w:sz w:val="36"/>
          <w:szCs w:val="36"/>
        </w:rPr>
        <w:t>Pressurised inhalation containing beclometasone dipropionate 100 micrograms</w:t>
      </w:r>
      <w:r w:rsidR="005C1634" w:rsidRPr="00F46E6C">
        <w:rPr>
          <w:rStyle w:val="MainBodyTextEmphasiswithBold"/>
          <w:rFonts w:asciiTheme="minorHAnsi" w:hAnsiTheme="minorHAnsi"/>
          <w:color w:val="000000" w:themeColor="text1"/>
          <w:sz w:val="36"/>
          <w:szCs w:val="36"/>
        </w:rPr>
        <w:t xml:space="preserve"> and </w:t>
      </w:r>
      <w:r w:rsidRPr="00F46E6C">
        <w:rPr>
          <w:rStyle w:val="MainBodyTextEmphasiswithBold"/>
          <w:rFonts w:asciiTheme="minorHAnsi" w:hAnsiTheme="minorHAnsi"/>
          <w:color w:val="000000" w:themeColor="text1"/>
          <w:sz w:val="36"/>
          <w:szCs w:val="36"/>
        </w:rPr>
        <w:t xml:space="preserve">formoterol fumarate dihydrate 6 micrograms per dose, 120 </w:t>
      </w:r>
      <w:proofErr w:type="gramStart"/>
      <w:r w:rsidRPr="00F46E6C">
        <w:rPr>
          <w:rStyle w:val="MainBodyTextEmphasiswithBold"/>
          <w:rFonts w:asciiTheme="minorHAnsi" w:hAnsiTheme="minorHAnsi"/>
          <w:color w:val="000000" w:themeColor="text1"/>
          <w:sz w:val="36"/>
          <w:szCs w:val="36"/>
        </w:rPr>
        <w:t>dose</w:t>
      </w:r>
      <w:proofErr w:type="gramEnd"/>
      <w:r w:rsidRPr="00F46E6C">
        <w:rPr>
          <w:rStyle w:val="MainBodyTextEmphasiswithBold"/>
          <w:rFonts w:asciiTheme="minorHAnsi" w:hAnsiTheme="minorHAnsi"/>
          <w:color w:val="000000" w:themeColor="text1"/>
          <w:sz w:val="36"/>
          <w:szCs w:val="36"/>
        </w:rPr>
        <w:t>,</w:t>
      </w:r>
    </w:p>
    <w:p w14:paraId="3C82D518" w14:textId="77777777" w:rsidR="00E374F0" w:rsidRPr="00F46E6C" w:rsidRDefault="00E374F0" w:rsidP="00E374F0">
      <w:pPr>
        <w:pStyle w:val="NoSpacing"/>
        <w:rPr>
          <w:rStyle w:val="MainBodyTextEmphasiswithBold"/>
          <w:rFonts w:asciiTheme="minorHAnsi" w:hAnsiTheme="minorHAnsi"/>
          <w:color w:val="000000" w:themeColor="text1"/>
          <w:sz w:val="36"/>
          <w:szCs w:val="36"/>
        </w:rPr>
      </w:pPr>
      <w:r w:rsidRPr="00F46E6C">
        <w:rPr>
          <w:rStyle w:val="MainBodyTextEmphasiswithBold"/>
          <w:rFonts w:asciiTheme="minorHAnsi" w:hAnsiTheme="minorHAnsi"/>
          <w:color w:val="000000" w:themeColor="text1"/>
          <w:sz w:val="36"/>
          <w:szCs w:val="36"/>
        </w:rPr>
        <w:tab/>
        <w:t>Fostair ®,</w:t>
      </w:r>
    </w:p>
    <w:p w14:paraId="77AD3955" w14:textId="10607153" w:rsidR="006A50B1" w:rsidRDefault="00E374F0" w:rsidP="00E374F0">
      <w:pPr>
        <w:pStyle w:val="NoSpacing"/>
        <w:rPr>
          <w:rStyle w:val="MainBodyTextEmphasiswithBold"/>
          <w:rFonts w:asciiTheme="minorHAnsi" w:hAnsiTheme="minorHAnsi"/>
          <w:color w:val="000000" w:themeColor="text1"/>
          <w:sz w:val="36"/>
          <w:szCs w:val="36"/>
        </w:rPr>
      </w:pPr>
      <w:r w:rsidRPr="00F46E6C">
        <w:rPr>
          <w:rStyle w:val="MainBodyTextEmphasiswithBold"/>
          <w:rFonts w:asciiTheme="minorHAnsi" w:hAnsiTheme="minorHAnsi"/>
          <w:color w:val="000000" w:themeColor="text1"/>
          <w:sz w:val="36"/>
          <w:szCs w:val="36"/>
        </w:rPr>
        <w:tab/>
      </w:r>
      <w:proofErr w:type="spellStart"/>
      <w:r w:rsidRPr="00F46E6C">
        <w:rPr>
          <w:rStyle w:val="MainBodyTextEmphasiswithBold"/>
          <w:rFonts w:asciiTheme="minorHAnsi" w:hAnsiTheme="minorHAnsi"/>
          <w:color w:val="000000" w:themeColor="text1"/>
          <w:sz w:val="36"/>
          <w:szCs w:val="36"/>
        </w:rPr>
        <w:t>Chiesi</w:t>
      </w:r>
      <w:proofErr w:type="spellEnd"/>
      <w:r w:rsidRPr="00F46E6C">
        <w:rPr>
          <w:rStyle w:val="MainBodyTextEmphasiswithBold"/>
          <w:rFonts w:asciiTheme="minorHAnsi" w:hAnsiTheme="minorHAnsi"/>
          <w:color w:val="000000" w:themeColor="text1"/>
          <w:sz w:val="36"/>
          <w:szCs w:val="36"/>
        </w:rPr>
        <w:t xml:space="preserve"> Australia Pty Ltd</w:t>
      </w:r>
    </w:p>
    <w:p w14:paraId="195D9794" w14:textId="77777777" w:rsidR="00E374F0" w:rsidRPr="00F46E6C" w:rsidRDefault="00E374F0" w:rsidP="00E374F0">
      <w:pPr>
        <w:pStyle w:val="2-SectionHeading"/>
        <w:jc w:val="left"/>
        <w:rPr>
          <w:color w:val="000000" w:themeColor="text1"/>
        </w:rPr>
      </w:pPr>
      <w:bookmarkStart w:id="4" w:name="_Toc22898844"/>
      <w:bookmarkStart w:id="5" w:name="_Toc93506445"/>
      <w:bookmarkEnd w:id="1"/>
      <w:bookmarkEnd w:id="2"/>
      <w:r w:rsidRPr="00F46E6C">
        <w:rPr>
          <w:color w:val="000000" w:themeColor="text1"/>
        </w:rPr>
        <w:t>Purpose of submission</w:t>
      </w:r>
      <w:bookmarkEnd w:id="4"/>
      <w:bookmarkEnd w:id="5"/>
    </w:p>
    <w:p w14:paraId="368CBCEB" w14:textId="7A46A469" w:rsidR="00E374F0" w:rsidRPr="00906719" w:rsidRDefault="00E374F0" w:rsidP="00C2424B">
      <w:pPr>
        <w:pStyle w:val="3-BodyText"/>
        <w:rPr>
          <w:color w:val="000000" w:themeColor="text1"/>
        </w:rPr>
      </w:pPr>
      <w:r w:rsidRPr="00906719">
        <w:rPr>
          <w:color w:val="000000" w:themeColor="text1"/>
        </w:rPr>
        <w:t xml:space="preserve">The </w:t>
      </w:r>
      <w:r w:rsidR="000F34D0">
        <w:rPr>
          <w:color w:val="000000" w:themeColor="text1"/>
        </w:rPr>
        <w:t xml:space="preserve">Category 2 </w:t>
      </w:r>
      <w:r w:rsidRPr="00906719">
        <w:rPr>
          <w:color w:val="000000" w:themeColor="text1"/>
        </w:rPr>
        <w:t xml:space="preserve">submission requested </w:t>
      </w:r>
      <w:r w:rsidR="00F120F7" w:rsidRPr="00906719">
        <w:rPr>
          <w:color w:val="000000" w:themeColor="text1"/>
        </w:rPr>
        <w:t>a</w:t>
      </w:r>
      <w:r w:rsidR="00F46E6C">
        <w:rPr>
          <w:color w:val="000000" w:themeColor="text1"/>
        </w:rPr>
        <w:t>n</w:t>
      </w:r>
      <w:r w:rsidR="00B061B1">
        <w:rPr>
          <w:color w:val="000000" w:themeColor="text1"/>
        </w:rPr>
        <w:t xml:space="preserve"> </w:t>
      </w:r>
      <w:r w:rsidRPr="00906719">
        <w:rPr>
          <w:color w:val="000000" w:themeColor="text1"/>
        </w:rPr>
        <w:t xml:space="preserve">Authority </w:t>
      </w:r>
      <w:r w:rsidR="00EA39A0" w:rsidRPr="00906719">
        <w:rPr>
          <w:color w:val="000000" w:themeColor="text1"/>
        </w:rPr>
        <w:t>R</w:t>
      </w:r>
      <w:r w:rsidRPr="00906719">
        <w:rPr>
          <w:color w:val="000000" w:themeColor="text1"/>
        </w:rPr>
        <w:t>equired</w:t>
      </w:r>
      <w:r w:rsidR="00EA39A0" w:rsidRPr="00906719">
        <w:rPr>
          <w:color w:val="000000" w:themeColor="text1"/>
        </w:rPr>
        <w:t xml:space="preserve"> (STREAMLINED)</w:t>
      </w:r>
      <w:r w:rsidRPr="00906719">
        <w:rPr>
          <w:color w:val="000000" w:themeColor="text1"/>
        </w:rPr>
        <w:t xml:space="preserve"> listing </w:t>
      </w:r>
      <w:r w:rsidR="00C74D0D">
        <w:rPr>
          <w:color w:val="000000" w:themeColor="text1"/>
        </w:rPr>
        <w:t>of Fostair®,</w:t>
      </w:r>
      <w:r w:rsidR="00F120F7" w:rsidRPr="00906719">
        <w:rPr>
          <w:color w:val="000000" w:themeColor="text1"/>
        </w:rPr>
        <w:t xml:space="preserve"> </w:t>
      </w:r>
      <w:r w:rsidRPr="00906719">
        <w:rPr>
          <w:color w:val="000000" w:themeColor="text1"/>
        </w:rPr>
        <w:t>a fixed-dose combination</w:t>
      </w:r>
      <w:r w:rsidR="00F120F7" w:rsidRPr="00906719">
        <w:rPr>
          <w:color w:val="000000" w:themeColor="text1"/>
        </w:rPr>
        <w:t xml:space="preserve"> (FDC)</w:t>
      </w:r>
      <w:r w:rsidRPr="00906719">
        <w:rPr>
          <w:color w:val="000000" w:themeColor="text1"/>
        </w:rPr>
        <w:t xml:space="preserve"> of the inhaled corticosteroid (ICS) </w:t>
      </w:r>
      <w:bookmarkStart w:id="6" w:name="_Hlk11159476"/>
      <w:r w:rsidRPr="00906719">
        <w:rPr>
          <w:color w:val="000000" w:themeColor="text1"/>
        </w:rPr>
        <w:t xml:space="preserve">beclometasone dipropionate </w:t>
      </w:r>
      <w:bookmarkEnd w:id="6"/>
      <w:r w:rsidRPr="00906719">
        <w:rPr>
          <w:color w:val="000000" w:themeColor="text1"/>
        </w:rPr>
        <w:t>(BEC) (</w:t>
      </w:r>
      <w:bookmarkStart w:id="7" w:name="_Hlk98425863"/>
      <w:r w:rsidR="007E179A" w:rsidRPr="00906719">
        <w:rPr>
          <w:color w:val="000000" w:themeColor="text1"/>
        </w:rPr>
        <w:t>100</w:t>
      </w:r>
      <w:r w:rsidR="007E179A">
        <w:rPr>
          <w:color w:val="000000" w:themeColor="text1"/>
        </w:rPr>
        <w:t> </w:t>
      </w:r>
      <w:r w:rsidRPr="00906719">
        <w:rPr>
          <w:color w:val="000000" w:themeColor="text1"/>
        </w:rPr>
        <w:t>µg</w:t>
      </w:r>
      <w:bookmarkEnd w:id="7"/>
      <w:r w:rsidRPr="00906719">
        <w:rPr>
          <w:color w:val="000000" w:themeColor="text1"/>
        </w:rPr>
        <w:t xml:space="preserve">) </w:t>
      </w:r>
      <w:r w:rsidR="00E2173D" w:rsidRPr="00906719">
        <w:rPr>
          <w:color w:val="000000" w:themeColor="text1"/>
        </w:rPr>
        <w:t>with</w:t>
      </w:r>
      <w:r w:rsidRPr="00906719">
        <w:rPr>
          <w:color w:val="000000" w:themeColor="text1"/>
        </w:rPr>
        <w:t xml:space="preserve"> the long-acting β2-agonist (LABA) </w:t>
      </w:r>
      <w:bookmarkStart w:id="8" w:name="_Hlk11159486"/>
      <w:r w:rsidRPr="00906719">
        <w:rPr>
          <w:color w:val="000000" w:themeColor="text1"/>
        </w:rPr>
        <w:t>formoterol fumarate</w:t>
      </w:r>
      <w:r w:rsidR="00F120F7" w:rsidRPr="00906719">
        <w:rPr>
          <w:color w:val="000000" w:themeColor="text1"/>
        </w:rPr>
        <w:t xml:space="preserve"> dihydrate</w:t>
      </w:r>
      <w:r w:rsidRPr="00906719">
        <w:rPr>
          <w:color w:val="000000" w:themeColor="text1"/>
        </w:rPr>
        <w:t xml:space="preserve"> </w:t>
      </w:r>
      <w:bookmarkEnd w:id="8"/>
      <w:r w:rsidRPr="00906719">
        <w:rPr>
          <w:color w:val="000000" w:themeColor="text1"/>
        </w:rPr>
        <w:t>(FOR) (</w:t>
      </w:r>
      <w:r w:rsidR="007E179A" w:rsidRPr="00906719">
        <w:rPr>
          <w:color w:val="000000" w:themeColor="text1"/>
        </w:rPr>
        <w:t>6</w:t>
      </w:r>
      <w:r w:rsidR="007E179A">
        <w:rPr>
          <w:color w:val="000000" w:themeColor="text1"/>
        </w:rPr>
        <w:t> </w:t>
      </w:r>
      <w:r w:rsidRPr="00906719">
        <w:rPr>
          <w:color w:val="000000" w:themeColor="text1"/>
        </w:rPr>
        <w:t xml:space="preserve">µg) delivered via a pressurised metered dose inhaler </w:t>
      </w:r>
      <w:r w:rsidR="00F120F7" w:rsidRPr="00906719">
        <w:rPr>
          <w:color w:val="000000" w:themeColor="text1"/>
        </w:rPr>
        <w:t>(</w:t>
      </w:r>
      <w:proofErr w:type="spellStart"/>
      <w:r w:rsidR="00F120F7" w:rsidRPr="00906719">
        <w:rPr>
          <w:color w:val="000000" w:themeColor="text1"/>
        </w:rPr>
        <w:t>pMDI</w:t>
      </w:r>
      <w:proofErr w:type="spellEnd"/>
      <w:r w:rsidR="00F120F7" w:rsidRPr="00906719">
        <w:rPr>
          <w:color w:val="000000" w:themeColor="text1"/>
        </w:rPr>
        <w:t xml:space="preserve">) </w:t>
      </w:r>
      <w:r w:rsidRPr="00906719">
        <w:rPr>
          <w:color w:val="000000" w:themeColor="text1"/>
        </w:rPr>
        <w:t>for the treatment of chronic obstructive pulmonary disease (COPD).</w:t>
      </w:r>
    </w:p>
    <w:p w14:paraId="426490D4" w14:textId="37DA695C" w:rsidR="00A029B9" w:rsidRPr="00906719" w:rsidRDefault="00E374F0" w:rsidP="00F46E6C">
      <w:pPr>
        <w:pStyle w:val="3-BodyText"/>
        <w:keepNext/>
        <w:spacing w:after="0"/>
        <w:rPr>
          <w:rFonts w:ascii="Arial Narrow" w:hAnsi="Arial Narrow"/>
          <w:color w:val="000000" w:themeColor="text1"/>
          <w:sz w:val="20"/>
          <w:szCs w:val="20"/>
        </w:rPr>
      </w:pPr>
      <w:r w:rsidRPr="00906719">
        <w:rPr>
          <w:color w:val="000000" w:themeColor="text1"/>
        </w:rPr>
        <w:t xml:space="preserve">Listing was requested </w:t>
      </w:r>
      <w:proofErr w:type="gramStart"/>
      <w:r w:rsidRPr="00906719">
        <w:rPr>
          <w:color w:val="000000" w:themeColor="text1"/>
        </w:rPr>
        <w:t>on the basis of</w:t>
      </w:r>
      <w:proofErr w:type="gramEnd"/>
      <w:r w:rsidRPr="00906719">
        <w:rPr>
          <w:color w:val="000000" w:themeColor="text1"/>
        </w:rPr>
        <w:t xml:space="preserve"> a cost-minimisat</w:t>
      </w:r>
      <w:r w:rsidR="00420770" w:rsidRPr="00906719">
        <w:rPr>
          <w:color w:val="000000" w:themeColor="text1"/>
        </w:rPr>
        <w:t xml:space="preserve">ion analysis versus </w:t>
      </w:r>
      <w:r w:rsidR="00E2173D" w:rsidRPr="00906719">
        <w:rPr>
          <w:color w:val="000000" w:themeColor="text1"/>
        </w:rPr>
        <w:t>the FDC</w:t>
      </w:r>
      <w:r w:rsidR="00C74101" w:rsidRPr="00906719">
        <w:rPr>
          <w:color w:val="000000" w:themeColor="text1"/>
        </w:rPr>
        <w:t xml:space="preserve"> </w:t>
      </w:r>
      <w:r w:rsidRPr="00906719">
        <w:rPr>
          <w:color w:val="000000" w:themeColor="text1"/>
        </w:rPr>
        <w:t>of flu</w:t>
      </w:r>
      <w:r w:rsidR="00420770" w:rsidRPr="00906719">
        <w:rPr>
          <w:color w:val="000000" w:themeColor="text1"/>
        </w:rPr>
        <w:t>ticasone propionate (FP)</w:t>
      </w:r>
      <w:r w:rsidR="00E2173D" w:rsidRPr="00906719">
        <w:rPr>
          <w:color w:val="000000" w:themeColor="text1"/>
        </w:rPr>
        <w:t xml:space="preserve"> </w:t>
      </w:r>
      <w:r w:rsidR="007E179A" w:rsidRPr="00906719">
        <w:rPr>
          <w:color w:val="000000" w:themeColor="text1"/>
        </w:rPr>
        <w:t>250</w:t>
      </w:r>
      <w:r w:rsidR="007E179A">
        <w:rPr>
          <w:color w:val="000000" w:themeColor="text1"/>
        </w:rPr>
        <w:t> </w:t>
      </w:r>
      <w:r w:rsidR="00E2173D" w:rsidRPr="00906719">
        <w:rPr>
          <w:color w:val="000000" w:themeColor="text1"/>
        </w:rPr>
        <w:t>µg with</w:t>
      </w:r>
      <w:r w:rsidR="00420770" w:rsidRPr="00906719">
        <w:rPr>
          <w:color w:val="000000" w:themeColor="text1"/>
        </w:rPr>
        <w:t xml:space="preserve"> </w:t>
      </w:r>
      <w:r w:rsidRPr="00F46E6C">
        <w:rPr>
          <w:color w:val="000000" w:themeColor="text1"/>
          <w:szCs w:val="20"/>
        </w:rPr>
        <w:t>salmeterol</w:t>
      </w:r>
      <w:r w:rsidR="00E2173D" w:rsidRPr="00F46E6C">
        <w:rPr>
          <w:color w:val="000000" w:themeColor="text1"/>
          <w:szCs w:val="20"/>
        </w:rPr>
        <w:t xml:space="preserve"> </w:t>
      </w:r>
      <w:r w:rsidRPr="00F46E6C">
        <w:rPr>
          <w:color w:val="000000" w:themeColor="text1"/>
          <w:szCs w:val="20"/>
        </w:rPr>
        <w:t>(SAL)</w:t>
      </w:r>
      <w:r w:rsidR="00E2173D" w:rsidRPr="00F46E6C">
        <w:rPr>
          <w:color w:val="000000" w:themeColor="text1"/>
          <w:szCs w:val="20"/>
        </w:rPr>
        <w:t xml:space="preserve"> </w:t>
      </w:r>
      <w:r w:rsidR="00E2173D" w:rsidRPr="00906719">
        <w:rPr>
          <w:color w:val="000000" w:themeColor="text1"/>
        </w:rPr>
        <w:t>25</w:t>
      </w:r>
      <w:r w:rsidR="007E179A">
        <w:rPr>
          <w:color w:val="000000" w:themeColor="text1"/>
        </w:rPr>
        <w:t> </w:t>
      </w:r>
      <w:r w:rsidR="00E2173D" w:rsidRPr="00906719">
        <w:rPr>
          <w:color w:val="000000" w:themeColor="text1"/>
        </w:rPr>
        <w:t>µg</w:t>
      </w:r>
      <w:r w:rsidR="003811C1">
        <w:rPr>
          <w:color w:val="000000" w:themeColor="text1"/>
        </w:rPr>
        <w:t xml:space="preserve"> (Table 1)</w:t>
      </w:r>
      <w:r w:rsidRPr="00906719">
        <w:rPr>
          <w:color w:val="000000" w:themeColor="text1"/>
          <w:szCs w:val="20"/>
        </w:rPr>
        <w:t xml:space="preserve">. The submission also nominated </w:t>
      </w:r>
      <w:r w:rsidR="00F46E6C">
        <w:rPr>
          <w:color w:val="000000" w:themeColor="text1"/>
          <w:szCs w:val="20"/>
        </w:rPr>
        <w:t xml:space="preserve">the FDC of budesonide (BUD) </w:t>
      </w:r>
      <w:r w:rsidR="007E179A">
        <w:rPr>
          <w:color w:val="000000" w:themeColor="text1"/>
          <w:szCs w:val="20"/>
        </w:rPr>
        <w:t>400 </w:t>
      </w:r>
      <w:r w:rsidR="00F46E6C" w:rsidRPr="00A7711D">
        <w:rPr>
          <w:color w:val="000000" w:themeColor="text1"/>
        </w:rPr>
        <w:t>µg</w:t>
      </w:r>
      <w:r w:rsidR="00F46E6C">
        <w:rPr>
          <w:color w:val="000000" w:themeColor="text1"/>
          <w:szCs w:val="20"/>
        </w:rPr>
        <w:t xml:space="preserve"> with</w:t>
      </w:r>
      <w:r w:rsidR="00F46E6C" w:rsidRPr="00906719">
        <w:rPr>
          <w:color w:val="000000" w:themeColor="text1"/>
          <w:szCs w:val="20"/>
        </w:rPr>
        <w:t xml:space="preserve"> </w:t>
      </w:r>
      <w:r w:rsidRPr="00906719">
        <w:rPr>
          <w:color w:val="000000" w:themeColor="text1"/>
          <w:szCs w:val="20"/>
        </w:rPr>
        <w:t>FOR</w:t>
      </w:r>
      <w:r w:rsidR="00F46E6C">
        <w:rPr>
          <w:color w:val="000000" w:themeColor="text1"/>
          <w:szCs w:val="20"/>
        </w:rPr>
        <w:t xml:space="preserve"> </w:t>
      </w:r>
      <w:r w:rsidR="007E179A" w:rsidRPr="00906719">
        <w:rPr>
          <w:color w:val="000000" w:themeColor="text1"/>
          <w:szCs w:val="20"/>
        </w:rPr>
        <w:t>12</w:t>
      </w:r>
      <w:r w:rsidR="007E179A">
        <w:rPr>
          <w:color w:val="000000" w:themeColor="text1"/>
          <w:szCs w:val="20"/>
        </w:rPr>
        <w:t> </w:t>
      </w:r>
      <w:r w:rsidR="00632E78" w:rsidRPr="00906719">
        <w:rPr>
          <w:color w:val="000000" w:themeColor="text1"/>
          <w:szCs w:val="20"/>
        </w:rPr>
        <w:t xml:space="preserve">µg </w:t>
      </w:r>
      <w:r w:rsidRPr="00906719">
        <w:rPr>
          <w:color w:val="000000" w:themeColor="text1"/>
          <w:szCs w:val="20"/>
        </w:rPr>
        <w:t xml:space="preserve">as a </w:t>
      </w:r>
      <w:r w:rsidR="00F502E6">
        <w:rPr>
          <w:color w:val="000000" w:themeColor="text1"/>
          <w:szCs w:val="20"/>
        </w:rPr>
        <w:t xml:space="preserve">secondary </w:t>
      </w:r>
      <w:r w:rsidRPr="00906719">
        <w:rPr>
          <w:color w:val="000000" w:themeColor="text1"/>
          <w:szCs w:val="20"/>
        </w:rPr>
        <w:t>comparator</w:t>
      </w:r>
      <w:r w:rsidR="00297C4C" w:rsidRPr="00906719">
        <w:rPr>
          <w:color w:val="000000" w:themeColor="text1"/>
          <w:szCs w:val="20"/>
        </w:rPr>
        <w:t>.</w:t>
      </w:r>
    </w:p>
    <w:p w14:paraId="5D715245" w14:textId="77777777" w:rsidR="00A029B9" w:rsidRPr="00906719" w:rsidRDefault="00A029B9" w:rsidP="00F46E6C">
      <w:pPr>
        <w:pStyle w:val="3-BodyText"/>
        <w:keepNext/>
        <w:numPr>
          <w:ilvl w:val="0"/>
          <w:numId w:val="0"/>
        </w:numPr>
        <w:spacing w:after="0"/>
        <w:ind w:left="720"/>
        <w:rPr>
          <w:rFonts w:ascii="Arial Narrow" w:hAnsi="Arial Narrow"/>
          <w:color w:val="000000" w:themeColor="text1"/>
          <w:sz w:val="20"/>
          <w:szCs w:val="20"/>
        </w:rPr>
      </w:pPr>
    </w:p>
    <w:p w14:paraId="45372712" w14:textId="3A6E5C18" w:rsidR="00E374F0" w:rsidRPr="00F46E6C" w:rsidRDefault="00E374F0" w:rsidP="00F46E6C">
      <w:pPr>
        <w:pStyle w:val="3-BodyText"/>
        <w:keepNext/>
        <w:numPr>
          <w:ilvl w:val="0"/>
          <w:numId w:val="0"/>
        </w:numPr>
        <w:spacing w:after="0"/>
        <w:ind w:left="720" w:hanging="720"/>
        <w:rPr>
          <w:rStyle w:val="CommentReference"/>
          <w:b w:val="0"/>
          <w:color w:val="000000" w:themeColor="text1"/>
          <w:szCs w:val="20"/>
        </w:rPr>
      </w:pPr>
      <w:bookmarkStart w:id="9" w:name="_Ref98431507"/>
      <w:r w:rsidRPr="00F46E6C">
        <w:rPr>
          <w:rStyle w:val="CommentReference"/>
          <w:szCs w:val="20"/>
        </w:rPr>
        <w:t xml:space="preserve">Table </w:t>
      </w:r>
      <w:r w:rsidRPr="00F46E6C">
        <w:rPr>
          <w:rStyle w:val="CommentReference"/>
          <w:szCs w:val="20"/>
        </w:rPr>
        <w:fldChar w:fldCharType="begin"/>
      </w:r>
      <w:r w:rsidRPr="00F46E6C">
        <w:rPr>
          <w:rStyle w:val="CommentReference"/>
          <w:szCs w:val="20"/>
        </w:rPr>
        <w:instrText xml:space="preserve"> SEQ Table \* ARABIC </w:instrText>
      </w:r>
      <w:r w:rsidRPr="00F46E6C">
        <w:rPr>
          <w:rStyle w:val="CommentReference"/>
          <w:szCs w:val="20"/>
        </w:rPr>
        <w:fldChar w:fldCharType="separate"/>
      </w:r>
      <w:r w:rsidR="00FD0A77">
        <w:rPr>
          <w:rStyle w:val="CommentReference"/>
          <w:noProof/>
          <w:szCs w:val="20"/>
        </w:rPr>
        <w:t>1</w:t>
      </w:r>
      <w:r w:rsidRPr="00F46E6C">
        <w:rPr>
          <w:rStyle w:val="CommentReference"/>
          <w:szCs w:val="20"/>
        </w:rPr>
        <w:fldChar w:fldCharType="end"/>
      </w:r>
      <w:bookmarkEnd w:id="9"/>
      <w:r w:rsidRPr="00906719">
        <w:rPr>
          <w:rStyle w:val="CommentReference"/>
          <w:color w:val="000000" w:themeColor="text1"/>
          <w:szCs w:val="20"/>
        </w:rPr>
        <w:t>: Key components of the clinical issue addressed by the submission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w:tblDescription w:val="Key components of the clinical issue addressed by the submission "/>
      </w:tblPr>
      <w:tblGrid>
        <w:gridCol w:w="1666"/>
        <w:gridCol w:w="7351"/>
      </w:tblGrid>
      <w:tr w:rsidR="00A604AC" w:rsidRPr="00A604AC" w14:paraId="3316C81E" w14:textId="77777777" w:rsidTr="00E20505">
        <w:trPr>
          <w:cantSplit/>
          <w:tblHeader/>
        </w:trPr>
        <w:tc>
          <w:tcPr>
            <w:tcW w:w="924" w:type="pct"/>
            <w:shd w:val="clear" w:color="auto" w:fill="auto"/>
          </w:tcPr>
          <w:p w14:paraId="6FE2AFE2" w14:textId="77777777" w:rsidR="00E374F0" w:rsidRPr="00906719" w:rsidRDefault="00E374F0" w:rsidP="00E20505">
            <w:pPr>
              <w:pStyle w:val="In-tableHeading"/>
              <w:rPr>
                <w:color w:val="000000" w:themeColor="text1"/>
                <w:szCs w:val="20"/>
                <w:lang w:val="en-AU"/>
              </w:rPr>
            </w:pPr>
            <w:r w:rsidRPr="00906719">
              <w:rPr>
                <w:color w:val="000000" w:themeColor="text1"/>
                <w:lang w:val="en-AU"/>
              </w:rPr>
              <w:t>Component</w:t>
            </w:r>
          </w:p>
        </w:tc>
        <w:tc>
          <w:tcPr>
            <w:tcW w:w="4076" w:type="pct"/>
            <w:shd w:val="clear" w:color="auto" w:fill="auto"/>
          </w:tcPr>
          <w:p w14:paraId="668262D7" w14:textId="77777777" w:rsidR="00E374F0" w:rsidRPr="00906719" w:rsidRDefault="00E374F0" w:rsidP="00E20505">
            <w:pPr>
              <w:pStyle w:val="In-tableHeading"/>
              <w:rPr>
                <w:color w:val="000000" w:themeColor="text1"/>
                <w:lang w:val="en-AU"/>
              </w:rPr>
            </w:pPr>
            <w:r w:rsidRPr="00906719">
              <w:rPr>
                <w:color w:val="000000" w:themeColor="text1"/>
                <w:lang w:val="en-AU"/>
              </w:rPr>
              <w:t>Description</w:t>
            </w:r>
          </w:p>
        </w:tc>
      </w:tr>
      <w:tr w:rsidR="00A604AC" w:rsidRPr="00A604AC" w14:paraId="747F7390" w14:textId="77777777" w:rsidTr="00E20505">
        <w:trPr>
          <w:cantSplit/>
        </w:trPr>
        <w:tc>
          <w:tcPr>
            <w:tcW w:w="924" w:type="pct"/>
            <w:shd w:val="clear" w:color="auto" w:fill="auto"/>
          </w:tcPr>
          <w:p w14:paraId="0C0803F6" w14:textId="77777777" w:rsidR="00E374F0" w:rsidRPr="00906719" w:rsidRDefault="00E374F0" w:rsidP="00E20505">
            <w:pPr>
              <w:pStyle w:val="TableText0"/>
              <w:rPr>
                <w:color w:val="000000" w:themeColor="text1"/>
              </w:rPr>
            </w:pPr>
            <w:r w:rsidRPr="00906719">
              <w:rPr>
                <w:color w:val="000000" w:themeColor="text1"/>
              </w:rPr>
              <w:t>Population</w:t>
            </w:r>
          </w:p>
        </w:tc>
        <w:tc>
          <w:tcPr>
            <w:tcW w:w="4076" w:type="pct"/>
            <w:shd w:val="clear" w:color="auto" w:fill="auto"/>
          </w:tcPr>
          <w:p w14:paraId="2A8CBEC6" w14:textId="77777777" w:rsidR="00E374F0" w:rsidRPr="00906719" w:rsidRDefault="00E374F0" w:rsidP="00E20505">
            <w:pPr>
              <w:pStyle w:val="TableText0"/>
              <w:rPr>
                <w:color w:val="000000" w:themeColor="text1"/>
                <w:szCs w:val="20"/>
              </w:rPr>
            </w:pPr>
            <w:r w:rsidRPr="00906719">
              <w:rPr>
                <w:color w:val="000000" w:themeColor="text1"/>
                <w:szCs w:val="20"/>
              </w:rPr>
              <w:t>Adults with severe COPD (FEV1 less than 50% predicted normal) and a history of repeated exacerbations, who have significant symptoms despite regular therapy with long-acting bronchodilators</w:t>
            </w:r>
          </w:p>
        </w:tc>
      </w:tr>
      <w:tr w:rsidR="00A604AC" w:rsidRPr="00A604AC" w14:paraId="07F58CD4" w14:textId="77777777" w:rsidTr="00E20505">
        <w:trPr>
          <w:cantSplit/>
        </w:trPr>
        <w:tc>
          <w:tcPr>
            <w:tcW w:w="924" w:type="pct"/>
            <w:shd w:val="clear" w:color="auto" w:fill="auto"/>
          </w:tcPr>
          <w:p w14:paraId="58816002" w14:textId="77777777" w:rsidR="00E374F0" w:rsidRPr="00906719" w:rsidRDefault="00E374F0" w:rsidP="00E20505">
            <w:pPr>
              <w:pStyle w:val="TableText0"/>
              <w:rPr>
                <w:color w:val="000000" w:themeColor="text1"/>
              </w:rPr>
            </w:pPr>
            <w:r w:rsidRPr="00906719">
              <w:rPr>
                <w:color w:val="000000" w:themeColor="text1"/>
              </w:rPr>
              <w:t>Intervention</w:t>
            </w:r>
          </w:p>
        </w:tc>
        <w:tc>
          <w:tcPr>
            <w:tcW w:w="4076" w:type="pct"/>
            <w:shd w:val="clear" w:color="auto" w:fill="auto"/>
          </w:tcPr>
          <w:p w14:paraId="764D20F0" w14:textId="3A43D56B" w:rsidR="00E374F0" w:rsidRPr="00906719" w:rsidRDefault="00E374F0" w:rsidP="00E20505">
            <w:pPr>
              <w:pStyle w:val="TableText0"/>
              <w:rPr>
                <w:color w:val="000000" w:themeColor="text1"/>
              </w:rPr>
            </w:pPr>
            <w:r w:rsidRPr="00906719">
              <w:rPr>
                <w:rFonts w:cs="Arial"/>
                <w:color w:val="000000" w:themeColor="text1"/>
                <w:szCs w:val="20"/>
              </w:rPr>
              <w:t>BEC/FOR (100/</w:t>
            </w:r>
            <w:r w:rsidR="007E179A" w:rsidRPr="00906719">
              <w:rPr>
                <w:rFonts w:cs="Arial"/>
                <w:color w:val="000000" w:themeColor="text1"/>
                <w:szCs w:val="20"/>
              </w:rPr>
              <w:t>6</w:t>
            </w:r>
            <w:r w:rsidR="007E179A">
              <w:rPr>
                <w:rFonts w:cs="Arial"/>
                <w:color w:val="000000" w:themeColor="text1"/>
                <w:szCs w:val="20"/>
              </w:rPr>
              <w:t> </w:t>
            </w:r>
            <w:r w:rsidRPr="00906719">
              <w:rPr>
                <w:rFonts w:cs="Arial"/>
                <w:color w:val="000000" w:themeColor="text1"/>
                <w:szCs w:val="20"/>
              </w:rPr>
              <w:t xml:space="preserve">µg per actuation). </w:t>
            </w:r>
            <w:r w:rsidRPr="00906719">
              <w:rPr>
                <w:color w:val="000000" w:themeColor="text1"/>
                <w:szCs w:val="20"/>
              </w:rPr>
              <w:t>Delivered dose (ex-actuator) contains 84.</w:t>
            </w:r>
            <w:r w:rsidR="007E179A" w:rsidRPr="00906719">
              <w:rPr>
                <w:color w:val="000000" w:themeColor="text1"/>
                <w:szCs w:val="20"/>
              </w:rPr>
              <w:t>6</w:t>
            </w:r>
            <w:r w:rsidR="007E179A">
              <w:rPr>
                <w:color w:val="000000" w:themeColor="text1"/>
                <w:szCs w:val="20"/>
              </w:rPr>
              <w:t> </w:t>
            </w:r>
            <w:r w:rsidRPr="00906719">
              <w:rPr>
                <w:rFonts w:cs="Arial"/>
                <w:color w:val="000000" w:themeColor="text1"/>
                <w:szCs w:val="20"/>
              </w:rPr>
              <w:t>µg</w:t>
            </w:r>
            <w:r w:rsidRPr="00906719" w:rsidDel="0095735B">
              <w:rPr>
                <w:color w:val="000000" w:themeColor="text1"/>
                <w:szCs w:val="20"/>
              </w:rPr>
              <w:t xml:space="preserve"> </w:t>
            </w:r>
            <w:r w:rsidRPr="00906719">
              <w:rPr>
                <w:color w:val="000000" w:themeColor="text1"/>
                <w:szCs w:val="20"/>
              </w:rPr>
              <w:t>BEC and 5.</w:t>
            </w:r>
            <w:r w:rsidR="007E179A" w:rsidRPr="00906719">
              <w:rPr>
                <w:color w:val="000000" w:themeColor="text1"/>
                <w:szCs w:val="20"/>
              </w:rPr>
              <w:t>0</w:t>
            </w:r>
            <w:r w:rsidR="007E179A">
              <w:rPr>
                <w:color w:val="000000" w:themeColor="text1"/>
                <w:szCs w:val="20"/>
              </w:rPr>
              <w:t> </w:t>
            </w:r>
            <w:r w:rsidRPr="00906719">
              <w:rPr>
                <w:rFonts w:cs="Arial"/>
                <w:color w:val="000000" w:themeColor="text1"/>
                <w:szCs w:val="20"/>
              </w:rPr>
              <w:t>µg</w:t>
            </w:r>
            <w:r w:rsidRPr="00906719" w:rsidDel="0095735B">
              <w:rPr>
                <w:color w:val="000000" w:themeColor="text1"/>
                <w:szCs w:val="20"/>
              </w:rPr>
              <w:t xml:space="preserve"> </w:t>
            </w:r>
            <w:r w:rsidRPr="00906719">
              <w:rPr>
                <w:color w:val="000000" w:themeColor="text1"/>
                <w:szCs w:val="20"/>
              </w:rPr>
              <w:t>FOR</w:t>
            </w:r>
          </w:p>
        </w:tc>
      </w:tr>
      <w:tr w:rsidR="00A604AC" w:rsidRPr="00A604AC" w14:paraId="5F2FF7E5" w14:textId="77777777" w:rsidTr="00E20505">
        <w:trPr>
          <w:cantSplit/>
        </w:trPr>
        <w:tc>
          <w:tcPr>
            <w:tcW w:w="924" w:type="pct"/>
            <w:shd w:val="clear" w:color="auto" w:fill="auto"/>
          </w:tcPr>
          <w:p w14:paraId="72285B62" w14:textId="77777777" w:rsidR="00E374F0" w:rsidRPr="00906719" w:rsidRDefault="00E374F0" w:rsidP="00E20505">
            <w:pPr>
              <w:pStyle w:val="TableText0"/>
              <w:rPr>
                <w:color w:val="000000" w:themeColor="text1"/>
              </w:rPr>
            </w:pPr>
            <w:r w:rsidRPr="00906719">
              <w:rPr>
                <w:color w:val="000000" w:themeColor="text1"/>
              </w:rPr>
              <w:t>Comparator</w:t>
            </w:r>
          </w:p>
        </w:tc>
        <w:tc>
          <w:tcPr>
            <w:tcW w:w="4076" w:type="pct"/>
            <w:shd w:val="clear" w:color="auto" w:fill="auto"/>
          </w:tcPr>
          <w:p w14:paraId="1146AB8D" w14:textId="575F4296" w:rsidR="00E374F0" w:rsidRPr="00906719" w:rsidRDefault="00E374F0" w:rsidP="00E20505">
            <w:pPr>
              <w:pStyle w:val="TableText0"/>
              <w:rPr>
                <w:color w:val="000000" w:themeColor="text1"/>
              </w:rPr>
            </w:pPr>
            <w:r w:rsidRPr="00906719">
              <w:rPr>
                <w:rFonts w:cs="Arial"/>
                <w:color w:val="000000" w:themeColor="text1"/>
                <w:szCs w:val="20"/>
              </w:rPr>
              <w:t>FP/SAL (250/</w:t>
            </w:r>
            <w:r w:rsidR="007E179A" w:rsidRPr="00906719">
              <w:rPr>
                <w:rFonts w:cs="Arial"/>
                <w:color w:val="000000" w:themeColor="text1"/>
                <w:szCs w:val="20"/>
              </w:rPr>
              <w:t>25</w:t>
            </w:r>
            <w:r w:rsidR="007E179A">
              <w:rPr>
                <w:rFonts w:cs="Arial"/>
                <w:color w:val="000000" w:themeColor="text1"/>
                <w:szCs w:val="20"/>
              </w:rPr>
              <w:t> </w:t>
            </w:r>
            <w:r w:rsidRPr="00906719">
              <w:rPr>
                <w:rFonts w:cs="Arial"/>
                <w:color w:val="000000" w:themeColor="text1"/>
                <w:szCs w:val="20"/>
              </w:rPr>
              <w:t>µg per actuation)</w:t>
            </w:r>
          </w:p>
        </w:tc>
      </w:tr>
      <w:tr w:rsidR="00A604AC" w:rsidRPr="00A604AC" w14:paraId="6637AEBA" w14:textId="77777777" w:rsidTr="00E20505">
        <w:trPr>
          <w:cantSplit/>
        </w:trPr>
        <w:tc>
          <w:tcPr>
            <w:tcW w:w="924" w:type="pct"/>
            <w:shd w:val="clear" w:color="auto" w:fill="auto"/>
          </w:tcPr>
          <w:p w14:paraId="4E45E475" w14:textId="77777777" w:rsidR="00E374F0" w:rsidRPr="00906719" w:rsidRDefault="00E374F0" w:rsidP="00E20505">
            <w:pPr>
              <w:pStyle w:val="TableText0"/>
              <w:rPr>
                <w:color w:val="000000" w:themeColor="text1"/>
              </w:rPr>
            </w:pPr>
            <w:r w:rsidRPr="00906719">
              <w:rPr>
                <w:color w:val="000000" w:themeColor="text1"/>
              </w:rPr>
              <w:t>Outcomes</w:t>
            </w:r>
          </w:p>
        </w:tc>
        <w:tc>
          <w:tcPr>
            <w:tcW w:w="4076" w:type="pct"/>
            <w:shd w:val="clear" w:color="auto" w:fill="auto"/>
          </w:tcPr>
          <w:p w14:paraId="6A5A354B" w14:textId="77777777" w:rsidR="00E374F0" w:rsidRPr="00906719" w:rsidRDefault="00E374F0" w:rsidP="00E20505">
            <w:pPr>
              <w:pStyle w:val="TableText0"/>
              <w:rPr>
                <w:rFonts w:cs="Arial"/>
                <w:b/>
                <w:color w:val="000000" w:themeColor="text1"/>
                <w:szCs w:val="20"/>
              </w:rPr>
            </w:pPr>
            <w:r w:rsidRPr="00906719">
              <w:rPr>
                <w:rFonts w:cs="Arial"/>
                <w:b/>
                <w:color w:val="000000" w:themeColor="text1"/>
                <w:szCs w:val="20"/>
              </w:rPr>
              <w:t>Primary:</w:t>
            </w:r>
          </w:p>
          <w:p w14:paraId="21BB6174" w14:textId="77777777" w:rsidR="00E374F0" w:rsidRPr="00906719" w:rsidRDefault="00E374F0" w:rsidP="00A12F84">
            <w:pPr>
              <w:pStyle w:val="TableText0"/>
              <w:keepNext w:val="0"/>
              <w:numPr>
                <w:ilvl w:val="0"/>
                <w:numId w:val="5"/>
              </w:numPr>
              <w:spacing w:before="40" w:after="40"/>
              <w:rPr>
                <w:rStyle w:val="fontstyle01"/>
                <w:rFonts w:ascii="Arial Narrow" w:hAnsi="Arial Narrow" w:cs="Arial"/>
                <w:color w:val="000000" w:themeColor="text1"/>
              </w:rPr>
            </w:pPr>
            <w:r w:rsidRPr="00906719">
              <w:rPr>
                <w:rStyle w:val="fontstyle01"/>
                <w:rFonts w:ascii="Arial Narrow" w:hAnsi="Arial Narrow"/>
                <w:color w:val="000000" w:themeColor="text1"/>
              </w:rPr>
              <w:t>Transition Dyspnoea Index (TDI) score at week 12</w:t>
            </w:r>
          </w:p>
          <w:p w14:paraId="2C966580" w14:textId="204103DD" w:rsidR="00E374F0" w:rsidRPr="00906719" w:rsidRDefault="00E374F0" w:rsidP="00A12F84">
            <w:pPr>
              <w:pStyle w:val="TableText0"/>
              <w:keepNext w:val="0"/>
              <w:numPr>
                <w:ilvl w:val="0"/>
                <w:numId w:val="5"/>
              </w:numPr>
              <w:spacing w:before="40" w:after="40"/>
              <w:rPr>
                <w:rFonts w:cs="Arial"/>
                <w:color w:val="000000" w:themeColor="text1"/>
                <w:szCs w:val="20"/>
              </w:rPr>
            </w:pPr>
            <w:r w:rsidRPr="00906719">
              <w:rPr>
                <w:rStyle w:val="fontstyle01"/>
                <w:rFonts w:ascii="Arial Narrow" w:hAnsi="Arial Narrow"/>
                <w:color w:val="000000" w:themeColor="text1"/>
              </w:rPr>
              <w:t>Change from pre-dose in FEV1 after drug inhalation during the morning of baseline visit (AUC</w:t>
            </w:r>
            <w:r w:rsidRPr="00906719">
              <w:rPr>
                <w:rStyle w:val="fontstyle01"/>
                <w:rFonts w:ascii="Arial Narrow" w:hAnsi="Arial Narrow"/>
                <w:color w:val="000000" w:themeColor="text1"/>
                <w:vertAlign w:val="subscript"/>
              </w:rPr>
              <w:t>0-30min</w:t>
            </w:r>
            <w:r w:rsidRPr="00906719">
              <w:rPr>
                <w:rStyle w:val="fontstyle01"/>
                <w:rFonts w:ascii="Arial Narrow" w:hAnsi="Arial Narrow"/>
                <w:color w:val="000000" w:themeColor="text1"/>
              </w:rPr>
              <w:t>).</w:t>
            </w:r>
          </w:p>
          <w:p w14:paraId="20C0A87B" w14:textId="77777777" w:rsidR="00E374F0" w:rsidRPr="00906719" w:rsidRDefault="00E374F0" w:rsidP="00E20505">
            <w:pPr>
              <w:pStyle w:val="TableText0"/>
              <w:rPr>
                <w:rFonts w:cs="Arial"/>
                <w:b/>
                <w:color w:val="000000" w:themeColor="text1"/>
                <w:szCs w:val="20"/>
              </w:rPr>
            </w:pPr>
            <w:r w:rsidRPr="00906719">
              <w:rPr>
                <w:b/>
                <w:color w:val="000000" w:themeColor="text1"/>
                <w:szCs w:val="20"/>
              </w:rPr>
              <w:t>Secondary</w:t>
            </w:r>
            <w:r w:rsidRPr="00906719">
              <w:rPr>
                <w:rFonts w:cs="Arial"/>
                <w:b/>
                <w:color w:val="000000" w:themeColor="text1"/>
                <w:szCs w:val="20"/>
              </w:rPr>
              <w:t xml:space="preserve">: </w:t>
            </w:r>
          </w:p>
          <w:p w14:paraId="1A0C4D61" w14:textId="77777777" w:rsidR="00E374F0" w:rsidRPr="00906719" w:rsidRDefault="00E374F0" w:rsidP="00650D10">
            <w:pPr>
              <w:pStyle w:val="TableText0"/>
              <w:keepNext w:val="0"/>
              <w:numPr>
                <w:ilvl w:val="0"/>
                <w:numId w:val="12"/>
              </w:numPr>
              <w:spacing w:before="40" w:after="40"/>
              <w:rPr>
                <w:rFonts w:cs="Arial"/>
                <w:color w:val="000000" w:themeColor="text1"/>
                <w:szCs w:val="20"/>
              </w:rPr>
            </w:pPr>
            <w:r w:rsidRPr="00906719">
              <w:rPr>
                <w:rFonts w:cs="Arial"/>
                <w:color w:val="000000" w:themeColor="text1"/>
                <w:szCs w:val="20"/>
              </w:rPr>
              <w:t>Pulmonary function tests at baseline and week 12</w:t>
            </w:r>
          </w:p>
          <w:p w14:paraId="65013BC8" w14:textId="77777777" w:rsidR="00E374F0" w:rsidRPr="00906719" w:rsidRDefault="00E374F0" w:rsidP="00650D10">
            <w:pPr>
              <w:pStyle w:val="TableText0"/>
              <w:keepNext w:val="0"/>
              <w:numPr>
                <w:ilvl w:val="0"/>
                <w:numId w:val="12"/>
              </w:numPr>
              <w:spacing w:before="40" w:after="40"/>
              <w:rPr>
                <w:rFonts w:cs="Arial"/>
                <w:color w:val="000000" w:themeColor="text1"/>
                <w:szCs w:val="20"/>
              </w:rPr>
            </w:pPr>
            <w:r w:rsidRPr="00906719">
              <w:rPr>
                <w:rFonts w:cs="Arial"/>
                <w:color w:val="000000" w:themeColor="text1"/>
                <w:szCs w:val="20"/>
              </w:rPr>
              <w:t>COPD symptom score at baseline and week 12</w:t>
            </w:r>
          </w:p>
          <w:p w14:paraId="7B5F54AC" w14:textId="77777777" w:rsidR="00E374F0" w:rsidRPr="00906719" w:rsidRDefault="00E374F0" w:rsidP="00650D10">
            <w:pPr>
              <w:pStyle w:val="TableText0"/>
              <w:keepNext w:val="0"/>
              <w:numPr>
                <w:ilvl w:val="0"/>
                <w:numId w:val="12"/>
              </w:numPr>
              <w:spacing w:before="40" w:after="40"/>
              <w:rPr>
                <w:rFonts w:cs="Arial"/>
                <w:color w:val="000000" w:themeColor="text1"/>
                <w:szCs w:val="20"/>
              </w:rPr>
            </w:pPr>
            <w:r w:rsidRPr="00906719">
              <w:rPr>
                <w:rFonts w:cs="Arial"/>
                <w:color w:val="000000" w:themeColor="text1"/>
                <w:szCs w:val="20"/>
              </w:rPr>
              <w:t>COPD exacerbation occurrence</w:t>
            </w:r>
          </w:p>
          <w:p w14:paraId="134055B4" w14:textId="77777777" w:rsidR="00E374F0" w:rsidRPr="00906719" w:rsidRDefault="00E374F0" w:rsidP="00650D10">
            <w:pPr>
              <w:pStyle w:val="TableText0"/>
              <w:keepNext w:val="0"/>
              <w:numPr>
                <w:ilvl w:val="0"/>
                <w:numId w:val="12"/>
              </w:numPr>
              <w:spacing w:before="40" w:after="40"/>
              <w:rPr>
                <w:rFonts w:cs="Arial"/>
                <w:color w:val="000000" w:themeColor="text1"/>
                <w:szCs w:val="20"/>
              </w:rPr>
            </w:pPr>
            <w:r w:rsidRPr="00906719">
              <w:rPr>
                <w:rFonts w:cs="Arial"/>
                <w:color w:val="000000" w:themeColor="text1"/>
                <w:szCs w:val="20"/>
              </w:rPr>
              <w:t>St. George’s Respiratory Questionnaire (SGRQ) at baseline and week 12</w:t>
            </w:r>
          </w:p>
          <w:p w14:paraId="2624A0C0" w14:textId="77777777" w:rsidR="00E374F0" w:rsidRPr="00906719" w:rsidRDefault="00E374F0" w:rsidP="00650D10">
            <w:pPr>
              <w:pStyle w:val="TableText0"/>
              <w:keepNext w:val="0"/>
              <w:numPr>
                <w:ilvl w:val="0"/>
                <w:numId w:val="12"/>
              </w:numPr>
              <w:spacing w:before="40" w:after="40"/>
              <w:rPr>
                <w:rFonts w:cs="Arial"/>
                <w:color w:val="000000" w:themeColor="text1"/>
                <w:szCs w:val="20"/>
              </w:rPr>
            </w:pPr>
            <w:r w:rsidRPr="00906719">
              <w:rPr>
                <w:rStyle w:val="fontstyle01"/>
                <w:rFonts w:ascii="Arial Narrow" w:hAnsi="Arial Narrow"/>
                <w:color w:val="000000" w:themeColor="text1"/>
              </w:rPr>
              <w:t>Six-minute walking test (6MWT) at baseline and week 12</w:t>
            </w:r>
          </w:p>
        </w:tc>
      </w:tr>
      <w:tr w:rsidR="00A604AC" w:rsidRPr="00A604AC" w14:paraId="7A5473ED" w14:textId="77777777" w:rsidTr="00E20505">
        <w:trPr>
          <w:cantSplit/>
        </w:trPr>
        <w:tc>
          <w:tcPr>
            <w:tcW w:w="924" w:type="pct"/>
            <w:shd w:val="clear" w:color="auto" w:fill="auto"/>
          </w:tcPr>
          <w:p w14:paraId="013712A1" w14:textId="77777777" w:rsidR="00E374F0" w:rsidRPr="00906719" w:rsidRDefault="00E374F0" w:rsidP="00E20505">
            <w:pPr>
              <w:pStyle w:val="TableText0"/>
              <w:rPr>
                <w:color w:val="000000" w:themeColor="text1"/>
              </w:rPr>
            </w:pPr>
            <w:r w:rsidRPr="00906719">
              <w:rPr>
                <w:color w:val="000000" w:themeColor="text1"/>
              </w:rPr>
              <w:t>Clinical claim</w:t>
            </w:r>
          </w:p>
        </w:tc>
        <w:tc>
          <w:tcPr>
            <w:tcW w:w="4076" w:type="pct"/>
            <w:shd w:val="clear" w:color="auto" w:fill="auto"/>
          </w:tcPr>
          <w:p w14:paraId="38D26409" w14:textId="6147E069" w:rsidR="00E374F0" w:rsidRPr="00906719" w:rsidRDefault="00E374F0" w:rsidP="00E20505">
            <w:pPr>
              <w:pStyle w:val="TableText0"/>
              <w:rPr>
                <w:color w:val="000000" w:themeColor="text1"/>
              </w:rPr>
            </w:pPr>
            <w:r w:rsidRPr="00906719">
              <w:rPr>
                <w:color w:val="000000" w:themeColor="text1"/>
              </w:rPr>
              <w:t xml:space="preserve">BEC/FOR </w:t>
            </w:r>
            <w:r w:rsidRPr="00906719">
              <w:rPr>
                <w:rFonts w:cs="Arial"/>
                <w:color w:val="000000" w:themeColor="text1"/>
              </w:rPr>
              <w:t>100/</w:t>
            </w:r>
            <w:r w:rsidR="007E179A" w:rsidRPr="00906719">
              <w:rPr>
                <w:rFonts w:cs="Arial"/>
                <w:color w:val="000000" w:themeColor="text1"/>
              </w:rPr>
              <w:t>6</w:t>
            </w:r>
            <w:r w:rsidR="007E179A">
              <w:rPr>
                <w:rFonts w:cs="Arial"/>
                <w:color w:val="000000" w:themeColor="text1"/>
              </w:rPr>
              <w:t> </w:t>
            </w:r>
            <w:r w:rsidRPr="00906719">
              <w:rPr>
                <w:rFonts w:cs="Arial"/>
                <w:color w:val="000000" w:themeColor="text1"/>
              </w:rPr>
              <w:t>µg</w:t>
            </w:r>
            <w:r w:rsidRPr="00906719">
              <w:rPr>
                <w:color w:val="000000" w:themeColor="text1"/>
              </w:rPr>
              <w:t xml:space="preserve"> is </w:t>
            </w:r>
            <w:r w:rsidRPr="00F46E6C">
              <w:rPr>
                <w:color w:val="000000" w:themeColor="text1"/>
              </w:rPr>
              <w:t>non-inferior</w:t>
            </w:r>
            <w:r w:rsidRPr="00906719">
              <w:rPr>
                <w:color w:val="000000" w:themeColor="text1"/>
              </w:rPr>
              <w:t xml:space="preserve"> in terms of efficacy and safety when compared to FP/SAL </w:t>
            </w:r>
            <w:r w:rsidR="00D45E40" w:rsidRPr="00906719">
              <w:rPr>
                <w:color w:val="000000" w:themeColor="text1"/>
              </w:rPr>
              <w:br/>
            </w:r>
            <w:r w:rsidRPr="00906719">
              <w:rPr>
                <w:rFonts w:cs="Arial"/>
                <w:color w:val="000000" w:themeColor="text1"/>
              </w:rPr>
              <w:t>250/</w:t>
            </w:r>
            <w:r w:rsidR="007E179A" w:rsidRPr="00906719">
              <w:rPr>
                <w:rFonts w:cs="Arial"/>
                <w:color w:val="000000" w:themeColor="text1"/>
              </w:rPr>
              <w:t>25</w:t>
            </w:r>
            <w:r w:rsidR="007E179A">
              <w:rPr>
                <w:rFonts w:cs="Arial"/>
                <w:color w:val="000000" w:themeColor="text1"/>
              </w:rPr>
              <w:t> </w:t>
            </w:r>
            <w:r w:rsidRPr="00906719">
              <w:rPr>
                <w:color w:val="000000" w:themeColor="text1"/>
              </w:rPr>
              <w:t>µg for the treatment of COPD</w:t>
            </w:r>
          </w:p>
        </w:tc>
      </w:tr>
    </w:tbl>
    <w:p w14:paraId="14F03B6B" w14:textId="33112EA7" w:rsidR="00E374F0" w:rsidRPr="00906719" w:rsidRDefault="00E374F0" w:rsidP="00E374F0">
      <w:pPr>
        <w:rPr>
          <w:rFonts w:ascii="Arial Narrow" w:hAnsi="Arial Narrow"/>
          <w:snapToGrid w:val="0"/>
          <w:color w:val="000000" w:themeColor="text1"/>
          <w:sz w:val="18"/>
          <w:szCs w:val="18"/>
        </w:rPr>
      </w:pPr>
      <w:r w:rsidRPr="00906719">
        <w:rPr>
          <w:rFonts w:ascii="Arial Narrow" w:hAnsi="Arial Narrow"/>
          <w:color w:val="000000" w:themeColor="text1"/>
          <w:sz w:val="18"/>
          <w:szCs w:val="18"/>
        </w:rPr>
        <w:t xml:space="preserve">Abbreviations: </w:t>
      </w:r>
      <w:r w:rsidR="00D45E40" w:rsidRPr="00906719">
        <w:rPr>
          <w:rFonts w:ascii="Arial Narrow" w:hAnsi="Arial Narrow"/>
          <w:color w:val="000000" w:themeColor="text1"/>
          <w:sz w:val="18"/>
          <w:szCs w:val="18"/>
        </w:rPr>
        <w:t xml:space="preserve">AUC = Area under the curve; </w:t>
      </w:r>
      <w:r w:rsidRPr="00906719">
        <w:rPr>
          <w:rFonts w:ascii="Arial Narrow" w:hAnsi="Arial Narrow"/>
          <w:snapToGrid w:val="0"/>
          <w:color w:val="000000" w:themeColor="text1"/>
          <w:sz w:val="18"/>
          <w:szCs w:val="18"/>
        </w:rPr>
        <w:t>BEC= Beclometasone dipropionate; FOR=</w:t>
      </w:r>
      <w:r w:rsidRPr="00906719">
        <w:rPr>
          <w:rFonts w:ascii="Arial Narrow" w:hAnsi="Arial Narrow"/>
          <w:color w:val="000000" w:themeColor="text1"/>
          <w:sz w:val="18"/>
          <w:szCs w:val="18"/>
        </w:rPr>
        <w:t xml:space="preserve"> </w:t>
      </w:r>
      <w:r w:rsidRPr="00906719">
        <w:rPr>
          <w:rFonts w:ascii="Arial Narrow" w:hAnsi="Arial Narrow"/>
          <w:snapToGrid w:val="0"/>
          <w:color w:val="000000" w:themeColor="text1"/>
          <w:sz w:val="18"/>
          <w:szCs w:val="18"/>
        </w:rPr>
        <w:t>Formoterol fumarate dehydrate; FP=</w:t>
      </w:r>
      <w:r w:rsidRPr="00906719">
        <w:rPr>
          <w:rFonts w:ascii="Arial Narrow" w:eastAsiaTheme="minorHAnsi" w:hAnsi="Arial Narrow"/>
          <w:color w:val="000000" w:themeColor="text1"/>
          <w:sz w:val="18"/>
          <w:szCs w:val="18"/>
          <w:lang w:eastAsia="en-US"/>
        </w:rPr>
        <w:t xml:space="preserve"> </w:t>
      </w:r>
      <w:r w:rsidRPr="00906719">
        <w:rPr>
          <w:rFonts w:ascii="Arial Narrow" w:hAnsi="Arial Narrow"/>
          <w:snapToGrid w:val="0"/>
          <w:color w:val="000000" w:themeColor="text1"/>
          <w:sz w:val="18"/>
          <w:szCs w:val="18"/>
        </w:rPr>
        <w:t xml:space="preserve">Fluticasone propionate; </w:t>
      </w:r>
      <w:r w:rsidRPr="00906719">
        <w:rPr>
          <w:rFonts w:ascii="Arial Narrow" w:hAnsi="Arial Narrow"/>
          <w:color w:val="000000" w:themeColor="text1"/>
          <w:sz w:val="18"/>
          <w:szCs w:val="18"/>
        </w:rPr>
        <w:t>SAL= Salmeterol; COPD= Chronic obstructive pulmonary disease; FEV1= Forced expiratory volume;</w:t>
      </w:r>
      <w:r w:rsidRPr="00906719">
        <w:rPr>
          <w:color w:val="000000" w:themeColor="text1"/>
        </w:rPr>
        <w:t xml:space="preserve"> </w:t>
      </w:r>
      <w:r w:rsidRPr="00906719">
        <w:rPr>
          <w:rFonts w:ascii="Arial Narrow" w:hAnsi="Arial Narrow"/>
          <w:color w:val="000000" w:themeColor="text1"/>
          <w:sz w:val="18"/>
          <w:szCs w:val="18"/>
        </w:rPr>
        <w:t>SGRQ= St. George's respiratory questionnaire;</w:t>
      </w:r>
      <w:r w:rsidRPr="00906719">
        <w:rPr>
          <w:color w:val="000000" w:themeColor="text1"/>
        </w:rPr>
        <w:t xml:space="preserve"> </w:t>
      </w:r>
      <w:r w:rsidRPr="00906719">
        <w:rPr>
          <w:rFonts w:ascii="Arial Narrow" w:hAnsi="Arial Narrow"/>
          <w:color w:val="000000" w:themeColor="text1"/>
          <w:sz w:val="18"/>
          <w:szCs w:val="18"/>
        </w:rPr>
        <w:t xml:space="preserve">6MWT= Six-minute walking test; TDI= transition dyspnoea index.  </w:t>
      </w:r>
    </w:p>
    <w:p w14:paraId="5F243623" w14:textId="77777777" w:rsidR="00E374F0" w:rsidRPr="00906719" w:rsidRDefault="00E374F0" w:rsidP="00E374F0">
      <w:pPr>
        <w:pStyle w:val="TableFigureFooter"/>
        <w:rPr>
          <w:color w:val="000000" w:themeColor="text1"/>
          <w:szCs w:val="18"/>
        </w:rPr>
      </w:pPr>
      <w:r w:rsidRPr="00906719">
        <w:rPr>
          <w:color w:val="000000" w:themeColor="text1"/>
          <w:szCs w:val="18"/>
        </w:rPr>
        <w:t>Source: Based on Table 10, p3 of the submission.</w:t>
      </w:r>
    </w:p>
    <w:p w14:paraId="0B3DB462" w14:textId="77777777" w:rsidR="00E374F0" w:rsidRPr="00906719" w:rsidRDefault="00E374F0" w:rsidP="00E374F0">
      <w:pPr>
        <w:pStyle w:val="2-SectionHeading"/>
        <w:jc w:val="left"/>
        <w:rPr>
          <w:color w:val="000000" w:themeColor="text1"/>
        </w:rPr>
      </w:pPr>
      <w:bookmarkStart w:id="10" w:name="_Toc22898845"/>
      <w:bookmarkStart w:id="11" w:name="_Toc93506446"/>
      <w:r w:rsidRPr="00906719">
        <w:rPr>
          <w:color w:val="000000" w:themeColor="text1"/>
        </w:rPr>
        <w:lastRenderedPageBreak/>
        <w:t>Background</w:t>
      </w:r>
      <w:bookmarkEnd w:id="10"/>
      <w:bookmarkEnd w:id="11"/>
    </w:p>
    <w:p w14:paraId="593DDB02" w14:textId="77777777" w:rsidR="00E374F0" w:rsidRPr="00906719" w:rsidRDefault="00E374F0" w:rsidP="00E374F0">
      <w:pPr>
        <w:pStyle w:val="4-SubsectionHeading"/>
        <w:rPr>
          <w:color w:val="000000" w:themeColor="text1"/>
        </w:rPr>
      </w:pPr>
      <w:bookmarkStart w:id="12" w:name="_Toc22897638"/>
      <w:bookmarkStart w:id="13" w:name="_Toc22898846"/>
      <w:bookmarkStart w:id="14" w:name="_Toc93506447"/>
      <w:r w:rsidRPr="00906719">
        <w:rPr>
          <w:color w:val="000000" w:themeColor="text1"/>
        </w:rPr>
        <w:t>Registration status</w:t>
      </w:r>
      <w:bookmarkEnd w:id="12"/>
      <w:bookmarkEnd w:id="13"/>
      <w:bookmarkEnd w:id="14"/>
    </w:p>
    <w:p w14:paraId="3507B98A" w14:textId="7D64A989" w:rsidR="00E374F0" w:rsidRPr="00906719" w:rsidRDefault="00E374F0" w:rsidP="00A7711D">
      <w:pPr>
        <w:pStyle w:val="3-BodyText"/>
        <w:rPr>
          <w:color w:val="000000" w:themeColor="text1"/>
        </w:rPr>
      </w:pPr>
      <w:r w:rsidRPr="00906719">
        <w:rPr>
          <w:color w:val="000000" w:themeColor="text1"/>
        </w:rPr>
        <w:t>BEC/FOR was approved by the TGA on 20</w:t>
      </w:r>
      <w:r w:rsidRPr="00906719">
        <w:rPr>
          <w:color w:val="000000" w:themeColor="text1"/>
          <w:vertAlign w:val="superscript"/>
        </w:rPr>
        <w:t>th</w:t>
      </w:r>
      <w:r w:rsidRPr="00906719">
        <w:rPr>
          <w:color w:val="000000" w:themeColor="text1"/>
        </w:rPr>
        <w:t xml:space="preserve"> January 2020 for an asthma population and for </w:t>
      </w:r>
      <w:r w:rsidRPr="00906719">
        <w:rPr>
          <w:iCs/>
          <w:color w:val="000000" w:themeColor="text1"/>
        </w:rPr>
        <w:t xml:space="preserve">symptomatic treatment of adults with severe COPD. The TGA indication for BEC/FOR </w:t>
      </w:r>
      <w:proofErr w:type="spellStart"/>
      <w:r w:rsidR="00082D9D">
        <w:rPr>
          <w:iCs/>
          <w:color w:val="000000" w:themeColor="text1"/>
        </w:rPr>
        <w:t>for</w:t>
      </w:r>
      <w:proofErr w:type="spellEnd"/>
      <w:r w:rsidR="00082D9D">
        <w:rPr>
          <w:iCs/>
          <w:color w:val="000000" w:themeColor="text1"/>
        </w:rPr>
        <w:t xml:space="preserve"> COPD </w:t>
      </w:r>
      <w:r w:rsidRPr="00906719">
        <w:rPr>
          <w:iCs/>
          <w:color w:val="000000" w:themeColor="text1"/>
        </w:rPr>
        <w:t xml:space="preserve">is: </w:t>
      </w:r>
      <w:r w:rsidRPr="00906719">
        <w:rPr>
          <w:color w:val="000000" w:themeColor="text1"/>
        </w:rPr>
        <w:t xml:space="preserve">‘Symptomatic treatment of adults with severe COPD (FEV1 &lt; 50% predicted normal) and a history of repeated exacerbations, who have significant symptoms despite regular therapy with long-acting </w:t>
      </w:r>
      <w:proofErr w:type="gramStart"/>
      <w:r w:rsidRPr="00906719">
        <w:rPr>
          <w:color w:val="000000" w:themeColor="text1"/>
        </w:rPr>
        <w:t>bronchodilators’</w:t>
      </w:r>
      <w:proofErr w:type="gramEnd"/>
      <w:r w:rsidRPr="00906719">
        <w:rPr>
          <w:color w:val="000000" w:themeColor="text1"/>
        </w:rPr>
        <w:t>.</w:t>
      </w:r>
    </w:p>
    <w:p w14:paraId="0465A67F" w14:textId="1D790B44" w:rsidR="00E374F0" w:rsidRDefault="00E374F0" w:rsidP="00A7711D">
      <w:pPr>
        <w:pStyle w:val="3-BodyText"/>
        <w:rPr>
          <w:color w:val="000000" w:themeColor="text1"/>
        </w:rPr>
      </w:pPr>
      <w:r w:rsidRPr="00906719">
        <w:rPr>
          <w:rFonts w:ascii="Calibri" w:hAnsi="Calibri"/>
          <w:color w:val="000000" w:themeColor="text1"/>
        </w:rPr>
        <w:t>BEC/FOR was officially registered on the Australian Register of Therapeutic Goods on 12</w:t>
      </w:r>
      <w:r w:rsidRPr="00906719">
        <w:rPr>
          <w:rFonts w:ascii="Calibri" w:hAnsi="Calibri"/>
          <w:color w:val="000000" w:themeColor="text1"/>
          <w:vertAlign w:val="superscript"/>
        </w:rPr>
        <w:t>th</w:t>
      </w:r>
      <w:r w:rsidRPr="00906719">
        <w:rPr>
          <w:rFonts w:ascii="Calibri" w:hAnsi="Calibri"/>
          <w:color w:val="000000" w:themeColor="text1"/>
        </w:rPr>
        <w:t xml:space="preserve"> February 2020 (ARTG ID: 310360). </w:t>
      </w:r>
      <w:r w:rsidRPr="00906719">
        <w:rPr>
          <w:color w:val="000000" w:themeColor="text1"/>
        </w:rPr>
        <w:t>BEC/FOR has been approved in 73 countries for both asthma and COPD.</w:t>
      </w:r>
    </w:p>
    <w:p w14:paraId="625E299E" w14:textId="6E6629F5" w:rsidR="00650D10" w:rsidRPr="00650D10" w:rsidRDefault="00650D10" w:rsidP="00650D10">
      <w:pPr>
        <w:pStyle w:val="3-BodyText"/>
        <w:numPr>
          <w:ilvl w:val="0"/>
          <w:numId w:val="0"/>
        </w:numPr>
        <w:ind w:left="720"/>
        <w:rPr>
          <w:i/>
          <w:iCs/>
          <w:color w:val="000000" w:themeColor="text1"/>
        </w:rPr>
      </w:pPr>
      <w:bookmarkStart w:id="15" w:name="_Hlk76375324"/>
      <w:r w:rsidRPr="00650D10">
        <w:rPr>
          <w:i/>
          <w:iCs/>
          <w:color w:val="000000" w:themeColor="text1"/>
        </w:rPr>
        <w:t>For more detail on PBAC’s view, see section 7 PBAC outcome.</w:t>
      </w:r>
      <w:bookmarkEnd w:id="15"/>
    </w:p>
    <w:p w14:paraId="4AB114ED" w14:textId="4C3E8F45" w:rsidR="00E374F0" w:rsidRDefault="00E374F0" w:rsidP="00A7711D">
      <w:pPr>
        <w:pStyle w:val="2-SectionHeading"/>
        <w:jc w:val="left"/>
        <w:rPr>
          <w:color w:val="000000" w:themeColor="text1"/>
        </w:rPr>
      </w:pPr>
      <w:bookmarkStart w:id="16" w:name="_Toc22898848"/>
      <w:bookmarkStart w:id="17" w:name="_Toc93506448"/>
      <w:r w:rsidRPr="00906719">
        <w:rPr>
          <w:color w:val="000000" w:themeColor="text1"/>
        </w:rPr>
        <w:t>Requested listing</w:t>
      </w:r>
      <w:bookmarkEnd w:id="16"/>
      <w:bookmarkEnd w:id="17"/>
    </w:p>
    <w:p w14:paraId="170B2316" w14:textId="66BD3519" w:rsidR="006A50B1" w:rsidRPr="00F909C6" w:rsidRDefault="00F909C6" w:rsidP="006A50B1">
      <w:pPr>
        <w:pStyle w:val="ListParagraph"/>
        <w:numPr>
          <w:ilvl w:val="1"/>
          <w:numId w:val="1"/>
        </w:numPr>
        <w:rPr>
          <w:rFonts w:cs="Calibri"/>
          <w:bCs/>
          <w:iCs/>
        </w:rPr>
      </w:pPr>
      <w:r w:rsidRPr="00F909C6">
        <w:rPr>
          <w:rFonts w:cs="Calibri"/>
          <w:bCs/>
          <w:iCs/>
        </w:rPr>
        <w:t>The requested restriction is presented below. 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850"/>
        <w:gridCol w:w="712"/>
        <w:gridCol w:w="849"/>
        <w:gridCol w:w="741"/>
        <w:gridCol w:w="1383"/>
        <w:gridCol w:w="994"/>
        <w:gridCol w:w="941"/>
      </w:tblGrid>
      <w:tr w:rsidR="00FE54E9" w:rsidRPr="00C54E70" w14:paraId="2315C377" w14:textId="77777777" w:rsidTr="00FE54E9">
        <w:trPr>
          <w:cantSplit/>
          <w:trHeight w:val="471"/>
        </w:trPr>
        <w:tc>
          <w:tcPr>
            <w:tcW w:w="1412" w:type="pct"/>
          </w:tcPr>
          <w:p w14:paraId="1701931A" w14:textId="77777777" w:rsidR="00FE54E9" w:rsidRPr="00C54E70" w:rsidRDefault="00FE54E9" w:rsidP="007E7ECA">
            <w:pPr>
              <w:keepNext/>
              <w:ind w:left="-108"/>
              <w:rPr>
                <w:rFonts w:ascii="Arial Narrow" w:hAnsi="Arial Narrow"/>
                <w:b/>
                <w:sz w:val="20"/>
                <w:szCs w:val="20"/>
              </w:rPr>
            </w:pPr>
            <w:r w:rsidRPr="00C54E70">
              <w:rPr>
                <w:rFonts w:ascii="Arial Narrow" w:hAnsi="Arial Narrow"/>
                <w:b/>
                <w:sz w:val="20"/>
                <w:szCs w:val="20"/>
              </w:rPr>
              <w:t>Name, Restriction,</w:t>
            </w:r>
          </w:p>
          <w:p w14:paraId="327511C1" w14:textId="77777777" w:rsidR="00FE54E9" w:rsidRPr="00C54E70" w:rsidRDefault="00FE54E9" w:rsidP="007E7ECA">
            <w:pPr>
              <w:keepNext/>
              <w:ind w:left="-108"/>
              <w:rPr>
                <w:rFonts w:ascii="Arial Narrow" w:hAnsi="Arial Narrow"/>
                <w:b/>
                <w:sz w:val="20"/>
                <w:szCs w:val="20"/>
              </w:rPr>
            </w:pPr>
            <w:r w:rsidRPr="00C54E70">
              <w:rPr>
                <w:rFonts w:ascii="Arial Narrow" w:hAnsi="Arial Narrow"/>
                <w:b/>
                <w:sz w:val="20"/>
                <w:szCs w:val="20"/>
              </w:rPr>
              <w:t>Manner of administration and form</w:t>
            </w:r>
          </w:p>
        </w:tc>
        <w:tc>
          <w:tcPr>
            <w:tcW w:w="471" w:type="pct"/>
          </w:tcPr>
          <w:p w14:paraId="5036F3A0" w14:textId="1D9DE120" w:rsidR="00FE54E9" w:rsidRPr="00C54E70" w:rsidRDefault="00FE54E9" w:rsidP="007E7ECA">
            <w:pPr>
              <w:keepNext/>
              <w:ind w:left="-108"/>
              <w:jc w:val="center"/>
              <w:rPr>
                <w:rFonts w:ascii="Arial Narrow" w:hAnsi="Arial Narrow"/>
                <w:b/>
                <w:sz w:val="20"/>
                <w:szCs w:val="20"/>
              </w:rPr>
            </w:pPr>
            <w:r w:rsidRPr="00C54E70">
              <w:rPr>
                <w:rFonts w:ascii="Arial Narrow" w:hAnsi="Arial Narrow"/>
                <w:b/>
                <w:sz w:val="20"/>
                <w:szCs w:val="20"/>
              </w:rPr>
              <w:t>PBS item cod</w:t>
            </w:r>
          </w:p>
        </w:tc>
        <w:tc>
          <w:tcPr>
            <w:tcW w:w="395" w:type="pct"/>
          </w:tcPr>
          <w:p w14:paraId="672D2B25" w14:textId="77777777" w:rsidR="00FE54E9" w:rsidRPr="00C54E70" w:rsidRDefault="00FE54E9" w:rsidP="007E7ECA">
            <w:pPr>
              <w:keepNext/>
              <w:ind w:left="-108"/>
              <w:jc w:val="center"/>
              <w:rPr>
                <w:rFonts w:ascii="Arial Narrow" w:hAnsi="Arial Narrow"/>
                <w:b/>
                <w:sz w:val="20"/>
                <w:szCs w:val="20"/>
              </w:rPr>
            </w:pPr>
            <w:r w:rsidRPr="00C54E70">
              <w:rPr>
                <w:rFonts w:ascii="Arial Narrow" w:hAnsi="Arial Narrow"/>
                <w:b/>
                <w:sz w:val="20"/>
                <w:szCs w:val="20"/>
              </w:rPr>
              <w:t>Max. qty packs</w:t>
            </w:r>
          </w:p>
        </w:tc>
        <w:tc>
          <w:tcPr>
            <w:tcW w:w="471" w:type="pct"/>
          </w:tcPr>
          <w:p w14:paraId="4ADD2B78" w14:textId="77777777" w:rsidR="00FE54E9" w:rsidRPr="00C54E70" w:rsidRDefault="00FE54E9" w:rsidP="007E7ECA">
            <w:pPr>
              <w:keepNext/>
              <w:ind w:left="-108"/>
              <w:jc w:val="center"/>
              <w:rPr>
                <w:rFonts w:ascii="Arial Narrow" w:hAnsi="Arial Narrow"/>
                <w:b/>
                <w:sz w:val="20"/>
                <w:szCs w:val="20"/>
              </w:rPr>
            </w:pPr>
            <w:r w:rsidRPr="00C54E70">
              <w:rPr>
                <w:rFonts w:ascii="Arial Narrow" w:hAnsi="Arial Narrow"/>
                <w:b/>
                <w:sz w:val="20"/>
                <w:szCs w:val="20"/>
              </w:rPr>
              <w:t>Max. qty units</w:t>
            </w:r>
          </w:p>
        </w:tc>
        <w:tc>
          <w:tcPr>
            <w:tcW w:w="411" w:type="pct"/>
          </w:tcPr>
          <w:p w14:paraId="7548E0B0" w14:textId="5C927138" w:rsidR="00FE54E9" w:rsidRPr="00C54E70" w:rsidRDefault="00FE54E9" w:rsidP="007E7ECA">
            <w:pPr>
              <w:keepNext/>
              <w:ind w:left="-108"/>
              <w:jc w:val="center"/>
              <w:rPr>
                <w:rFonts w:ascii="Arial Narrow" w:hAnsi="Arial Narrow"/>
                <w:b/>
                <w:sz w:val="20"/>
                <w:szCs w:val="20"/>
              </w:rPr>
            </w:pPr>
            <w:proofErr w:type="gramStart"/>
            <w:r w:rsidRPr="00C54E70">
              <w:rPr>
                <w:rFonts w:ascii="Arial Narrow" w:hAnsi="Arial Narrow"/>
                <w:b/>
                <w:sz w:val="20"/>
                <w:szCs w:val="20"/>
              </w:rPr>
              <w:t>№.of</w:t>
            </w:r>
            <w:proofErr w:type="gramEnd"/>
            <w:r w:rsidRPr="00C54E70">
              <w:rPr>
                <w:rFonts w:ascii="Arial Narrow" w:hAnsi="Arial Narrow"/>
                <w:b/>
                <w:sz w:val="20"/>
                <w:szCs w:val="20"/>
              </w:rPr>
              <w:t xml:space="preserve"> </w:t>
            </w:r>
            <w:proofErr w:type="spellStart"/>
            <w:r w:rsidRPr="00C54E70">
              <w:rPr>
                <w:rFonts w:ascii="Arial Narrow" w:hAnsi="Arial Narrow"/>
                <w:b/>
                <w:sz w:val="20"/>
                <w:szCs w:val="20"/>
              </w:rPr>
              <w:t>Rpts</w:t>
            </w:r>
            <w:proofErr w:type="spellEnd"/>
          </w:p>
        </w:tc>
        <w:tc>
          <w:tcPr>
            <w:tcW w:w="767" w:type="pct"/>
          </w:tcPr>
          <w:p w14:paraId="2D186639" w14:textId="3D441A4B" w:rsidR="00FE54E9" w:rsidRPr="00C54E70" w:rsidRDefault="00FE54E9" w:rsidP="007E7ECA">
            <w:pPr>
              <w:keepNext/>
              <w:ind w:left="-108"/>
              <w:jc w:val="center"/>
              <w:rPr>
                <w:rFonts w:ascii="Arial Narrow" w:hAnsi="Arial Narrow"/>
                <w:b/>
                <w:sz w:val="20"/>
                <w:szCs w:val="20"/>
              </w:rPr>
            </w:pPr>
            <w:r w:rsidRPr="00C54E70">
              <w:rPr>
                <w:rFonts w:ascii="Arial Narrow" w:hAnsi="Arial Narrow"/>
                <w:b/>
                <w:sz w:val="20"/>
                <w:szCs w:val="20"/>
              </w:rPr>
              <w:t>Dispensed Price for Max. Qty</w:t>
            </w:r>
          </w:p>
        </w:tc>
        <w:tc>
          <w:tcPr>
            <w:tcW w:w="1072" w:type="pct"/>
            <w:gridSpan w:val="2"/>
          </w:tcPr>
          <w:p w14:paraId="1C166B0E" w14:textId="77777777" w:rsidR="00FE54E9" w:rsidRPr="00C54E70" w:rsidRDefault="00FE54E9" w:rsidP="007E7ECA">
            <w:pPr>
              <w:keepNext/>
              <w:rPr>
                <w:rFonts w:ascii="Arial Narrow" w:hAnsi="Arial Narrow"/>
                <w:b/>
                <w:sz w:val="20"/>
                <w:szCs w:val="20"/>
                <w:lang w:val="fr-FR"/>
              </w:rPr>
            </w:pPr>
            <w:r w:rsidRPr="00C54E70">
              <w:rPr>
                <w:rFonts w:ascii="Arial Narrow" w:hAnsi="Arial Narrow"/>
                <w:b/>
                <w:sz w:val="20"/>
                <w:szCs w:val="20"/>
              </w:rPr>
              <w:t>Proprietary Name and Manufacturer</w:t>
            </w:r>
          </w:p>
        </w:tc>
      </w:tr>
      <w:tr w:rsidR="00FE54E9" w:rsidRPr="00C54E70" w14:paraId="55C86189" w14:textId="77777777" w:rsidTr="00FE54E9">
        <w:trPr>
          <w:cantSplit/>
          <w:trHeight w:val="761"/>
        </w:trPr>
        <w:tc>
          <w:tcPr>
            <w:tcW w:w="1412" w:type="pct"/>
          </w:tcPr>
          <w:p w14:paraId="14F87BBB" w14:textId="77777777" w:rsidR="00FE54E9" w:rsidRPr="00C54E70" w:rsidRDefault="00FE54E9" w:rsidP="007E7ECA">
            <w:pPr>
              <w:keepNext/>
              <w:ind w:left="-108"/>
              <w:rPr>
                <w:rFonts w:ascii="Arial Narrow" w:hAnsi="Arial Narrow"/>
                <w:sz w:val="20"/>
                <w:szCs w:val="20"/>
              </w:rPr>
            </w:pPr>
            <w:r w:rsidRPr="00C54E70">
              <w:rPr>
                <w:rFonts w:ascii="Arial Narrow" w:hAnsi="Arial Narrow"/>
                <w:sz w:val="20"/>
                <w:szCs w:val="20"/>
              </w:rPr>
              <w:t>BECLOMETASONE with FORMOTEROL</w:t>
            </w:r>
          </w:p>
          <w:p w14:paraId="1BAF840F" w14:textId="77777777" w:rsidR="00FE54E9" w:rsidRPr="00C54E70" w:rsidRDefault="00FE54E9" w:rsidP="007E7ECA">
            <w:pPr>
              <w:keepNext/>
              <w:ind w:left="-108"/>
              <w:rPr>
                <w:rFonts w:ascii="Arial Narrow" w:hAnsi="Arial Narrow"/>
                <w:sz w:val="20"/>
                <w:szCs w:val="20"/>
              </w:rPr>
            </w:pPr>
          </w:p>
          <w:p w14:paraId="376A0619" w14:textId="77777777" w:rsidR="00FE54E9" w:rsidRPr="00C54E70" w:rsidRDefault="00FE54E9" w:rsidP="007E7ECA">
            <w:pPr>
              <w:keepNext/>
              <w:ind w:left="-108"/>
              <w:rPr>
                <w:rFonts w:ascii="Arial Narrow" w:hAnsi="Arial Narrow"/>
                <w:sz w:val="20"/>
                <w:szCs w:val="20"/>
              </w:rPr>
            </w:pPr>
            <w:r w:rsidRPr="00C54E70">
              <w:rPr>
                <w:rFonts w:ascii="Arial Narrow" w:hAnsi="Arial Narrow"/>
                <w:sz w:val="20"/>
                <w:szCs w:val="20"/>
              </w:rPr>
              <w:t>beclometasone dipropionate 100 microgram/actuation + formoterol (eformoterol) fumarate dihydrate 6 microgram/actuation inhalation, 120 actuations</w:t>
            </w:r>
          </w:p>
        </w:tc>
        <w:tc>
          <w:tcPr>
            <w:tcW w:w="471" w:type="pct"/>
          </w:tcPr>
          <w:p w14:paraId="7978ADF7" w14:textId="77777777" w:rsidR="00FE54E9" w:rsidRPr="00C54E70" w:rsidRDefault="00FE54E9" w:rsidP="007E7ECA">
            <w:pPr>
              <w:keepNext/>
              <w:ind w:left="-108"/>
              <w:jc w:val="center"/>
              <w:rPr>
                <w:rFonts w:ascii="Arial Narrow" w:hAnsi="Arial Narrow"/>
                <w:sz w:val="20"/>
                <w:szCs w:val="20"/>
              </w:rPr>
            </w:pPr>
          </w:p>
          <w:p w14:paraId="75578E68" w14:textId="77777777" w:rsidR="00FE54E9" w:rsidRPr="00C54E70" w:rsidRDefault="00FE54E9" w:rsidP="007E7ECA">
            <w:pPr>
              <w:keepNext/>
              <w:ind w:left="-108"/>
              <w:jc w:val="center"/>
              <w:rPr>
                <w:rFonts w:ascii="Arial Narrow" w:hAnsi="Arial Narrow"/>
                <w:sz w:val="20"/>
                <w:szCs w:val="20"/>
              </w:rPr>
            </w:pPr>
            <w:r w:rsidRPr="00C54E70">
              <w:rPr>
                <w:rFonts w:ascii="Arial Narrow" w:hAnsi="Arial Narrow"/>
                <w:sz w:val="20"/>
                <w:szCs w:val="20"/>
              </w:rPr>
              <w:t xml:space="preserve"> </w:t>
            </w:r>
          </w:p>
          <w:p w14:paraId="69783D9A" w14:textId="77777777" w:rsidR="00FE54E9" w:rsidRPr="00C54E70" w:rsidRDefault="00FE54E9" w:rsidP="007E7ECA">
            <w:pPr>
              <w:keepNext/>
              <w:ind w:left="-108"/>
              <w:jc w:val="center"/>
              <w:rPr>
                <w:rFonts w:ascii="Arial Narrow" w:hAnsi="Arial Narrow"/>
                <w:sz w:val="20"/>
                <w:szCs w:val="20"/>
              </w:rPr>
            </w:pPr>
          </w:p>
          <w:p w14:paraId="25B6E879" w14:textId="3AFF2697" w:rsidR="00FE54E9" w:rsidRPr="00C54E70" w:rsidRDefault="00FE54E9" w:rsidP="007E7ECA">
            <w:pPr>
              <w:keepNext/>
              <w:ind w:left="-108"/>
              <w:jc w:val="center"/>
              <w:rPr>
                <w:rFonts w:ascii="Arial Narrow" w:hAnsi="Arial Narrow"/>
                <w:sz w:val="20"/>
                <w:szCs w:val="20"/>
              </w:rPr>
            </w:pPr>
            <w:r w:rsidRPr="00C54E70">
              <w:rPr>
                <w:rFonts w:ascii="Arial Narrow" w:hAnsi="Arial Narrow"/>
                <w:sz w:val="20"/>
                <w:szCs w:val="20"/>
              </w:rPr>
              <w:t>12183F</w:t>
            </w:r>
          </w:p>
        </w:tc>
        <w:tc>
          <w:tcPr>
            <w:tcW w:w="395" w:type="pct"/>
          </w:tcPr>
          <w:p w14:paraId="75013AA7" w14:textId="77777777" w:rsidR="00FE54E9" w:rsidRPr="00C54E70" w:rsidRDefault="00FE54E9" w:rsidP="007E7ECA">
            <w:pPr>
              <w:keepNext/>
              <w:jc w:val="center"/>
              <w:rPr>
                <w:rFonts w:ascii="Arial Narrow" w:hAnsi="Arial Narrow"/>
                <w:sz w:val="20"/>
                <w:szCs w:val="20"/>
              </w:rPr>
            </w:pPr>
          </w:p>
          <w:p w14:paraId="4B340A8F" w14:textId="77777777" w:rsidR="00FE54E9" w:rsidRPr="00C54E70" w:rsidRDefault="00FE54E9" w:rsidP="007E7ECA">
            <w:pPr>
              <w:keepNext/>
              <w:ind w:left="-108"/>
              <w:jc w:val="center"/>
              <w:rPr>
                <w:rFonts w:ascii="Arial Narrow" w:hAnsi="Arial Narrow"/>
                <w:sz w:val="20"/>
                <w:szCs w:val="20"/>
              </w:rPr>
            </w:pPr>
          </w:p>
          <w:p w14:paraId="6909D2D0" w14:textId="77777777" w:rsidR="00FE54E9" w:rsidRPr="00C54E70" w:rsidRDefault="00FE54E9" w:rsidP="007E7ECA">
            <w:pPr>
              <w:keepNext/>
              <w:jc w:val="center"/>
              <w:rPr>
                <w:rFonts w:ascii="Arial Narrow" w:hAnsi="Arial Narrow"/>
                <w:sz w:val="20"/>
                <w:szCs w:val="20"/>
              </w:rPr>
            </w:pPr>
          </w:p>
          <w:p w14:paraId="2685ED63" w14:textId="44E0397A" w:rsidR="00FE54E9" w:rsidRPr="00C54E70" w:rsidRDefault="00FE54E9" w:rsidP="007E7ECA">
            <w:pPr>
              <w:keepNext/>
              <w:jc w:val="center"/>
              <w:rPr>
                <w:rFonts w:ascii="Arial Narrow" w:hAnsi="Arial Narrow"/>
                <w:sz w:val="20"/>
                <w:szCs w:val="20"/>
              </w:rPr>
            </w:pPr>
            <w:r w:rsidRPr="00C54E70">
              <w:rPr>
                <w:rFonts w:ascii="Arial Narrow" w:hAnsi="Arial Narrow"/>
                <w:sz w:val="20"/>
                <w:szCs w:val="20"/>
              </w:rPr>
              <w:t>1</w:t>
            </w:r>
          </w:p>
        </w:tc>
        <w:tc>
          <w:tcPr>
            <w:tcW w:w="471" w:type="pct"/>
          </w:tcPr>
          <w:p w14:paraId="7AF0B5D8" w14:textId="77777777" w:rsidR="00FE54E9" w:rsidRPr="00C54E70" w:rsidRDefault="00FE54E9" w:rsidP="007E7ECA">
            <w:pPr>
              <w:keepNext/>
              <w:ind w:left="-108"/>
              <w:jc w:val="center"/>
              <w:rPr>
                <w:rFonts w:ascii="Arial Narrow" w:hAnsi="Arial Narrow"/>
                <w:sz w:val="20"/>
                <w:szCs w:val="20"/>
              </w:rPr>
            </w:pPr>
          </w:p>
          <w:p w14:paraId="7F7D1939" w14:textId="77777777" w:rsidR="00FE54E9" w:rsidRPr="00C54E70" w:rsidRDefault="00FE54E9" w:rsidP="007E7ECA">
            <w:pPr>
              <w:keepNext/>
              <w:rPr>
                <w:rFonts w:ascii="Arial Narrow" w:hAnsi="Arial Narrow"/>
                <w:sz w:val="20"/>
                <w:szCs w:val="20"/>
              </w:rPr>
            </w:pPr>
          </w:p>
          <w:p w14:paraId="6B0AC368" w14:textId="77777777" w:rsidR="00FE54E9" w:rsidRPr="00C54E70" w:rsidRDefault="00FE54E9" w:rsidP="007E7ECA">
            <w:pPr>
              <w:keepNext/>
              <w:ind w:left="-108"/>
              <w:jc w:val="center"/>
              <w:rPr>
                <w:rFonts w:ascii="Arial Narrow" w:hAnsi="Arial Narrow"/>
                <w:sz w:val="20"/>
                <w:szCs w:val="20"/>
              </w:rPr>
            </w:pPr>
          </w:p>
          <w:p w14:paraId="7D3DA65A" w14:textId="38E95911" w:rsidR="00FE54E9" w:rsidRPr="00C54E70" w:rsidRDefault="00FE54E9" w:rsidP="007E7ECA">
            <w:pPr>
              <w:keepNext/>
              <w:ind w:left="-108"/>
              <w:jc w:val="center"/>
              <w:rPr>
                <w:rFonts w:ascii="Arial Narrow" w:hAnsi="Arial Narrow"/>
                <w:sz w:val="20"/>
                <w:szCs w:val="20"/>
              </w:rPr>
            </w:pPr>
            <w:r w:rsidRPr="00C54E70">
              <w:rPr>
                <w:rFonts w:ascii="Arial Narrow" w:hAnsi="Arial Narrow"/>
                <w:sz w:val="20"/>
                <w:szCs w:val="20"/>
              </w:rPr>
              <w:t>1</w:t>
            </w:r>
          </w:p>
        </w:tc>
        <w:tc>
          <w:tcPr>
            <w:tcW w:w="411" w:type="pct"/>
          </w:tcPr>
          <w:p w14:paraId="4123B445" w14:textId="77777777" w:rsidR="00FE54E9" w:rsidRPr="00C54E70" w:rsidRDefault="00FE54E9" w:rsidP="007E7ECA">
            <w:pPr>
              <w:keepNext/>
              <w:ind w:left="-108"/>
              <w:jc w:val="center"/>
              <w:rPr>
                <w:rFonts w:ascii="Arial Narrow" w:hAnsi="Arial Narrow"/>
                <w:sz w:val="20"/>
                <w:szCs w:val="20"/>
              </w:rPr>
            </w:pPr>
          </w:p>
          <w:p w14:paraId="34D176F6" w14:textId="77777777" w:rsidR="00FE54E9" w:rsidRPr="00C54E70" w:rsidRDefault="00FE54E9" w:rsidP="007E7ECA">
            <w:pPr>
              <w:keepNext/>
              <w:ind w:left="-108"/>
              <w:jc w:val="center"/>
              <w:rPr>
                <w:rFonts w:ascii="Arial Narrow" w:hAnsi="Arial Narrow"/>
                <w:sz w:val="20"/>
                <w:szCs w:val="20"/>
              </w:rPr>
            </w:pPr>
          </w:p>
          <w:p w14:paraId="281DAAEC" w14:textId="77777777" w:rsidR="00FE54E9" w:rsidRPr="00C54E70" w:rsidRDefault="00FE54E9" w:rsidP="007E7ECA">
            <w:pPr>
              <w:keepNext/>
              <w:ind w:left="-108"/>
              <w:jc w:val="center"/>
              <w:rPr>
                <w:rFonts w:ascii="Arial Narrow" w:hAnsi="Arial Narrow"/>
                <w:sz w:val="20"/>
                <w:szCs w:val="20"/>
              </w:rPr>
            </w:pPr>
          </w:p>
          <w:p w14:paraId="36E1FFC7" w14:textId="16F74BA5" w:rsidR="00FE54E9" w:rsidRPr="00C54E70" w:rsidRDefault="00FE54E9" w:rsidP="007E7ECA">
            <w:pPr>
              <w:keepNext/>
              <w:ind w:left="-108"/>
              <w:jc w:val="center"/>
              <w:rPr>
                <w:rFonts w:ascii="Arial Narrow" w:hAnsi="Arial Narrow"/>
                <w:sz w:val="20"/>
                <w:szCs w:val="20"/>
              </w:rPr>
            </w:pPr>
            <w:r w:rsidRPr="00C54E70">
              <w:rPr>
                <w:rFonts w:ascii="Arial Narrow" w:hAnsi="Arial Narrow"/>
                <w:sz w:val="20"/>
                <w:szCs w:val="20"/>
              </w:rPr>
              <w:t>5</w:t>
            </w:r>
          </w:p>
        </w:tc>
        <w:tc>
          <w:tcPr>
            <w:tcW w:w="767" w:type="pct"/>
          </w:tcPr>
          <w:p w14:paraId="30469E5A" w14:textId="03F8E2E5" w:rsidR="00FE54E9" w:rsidRPr="00C54E70" w:rsidRDefault="00FE54E9" w:rsidP="007E7ECA">
            <w:pPr>
              <w:keepNext/>
              <w:ind w:left="-108"/>
              <w:jc w:val="center"/>
              <w:rPr>
                <w:rFonts w:ascii="Arial Narrow" w:hAnsi="Arial Narrow"/>
                <w:sz w:val="20"/>
                <w:szCs w:val="20"/>
              </w:rPr>
            </w:pPr>
          </w:p>
          <w:p w14:paraId="3134318D" w14:textId="77777777" w:rsidR="00FE54E9" w:rsidRPr="00C54E70" w:rsidRDefault="00FE54E9" w:rsidP="007E7ECA">
            <w:pPr>
              <w:keepNext/>
              <w:rPr>
                <w:rFonts w:ascii="Arial Narrow" w:hAnsi="Arial Narrow"/>
                <w:sz w:val="20"/>
                <w:szCs w:val="20"/>
              </w:rPr>
            </w:pPr>
          </w:p>
          <w:p w14:paraId="5AC0A612" w14:textId="77777777" w:rsidR="00FE54E9" w:rsidRPr="00C54E70" w:rsidRDefault="00FE54E9" w:rsidP="00FE54E9">
            <w:pPr>
              <w:keepNext/>
              <w:jc w:val="center"/>
              <w:rPr>
                <w:rFonts w:ascii="Arial Narrow" w:hAnsi="Arial Narrow"/>
                <w:sz w:val="20"/>
                <w:szCs w:val="20"/>
              </w:rPr>
            </w:pPr>
          </w:p>
          <w:p w14:paraId="2035AEC0" w14:textId="43308E9F" w:rsidR="00FE54E9" w:rsidRPr="00C54E70" w:rsidRDefault="00FE54E9" w:rsidP="00FE54E9">
            <w:pPr>
              <w:keepNext/>
              <w:jc w:val="center"/>
              <w:rPr>
                <w:rFonts w:ascii="Arial Narrow" w:hAnsi="Arial Narrow"/>
                <w:sz w:val="20"/>
                <w:szCs w:val="20"/>
              </w:rPr>
            </w:pPr>
            <w:r w:rsidRPr="00C54E70">
              <w:rPr>
                <w:rFonts w:ascii="Arial Narrow" w:hAnsi="Arial Narrow"/>
                <w:sz w:val="20"/>
                <w:szCs w:val="20"/>
              </w:rPr>
              <w:t>$</w:t>
            </w:r>
            <w:r w:rsidR="0078736D" w:rsidRPr="00C54E70">
              <w:rPr>
                <w:rFonts w:ascii="Arial Narrow" w:hAnsi="Arial Narrow"/>
                <w:color w:val="000000"/>
                <w:sz w:val="20"/>
                <w:szCs w:val="20"/>
                <w:shd w:val="solid" w:color="000000" w:fill="000000"/>
                <w14:textFill>
                  <w14:solidFill>
                    <w14:srgbClr w14:val="000000">
                      <w14:alpha w14:val="100000"/>
                    </w14:srgbClr>
                  </w14:solidFill>
                </w14:textFill>
              </w:rPr>
              <w:t>|</w:t>
            </w:r>
          </w:p>
        </w:tc>
        <w:tc>
          <w:tcPr>
            <w:tcW w:w="551" w:type="pct"/>
          </w:tcPr>
          <w:p w14:paraId="467DBD3D" w14:textId="77777777" w:rsidR="00FE54E9" w:rsidRPr="00C54E70" w:rsidRDefault="00FE54E9" w:rsidP="007E7ECA">
            <w:pPr>
              <w:keepNext/>
              <w:rPr>
                <w:rFonts w:ascii="Arial Narrow" w:hAnsi="Arial Narrow"/>
                <w:sz w:val="20"/>
                <w:szCs w:val="20"/>
              </w:rPr>
            </w:pPr>
          </w:p>
          <w:p w14:paraId="60D19D8E" w14:textId="77777777" w:rsidR="00FE54E9" w:rsidRPr="00C54E70" w:rsidRDefault="00FE54E9" w:rsidP="007E7ECA">
            <w:pPr>
              <w:keepNext/>
              <w:rPr>
                <w:rFonts w:ascii="Arial Narrow" w:hAnsi="Arial Narrow"/>
                <w:sz w:val="20"/>
                <w:szCs w:val="20"/>
              </w:rPr>
            </w:pPr>
          </w:p>
          <w:p w14:paraId="173C4BAD" w14:textId="77777777" w:rsidR="00FE54E9" w:rsidRPr="00C54E70" w:rsidRDefault="00FE54E9" w:rsidP="007E7ECA">
            <w:pPr>
              <w:keepNext/>
              <w:rPr>
                <w:rFonts w:ascii="Arial Narrow" w:hAnsi="Arial Narrow"/>
                <w:sz w:val="20"/>
                <w:szCs w:val="20"/>
              </w:rPr>
            </w:pPr>
          </w:p>
          <w:p w14:paraId="64964CF7" w14:textId="2BAFEDA3" w:rsidR="00FE54E9" w:rsidRPr="00C54E70" w:rsidRDefault="00FE54E9" w:rsidP="007E7ECA">
            <w:pPr>
              <w:keepNext/>
              <w:rPr>
                <w:rFonts w:ascii="Arial Narrow" w:hAnsi="Arial Narrow"/>
                <w:sz w:val="20"/>
                <w:szCs w:val="20"/>
              </w:rPr>
            </w:pPr>
            <w:r w:rsidRPr="00C54E70">
              <w:rPr>
                <w:rFonts w:ascii="Arial Narrow" w:hAnsi="Arial Narrow"/>
                <w:sz w:val="20"/>
                <w:szCs w:val="20"/>
              </w:rPr>
              <w:t>Fostair</w:t>
            </w:r>
            <w:r w:rsidRPr="00C54E70">
              <w:rPr>
                <w:rFonts w:ascii="Arial Narrow" w:hAnsi="Arial Narrow"/>
                <w:sz w:val="20"/>
                <w:szCs w:val="20"/>
                <w:vertAlign w:val="superscript"/>
              </w:rPr>
              <w:t>®</w:t>
            </w:r>
          </w:p>
        </w:tc>
        <w:tc>
          <w:tcPr>
            <w:tcW w:w="522" w:type="pct"/>
          </w:tcPr>
          <w:p w14:paraId="75138DA6" w14:textId="77777777" w:rsidR="00FE54E9" w:rsidRPr="00C54E70" w:rsidRDefault="00FE54E9" w:rsidP="007E7ECA">
            <w:pPr>
              <w:keepNext/>
              <w:rPr>
                <w:rFonts w:ascii="Arial Narrow" w:hAnsi="Arial Narrow"/>
                <w:sz w:val="20"/>
                <w:szCs w:val="20"/>
              </w:rPr>
            </w:pPr>
          </w:p>
          <w:p w14:paraId="0A2E050E" w14:textId="77777777" w:rsidR="00FE54E9" w:rsidRPr="00C54E70" w:rsidRDefault="00FE54E9" w:rsidP="007E7ECA">
            <w:pPr>
              <w:keepNext/>
              <w:rPr>
                <w:rFonts w:ascii="Arial Narrow" w:hAnsi="Arial Narrow"/>
                <w:sz w:val="20"/>
                <w:szCs w:val="20"/>
              </w:rPr>
            </w:pPr>
          </w:p>
          <w:p w14:paraId="6CC7CB9A" w14:textId="77777777" w:rsidR="00FE54E9" w:rsidRPr="00C54E70" w:rsidRDefault="00FE54E9" w:rsidP="007E7ECA">
            <w:pPr>
              <w:keepNext/>
              <w:rPr>
                <w:rFonts w:ascii="Arial Narrow" w:hAnsi="Arial Narrow"/>
                <w:sz w:val="20"/>
                <w:szCs w:val="20"/>
              </w:rPr>
            </w:pPr>
          </w:p>
          <w:p w14:paraId="2284A55B" w14:textId="7F2FEDEE" w:rsidR="00FE54E9" w:rsidRPr="00C54E70" w:rsidRDefault="00FE54E9" w:rsidP="007E7ECA">
            <w:pPr>
              <w:keepNext/>
              <w:rPr>
                <w:rFonts w:ascii="Arial Narrow" w:hAnsi="Arial Narrow"/>
                <w:sz w:val="20"/>
                <w:szCs w:val="20"/>
              </w:rPr>
            </w:pPr>
            <w:proofErr w:type="spellStart"/>
            <w:r w:rsidRPr="00C54E70">
              <w:rPr>
                <w:rFonts w:ascii="Arial Narrow" w:hAnsi="Arial Narrow"/>
                <w:sz w:val="20"/>
                <w:szCs w:val="20"/>
              </w:rPr>
              <w:t>Chiesi</w:t>
            </w:r>
            <w:proofErr w:type="spellEnd"/>
            <w:r w:rsidRPr="00C54E70">
              <w:rPr>
                <w:rFonts w:ascii="Arial Narrow" w:hAnsi="Arial Narrow"/>
                <w:sz w:val="20"/>
                <w:szCs w:val="20"/>
              </w:rPr>
              <w:t xml:space="preserve"> Australia Pty Ltd</w:t>
            </w:r>
          </w:p>
        </w:tc>
      </w:tr>
    </w:tbl>
    <w:p w14:paraId="128D6481" w14:textId="47DAD4CC" w:rsidR="00F909C6" w:rsidRPr="00C54E70" w:rsidRDefault="00F909C6" w:rsidP="00F909C6">
      <w:pPr>
        <w:rPr>
          <w:rFonts w:ascii="Arial Narrow" w:hAnsi="Arial Narrow"/>
          <w:b/>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F909C6" w:rsidRPr="00C54E70" w14:paraId="303FC6A8" w14:textId="77777777" w:rsidTr="007E7ECA">
        <w:tc>
          <w:tcPr>
            <w:tcW w:w="553" w:type="pct"/>
            <w:tcBorders>
              <w:top w:val="single" w:sz="4" w:space="0" w:color="auto"/>
              <w:left w:val="single" w:sz="4" w:space="0" w:color="auto"/>
              <w:bottom w:val="single" w:sz="4" w:space="0" w:color="auto"/>
              <w:right w:val="single" w:sz="4" w:space="0" w:color="auto"/>
            </w:tcBorders>
          </w:tcPr>
          <w:p w14:paraId="55555FA3" w14:textId="47B1F17D" w:rsidR="00F909C6" w:rsidRPr="00C54E70" w:rsidRDefault="00F909C6" w:rsidP="007E7ECA">
            <w:pPr>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4742D897" w14:textId="77777777" w:rsidR="00F909C6" w:rsidRPr="00C54E70" w:rsidRDefault="00F909C6" w:rsidP="007E7ECA">
            <w:pPr>
              <w:rPr>
                <w:rFonts w:ascii="Arial Narrow" w:hAnsi="Arial Narrow"/>
                <w:sz w:val="20"/>
                <w:szCs w:val="20"/>
              </w:rPr>
            </w:pPr>
            <w:r w:rsidRPr="00C54E70">
              <w:rPr>
                <w:rFonts w:ascii="Arial Narrow" w:hAnsi="Arial Narrow"/>
                <w:b/>
                <w:sz w:val="20"/>
                <w:szCs w:val="20"/>
              </w:rPr>
              <w:t xml:space="preserve">Category / Program:   </w:t>
            </w:r>
          </w:p>
          <w:p w14:paraId="6A7BF3AB" w14:textId="77777777" w:rsidR="00F909C6" w:rsidRPr="00C54E70" w:rsidRDefault="00F909C6" w:rsidP="007E7ECA">
            <w:pPr>
              <w:rPr>
                <w:rFonts w:ascii="Arial Narrow" w:hAnsi="Arial Narrow"/>
                <w:sz w:val="20"/>
                <w:szCs w:val="20"/>
              </w:rPr>
            </w:pPr>
            <w:r w:rsidRPr="00C54E70">
              <w:rPr>
                <w:rFonts w:ascii="Arial Narrow" w:hAnsi="Arial Narrow"/>
                <w:sz w:val="20"/>
                <w:szCs w:val="20"/>
              </w:rPr>
              <w:t>GENERAL – General Schedule (Code GE)</w:t>
            </w:r>
          </w:p>
        </w:tc>
      </w:tr>
      <w:tr w:rsidR="00F909C6" w:rsidRPr="00C54E70" w14:paraId="2395FFD1" w14:textId="77777777" w:rsidTr="007E7ECA">
        <w:trPr>
          <w:trHeight w:val="366"/>
        </w:trPr>
        <w:tc>
          <w:tcPr>
            <w:tcW w:w="553" w:type="pct"/>
            <w:tcBorders>
              <w:top w:val="single" w:sz="4" w:space="0" w:color="auto"/>
              <w:left w:val="single" w:sz="4" w:space="0" w:color="auto"/>
              <w:bottom w:val="single" w:sz="4" w:space="0" w:color="auto"/>
              <w:right w:val="single" w:sz="4" w:space="0" w:color="auto"/>
            </w:tcBorders>
          </w:tcPr>
          <w:p w14:paraId="19B4E537" w14:textId="77777777" w:rsidR="00F909C6" w:rsidRPr="00C54E70" w:rsidRDefault="00F909C6" w:rsidP="007E7ECA">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4BCA1BB6" w14:textId="77777777" w:rsidR="00F909C6" w:rsidRPr="00C54E70" w:rsidRDefault="00F909C6" w:rsidP="007E7ECA">
            <w:pPr>
              <w:rPr>
                <w:rFonts w:ascii="Arial Narrow" w:hAnsi="Arial Narrow"/>
                <w:sz w:val="20"/>
                <w:szCs w:val="20"/>
              </w:rPr>
            </w:pPr>
            <w:r w:rsidRPr="00C54E70">
              <w:rPr>
                <w:rFonts w:ascii="Arial Narrow" w:hAnsi="Arial Narrow"/>
                <w:b/>
                <w:sz w:val="20"/>
                <w:szCs w:val="20"/>
              </w:rPr>
              <w:t xml:space="preserve">Prescriber type:  </w:t>
            </w: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Medical Practitioners  </w:t>
            </w:r>
            <w:r w:rsidRPr="00C54E70">
              <w:rPr>
                <w:rFonts w:ascii="Arial Narrow" w:hAnsi="Arial Narrow"/>
                <w:sz w:val="20"/>
                <w:szCs w:val="20"/>
              </w:rPr>
              <w:fldChar w:fldCharType="begin">
                <w:ffData>
                  <w:name w:val="Check3"/>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Nurse practitioners </w:t>
            </w:r>
          </w:p>
        </w:tc>
      </w:tr>
      <w:tr w:rsidR="00F909C6" w:rsidRPr="00C54E70" w14:paraId="2C0FC7A5" w14:textId="77777777" w:rsidTr="007E7ECA">
        <w:tc>
          <w:tcPr>
            <w:tcW w:w="553" w:type="pct"/>
            <w:tcBorders>
              <w:top w:val="single" w:sz="4" w:space="0" w:color="auto"/>
              <w:left w:val="single" w:sz="4" w:space="0" w:color="auto"/>
              <w:bottom w:val="single" w:sz="4" w:space="0" w:color="auto"/>
              <w:right w:val="single" w:sz="4" w:space="0" w:color="auto"/>
            </w:tcBorders>
          </w:tcPr>
          <w:p w14:paraId="75A61DA2" w14:textId="77777777" w:rsidR="00F909C6" w:rsidRPr="00C54E70" w:rsidRDefault="00F909C6" w:rsidP="007E7ECA">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00CBCC03" w14:textId="77777777" w:rsidR="00F909C6" w:rsidRPr="00C54E70" w:rsidRDefault="00F909C6" w:rsidP="007E7ECA">
            <w:pPr>
              <w:rPr>
                <w:rFonts w:ascii="Arial Narrow" w:hAnsi="Arial Narrow"/>
                <w:b/>
                <w:sz w:val="20"/>
                <w:szCs w:val="20"/>
              </w:rPr>
            </w:pPr>
            <w:r w:rsidRPr="00C54E70">
              <w:rPr>
                <w:rFonts w:ascii="Arial Narrow" w:hAnsi="Arial Narrow"/>
                <w:b/>
                <w:sz w:val="20"/>
                <w:szCs w:val="20"/>
              </w:rPr>
              <w:t>Restriction Level / Method:</w:t>
            </w:r>
          </w:p>
          <w:p w14:paraId="255E41D1" w14:textId="77777777" w:rsidR="00F909C6" w:rsidRPr="00C54E70" w:rsidRDefault="00F909C6" w:rsidP="007E7ECA">
            <w:pPr>
              <w:rPr>
                <w:rFonts w:ascii="Arial Narrow" w:hAnsi="Arial Narrow"/>
                <w:sz w:val="20"/>
                <w:szCs w:val="20"/>
              </w:rPr>
            </w:pP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Authority Required - Streamlined</w:t>
            </w:r>
          </w:p>
        </w:tc>
      </w:tr>
      <w:tr w:rsidR="00F909C6" w:rsidRPr="00C54E70" w14:paraId="1EA112A5" w14:textId="77777777" w:rsidTr="007E7ECA">
        <w:tc>
          <w:tcPr>
            <w:tcW w:w="553" w:type="pct"/>
            <w:vAlign w:val="center"/>
          </w:tcPr>
          <w:p w14:paraId="746AC650" w14:textId="77777777" w:rsidR="00F909C6" w:rsidRPr="00C54E70" w:rsidRDefault="00F909C6" w:rsidP="007E7ECA">
            <w:pPr>
              <w:jc w:val="center"/>
              <w:rPr>
                <w:rFonts w:ascii="Arial Narrow" w:hAnsi="Arial Narrow"/>
                <w:color w:val="333333"/>
                <w:sz w:val="20"/>
                <w:szCs w:val="20"/>
              </w:rPr>
            </w:pPr>
          </w:p>
        </w:tc>
        <w:tc>
          <w:tcPr>
            <w:tcW w:w="4447" w:type="pct"/>
            <w:vAlign w:val="center"/>
          </w:tcPr>
          <w:p w14:paraId="3F46EA8E" w14:textId="77777777" w:rsidR="00F909C6" w:rsidRPr="00C54E70" w:rsidRDefault="00F909C6" w:rsidP="007E7ECA">
            <w:pPr>
              <w:rPr>
                <w:rFonts w:ascii="Arial Narrow" w:hAnsi="Arial Narrow"/>
                <w:b/>
                <w:bCs/>
                <w:color w:val="333333"/>
                <w:sz w:val="20"/>
                <w:szCs w:val="20"/>
              </w:rPr>
            </w:pPr>
            <w:r w:rsidRPr="00C54E70">
              <w:rPr>
                <w:rFonts w:ascii="Arial Narrow" w:hAnsi="Arial Narrow"/>
                <w:b/>
                <w:bCs/>
                <w:color w:val="333333"/>
                <w:sz w:val="20"/>
                <w:szCs w:val="20"/>
              </w:rPr>
              <w:t xml:space="preserve">Condition: </w:t>
            </w:r>
            <w:r w:rsidRPr="00C54E70">
              <w:rPr>
                <w:rFonts w:ascii="Arial Narrow" w:hAnsi="Arial Narrow"/>
                <w:bCs/>
                <w:color w:val="333333"/>
                <w:sz w:val="20"/>
                <w:szCs w:val="20"/>
              </w:rPr>
              <w:t>Chronic obstructive pulmonary disease (COPD)</w:t>
            </w:r>
          </w:p>
        </w:tc>
      </w:tr>
      <w:tr w:rsidR="00F909C6" w:rsidRPr="00C54E70" w14:paraId="3F10E74F" w14:textId="77777777" w:rsidTr="0078736D">
        <w:tc>
          <w:tcPr>
            <w:tcW w:w="553" w:type="pct"/>
            <w:vAlign w:val="center"/>
          </w:tcPr>
          <w:p w14:paraId="2454FB3E" w14:textId="108A34AF" w:rsidR="00F909C6" w:rsidRPr="00C54E70" w:rsidRDefault="00F909C6" w:rsidP="007E7ECA">
            <w:pPr>
              <w:jc w:val="center"/>
              <w:rPr>
                <w:rFonts w:ascii="Arial Narrow" w:hAnsi="Arial Narrow"/>
                <w:color w:val="333333"/>
                <w:sz w:val="20"/>
                <w:szCs w:val="20"/>
              </w:rPr>
            </w:pPr>
          </w:p>
        </w:tc>
        <w:tc>
          <w:tcPr>
            <w:tcW w:w="4447" w:type="pct"/>
            <w:vAlign w:val="center"/>
            <w:hideMark/>
          </w:tcPr>
          <w:p w14:paraId="6B372EF2" w14:textId="77777777" w:rsidR="00F909C6" w:rsidRPr="00C54E70" w:rsidRDefault="00F909C6" w:rsidP="007E7ECA">
            <w:pPr>
              <w:rPr>
                <w:rFonts w:ascii="Arial Narrow" w:hAnsi="Arial Narrow"/>
                <w:color w:val="333333"/>
                <w:sz w:val="20"/>
                <w:szCs w:val="20"/>
              </w:rPr>
            </w:pPr>
            <w:r w:rsidRPr="00C54E70">
              <w:rPr>
                <w:rFonts w:ascii="Arial Narrow" w:hAnsi="Arial Narrow"/>
                <w:b/>
                <w:bCs/>
                <w:color w:val="333333"/>
                <w:sz w:val="20"/>
                <w:szCs w:val="20"/>
              </w:rPr>
              <w:t>Indication:</w:t>
            </w:r>
            <w:r w:rsidRPr="00C54E70">
              <w:rPr>
                <w:rFonts w:ascii="Arial Narrow" w:hAnsi="Arial Narrow"/>
                <w:color w:val="333333"/>
                <w:sz w:val="20"/>
                <w:szCs w:val="20"/>
              </w:rPr>
              <w:t xml:space="preserve"> Chronic obstructive pulmonary disease (COPD)</w:t>
            </w:r>
          </w:p>
        </w:tc>
      </w:tr>
      <w:tr w:rsidR="00F909C6" w:rsidRPr="00C54E70" w14:paraId="27D0EB4B" w14:textId="77777777" w:rsidTr="0078736D">
        <w:tc>
          <w:tcPr>
            <w:tcW w:w="553" w:type="pct"/>
            <w:vAlign w:val="center"/>
          </w:tcPr>
          <w:p w14:paraId="0686A309" w14:textId="77777777" w:rsidR="00F909C6" w:rsidRPr="00C54E70" w:rsidRDefault="00F909C6" w:rsidP="007E7ECA">
            <w:pPr>
              <w:jc w:val="center"/>
              <w:rPr>
                <w:rFonts w:ascii="Arial Narrow" w:hAnsi="Arial Narrow"/>
                <w:color w:val="333333"/>
                <w:sz w:val="20"/>
                <w:szCs w:val="20"/>
              </w:rPr>
            </w:pPr>
          </w:p>
        </w:tc>
        <w:tc>
          <w:tcPr>
            <w:tcW w:w="4447" w:type="pct"/>
            <w:vAlign w:val="center"/>
            <w:hideMark/>
          </w:tcPr>
          <w:p w14:paraId="762941DE" w14:textId="77777777" w:rsidR="00F909C6" w:rsidRPr="00C54E70" w:rsidRDefault="00F909C6" w:rsidP="007E7ECA">
            <w:pPr>
              <w:rPr>
                <w:rFonts w:ascii="Arial Narrow" w:hAnsi="Arial Narrow"/>
                <w:color w:val="333333"/>
                <w:sz w:val="20"/>
                <w:szCs w:val="20"/>
              </w:rPr>
            </w:pPr>
            <w:r w:rsidRPr="00C54E70">
              <w:rPr>
                <w:rFonts w:ascii="Arial Narrow" w:hAnsi="Arial Narrow"/>
                <w:b/>
                <w:bCs/>
                <w:color w:val="333333"/>
                <w:sz w:val="20"/>
                <w:szCs w:val="20"/>
              </w:rPr>
              <w:t>Treatment Phase:</w:t>
            </w:r>
            <w:r w:rsidRPr="00C54E70">
              <w:rPr>
                <w:rFonts w:ascii="Arial Narrow" w:hAnsi="Arial Narrow"/>
                <w:color w:val="333333"/>
                <w:sz w:val="20"/>
                <w:szCs w:val="20"/>
              </w:rPr>
              <w:t xml:space="preserve"> </w:t>
            </w:r>
            <w:r w:rsidRPr="00C54E70">
              <w:rPr>
                <w:rFonts w:ascii="Arial Narrow" w:hAnsi="Arial Narrow"/>
                <w:strike/>
                <w:color w:val="333333"/>
                <w:sz w:val="20"/>
                <w:szCs w:val="20"/>
              </w:rPr>
              <w:t>initial and continuing</w:t>
            </w:r>
          </w:p>
        </w:tc>
      </w:tr>
      <w:tr w:rsidR="00F909C6" w:rsidRPr="00C54E70" w14:paraId="3A37D84C" w14:textId="77777777" w:rsidTr="0078736D">
        <w:tc>
          <w:tcPr>
            <w:tcW w:w="553" w:type="pct"/>
            <w:vAlign w:val="center"/>
          </w:tcPr>
          <w:p w14:paraId="14DF69A6" w14:textId="2113E31C" w:rsidR="00F909C6" w:rsidRPr="00C54E70" w:rsidRDefault="00F909C6" w:rsidP="007E7ECA">
            <w:pPr>
              <w:jc w:val="center"/>
              <w:rPr>
                <w:rFonts w:ascii="Arial Narrow" w:hAnsi="Arial Narrow"/>
                <w:i/>
                <w:iCs/>
                <w:color w:val="333333"/>
                <w:sz w:val="20"/>
                <w:szCs w:val="20"/>
              </w:rPr>
            </w:pPr>
          </w:p>
        </w:tc>
        <w:tc>
          <w:tcPr>
            <w:tcW w:w="4447" w:type="pct"/>
            <w:vAlign w:val="center"/>
            <w:hideMark/>
          </w:tcPr>
          <w:p w14:paraId="59E4D122" w14:textId="77777777" w:rsidR="00F909C6" w:rsidRPr="00C54E70" w:rsidRDefault="00F909C6" w:rsidP="007E7ECA">
            <w:pPr>
              <w:rPr>
                <w:rFonts w:ascii="Arial Narrow" w:hAnsi="Arial Narrow"/>
                <w:color w:val="333333"/>
                <w:sz w:val="20"/>
                <w:szCs w:val="20"/>
              </w:rPr>
            </w:pPr>
            <w:r w:rsidRPr="00C54E70">
              <w:rPr>
                <w:rFonts w:ascii="Arial Narrow" w:hAnsi="Arial Narrow"/>
                <w:b/>
                <w:bCs/>
                <w:color w:val="333333"/>
                <w:sz w:val="20"/>
                <w:szCs w:val="20"/>
              </w:rPr>
              <w:t>Clinical criteria:</w:t>
            </w:r>
          </w:p>
        </w:tc>
      </w:tr>
      <w:tr w:rsidR="00F909C6" w:rsidRPr="00C54E70" w14:paraId="31990CE7" w14:textId="77777777" w:rsidTr="0078736D">
        <w:tc>
          <w:tcPr>
            <w:tcW w:w="553" w:type="pct"/>
            <w:vAlign w:val="center"/>
          </w:tcPr>
          <w:p w14:paraId="0B71B860" w14:textId="12FC723B" w:rsidR="00F909C6" w:rsidRPr="00C54E70" w:rsidRDefault="00F909C6" w:rsidP="007E7ECA">
            <w:pPr>
              <w:jc w:val="center"/>
              <w:rPr>
                <w:rFonts w:ascii="Arial Narrow" w:hAnsi="Arial Narrow"/>
                <w:i/>
                <w:iCs/>
                <w:color w:val="333333"/>
                <w:sz w:val="20"/>
                <w:szCs w:val="20"/>
              </w:rPr>
            </w:pPr>
          </w:p>
        </w:tc>
        <w:tc>
          <w:tcPr>
            <w:tcW w:w="4447" w:type="pct"/>
            <w:vAlign w:val="center"/>
            <w:hideMark/>
          </w:tcPr>
          <w:p w14:paraId="24BAE968" w14:textId="77777777" w:rsidR="00F909C6" w:rsidRPr="00C54E70" w:rsidRDefault="00F909C6" w:rsidP="007E7ECA">
            <w:pPr>
              <w:rPr>
                <w:rFonts w:ascii="Arial Narrow" w:hAnsi="Arial Narrow"/>
                <w:color w:val="333333"/>
                <w:sz w:val="20"/>
                <w:szCs w:val="20"/>
              </w:rPr>
            </w:pPr>
            <w:r w:rsidRPr="00C54E70">
              <w:rPr>
                <w:rFonts w:ascii="Arial Narrow" w:hAnsi="Arial Narrow"/>
                <w:color w:val="333333"/>
                <w:sz w:val="20"/>
                <w:szCs w:val="20"/>
              </w:rPr>
              <w:t xml:space="preserve">Patient must have significant symptoms despite regular </w:t>
            </w:r>
            <w:r w:rsidRPr="00C54E70">
              <w:rPr>
                <w:rFonts w:ascii="Arial Narrow" w:hAnsi="Arial Narrow"/>
                <w:i/>
                <w:iCs/>
                <w:color w:val="333333"/>
                <w:sz w:val="20"/>
                <w:szCs w:val="20"/>
              </w:rPr>
              <w:t xml:space="preserve">long-acting </w:t>
            </w:r>
            <w:r w:rsidRPr="00C54E70">
              <w:rPr>
                <w:rFonts w:ascii="Arial Narrow" w:hAnsi="Arial Narrow"/>
                <w:strike/>
                <w:color w:val="333333"/>
                <w:sz w:val="20"/>
                <w:szCs w:val="20"/>
              </w:rPr>
              <w:t>beta-2 agonist</w:t>
            </w:r>
            <w:r w:rsidRPr="00C54E70">
              <w:rPr>
                <w:rFonts w:ascii="Arial Narrow" w:hAnsi="Arial Narrow"/>
                <w:color w:val="333333"/>
                <w:sz w:val="20"/>
                <w:szCs w:val="20"/>
              </w:rPr>
              <w:t xml:space="preserve"> bronchodilator therapy</w:t>
            </w:r>
          </w:p>
        </w:tc>
      </w:tr>
      <w:tr w:rsidR="00F909C6" w:rsidRPr="00C54E70" w14:paraId="059F95D3" w14:textId="77777777" w:rsidTr="0078736D">
        <w:tc>
          <w:tcPr>
            <w:tcW w:w="553" w:type="pct"/>
            <w:vAlign w:val="center"/>
          </w:tcPr>
          <w:p w14:paraId="5790D6C1" w14:textId="77777777" w:rsidR="00F909C6" w:rsidRPr="00C54E70" w:rsidRDefault="00F909C6" w:rsidP="007E7ECA">
            <w:pPr>
              <w:jc w:val="center"/>
              <w:rPr>
                <w:rFonts w:ascii="Arial Narrow" w:hAnsi="Arial Narrow"/>
                <w:color w:val="333333"/>
                <w:sz w:val="20"/>
                <w:szCs w:val="20"/>
              </w:rPr>
            </w:pPr>
          </w:p>
        </w:tc>
        <w:tc>
          <w:tcPr>
            <w:tcW w:w="4447" w:type="pct"/>
            <w:vAlign w:val="center"/>
            <w:hideMark/>
          </w:tcPr>
          <w:p w14:paraId="6A8B85F9" w14:textId="77777777" w:rsidR="00F909C6" w:rsidRPr="00C54E70" w:rsidRDefault="00F909C6" w:rsidP="007E7ECA">
            <w:pPr>
              <w:rPr>
                <w:rFonts w:ascii="Arial Narrow" w:hAnsi="Arial Narrow"/>
                <w:color w:val="333333"/>
                <w:sz w:val="20"/>
                <w:szCs w:val="20"/>
              </w:rPr>
            </w:pPr>
            <w:r w:rsidRPr="00C54E70">
              <w:rPr>
                <w:rFonts w:ascii="Arial Narrow" w:hAnsi="Arial Narrow"/>
                <w:b/>
                <w:bCs/>
                <w:color w:val="333333"/>
                <w:sz w:val="20"/>
                <w:szCs w:val="20"/>
              </w:rPr>
              <w:t>AND</w:t>
            </w:r>
          </w:p>
        </w:tc>
      </w:tr>
      <w:tr w:rsidR="00F909C6" w:rsidRPr="00C54E70" w14:paraId="49C8EBDD" w14:textId="77777777" w:rsidTr="007E7ECA">
        <w:tc>
          <w:tcPr>
            <w:tcW w:w="553" w:type="pct"/>
            <w:vAlign w:val="center"/>
          </w:tcPr>
          <w:p w14:paraId="56437680" w14:textId="79B6F8BA" w:rsidR="00F909C6" w:rsidRPr="00C54E70" w:rsidRDefault="00F909C6" w:rsidP="007E7ECA">
            <w:pPr>
              <w:jc w:val="center"/>
              <w:rPr>
                <w:rFonts w:ascii="Arial Narrow" w:hAnsi="Arial Narrow"/>
                <w:color w:val="333333"/>
                <w:sz w:val="20"/>
                <w:szCs w:val="20"/>
              </w:rPr>
            </w:pPr>
          </w:p>
        </w:tc>
        <w:tc>
          <w:tcPr>
            <w:tcW w:w="4447" w:type="pct"/>
            <w:vAlign w:val="center"/>
            <w:hideMark/>
          </w:tcPr>
          <w:p w14:paraId="7525E4D6" w14:textId="77777777" w:rsidR="00F909C6" w:rsidRPr="00C54E70" w:rsidRDefault="00F909C6" w:rsidP="007E7ECA">
            <w:pPr>
              <w:rPr>
                <w:rFonts w:ascii="Arial Narrow" w:hAnsi="Arial Narrow"/>
                <w:color w:val="333333"/>
                <w:sz w:val="20"/>
                <w:szCs w:val="20"/>
              </w:rPr>
            </w:pPr>
            <w:r w:rsidRPr="00C54E70">
              <w:rPr>
                <w:rFonts w:ascii="Arial Narrow" w:hAnsi="Arial Narrow"/>
                <w:b/>
                <w:bCs/>
                <w:color w:val="333333"/>
                <w:sz w:val="20"/>
                <w:szCs w:val="20"/>
              </w:rPr>
              <w:t>Clinical criteria:</w:t>
            </w:r>
          </w:p>
        </w:tc>
      </w:tr>
      <w:tr w:rsidR="00F909C6" w:rsidRPr="00C54E70" w14:paraId="5682E264" w14:textId="77777777" w:rsidTr="007E7ECA">
        <w:tc>
          <w:tcPr>
            <w:tcW w:w="553" w:type="pct"/>
            <w:vAlign w:val="center"/>
          </w:tcPr>
          <w:p w14:paraId="67A32EFC" w14:textId="3828F551" w:rsidR="00F909C6" w:rsidRPr="00C54E70" w:rsidRDefault="00F909C6" w:rsidP="007E7ECA">
            <w:pPr>
              <w:jc w:val="center"/>
              <w:rPr>
                <w:rFonts w:ascii="Arial Narrow" w:hAnsi="Arial Narrow"/>
                <w:color w:val="333333"/>
                <w:sz w:val="20"/>
                <w:szCs w:val="20"/>
              </w:rPr>
            </w:pPr>
          </w:p>
        </w:tc>
        <w:tc>
          <w:tcPr>
            <w:tcW w:w="4447" w:type="pct"/>
            <w:vAlign w:val="center"/>
            <w:hideMark/>
          </w:tcPr>
          <w:p w14:paraId="7A4E5D20" w14:textId="77777777" w:rsidR="00F909C6" w:rsidRPr="00C54E70" w:rsidRDefault="00F909C6" w:rsidP="007E7ECA">
            <w:pPr>
              <w:rPr>
                <w:rFonts w:ascii="Arial Narrow" w:hAnsi="Arial Narrow" w:cs="Calibri"/>
                <w:i/>
                <w:iCs/>
                <w:color w:val="333333"/>
                <w:sz w:val="20"/>
                <w:szCs w:val="20"/>
              </w:rPr>
            </w:pPr>
            <w:r w:rsidRPr="00C54E70">
              <w:rPr>
                <w:rFonts w:ascii="Arial Narrow" w:hAnsi="Arial Narrow"/>
                <w:color w:val="333333"/>
                <w:sz w:val="20"/>
                <w:szCs w:val="20"/>
              </w:rPr>
              <w:t xml:space="preserve">Patient must have experienced at least one severe </w:t>
            </w:r>
            <w:r w:rsidRPr="00C54E70">
              <w:rPr>
                <w:rFonts w:ascii="Arial Narrow" w:hAnsi="Arial Narrow"/>
                <w:strike/>
                <w:color w:val="333333"/>
                <w:sz w:val="20"/>
                <w:szCs w:val="20"/>
              </w:rPr>
              <w:t>COPD</w:t>
            </w:r>
            <w:r w:rsidRPr="00C54E70">
              <w:rPr>
                <w:rFonts w:ascii="Arial Narrow" w:hAnsi="Arial Narrow"/>
                <w:color w:val="333333"/>
                <w:sz w:val="20"/>
                <w:szCs w:val="20"/>
              </w:rPr>
              <w:t xml:space="preserve"> exacerbation, which required hospitalisation, or two or more moderate exacerbations in the </w:t>
            </w:r>
            <w:r w:rsidRPr="00C54E70">
              <w:rPr>
                <w:rFonts w:ascii="Arial Narrow" w:hAnsi="Arial Narrow"/>
                <w:strike/>
                <w:color w:val="333333"/>
                <w:sz w:val="20"/>
                <w:szCs w:val="20"/>
              </w:rPr>
              <w:t>previous</w:t>
            </w:r>
            <w:r w:rsidRPr="00C54E70">
              <w:rPr>
                <w:rFonts w:ascii="Arial Narrow" w:hAnsi="Arial Narrow"/>
                <w:color w:val="333333"/>
                <w:sz w:val="20"/>
                <w:szCs w:val="20"/>
              </w:rPr>
              <w:t xml:space="preserve"> 12 months </w:t>
            </w:r>
            <w:r w:rsidRPr="00C54E70">
              <w:rPr>
                <w:rFonts w:ascii="Arial Narrow" w:hAnsi="Arial Narrow"/>
                <w:i/>
                <w:iCs/>
                <w:color w:val="333333"/>
                <w:sz w:val="20"/>
                <w:szCs w:val="20"/>
              </w:rPr>
              <w:t>prior to commencing treatment for COPD</w:t>
            </w:r>
          </w:p>
          <w:p w14:paraId="2B577DD3" w14:textId="77777777" w:rsidR="00F909C6" w:rsidRPr="00C54E70" w:rsidRDefault="00F909C6" w:rsidP="007E7ECA">
            <w:pPr>
              <w:rPr>
                <w:rFonts w:ascii="Arial Narrow" w:hAnsi="Arial Narrow"/>
                <w:color w:val="333333"/>
                <w:sz w:val="20"/>
                <w:szCs w:val="20"/>
              </w:rPr>
            </w:pPr>
          </w:p>
        </w:tc>
      </w:tr>
      <w:tr w:rsidR="00F909C6" w:rsidRPr="00C54E70" w14:paraId="26D4CB6C" w14:textId="77777777" w:rsidTr="0078736D">
        <w:tc>
          <w:tcPr>
            <w:tcW w:w="553" w:type="pct"/>
            <w:vAlign w:val="center"/>
          </w:tcPr>
          <w:p w14:paraId="7633EEE4" w14:textId="1657E671" w:rsidR="00F909C6" w:rsidRPr="00C54E70" w:rsidRDefault="00F909C6" w:rsidP="007E7ECA">
            <w:pPr>
              <w:jc w:val="center"/>
              <w:rPr>
                <w:rFonts w:ascii="Arial Narrow" w:hAnsi="Arial Narrow"/>
                <w:color w:val="333333"/>
                <w:sz w:val="20"/>
                <w:szCs w:val="20"/>
              </w:rPr>
            </w:pPr>
          </w:p>
        </w:tc>
        <w:tc>
          <w:tcPr>
            <w:tcW w:w="4447" w:type="pct"/>
            <w:vAlign w:val="center"/>
            <w:hideMark/>
          </w:tcPr>
          <w:p w14:paraId="4160957E" w14:textId="77777777" w:rsidR="00F909C6" w:rsidRPr="00C54E70" w:rsidRDefault="00F909C6" w:rsidP="007E7ECA">
            <w:pPr>
              <w:rPr>
                <w:rFonts w:ascii="Arial Narrow" w:hAnsi="Arial Narrow"/>
                <w:bCs/>
                <w:color w:val="333333"/>
                <w:sz w:val="20"/>
                <w:szCs w:val="20"/>
              </w:rPr>
            </w:pPr>
            <w:r w:rsidRPr="00C54E70">
              <w:rPr>
                <w:rFonts w:ascii="Arial Narrow" w:hAnsi="Arial Narrow"/>
                <w:b/>
                <w:bCs/>
                <w:color w:val="333333"/>
                <w:sz w:val="20"/>
                <w:szCs w:val="20"/>
              </w:rPr>
              <w:t>Administrative Advice:</w:t>
            </w:r>
            <w:r w:rsidRPr="00C54E70">
              <w:rPr>
                <w:rFonts w:ascii="Arial Narrow" w:hAnsi="Arial Narrow"/>
                <w:bCs/>
                <w:color w:val="333333"/>
                <w:sz w:val="20"/>
                <w:szCs w:val="20"/>
              </w:rPr>
              <w:t xml:space="preserve"> </w:t>
            </w:r>
          </w:p>
          <w:p w14:paraId="3153D592" w14:textId="77777777" w:rsidR="00F909C6" w:rsidRPr="00C54E70" w:rsidRDefault="00F909C6" w:rsidP="007E7ECA">
            <w:pPr>
              <w:rPr>
                <w:rFonts w:ascii="Arial Narrow" w:hAnsi="Arial Narrow"/>
                <w:color w:val="333333"/>
                <w:sz w:val="20"/>
                <w:szCs w:val="20"/>
              </w:rPr>
            </w:pPr>
            <w:r w:rsidRPr="00C54E70">
              <w:rPr>
                <w:rFonts w:ascii="Arial Narrow" w:hAnsi="Arial Narrow"/>
                <w:color w:val="333333"/>
                <w:sz w:val="20"/>
                <w:szCs w:val="20"/>
              </w:rPr>
              <w:lastRenderedPageBreak/>
              <w:t>This product is not indicated for the initiation of bronchodilator therapy in COPD.</w:t>
            </w:r>
          </w:p>
          <w:p w14:paraId="783510DC" w14:textId="77777777" w:rsidR="00F909C6" w:rsidRPr="00C54E70" w:rsidRDefault="00F909C6" w:rsidP="007E7ECA">
            <w:pPr>
              <w:rPr>
                <w:rFonts w:ascii="Arial Narrow" w:hAnsi="Arial Narrow"/>
                <w:color w:val="333333"/>
                <w:sz w:val="20"/>
                <w:szCs w:val="20"/>
              </w:rPr>
            </w:pPr>
          </w:p>
        </w:tc>
      </w:tr>
      <w:tr w:rsidR="00F909C6" w:rsidRPr="00C54E70" w14:paraId="314511E2" w14:textId="77777777" w:rsidTr="0078736D">
        <w:tc>
          <w:tcPr>
            <w:tcW w:w="553" w:type="pct"/>
            <w:vAlign w:val="center"/>
          </w:tcPr>
          <w:p w14:paraId="4C8CBFAE" w14:textId="45303180" w:rsidR="00F909C6" w:rsidRPr="00C54E70" w:rsidRDefault="00F909C6" w:rsidP="007E7ECA">
            <w:pPr>
              <w:jc w:val="center"/>
              <w:rPr>
                <w:rFonts w:ascii="Arial Narrow" w:hAnsi="Arial Narrow"/>
                <w:color w:val="333333"/>
                <w:sz w:val="20"/>
                <w:szCs w:val="20"/>
              </w:rPr>
            </w:pPr>
          </w:p>
        </w:tc>
        <w:tc>
          <w:tcPr>
            <w:tcW w:w="4447" w:type="pct"/>
            <w:vAlign w:val="center"/>
            <w:hideMark/>
          </w:tcPr>
          <w:p w14:paraId="4EA2610F" w14:textId="77777777" w:rsidR="00F909C6" w:rsidRPr="00C54E70" w:rsidRDefault="00F909C6" w:rsidP="007E7ECA">
            <w:pPr>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4672570A" w14:textId="77777777" w:rsidR="00F909C6" w:rsidRPr="00C54E70" w:rsidRDefault="00F909C6" w:rsidP="007E7ECA">
            <w:pPr>
              <w:rPr>
                <w:rFonts w:ascii="Arial Narrow" w:hAnsi="Arial Narrow"/>
                <w:color w:val="333333"/>
                <w:sz w:val="20"/>
                <w:szCs w:val="20"/>
              </w:rPr>
            </w:pPr>
            <w:r w:rsidRPr="00C54E70">
              <w:rPr>
                <w:rFonts w:ascii="Arial Narrow" w:hAnsi="Arial Narrow"/>
                <w:color w:val="333333"/>
                <w:sz w:val="20"/>
                <w:szCs w:val="20"/>
              </w:rPr>
              <w:t>The treatment must not be used in combination with LABA monotherapy or LAMA/LABA combination therapy.</w:t>
            </w:r>
          </w:p>
          <w:p w14:paraId="2B81E543" w14:textId="77777777" w:rsidR="00F909C6" w:rsidRPr="00C54E70" w:rsidRDefault="00F909C6" w:rsidP="007E7ECA">
            <w:pPr>
              <w:rPr>
                <w:rFonts w:ascii="Arial Narrow" w:hAnsi="Arial Narrow"/>
                <w:color w:val="333333"/>
                <w:sz w:val="20"/>
                <w:szCs w:val="20"/>
              </w:rPr>
            </w:pPr>
          </w:p>
        </w:tc>
      </w:tr>
      <w:tr w:rsidR="00F909C6" w:rsidRPr="00C54E70" w14:paraId="0E5B1705" w14:textId="77777777" w:rsidTr="007E7ECA">
        <w:tc>
          <w:tcPr>
            <w:tcW w:w="553" w:type="pct"/>
            <w:vAlign w:val="center"/>
          </w:tcPr>
          <w:p w14:paraId="41CBDD13" w14:textId="64E7DB08" w:rsidR="00F909C6" w:rsidRPr="00C54E70" w:rsidRDefault="00F909C6" w:rsidP="007E7ECA">
            <w:pPr>
              <w:jc w:val="center"/>
              <w:rPr>
                <w:rFonts w:ascii="Arial Narrow" w:hAnsi="Arial Narrow"/>
                <w:color w:val="333333"/>
                <w:sz w:val="20"/>
                <w:szCs w:val="20"/>
              </w:rPr>
            </w:pPr>
          </w:p>
        </w:tc>
        <w:tc>
          <w:tcPr>
            <w:tcW w:w="4447" w:type="pct"/>
            <w:vAlign w:val="center"/>
          </w:tcPr>
          <w:p w14:paraId="44ECF0CD" w14:textId="77777777" w:rsidR="00F909C6" w:rsidRPr="00C54E70" w:rsidRDefault="00F909C6" w:rsidP="007E7ECA">
            <w:pPr>
              <w:jc w:val="left"/>
              <w:rPr>
                <w:rFonts w:ascii="Arial Narrow" w:hAnsi="Arial Narrow"/>
                <w:color w:val="333333"/>
                <w:sz w:val="20"/>
                <w:szCs w:val="20"/>
              </w:rPr>
            </w:pPr>
            <w:r w:rsidRPr="00C54E70">
              <w:rPr>
                <w:rFonts w:ascii="Arial Narrow" w:hAnsi="Arial Narrow"/>
                <w:b/>
                <w:bCs/>
                <w:color w:val="333333"/>
                <w:sz w:val="20"/>
                <w:szCs w:val="20"/>
              </w:rPr>
              <w:t xml:space="preserve">Administrative Advice: </w:t>
            </w:r>
          </w:p>
          <w:p w14:paraId="50DECC93" w14:textId="77777777" w:rsidR="00F909C6" w:rsidRPr="00C54E70" w:rsidRDefault="00F909C6" w:rsidP="007E7ECA">
            <w:pPr>
              <w:jc w:val="left"/>
              <w:rPr>
                <w:rFonts w:ascii="Arial Narrow" w:hAnsi="Arial Narrow"/>
                <w:color w:val="333333"/>
                <w:sz w:val="20"/>
                <w:szCs w:val="20"/>
              </w:rPr>
            </w:pPr>
            <w:r w:rsidRPr="00C54E70">
              <w:rPr>
                <w:rFonts w:ascii="Arial Narrow" w:hAnsi="Arial Narrow"/>
                <w:color w:val="333333"/>
                <w:sz w:val="20"/>
                <w:szCs w:val="20"/>
              </w:rPr>
              <w:t xml:space="preserve">A LAMA/LABA includes aclidinium/formoterol, </w:t>
            </w:r>
            <w:proofErr w:type="spellStart"/>
            <w:r w:rsidRPr="00C54E70">
              <w:rPr>
                <w:rFonts w:ascii="Arial Narrow" w:hAnsi="Arial Narrow"/>
                <w:color w:val="333333"/>
                <w:sz w:val="20"/>
                <w:szCs w:val="20"/>
              </w:rPr>
              <w:t>glycopyrronium</w:t>
            </w:r>
            <w:proofErr w:type="spellEnd"/>
            <w:r w:rsidRPr="00C54E70">
              <w:rPr>
                <w:rFonts w:ascii="Arial Narrow" w:hAnsi="Arial Narrow"/>
                <w:color w:val="333333"/>
                <w:sz w:val="20"/>
                <w:szCs w:val="20"/>
              </w:rPr>
              <w:t>/indacaterol, tiotropium/</w:t>
            </w:r>
            <w:proofErr w:type="spellStart"/>
            <w:r w:rsidRPr="00C54E70">
              <w:rPr>
                <w:rFonts w:ascii="Arial Narrow" w:hAnsi="Arial Narrow"/>
                <w:color w:val="333333"/>
                <w:sz w:val="20"/>
                <w:szCs w:val="20"/>
              </w:rPr>
              <w:t>olodaterol</w:t>
            </w:r>
            <w:proofErr w:type="spellEnd"/>
            <w:r w:rsidRPr="00C54E70">
              <w:rPr>
                <w:rFonts w:ascii="Arial Narrow" w:hAnsi="Arial Narrow"/>
                <w:color w:val="333333"/>
                <w:sz w:val="20"/>
                <w:szCs w:val="20"/>
              </w:rPr>
              <w:t>, or umeclidinium/vilanterol.</w:t>
            </w:r>
          </w:p>
        </w:tc>
      </w:tr>
      <w:tr w:rsidR="00F909C6" w:rsidRPr="00C54E70" w14:paraId="7362673F" w14:textId="77777777" w:rsidTr="007E7ECA">
        <w:tc>
          <w:tcPr>
            <w:tcW w:w="553" w:type="pct"/>
            <w:vAlign w:val="center"/>
          </w:tcPr>
          <w:p w14:paraId="578ED8B5" w14:textId="2DCAB273" w:rsidR="00F909C6" w:rsidRPr="00C54E70" w:rsidRDefault="00F909C6" w:rsidP="007E7ECA">
            <w:pPr>
              <w:jc w:val="center"/>
              <w:rPr>
                <w:rFonts w:ascii="Arial Narrow" w:hAnsi="Arial Narrow"/>
                <w:color w:val="333333"/>
                <w:sz w:val="20"/>
                <w:szCs w:val="20"/>
              </w:rPr>
            </w:pPr>
          </w:p>
        </w:tc>
        <w:tc>
          <w:tcPr>
            <w:tcW w:w="4447" w:type="pct"/>
            <w:vAlign w:val="center"/>
          </w:tcPr>
          <w:p w14:paraId="1E1C72F2" w14:textId="77777777" w:rsidR="00F909C6" w:rsidRPr="00C54E70" w:rsidRDefault="00F909C6" w:rsidP="007E7ECA">
            <w:pPr>
              <w:jc w:val="left"/>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44726390" w14:textId="77777777" w:rsidR="00F909C6" w:rsidRPr="00C54E70" w:rsidRDefault="00F909C6" w:rsidP="007E7ECA">
            <w:pPr>
              <w:jc w:val="left"/>
              <w:rPr>
                <w:rFonts w:ascii="Arial Narrow" w:hAnsi="Arial Narrow"/>
                <w:color w:val="333333"/>
                <w:sz w:val="20"/>
                <w:szCs w:val="20"/>
              </w:rPr>
            </w:pPr>
            <w:r w:rsidRPr="00C54E70">
              <w:rPr>
                <w:rFonts w:ascii="Arial Narrow" w:hAnsi="Arial Narrow"/>
                <w:color w:val="333333"/>
                <w:sz w:val="20"/>
                <w:szCs w:val="20"/>
              </w:rPr>
              <w:t>Diagnosis of COPD should include measurement of airflow obstruction using spirometry, with confirmation of post-bronchodilator airflow obstruction.</w:t>
            </w:r>
          </w:p>
        </w:tc>
      </w:tr>
    </w:tbl>
    <w:p w14:paraId="479DB74B" w14:textId="77777777" w:rsidR="00E374F0" w:rsidRPr="00906719" w:rsidRDefault="00E374F0" w:rsidP="00E374F0">
      <w:pPr>
        <w:rPr>
          <w:color w:val="000000" w:themeColor="text1"/>
        </w:rPr>
      </w:pPr>
    </w:p>
    <w:p w14:paraId="088D95D6" w14:textId="33F5043A" w:rsidR="00E374F0" w:rsidRPr="00906719" w:rsidRDefault="00E374F0" w:rsidP="00A7711D">
      <w:pPr>
        <w:pStyle w:val="3-BodyText"/>
        <w:rPr>
          <w:i/>
          <w:color w:val="000000" w:themeColor="text1"/>
        </w:rPr>
      </w:pPr>
      <w:r w:rsidRPr="00906719">
        <w:rPr>
          <w:color w:val="000000" w:themeColor="text1"/>
        </w:rPr>
        <w:t xml:space="preserve">The requested PBS list price of BEC/FOR in this submission was calculated based on prices separately in asthma and in COPD, weighted by the utilisation in the two indications. The weighted </w:t>
      </w:r>
      <w:r w:rsidR="00F502E6">
        <w:rPr>
          <w:color w:val="000000" w:themeColor="text1"/>
        </w:rPr>
        <w:t>a</w:t>
      </w:r>
      <w:r w:rsidRPr="00906719">
        <w:rPr>
          <w:color w:val="000000" w:themeColor="text1"/>
        </w:rPr>
        <w:t xml:space="preserve">verage </w:t>
      </w:r>
      <w:r w:rsidR="00F502E6">
        <w:rPr>
          <w:color w:val="000000" w:themeColor="text1"/>
        </w:rPr>
        <w:t>e</w:t>
      </w:r>
      <w:r w:rsidRPr="00906719">
        <w:rPr>
          <w:color w:val="000000" w:themeColor="text1"/>
        </w:rPr>
        <w:t>x-</w:t>
      </w:r>
      <w:r w:rsidR="00F502E6">
        <w:rPr>
          <w:color w:val="000000" w:themeColor="text1"/>
        </w:rPr>
        <w:t>m</w:t>
      </w:r>
      <w:r w:rsidRPr="00906719">
        <w:rPr>
          <w:color w:val="000000" w:themeColor="text1"/>
        </w:rPr>
        <w:t xml:space="preserve">anufacturer </w:t>
      </w:r>
      <w:r w:rsidR="00F502E6">
        <w:rPr>
          <w:color w:val="000000" w:themeColor="text1"/>
        </w:rPr>
        <w:t>p</w:t>
      </w:r>
      <w:r w:rsidRPr="00906719">
        <w:rPr>
          <w:color w:val="000000" w:themeColor="text1"/>
        </w:rPr>
        <w:t>rice (AEMP) requested was $</w:t>
      </w:r>
      <w:proofErr w:type="gramStart"/>
      <w:r w:rsidR="0078736D" w:rsidRPr="009A3986">
        <w:rPr>
          <w:color w:val="000000" w:themeColor="text1"/>
          <w:w w:val="15"/>
          <w:shd w:val="solid" w:color="000000" w:fill="000000"/>
          <w:fitText w:val="-20" w:id="-1500861440"/>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40"/>
          <w14:textFill>
            <w14:solidFill>
              <w14:schemeClr w14:val="tx1">
                <w14:alpha w14:val="100000"/>
              </w14:schemeClr>
            </w14:solidFill>
          </w14:textFill>
        </w:rPr>
        <w:t>|</w:t>
      </w:r>
      <w:proofErr w:type="gramEnd"/>
      <w:r w:rsidRPr="00906719">
        <w:rPr>
          <w:color w:val="000000" w:themeColor="text1"/>
        </w:rPr>
        <w:t>, with a corresponding DPMQ of $</w:t>
      </w:r>
      <w:r w:rsidR="0078736D" w:rsidRPr="009A3986">
        <w:rPr>
          <w:color w:val="000000" w:themeColor="text1"/>
          <w:w w:val="15"/>
          <w:shd w:val="solid" w:color="000000" w:fill="000000"/>
          <w:fitText w:val="-20" w:id="-1500861439"/>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39"/>
          <w14:textFill>
            <w14:solidFill>
              <w14:schemeClr w14:val="tx1">
                <w14:alpha w14:val="100000"/>
              </w14:schemeClr>
            </w14:solidFill>
          </w14:textFill>
        </w:rPr>
        <w:t>|</w:t>
      </w:r>
      <w:r w:rsidRPr="00906719">
        <w:rPr>
          <w:color w:val="000000" w:themeColor="text1"/>
        </w:rPr>
        <w:t>.</w:t>
      </w:r>
    </w:p>
    <w:p w14:paraId="301BF02B" w14:textId="542CB8DF" w:rsidR="00E374F0" w:rsidRPr="006A50B1" w:rsidRDefault="00E374F0" w:rsidP="00A7711D">
      <w:pPr>
        <w:pStyle w:val="3-BodyText"/>
        <w:rPr>
          <w:color w:val="000000" w:themeColor="text1"/>
        </w:rPr>
      </w:pPr>
      <w:r w:rsidRPr="006A50B1">
        <w:rPr>
          <w:color w:val="000000" w:themeColor="text1"/>
        </w:rPr>
        <w:t xml:space="preserve">The clinical criteria and administrative advice were </w:t>
      </w:r>
      <w:r w:rsidR="002C2046" w:rsidRPr="006A50B1">
        <w:rPr>
          <w:color w:val="000000" w:themeColor="text1"/>
        </w:rPr>
        <w:t xml:space="preserve">consistent with </w:t>
      </w:r>
      <w:r w:rsidRPr="006A50B1">
        <w:rPr>
          <w:color w:val="000000" w:themeColor="text1"/>
        </w:rPr>
        <w:t xml:space="preserve">the existing </w:t>
      </w:r>
      <w:r w:rsidR="002C2046" w:rsidRPr="006A50B1">
        <w:rPr>
          <w:color w:val="000000" w:themeColor="text1"/>
        </w:rPr>
        <w:t xml:space="preserve">COPD </w:t>
      </w:r>
      <w:r w:rsidRPr="006A50B1">
        <w:rPr>
          <w:color w:val="000000" w:themeColor="text1"/>
        </w:rPr>
        <w:t>PBS restriction of the main comparator FP/SAL (PBS item 8519J).</w:t>
      </w:r>
      <w:r w:rsidR="00FE54E9">
        <w:rPr>
          <w:color w:val="000000" w:themeColor="text1"/>
        </w:rPr>
        <w:t xml:space="preserve"> The PBAC noted the TGA indication for BEC/FOR includes reference to ‘significant symptoms despite regular therapy with long-acting bronchodilators’ and considered the clinical criteria should be </w:t>
      </w:r>
      <w:r w:rsidR="00243B79">
        <w:rPr>
          <w:color w:val="000000" w:themeColor="text1"/>
        </w:rPr>
        <w:t>updated accordingly.</w:t>
      </w:r>
    </w:p>
    <w:p w14:paraId="44A16CB2" w14:textId="4DBBECD2" w:rsidR="00E374F0" w:rsidRDefault="00E374F0" w:rsidP="00A7711D">
      <w:pPr>
        <w:pStyle w:val="3-BodyText"/>
        <w:rPr>
          <w:color w:val="000000" w:themeColor="text1"/>
        </w:rPr>
      </w:pPr>
      <w:r w:rsidRPr="006A50B1">
        <w:rPr>
          <w:color w:val="000000" w:themeColor="text1"/>
        </w:rPr>
        <w:t xml:space="preserve">The proposed restriction states that patients must have had at least one severe COPD exacerbation, which required hospitalisation, or two or more moderate exacerbations in the previous 12 months. However, </w:t>
      </w:r>
      <w:r w:rsidR="00674AEB" w:rsidRPr="006A50B1">
        <w:rPr>
          <w:color w:val="000000" w:themeColor="text1"/>
        </w:rPr>
        <w:t xml:space="preserve">at baseline </w:t>
      </w:r>
      <w:r w:rsidRPr="006A50B1">
        <w:rPr>
          <w:color w:val="000000" w:themeColor="text1"/>
        </w:rPr>
        <w:t xml:space="preserve">patients in the FUTURE trial had a mean of only 0.4 exacerbations in the </w:t>
      </w:r>
      <w:r w:rsidRPr="00CC51B3">
        <w:rPr>
          <w:color w:val="000000" w:themeColor="text1"/>
        </w:rPr>
        <w:t>previous 12 months</w:t>
      </w:r>
      <w:r w:rsidR="00694CDB" w:rsidRPr="00CC51B3">
        <w:rPr>
          <w:color w:val="000000" w:themeColor="text1"/>
        </w:rPr>
        <w:t xml:space="preserve"> (see paragraph</w:t>
      </w:r>
      <w:r w:rsidR="00004805" w:rsidRPr="00CC51B3">
        <w:rPr>
          <w:color w:val="000000" w:themeColor="text1"/>
        </w:rPr>
        <w:t xml:space="preserve"> </w:t>
      </w:r>
      <w:r w:rsidR="00004805" w:rsidRPr="00CC51B3">
        <w:rPr>
          <w:color w:val="000000" w:themeColor="text1"/>
        </w:rPr>
        <w:fldChar w:fldCharType="begin"/>
      </w:r>
      <w:r w:rsidR="00004805" w:rsidRPr="00CC51B3">
        <w:rPr>
          <w:color w:val="000000" w:themeColor="text1"/>
        </w:rPr>
        <w:instrText xml:space="preserve"> REF _Ref95380679 \r \h </w:instrText>
      </w:r>
      <w:r w:rsidR="00CC51B3">
        <w:rPr>
          <w:color w:val="000000" w:themeColor="text1"/>
        </w:rPr>
        <w:instrText xml:space="preserve"> \* MERGEFORMAT </w:instrText>
      </w:r>
      <w:r w:rsidR="00004805" w:rsidRPr="00CC51B3">
        <w:rPr>
          <w:color w:val="000000" w:themeColor="text1"/>
        </w:rPr>
      </w:r>
      <w:r w:rsidR="00004805" w:rsidRPr="00CC51B3">
        <w:rPr>
          <w:color w:val="000000" w:themeColor="text1"/>
        </w:rPr>
        <w:fldChar w:fldCharType="separate"/>
      </w:r>
      <w:r w:rsidR="00082D9D">
        <w:rPr>
          <w:color w:val="000000" w:themeColor="text1"/>
        </w:rPr>
        <w:t>6.11</w:t>
      </w:r>
      <w:r w:rsidR="00004805" w:rsidRPr="00CC51B3">
        <w:rPr>
          <w:color w:val="000000" w:themeColor="text1"/>
        </w:rPr>
        <w:fldChar w:fldCharType="end"/>
      </w:r>
      <w:r w:rsidR="00694CDB" w:rsidRPr="00CC51B3">
        <w:rPr>
          <w:color w:val="000000" w:themeColor="text1"/>
        </w:rPr>
        <w:t>)</w:t>
      </w:r>
      <w:r w:rsidRPr="00CC51B3">
        <w:rPr>
          <w:color w:val="000000" w:themeColor="text1"/>
        </w:rPr>
        <w:t>. It</w:t>
      </w:r>
      <w:r w:rsidRPr="006A50B1">
        <w:rPr>
          <w:color w:val="000000" w:themeColor="text1"/>
        </w:rPr>
        <w:t xml:space="preserve"> is unclear how many of these COPD exacerbations were hospitalised</w:t>
      </w:r>
      <w:r w:rsidR="00694CDB" w:rsidRPr="006A50B1">
        <w:rPr>
          <w:color w:val="000000" w:themeColor="text1"/>
        </w:rPr>
        <w:t>.</w:t>
      </w:r>
      <w:r w:rsidRPr="006A50B1">
        <w:rPr>
          <w:color w:val="000000" w:themeColor="text1"/>
        </w:rPr>
        <w:t xml:space="preserve"> </w:t>
      </w:r>
    </w:p>
    <w:p w14:paraId="76AA33A3" w14:textId="2B994E78" w:rsidR="00650D10" w:rsidRPr="00650D10" w:rsidRDefault="00650D10" w:rsidP="00650D10">
      <w:pPr>
        <w:pStyle w:val="3-BodyText"/>
        <w:numPr>
          <w:ilvl w:val="0"/>
          <w:numId w:val="0"/>
        </w:numPr>
        <w:ind w:left="720"/>
        <w:rPr>
          <w:i/>
          <w:iCs/>
          <w:color w:val="000000" w:themeColor="text1"/>
        </w:rPr>
      </w:pPr>
      <w:r w:rsidRPr="00650D10">
        <w:rPr>
          <w:i/>
          <w:iCs/>
          <w:color w:val="000000" w:themeColor="text1"/>
        </w:rPr>
        <w:t>For more detail on PBAC’s view, see section 7 PBAC outcome.</w:t>
      </w:r>
    </w:p>
    <w:p w14:paraId="7FD3B41D" w14:textId="77777777" w:rsidR="00E374F0" w:rsidRPr="00694CDB" w:rsidRDefault="00E374F0" w:rsidP="00A7711D">
      <w:pPr>
        <w:pStyle w:val="2-SectionHeading"/>
        <w:jc w:val="left"/>
        <w:rPr>
          <w:color w:val="000000" w:themeColor="text1"/>
        </w:rPr>
      </w:pPr>
      <w:bookmarkStart w:id="18" w:name="_Toc22898849"/>
      <w:bookmarkStart w:id="19" w:name="_Toc93506449"/>
      <w:r w:rsidRPr="00694CDB">
        <w:rPr>
          <w:color w:val="000000" w:themeColor="text1"/>
        </w:rPr>
        <w:t>Population and disease</w:t>
      </w:r>
      <w:bookmarkEnd w:id="18"/>
      <w:bookmarkEnd w:id="19"/>
    </w:p>
    <w:p w14:paraId="77B1B95D" w14:textId="6CB7BA09" w:rsidR="00E374F0" w:rsidRPr="00906719" w:rsidRDefault="00E374F0" w:rsidP="00A7711D">
      <w:pPr>
        <w:pStyle w:val="3-BodyText"/>
        <w:rPr>
          <w:color w:val="000000" w:themeColor="text1"/>
        </w:rPr>
      </w:pPr>
      <w:r w:rsidRPr="00906719">
        <w:rPr>
          <w:color w:val="000000" w:themeColor="text1"/>
        </w:rPr>
        <w:t>COPD is a serious, progressive, and disabling condition, and one of the two most common causes of adult airflow obstruction along with asthma. COPD is characterised by airflow obstruction that cannot be easily reversed with medication. Airflow limitation is usually progressive and associated with an abnormal inflammatory response of the lung caused by significant exposure to noxious particles or gases.</w:t>
      </w:r>
    </w:p>
    <w:p w14:paraId="7821164C" w14:textId="70EBC042" w:rsidR="00E374F0" w:rsidRPr="00906719" w:rsidRDefault="00E374F0" w:rsidP="00A7711D">
      <w:pPr>
        <w:pStyle w:val="3-BodyText"/>
        <w:rPr>
          <w:color w:val="000000" w:themeColor="text1"/>
        </w:rPr>
      </w:pPr>
      <w:r w:rsidRPr="00906719">
        <w:rPr>
          <w:color w:val="000000" w:themeColor="text1"/>
        </w:rPr>
        <w:t>According to self-reported data in the 2018-2019 National Health Survey, COPD prevalence was 4.8%</w:t>
      </w:r>
      <w:r w:rsidR="00082D9D">
        <w:rPr>
          <w:color w:val="000000" w:themeColor="text1"/>
        </w:rPr>
        <w:t xml:space="preserve"> </w:t>
      </w:r>
      <w:r w:rsidRPr="00906719">
        <w:rPr>
          <w:color w:val="000000" w:themeColor="text1"/>
        </w:rPr>
        <w:t>of Australians over 45 years of age. The prevalence of COPD increases with age, mostly occurring in people aged 45 and over. COPD was the second leading cause of total disease burden for men aged 65–74 and 75–84 and the leading cause for women aged 65–74 (AIHW</w:t>
      </w:r>
      <w:r w:rsidRPr="00906719">
        <w:rPr>
          <w:rStyle w:val="FootnoteReference"/>
          <w:rFonts w:eastAsiaTheme="majorEastAsia"/>
          <w:color w:val="000000" w:themeColor="text1"/>
        </w:rPr>
        <w:footnoteReference w:id="1"/>
      </w:r>
      <w:r w:rsidRPr="00906719">
        <w:rPr>
          <w:color w:val="000000" w:themeColor="text1"/>
        </w:rPr>
        <w:t xml:space="preserve">). </w:t>
      </w:r>
    </w:p>
    <w:p w14:paraId="3C062DE5" w14:textId="33640ED0" w:rsidR="00E374F0" w:rsidRDefault="00F8273D" w:rsidP="00A7711D">
      <w:pPr>
        <w:pStyle w:val="3-BodyText"/>
        <w:rPr>
          <w:color w:val="000000" w:themeColor="text1"/>
        </w:rPr>
      </w:pPr>
      <w:r w:rsidRPr="00906719">
        <w:rPr>
          <w:color w:val="000000" w:themeColor="text1"/>
          <w:shd w:val="clear" w:color="auto" w:fill="FFFFFF"/>
        </w:rPr>
        <w:lastRenderedPageBreak/>
        <w:t xml:space="preserve">The submission proposed that BEC/FOR would be an alternative to </w:t>
      </w:r>
      <w:r w:rsidR="00940C38" w:rsidRPr="00906719">
        <w:rPr>
          <w:color w:val="000000" w:themeColor="text1"/>
          <w:shd w:val="clear" w:color="auto" w:fill="FFFFFF"/>
        </w:rPr>
        <w:t xml:space="preserve">currently listed </w:t>
      </w:r>
      <w:r w:rsidR="00E374F0" w:rsidRPr="00906719">
        <w:rPr>
          <w:color w:val="000000" w:themeColor="text1"/>
        </w:rPr>
        <w:t xml:space="preserve">ICS/LABAs </w:t>
      </w:r>
      <w:r w:rsidRPr="00906719">
        <w:rPr>
          <w:color w:val="000000" w:themeColor="text1"/>
        </w:rPr>
        <w:t xml:space="preserve">FDCs </w:t>
      </w:r>
      <w:r w:rsidR="00E374F0" w:rsidRPr="00906719">
        <w:rPr>
          <w:color w:val="000000" w:themeColor="text1"/>
        </w:rPr>
        <w:t>for COPD</w:t>
      </w:r>
      <w:r w:rsidRPr="00906719">
        <w:rPr>
          <w:color w:val="000000" w:themeColor="text1"/>
        </w:rPr>
        <w:t xml:space="preserve">. </w:t>
      </w:r>
      <w:r w:rsidR="00940C38" w:rsidRPr="00906719">
        <w:rPr>
          <w:color w:val="000000" w:themeColor="text1"/>
        </w:rPr>
        <w:t xml:space="preserve">Existing ICS/LABA FDCs are </w:t>
      </w:r>
      <w:r w:rsidR="00962126" w:rsidRPr="00906719">
        <w:rPr>
          <w:color w:val="000000" w:themeColor="text1"/>
        </w:rPr>
        <w:t xml:space="preserve">generally </w:t>
      </w:r>
      <w:r w:rsidR="00E374F0" w:rsidRPr="00906719">
        <w:rPr>
          <w:color w:val="000000" w:themeColor="text1"/>
        </w:rPr>
        <w:t>used to treat adults with severe COPD (FEV1 less than 50% predicted normal) and a history of repeated exacerbations, who have significant symptoms despite regular therapy with a LABA.</w:t>
      </w:r>
    </w:p>
    <w:p w14:paraId="20990467" w14:textId="0F10F99F" w:rsidR="00650D10" w:rsidRPr="00650D10" w:rsidRDefault="00650D10" w:rsidP="00650D10">
      <w:pPr>
        <w:pStyle w:val="3-BodyText"/>
        <w:numPr>
          <w:ilvl w:val="0"/>
          <w:numId w:val="0"/>
        </w:numPr>
        <w:ind w:left="720"/>
        <w:rPr>
          <w:i/>
          <w:iCs/>
          <w:color w:val="000000" w:themeColor="text1"/>
        </w:rPr>
      </w:pPr>
      <w:r w:rsidRPr="00650D10">
        <w:rPr>
          <w:i/>
          <w:iCs/>
          <w:color w:val="000000" w:themeColor="text1"/>
        </w:rPr>
        <w:t>For more detail on PBAC’s view, see section 7 PBAC outcome.</w:t>
      </w:r>
    </w:p>
    <w:p w14:paraId="541B7E8F" w14:textId="77777777" w:rsidR="00E374F0" w:rsidRPr="00906719" w:rsidRDefault="00E374F0" w:rsidP="00A7711D">
      <w:pPr>
        <w:pStyle w:val="2-SectionHeading"/>
        <w:jc w:val="left"/>
        <w:rPr>
          <w:color w:val="000000" w:themeColor="text1"/>
        </w:rPr>
      </w:pPr>
      <w:bookmarkStart w:id="20" w:name="_Toc22898850"/>
      <w:bookmarkStart w:id="21" w:name="_Toc93506450"/>
      <w:r w:rsidRPr="00906719">
        <w:rPr>
          <w:color w:val="000000" w:themeColor="text1"/>
        </w:rPr>
        <w:t>Comparator</w:t>
      </w:r>
      <w:bookmarkEnd w:id="20"/>
      <w:bookmarkEnd w:id="21"/>
    </w:p>
    <w:p w14:paraId="3DD32205" w14:textId="15F04D70" w:rsidR="00E374F0" w:rsidRDefault="00E374F0" w:rsidP="00A7711D">
      <w:pPr>
        <w:pStyle w:val="3-BodyText"/>
        <w:rPr>
          <w:color w:val="000000" w:themeColor="text1"/>
        </w:rPr>
      </w:pPr>
      <w:r w:rsidRPr="00906719">
        <w:rPr>
          <w:color w:val="000000" w:themeColor="text1"/>
        </w:rPr>
        <w:t xml:space="preserve">The submission nominated FP/SAL as the main comparator. The submission argued that this </w:t>
      </w:r>
      <w:r w:rsidR="00642373" w:rsidRPr="00906719">
        <w:rPr>
          <w:color w:val="000000" w:themeColor="text1"/>
        </w:rPr>
        <w:t xml:space="preserve">FDC </w:t>
      </w:r>
      <w:r w:rsidRPr="00906719">
        <w:rPr>
          <w:color w:val="000000" w:themeColor="text1"/>
        </w:rPr>
        <w:t xml:space="preserve">is the current market leader in the symptomatic treatment of severe COPD in Australia. As it is the most used treatment for COPD, it would therefore be the treatment most likely to be displaced in practice should BEC/FOR be listed. </w:t>
      </w:r>
    </w:p>
    <w:p w14:paraId="3ED78606" w14:textId="53CD6A49" w:rsidR="006D140E" w:rsidRPr="006D140E" w:rsidRDefault="006D140E" w:rsidP="006D140E">
      <w:pPr>
        <w:pStyle w:val="3-BodyText"/>
        <w:rPr>
          <w:snapToGrid/>
          <w:lang w:val="en-US"/>
        </w:rPr>
      </w:pPr>
      <w:r w:rsidRPr="006A50B1">
        <w:t xml:space="preserve">The submission stated that the individual components of BEC/FOR are PBS-listed only for asthma, not for COPD and hence it was not appropriate to consider the concurrent administration of the components as a comparator. A number of single component ICS inhalers have an unrestricted listing on the </w:t>
      </w:r>
      <w:proofErr w:type="gramStart"/>
      <w:r w:rsidRPr="006A50B1">
        <w:t>PBS</w:t>
      </w:r>
      <w:proofErr w:type="gramEnd"/>
      <w:r w:rsidRPr="006A50B1">
        <w:t xml:space="preserve"> but none are TGA registered for COPD. </w:t>
      </w:r>
    </w:p>
    <w:p w14:paraId="3F310C3C" w14:textId="0D0FF731" w:rsidR="00EB54B4" w:rsidRPr="006C59ED" w:rsidRDefault="00E374F0" w:rsidP="006C59ED">
      <w:pPr>
        <w:pStyle w:val="3-BodyText"/>
        <w:rPr>
          <w:color w:val="000000" w:themeColor="text1"/>
        </w:rPr>
      </w:pPr>
      <w:bookmarkStart w:id="22" w:name="_Ref98425350"/>
      <w:r w:rsidRPr="00694CDB">
        <w:rPr>
          <w:color w:val="000000" w:themeColor="text1"/>
        </w:rPr>
        <w:t xml:space="preserve">The submission </w:t>
      </w:r>
      <w:r w:rsidR="006D140E">
        <w:rPr>
          <w:color w:val="000000" w:themeColor="text1"/>
        </w:rPr>
        <w:t xml:space="preserve">also </w:t>
      </w:r>
      <w:r w:rsidR="00B32155">
        <w:rPr>
          <w:color w:val="000000" w:themeColor="text1"/>
        </w:rPr>
        <w:t>noted</w:t>
      </w:r>
      <w:r w:rsidR="00B32155" w:rsidRPr="00694CDB">
        <w:rPr>
          <w:color w:val="000000" w:themeColor="text1"/>
        </w:rPr>
        <w:t xml:space="preserve"> </w:t>
      </w:r>
      <w:r w:rsidRPr="00694CDB">
        <w:rPr>
          <w:color w:val="000000" w:themeColor="text1"/>
        </w:rPr>
        <w:t>that there are other</w:t>
      </w:r>
      <w:r w:rsidR="00642373" w:rsidRPr="00694CDB">
        <w:rPr>
          <w:color w:val="000000" w:themeColor="text1"/>
        </w:rPr>
        <w:t xml:space="preserve"> </w:t>
      </w:r>
      <w:r w:rsidRPr="00694CDB">
        <w:rPr>
          <w:color w:val="000000" w:themeColor="text1"/>
        </w:rPr>
        <w:t xml:space="preserve">ICS/LABA </w:t>
      </w:r>
      <w:r w:rsidR="00886DBE" w:rsidRPr="00694CDB">
        <w:rPr>
          <w:color w:val="000000" w:themeColor="text1"/>
        </w:rPr>
        <w:t>FDC</w:t>
      </w:r>
      <w:r w:rsidR="00642373" w:rsidRPr="00694CDB">
        <w:rPr>
          <w:color w:val="000000" w:themeColor="text1"/>
        </w:rPr>
        <w:t>s</w:t>
      </w:r>
      <w:r w:rsidR="00886DBE" w:rsidRPr="00694CDB">
        <w:rPr>
          <w:color w:val="000000" w:themeColor="text1"/>
        </w:rPr>
        <w:t xml:space="preserve"> </w:t>
      </w:r>
      <w:r w:rsidRPr="00694CDB">
        <w:rPr>
          <w:color w:val="000000" w:themeColor="text1"/>
        </w:rPr>
        <w:t>listed on the PBS for COPD</w:t>
      </w:r>
      <w:r w:rsidR="00886DBE" w:rsidRPr="00694CDB">
        <w:rPr>
          <w:color w:val="000000" w:themeColor="text1"/>
        </w:rPr>
        <w:t xml:space="preserve"> that could be considered potential comparators (Table 2).</w:t>
      </w:r>
      <w:r w:rsidRPr="00694CDB">
        <w:rPr>
          <w:color w:val="000000" w:themeColor="text1"/>
        </w:rPr>
        <w:t xml:space="preserve"> The submission stated that these are less relevant, as their share of the COPD market is smaller than that of FP/SAL</w:t>
      </w:r>
      <w:r w:rsidR="00C25BF6" w:rsidRPr="00694CDB">
        <w:rPr>
          <w:color w:val="000000" w:themeColor="text1"/>
        </w:rPr>
        <w:t xml:space="preserve"> and that only FP/SAL provides the same duration of treatment (30 days per pack).</w:t>
      </w:r>
      <w:r w:rsidR="003A5217" w:rsidRPr="006C59ED">
        <w:rPr>
          <w:color w:val="000000" w:themeColor="text1"/>
        </w:rPr>
        <w:t xml:space="preserve"> The ESC considered the other ICS/LABA combinations listed for COPD</w:t>
      </w:r>
      <w:r w:rsidR="0065529A" w:rsidRPr="006C59ED">
        <w:rPr>
          <w:color w:val="000000" w:themeColor="text1"/>
        </w:rPr>
        <w:t xml:space="preserve"> outlined in Table 2</w:t>
      </w:r>
      <w:r w:rsidR="003A5217" w:rsidRPr="006C59ED">
        <w:rPr>
          <w:color w:val="000000" w:themeColor="text1"/>
        </w:rPr>
        <w:t xml:space="preserve"> were relevant alternatives.</w:t>
      </w:r>
      <w:bookmarkEnd w:id="22"/>
      <w:r w:rsidR="004E3DF0" w:rsidRPr="006C59ED">
        <w:rPr>
          <w:color w:val="000000" w:themeColor="text1"/>
        </w:rPr>
        <w:t xml:space="preserve"> </w:t>
      </w:r>
    </w:p>
    <w:p w14:paraId="1011FC3E" w14:textId="7F55C5DD" w:rsidR="00E374F0" w:rsidRPr="00906719" w:rsidRDefault="00E374F0" w:rsidP="0069428E">
      <w:pPr>
        <w:pStyle w:val="Caption"/>
        <w:keepNext/>
        <w:spacing w:after="0"/>
        <w:rPr>
          <w:rFonts w:ascii="Arial Narrow" w:hAnsi="Arial Narrow"/>
          <w:b w:val="0"/>
          <w:i/>
          <w:iCs/>
          <w:color w:val="000000" w:themeColor="text1"/>
          <w:sz w:val="20"/>
          <w:szCs w:val="20"/>
        </w:rPr>
      </w:pPr>
      <w:bookmarkStart w:id="23" w:name="_Ref92285342"/>
      <w:r w:rsidRPr="00906719">
        <w:rPr>
          <w:rFonts w:ascii="Arial Narrow" w:hAnsi="Arial Narrow"/>
          <w:color w:val="000000" w:themeColor="text1"/>
          <w:sz w:val="20"/>
          <w:szCs w:val="20"/>
        </w:rPr>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2</w:t>
      </w:r>
      <w:r w:rsidRPr="00906719">
        <w:rPr>
          <w:rFonts w:ascii="Arial Narrow" w:hAnsi="Arial Narrow"/>
          <w:color w:val="000000" w:themeColor="text1"/>
          <w:sz w:val="20"/>
          <w:szCs w:val="20"/>
        </w:rPr>
        <w:fldChar w:fldCharType="end"/>
      </w:r>
      <w:bookmarkEnd w:id="23"/>
      <w:r w:rsidRPr="00906719">
        <w:rPr>
          <w:rFonts w:ascii="Arial Narrow" w:hAnsi="Arial Narrow"/>
          <w:color w:val="000000" w:themeColor="text1"/>
          <w:sz w:val="20"/>
          <w:szCs w:val="20"/>
        </w:rPr>
        <w:t>: ICS/LABA inhalers PBS-listed for COPD that may be considered alternatives to the intervention (BEC/FOR)</w:t>
      </w:r>
    </w:p>
    <w:tbl>
      <w:tblPr>
        <w:tblStyle w:val="TableGrid"/>
        <w:tblW w:w="0" w:type="auto"/>
        <w:jc w:val="center"/>
        <w:tblLook w:val="04A0" w:firstRow="1" w:lastRow="0" w:firstColumn="1" w:lastColumn="0" w:noHBand="0" w:noVBand="1"/>
      </w:tblPr>
      <w:tblGrid>
        <w:gridCol w:w="822"/>
        <w:gridCol w:w="1603"/>
        <w:gridCol w:w="1956"/>
        <w:gridCol w:w="874"/>
        <w:gridCol w:w="1146"/>
        <w:gridCol w:w="1314"/>
        <w:gridCol w:w="1302"/>
      </w:tblGrid>
      <w:tr w:rsidR="00CC5B79" w:rsidRPr="00A604AC" w14:paraId="35C4F04F" w14:textId="77777777" w:rsidTr="00E20505">
        <w:trPr>
          <w:trHeight w:val="453"/>
          <w:tblHeader/>
          <w:jc w:val="center"/>
        </w:trPr>
        <w:tc>
          <w:tcPr>
            <w:tcW w:w="823" w:type="dxa"/>
            <w:shd w:val="clear" w:color="auto" w:fill="auto"/>
          </w:tcPr>
          <w:p w14:paraId="1D06A1C1" w14:textId="77777777" w:rsidR="00E374F0" w:rsidRPr="00906719" w:rsidRDefault="00E374F0" w:rsidP="0069428E">
            <w:pPr>
              <w:pStyle w:val="TableFigureFooter"/>
              <w:keepNext/>
              <w:spacing w:after="0"/>
              <w:rPr>
                <w:b/>
                <w:color w:val="000000" w:themeColor="text1"/>
                <w:sz w:val="20"/>
                <w:szCs w:val="20"/>
              </w:rPr>
            </w:pPr>
            <w:r w:rsidRPr="00906719">
              <w:rPr>
                <w:b/>
                <w:color w:val="000000" w:themeColor="text1"/>
                <w:sz w:val="20"/>
                <w:szCs w:val="20"/>
              </w:rPr>
              <w:t>PBS Code</w:t>
            </w:r>
          </w:p>
        </w:tc>
        <w:tc>
          <w:tcPr>
            <w:tcW w:w="1603" w:type="dxa"/>
            <w:shd w:val="clear" w:color="auto" w:fill="auto"/>
          </w:tcPr>
          <w:p w14:paraId="22782AAD" w14:textId="77777777" w:rsidR="00E374F0" w:rsidRPr="00906719" w:rsidRDefault="00E374F0" w:rsidP="0069428E">
            <w:pPr>
              <w:pStyle w:val="TableFigureFooter"/>
              <w:keepNext/>
              <w:spacing w:after="0"/>
              <w:rPr>
                <w:b/>
                <w:color w:val="000000" w:themeColor="text1"/>
                <w:sz w:val="20"/>
                <w:szCs w:val="20"/>
              </w:rPr>
            </w:pPr>
            <w:r w:rsidRPr="00906719">
              <w:rPr>
                <w:b/>
                <w:color w:val="000000" w:themeColor="text1"/>
                <w:sz w:val="20"/>
                <w:szCs w:val="20"/>
              </w:rPr>
              <w:t>Brand(s)</w:t>
            </w:r>
          </w:p>
        </w:tc>
        <w:tc>
          <w:tcPr>
            <w:tcW w:w="0" w:type="auto"/>
            <w:shd w:val="clear" w:color="auto" w:fill="auto"/>
          </w:tcPr>
          <w:p w14:paraId="770A0636" w14:textId="77777777" w:rsidR="00E374F0" w:rsidRPr="00906719" w:rsidRDefault="00E374F0" w:rsidP="0069428E">
            <w:pPr>
              <w:pStyle w:val="TableFigureFooter"/>
              <w:keepNext/>
              <w:spacing w:after="0"/>
              <w:jc w:val="center"/>
              <w:rPr>
                <w:b/>
                <w:color w:val="000000" w:themeColor="text1"/>
                <w:sz w:val="20"/>
                <w:szCs w:val="20"/>
              </w:rPr>
            </w:pPr>
            <w:r w:rsidRPr="00906719">
              <w:rPr>
                <w:b/>
                <w:color w:val="000000" w:themeColor="text1"/>
                <w:sz w:val="20"/>
                <w:szCs w:val="20"/>
              </w:rPr>
              <w:t>Strength and Form</w:t>
            </w:r>
          </w:p>
        </w:tc>
        <w:tc>
          <w:tcPr>
            <w:tcW w:w="874" w:type="dxa"/>
          </w:tcPr>
          <w:p w14:paraId="569D3DE0" w14:textId="77777777" w:rsidR="00E374F0" w:rsidRPr="00906719" w:rsidRDefault="00E374F0" w:rsidP="0069428E">
            <w:pPr>
              <w:pStyle w:val="TableFigureFooter"/>
              <w:keepNext/>
              <w:spacing w:after="0"/>
              <w:rPr>
                <w:b/>
                <w:color w:val="000000" w:themeColor="text1"/>
                <w:sz w:val="20"/>
                <w:szCs w:val="20"/>
              </w:rPr>
            </w:pPr>
            <w:r w:rsidRPr="00906719">
              <w:rPr>
                <w:b/>
                <w:color w:val="000000" w:themeColor="text1"/>
                <w:sz w:val="20"/>
                <w:szCs w:val="20"/>
              </w:rPr>
              <w:t>Days per inhaler</w:t>
            </w:r>
          </w:p>
        </w:tc>
        <w:tc>
          <w:tcPr>
            <w:tcW w:w="1027" w:type="dxa"/>
          </w:tcPr>
          <w:p w14:paraId="695BA8BE" w14:textId="18988C2C" w:rsidR="00E374F0" w:rsidRPr="00A600BC" w:rsidRDefault="00E374F0" w:rsidP="0069428E">
            <w:pPr>
              <w:pStyle w:val="TableFigureFooter"/>
              <w:keepNext/>
              <w:spacing w:after="0"/>
              <w:rPr>
                <w:b/>
                <w:color w:val="000000" w:themeColor="text1"/>
                <w:sz w:val="20"/>
                <w:szCs w:val="20"/>
                <w:highlight w:val="yellow"/>
              </w:rPr>
            </w:pPr>
            <w:r w:rsidRPr="003A5217">
              <w:rPr>
                <w:rStyle w:val="TableBold"/>
                <w:bCs/>
                <w:color w:val="000000" w:themeColor="text1"/>
              </w:rPr>
              <w:t xml:space="preserve">Included in </w:t>
            </w:r>
            <w:r w:rsidR="00CC5B79" w:rsidRPr="003A5217">
              <w:rPr>
                <w:rStyle w:val="TableBold"/>
                <w:bCs/>
                <w:color w:val="000000" w:themeColor="text1"/>
              </w:rPr>
              <w:t>C</w:t>
            </w:r>
            <w:r w:rsidR="00CC5B79" w:rsidRPr="003A5217">
              <w:rPr>
                <w:rStyle w:val="TableBold"/>
                <w:bCs/>
              </w:rPr>
              <w:t>linical comparison</w:t>
            </w:r>
          </w:p>
        </w:tc>
        <w:tc>
          <w:tcPr>
            <w:tcW w:w="0" w:type="auto"/>
          </w:tcPr>
          <w:p w14:paraId="7C657037" w14:textId="2F463B78" w:rsidR="00E374F0" w:rsidRPr="00A600BC" w:rsidRDefault="00E374F0" w:rsidP="0069428E">
            <w:pPr>
              <w:pStyle w:val="TableFigureFooter"/>
              <w:keepNext/>
              <w:spacing w:after="0"/>
              <w:rPr>
                <w:rStyle w:val="TableBold"/>
                <w:bCs/>
                <w:color w:val="000000" w:themeColor="text1"/>
                <w:highlight w:val="yellow"/>
              </w:rPr>
            </w:pPr>
            <w:r w:rsidRPr="003A5217">
              <w:rPr>
                <w:rStyle w:val="TableBold"/>
                <w:bCs/>
                <w:color w:val="000000" w:themeColor="text1"/>
              </w:rPr>
              <w:t xml:space="preserve">Considered in </w:t>
            </w:r>
            <w:r w:rsidR="00CC5B79" w:rsidRPr="003A5217">
              <w:rPr>
                <w:rStyle w:val="TableBold"/>
                <w:bCs/>
                <w:color w:val="000000" w:themeColor="text1"/>
              </w:rPr>
              <w:t>E</w:t>
            </w:r>
            <w:r w:rsidR="00CC5B79" w:rsidRPr="003A5217">
              <w:rPr>
                <w:rStyle w:val="TableBold"/>
                <w:bCs/>
              </w:rPr>
              <w:t>conomics section</w:t>
            </w:r>
          </w:p>
        </w:tc>
        <w:tc>
          <w:tcPr>
            <w:tcW w:w="0" w:type="auto"/>
          </w:tcPr>
          <w:p w14:paraId="5A8EDD19" w14:textId="34642903" w:rsidR="00E374F0" w:rsidRPr="003A5217" w:rsidRDefault="00E374F0" w:rsidP="0069428E">
            <w:pPr>
              <w:pStyle w:val="TableFigureFooter"/>
              <w:keepNext/>
              <w:spacing w:after="0"/>
              <w:rPr>
                <w:rStyle w:val="TableBold"/>
                <w:bCs/>
                <w:color w:val="000000" w:themeColor="text1"/>
              </w:rPr>
            </w:pPr>
            <w:r w:rsidRPr="003A5217">
              <w:rPr>
                <w:rStyle w:val="TableBold"/>
                <w:bCs/>
                <w:color w:val="000000" w:themeColor="text1"/>
              </w:rPr>
              <w:t xml:space="preserve">Included in </w:t>
            </w:r>
            <w:r w:rsidR="00CC5B79" w:rsidRPr="003A5217">
              <w:rPr>
                <w:rStyle w:val="TableBold"/>
                <w:bCs/>
                <w:color w:val="000000" w:themeColor="text1"/>
              </w:rPr>
              <w:t>utilisation and financial estimates</w:t>
            </w:r>
          </w:p>
        </w:tc>
      </w:tr>
      <w:tr w:rsidR="00CC5B79" w:rsidRPr="00A604AC" w14:paraId="4580AEBC" w14:textId="77777777" w:rsidTr="00E20505">
        <w:trPr>
          <w:trHeight w:val="584"/>
          <w:jc w:val="center"/>
        </w:trPr>
        <w:tc>
          <w:tcPr>
            <w:tcW w:w="823" w:type="dxa"/>
          </w:tcPr>
          <w:p w14:paraId="5F43D393" w14:textId="77777777" w:rsidR="00E374F0" w:rsidRPr="00906719" w:rsidRDefault="00E374F0" w:rsidP="0069428E">
            <w:pPr>
              <w:pStyle w:val="TableFigureFooter"/>
              <w:keepNext/>
              <w:spacing w:after="0"/>
              <w:rPr>
                <w:color w:val="000000" w:themeColor="text1"/>
                <w:sz w:val="20"/>
                <w:szCs w:val="20"/>
              </w:rPr>
            </w:pPr>
            <w:r w:rsidRPr="00906719">
              <w:rPr>
                <w:color w:val="000000" w:themeColor="text1"/>
                <w:sz w:val="20"/>
                <w:szCs w:val="20"/>
              </w:rPr>
              <w:t>8519J</w:t>
            </w:r>
          </w:p>
        </w:tc>
        <w:tc>
          <w:tcPr>
            <w:tcW w:w="1603" w:type="dxa"/>
          </w:tcPr>
          <w:p w14:paraId="4818962E" w14:textId="77777777" w:rsidR="00E374F0" w:rsidRPr="00906719" w:rsidRDefault="00E374F0" w:rsidP="001B1F2B">
            <w:pPr>
              <w:pStyle w:val="TableFigureFooter"/>
              <w:keepNext/>
              <w:spacing w:after="0"/>
              <w:jc w:val="left"/>
              <w:rPr>
                <w:color w:val="000000" w:themeColor="text1"/>
                <w:sz w:val="20"/>
                <w:szCs w:val="20"/>
              </w:rPr>
            </w:pPr>
            <w:r w:rsidRPr="00906719">
              <w:rPr>
                <w:color w:val="000000" w:themeColor="text1"/>
                <w:sz w:val="20"/>
                <w:szCs w:val="20"/>
              </w:rPr>
              <w:t xml:space="preserve">Seretide 250/25; Cipla 250/25; </w:t>
            </w:r>
            <w:proofErr w:type="spellStart"/>
            <w:r w:rsidRPr="00906719">
              <w:rPr>
                <w:color w:val="000000" w:themeColor="text1"/>
                <w:sz w:val="20"/>
                <w:szCs w:val="20"/>
              </w:rPr>
              <w:t>Pavtide</w:t>
            </w:r>
            <w:proofErr w:type="spellEnd"/>
            <w:r w:rsidRPr="00906719">
              <w:rPr>
                <w:color w:val="000000" w:themeColor="text1"/>
                <w:sz w:val="20"/>
                <w:szCs w:val="20"/>
              </w:rPr>
              <w:t xml:space="preserve">; </w:t>
            </w:r>
            <w:proofErr w:type="spellStart"/>
            <w:r w:rsidRPr="00906719">
              <w:rPr>
                <w:color w:val="000000" w:themeColor="text1"/>
                <w:sz w:val="20"/>
                <w:szCs w:val="20"/>
              </w:rPr>
              <w:t>SalplusF</w:t>
            </w:r>
            <w:proofErr w:type="spellEnd"/>
            <w:r w:rsidRPr="00906719">
              <w:rPr>
                <w:color w:val="000000" w:themeColor="text1"/>
                <w:sz w:val="20"/>
                <w:szCs w:val="20"/>
              </w:rPr>
              <w:t xml:space="preserve"> Inhaler 250/25; </w:t>
            </w:r>
            <w:proofErr w:type="spellStart"/>
            <w:r w:rsidRPr="00906719">
              <w:rPr>
                <w:color w:val="000000" w:themeColor="text1"/>
                <w:sz w:val="20"/>
                <w:szCs w:val="20"/>
              </w:rPr>
              <w:t>Seroflo</w:t>
            </w:r>
            <w:proofErr w:type="spellEnd"/>
            <w:r w:rsidRPr="00906719">
              <w:rPr>
                <w:color w:val="000000" w:themeColor="text1"/>
                <w:sz w:val="20"/>
                <w:szCs w:val="20"/>
              </w:rPr>
              <w:t xml:space="preserve"> 250/25</w:t>
            </w:r>
          </w:p>
        </w:tc>
        <w:tc>
          <w:tcPr>
            <w:tcW w:w="0" w:type="auto"/>
          </w:tcPr>
          <w:p w14:paraId="72462C23" w14:textId="77777777" w:rsidR="00E374F0" w:rsidRPr="00906719" w:rsidRDefault="00E374F0" w:rsidP="001B1F2B">
            <w:pPr>
              <w:pStyle w:val="TableFigureFooter"/>
              <w:keepNext/>
              <w:spacing w:after="0"/>
              <w:jc w:val="left"/>
              <w:rPr>
                <w:color w:val="000000" w:themeColor="text1"/>
                <w:sz w:val="20"/>
                <w:szCs w:val="20"/>
              </w:rPr>
            </w:pPr>
            <w:r w:rsidRPr="00906719">
              <w:rPr>
                <w:color w:val="000000" w:themeColor="text1"/>
                <w:sz w:val="20"/>
                <w:szCs w:val="20"/>
              </w:rPr>
              <w:t xml:space="preserve">Fluticasone 250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salmeterol 25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/actuation inhalation, 120 actuations</w:t>
            </w:r>
          </w:p>
        </w:tc>
        <w:tc>
          <w:tcPr>
            <w:tcW w:w="874" w:type="dxa"/>
          </w:tcPr>
          <w:p w14:paraId="09183B38" w14:textId="77777777" w:rsidR="00E374F0" w:rsidRPr="00906719" w:rsidRDefault="00E374F0" w:rsidP="0069428E">
            <w:pPr>
              <w:pStyle w:val="TableFigureFooter"/>
              <w:keepNext/>
              <w:spacing w:after="0"/>
              <w:jc w:val="center"/>
              <w:rPr>
                <w:color w:val="000000" w:themeColor="text1"/>
                <w:sz w:val="20"/>
                <w:szCs w:val="20"/>
              </w:rPr>
            </w:pPr>
            <w:r w:rsidRPr="00906719">
              <w:rPr>
                <w:color w:val="000000" w:themeColor="text1"/>
                <w:sz w:val="20"/>
                <w:szCs w:val="20"/>
              </w:rPr>
              <w:t>30</w:t>
            </w:r>
          </w:p>
        </w:tc>
        <w:tc>
          <w:tcPr>
            <w:tcW w:w="1027" w:type="dxa"/>
          </w:tcPr>
          <w:p w14:paraId="01A49A9B" w14:textId="2773C5E9" w:rsidR="00E374F0" w:rsidRPr="00906719" w:rsidRDefault="005C5A83" w:rsidP="0069428E">
            <w:pPr>
              <w:pStyle w:val="TableFigureFooter"/>
              <w:keepNext/>
              <w:spacing w:after="0"/>
              <w:jc w:val="center"/>
              <w:rPr>
                <w:color w:val="000000" w:themeColor="text1"/>
                <w:sz w:val="20"/>
                <w:szCs w:val="20"/>
              </w:rPr>
            </w:pPr>
            <w:r>
              <w:rPr>
                <w:color w:val="000000" w:themeColor="text1"/>
                <w:sz w:val="20"/>
                <w:szCs w:val="20"/>
              </w:rPr>
              <w:t>No</w:t>
            </w:r>
          </w:p>
        </w:tc>
        <w:tc>
          <w:tcPr>
            <w:tcW w:w="0" w:type="auto"/>
          </w:tcPr>
          <w:p w14:paraId="22CBD5D2" w14:textId="77777777" w:rsidR="00E374F0" w:rsidRPr="00906719" w:rsidRDefault="00E374F0" w:rsidP="0069428E">
            <w:pPr>
              <w:pStyle w:val="TableFigureFooter"/>
              <w:keepNext/>
              <w:spacing w:after="0"/>
              <w:jc w:val="center"/>
              <w:rPr>
                <w:color w:val="000000" w:themeColor="text1"/>
                <w:sz w:val="20"/>
                <w:szCs w:val="20"/>
              </w:rPr>
            </w:pPr>
            <w:r w:rsidRPr="00906719">
              <w:rPr>
                <w:color w:val="000000" w:themeColor="text1"/>
                <w:sz w:val="20"/>
                <w:szCs w:val="20"/>
              </w:rPr>
              <w:t>Yes</w:t>
            </w:r>
          </w:p>
        </w:tc>
        <w:tc>
          <w:tcPr>
            <w:tcW w:w="0" w:type="auto"/>
          </w:tcPr>
          <w:p w14:paraId="00D6A4E6" w14:textId="77777777" w:rsidR="00E374F0" w:rsidRPr="00906719" w:rsidRDefault="00E374F0" w:rsidP="0069428E">
            <w:pPr>
              <w:pStyle w:val="TableFigureFooter"/>
              <w:keepNext/>
              <w:spacing w:after="0"/>
              <w:jc w:val="center"/>
              <w:rPr>
                <w:color w:val="000000" w:themeColor="text1"/>
                <w:sz w:val="20"/>
                <w:szCs w:val="20"/>
              </w:rPr>
            </w:pPr>
            <w:r w:rsidRPr="00906719">
              <w:rPr>
                <w:color w:val="000000" w:themeColor="text1"/>
                <w:sz w:val="20"/>
                <w:szCs w:val="20"/>
              </w:rPr>
              <w:t>Yes</w:t>
            </w:r>
          </w:p>
        </w:tc>
      </w:tr>
      <w:tr w:rsidR="00CC5B79" w:rsidRPr="00A604AC" w14:paraId="1004BD6A" w14:textId="77777777" w:rsidTr="00E20505">
        <w:trPr>
          <w:trHeight w:val="769"/>
          <w:jc w:val="center"/>
        </w:trPr>
        <w:tc>
          <w:tcPr>
            <w:tcW w:w="823" w:type="dxa"/>
          </w:tcPr>
          <w:p w14:paraId="74BC33B4" w14:textId="77777777" w:rsidR="00E374F0" w:rsidRPr="00906719" w:rsidRDefault="00E374F0" w:rsidP="00E20505">
            <w:pPr>
              <w:pStyle w:val="TableFigureFooter"/>
              <w:spacing w:after="0"/>
              <w:rPr>
                <w:color w:val="000000" w:themeColor="text1"/>
                <w:sz w:val="20"/>
                <w:szCs w:val="20"/>
              </w:rPr>
            </w:pPr>
            <w:r w:rsidRPr="00906719">
              <w:rPr>
                <w:color w:val="000000" w:themeColor="text1"/>
                <w:sz w:val="20"/>
                <w:szCs w:val="20"/>
              </w:rPr>
              <w:t>8432T</w:t>
            </w:r>
          </w:p>
        </w:tc>
        <w:tc>
          <w:tcPr>
            <w:tcW w:w="1603" w:type="dxa"/>
          </w:tcPr>
          <w:p w14:paraId="7318866F" w14:textId="77777777"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Seretide </w:t>
            </w:r>
            <w:proofErr w:type="spellStart"/>
            <w:r w:rsidRPr="00906719">
              <w:rPr>
                <w:color w:val="000000" w:themeColor="text1"/>
                <w:sz w:val="20"/>
                <w:szCs w:val="20"/>
              </w:rPr>
              <w:t>Accuhaler</w:t>
            </w:r>
            <w:proofErr w:type="spellEnd"/>
            <w:r w:rsidRPr="00906719">
              <w:rPr>
                <w:color w:val="000000" w:themeColor="text1"/>
                <w:sz w:val="20"/>
                <w:szCs w:val="20"/>
              </w:rPr>
              <w:t xml:space="preserve"> 500/50; </w:t>
            </w:r>
            <w:proofErr w:type="spellStart"/>
            <w:r w:rsidRPr="00906719">
              <w:rPr>
                <w:color w:val="000000" w:themeColor="text1"/>
                <w:sz w:val="20"/>
                <w:szCs w:val="20"/>
              </w:rPr>
              <w:t>Pavtide</w:t>
            </w:r>
            <w:proofErr w:type="spellEnd"/>
            <w:r w:rsidRPr="00906719">
              <w:rPr>
                <w:color w:val="000000" w:themeColor="text1"/>
                <w:sz w:val="20"/>
                <w:szCs w:val="20"/>
              </w:rPr>
              <w:t xml:space="preserve"> </w:t>
            </w:r>
            <w:proofErr w:type="spellStart"/>
            <w:r w:rsidRPr="00906719">
              <w:rPr>
                <w:color w:val="000000" w:themeColor="text1"/>
                <w:sz w:val="20"/>
                <w:szCs w:val="20"/>
              </w:rPr>
              <w:t>Accuhaler</w:t>
            </w:r>
            <w:proofErr w:type="spellEnd"/>
            <w:r w:rsidRPr="00906719">
              <w:rPr>
                <w:color w:val="000000" w:themeColor="text1"/>
                <w:sz w:val="20"/>
                <w:szCs w:val="20"/>
              </w:rPr>
              <w:t xml:space="preserve"> 500/50</w:t>
            </w:r>
          </w:p>
        </w:tc>
        <w:tc>
          <w:tcPr>
            <w:tcW w:w="0" w:type="auto"/>
          </w:tcPr>
          <w:p w14:paraId="0EEA4EE2" w14:textId="77777777"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Fluticasone 500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salmeterol 50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/actuation powder for inhalation, 60 actuations</w:t>
            </w:r>
          </w:p>
        </w:tc>
        <w:tc>
          <w:tcPr>
            <w:tcW w:w="874" w:type="dxa"/>
          </w:tcPr>
          <w:p w14:paraId="4DE0DFA2"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30</w:t>
            </w:r>
          </w:p>
        </w:tc>
        <w:tc>
          <w:tcPr>
            <w:tcW w:w="1027" w:type="dxa"/>
          </w:tcPr>
          <w:p w14:paraId="46F03825"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c>
          <w:tcPr>
            <w:tcW w:w="0" w:type="auto"/>
          </w:tcPr>
          <w:p w14:paraId="08A6CBAC"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c>
          <w:tcPr>
            <w:tcW w:w="0" w:type="auto"/>
          </w:tcPr>
          <w:p w14:paraId="01E02C00"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r>
      <w:tr w:rsidR="00CC5B79" w:rsidRPr="00A604AC" w14:paraId="09DD35B6" w14:textId="77777777" w:rsidTr="00E20505">
        <w:trPr>
          <w:trHeight w:val="633"/>
          <w:jc w:val="center"/>
        </w:trPr>
        <w:tc>
          <w:tcPr>
            <w:tcW w:w="823" w:type="dxa"/>
          </w:tcPr>
          <w:p w14:paraId="20E354F1" w14:textId="77777777" w:rsidR="00E374F0" w:rsidRPr="00906719" w:rsidRDefault="00E374F0" w:rsidP="00E20505">
            <w:pPr>
              <w:pStyle w:val="TableFigureFooter"/>
              <w:spacing w:after="0"/>
              <w:rPr>
                <w:color w:val="000000" w:themeColor="text1"/>
                <w:sz w:val="20"/>
                <w:szCs w:val="20"/>
              </w:rPr>
            </w:pPr>
            <w:r w:rsidRPr="00906719">
              <w:rPr>
                <w:color w:val="000000" w:themeColor="text1"/>
                <w:sz w:val="20"/>
                <w:szCs w:val="20"/>
              </w:rPr>
              <w:t>10018G</w:t>
            </w:r>
          </w:p>
        </w:tc>
        <w:tc>
          <w:tcPr>
            <w:tcW w:w="1603" w:type="dxa"/>
          </w:tcPr>
          <w:p w14:paraId="4C3E6C54" w14:textId="77777777"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Symbicort </w:t>
            </w:r>
            <w:proofErr w:type="spellStart"/>
            <w:r w:rsidRPr="00906719">
              <w:rPr>
                <w:color w:val="000000" w:themeColor="text1"/>
                <w:sz w:val="20"/>
                <w:szCs w:val="20"/>
              </w:rPr>
              <w:t>Rapihaler</w:t>
            </w:r>
            <w:proofErr w:type="spellEnd"/>
            <w:r w:rsidRPr="00906719">
              <w:rPr>
                <w:color w:val="000000" w:themeColor="text1"/>
                <w:sz w:val="20"/>
                <w:szCs w:val="20"/>
              </w:rPr>
              <w:t xml:space="preserve"> 200/6</w:t>
            </w:r>
          </w:p>
        </w:tc>
        <w:tc>
          <w:tcPr>
            <w:tcW w:w="0" w:type="auto"/>
          </w:tcPr>
          <w:p w14:paraId="11CEB6FF" w14:textId="2EDCCB08"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Budesonide 200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formoterol fumarate dihydrate </w:t>
            </w:r>
            <w:r w:rsidR="00F43232" w:rsidRPr="00906719">
              <w:rPr>
                <w:color w:val="000000" w:themeColor="text1"/>
                <w:sz w:val="20"/>
                <w:szCs w:val="20"/>
              </w:rPr>
              <w:t>6</w:t>
            </w:r>
            <w:r w:rsidR="00F43232">
              <w:rPr>
                <w:color w:val="000000" w:themeColor="text1"/>
                <w:sz w:val="20"/>
                <w:szCs w:val="20"/>
              </w:rPr>
              <w:t>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/actuation inhalation, 120 actuations</w:t>
            </w:r>
          </w:p>
        </w:tc>
        <w:tc>
          <w:tcPr>
            <w:tcW w:w="874" w:type="dxa"/>
          </w:tcPr>
          <w:p w14:paraId="424F1E5E" w14:textId="2B620824" w:rsidR="00E374F0" w:rsidRPr="00906719" w:rsidRDefault="00A604AC" w:rsidP="00E20505">
            <w:pPr>
              <w:pStyle w:val="TableFigureFooter"/>
              <w:spacing w:after="0"/>
              <w:jc w:val="center"/>
              <w:rPr>
                <w:color w:val="000000" w:themeColor="text1"/>
                <w:sz w:val="20"/>
                <w:szCs w:val="20"/>
              </w:rPr>
            </w:pPr>
            <w:r>
              <w:rPr>
                <w:color w:val="000000" w:themeColor="text1"/>
                <w:sz w:val="20"/>
                <w:szCs w:val="20"/>
              </w:rPr>
              <w:t>60</w:t>
            </w:r>
          </w:p>
        </w:tc>
        <w:tc>
          <w:tcPr>
            <w:tcW w:w="1027" w:type="dxa"/>
          </w:tcPr>
          <w:p w14:paraId="704CCBCB" w14:textId="2A3E8AFB" w:rsidR="00E374F0" w:rsidRPr="005C5A83" w:rsidRDefault="005C5A83" w:rsidP="00E20505">
            <w:pPr>
              <w:pStyle w:val="TableFigureFooter"/>
              <w:spacing w:after="0"/>
              <w:jc w:val="center"/>
              <w:rPr>
                <w:color w:val="000000" w:themeColor="text1"/>
                <w:sz w:val="20"/>
                <w:szCs w:val="20"/>
                <w:vertAlign w:val="superscript"/>
              </w:rPr>
            </w:pPr>
            <w:r>
              <w:rPr>
                <w:color w:val="000000" w:themeColor="text1"/>
                <w:sz w:val="20"/>
                <w:szCs w:val="20"/>
              </w:rPr>
              <w:t>No</w:t>
            </w:r>
            <w:r>
              <w:rPr>
                <w:color w:val="000000" w:themeColor="text1"/>
                <w:sz w:val="20"/>
                <w:szCs w:val="20"/>
                <w:vertAlign w:val="superscript"/>
              </w:rPr>
              <w:t>a</w:t>
            </w:r>
          </w:p>
        </w:tc>
        <w:tc>
          <w:tcPr>
            <w:tcW w:w="0" w:type="auto"/>
          </w:tcPr>
          <w:p w14:paraId="4D332E2B"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c>
          <w:tcPr>
            <w:tcW w:w="0" w:type="auto"/>
          </w:tcPr>
          <w:p w14:paraId="3F7F188A"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r>
      <w:tr w:rsidR="00CC5B79" w:rsidRPr="00A604AC" w14:paraId="0DD0BAB0" w14:textId="77777777" w:rsidTr="00E20505">
        <w:trPr>
          <w:trHeight w:val="633"/>
          <w:jc w:val="center"/>
        </w:trPr>
        <w:tc>
          <w:tcPr>
            <w:tcW w:w="823" w:type="dxa"/>
          </w:tcPr>
          <w:p w14:paraId="066236DA" w14:textId="77777777" w:rsidR="00E374F0" w:rsidRPr="00906719" w:rsidRDefault="00E374F0" w:rsidP="00E20505">
            <w:pPr>
              <w:pStyle w:val="TableFigureFooter"/>
              <w:spacing w:after="0"/>
              <w:rPr>
                <w:color w:val="000000" w:themeColor="text1"/>
                <w:sz w:val="20"/>
                <w:szCs w:val="20"/>
              </w:rPr>
            </w:pPr>
            <w:r w:rsidRPr="00906719">
              <w:rPr>
                <w:color w:val="000000" w:themeColor="text1"/>
                <w:sz w:val="20"/>
                <w:szCs w:val="20"/>
              </w:rPr>
              <w:t>8750M</w:t>
            </w:r>
          </w:p>
        </w:tc>
        <w:tc>
          <w:tcPr>
            <w:tcW w:w="1603" w:type="dxa"/>
          </w:tcPr>
          <w:p w14:paraId="00DEF15C" w14:textId="3171D9BA"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Symbicort </w:t>
            </w:r>
            <w:proofErr w:type="spellStart"/>
            <w:r w:rsidRPr="00906719">
              <w:rPr>
                <w:color w:val="000000" w:themeColor="text1"/>
                <w:sz w:val="20"/>
                <w:szCs w:val="20"/>
              </w:rPr>
              <w:t>Turbuhaler</w:t>
            </w:r>
            <w:proofErr w:type="spellEnd"/>
            <w:r w:rsidRPr="00906719">
              <w:rPr>
                <w:color w:val="000000" w:themeColor="text1"/>
                <w:sz w:val="20"/>
                <w:szCs w:val="20"/>
              </w:rPr>
              <w:t xml:space="preserve"> 400/12</w:t>
            </w:r>
          </w:p>
        </w:tc>
        <w:tc>
          <w:tcPr>
            <w:tcW w:w="0" w:type="auto"/>
          </w:tcPr>
          <w:p w14:paraId="03DE17B0" w14:textId="435AFD32"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Budesonide </w:t>
            </w:r>
            <w:r w:rsidR="00F43232" w:rsidRPr="00906719">
              <w:rPr>
                <w:color w:val="000000" w:themeColor="text1"/>
                <w:sz w:val="20"/>
                <w:szCs w:val="20"/>
              </w:rPr>
              <w:t>400</w:t>
            </w:r>
            <w:r w:rsidR="00F43232">
              <w:rPr>
                <w:color w:val="000000" w:themeColor="text1"/>
                <w:sz w:val="20"/>
                <w:szCs w:val="20"/>
              </w:rPr>
              <w:t>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formoterol fumarate dihydrate </w:t>
            </w:r>
            <w:r w:rsidR="00510A10" w:rsidRPr="00906719">
              <w:rPr>
                <w:color w:val="000000" w:themeColor="text1"/>
                <w:sz w:val="20"/>
                <w:szCs w:val="20"/>
              </w:rPr>
              <w:t>12</w:t>
            </w:r>
            <w:r w:rsidR="00510A10">
              <w:rPr>
                <w:color w:val="000000" w:themeColor="text1"/>
                <w:sz w:val="20"/>
                <w:szCs w:val="20"/>
              </w:rPr>
              <w:t>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w:t>
            </w:r>
            <w:r w:rsidRPr="00906719">
              <w:rPr>
                <w:color w:val="000000" w:themeColor="text1"/>
                <w:sz w:val="20"/>
                <w:szCs w:val="20"/>
              </w:rPr>
              <w:lastRenderedPageBreak/>
              <w:t>powder for inhalation, 2 x 60 actuations</w:t>
            </w:r>
          </w:p>
        </w:tc>
        <w:tc>
          <w:tcPr>
            <w:tcW w:w="874" w:type="dxa"/>
          </w:tcPr>
          <w:p w14:paraId="7A3F766E"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lastRenderedPageBreak/>
              <w:t>60</w:t>
            </w:r>
          </w:p>
        </w:tc>
        <w:tc>
          <w:tcPr>
            <w:tcW w:w="1027" w:type="dxa"/>
          </w:tcPr>
          <w:p w14:paraId="6FAF47D6"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No</w:t>
            </w:r>
          </w:p>
        </w:tc>
        <w:tc>
          <w:tcPr>
            <w:tcW w:w="0" w:type="auto"/>
          </w:tcPr>
          <w:p w14:paraId="3263D0A8"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c>
          <w:tcPr>
            <w:tcW w:w="0" w:type="auto"/>
          </w:tcPr>
          <w:p w14:paraId="3A4896DF"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r>
      <w:tr w:rsidR="00CC5B79" w:rsidRPr="00A604AC" w14:paraId="0D9D1ECE" w14:textId="77777777" w:rsidTr="00E20505">
        <w:trPr>
          <w:trHeight w:val="633"/>
          <w:jc w:val="center"/>
        </w:trPr>
        <w:tc>
          <w:tcPr>
            <w:tcW w:w="823" w:type="dxa"/>
          </w:tcPr>
          <w:p w14:paraId="1B96A4F7" w14:textId="77777777" w:rsidR="00E374F0" w:rsidRPr="00906719" w:rsidRDefault="00E374F0" w:rsidP="00E20505">
            <w:pPr>
              <w:pStyle w:val="TableFigureFooter"/>
              <w:spacing w:after="0"/>
              <w:rPr>
                <w:color w:val="000000" w:themeColor="text1"/>
                <w:sz w:val="20"/>
                <w:szCs w:val="20"/>
              </w:rPr>
            </w:pPr>
            <w:r w:rsidRPr="00906719">
              <w:rPr>
                <w:color w:val="000000" w:themeColor="text1"/>
                <w:sz w:val="20"/>
                <w:szCs w:val="20"/>
              </w:rPr>
              <w:t>11301T</w:t>
            </w:r>
          </w:p>
        </w:tc>
        <w:tc>
          <w:tcPr>
            <w:tcW w:w="1603" w:type="dxa"/>
          </w:tcPr>
          <w:p w14:paraId="7D4365F4" w14:textId="5980F3EA" w:rsidR="00E374F0" w:rsidRPr="00906719" w:rsidRDefault="00E374F0" w:rsidP="001B1F2B">
            <w:pPr>
              <w:pStyle w:val="TableFigureFooter"/>
              <w:spacing w:after="0"/>
              <w:jc w:val="left"/>
              <w:rPr>
                <w:color w:val="000000" w:themeColor="text1"/>
                <w:sz w:val="20"/>
                <w:szCs w:val="20"/>
              </w:rPr>
            </w:pPr>
            <w:proofErr w:type="spellStart"/>
            <w:r w:rsidRPr="00F502E6">
              <w:rPr>
                <w:color w:val="000000" w:themeColor="text1"/>
                <w:sz w:val="20"/>
                <w:szCs w:val="20"/>
              </w:rPr>
              <w:t>BiResp</w:t>
            </w:r>
            <w:proofErr w:type="spellEnd"/>
            <w:r w:rsidR="00F502E6">
              <w:rPr>
                <w:color w:val="000000" w:themeColor="text1"/>
                <w:sz w:val="20"/>
                <w:szCs w:val="20"/>
              </w:rPr>
              <w:t xml:space="preserve"> </w:t>
            </w:r>
            <w:proofErr w:type="spellStart"/>
            <w:r w:rsidR="00F502E6">
              <w:rPr>
                <w:color w:val="000000" w:themeColor="text1"/>
                <w:sz w:val="20"/>
                <w:szCs w:val="20"/>
              </w:rPr>
              <w:t>Spiromax</w:t>
            </w:r>
            <w:proofErr w:type="spellEnd"/>
            <w:r w:rsidRPr="00F502E6">
              <w:rPr>
                <w:color w:val="000000" w:themeColor="text1"/>
                <w:sz w:val="20"/>
                <w:szCs w:val="20"/>
              </w:rPr>
              <w:t xml:space="preserve">, </w:t>
            </w:r>
            <w:proofErr w:type="spellStart"/>
            <w:r w:rsidRPr="00F502E6">
              <w:rPr>
                <w:color w:val="000000" w:themeColor="text1"/>
                <w:sz w:val="20"/>
                <w:szCs w:val="20"/>
              </w:rPr>
              <w:t>DuoResp</w:t>
            </w:r>
            <w:proofErr w:type="spellEnd"/>
            <w:r w:rsidRPr="00F502E6">
              <w:rPr>
                <w:color w:val="000000" w:themeColor="text1"/>
                <w:sz w:val="20"/>
                <w:szCs w:val="20"/>
              </w:rPr>
              <w:t xml:space="preserve"> </w:t>
            </w:r>
            <w:proofErr w:type="spellStart"/>
            <w:r w:rsidR="00192E7A">
              <w:rPr>
                <w:color w:val="000000" w:themeColor="text1"/>
                <w:sz w:val="20"/>
                <w:szCs w:val="20"/>
              </w:rPr>
              <w:t>Spiromax</w:t>
            </w:r>
            <w:proofErr w:type="spellEnd"/>
          </w:p>
        </w:tc>
        <w:tc>
          <w:tcPr>
            <w:tcW w:w="0" w:type="auto"/>
          </w:tcPr>
          <w:p w14:paraId="1DAB33C2" w14:textId="14B02D00"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Budesonide 400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formoterol fumarate dihydrate </w:t>
            </w:r>
            <w:r w:rsidR="00F43232" w:rsidRPr="00906719">
              <w:rPr>
                <w:color w:val="000000" w:themeColor="text1"/>
                <w:sz w:val="20"/>
                <w:szCs w:val="20"/>
              </w:rPr>
              <w:t>12</w:t>
            </w:r>
            <w:r w:rsidR="00F43232">
              <w:rPr>
                <w:color w:val="000000" w:themeColor="text1"/>
                <w:sz w:val="20"/>
                <w:szCs w:val="20"/>
              </w:rPr>
              <w:t>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/actuation powder for inhalation, 2 x 60 actuations</w:t>
            </w:r>
          </w:p>
        </w:tc>
        <w:tc>
          <w:tcPr>
            <w:tcW w:w="874" w:type="dxa"/>
          </w:tcPr>
          <w:p w14:paraId="4BED6587"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60</w:t>
            </w:r>
          </w:p>
        </w:tc>
        <w:tc>
          <w:tcPr>
            <w:tcW w:w="1027" w:type="dxa"/>
          </w:tcPr>
          <w:p w14:paraId="6D5CD3E4"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No</w:t>
            </w:r>
          </w:p>
        </w:tc>
        <w:tc>
          <w:tcPr>
            <w:tcW w:w="0" w:type="auto"/>
          </w:tcPr>
          <w:p w14:paraId="1D39C898"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c>
          <w:tcPr>
            <w:tcW w:w="0" w:type="auto"/>
          </w:tcPr>
          <w:p w14:paraId="4CD11EF3"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r>
      <w:tr w:rsidR="00CC5B79" w:rsidRPr="00A604AC" w14:paraId="0113C591" w14:textId="77777777" w:rsidTr="00E20505">
        <w:trPr>
          <w:trHeight w:val="134"/>
          <w:jc w:val="center"/>
        </w:trPr>
        <w:tc>
          <w:tcPr>
            <w:tcW w:w="823" w:type="dxa"/>
          </w:tcPr>
          <w:p w14:paraId="5FB38619" w14:textId="77777777" w:rsidR="00E374F0" w:rsidRPr="00906719" w:rsidRDefault="00E374F0" w:rsidP="00E20505">
            <w:pPr>
              <w:pStyle w:val="TableFigureFooter"/>
              <w:spacing w:after="0"/>
              <w:rPr>
                <w:color w:val="000000" w:themeColor="text1"/>
                <w:sz w:val="20"/>
                <w:szCs w:val="20"/>
              </w:rPr>
            </w:pPr>
            <w:r w:rsidRPr="00906719">
              <w:rPr>
                <w:color w:val="000000" w:themeColor="text1"/>
                <w:sz w:val="20"/>
                <w:szCs w:val="20"/>
              </w:rPr>
              <w:t>11124L</w:t>
            </w:r>
          </w:p>
        </w:tc>
        <w:tc>
          <w:tcPr>
            <w:tcW w:w="1603" w:type="dxa"/>
          </w:tcPr>
          <w:p w14:paraId="052C4EF1" w14:textId="77777777" w:rsidR="00E374F0" w:rsidRPr="00906719" w:rsidRDefault="00E374F0" w:rsidP="001B1F2B">
            <w:pPr>
              <w:pStyle w:val="TableFigureFooter"/>
              <w:spacing w:after="0"/>
              <w:jc w:val="left"/>
              <w:rPr>
                <w:color w:val="000000" w:themeColor="text1"/>
                <w:sz w:val="20"/>
                <w:szCs w:val="20"/>
              </w:rPr>
            </w:pPr>
            <w:proofErr w:type="spellStart"/>
            <w:r w:rsidRPr="00906719">
              <w:rPr>
                <w:color w:val="000000" w:themeColor="text1"/>
                <w:sz w:val="20"/>
                <w:szCs w:val="20"/>
              </w:rPr>
              <w:t>Breo</w:t>
            </w:r>
            <w:proofErr w:type="spellEnd"/>
            <w:r w:rsidRPr="00906719">
              <w:rPr>
                <w:color w:val="000000" w:themeColor="text1"/>
                <w:sz w:val="20"/>
                <w:szCs w:val="20"/>
              </w:rPr>
              <w:t xml:space="preserve"> Ellipta 100/25</w:t>
            </w:r>
          </w:p>
        </w:tc>
        <w:tc>
          <w:tcPr>
            <w:tcW w:w="0" w:type="auto"/>
          </w:tcPr>
          <w:p w14:paraId="0FDD2F92" w14:textId="45BB1791" w:rsidR="00E374F0" w:rsidRPr="00906719" w:rsidRDefault="00E374F0" w:rsidP="001B1F2B">
            <w:pPr>
              <w:pStyle w:val="TableFigureFooter"/>
              <w:spacing w:after="0"/>
              <w:jc w:val="left"/>
              <w:rPr>
                <w:color w:val="000000" w:themeColor="text1"/>
                <w:sz w:val="20"/>
                <w:szCs w:val="20"/>
              </w:rPr>
            </w:pPr>
            <w:r w:rsidRPr="00906719">
              <w:rPr>
                <w:color w:val="000000" w:themeColor="text1"/>
                <w:sz w:val="20"/>
                <w:szCs w:val="20"/>
              </w:rPr>
              <w:t xml:space="preserve">Fluticasone fumarate 100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 xml:space="preserve">/actuation + vilanterol </w:t>
            </w:r>
            <w:r w:rsidR="00F43232" w:rsidRPr="00906719">
              <w:rPr>
                <w:color w:val="000000" w:themeColor="text1"/>
                <w:sz w:val="20"/>
                <w:szCs w:val="20"/>
              </w:rPr>
              <w:t>25</w:t>
            </w:r>
            <w:r w:rsidR="00F43232">
              <w:rPr>
                <w:color w:val="000000" w:themeColor="text1"/>
                <w:sz w:val="20"/>
                <w:szCs w:val="20"/>
              </w:rPr>
              <w:t> </w:t>
            </w:r>
            <w:r w:rsidRPr="00906719">
              <w:rPr>
                <w:color w:val="000000" w:themeColor="text1"/>
              </w:rPr>
              <w:t>µg</w:t>
            </w:r>
            <w:r w:rsidRPr="00906719" w:rsidDel="00103F82">
              <w:rPr>
                <w:color w:val="000000" w:themeColor="text1"/>
                <w:sz w:val="20"/>
                <w:szCs w:val="20"/>
              </w:rPr>
              <w:t xml:space="preserve"> </w:t>
            </w:r>
            <w:r w:rsidRPr="00906719">
              <w:rPr>
                <w:color w:val="000000" w:themeColor="text1"/>
                <w:sz w:val="20"/>
                <w:szCs w:val="20"/>
              </w:rPr>
              <w:t>/actuation powder for inhalation, 30 actuations</w:t>
            </w:r>
          </w:p>
        </w:tc>
        <w:tc>
          <w:tcPr>
            <w:tcW w:w="874" w:type="dxa"/>
          </w:tcPr>
          <w:p w14:paraId="3376BA79"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30</w:t>
            </w:r>
          </w:p>
        </w:tc>
        <w:tc>
          <w:tcPr>
            <w:tcW w:w="1027" w:type="dxa"/>
          </w:tcPr>
          <w:p w14:paraId="6CDC83E7"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No</w:t>
            </w:r>
          </w:p>
        </w:tc>
        <w:tc>
          <w:tcPr>
            <w:tcW w:w="0" w:type="auto"/>
          </w:tcPr>
          <w:p w14:paraId="62BD2DDA"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No</w:t>
            </w:r>
          </w:p>
        </w:tc>
        <w:tc>
          <w:tcPr>
            <w:tcW w:w="0" w:type="auto"/>
          </w:tcPr>
          <w:p w14:paraId="0E94E4A2" w14:textId="77777777" w:rsidR="00E374F0" w:rsidRPr="00906719" w:rsidRDefault="00E374F0" w:rsidP="00E20505">
            <w:pPr>
              <w:pStyle w:val="TableFigureFooter"/>
              <w:spacing w:after="0"/>
              <w:jc w:val="center"/>
              <w:rPr>
                <w:color w:val="000000" w:themeColor="text1"/>
                <w:sz w:val="20"/>
                <w:szCs w:val="20"/>
              </w:rPr>
            </w:pPr>
            <w:r w:rsidRPr="00906719">
              <w:rPr>
                <w:color w:val="000000" w:themeColor="text1"/>
                <w:sz w:val="20"/>
                <w:szCs w:val="20"/>
              </w:rPr>
              <w:t>Yes</w:t>
            </w:r>
          </w:p>
        </w:tc>
      </w:tr>
    </w:tbl>
    <w:p w14:paraId="46FDCD5E" w14:textId="7CB9D258" w:rsidR="005C5A83" w:rsidRPr="005C5A83" w:rsidRDefault="005C5A83" w:rsidP="006C6D8B">
      <w:pPr>
        <w:pStyle w:val="TableFigureFooter"/>
        <w:widowControl w:val="0"/>
        <w:spacing w:after="0"/>
        <w:rPr>
          <w:color w:val="000000" w:themeColor="text1"/>
          <w:szCs w:val="18"/>
        </w:rPr>
      </w:pPr>
      <w:proofErr w:type="spellStart"/>
      <w:r>
        <w:rPr>
          <w:color w:val="000000" w:themeColor="text1"/>
          <w:szCs w:val="18"/>
          <w:vertAlign w:val="superscript"/>
        </w:rPr>
        <w:t>a</w:t>
      </w:r>
      <w:r>
        <w:rPr>
          <w:color w:val="000000" w:themeColor="text1"/>
          <w:szCs w:val="18"/>
        </w:rPr>
        <w:t>Symbicort</w:t>
      </w:r>
      <w:proofErr w:type="spellEnd"/>
      <w:r>
        <w:rPr>
          <w:color w:val="000000" w:themeColor="text1"/>
          <w:szCs w:val="18"/>
        </w:rPr>
        <w:t xml:space="preserve"> </w:t>
      </w:r>
      <w:proofErr w:type="spellStart"/>
      <w:r>
        <w:rPr>
          <w:color w:val="000000" w:themeColor="text1"/>
          <w:szCs w:val="18"/>
        </w:rPr>
        <w:t>Turbuhaler</w:t>
      </w:r>
      <w:proofErr w:type="spellEnd"/>
      <w:r>
        <w:rPr>
          <w:color w:val="000000" w:themeColor="text1"/>
          <w:szCs w:val="18"/>
        </w:rPr>
        <w:t xml:space="preserve"> 200</w:t>
      </w:r>
      <w:r w:rsidRPr="005C5A83">
        <w:rPr>
          <w:color w:val="000000" w:themeColor="text1"/>
        </w:rPr>
        <w:t xml:space="preserve"> </w:t>
      </w:r>
      <w:r w:rsidRPr="00906719">
        <w:rPr>
          <w:color w:val="000000" w:themeColor="text1"/>
        </w:rPr>
        <w:t>µg</w:t>
      </w:r>
      <w:r>
        <w:rPr>
          <w:color w:val="000000" w:themeColor="text1"/>
          <w:szCs w:val="18"/>
        </w:rPr>
        <w:t>/6</w:t>
      </w:r>
      <w:r w:rsidRPr="005C5A83">
        <w:rPr>
          <w:color w:val="000000" w:themeColor="text1"/>
        </w:rPr>
        <w:t xml:space="preserve"> </w:t>
      </w:r>
      <w:r w:rsidRPr="00906719">
        <w:rPr>
          <w:color w:val="000000" w:themeColor="text1"/>
        </w:rPr>
        <w:t>µg</w:t>
      </w:r>
      <w:r>
        <w:rPr>
          <w:color w:val="000000" w:themeColor="text1"/>
        </w:rPr>
        <w:t xml:space="preserve"> was used in the Calverley et al (2010) trial but is not PBS listed for COPD. </w:t>
      </w:r>
      <w:r>
        <w:rPr>
          <w:color w:val="000000" w:themeColor="text1"/>
          <w:szCs w:val="18"/>
        </w:rPr>
        <w:t xml:space="preserve"> </w:t>
      </w:r>
    </w:p>
    <w:p w14:paraId="521D470E" w14:textId="270223D6" w:rsidR="00E374F0" w:rsidRDefault="00E374F0" w:rsidP="006C6D8B">
      <w:pPr>
        <w:pStyle w:val="TableFigureFooter"/>
        <w:widowControl w:val="0"/>
        <w:spacing w:after="0"/>
        <w:rPr>
          <w:color w:val="000000" w:themeColor="text1"/>
          <w:szCs w:val="18"/>
        </w:rPr>
      </w:pPr>
      <w:r w:rsidRPr="00906719">
        <w:rPr>
          <w:color w:val="000000" w:themeColor="text1"/>
          <w:szCs w:val="18"/>
        </w:rPr>
        <w:t>Source: Based on Ta</w:t>
      </w:r>
      <w:r w:rsidR="006C6D8B" w:rsidRPr="00906719">
        <w:rPr>
          <w:color w:val="000000" w:themeColor="text1"/>
          <w:szCs w:val="18"/>
        </w:rPr>
        <w:t xml:space="preserve">ble 66, p95 of the submission. </w:t>
      </w:r>
    </w:p>
    <w:p w14:paraId="18258390" w14:textId="77777777" w:rsidR="006C59ED" w:rsidRPr="00906719" w:rsidRDefault="006C59ED" w:rsidP="006C6D8B">
      <w:pPr>
        <w:pStyle w:val="TableFigureFooter"/>
        <w:widowControl w:val="0"/>
        <w:spacing w:after="0"/>
        <w:rPr>
          <w:color w:val="000000" w:themeColor="text1"/>
          <w:szCs w:val="18"/>
        </w:rPr>
      </w:pPr>
    </w:p>
    <w:p w14:paraId="05D2AA3E" w14:textId="6AB568D1" w:rsidR="00650D10" w:rsidRPr="00650D10" w:rsidRDefault="00650D10" w:rsidP="00650D10">
      <w:pPr>
        <w:pStyle w:val="3-BodyText"/>
        <w:numPr>
          <w:ilvl w:val="0"/>
          <w:numId w:val="0"/>
        </w:numPr>
        <w:ind w:left="720"/>
        <w:rPr>
          <w:i/>
          <w:iCs/>
          <w:color w:val="000000" w:themeColor="text1"/>
        </w:rPr>
      </w:pPr>
      <w:bookmarkStart w:id="24" w:name="_Toc93506451"/>
      <w:bookmarkStart w:id="25" w:name="_Toc22897640"/>
      <w:bookmarkStart w:id="26" w:name="_Toc22898852"/>
      <w:r w:rsidRPr="00650D10">
        <w:rPr>
          <w:i/>
          <w:iCs/>
          <w:color w:val="000000" w:themeColor="text1"/>
        </w:rPr>
        <w:t>For more detail on PBAC’s view, see section 7 PBAC outcome.</w:t>
      </w:r>
    </w:p>
    <w:p w14:paraId="483BCB43" w14:textId="64EEA8C4" w:rsidR="00E374F0" w:rsidRDefault="00E374F0" w:rsidP="00E374F0">
      <w:pPr>
        <w:pStyle w:val="2-SectionHeading"/>
        <w:spacing w:after="0"/>
        <w:jc w:val="left"/>
        <w:rPr>
          <w:color w:val="000000" w:themeColor="text1"/>
        </w:rPr>
      </w:pPr>
      <w:r w:rsidRPr="0069428E">
        <w:rPr>
          <w:color w:val="000000" w:themeColor="text1"/>
        </w:rPr>
        <w:t>Consideration of the evidence</w:t>
      </w:r>
      <w:bookmarkEnd w:id="24"/>
    </w:p>
    <w:p w14:paraId="40A0D26E" w14:textId="77777777" w:rsidR="00650D10" w:rsidRPr="00650D10" w:rsidRDefault="00650D10" w:rsidP="00650D10">
      <w:pPr>
        <w:pStyle w:val="4-SubsectionHeading"/>
        <w:spacing w:after="0"/>
        <w:rPr>
          <w:color w:val="000000" w:themeColor="text1"/>
        </w:rPr>
      </w:pPr>
      <w:bookmarkStart w:id="27" w:name="_Hlk76375935"/>
      <w:r w:rsidRPr="00650D10">
        <w:rPr>
          <w:color w:val="000000" w:themeColor="text1"/>
        </w:rPr>
        <w:t>Sponsor hearing</w:t>
      </w:r>
    </w:p>
    <w:p w14:paraId="0F5BD25C" w14:textId="253BA5DE" w:rsidR="00650D10" w:rsidRPr="00F91542" w:rsidRDefault="00650D10" w:rsidP="00650D10">
      <w:pPr>
        <w:widowControl w:val="0"/>
        <w:numPr>
          <w:ilvl w:val="1"/>
          <w:numId w:val="1"/>
        </w:numPr>
        <w:spacing w:after="120"/>
        <w:rPr>
          <w:rFonts w:cs="Calibri"/>
          <w:bCs/>
          <w:snapToGrid w:val="0"/>
        </w:rPr>
      </w:pPr>
      <w:r w:rsidRPr="00F91542">
        <w:rPr>
          <w:rFonts w:cs="Calibri"/>
          <w:bCs/>
          <w:snapToGrid w:val="0"/>
        </w:rPr>
        <w:t>There was no hearing for this item.</w:t>
      </w:r>
    </w:p>
    <w:p w14:paraId="50A1BA4F" w14:textId="46FCD63D" w:rsidR="00650D10" w:rsidRPr="00650D10" w:rsidRDefault="00650D10" w:rsidP="00650D10">
      <w:pPr>
        <w:pStyle w:val="4-SubsectionHeading"/>
        <w:spacing w:after="0"/>
        <w:rPr>
          <w:color w:val="000000" w:themeColor="text1"/>
        </w:rPr>
      </w:pPr>
      <w:r w:rsidRPr="00650D10">
        <w:rPr>
          <w:color w:val="000000" w:themeColor="text1"/>
        </w:rPr>
        <w:t>Consumer comments</w:t>
      </w:r>
    </w:p>
    <w:bookmarkEnd w:id="27"/>
    <w:p w14:paraId="32CD50A1" w14:textId="778F3A61" w:rsidR="00650D10" w:rsidRPr="00AF3396" w:rsidRDefault="00AF3396" w:rsidP="00AF3396">
      <w:pPr>
        <w:widowControl w:val="0"/>
        <w:numPr>
          <w:ilvl w:val="1"/>
          <w:numId w:val="1"/>
        </w:numPr>
        <w:spacing w:after="120"/>
        <w:rPr>
          <w:rFonts w:asciiTheme="minorHAnsi" w:hAnsiTheme="minorHAnsi"/>
          <w:bCs/>
          <w:snapToGrid w:val="0"/>
        </w:rPr>
      </w:pPr>
      <w:r>
        <w:rPr>
          <w:rFonts w:asciiTheme="minorHAnsi" w:hAnsiTheme="minorHAnsi"/>
          <w:bCs/>
          <w:snapToGrid w:val="0"/>
        </w:rPr>
        <w:t xml:space="preserve">The PBAC noted and welcomed the input from the Lung Foundation of Australia, which supported the listing of BEC/FOR in COPD, </w:t>
      </w:r>
      <w:r w:rsidR="00082D9D">
        <w:rPr>
          <w:rFonts w:asciiTheme="minorHAnsi" w:hAnsiTheme="minorHAnsi"/>
          <w:bCs/>
          <w:snapToGrid w:val="0"/>
        </w:rPr>
        <w:t>highlighting it</w:t>
      </w:r>
      <w:r>
        <w:rPr>
          <w:rFonts w:asciiTheme="minorHAnsi" w:hAnsiTheme="minorHAnsi"/>
          <w:bCs/>
          <w:snapToGrid w:val="0"/>
        </w:rPr>
        <w:t xml:space="preserve"> would provide an additional ICS/LABA treatment option for patients.</w:t>
      </w:r>
    </w:p>
    <w:p w14:paraId="38F1A7C0" w14:textId="77777777" w:rsidR="00E374F0" w:rsidRPr="0069428E" w:rsidRDefault="00E374F0" w:rsidP="00E374F0">
      <w:pPr>
        <w:pStyle w:val="4-SubsectionHeading"/>
        <w:spacing w:after="0"/>
        <w:rPr>
          <w:color w:val="000000" w:themeColor="text1"/>
        </w:rPr>
      </w:pPr>
      <w:bookmarkStart w:id="28" w:name="_Toc93506452"/>
      <w:r w:rsidRPr="0069428E">
        <w:rPr>
          <w:color w:val="000000" w:themeColor="text1"/>
        </w:rPr>
        <w:t>Clinical trials</w:t>
      </w:r>
      <w:bookmarkEnd w:id="25"/>
      <w:bookmarkEnd w:id="26"/>
      <w:bookmarkEnd w:id="28"/>
    </w:p>
    <w:p w14:paraId="29BD457F" w14:textId="2B7A82ED" w:rsidR="00E374F0" w:rsidRPr="00906719" w:rsidRDefault="00E374F0" w:rsidP="00A7711D">
      <w:pPr>
        <w:pStyle w:val="3-BodyText"/>
        <w:rPr>
          <w:i/>
          <w:iCs/>
          <w:color w:val="000000" w:themeColor="text1"/>
        </w:rPr>
      </w:pPr>
      <w:r w:rsidRPr="00906719">
        <w:rPr>
          <w:snapToGrid/>
          <w:color w:val="000000" w:themeColor="text1"/>
          <w:lang w:val="en-US"/>
        </w:rPr>
        <w:t xml:space="preserve">The submission was based on one head-to-head </w:t>
      </w:r>
      <w:proofErr w:type="spellStart"/>
      <w:r w:rsidR="009B598B" w:rsidRPr="00906719">
        <w:rPr>
          <w:snapToGrid/>
          <w:color w:val="000000" w:themeColor="text1"/>
          <w:lang w:val="en-US"/>
        </w:rPr>
        <w:t>randomised</w:t>
      </w:r>
      <w:proofErr w:type="spellEnd"/>
      <w:r w:rsidR="009B598B" w:rsidRPr="00906719">
        <w:rPr>
          <w:snapToGrid/>
          <w:color w:val="000000" w:themeColor="text1"/>
          <w:lang w:val="en-US"/>
        </w:rPr>
        <w:t xml:space="preserve"> controlled </w:t>
      </w:r>
      <w:r w:rsidRPr="00906719">
        <w:rPr>
          <w:snapToGrid/>
          <w:color w:val="000000" w:themeColor="text1"/>
          <w:lang w:val="en-US"/>
        </w:rPr>
        <w:t>trial</w:t>
      </w:r>
      <w:r w:rsidR="009B598B" w:rsidRPr="00906719">
        <w:rPr>
          <w:snapToGrid/>
          <w:color w:val="000000" w:themeColor="text1"/>
          <w:lang w:val="en-US"/>
        </w:rPr>
        <w:t xml:space="preserve"> (RCT)</w:t>
      </w:r>
      <w:r w:rsidRPr="00906719">
        <w:rPr>
          <w:snapToGrid/>
          <w:color w:val="000000" w:themeColor="text1"/>
          <w:lang w:val="en-US"/>
        </w:rPr>
        <w:t xml:space="preserve">, FUTURE, comparing BEC/FOR to FP/SAL and one head-to-head </w:t>
      </w:r>
      <w:r w:rsidR="009B598B" w:rsidRPr="00906719">
        <w:rPr>
          <w:snapToGrid/>
          <w:color w:val="000000" w:themeColor="text1"/>
          <w:lang w:val="en-US"/>
        </w:rPr>
        <w:t>RCT</w:t>
      </w:r>
      <w:r w:rsidRPr="00906719">
        <w:rPr>
          <w:snapToGrid/>
          <w:color w:val="000000" w:themeColor="text1"/>
          <w:lang w:val="en-US"/>
        </w:rPr>
        <w:t xml:space="preserve">, </w:t>
      </w:r>
      <w:r w:rsidRPr="00906719">
        <w:rPr>
          <w:color w:val="000000" w:themeColor="text1"/>
        </w:rPr>
        <w:t xml:space="preserve">Calverley </w:t>
      </w:r>
      <w:r w:rsidRPr="00906719">
        <w:rPr>
          <w:iCs/>
          <w:color w:val="000000" w:themeColor="text1"/>
        </w:rPr>
        <w:t>et al.</w:t>
      </w:r>
      <w:r w:rsidRPr="00906719">
        <w:rPr>
          <w:i/>
          <w:iCs/>
          <w:color w:val="000000" w:themeColor="text1"/>
        </w:rPr>
        <w:t xml:space="preserve"> </w:t>
      </w:r>
      <w:r w:rsidRPr="00906719">
        <w:rPr>
          <w:iCs/>
          <w:color w:val="000000" w:themeColor="text1"/>
        </w:rPr>
        <w:t>(</w:t>
      </w:r>
      <w:r w:rsidRPr="00906719">
        <w:rPr>
          <w:color w:val="000000" w:themeColor="text1"/>
        </w:rPr>
        <w:t>2010), comparing</w:t>
      </w:r>
      <w:r w:rsidRPr="00906719">
        <w:rPr>
          <w:snapToGrid/>
          <w:color w:val="000000" w:themeColor="text1"/>
          <w:lang w:val="en-US"/>
        </w:rPr>
        <w:t xml:space="preserve"> </w:t>
      </w:r>
      <w:r w:rsidRPr="00906719">
        <w:rPr>
          <w:color w:val="000000" w:themeColor="text1"/>
        </w:rPr>
        <w:t>BEC/FOR vs. BUD/FOR vs. FOR.</w:t>
      </w:r>
    </w:p>
    <w:p w14:paraId="5D1FDD52" w14:textId="1FA2A27C" w:rsidR="00E374F0" w:rsidRPr="0069428E" w:rsidRDefault="00E374F0" w:rsidP="00056015">
      <w:pPr>
        <w:pStyle w:val="3-BodyText"/>
        <w:rPr>
          <w:i/>
          <w:iCs/>
          <w:color w:val="000000" w:themeColor="text1"/>
        </w:rPr>
      </w:pPr>
      <w:r w:rsidRPr="0069428E">
        <w:rPr>
          <w:snapToGrid/>
          <w:color w:val="000000" w:themeColor="text1"/>
          <w:lang w:val="en-US"/>
        </w:rPr>
        <w:t xml:space="preserve">The clinical claim </w:t>
      </w:r>
      <w:r w:rsidR="00A139A2" w:rsidRPr="0069428E">
        <w:rPr>
          <w:snapToGrid/>
          <w:color w:val="000000" w:themeColor="text1"/>
          <w:lang w:val="en-US"/>
        </w:rPr>
        <w:t>for</w:t>
      </w:r>
      <w:r w:rsidRPr="0069428E">
        <w:rPr>
          <w:snapToGrid/>
          <w:color w:val="000000" w:themeColor="text1"/>
          <w:lang w:val="en-US"/>
        </w:rPr>
        <w:t xml:space="preserve"> BEC/FOR vs. FP/SAL was based on the subgroup of patients in FUTURE with FEV1 &lt; 50%. </w:t>
      </w:r>
      <w:r w:rsidR="00056015" w:rsidRPr="00906719">
        <w:rPr>
          <w:snapToGrid/>
          <w:color w:val="000000" w:themeColor="text1"/>
          <w:lang w:val="en-US"/>
        </w:rPr>
        <w:t>As the FUTURE trial included patients with moderate-severe COPD (FEV1 less than 60% predicted normal), which is outside of the TGA indication for FOSTAIR, results from the ITT population are presented as well as results from patients in the severe COPD population only (FEV1 less than 50% predicted normal).</w:t>
      </w:r>
    </w:p>
    <w:p w14:paraId="28BC2DA2" w14:textId="614B16E9" w:rsidR="00662BA4" w:rsidRPr="00906719" w:rsidRDefault="00F7480D" w:rsidP="00A139A2">
      <w:pPr>
        <w:pStyle w:val="3-BodyText"/>
        <w:rPr>
          <w:i/>
          <w:iCs/>
          <w:color w:val="000000" w:themeColor="text1"/>
        </w:rPr>
      </w:pPr>
      <w:r w:rsidRPr="00906719">
        <w:rPr>
          <w:snapToGrid/>
          <w:color w:val="000000" w:themeColor="text1"/>
          <w:lang w:val="en-US"/>
        </w:rPr>
        <w:t xml:space="preserve">The </w:t>
      </w:r>
      <w:r w:rsidR="00662BA4" w:rsidRPr="00906719">
        <w:rPr>
          <w:snapToGrid/>
          <w:color w:val="000000" w:themeColor="text1"/>
          <w:lang w:val="en-US"/>
        </w:rPr>
        <w:t>FORWARD trial</w:t>
      </w:r>
      <w:r w:rsidRPr="00906719">
        <w:rPr>
          <w:snapToGrid/>
          <w:color w:val="000000" w:themeColor="text1"/>
          <w:lang w:val="en-US"/>
        </w:rPr>
        <w:t xml:space="preserve"> </w:t>
      </w:r>
      <w:r w:rsidR="0069428E">
        <w:rPr>
          <w:color w:val="000000" w:themeColor="text1"/>
        </w:rPr>
        <w:t>was</w:t>
      </w:r>
      <w:r w:rsidRPr="0069428E">
        <w:rPr>
          <w:color w:val="000000" w:themeColor="text1"/>
        </w:rPr>
        <w:t xml:space="preserve"> included as a supplementary study as it consist</w:t>
      </w:r>
      <w:r w:rsidR="0069428E">
        <w:rPr>
          <w:color w:val="000000" w:themeColor="text1"/>
        </w:rPr>
        <w:t>ed</w:t>
      </w:r>
      <w:r w:rsidRPr="0069428E">
        <w:rPr>
          <w:color w:val="000000" w:themeColor="text1"/>
        </w:rPr>
        <w:t xml:space="preserve"> of a comparison of </w:t>
      </w:r>
      <w:r w:rsidR="00B32155">
        <w:rPr>
          <w:color w:val="000000" w:themeColor="text1"/>
        </w:rPr>
        <w:t>BEC/FOR</w:t>
      </w:r>
      <w:r w:rsidR="00B32155" w:rsidRPr="0069428E">
        <w:rPr>
          <w:color w:val="000000" w:themeColor="text1"/>
        </w:rPr>
        <w:t xml:space="preserve"> </w:t>
      </w:r>
      <w:r w:rsidRPr="0069428E">
        <w:rPr>
          <w:color w:val="000000" w:themeColor="text1"/>
        </w:rPr>
        <w:t>against a LABA</w:t>
      </w:r>
      <w:r w:rsidR="00D973C7">
        <w:rPr>
          <w:color w:val="000000" w:themeColor="text1"/>
        </w:rPr>
        <w:t xml:space="preserve"> (formoterol)</w:t>
      </w:r>
      <w:r w:rsidRPr="0069428E">
        <w:rPr>
          <w:color w:val="000000" w:themeColor="text1"/>
        </w:rPr>
        <w:t xml:space="preserve"> in the treatment of COPD</w:t>
      </w:r>
      <w:r w:rsidR="008D6937" w:rsidRPr="0069428E">
        <w:rPr>
          <w:color w:val="000000" w:themeColor="text1"/>
        </w:rPr>
        <w:t>.</w:t>
      </w:r>
      <w:r w:rsidRPr="0069428E">
        <w:rPr>
          <w:color w:val="000000" w:themeColor="text1"/>
        </w:rPr>
        <w:t xml:space="preserve"> </w:t>
      </w:r>
      <w:r w:rsidR="008D6937" w:rsidRPr="0069428E">
        <w:rPr>
          <w:color w:val="000000" w:themeColor="text1"/>
        </w:rPr>
        <w:t>H</w:t>
      </w:r>
      <w:r w:rsidRPr="0069428E">
        <w:rPr>
          <w:color w:val="000000" w:themeColor="text1"/>
        </w:rPr>
        <w:t xml:space="preserve">owever, formoterol is not listed on the PBS for the treatment of COPD and </w:t>
      </w:r>
      <w:r w:rsidR="0069428E">
        <w:rPr>
          <w:color w:val="000000" w:themeColor="text1"/>
        </w:rPr>
        <w:t xml:space="preserve">as such this comparison </w:t>
      </w:r>
      <w:r w:rsidR="00D973C7">
        <w:rPr>
          <w:color w:val="000000" w:themeColor="text1"/>
        </w:rPr>
        <w:t>wa</w:t>
      </w:r>
      <w:r w:rsidR="0069428E">
        <w:rPr>
          <w:color w:val="000000" w:themeColor="text1"/>
        </w:rPr>
        <w:t>s not detailed in th</w:t>
      </w:r>
      <w:r w:rsidR="00D973C7">
        <w:rPr>
          <w:color w:val="000000" w:themeColor="text1"/>
        </w:rPr>
        <w:t>e</w:t>
      </w:r>
      <w:r w:rsidR="0069428E">
        <w:rPr>
          <w:color w:val="000000" w:themeColor="text1"/>
        </w:rPr>
        <w:t xml:space="preserve"> evaluation.</w:t>
      </w:r>
    </w:p>
    <w:p w14:paraId="2A7A77DE" w14:textId="18BAC81B" w:rsidR="00E374F0" w:rsidRPr="00906719" w:rsidRDefault="00E374F0" w:rsidP="00A7711D">
      <w:pPr>
        <w:pStyle w:val="3-BodyText"/>
        <w:rPr>
          <w:color w:val="000000" w:themeColor="text1"/>
        </w:rPr>
      </w:pPr>
      <w:r w:rsidRPr="00906719">
        <w:rPr>
          <w:snapToGrid/>
          <w:color w:val="000000" w:themeColor="text1"/>
          <w:lang w:val="en-US"/>
        </w:rPr>
        <w:t xml:space="preserve">Details of the </w:t>
      </w:r>
      <w:r w:rsidRPr="00906719">
        <w:rPr>
          <w:color w:val="000000" w:themeColor="text1"/>
        </w:rPr>
        <w:t>trials</w:t>
      </w:r>
      <w:r w:rsidRPr="00906719">
        <w:rPr>
          <w:snapToGrid/>
          <w:color w:val="000000" w:themeColor="text1"/>
          <w:lang w:val="en-US"/>
        </w:rPr>
        <w:t xml:space="preserve"> are provided in </w:t>
      </w:r>
      <w:r w:rsidR="003811C1">
        <w:rPr>
          <w:snapToGrid/>
          <w:color w:val="000000" w:themeColor="text1"/>
          <w:lang w:val="en-US"/>
        </w:rPr>
        <w:t>Table 3</w:t>
      </w:r>
      <w:r w:rsidRPr="00906719">
        <w:rPr>
          <w:snapToGrid/>
          <w:color w:val="000000" w:themeColor="text1"/>
          <w:lang w:val="en-US"/>
        </w:rPr>
        <w:t>.</w:t>
      </w:r>
    </w:p>
    <w:p w14:paraId="37555AC3" w14:textId="65CFA2A3" w:rsidR="00E374F0" w:rsidRPr="00906719" w:rsidRDefault="00E374F0" w:rsidP="00E374F0">
      <w:pPr>
        <w:pStyle w:val="Caption"/>
        <w:keepNext/>
        <w:spacing w:after="0"/>
        <w:rPr>
          <w:rStyle w:val="CommentReference"/>
          <w:b/>
          <w:color w:val="000000" w:themeColor="text1"/>
        </w:rPr>
      </w:pPr>
      <w:r w:rsidRPr="00906719">
        <w:rPr>
          <w:rFonts w:ascii="Arial Narrow" w:hAnsi="Arial Narrow"/>
          <w:color w:val="000000" w:themeColor="text1"/>
          <w:sz w:val="20"/>
          <w:szCs w:val="20"/>
        </w:rPr>
        <w:lastRenderedPageBreak/>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3</w:t>
      </w:r>
      <w:r w:rsidRPr="00906719">
        <w:rPr>
          <w:rFonts w:ascii="Arial Narrow" w:hAnsi="Arial Narrow"/>
          <w:color w:val="000000" w:themeColor="text1"/>
          <w:sz w:val="20"/>
          <w:szCs w:val="20"/>
        </w:rPr>
        <w:fldChar w:fldCharType="end"/>
      </w:r>
      <w:r w:rsidRPr="00906719">
        <w:rPr>
          <w:rStyle w:val="CommentReference"/>
          <w:b/>
          <w:color w:val="000000" w:themeColor="text1"/>
        </w:rPr>
        <w:t>: FUTURE and Calverley et al. (2010) 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401"/>
        <w:gridCol w:w="2182"/>
      </w:tblGrid>
      <w:tr w:rsidR="00A604AC" w:rsidRPr="00A604AC" w14:paraId="3AD1F606" w14:textId="77777777" w:rsidTr="00E20505">
        <w:trPr>
          <w:cantSplit/>
          <w:tblHeader/>
        </w:trPr>
        <w:tc>
          <w:tcPr>
            <w:tcW w:w="795" w:type="pct"/>
            <w:shd w:val="clear" w:color="auto" w:fill="auto"/>
            <w:vAlign w:val="center"/>
          </w:tcPr>
          <w:p w14:paraId="6087BFE2" w14:textId="77777777" w:rsidR="00E374F0" w:rsidRPr="00906719" w:rsidRDefault="00E374F0" w:rsidP="00E20505">
            <w:pPr>
              <w:pStyle w:val="In-tableHeading"/>
              <w:jc w:val="center"/>
              <w:rPr>
                <w:color w:val="000000" w:themeColor="text1"/>
                <w:szCs w:val="20"/>
              </w:rPr>
            </w:pPr>
            <w:r w:rsidRPr="00906719">
              <w:rPr>
                <w:color w:val="000000" w:themeColor="text1"/>
                <w:szCs w:val="20"/>
              </w:rPr>
              <w:t>Trial ID</w:t>
            </w:r>
          </w:p>
        </w:tc>
        <w:tc>
          <w:tcPr>
            <w:tcW w:w="2995" w:type="pct"/>
            <w:shd w:val="clear" w:color="auto" w:fill="auto"/>
            <w:vAlign w:val="center"/>
          </w:tcPr>
          <w:p w14:paraId="52D92129" w14:textId="77777777" w:rsidR="00E374F0" w:rsidRPr="00906719" w:rsidRDefault="00E374F0" w:rsidP="00E20505">
            <w:pPr>
              <w:pStyle w:val="In-tableHeading"/>
              <w:rPr>
                <w:color w:val="000000" w:themeColor="text1"/>
                <w:szCs w:val="20"/>
              </w:rPr>
            </w:pPr>
            <w:r w:rsidRPr="00906719">
              <w:rPr>
                <w:color w:val="000000" w:themeColor="text1"/>
                <w:szCs w:val="20"/>
              </w:rPr>
              <w:t>Protocol title/ Publication title</w:t>
            </w:r>
          </w:p>
        </w:tc>
        <w:tc>
          <w:tcPr>
            <w:tcW w:w="1210" w:type="pct"/>
            <w:shd w:val="clear" w:color="auto" w:fill="auto"/>
            <w:vAlign w:val="center"/>
          </w:tcPr>
          <w:p w14:paraId="6ED9F67C" w14:textId="77777777" w:rsidR="00E374F0" w:rsidRPr="00906719" w:rsidRDefault="00E374F0" w:rsidP="00E20505">
            <w:pPr>
              <w:pStyle w:val="In-tableHeading"/>
              <w:rPr>
                <w:color w:val="000000" w:themeColor="text1"/>
                <w:szCs w:val="20"/>
              </w:rPr>
            </w:pPr>
            <w:r w:rsidRPr="00906719">
              <w:rPr>
                <w:color w:val="000000" w:themeColor="text1"/>
                <w:szCs w:val="20"/>
              </w:rPr>
              <w:t>Publication citation</w:t>
            </w:r>
          </w:p>
        </w:tc>
      </w:tr>
      <w:tr w:rsidR="00A604AC" w:rsidRPr="00A604AC" w14:paraId="307DDFD0" w14:textId="77777777" w:rsidTr="00E20505">
        <w:trPr>
          <w:cantSplit/>
        </w:trPr>
        <w:tc>
          <w:tcPr>
            <w:tcW w:w="795" w:type="pct"/>
            <w:vMerge w:val="restart"/>
            <w:vAlign w:val="center"/>
          </w:tcPr>
          <w:p w14:paraId="23D80B24" w14:textId="77777777" w:rsidR="00E374F0" w:rsidRPr="00906719" w:rsidRDefault="00E374F0" w:rsidP="00E20505">
            <w:pPr>
              <w:pStyle w:val="TableText0"/>
              <w:jc w:val="center"/>
              <w:rPr>
                <w:color w:val="000000" w:themeColor="text1"/>
                <w:szCs w:val="20"/>
              </w:rPr>
            </w:pPr>
            <w:r w:rsidRPr="00906719">
              <w:rPr>
                <w:color w:val="000000" w:themeColor="text1"/>
                <w:szCs w:val="20"/>
              </w:rPr>
              <w:t>Future Trial</w:t>
            </w:r>
          </w:p>
        </w:tc>
        <w:tc>
          <w:tcPr>
            <w:tcW w:w="2995" w:type="pct"/>
            <w:tcBorders>
              <w:bottom w:val="nil"/>
            </w:tcBorders>
            <w:vAlign w:val="center"/>
          </w:tcPr>
          <w:p w14:paraId="1BD9C69A" w14:textId="4B558BA8" w:rsidR="00E374F0" w:rsidRPr="00906719" w:rsidRDefault="00E374F0" w:rsidP="00E20505">
            <w:pPr>
              <w:keepNext/>
              <w:autoSpaceDE w:val="0"/>
              <w:autoSpaceDN w:val="0"/>
              <w:adjustRightInd w:val="0"/>
              <w:jc w:val="left"/>
              <w:rPr>
                <w:rFonts w:ascii="Arial Narrow" w:hAnsi="Arial Narrow" w:cs="Times-Roman"/>
                <w:color w:val="000000" w:themeColor="text1"/>
                <w:sz w:val="20"/>
                <w:szCs w:val="20"/>
                <w:lang w:val="en-US"/>
              </w:rPr>
            </w:pPr>
            <w:r w:rsidRPr="00906719">
              <w:rPr>
                <w:rFonts w:ascii="Arial Narrow" w:hAnsi="Arial Narrow" w:cs="Times-Roman"/>
                <w:color w:val="000000" w:themeColor="text1"/>
                <w:sz w:val="20"/>
                <w:szCs w:val="20"/>
                <w:lang w:val="en-US"/>
              </w:rPr>
              <w:t xml:space="preserve">A 12-week, </w:t>
            </w:r>
            <w:proofErr w:type="spellStart"/>
            <w:r w:rsidRPr="00906719">
              <w:rPr>
                <w:rFonts w:ascii="Arial Narrow" w:hAnsi="Arial Narrow" w:cs="Times-Roman"/>
                <w:color w:val="000000" w:themeColor="text1"/>
                <w:sz w:val="20"/>
                <w:szCs w:val="20"/>
                <w:lang w:val="en-US"/>
              </w:rPr>
              <w:t>multicentre</w:t>
            </w:r>
            <w:proofErr w:type="spellEnd"/>
            <w:r w:rsidRPr="00906719">
              <w:rPr>
                <w:rFonts w:ascii="Arial Narrow" w:hAnsi="Arial Narrow" w:cs="Times-Roman"/>
                <w:color w:val="000000" w:themeColor="text1"/>
                <w:sz w:val="20"/>
                <w:szCs w:val="20"/>
                <w:lang w:val="en-US"/>
              </w:rPr>
              <w:t xml:space="preserve">, multinational, randomized, double-blind, double-dummy, 2-arm parallel </w:t>
            </w:r>
            <w:proofErr w:type="spellStart"/>
            <w:r w:rsidRPr="00906719">
              <w:rPr>
                <w:rFonts w:ascii="Arial Narrow" w:hAnsi="Arial Narrow" w:cs="Times-Roman"/>
                <w:color w:val="000000" w:themeColor="text1"/>
                <w:sz w:val="20"/>
                <w:szCs w:val="20"/>
                <w:lang w:val="en-US"/>
              </w:rPr>
              <w:t>groupstudy</w:t>
            </w:r>
            <w:proofErr w:type="spellEnd"/>
            <w:r w:rsidRPr="00906719">
              <w:rPr>
                <w:rFonts w:ascii="Arial Narrow" w:hAnsi="Arial Narrow" w:cs="Times-Roman"/>
                <w:color w:val="000000" w:themeColor="text1"/>
                <w:sz w:val="20"/>
                <w:szCs w:val="20"/>
                <w:lang w:val="en-US"/>
              </w:rPr>
              <w:t xml:space="preserve"> comparing the efficacy and safety of Foster 100/6 (beclomethasone dipropionate </w:t>
            </w:r>
            <w:r w:rsidR="003652B7" w:rsidRPr="00906719">
              <w:rPr>
                <w:rFonts w:ascii="Arial Narrow" w:hAnsi="Arial Narrow" w:cs="Times-Roman"/>
                <w:color w:val="000000" w:themeColor="text1"/>
                <w:sz w:val="20"/>
                <w:szCs w:val="20"/>
                <w:lang w:val="en-US"/>
              </w:rPr>
              <w:t>100</w:t>
            </w:r>
            <w:r w:rsidR="003652B7">
              <w:rPr>
                <w:rFonts w:ascii="Arial Narrow" w:hAnsi="Arial Narrow" w:cs="Times-Roman"/>
                <w:color w:val="000000" w:themeColor="text1"/>
                <w:sz w:val="20"/>
                <w:szCs w:val="20"/>
                <w:lang w:val="en-US"/>
              </w:rPr>
              <w:t> </w:t>
            </w:r>
            <w:r w:rsidRPr="00906719">
              <w:rPr>
                <w:rFonts w:ascii="Arial Narrow" w:hAnsi="Arial Narrow" w:cs="Times-Roman"/>
                <w:color w:val="000000" w:themeColor="text1"/>
                <w:sz w:val="20"/>
                <w:szCs w:val="20"/>
                <w:lang w:val="en-US"/>
              </w:rPr>
              <w:t>μg plus formoterol 6</w:t>
            </w:r>
            <w:r w:rsidR="003652B7">
              <w:rPr>
                <w:rFonts w:ascii="Arial Narrow" w:hAnsi="Arial Narrow" w:cs="Times-Roman"/>
                <w:color w:val="000000" w:themeColor="text1"/>
                <w:sz w:val="20"/>
                <w:szCs w:val="20"/>
                <w:lang w:val="en-US"/>
              </w:rPr>
              <w:t> </w:t>
            </w:r>
            <w:r w:rsidRPr="00906719">
              <w:rPr>
                <w:rFonts w:ascii="Arial Narrow" w:hAnsi="Arial Narrow" w:cs="Times-Roman"/>
                <w:color w:val="000000" w:themeColor="text1"/>
                <w:sz w:val="20"/>
                <w:szCs w:val="20"/>
                <w:lang w:val="en-US"/>
              </w:rPr>
              <w:t xml:space="preserve">μg/actuation), 2 puffs b.i.d., versus FP/SAL 500/50 (fluticasone </w:t>
            </w:r>
            <w:r w:rsidR="003652B7" w:rsidRPr="00906719">
              <w:rPr>
                <w:rFonts w:ascii="Arial Narrow" w:hAnsi="Arial Narrow" w:cs="Times-Roman"/>
                <w:color w:val="000000" w:themeColor="text1"/>
                <w:sz w:val="20"/>
                <w:szCs w:val="20"/>
                <w:lang w:val="en-US"/>
              </w:rPr>
              <w:t>500</w:t>
            </w:r>
            <w:r w:rsidR="003652B7">
              <w:rPr>
                <w:rFonts w:ascii="Arial Narrow" w:hAnsi="Arial Narrow" w:cs="Times-Roman"/>
                <w:color w:val="000000" w:themeColor="text1"/>
                <w:sz w:val="20"/>
                <w:szCs w:val="20"/>
                <w:lang w:val="en-US"/>
              </w:rPr>
              <w:t> </w:t>
            </w:r>
            <w:r w:rsidRPr="00906719">
              <w:rPr>
                <w:rFonts w:ascii="Arial Narrow" w:hAnsi="Arial Narrow" w:cs="Times-Roman"/>
                <w:color w:val="000000" w:themeColor="text1"/>
                <w:sz w:val="20"/>
                <w:szCs w:val="20"/>
                <w:lang w:val="en-US"/>
              </w:rPr>
              <w:t xml:space="preserve">μg plus salmeterol </w:t>
            </w:r>
            <w:r w:rsidR="003652B7" w:rsidRPr="00906719">
              <w:rPr>
                <w:rFonts w:ascii="Arial Narrow" w:hAnsi="Arial Narrow" w:cs="Times-Roman"/>
                <w:color w:val="000000" w:themeColor="text1"/>
                <w:sz w:val="20"/>
                <w:szCs w:val="20"/>
                <w:lang w:val="en-US"/>
              </w:rPr>
              <w:t>50</w:t>
            </w:r>
            <w:r w:rsidR="003652B7">
              <w:rPr>
                <w:rFonts w:ascii="Arial Narrow" w:hAnsi="Arial Narrow" w:cs="Times-Roman"/>
                <w:color w:val="000000" w:themeColor="text1"/>
                <w:sz w:val="20"/>
                <w:szCs w:val="20"/>
                <w:lang w:val="en-US"/>
              </w:rPr>
              <w:t> </w:t>
            </w:r>
            <w:r w:rsidRPr="00906719">
              <w:rPr>
                <w:rFonts w:ascii="Arial Narrow" w:hAnsi="Arial Narrow" w:cs="Times-Roman"/>
                <w:color w:val="000000" w:themeColor="text1"/>
                <w:sz w:val="20"/>
                <w:szCs w:val="20"/>
                <w:lang w:val="en-US"/>
              </w:rPr>
              <w:t>μg/actuation), 1 inhalation b.i.d., in patients with Chronic Obstructive Pulmonary Disease</w:t>
            </w:r>
          </w:p>
          <w:p w14:paraId="0CA4D2CC" w14:textId="77777777" w:rsidR="00E374F0" w:rsidRPr="00906719" w:rsidRDefault="00E374F0" w:rsidP="00E20505">
            <w:pPr>
              <w:keepNext/>
              <w:autoSpaceDE w:val="0"/>
              <w:autoSpaceDN w:val="0"/>
              <w:adjustRightInd w:val="0"/>
              <w:jc w:val="left"/>
              <w:rPr>
                <w:rFonts w:ascii="Arial Narrow" w:hAnsi="Arial Narrow" w:cs="Times-Roman"/>
                <w:color w:val="000000" w:themeColor="text1"/>
                <w:sz w:val="20"/>
                <w:szCs w:val="20"/>
                <w:lang w:val="en-US"/>
              </w:rPr>
            </w:pPr>
          </w:p>
        </w:tc>
        <w:tc>
          <w:tcPr>
            <w:tcW w:w="1210" w:type="pct"/>
            <w:tcBorders>
              <w:bottom w:val="nil"/>
            </w:tcBorders>
            <w:vAlign w:val="center"/>
          </w:tcPr>
          <w:p w14:paraId="2A378F36" w14:textId="77777777" w:rsidR="00E374F0" w:rsidRPr="00906719" w:rsidRDefault="00E374F0" w:rsidP="00E20505">
            <w:pPr>
              <w:pStyle w:val="TableText0"/>
              <w:rPr>
                <w:color w:val="000000" w:themeColor="text1"/>
                <w:szCs w:val="20"/>
              </w:rPr>
            </w:pPr>
            <w:r w:rsidRPr="00906719">
              <w:rPr>
                <w:color w:val="000000" w:themeColor="text1"/>
                <w:szCs w:val="20"/>
              </w:rPr>
              <w:t>12 March 2014</w:t>
            </w:r>
          </w:p>
        </w:tc>
      </w:tr>
      <w:tr w:rsidR="00A604AC" w:rsidRPr="00A604AC" w14:paraId="0432BC58" w14:textId="77777777" w:rsidTr="00E20505">
        <w:trPr>
          <w:cantSplit/>
        </w:trPr>
        <w:tc>
          <w:tcPr>
            <w:tcW w:w="795" w:type="pct"/>
            <w:vMerge/>
            <w:vAlign w:val="center"/>
          </w:tcPr>
          <w:p w14:paraId="67FFF631" w14:textId="77777777" w:rsidR="00E374F0" w:rsidRPr="00906719" w:rsidRDefault="00E374F0" w:rsidP="00E20505">
            <w:pPr>
              <w:pStyle w:val="TableText0"/>
              <w:jc w:val="center"/>
              <w:rPr>
                <w:color w:val="000000" w:themeColor="text1"/>
                <w:szCs w:val="20"/>
              </w:rPr>
            </w:pPr>
          </w:p>
        </w:tc>
        <w:tc>
          <w:tcPr>
            <w:tcW w:w="2995" w:type="pct"/>
            <w:tcBorders>
              <w:top w:val="nil"/>
              <w:bottom w:val="nil"/>
            </w:tcBorders>
            <w:vAlign w:val="center"/>
          </w:tcPr>
          <w:p w14:paraId="6194A884" w14:textId="77777777" w:rsidR="00E374F0" w:rsidRPr="00906719" w:rsidRDefault="00E374F0" w:rsidP="00E20505">
            <w:pPr>
              <w:pStyle w:val="TableText0"/>
              <w:rPr>
                <w:color w:val="000000" w:themeColor="text1"/>
                <w:szCs w:val="20"/>
              </w:rPr>
            </w:pPr>
            <w:r w:rsidRPr="00906719">
              <w:rPr>
                <w:rFonts w:cs="Segoe UI"/>
                <w:color w:val="000000" w:themeColor="text1"/>
                <w:szCs w:val="20"/>
                <w:shd w:val="clear" w:color="auto" w:fill="FFFFFF"/>
              </w:rPr>
              <w:t xml:space="preserve">Singh, D., </w:t>
            </w:r>
            <w:proofErr w:type="spellStart"/>
            <w:r w:rsidRPr="00906719">
              <w:rPr>
                <w:rFonts w:cs="Segoe UI"/>
                <w:color w:val="000000" w:themeColor="text1"/>
                <w:szCs w:val="20"/>
                <w:shd w:val="clear" w:color="auto" w:fill="FFFFFF"/>
              </w:rPr>
              <w:t>Nicolini</w:t>
            </w:r>
            <w:proofErr w:type="spellEnd"/>
            <w:r w:rsidRPr="00906719">
              <w:rPr>
                <w:rFonts w:cs="Segoe UI"/>
                <w:color w:val="000000" w:themeColor="text1"/>
                <w:szCs w:val="20"/>
                <w:shd w:val="clear" w:color="auto" w:fill="FFFFFF"/>
              </w:rPr>
              <w:t>, G., Bindi, E. </w:t>
            </w:r>
            <w:r w:rsidRPr="00906719">
              <w:rPr>
                <w:rFonts w:cs="Segoe UI"/>
                <w:i/>
                <w:iCs/>
                <w:color w:val="000000" w:themeColor="text1"/>
                <w:szCs w:val="20"/>
                <w:shd w:val="clear" w:color="auto" w:fill="FFFFFF"/>
              </w:rPr>
              <w:t>et al.</w:t>
            </w:r>
            <w:r w:rsidRPr="00906719">
              <w:rPr>
                <w:rFonts w:cs="Segoe UI"/>
                <w:color w:val="000000" w:themeColor="text1"/>
                <w:szCs w:val="20"/>
                <w:shd w:val="clear" w:color="auto" w:fill="FFFFFF"/>
              </w:rPr>
              <w:t> </w:t>
            </w:r>
            <w:proofErr w:type="spellStart"/>
            <w:r w:rsidRPr="00906719">
              <w:rPr>
                <w:rFonts w:cs="Segoe UI"/>
                <w:color w:val="000000" w:themeColor="text1"/>
                <w:szCs w:val="20"/>
                <w:shd w:val="clear" w:color="auto" w:fill="FFFFFF"/>
              </w:rPr>
              <w:t>Extrafine</w:t>
            </w:r>
            <w:proofErr w:type="spellEnd"/>
            <w:r w:rsidRPr="00906719">
              <w:rPr>
                <w:rFonts w:cs="Segoe UI"/>
                <w:color w:val="000000" w:themeColor="text1"/>
                <w:szCs w:val="20"/>
                <w:shd w:val="clear" w:color="auto" w:fill="FFFFFF"/>
              </w:rPr>
              <w:t xml:space="preserve"> Beclomethasone/formoterol compared to Fluticasone/salmeterol Combination Therapy in COPD. </w:t>
            </w:r>
          </w:p>
        </w:tc>
        <w:tc>
          <w:tcPr>
            <w:tcW w:w="1210" w:type="pct"/>
            <w:tcBorders>
              <w:top w:val="nil"/>
              <w:bottom w:val="nil"/>
            </w:tcBorders>
            <w:vAlign w:val="center"/>
          </w:tcPr>
          <w:p w14:paraId="1F11AD51" w14:textId="77777777" w:rsidR="00E374F0" w:rsidRPr="00906719" w:rsidRDefault="00E374F0" w:rsidP="00E20505">
            <w:pPr>
              <w:pStyle w:val="TableText0"/>
              <w:rPr>
                <w:color w:val="000000" w:themeColor="text1"/>
                <w:szCs w:val="20"/>
              </w:rPr>
            </w:pPr>
            <w:r w:rsidRPr="00906719">
              <w:rPr>
                <w:iCs/>
                <w:color w:val="000000" w:themeColor="text1"/>
                <w:szCs w:val="20"/>
              </w:rPr>
              <w:t>BMC Pulmonary Medicine</w:t>
            </w:r>
            <w:r w:rsidRPr="00906719">
              <w:rPr>
                <w:i/>
                <w:iCs/>
                <w:color w:val="000000" w:themeColor="text1"/>
                <w:szCs w:val="20"/>
                <w:u w:val="single"/>
              </w:rPr>
              <w:t xml:space="preserve"> </w:t>
            </w:r>
            <w:r w:rsidRPr="00906719">
              <w:rPr>
                <w:color w:val="000000" w:themeColor="text1"/>
                <w:szCs w:val="20"/>
              </w:rPr>
              <w:t xml:space="preserve">2014; 14(43) </w:t>
            </w:r>
          </w:p>
        </w:tc>
      </w:tr>
      <w:tr w:rsidR="00A604AC" w:rsidRPr="00A604AC" w14:paraId="5727828A" w14:textId="77777777" w:rsidTr="00E20505">
        <w:trPr>
          <w:cantSplit/>
        </w:trPr>
        <w:tc>
          <w:tcPr>
            <w:tcW w:w="795" w:type="pct"/>
            <w:vMerge/>
            <w:tcBorders>
              <w:bottom w:val="single" w:sz="4" w:space="0" w:color="auto"/>
            </w:tcBorders>
            <w:vAlign w:val="center"/>
          </w:tcPr>
          <w:p w14:paraId="29702D20" w14:textId="77777777" w:rsidR="00E374F0" w:rsidRPr="00906719" w:rsidRDefault="00E374F0" w:rsidP="00E20505">
            <w:pPr>
              <w:pStyle w:val="TableText0"/>
              <w:jc w:val="center"/>
              <w:rPr>
                <w:color w:val="000000" w:themeColor="text1"/>
                <w:szCs w:val="20"/>
              </w:rPr>
            </w:pPr>
          </w:p>
        </w:tc>
        <w:tc>
          <w:tcPr>
            <w:tcW w:w="2995" w:type="pct"/>
            <w:tcBorders>
              <w:top w:val="nil"/>
              <w:bottom w:val="single" w:sz="4" w:space="0" w:color="auto"/>
            </w:tcBorders>
            <w:vAlign w:val="center"/>
          </w:tcPr>
          <w:p w14:paraId="4F7FDE18" w14:textId="77777777" w:rsidR="00E374F0" w:rsidRPr="00906719" w:rsidRDefault="00E374F0" w:rsidP="00E20505">
            <w:pPr>
              <w:pStyle w:val="TableText0"/>
              <w:rPr>
                <w:color w:val="000000" w:themeColor="text1"/>
                <w:szCs w:val="20"/>
                <w:lang w:val="en-US"/>
              </w:rPr>
            </w:pPr>
          </w:p>
        </w:tc>
        <w:tc>
          <w:tcPr>
            <w:tcW w:w="1210" w:type="pct"/>
            <w:tcBorders>
              <w:top w:val="nil"/>
              <w:bottom w:val="single" w:sz="4" w:space="0" w:color="auto"/>
            </w:tcBorders>
            <w:vAlign w:val="center"/>
          </w:tcPr>
          <w:p w14:paraId="777824C5" w14:textId="77777777" w:rsidR="00E374F0" w:rsidRPr="00906719" w:rsidRDefault="00E374F0" w:rsidP="00E20505">
            <w:pPr>
              <w:pStyle w:val="TableText0"/>
              <w:rPr>
                <w:i/>
                <w:color w:val="000000" w:themeColor="text1"/>
                <w:szCs w:val="20"/>
                <w:lang w:val="en-US"/>
              </w:rPr>
            </w:pPr>
          </w:p>
        </w:tc>
      </w:tr>
      <w:tr w:rsidR="00A604AC" w:rsidRPr="00A604AC" w14:paraId="783FAF81" w14:textId="77777777" w:rsidTr="00E20505">
        <w:trPr>
          <w:cantSplit/>
        </w:trPr>
        <w:tc>
          <w:tcPr>
            <w:tcW w:w="795" w:type="pct"/>
            <w:vMerge w:val="restart"/>
            <w:vAlign w:val="center"/>
          </w:tcPr>
          <w:p w14:paraId="21C7D468" w14:textId="0D19ECCF" w:rsidR="00E374F0" w:rsidRPr="00906719" w:rsidRDefault="00E374F0" w:rsidP="00E20505">
            <w:pPr>
              <w:pStyle w:val="TableText0"/>
              <w:jc w:val="center"/>
              <w:rPr>
                <w:color w:val="000000" w:themeColor="text1"/>
                <w:szCs w:val="20"/>
              </w:rPr>
            </w:pPr>
            <w:r w:rsidRPr="00906719">
              <w:rPr>
                <w:color w:val="000000" w:themeColor="text1"/>
                <w:szCs w:val="20"/>
              </w:rPr>
              <w:t xml:space="preserve">Calverley </w:t>
            </w:r>
            <w:r w:rsidRPr="00906719">
              <w:rPr>
                <w:iCs/>
                <w:color w:val="000000" w:themeColor="text1"/>
                <w:szCs w:val="20"/>
              </w:rPr>
              <w:t>et al.,</w:t>
            </w:r>
            <w:r w:rsidRPr="00906719">
              <w:rPr>
                <w:i/>
                <w:iCs/>
                <w:color w:val="000000" w:themeColor="text1"/>
                <w:szCs w:val="20"/>
              </w:rPr>
              <w:t xml:space="preserve"> </w:t>
            </w:r>
            <w:r w:rsidRPr="00906719">
              <w:rPr>
                <w:color w:val="000000" w:themeColor="text1"/>
                <w:szCs w:val="20"/>
              </w:rPr>
              <w:t>(2010)</w:t>
            </w:r>
          </w:p>
        </w:tc>
        <w:tc>
          <w:tcPr>
            <w:tcW w:w="2995" w:type="pct"/>
            <w:tcBorders>
              <w:bottom w:val="nil"/>
            </w:tcBorders>
            <w:vAlign w:val="center"/>
          </w:tcPr>
          <w:p w14:paraId="63516F7B" w14:textId="5C48B242" w:rsidR="00E374F0" w:rsidRPr="00906719" w:rsidRDefault="00E374F0" w:rsidP="00E20505">
            <w:pPr>
              <w:autoSpaceDE w:val="0"/>
              <w:autoSpaceDN w:val="0"/>
              <w:adjustRightInd w:val="0"/>
              <w:jc w:val="left"/>
              <w:rPr>
                <w:rFonts w:ascii="Arial Narrow" w:eastAsia="TimesNewRoman" w:hAnsi="Arial Narrow" w:cs="TimesNewRoman"/>
                <w:color w:val="000000" w:themeColor="text1"/>
                <w:sz w:val="20"/>
                <w:szCs w:val="20"/>
                <w:lang w:val="en-US"/>
              </w:rPr>
            </w:pPr>
            <w:r w:rsidRPr="00906719">
              <w:rPr>
                <w:rFonts w:ascii="Arial Narrow" w:eastAsia="TimesNewRoman" w:hAnsi="Arial Narrow" w:cs="TimesNewRoman"/>
                <w:color w:val="000000" w:themeColor="text1"/>
                <w:sz w:val="20"/>
                <w:szCs w:val="20"/>
                <w:lang w:val="en-US"/>
              </w:rPr>
              <w:t xml:space="preserve">A 48-week, double blind, double dummy, </w:t>
            </w:r>
            <w:proofErr w:type="spellStart"/>
            <w:r w:rsidRPr="00906719">
              <w:rPr>
                <w:rFonts w:ascii="Arial Narrow" w:eastAsia="TimesNewRoman" w:hAnsi="Arial Narrow" w:cs="TimesNewRoman"/>
                <w:color w:val="000000" w:themeColor="text1"/>
                <w:sz w:val="20"/>
                <w:szCs w:val="20"/>
                <w:lang w:val="en-US"/>
              </w:rPr>
              <w:t>randomised</w:t>
            </w:r>
            <w:proofErr w:type="spellEnd"/>
            <w:r w:rsidRPr="00906719">
              <w:rPr>
                <w:rFonts w:ascii="Arial Narrow" w:eastAsia="TimesNewRoman" w:hAnsi="Arial Narrow" w:cs="TimesNewRoman"/>
                <w:color w:val="000000" w:themeColor="text1"/>
                <w:sz w:val="20"/>
                <w:szCs w:val="20"/>
                <w:lang w:val="en-US"/>
              </w:rPr>
              <w:t xml:space="preserve">, multinational, </w:t>
            </w:r>
            <w:proofErr w:type="spellStart"/>
            <w:r w:rsidRPr="00906719">
              <w:rPr>
                <w:rFonts w:ascii="Arial Narrow" w:eastAsia="TimesNewRoman" w:hAnsi="Arial Narrow" w:cs="TimesNewRoman"/>
                <w:color w:val="000000" w:themeColor="text1"/>
                <w:sz w:val="20"/>
                <w:szCs w:val="20"/>
                <w:lang w:val="en-US"/>
              </w:rPr>
              <w:t>multicentre</w:t>
            </w:r>
            <w:proofErr w:type="spellEnd"/>
            <w:r w:rsidRPr="00906719">
              <w:rPr>
                <w:rFonts w:ascii="Arial Narrow" w:eastAsia="TimesNewRoman" w:hAnsi="Arial Narrow" w:cs="TimesNewRoman"/>
                <w:color w:val="000000" w:themeColor="text1"/>
                <w:sz w:val="20"/>
                <w:szCs w:val="20"/>
                <w:lang w:val="en-US"/>
              </w:rPr>
              <w:t>, 3-arm parallel group</w:t>
            </w:r>
            <w:r w:rsidR="00A139A2" w:rsidRPr="00906719">
              <w:rPr>
                <w:rFonts w:ascii="Arial Narrow" w:eastAsia="TimesNewRoman" w:hAnsi="Arial Narrow" w:cs="TimesNewRoman"/>
                <w:color w:val="000000" w:themeColor="text1"/>
                <w:sz w:val="20"/>
                <w:szCs w:val="20"/>
                <w:lang w:val="en-US"/>
              </w:rPr>
              <w:t xml:space="preserve"> </w:t>
            </w:r>
            <w:r w:rsidRPr="00906719">
              <w:rPr>
                <w:rFonts w:ascii="Arial Narrow" w:eastAsia="TimesNewRoman" w:hAnsi="Arial Narrow" w:cs="TimesNewRoman"/>
                <w:color w:val="000000" w:themeColor="text1"/>
                <w:sz w:val="20"/>
                <w:szCs w:val="20"/>
                <w:lang w:val="en-US"/>
              </w:rPr>
              <w:t xml:space="preserve">clinical study of “fixed combination” Beclomethasone dipropionate plus Formoterol fumarate administered via </w:t>
            </w:r>
            <w:proofErr w:type="spellStart"/>
            <w:r w:rsidRPr="00906719">
              <w:rPr>
                <w:rFonts w:ascii="Arial Narrow" w:eastAsia="TimesNewRoman" w:hAnsi="Arial Narrow" w:cs="TimesNewRoman"/>
                <w:color w:val="000000" w:themeColor="text1"/>
                <w:sz w:val="20"/>
                <w:szCs w:val="20"/>
                <w:lang w:val="en-US"/>
              </w:rPr>
              <w:t>pMDI</w:t>
            </w:r>
            <w:proofErr w:type="spellEnd"/>
            <w:r w:rsidRPr="00906719">
              <w:rPr>
                <w:rFonts w:ascii="Arial Narrow" w:eastAsia="TimesNewRoman" w:hAnsi="Arial Narrow" w:cs="TimesNewRoman"/>
                <w:color w:val="000000" w:themeColor="text1"/>
                <w:sz w:val="20"/>
                <w:szCs w:val="20"/>
                <w:lang w:val="en-US"/>
              </w:rPr>
              <w:t xml:space="preserve"> with HFA-134a propellant (CHF 1535) versus “fixed combination” Budesonide plus Formoterol DPI (BUD/FOR </w:t>
            </w:r>
            <w:proofErr w:type="spellStart"/>
            <w:r w:rsidRPr="00906719">
              <w:rPr>
                <w:rFonts w:ascii="Arial Narrow" w:eastAsia="TimesNewRoman" w:hAnsi="Arial Narrow" w:cs="TimesNewRoman"/>
                <w:color w:val="000000" w:themeColor="text1"/>
                <w:sz w:val="20"/>
                <w:szCs w:val="20"/>
                <w:lang w:val="en-US"/>
              </w:rPr>
              <w:t>Turbohaler</w:t>
            </w:r>
            <w:proofErr w:type="spellEnd"/>
            <w:r w:rsidRPr="00906719">
              <w:rPr>
                <w:rFonts w:ascii="Arial Narrow" w:eastAsia="TimesNewRoman" w:hAnsi="Arial Narrow" w:cs="TimesNewRoman"/>
                <w:color w:val="000000" w:themeColor="text1"/>
                <w:sz w:val="20"/>
                <w:szCs w:val="20"/>
                <w:lang w:val="en-US"/>
              </w:rPr>
              <w:t>, AstraZeneca) versus Formoterol DPI (</w:t>
            </w:r>
            <w:proofErr w:type="spellStart"/>
            <w:r w:rsidRPr="00906719">
              <w:rPr>
                <w:rFonts w:ascii="Arial Narrow" w:eastAsia="TimesNewRoman" w:hAnsi="Arial Narrow" w:cs="TimesNewRoman"/>
                <w:color w:val="000000" w:themeColor="text1"/>
                <w:sz w:val="20"/>
                <w:szCs w:val="20"/>
                <w:lang w:val="en-US"/>
              </w:rPr>
              <w:t>Oxis</w:t>
            </w:r>
            <w:proofErr w:type="spellEnd"/>
            <w:r w:rsidRPr="00906719">
              <w:rPr>
                <w:rFonts w:ascii="Arial Narrow" w:eastAsia="TimesNewRoman" w:hAnsi="Arial Narrow" w:cs="TimesNewRoman"/>
                <w:color w:val="000000" w:themeColor="text1"/>
                <w:sz w:val="20"/>
                <w:szCs w:val="20"/>
                <w:lang w:val="en-US"/>
              </w:rPr>
              <w:t xml:space="preserve"> </w:t>
            </w:r>
            <w:proofErr w:type="spellStart"/>
            <w:r w:rsidRPr="00906719">
              <w:rPr>
                <w:rFonts w:ascii="Arial Narrow" w:eastAsia="TimesNewRoman" w:hAnsi="Arial Narrow" w:cs="TimesNewRoman"/>
                <w:color w:val="000000" w:themeColor="text1"/>
                <w:sz w:val="20"/>
                <w:szCs w:val="20"/>
                <w:lang w:val="en-US"/>
              </w:rPr>
              <w:t>Turbohaler</w:t>
            </w:r>
            <w:proofErr w:type="spellEnd"/>
            <w:r w:rsidRPr="00906719">
              <w:rPr>
                <w:rFonts w:ascii="Arial Narrow" w:eastAsia="TimesNewRoman" w:hAnsi="Arial Narrow" w:cs="TimesNewRoman"/>
                <w:color w:val="000000" w:themeColor="text1"/>
                <w:sz w:val="20"/>
                <w:szCs w:val="20"/>
                <w:lang w:val="en-US"/>
              </w:rPr>
              <w:t xml:space="preserve">, </w:t>
            </w:r>
            <w:proofErr w:type="spellStart"/>
            <w:r w:rsidRPr="00906719">
              <w:rPr>
                <w:rFonts w:ascii="Arial Narrow" w:eastAsia="TimesNewRoman" w:hAnsi="Arial Narrow" w:cs="TimesNewRoman"/>
                <w:color w:val="000000" w:themeColor="text1"/>
                <w:sz w:val="20"/>
                <w:szCs w:val="20"/>
                <w:lang w:val="en-US"/>
              </w:rPr>
              <w:t>AtraZeneca</w:t>
            </w:r>
            <w:proofErr w:type="spellEnd"/>
            <w:r w:rsidRPr="00906719">
              <w:rPr>
                <w:rFonts w:ascii="Arial Narrow" w:eastAsia="TimesNewRoman" w:hAnsi="Arial Narrow" w:cs="TimesNewRoman"/>
                <w:color w:val="000000" w:themeColor="text1"/>
                <w:sz w:val="20"/>
                <w:szCs w:val="20"/>
                <w:lang w:val="en-US"/>
              </w:rPr>
              <w:t>) in patients with stable severe chronic obstructive pulmonary disease (COPD)</w:t>
            </w:r>
          </w:p>
          <w:p w14:paraId="462E9F58" w14:textId="77777777" w:rsidR="00E374F0" w:rsidRPr="00906719" w:rsidRDefault="00E374F0" w:rsidP="00E20505">
            <w:pPr>
              <w:autoSpaceDE w:val="0"/>
              <w:autoSpaceDN w:val="0"/>
              <w:adjustRightInd w:val="0"/>
              <w:jc w:val="left"/>
              <w:rPr>
                <w:rFonts w:ascii="Arial Narrow" w:eastAsia="TimesNewRoman" w:hAnsi="Arial Narrow" w:cs="TimesNewRoman"/>
                <w:color w:val="000000" w:themeColor="text1"/>
                <w:sz w:val="20"/>
                <w:szCs w:val="20"/>
                <w:lang w:val="en-US"/>
              </w:rPr>
            </w:pPr>
          </w:p>
        </w:tc>
        <w:tc>
          <w:tcPr>
            <w:tcW w:w="1210" w:type="pct"/>
            <w:tcBorders>
              <w:bottom w:val="nil"/>
            </w:tcBorders>
            <w:vAlign w:val="center"/>
          </w:tcPr>
          <w:p w14:paraId="05A3CEC3" w14:textId="77777777" w:rsidR="00E374F0" w:rsidRPr="00906719" w:rsidRDefault="00E374F0" w:rsidP="00E20505">
            <w:pPr>
              <w:pStyle w:val="TableText0"/>
              <w:rPr>
                <w:color w:val="000000" w:themeColor="text1"/>
                <w:szCs w:val="20"/>
              </w:rPr>
            </w:pPr>
            <w:r w:rsidRPr="00906719">
              <w:rPr>
                <w:color w:val="000000" w:themeColor="text1"/>
                <w:szCs w:val="20"/>
              </w:rPr>
              <w:t>20 October 2010</w:t>
            </w:r>
          </w:p>
        </w:tc>
      </w:tr>
      <w:tr w:rsidR="00E374F0" w:rsidRPr="00BD1F00" w14:paraId="6CC3CA19" w14:textId="77777777" w:rsidTr="00E20505">
        <w:trPr>
          <w:cantSplit/>
        </w:trPr>
        <w:tc>
          <w:tcPr>
            <w:tcW w:w="795" w:type="pct"/>
            <w:vMerge/>
            <w:vAlign w:val="center"/>
          </w:tcPr>
          <w:p w14:paraId="3E3CEF8F" w14:textId="77777777" w:rsidR="00E374F0" w:rsidRPr="00906719" w:rsidRDefault="00E374F0" w:rsidP="00E20505">
            <w:pPr>
              <w:pStyle w:val="TableText0"/>
              <w:jc w:val="center"/>
              <w:rPr>
                <w:color w:val="000000" w:themeColor="text1"/>
                <w:szCs w:val="20"/>
              </w:rPr>
            </w:pPr>
          </w:p>
        </w:tc>
        <w:tc>
          <w:tcPr>
            <w:tcW w:w="2995" w:type="pct"/>
            <w:tcBorders>
              <w:top w:val="nil"/>
              <w:bottom w:val="nil"/>
            </w:tcBorders>
            <w:vAlign w:val="center"/>
          </w:tcPr>
          <w:p w14:paraId="42BF18FD" w14:textId="77777777" w:rsidR="00E374F0" w:rsidRPr="00906719" w:rsidRDefault="00E374F0" w:rsidP="00E20505">
            <w:pPr>
              <w:pStyle w:val="TableText0"/>
              <w:rPr>
                <w:color w:val="000000" w:themeColor="text1"/>
                <w:szCs w:val="20"/>
              </w:rPr>
            </w:pPr>
            <w:r w:rsidRPr="00906719">
              <w:rPr>
                <w:rFonts w:cs="Arial"/>
                <w:color w:val="000000" w:themeColor="text1"/>
                <w:szCs w:val="20"/>
                <w:shd w:val="clear" w:color="auto" w:fill="FFFFFF"/>
              </w:rPr>
              <w:t xml:space="preserve">Calverley, P.M.A., Kuna, P., </w:t>
            </w:r>
            <w:proofErr w:type="spellStart"/>
            <w:r w:rsidRPr="00906719">
              <w:rPr>
                <w:rFonts w:cs="Arial"/>
                <w:color w:val="000000" w:themeColor="text1"/>
                <w:szCs w:val="20"/>
                <w:shd w:val="clear" w:color="auto" w:fill="FFFFFF"/>
              </w:rPr>
              <w:t>Monsó</w:t>
            </w:r>
            <w:proofErr w:type="spellEnd"/>
            <w:r w:rsidRPr="00906719">
              <w:rPr>
                <w:rFonts w:cs="Arial"/>
                <w:color w:val="000000" w:themeColor="text1"/>
                <w:szCs w:val="20"/>
                <w:shd w:val="clear" w:color="auto" w:fill="FFFFFF"/>
              </w:rPr>
              <w:t xml:space="preserve">, E., </w:t>
            </w:r>
            <w:proofErr w:type="spellStart"/>
            <w:r w:rsidRPr="00906719">
              <w:rPr>
                <w:rFonts w:cs="Arial"/>
                <w:color w:val="000000" w:themeColor="text1"/>
                <w:szCs w:val="20"/>
                <w:shd w:val="clear" w:color="auto" w:fill="FFFFFF"/>
              </w:rPr>
              <w:t>Costantini</w:t>
            </w:r>
            <w:proofErr w:type="spellEnd"/>
            <w:r w:rsidRPr="00906719">
              <w:rPr>
                <w:rFonts w:cs="Arial"/>
                <w:color w:val="000000" w:themeColor="text1"/>
                <w:szCs w:val="20"/>
                <w:shd w:val="clear" w:color="auto" w:fill="FFFFFF"/>
              </w:rPr>
              <w:t xml:space="preserve">, M., </w:t>
            </w:r>
            <w:proofErr w:type="spellStart"/>
            <w:r w:rsidRPr="00906719">
              <w:rPr>
                <w:rFonts w:cs="Arial"/>
                <w:color w:val="000000" w:themeColor="text1"/>
                <w:szCs w:val="20"/>
                <w:shd w:val="clear" w:color="auto" w:fill="FFFFFF"/>
              </w:rPr>
              <w:t>Petruzzelli</w:t>
            </w:r>
            <w:proofErr w:type="spellEnd"/>
            <w:r w:rsidRPr="00906719">
              <w:rPr>
                <w:rFonts w:cs="Arial"/>
                <w:color w:val="000000" w:themeColor="text1"/>
                <w:szCs w:val="20"/>
                <w:shd w:val="clear" w:color="auto" w:fill="FFFFFF"/>
              </w:rPr>
              <w:t xml:space="preserve">, S., Sergio, F., </w:t>
            </w:r>
            <w:proofErr w:type="spellStart"/>
            <w:r w:rsidRPr="00906719">
              <w:rPr>
                <w:rFonts w:cs="Arial"/>
                <w:color w:val="000000" w:themeColor="text1"/>
                <w:szCs w:val="20"/>
                <w:shd w:val="clear" w:color="auto" w:fill="FFFFFF"/>
              </w:rPr>
              <w:t>Varoli</w:t>
            </w:r>
            <w:proofErr w:type="spellEnd"/>
            <w:r w:rsidRPr="00906719">
              <w:rPr>
                <w:rFonts w:cs="Arial"/>
                <w:color w:val="000000" w:themeColor="text1"/>
                <w:szCs w:val="20"/>
                <w:shd w:val="clear" w:color="auto" w:fill="FFFFFF"/>
              </w:rPr>
              <w:t xml:space="preserve">, G., </w:t>
            </w:r>
            <w:proofErr w:type="spellStart"/>
            <w:r w:rsidRPr="00906719">
              <w:rPr>
                <w:rFonts w:cs="Arial"/>
                <w:color w:val="000000" w:themeColor="text1"/>
                <w:szCs w:val="20"/>
                <w:shd w:val="clear" w:color="auto" w:fill="FFFFFF"/>
              </w:rPr>
              <w:t>Papi</w:t>
            </w:r>
            <w:proofErr w:type="spellEnd"/>
            <w:r w:rsidRPr="00906719">
              <w:rPr>
                <w:rFonts w:cs="Arial"/>
                <w:color w:val="000000" w:themeColor="text1"/>
                <w:szCs w:val="20"/>
                <w:shd w:val="clear" w:color="auto" w:fill="FFFFFF"/>
              </w:rPr>
              <w:t xml:space="preserve">, A. and </w:t>
            </w:r>
            <w:proofErr w:type="spellStart"/>
            <w:r w:rsidRPr="00906719">
              <w:rPr>
                <w:rFonts w:cs="Arial"/>
                <w:color w:val="000000" w:themeColor="text1"/>
                <w:szCs w:val="20"/>
                <w:shd w:val="clear" w:color="auto" w:fill="FFFFFF"/>
              </w:rPr>
              <w:t>Brusasco</w:t>
            </w:r>
            <w:proofErr w:type="spellEnd"/>
            <w:r w:rsidRPr="00906719">
              <w:rPr>
                <w:rFonts w:cs="Arial"/>
                <w:color w:val="000000" w:themeColor="text1"/>
                <w:szCs w:val="20"/>
                <w:shd w:val="clear" w:color="auto" w:fill="FFFFFF"/>
              </w:rPr>
              <w:t>, V., 2010. Beclomethasone/formoterol in the management of COPD: a randomised controlled trial</w:t>
            </w:r>
          </w:p>
        </w:tc>
        <w:tc>
          <w:tcPr>
            <w:tcW w:w="1210" w:type="pct"/>
            <w:tcBorders>
              <w:top w:val="nil"/>
              <w:bottom w:val="nil"/>
            </w:tcBorders>
            <w:vAlign w:val="center"/>
          </w:tcPr>
          <w:p w14:paraId="382E8C29" w14:textId="77777777" w:rsidR="00E374F0" w:rsidRPr="00906719" w:rsidRDefault="00E374F0" w:rsidP="00E20505">
            <w:pPr>
              <w:pStyle w:val="TableText0"/>
              <w:rPr>
                <w:i/>
                <w:color w:val="000000" w:themeColor="text1"/>
                <w:szCs w:val="20"/>
              </w:rPr>
            </w:pPr>
            <w:r w:rsidRPr="00906719">
              <w:rPr>
                <w:color w:val="000000" w:themeColor="text1"/>
                <w:szCs w:val="20"/>
              </w:rPr>
              <w:t>Respiratory Medicine</w:t>
            </w:r>
            <w:r w:rsidRPr="00906719">
              <w:rPr>
                <w:i/>
                <w:color w:val="000000" w:themeColor="text1"/>
                <w:szCs w:val="20"/>
              </w:rPr>
              <w:t xml:space="preserve"> </w:t>
            </w:r>
            <w:r w:rsidRPr="00906719">
              <w:rPr>
                <w:color w:val="000000" w:themeColor="text1"/>
                <w:szCs w:val="20"/>
              </w:rPr>
              <w:t>2010 104(12): 1858-1868.</w:t>
            </w:r>
          </w:p>
        </w:tc>
      </w:tr>
      <w:tr w:rsidR="00E374F0" w:rsidRPr="00BD1F00" w14:paraId="4F40C244" w14:textId="77777777" w:rsidTr="00E20505">
        <w:trPr>
          <w:cantSplit/>
        </w:trPr>
        <w:tc>
          <w:tcPr>
            <w:tcW w:w="795" w:type="pct"/>
            <w:vMerge/>
            <w:tcBorders>
              <w:bottom w:val="single" w:sz="4" w:space="0" w:color="auto"/>
            </w:tcBorders>
            <w:vAlign w:val="center"/>
          </w:tcPr>
          <w:p w14:paraId="2E2D0CAE" w14:textId="77777777" w:rsidR="00E374F0" w:rsidRPr="0069428E" w:rsidRDefault="00E374F0" w:rsidP="00E20505">
            <w:pPr>
              <w:pStyle w:val="TableText0"/>
              <w:jc w:val="center"/>
              <w:rPr>
                <w:color w:val="000000" w:themeColor="text1"/>
              </w:rPr>
            </w:pPr>
          </w:p>
        </w:tc>
        <w:tc>
          <w:tcPr>
            <w:tcW w:w="2995" w:type="pct"/>
            <w:tcBorders>
              <w:top w:val="nil"/>
              <w:bottom w:val="single" w:sz="4" w:space="0" w:color="auto"/>
            </w:tcBorders>
            <w:vAlign w:val="center"/>
          </w:tcPr>
          <w:p w14:paraId="114C42C2" w14:textId="77777777" w:rsidR="00E374F0" w:rsidRPr="0069428E" w:rsidRDefault="00E374F0" w:rsidP="00E20505">
            <w:pPr>
              <w:pStyle w:val="TableText0"/>
              <w:rPr>
                <w:color w:val="000000" w:themeColor="text1"/>
              </w:rPr>
            </w:pPr>
          </w:p>
        </w:tc>
        <w:tc>
          <w:tcPr>
            <w:tcW w:w="1210" w:type="pct"/>
            <w:tcBorders>
              <w:top w:val="nil"/>
              <w:bottom w:val="single" w:sz="4" w:space="0" w:color="auto"/>
            </w:tcBorders>
            <w:vAlign w:val="center"/>
          </w:tcPr>
          <w:p w14:paraId="35A9D442" w14:textId="77777777" w:rsidR="00E374F0" w:rsidRPr="0069428E" w:rsidRDefault="00E374F0" w:rsidP="00E20505">
            <w:pPr>
              <w:pStyle w:val="TableText0"/>
              <w:rPr>
                <w:rFonts w:ascii="Times" w:hAnsi="Times"/>
                <w:color w:val="000000" w:themeColor="text1"/>
              </w:rPr>
            </w:pPr>
          </w:p>
        </w:tc>
      </w:tr>
    </w:tbl>
    <w:p w14:paraId="02697FD3" w14:textId="77777777" w:rsidR="00E374F0" w:rsidRPr="0069428E" w:rsidRDefault="00E374F0" w:rsidP="00E374F0">
      <w:pPr>
        <w:pStyle w:val="TableFigureFooter"/>
        <w:rPr>
          <w:color w:val="000000" w:themeColor="text1"/>
        </w:rPr>
      </w:pPr>
      <w:r w:rsidRPr="0069428E">
        <w:rPr>
          <w:color w:val="000000" w:themeColor="text1"/>
          <w:szCs w:val="18"/>
        </w:rPr>
        <w:t xml:space="preserve">Abbreviations: COPD = Chronic obstructive pulmonary disease; </w:t>
      </w:r>
      <w:r w:rsidRPr="0069428E">
        <w:rPr>
          <w:color w:val="000000" w:themeColor="text1"/>
        </w:rPr>
        <w:t xml:space="preserve">DPI=Dry powder inhaler; </w:t>
      </w:r>
      <w:r w:rsidRPr="00906719">
        <w:rPr>
          <w:color w:val="000000" w:themeColor="text1"/>
        </w:rPr>
        <w:t>BUD= Budesonide</w:t>
      </w:r>
      <w:r w:rsidRPr="0069428E">
        <w:rPr>
          <w:color w:val="000000" w:themeColor="text1"/>
        </w:rPr>
        <w:t xml:space="preserve">; FF=Fluticasone fumarate; FOR=Formoterol; FP=Fluticasone propionate; SAL=Salmeterol. </w:t>
      </w:r>
    </w:p>
    <w:p w14:paraId="24598251" w14:textId="77777777" w:rsidR="00E374F0" w:rsidRPr="0069428E" w:rsidRDefault="00E374F0" w:rsidP="00E374F0">
      <w:pPr>
        <w:pStyle w:val="TableFigureFooter"/>
        <w:rPr>
          <w:color w:val="000000" w:themeColor="text1"/>
        </w:rPr>
      </w:pPr>
      <w:r w:rsidRPr="0069428E">
        <w:rPr>
          <w:color w:val="000000" w:themeColor="text1"/>
        </w:rPr>
        <w:t>Source: Table 2.2.6, p29 of the submission.</w:t>
      </w:r>
    </w:p>
    <w:p w14:paraId="18E92DE7" w14:textId="77777777" w:rsidR="00E374F0" w:rsidRPr="0069428E" w:rsidRDefault="00E374F0" w:rsidP="00E374F0">
      <w:pPr>
        <w:pStyle w:val="TableFigureFooter"/>
        <w:rPr>
          <w:color w:val="000000" w:themeColor="text1"/>
          <w:sz w:val="20"/>
        </w:rPr>
      </w:pPr>
    </w:p>
    <w:p w14:paraId="4891C06A" w14:textId="6BCFF5BF" w:rsidR="005041F3" w:rsidRPr="00906719" w:rsidRDefault="00E374F0" w:rsidP="006C6D8B">
      <w:pPr>
        <w:pStyle w:val="3-BodyText"/>
        <w:keepNext/>
        <w:rPr>
          <w:color w:val="000000" w:themeColor="text1"/>
        </w:rPr>
      </w:pPr>
      <w:r w:rsidRPr="00906719">
        <w:rPr>
          <w:color w:val="000000" w:themeColor="text1"/>
        </w:rPr>
        <w:lastRenderedPageBreak/>
        <w:t xml:space="preserve">The key features of the </w:t>
      </w:r>
      <w:r w:rsidR="009B598B" w:rsidRPr="00906719">
        <w:rPr>
          <w:color w:val="000000" w:themeColor="text1"/>
        </w:rPr>
        <w:t>two RCTs</w:t>
      </w:r>
      <w:r w:rsidRPr="00906719">
        <w:rPr>
          <w:color w:val="000000" w:themeColor="text1"/>
        </w:rPr>
        <w:t xml:space="preserve"> are summarised in </w:t>
      </w:r>
      <w:r w:rsidR="003811C1">
        <w:rPr>
          <w:color w:val="000000" w:themeColor="text1"/>
        </w:rPr>
        <w:t>Table 4</w:t>
      </w:r>
      <w:r w:rsidRPr="00906719">
        <w:rPr>
          <w:color w:val="000000" w:themeColor="text1"/>
        </w:rPr>
        <w:t xml:space="preserve">. </w:t>
      </w:r>
    </w:p>
    <w:p w14:paraId="4D8AE93A" w14:textId="233290E5" w:rsidR="00E374F0" w:rsidRPr="00906719" w:rsidRDefault="00E374F0" w:rsidP="006C6D8B">
      <w:pPr>
        <w:pStyle w:val="Caption"/>
        <w:keepNext/>
        <w:spacing w:after="0"/>
        <w:ind w:left="720" w:hanging="720"/>
        <w:rPr>
          <w:rStyle w:val="CommentReference"/>
          <w:b/>
          <w:bCs w:val="0"/>
          <w:snapToGrid w:val="0"/>
          <w:color w:val="000000" w:themeColor="text1"/>
          <w:szCs w:val="20"/>
        </w:rPr>
      </w:pPr>
      <w:r w:rsidRPr="00906719">
        <w:rPr>
          <w:rFonts w:ascii="Arial Narrow" w:hAnsi="Arial Narrow"/>
          <w:color w:val="000000" w:themeColor="text1"/>
          <w:sz w:val="20"/>
          <w:szCs w:val="20"/>
        </w:rPr>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4</w:t>
      </w:r>
      <w:r w:rsidRPr="00906719">
        <w:rPr>
          <w:rFonts w:ascii="Arial Narrow" w:hAnsi="Arial Narrow"/>
          <w:color w:val="000000" w:themeColor="text1"/>
          <w:sz w:val="20"/>
          <w:szCs w:val="20"/>
        </w:rPr>
        <w:fldChar w:fldCharType="end"/>
      </w:r>
      <w:r w:rsidRPr="00906719">
        <w:rPr>
          <w:rStyle w:val="CommentReference"/>
          <w:b/>
          <w:color w:val="000000" w:themeColor="text1"/>
          <w:szCs w:val="20"/>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7"/>
        <w:gridCol w:w="1389"/>
        <w:gridCol w:w="812"/>
        <w:gridCol w:w="518"/>
        <w:gridCol w:w="3100"/>
        <w:gridCol w:w="2501"/>
      </w:tblGrid>
      <w:tr w:rsidR="00A604AC" w:rsidRPr="00A604AC" w14:paraId="0FCB179D" w14:textId="77777777" w:rsidTr="003A6444">
        <w:trPr>
          <w:cantSplit/>
          <w:trHeight w:val="452"/>
          <w:tblHeader/>
        </w:trPr>
        <w:tc>
          <w:tcPr>
            <w:tcW w:w="387" w:type="pct"/>
            <w:shd w:val="clear" w:color="auto" w:fill="auto"/>
            <w:vAlign w:val="center"/>
          </w:tcPr>
          <w:p w14:paraId="1F0A7205" w14:textId="77777777" w:rsidR="004B7971" w:rsidRPr="00906719" w:rsidRDefault="004B7971" w:rsidP="006C6D8B">
            <w:pPr>
              <w:pStyle w:val="TableFigureFooter"/>
              <w:keepNext/>
              <w:rPr>
                <w:b/>
                <w:color w:val="000000" w:themeColor="text1"/>
                <w:szCs w:val="18"/>
                <w:lang w:val="en-US"/>
              </w:rPr>
            </w:pPr>
            <w:r w:rsidRPr="00906719">
              <w:rPr>
                <w:b/>
                <w:color w:val="000000" w:themeColor="text1"/>
                <w:szCs w:val="18"/>
                <w:lang w:val="en-US"/>
              </w:rPr>
              <w:t>Trial</w:t>
            </w:r>
          </w:p>
        </w:tc>
        <w:tc>
          <w:tcPr>
            <w:tcW w:w="770" w:type="pct"/>
            <w:shd w:val="clear" w:color="auto" w:fill="auto"/>
            <w:vAlign w:val="center"/>
          </w:tcPr>
          <w:p w14:paraId="47E03DBE" w14:textId="77777777" w:rsidR="004B7971" w:rsidRDefault="004B7971" w:rsidP="006C6D8B">
            <w:pPr>
              <w:pStyle w:val="TableFigureFooter"/>
              <w:keepNext/>
              <w:rPr>
                <w:b/>
                <w:color w:val="000000" w:themeColor="text1"/>
                <w:szCs w:val="18"/>
                <w:lang w:val="en-US"/>
              </w:rPr>
            </w:pPr>
            <w:r w:rsidRPr="00906719">
              <w:rPr>
                <w:b/>
                <w:color w:val="000000" w:themeColor="text1"/>
                <w:szCs w:val="18"/>
                <w:lang w:val="en-US"/>
              </w:rPr>
              <w:t>N</w:t>
            </w:r>
          </w:p>
          <w:p w14:paraId="6EC4DE1D" w14:textId="6E9D87E6" w:rsidR="00322B10" w:rsidRPr="00906719" w:rsidRDefault="00322B10" w:rsidP="006C6D8B">
            <w:pPr>
              <w:pStyle w:val="TableFigureFooter"/>
              <w:keepNext/>
              <w:rPr>
                <w:b/>
                <w:color w:val="000000" w:themeColor="text1"/>
                <w:szCs w:val="18"/>
                <w:lang w:val="en-US"/>
              </w:rPr>
            </w:pPr>
            <w:r>
              <w:rPr>
                <w:b/>
                <w:color w:val="000000" w:themeColor="text1"/>
                <w:szCs w:val="18"/>
                <w:lang w:val="en-US"/>
              </w:rPr>
              <w:t>Treatment arms</w:t>
            </w:r>
          </w:p>
        </w:tc>
        <w:tc>
          <w:tcPr>
            <w:tcW w:w="450" w:type="pct"/>
            <w:shd w:val="clear" w:color="auto" w:fill="auto"/>
            <w:vAlign w:val="center"/>
          </w:tcPr>
          <w:p w14:paraId="1189F680" w14:textId="77777777" w:rsidR="004B7971" w:rsidRPr="00906719" w:rsidRDefault="004B7971" w:rsidP="006C6D8B">
            <w:pPr>
              <w:pStyle w:val="TableFigureFooter"/>
              <w:keepNext/>
              <w:rPr>
                <w:b/>
                <w:color w:val="000000" w:themeColor="text1"/>
                <w:szCs w:val="18"/>
                <w:lang w:val="en-US"/>
              </w:rPr>
            </w:pPr>
            <w:r w:rsidRPr="00906719">
              <w:rPr>
                <w:b/>
                <w:color w:val="000000" w:themeColor="text1"/>
                <w:szCs w:val="18"/>
                <w:lang w:val="en-US"/>
              </w:rPr>
              <w:t>Design/ duration</w:t>
            </w:r>
          </w:p>
        </w:tc>
        <w:tc>
          <w:tcPr>
            <w:tcW w:w="287" w:type="pct"/>
            <w:shd w:val="clear" w:color="auto" w:fill="auto"/>
            <w:vAlign w:val="center"/>
          </w:tcPr>
          <w:p w14:paraId="74C238A1" w14:textId="77777777" w:rsidR="004B7971" w:rsidRPr="00906719" w:rsidRDefault="004B7971" w:rsidP="006C6D8B">
            <w:pPr>
              <w:pStyle w:val="TableFigureFooter"/>
              <w:keepNext/>
              <w:rPr>
                <w:b/>
                <w:color w:val="000000" w:themeColor="text1"/>
                <w:szCs w:val="18"/>
                <w:lang w:val="en-US"/>
              </w:rPr>
            </w:pPr>
            <w:r w:rsidRPr="00906719">
              <w:rPr>
                <w:b/>
                <w:color w:val="000000" w:themeColor="text1"/>
                <w:szCs w:val="18"/>
                <w:lang w:val="en-US"/>
              </w:rPr>
              <w:t>Risk of bias</w:t>
            </w:r>
          </w:p>
        </w:tc>
        <w:tc>
          <w:tcPr>
            <w:tcW w:w="1719" w:type="pct"/>
            <w:shd w:val="clear" w:color="auto" w:fill="auto"/>
            <w:vAlign w:val="center"/>
          </w:tcPr>
          <w:p w14:paraId="5A03782A" w14:textId="77777777" w:rsidR="004B7971" w:rsidRPr="00906719" w:rsidRDefault="004B7971" w:rsidP="006C6D8B">
            <w:pPr>
              <w:pStyle w:val="TableFigureFooter"/>
              <w:keepNext/>
              <w:rPr>
                <w:b/>
                <w:color w:val="000000" w:themeColor="text1"/>
                <w:szCs w:val="18"/>
                <w:lang w:val="en-US"/>
              </w:rPr>
            </w:pPr>
            <w:r w:rsidRPr="00906719">
              <w:rPr>
                <w:b/>
                <w:color w:val="000000" w:themeColor="text1"/>
                <w:szCs w:val="18"/>
                <w:lang w:val="en-US"/>
              </w:rPr>
              <w:t>Patient population</w:t>
            </w:r>
          </w:p>
        </w:tc>
        <w:tc>
          <w:tcPr>
            <w:tcW w:w="1387" w:type="pct"/>
            <w:shd w:val="clear" w:color="auto" w:fill="auto"/>
            <w:vAlign w:val="center"/>
          </w:tcPr>
          <w:p w14:paraId="5225D0E1" w14:textId="77777777" w:rsidR="004B7971" w:rsidRPr="00906719" w:rsidRDefault="004B7971" w:rsidP="006C6D8B">
            <w:pPr>
              <w:pStyle w:val="TableFigureFooter"/>
              <w:keepNext/>
              <w:rPr>
                <w:b/>
                <w:color w:val="000000" w:themeColor="text1"/>
                <w:szCs w:val="18"/>
                <w:lang w:val="en-US"/>
              </w:rPr>
            </w:pPr>
            <w:r w:rsidRPr="00906719">
              <w:rPr>
                <w:b/>
                <w:color w:val="000000" w:themeColor="text1"/>
                <w:szCs w:val="18"/>
                <w:lang w:val="en-US"/>
              </w:rPr>
              <w:t>Outcomes</w:t>
            </w:r>
          </w:p>
        </w:tc>
      </w:tr>
      <w:tr w:rsidR="00A604AC" w:rsidRPr="00A604AC" w14:paraId="2DBD992D" w14:textId="77777777" w:rsidTr="003A6444">
        <w:trPr>
          <w:cantSplit/>
          <w:trHeight w:val="3203"/>
        </w:trPr>
        <w:tc>
          <w:tcPr>
            <w:tcW w:w="387" w:type="pct"/>
            <w:shd w:val="clear" w:color="auto" w:fill="auto"/>
            <w:vAlign w:val="center"/>
          </w:tcPr>
          <w:p w14:paraId="7D55ADA2" w14:textId="77777777" w:rsidR="004B7971" w:rsidRPr="00906719" w:rsidRDefault="004B7971" w:rsidP="006C6D8B">
            <w:pPr>
              <w:pStyle w:val="TableFigureFooter"/>
              <w:keepNext/>
              <w:rPr>
                <w:bCs/>
                <w:color w:val="000000" w:themeColor="text1"/>
                <w:szCs w:val="18"/>
                <w:lang w:val="en-US"/>
              </w:rPr>
            </w:pPr>
            <w:r w:rsidRPr="00906719">
              <w:rPr>
                <w:bCs/>
                <w:color w:val="000000" w:themeColor="text1"/>
                <w:szCs w:val="18"/>
              </w:rPr>
              <w:t>FUTURE</w:t>
            </w:r>
          </w:p>
        </w:tc>
        <w:tc>
          <w:tcPr>
            <w:tcW w:w="770" w:type="pct"/>
            <w:shd w:val="clear" w:color="auto" w:fill="auto"/>
            <w:vAlign w:val="center"/>
          </w:tcPr>
          <w:p w14:paraId="5AF32A9E" w14:textId="77777777" w:rsidR="004B7971" w:rsidRPr="00906719" w:rsidRDefault="004B7971" w:rsidP="006C6D8B">
            <w:pPr>
              <w:pStyle w:val="TableFigureFooter"/>
              <w:keepNext/>
              <w:jc w:val="center"/>
              <w:rPr>
                <w:bCs/>
                <w:color w:val="000000" w:themeColor="text1"/>
                <w:szCs w:val="18"/>
                <w:lang w:val="en-US"/>
              </w:rPr>
            </w:pPr>
            <w:r w:rsidRPr="00906719">
              <w:rPr>
                <w:bCs/>
                <w:color w:val="000000" w:themeColor="text1"/>
                <w:szCs w:val="18"/>
                <w:lang w:val="en-US"/>
              </w:rPr>
              <w:t>419 (ITT),</w:t>
            </w:r>
          </w:p>
          <w:p w14:paraId="63F97A6A" w14:textId="77777777" w:rsidR="004B7971" w:rsidRDefault="004B7971" w:rsidP="006C6D8B">
            <w:pPr>
              <w:pStyle w:val="TableFigureFooter"/>
              <w:keepNext/>
              <w:jc w:val="center"/>
              <w:rPr>
                <w:bCs/>
                <w:color w:val="000000" w:themeColor="text1"/>
                <w:szCs w:val="18"/>
                <w:lang w:val="en-US"/>
              </w:rPr>
            </w:pPr>
            <w:r w:rsidRPr="00906719">
              <w:rPr>
                <w:bCs/>
                <w:color w:val="000000" w:themeColor="text1"/>
                <w:szCs w:val="18"/>
                <w:lang w:val="en-US"/>
              </w:rPr>
              <w:t xml:space="preserve">241 (FEV1&lt;50%) </w:t>
            </w:r>
            <w:proofErr w:type="gramStart"/>
            <w:r w:rsidRPr="00906719">
              <w:rPr>
                <w:bCs/>
                <w:color w:val="000000" w:themeColor="text1"/>
                <w:szCs w:val="18"/>
                <w:lang w:val="en-US"/>
              </w:rPr>
              <w:t>subgroup</w:t>
            </w:r>
            <w:proofErr w:type="gramEnd"/>
          </w:p>
          <w:p w14:paraId="6FC67713" w14:textId="77777777" w:rsidR="00322B10" w:rsidRDefault="00322B10" w:rsidP="006C6D8B">
            <w:pPr>
              <w:pStyle w:val="TableFigureFooter"/>
              <w:keepNext/>
              <w:jc w:val="center"/>
              <w:rPr>
                <w:bCs/>
                <w:color w:val="000000" w:themeColor="text1"/>
                <w:szCs w:val="18"/>
                <w:lang w:val="en-US"/>
              </w:rPr>
            </w:pPr>
          </w:p>
          <w:p w14:paraId="7051FF71" w14:textId="15F62AEF" w:rsidR="00322B10" w:rsidRPr="003B6367" w:rsidRDefault="00322B10" w:rsidP="006C6D8B">
            <w:pPr>
              <w:pStyle w:val="TableFigureFooter"/>
              <w:keepNext/>
              <w:jc w:val="center"/>
              <w:rPr>
                <w:rFonts w:cs="Times-Roman"/>
                <w:color w:val="000000" w:themeColor="text1"/>
                <w:szCs w:val="18"/>
                <w:lang w:val="en-US"/>
              </w:rPr>
            </w:pPr>
            <w:r w:rsidRPr="003B6367">
              <w:rPr>
                <w:bCs/>
                <w:color w:val="000000" w:themeColor="text1"/>
                <w:szCs w:val="18"/>
                <w:lang w:val="en-US"/>
              </w:rPr>
              <w:t xml:space="preserve">BEC/FOR 100/6 </w:t>
            </w:r>
            <w:r w:rsidRPr="003B6367">
              <w:rPr>
                <w:rFonts w:cs="Times-Roman"/>
                <w:color w:val="000000" w:themeColor="text1"/>
                <w:szCs w:val="18"/>
                <w:lang w:val="en-US"/>
              </w:rPr>
              <w:t>μg 2 inhalations twice daily</w:t>
            </w:r>
            <w:r w:rsidR="009D1175" w:rsidRPr="003B6367">
              <w:rPr>
                <w:rFonts w:cs="Times-Roman"/>
                <w:color w:val="000000" w:themeColor="text1"/>
                <w:szCs w:val="18"/>
                <w:lang w:val="en-US"/>
              </w:rPr>
              <w:t xml:space="preserve"> (</w:t>
            </w:r>
            <w:proofErr w:type="spellStart"/>
            <w:r w:rsidR="009D1175" w:rsidRPr="003B6367">
              <w:rPr>
                <w:rFonts w:cs="Times-Roman"/>
                <w:color w:val="000000" w:themeColor="text1"/>
                <w:szCs w:val="18"/>
                <w:lang w:val="en-US"/>
              </w:rPr>
              <w:t>pMDI</w:t>
            </w:r>
            <w:proofErr w:type="spellEnd"/>
            <w:r w:rsidR="009D1175" w:rsidRPr="003B6367">
              <w:rPr>
                <w:rFonts w:cs="Times-Roman"/>
                <w:color w:val="000000" w:themeColor="text1"/>
                <w:szCs w:val="18"/>
                <w:lang w:val="en-US"/>
              </w:rPr>
              <w:t>)</w:t>
            </w:r>
          </w:p>
          <w:p w14:paraId="60BB7D4B" w14:textId="77777777" w:rsidR="00322B10" w:rsidRPr="003B6367" w:rsidRDefault="00322B10" w:rsidP="006C6D8B">
            <w:pPr>
              <w:pStyle w:val="TableFigureFooter"/>
              <w:keepNext/>
              <w:jc w:val="center"/>
              <w:rPr>
                <w:bCs/>
                <w:color w:val="000000" w:themeColor="text1"/>
                <w:szCs w:val="18"/>
                <w:lang w:val="en-US"/>
              </w:rPr>
            </w:pPr>
          </w:p>
          <w:p w14:paraId="3DB6D886" w14:textId="6DD241A6" w:rsidR="00322B10" w:rsidRPr="00906719" w:rsidRDefault="00322B10" w:rsidP="006C6D8B">
            <w:pPr>
              <w:pStyle w:val="TableFigureFooter"/>
              <w:keepNext/>
              <w:jc w:val="center"/>
              <w:rPr>
                <w:bCs/>
                <w:color w:val="000000" w:themeColor="text1"/>
                <w:szCs w:val="18"/>
                <w:lang w:val="en-US"/>
              </w:rPr>
            </w:pPr>
            <w:r w:rsidRPr="003B6367">
              <w:rPr>
                <w:bCs/>
                <w:color w:val="000000" w:themeColor="text1"/>
                <w:szCs w:val="18"/>
                <w:lang w:val="en-US"/>
              </w:rPr>
              <w:t>FP/SAL 500/</w:t>
            </w:r>
            <w:r w:rsidR="000D4E8A">
              <w:rPr>
                <w:bCs/>
                <w:color w:val="000000" w:themeColor="text1"/>
                <w:szCs w:val="18"/>
                <w:lang w:val="en-US"/>
              </w:rPr>
              <w:t>50</w:t>
            </w:r>
            <w:r w:rsidRPr="003B6367">
              <w:rPr>
                <w:bCs/>
                <w:color w:val="000000" w:themeColor="text1"/>
                <w:szCs w:val="18"/>
                <w:lang w:val="en-US"/>
              </w:rPr>
              <w:t xml:space="preserve"> </w:t>
            </w:r>
            <w:r w:rsidRPr="003B6367">
              <w:rPr>
                <w:rFonts w:cs="Times-Roman"/>
                <w:color w:val="000000" w:themeColor="text1"/>
                <w:szCs w:val="18"/>
                <w:lang w:val="en-US"/>
              </w:rPr>
              <w:t xml:space="preserve">μg </w:t>
            </w:r>
            <w:r w:rsidR="003B6367">
              <w:rPr>
                <w:rFonts w:cs="Times-Roman"/>
                <w:color w:val="000000" w:themeColor="text1"/>
                <w:szCs w:val="18"/>
                <w:lang w:val="en-US"/>
              </w:rPr>
              <w:br/>
            </w:r>
            <w:r w:rsidRPr="003B6367">
              <w:rPr>
                <w:rFonts w:cs="Times-Roman"/>
                <w:color w:val="000000" w:themeColor="text1"/>
                <w:szCs w:val="18"/>
                <w:lang w:val="en-US"/>
              </w:rPr>
              <w:t>1 inhalation twice daily</w:t>
            </w:r>
            <w:r w:rsidR="009D1175" w:rsidRPr="003B6367">
              <w:rPr>
                <w:rFonts w:cs="Times-Roman"/>
                <w:color w:val="000000" w:themeColor="text1"/>
                <w:szCs w:val="18"/>
                <w:lang w:val="en-US"/>
              </w:rPr>
              <w:t xml:space="preserve"> (</w:t>
            </w:r>
            <w:proofErr w:type="spellStart"/>
            <w:r w:rsidR="009D1175" w:rsidRPr="003B6367">
              <w:rPr>
                <w:rFonts w:cs="Times-Roman"/>
                <w:color w:val="000000" w:themeColor="text1"/>
                <w:szCs w:val="18"/>
                <w:lang w:val="en-US"/>
              </w:rPr>
              <w:t>accuhaler</w:t>
            </w:r>
            <w:proofErr w:type="spellEnd"/>
            <w:r w:rsidR="009D1175" w:rsidRPr="003B6367">
              <w:rPr>
                <w:rFonts w:cs="Times-Roman"/>
                <w:color w:val="000000" w:themeColor="text1"/>
                <w:szCs w:val="18"/>
                <w:lang w:val="en-US"/>
              </w:rPr>
              <w:t>)</w:t>
            </w:r>
          </w:p>
        </w:tc>
        <w:tc>
          <w:tcPr>
            <w:tcW w:w="450" w:type="pct"/>
            <w:shd w:val="clear" w:color="auto" w:fill="auto"/>
            <w:vAlign w:val="center"/>
          </w:tcPr>
          <w:p w14:paraId="2A9D6073" w14:textId="77777777" w:rsidR="004B7971" w:rsidRPr="00906719" w:rsidRDefault="004B7971" w:rsidP="006C6D8B">
            <w:pPr>
              <w:pStyle w:val="TableFigureFooter"/>
              <w:keepNext/>
              <w:jc w:val="center"/>
              <w:rPr>
                <w:bCs/>
                <w:color w:val="000000" w:themeColor="text1"/>
                <w:szCs w:val="18"/>
                <w:lang w:val="en-US"/>
              </w:rPr>
            </w:pPr>
            <w:r w:rsidRPr="00906719">
              <w:rPr>
                <w:bCs/>
                <w:color w:val="000000" w:themeColor="text1"/>
                <w:szCs w:val="18"/>
                <w:lang w:val="en-US"/>
              </w:rPr>
              <w:t>R, DB</w:t>
            </w:r>
          </w:p>
          <w:p w14:paraId="320DBB28" w14:textId="77777777" w:rsidR="004B7971" w:rsidRPr="00906719" w:rsidRDefault="004B7971" w:rsidP="006C6D8B">
            <w:pPr>
              <w:pStyle w:val="TableFigureFooter"/>
              <w:keepNext/>
              <w:jc w:val="center"/>
              <w:rPr>
                <w:bCs/>
                <w:color w:val="000000" w:themeColor="text1"/>
                <w:szCs w:val="18"/>
                <w:lang w:val="en-US"/>
              </w:rPr>
            </w:pPr>
          </w:p>
          <w:p w14:paraId="53D1C3C6" w14:textId="77777777" w:rsidR="004B7971" w:rsidRPr="00906719" w:rsidRDefault="004B7971" w:rsidP="006C6D8B">
            <w:pPr>
              <w:pStyle w:val="TableFigureFooter"/>
              <w:keepNext/>
              <w:jc w:val="center"/>
              <w:rPr>
                <w:color w:val="000000" w:themeColor="text1"/>
                <w:szCs w:val="18"/>
                <w:lang w:val="en-GB"/>
              </w:rPr>
            </w:pPr>
            <w:r w:rsidRPr="00906719">
              <w:rPr>
                <w:color w:val="000000" w:themeColor="text1"/>
                <w:szCs w:val="18"/>
                <w:lang w:val="en-GB"/>
              </w:rPr>
              <w:t>12 weeks</w:t>
            </w:r>
          </w:p>
          <w:p w14:paraId="31505F64" w14:textId="77777777" w:rsidR="004B7971" w:rsidRPr="00906719" w:rsidRDefault="004B7971" w:rsidP="006C6D8B">
            <w:pPr>
              <w:pStyle w:val="TableFigureFooter"/>
              <w:keepNext/>
              <w:jc w:val="center"/>
              <w:rPr>
                <w:bCs/>
                <w:color w:val="000000" w:themeColor="text1"/>
                <w:szCs w:val="18"/>
                <w:lang w:val="en-US"/>
              </w:rPr>
            </w:pPr>
            <w:r w:rsidRPr="00906719">
              <w:rPr>
                <w:bCs/>
                <w:color w:val="000000" w:themeColor="text1"/>
                <w:szCs w:val="18"/>
              </w:rPr>
              <w:t>+ 2-week run-in</w:t>
            </w:r>
          </w:p>
        </w:tc>
        <w:tc>
          <w:tcPr>
            <w:tcW w:w="287" w:type="pct"/>
            <w:shd w:val="clear" w:color="auto" w:fill="auto"/>
            <w:vAlign w:val="center"/>
          </w:tcPr>
          <w:p w14:paraId="73685EB6" w14:textId="77777777" w:rsidR="004B7971" w:rsidRPr="00101011" w:rsidRDefault="004B7971" w:rsidP="006C6D8B">
            <w:pPr>
              <w:pStyle w:val="TableFigureFooter"/>
              <w:keepNext/>
              <w:jc w:val="center"/>
              <w:rPr>
                <w:bCs/>
                <w:color w:val="000000" w:themeColor="text1"/>
                <w:szCs w:val="18"/>
                <w:lang w:val="en-US"/>
              </w:rPr>
            </w:pPr>
            <w:r w:rsidRPr="00101011">
              <w:rPr>
                <w:bCs/>
                <w:color w:val="000000" w:themeColor="text1"/>
                <w:szCs w:val="18"/>
                <w:lang w:val="en-US"/>
              </w:rPr>
              <w:t>Low</w:t>
            </w:r>
          </w:p>
        </w:tc>
        <w:tc>
          <w:tcPr>
            <w:tcW w:w="1719" w:type="pct"/>
            <w:shd w:val="clear" w:color="auto" w:fill="auto"/>
          </w:tcPr>
          <w:p w14:paraId="06064EBA"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 xml:space="preserve">≥40 years </w:t>
            </w:r>
          </w:p>
          <w:p w14:paraId="3B06EA8C"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 xml:space="preserve">Regular bronchodilator </w:t>
            </w:r>
            <w:proofErr w:type="gramStart"/>
            <w:r w:rsidRPr="00906719">
              <w:rPr>
                <w:color w:val="000000" w:themeColor="text1"/>
                <w:szCs w:val="18"/>
              </w:rPr>
              <w:t>use</w:t>
            </w:r>
            <w:proofErr w:type="gramEnd"/>
            <w:r w:rsidRPr="00906719">
              <w:rPr>
                <w:color w:val="000000" w:themeColor="text1"/>
                <w:szCs w:val="18"/>
              </w:rPr>
              <w:t xml:space="preserve"> in the previous 2 months</w:t>
            </w:r>
          </w:p>
          <w:p w14:paraId="1360C073" w14:textId="77777777" w:rsidR="004B7971"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≥10 pack-years smoking history</w:t>
            </w:r>
          </w:p>
          <w:p w14:paraId="01C3A91D" w14:textId="77777777" w:rsidR="004B7971"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Moderate-severe COPD diagnosis</w:t>
            </w:r>
          </w:p>
          <w:p w14:paraId="4A3B6CE4" w14:textId="77777777" w:rsidR="004B7971"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 xml:space="preserve">FEV1 &lt;60% of predicted normal, post-bronchodilator </w:t>
            </w:r>
          </w:p>
          <w:p w14:paraId="64CD38E0" w14:textId="0E794299"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FEV1/FVC &lt; 0.7, post</w:t>
            </w:r>
            <w:r w:rsidR="00A139A2" w:rsidRPr="00906719">
              <w:rPr>
                <w:color w:val="000000" w:themeColor="text1"/>
                <w:szCs w:val="18"/>
              </w:rPr>
              <w:t>-</w:t>
            </w:r>
            <w:r w:rsidRPr="00906719">
              <w:rPr>
                <w:color w:val="000000" w:themeColor="text1"/>
                <w:szCs w:val="18"/>
              </w:rPr>
              <w:t>bronchodilator</w:t>
            </w:r>
          </w:p>
          <w:p w14:paraId="300BD63F" w14:textId="77777777" w:rsidR="004B7971"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Increase in FEV1 ≥ 5% following 400μg salbutamol</w:t>
            </w:r>
          </w:p>
          <w:p w14:paraId="4A4EAEBC" w14:textId="77777777" w:rsidR="00731C10"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 xml:space="preserve">BDI focal score ≤ 10 </w:t>
            </w:r>
          </w:p>
          <w:p w14:paraId="512705CE" w14:textId="2035C837" w:rsidR="004B7971" w:rsidRPr="00906719" w:rsidRDefault="004B7971" w:rsidP="00650D10">
            <w:pPr>
              <w:pStyle w:val="TableFigureFooter"/>
              <w:keepNext/>
              <w:numPr>
                <w:ilvl w:val="0"/>
                <w:numId w:val="13"/>
              </w:numPr>
              <w:ind w:left="262" w:hanging="249"/>
              <w:jc w:val="left"/>
              <w:rPr>
                <w:color w:val="000000" w:themeColor="text1"/>
                <w:szCs w:val="18"/>
                <w:lang w:val="en-GB"/>
              </w:rPr>
            </w:pPr>
            <w:r w:rsidRPr="00906719">
              <w:rPr>
                <w:color w:val="000000" w:themeColor="text1"/>
                <w:szCs w:val="18"/>
                <w:lang w:val="en-GB"/>
              </w:rPr>
              <w:t>≤ one COPD exacerbation treated with antibiotics or systemic corticosteroids in the previous 12 months.</w:t>
            </w:r>
          </w:p>
        </w:tc>
        <w:tc>
          <w:tcPr>
            <w:tcW w:w="1387" w:type="pct"/>
            <w:shd w:val="clear" w:color="auto" w:fill="auto"/>
            <w:vAlign w:val="center"/>
          </w:tcPr>
          <w:p w14:paraId="0D3960DA" w14:textId="04F3239B" w:rsidR="008B58D3" w:rsidRPr="00906719" w:rsidRDefault="008B58D3" w:rsidP="008B58D3">
            <w:pPr>
              <w:pStyle w:val="TableFigureFooter"/>
              <w:keepNext/>
              <w:jc w:val="left"/>
              <w:rPr>
                <w:bCs/>
                <w:color w:val="000000" w:themeColor="text1"/>
                <w:szCs w:val="18"/>
              </w:rPr>
            </w:pPr>
            <w:r w:rsidRPr="00906719">
              <w:rPr>
                <w:bCs/>
                <w:color w:val="000000" w:themeColor="text1"/>
                <w:szCs w:val="18"/>
              </w:rPr>
              <w:t>Primary</w:t>
            </w:r>
          </w:p>
          <w:p w14:paraId="61167E49" w14:textId="00D8837F" w:rsidR="004B7971" w:rsidRPr="00906719" w:rsidRDefault="004B7971" w:rsidP="00A12F84">
            <w:pPr>
              <w:pStyle w:val="TableFigureFooter"/>
              <w:keepNext/>
              <w:numPr>
                <w:ilvl w:val="0"/>
                <w:numId w:val="5"/>
              </w:numPr>
              <w:ind w:left="289" w:hanging="180"/>
              <w:jc w:val="left"/>
              <w:rPr>
                <w:bCs/>
                <w:color w:val="000000" w:themeColor="text1"/>
                <w:szCs w:val="18"/>
              </w:rPr>
            </w:pPr>
            <w:r w:rsidRPr="00906719">
              <w:rPr>
                <w:bCs/>
                <w:color w:val="000000" w:themeColor="text1"/>
                <w:szCs w:val="18"/>
              </w:rPr>
              <w:t>TDI score at week 12</w:t>
            </w:r>
          </w:p>
          <w:p w14:paraId="22EAF1F1" w14:textId="77777777" w:rsidR="008B58D3" w:rsidRPr="00906719" w:rsidRDefault="004B7971" w:rsidP="00A12F84">
            <w:pPr>
              <w:pStyle w:val="TableFigureFooter"/>
              <w:keepNext/>
              <w:numPr>
                <w:ilvl w:val="0"/>
                <w:numId w:val="5"/>
              </w:numPr>
              <w:ind w:left="289" w:hanging="180"/>
              <w:jc w:val="left"/>
              <w:rPr>
                <w:bCs/>
                <w:color w:val="000000" w:themeColor="text1"/>
                <w:szCs w:val="18"/>
              </w:rPr>
            </w:pPr>
            <w:r w:rsidRPr="00906719">
              <w:rPr>
                <w:bCs/>
                <w:color w:val="000000" w:themeColor="text1"/>
                <w:szCs w:val="18"/>
              </w:rPr>
              <w:t>Change in FEV1 after drug inhalation at baseline</w:t>
            </w:r>
          </w:p>
          <w:p w14:paraId="36F7972E" w14:textId="181AE6C7" w:rsidR="004B7971" w:rsidRPr="00906719" w:rsidRDefault="008B58D3" w:rsidP="008B58D3">
            <w:pPr>
              <w:pStyle w:val="TableFigureFooter"/>
              <w:keepNext/>
              <w:jc w:val="left"/>
              <w:rPr>
                <w:bCs/>
                <w:color w:val="000000" w:themeColor="text1"/>
                <w:szCs w:val="18"/>
              </w:rPr>
            </w:pPr>
            <w:r w:rsidRPr="00906719">
              <w:rPr>
                <w:bCs/>
                <w:color w:val="000000" w:themeColor="text1"/>
                <w:szCs w:val="18"/>
              </w:rPr>
              <w:t>Secondary</w:t>
            </w:r>
            <w:r w:rsidRPr="0069428E">
              <w:rPr>
                <w:rStyle w:val="CommentReference"/>
                <w:rFonts w:cs="Times New Roman"/>
                <w:snapToGrid/>
                <w:color w:val="000000" w:themeColor="text1"/>
              </w:rPr>
              <w:t xml:space="preserve"> </w:t>
            </w:r>
          </w:p>
          <w:p w14:paraId="536F7F53" w14:textId="77777777" w:rsidR="004B7971" w:rsidRPr="00906719" w:rsidRDefault="004B7971" w:rsidP="00650D10">
            <w:pPr>
              <w:pStyle w:val="TableFigureFooter"/>
              <w:keepNext/>
              <w:numPr>
                <w:ilvl w:val="0"/>
                <w:numId w:val="12"/>
              </w:numPr>
              <w:ind w:left="289" w:hanging="180"/>
              <w:jc w:val="left"/>
              <w:rPr>
                <w:bCs/>
                <w:color w:val="000000" w:themeColor="text1"/>
                <w:szCs w:val="18"/>
              </w:rPr>
            </w:pPr>
            <w:r w:rsidRPr="00906719">
              <w:rPr>
                <w:bCs/>
                <w:color w:val="000000" w:themeColor="text1"/>
                <w:szCs w:val="18"/>
              </w:rPr>
              <w:t>Pulmonary function tests at baseline and week 12</w:t>
            </w:r>
          </w:p>
          <w:p w14:paraId="77747528" w14:textId="77777777" w:rsidR="004B7971" w:rsidRPr="00906719" w:rsidRDefault="004B7971" w:rsidP="00650D10">
            <w:pPr>
              <w:pStyle w:val="TableFigureFooter"/>
              <w:keepNext/>
              <w:numPr>
                <w:ilvl w:val="0"/>
                <w:numId w:val="12"/>
              </w:numPr>
              <w:ind w:left="289" w:hanging="180"/>
              <w:jc w:val="left"/>
              <w:rPr>
                <w:bCs/>
                <w:color w:val="000000" w:themeColor="text1"/>
                <w:szCs w:val="18"/>
              </w:rPr>
            </w:pPr>
            <w:r w:rsidRPr="00906719">
              <w:rPr>
                <w:bCs/>
                <w:color w:val="000000" w:themeColor="text1"/>
                <w:szCs w:val="18"/>
              </w:rPr>
              <w:t>COPD symptom score at baseline and week 12</w:t>
            </w:r>
          </w:p>
          <w:p w14:paraId="49BF6FD9" w14:textId="77777777" w:rsidR="004B7971" w:rsidRPr="00906719" w:rsidRDefault="004B7971" w:rsidP="00650D10">
            <w:pPr>
              <w:pStyle w:val="TableFigureFooter"/>
              <w:keepNext/>
              <w:numPr>
                <w:ilvl w:val="0"/>
                <w:numId w:val="12"/>
              </w:numPr>
              <w:ind w:left="289" w:hanging="180"/>
              <w:jc w:val="left"/>
              <w:rPr>
                <w:bCs/>
                <w:color w:val="000000" w:themeColor="text1"/>
                <w:szCs w:val="18"/>
              </w:rPr>
            </w:pPr>
            <w:r w:rsidRPr="00906719">
              <w:rPr>
                <w:bCs/>
                <w:color w:val="000000" w:themeColor="text1"/>
                <w:szCs w:val="18"/>
              </w:rPr>
              <w:t>COPD exacerbation occurrence</w:t>
            </w:r>
          </w:p>
          <w:p w14:paraId="5032BC76" w14:textId="77777777" w:rsidR="004B7971" w:rsidRPr="00906719" w:rsidRDefault="004B7971" w:rsidP="00650D10">
            <w:pPr>
              <w:pStyle w:val="TableFigureFooter"/>
              <w:keepNext/>
              <w:numPr>
                <w:ilvl w:val="0"/>
                <w:numId w:val="12"/>
              </w:numPr>
              <w:ind w:left="289" w:hanging="180"/>
              <w:jc w:val="left"/>
              <w:rPr>
                <w:bCs/>
                <w:color w:val="000000" w:themeColor="text1"/>
                <w:szCs w:val="18"/>
              </w:rPr>
            </w:pPr>
            <w:r w:rsidRPr="00906719">
              <w:rPr>
                <w:bCs/>
                <w:color w:val="000000" w:themeColor="text1"/>
                <w:szCs w:val="18"/>
              </w:rPr>
              <w:t>SGRQ at baseline and week 12</w:t>
            </w:r>
          </w:p>
          <w:p w14:paraId="0A7F2C8C" w14:textId="77777777" w:rsidR="004B7971" w:rsidRPr="0069428E" w:rsidRDefault="004B7971" w:rsidP="00650D10">
            <w:pPr>
              <w:pStyle w:val="TableFigureFooter"/>
              <w:keepNext/>
              <w:numPr>
                <w:ilvl w:val="0"/>
                <w:numId w:val="12"/>
              </w:numPr>
              <w:ind w:left="289" w:hanging="180"/>
              <w:jc w:val="left"/>
              <w:rPr>
                <w:bCs/>
                <w:color w:val="000000" w:themeColor="text1"/>
                <w:szCs w:val="18"/>
                <w:lang w:val="en-US"/>
              </w:rPr>
            </w:pPr>
            <w:r w:rsidRPr="00906719">
              <w:rPr>
                <w:bCs/>
                <w:color w:val="000000" w:themeColor="text1"/>
                <w:szCs w:val="18"/>
              </w:rPr>
              <w:t>6MWT at baseline and week 12</w:t>
            </w:r>
          </w:p>
          <w:p w14:paraId="4574D289" w14:textId="4FC6844E" w:rsidR="003C5125" w:rsidRPr="00906719" w:rsidRDefault="003C5125" w:rsidP="00650D10">
            <w:pPr>
              <w:pStyle w:val="TableFigureFooter"/>
              <w:keepNext/>
              <w:numPr>
                <w:ilvl w:val="0"/>
                <w:numId w:val="12"/>
              </w:numPr>
              <w:ind w:left="289" w:hanging="180"/>
              <w:jc w:val="left"/>
              <w:rPr>
                <w:bCs/>
                <w:color w:val="000000" w:themeColor="text1"/>
                <w:szCs w:val="18"/>
                <w:lang w:val="en-US"/>
              </w:rPr>
            </w:pPr>
            <w:r w:rsidRPr="00906719">
              <w:rPr>
                <w:bCs/>
                <w:color w:val="000000" w:themeColor="text1"/>
                <w:szCs w:val="18"/>
              </w:rPr>
              <w:t>Use of rescue medication</w:t>
            </w:r>
          </w:p>
        </w:tc>
      </w:tr>
      <w:tr w:rsidR="00A604AC" w:rsidRPr="00A604AC" w14:paraId="25B5178E" w14:textId="77777777" w:rsidTr="003A6444">
        <w:trPr>
          <w:cantSplit/>
          <w:trHeight w:val="3338"/>
        </w:trPr>
        <w:tc>
          <w:tcPr>
            <w:tcW w:w="387" w:type="pct"/>
            <w:shd w:val="clear" w:color="auto" w:fill="auto"/>
            <w:vAlign w:val="center"/>
          </w:tcPr>
          <w:p w14:paraId="5DAA3128" w14:textId="77777777" w:rsidR="004B7971" w:rsidRPr="00906719" w:rsidRDefault="004B7971" w:rsidP="006C6D8B">
            <w:pPr>
              <w:pStyle w:val="TableFigureFooter"/>
              <w:keepNext/>
              <w:rPr>
                <w:bCs/>
                <w:color w:val="000000" w:themeColor="text1"/>
                <w:szCs w:val="18"/>
                <w:lang w:val="en-US"/>
              </w:rPr>
            </w:pPr>
            <w:r w:rsidRPr="00906719">
              <w:rPr>
                <w:bCs/>
                <w:color w:val="000000" w:themeColor="text1"/>
                <w:szCs w:val="18"/>
              </w:rPr>
              <w:t>Calverley et al. (2010)</w:t>
            </w:r>
          </w:p>
        </w:tc>
        <w:tc>
          <w:tcPr>
            <w:tcW w:w="770" w:type="pct"/>
            <w:shd w:val="clear" w:color="auto" w:fill="auto"/>
            <w:vAlign w:val="center"/>
          </w:tcPr>
          <w:p w14:paraId="41776958" w14:textId="570F7EDD" w:rsidR="004B7971" w:rsidRDefault="004B7971" w:rsidP="006C6D8B">
            <w:pPr>
              <w:pStyle w:val="TableFigureFooter"/>
              <w:keepNext/>
              <w:jc w:val="center"/>
              <w:rPr>
                <w:bCs/>
                <w:color w:val="000000" w:themeColor="text1"/>
                <w:szCs w:val="18"/>
                <w:lang w:val="en-US"/>
              </w:rPr>
            </w:pPr>
            <w:r w:rsidRPr="00906719">
              <w:rPr>
                <w:bCs/>
                <w:color w:val="000000" w:themeColor="text1"/>
                <w:szCs w:val="18"/>
                <w:lang w:val="en-US"/>
              </w:rPr>
              <w:t>703</w:t>
            </w:r>
          </w:p>
          <w:p w14:paraId="0882B789" w14:textId="19C7AEAE" w:rsidR="009D1175" w:rsidRDefault="009D1175" w:rsidP="006C6D8B">
            <w:pPr>
              <w:pStyle w:val="TableFigureFooter"/>
              <w:keepNext/>
              <w:jc w:val="center"/>
              <w:rPr>
                <w:bCs/>
                <w:color w:val="000000" w:themeColor="text1"/>
                <w:szCs w:val="18"/>
                <w:lang w:val="en-US"/>
              </w:rPr>
            </w:pPr>
          </w:p>
          <w:p w14:paraId="37686062" w14:textId="665F853E" w:rsidR="009D1175" w:rsidRPr="003B6367" w:rsidRDefault="009D1175" w:rsidP="009D1175">
            <w:pPr>
              <w:pStyle w:val="TableFigureFooter"/>
              <w:keepNext/>
              <w:jc w:val="center"/>
              <w:rPr>
                <w:rFonts w:cs="Times-Roman"/>
                <w:color w:val="000000" w:themeColor="text1"/>
                <w:szCs w:val="18"/>
                <w:lang w:val="en-US"/>
              </w:rPr>
            </w:pPr>
            <w:r w:rsidRPr="003B6367">
              <w:rPr>
                <w:bCs/>
                <w:color w:val="000000" w:themeColor="text1"/>
                <w:szCs w:val="18"/>
                <w:lang w:val="en-US"/>
              </w:rPr>
              <w:t xml:space="preserve">BEC/FOR 100/6 </w:t>
            </w:r>
            <w:r w:rsidRPr="003B6367">
              <w:rPr>
                <w:rFonts w:cs="Times-Roman"/>
                <w:color w:val="000000" w:themeColor="text1"/>
                <w:szCs w:val="18"/>
                <w:lang w:val="en-US"/>
              </w:rPr>
              <w:t>μg 2 inhalations twice daily (</w:t>
            </w:r>
            <w:proofErr w:type="spellStart"/>
            <w:r w:rsidRPr="003B6367">
              <w:rPr>
                <w:rFonts w:cs="Times-Roman"/>
                <w:color w:val="000000" w:themeColor="text1"/>
                <w:szCs w:val="18"/>
                <w:lang w:val="en-US"/>
              </w:rPr>
              <w:t>pMDI</w:t>
            </w:r>
            <w:proofErr w:type="spellEnd"/>
            <w:r w:rsidRPr="003B6367">
              <w:rPr>
                <w:rFonts w:cs="Times-Roman"/>
                <w:color w:val="000000" w:themeColor="text1"/>
                <w:szCs w:val="18"/>
                <w:lang w:val="en-US"/>
              </w:rPr>
              <w:t>)</w:t>
            </w:r>
          </w:p>
          <w:p w14:paraId="798795E1" w14:textId="618DCA54" w:rsidR="009D1175" w:rsidRPr="003B6367" w:rsidRDefault="009D1175" w:rsidP="009D1175">
            <w:pPr>
              <w:pStyle w:val="TableFigureFooter"/>
              <w:keepNext/>
              <w:jc w:val="center"/>
              <w:rPr>
                <w:rFonts w:cs="Times-Roman"/>
                <w:color w:val="000000" w:themeColor="text1"/>
                <w:szCs w:val="18"/>
                <w:lang w:val="en-US"/>
              </w:rPr>
            </w:pPr>
          </w:p>
          <w:p w14:paraId="113C85B9" w14:textId="77777777" w:rsidR="00322B10" w:rsidRPr="003B6367" w:rsidRDefault="009D1175" w:rsidP="009D1175">
            <w:pPr>
              <w:pStyle w:val="TableFigureFooter"/>
              <w:keepNext/>
              <w:jc w:val="center"/>
              <w:rPr>
                <w:rFonts w:cs="Times-Roman"/>
                <w:color w:val="000000" w:themeColor="text1"/>
                <w:szCs w:val="18"/>
                <w:lang w:val="en-US"/>
              </w:rPr>
            </w:pPr>
            <w:r w:rsidRPr="003B6367">
              <w:rPr>
                <w:bCs/>
                <w:color w:val="000000" w:themeColor="text1"/>
                <w:szCs w:val="18"/>
                <w:lang w:val="en-US"/>
              </w:rPr>
              <w:t xml:space="preserve">BUD/FOR 200/6 </w:t>
            </w:r>
            <w:r w:rsidRPr="003B6367">
              <w:rPr>
                <w:rFonts w:cs="Times-Roman"/>
                <w:color w:val="000000" w:themeColor="text1"/>
                <w:szCs w:val="18"/>
                <w:lang w:val="en-US"/>
              </w:rPr>
              <w:t>μg 2 inhalations twice daily (</w:t>
            </w:r>
            <w:proofErr w:type="spellStart"/>
            <w:r w:rsidRPr="003B6367">
              <w:rPr>
                <w:rFonts w:cs="Times-Roman"/>
                <w:color w:val="000000" w:themeColor="text1"/>
                <w:szCs w:val="18"/>
                <w:lang w:val="en-US"/>
              </w:rPr>
              <w:t>turbuhaler</w:t>
            </w:r>
            <w:proofErr w:type="spellEnd"/>
            <w:r w:rsidRPr="003B6367">
              <w:rPr>
                <w:rFonts w:cs="Times-Roman"/>
                <w:color w:val="000000" w:themeColor="text1"/>
                <w:szCs w:val="18"/>
                <w:lang w:val="en-US"/>
              </w:rPr>
              <w:t>)</w:t>
            </w:r>
          </w:p>
          <w:p w14:paraId="6CFDB870" w14:textId="77777777" w:rsidR="009D1175" w:rsidRPr="003B6367" w:rsidRDefault="009D1175" w:rsidP="009D1175">
            <w:pPr>
              <w:pStyle w:val="TableFigureFooter"/>
              <w:keepNext/>
              <w:jc w:val="center"/>
              <w:rPr>
                <w:rFonts w:cs="Times-Roman"/>
                <w:color w:val="000000" w:themeColor="text1"/>
                <w:szCs w:val="18"/>
                <w:lang w:val="en-US"/>
              </w:rPr>
            </w:pPr>
          </w:p>
          <w:p w14:paraId="211B94F0" w14:textId="480A065D" w:rsidR="003B6367" w:rsidRPr="003B6367" w:rsidRDefault="009D1175" w:rsidP="003B6367">
            <w:pPr>
              <w:pStyle w:val="TableFigureFooter"/>
              <w:keepNext/>
              <w:jc w:val="center"/>
              <w:rPr>
                <w:rFonts w:cs="Times-Roman"/>
                <w:color w:val="000000" w:themeColor="text1"/>
                <w:szCs w:val="18"/>
                <w:lang w:val="en-US"/>
              </w:rPr>
            </w:pPr>
            <w:r w:rsidRPr="003B6367">
              <w:rPr>
                <w:rFonts w:cs="Times-Roman"/>
                <w:color w:val="000000" w:themeColor="text1"/>
                <w:szCs w:val="18"/>
                <w:lang w:val="en-US"/>
              </w:rPr>
              <w:t xml:space="preserve">FOR </w:t>
            </w:r>
            <w:r w:rsidR="003B6367" w:rsidRPr="003B6367">
              <w:rPr>
                <w:rFonts w:cs="Times-Roman"/>
                <w:color w:val="000000" w:themeColor="text1"/>
                <w:szCs w:val="18"/>
                <w:lang w:val="en-US"/>
              </w:rPr>
              <w:t>12 μg 1 inhalation twice daily (</w:t>
            </w:r>
            <w:proofErr w:type="spellStart"/>
            <w:r w:rsidR="003B6367" w:rsidRPr="003B6367">
              <w:rPr>
                <w:rFonts w:cs="Times-Roman"/>
                <w:color w:val="000000" w:themeColor="text1"/>
                <w:szCs w:val="18"/>
                <w:lang w:val="en-US"/>
              </w:rPr>
              <w:t>turbuhaler</w:t>
            </w:r>
            <w:proofErr w:type="spellEnd"/>
            <w:r w:rsidR="003B6367" w:rsidRPr="003B6367">
              <w:rPr>
                <w:rFonts w:cs="Times-Roman"/>
                <w:color w:val="000000" w:themeColor="text1"/>
                <w:szCs w:val="18"/>
                <w:lang w:val="en-US"/>
              </w:rPr>
              <w:t>)</w:t>
            </w:r>
          </w:p>
          <w:p w14:paraId="652CB541" w14:textId="3A2D80A6" w:rsidR="009D1175" w:rsidRPr="009D1175" w:rsidRDefault="009D1175" w:rsidP="009D1175">
            <w:pPr>
              <w:pStyle w:val="TableFigureFooter"/>
              <w:keepNext/>
              <w:jc w:val="center"/>
              <w:rPr>
                <w:rFonts w:cs="Times-Roman"/>
                <w:color w:val="000000" w:themeColor="text1"/>
                <w:sz w:val="20"/>
                <w:szCs w:val="20"/>
                <w:lang w:val="en-US"/>
              </w:rPr>
            </w:pPr>
          </w:p>
        </w:tc>
        <w:tc>
          <w:tcPr>
            <w:tcW w:w="450" w:type="pct"/>
            <w:shd w:val="clear" w:color="auto" w:fill="auto"/>
            <w:vAlign w:val="center"/>
          </w:tcPr>
          <w:p w14:paraId="7F3263C3" w14:textId="77777777" w:rsidR="004B7971" w:rsidRPr="00906719" w:rsidRDefault="004B7971" w:rsidP="006C6D8B">
            <w:pPr>
              <w:pStyle w:val="TableFigureFooter"/>
              <w:keepNext/>
              <w:jc w:val="center"/>
              <w:rPr>
                <w:bCs/>
                <w:color w:val="000000" w:themeColor="text1"/>
                <w:szCs w:val="18"/>
                <w:lang w:val="en-US"/>
              </w:rPr>
            </w:pPr>
            <w:r w:rsidRPr="00906719">
              <w:rPr>
                <w:bCs/>
                <w:color w:val="000000" w:themeColor="text1"/>
                <w:szCs w:val="18"/>
                <w:lang w:val="en-US"/>
              </w:rPr>
              <w:t>R, DB</w:t>
            </w:r>
          </w:p>
          <w:p w14:paraId="4B2A3849" w14:textId="77777777" w:rsidR="004B7971" w:rsidRPr="00906719" w:rsidRDefault="004B7971" w:rsidP="006C6D8B">
            <w:pPr>
              <w:pStyle w:val="TableFigureFooter"/>
              <w:keepNext/>
              <w:jc w:val="center"/>
              <w:rPr>
                <w:color w:val="000000" w:themeColor="text1"/>
                <w:szCs w:val="18"/>
                <w:lang w:val="en-GB"/>
              </w:rPr>
            </w:pPr>
          </w:p>
          <w:p w14:paraId="2DBE1985" w14:textId="77777777" w:rsidR="004B7971" w:rsidRPr="00906719" w:rsidRDefault="004B7971" w:rsidP="006C6D8B">
            <w:pPr>
              <w:pStyle w:val="TableFigureFooter"/>
              <w:keepNext/>
              <w:jc w:val="center"/>
              <w:rPr>
                <w:color w:val="000000" w:themeColor="text1"/>
                <w:szCs w:val="18"/>
                <w:lang w:val="en-GB"/>
              </w:rPr>
            </w:pPr>
            <w:r w:rsidRPr="00906719">
              <w:rPr>
                <w:color w:val="000000" w:themeColor="text1"/>
                <w:szCs w:val="18"/>
                <w:lang w:val="en-GB"/>
              </w:rPr>
              <w:t>48 weeks</w:t>
            </w:r>
          </w:p>
          <w:p w14:paraId="70E5C45A" w14:textId="77777777" w:rsidR="004B7971" w:rsidRPr="00906719" w:rsidRDefault="004B7971" w:rsidP="006C6D8B">
            <w:pPr>
              <w:pStyle w:val="TableFigureFooter"/>
              <w:keepNext/>
              <w:jc w:val="center"/>
              <w:rPr>
                <w:bCs/>
                <w:color w:val="000000" w:themeColor="text1"/>
                <w:szCs w:val="18"/>
                <w:lang w:val="en-US"/>
              </w:rPr>
            </w:pPr>
            <w:r w:rsidRPr="00906719">
              <w:rPr>
                <w:bCs/>
                <w:color w:val="000000" w:themeColor="text1"/>
                <w:szCs w:val="18"/>
              </w:rPr>
              <w:t>+ 4-week run-in</w:t>
            </w:r>
          </w:p>
        </w:tc>
        <w:tc>
          <w:tcPr>
            <w:tcW w:w="287" w:type="pct"/>
            <w:shd w:val="clear" w:color="auto" w:fill="auto"/>
            <w:vAlign w:val="center"/>
          </w:tcPr>
          <w:p w14:paraId="39AAA403" w14:textId="77777777" w:rsidR="004B7971" w:rsidRPr="00101011" w:rsidRDefault="004B7971" w:rsidP="006C6D8B">
            <w:pPr>
              <w:pStyle w:val="TableFigureFooter"/>
              <w:keepNext/>
              <w:jc w:val="center"/>
              <w:rPr>
                <w:bCs/>
                <w:color w:val="000000" w:themeColor="text1"/>
                <w:szCs w:val="18"/>
                <w:lang w:val="en-US"/>
              </w:rPr>
            </w:pPr>
            <w:r w:rsidRPr="00101011">
              <w:rPr>
                <w:bCs/>
                <w:color w:val="000000" w:themeColor="text1"/>
                <w:szCs w:val="18"/>
                <w:lang w:val="en-US"/>
              </w:rPr>
              <w:t>Low</w:t>
            </w:r>
          </w:p>
        </w:tc>
        <w:tc>
          <w:tcPr>
            <w:tcW w:w="1719" w:type="pct"/>
            <w:shd w:val="clear" w:color="auto" w:fill="auto"/>
            <w:vAlign w:val="center"/>
          </w:tcPr>
          <w:p w14:paraId="6262CF8B"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 xml:space="preserve">≥40 years </w:t>
            </w:r>
          </w:p>
          <w:p w14:paraId="03C0FA24" w14:textId="493A8976"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clinical diagnosis of COPD (GOLD guidelines)</w:t>
            </w:r>
          </w:p>
          <w:p w14:paraId="65B85BF1" w14:textId="6CAC11DA" w:rsidR="00731C10" w:rsidRPr="00906719" w:rsidRDefault="00731C10"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&gt;20 pack-years smoking history</w:t>
            </w:r>
          </w:p>
          <w:p w14:paraId="1D48E71C"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 xml:space="preserve">FEV1 ≥ 30% and &lt; 50% predicted normal, post-bronchodilator </w:t>
            </w:r>
          </w:p>
          <w:p w14:paraId="10D6E136"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FEV1/FVC ≤ 0.7, post-bronchodilator</w:t>
            </w:r>
          </w:p>
          <w:p w14:paraId="1E8A8566" w14:textId="77777777" w:rsidR="004B7971"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COPD symptoms for ≥ 2 years</w:t>
            </w:r>
          </w:p>
          <w:p w14:paraId="432C570C" w14:textId="644FA01C" w:rsidR="00E374F0" w:rsidRPr="00906719" w:rsidRDefault="004B7971" w:rsidP="00650D10">
            <w:pPr>
              <w:pStyle w:val="TableFigureFooter"/>
              <w:keepNext/>
              <w:numPr>
                <w:ilvl w:val="0"/>
                <w:numId w:val="13"/>
              </w:numPr>
              <w:ind w:left="262" w:hanging="249"/>
              <w:jc w:val="left"/>
              <w:rPr>
                <w:color w:val="000000" w:themeColor="text1"/>
                <w:szCs w:val="18"/>
              </w:rPr>
            </w:pPr>
            <w:r w:rsidRPr="00906719">
              <w:rPr>
                <w:color w:val="000000" w:themeColor="text1"/>
                <w:szCs w:val="18"/>
              </w:rPr>
              <w:t xml:space="preserve">≥ 1 exacerbation requiring medical intervention within 2-12 months prior to screening </w:t>
            </w:r>
          </w:p>
        </w:tc>
        <w:tc>
          <w:tcPr>
            <w:tcW w:w="1387" w:type="pct"/>
            <w:shd w:val="clear" w:color="auto" w:fill="auto"/>
            <w:vAlign w:val="center"/>
          </w:tcPr>
          <w:p w14:paraId="72DC268F" w14:textId="38BD1873" w:rsidR="008B58D3" w:rsidRPr="00906719" w:rsidRDefault="008B58D3" w:rsidP="008B58D3">
            <w:pPr>
              <w:pStyle w:val="TableFigureFooter"/>
              <w:keepNext/>
              <w:jc w:val="left"/>
              <w:rPr>
                <w:bCs/>
                <w:color w:val="000000" w:themeColor="text1"/>
                <w:szCs w:val="18"/>
              </w:rPr>
            </w:pPr>
            <w:r w:rsidRPr="00906719">
              <w:rPr>
                <w:bCs/>
                <w:color w:val="000000" w:themeColor="text1"/>
                <w:szCs w:val="18"/>
              </w:rPr>
              <w:t>Primary</w:t>
            </w:r>
          </w:p>
          <w:p w14:paraId="17143BA8" w14:textId="40FE324A"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Change in pre-dose FEV1 from baseline to 48 weeks</w:t>
            </w:r>
          </w:p>
          <w:p w14:paraId="261E7B6D" w14:textId="3215CF36" w:rsidR="008B58D3" w:rsidRPr="00906719" w:rsidRDefault="008B58D3" w:rsidP="00650D10">
            <w:pPr>
              <w:pStyle w:val="TableFigureFooter"/>
              <w:keepNext/>
              <w:numPr>
                <w:ilvl w:val="0"/>
                <w:numId w:val="13"/>
              </w:numPr>
              <w:ind w:left="289" w:hanging="180"/>
              <w:jc w:val="left"/>
              <w:rPr>
                <w:bCs/>
                <w:color w:val="000000" w:themeColor="text1"/>
                <w:szCs w:val="18"/>
              </w:rPr>
            </w:pPr>
            <w:r w:rsidRPr="0069428E">
              <w:rPr>
                <w:rFonts w:eastAsiaTheme="minorHAnsi"/>
                <w:bCs/>
                <w:color w:val="000000" w:themeColor="text1"/>
              </w:rPr>
              <w:t>No. of COPD exacerbations during the 48-week period</w:t>
            </w:r>
            <w:r w:rsidRPr="00906719" w:rsidDel="008B58D3">
              <w:rPr>
                <w:bCs/>
                <w:color w:val="000000" w:themeColor="text1"/>
                <w:szCs w:val="18"/>
              </w:rPr>
              <w:t xml:space="preserve"> </w:t>
            </w:r>
          </w:p>
          <w:p w14:paraId="7E415CC4" w14:textId="3DAA3F5E" w:rsidR="004B7971" w:rsidRPr="00906719" w:rsidRDefault="008B58D3" w:rsidP="008B58D3">
            <w:pPr>
              <w:pStyle w:val="TableFigureFooter"/>
              <w:keepNext/>
              <w:jc w:val="left"/>
              <w:rPr>
                <w:bCs/>
                <w:color w:val="000000" w:themeColor="text1"/>
                <w:szCs w:val="18"/>
              </w:rPr>
            </w:pPr>
            <w:r w:rsidRPr="00906719">
              <w:rPr>
                <w:bCs/>
                <w:color w:val="000000" w:themeColor="text1"/>
                <w:szCs w:val="18"/>
              </w:rPr>
              <w:t>Secondary</w:t>
            </w:r>
          </w:p>
          <w:p w14:paraId="2C90C902"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Pulmonary function tests at baseline to week 48</w:t>
            </w:r>
          </w:p>
          <w:p w14:paraId="497C2AAB"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Dyspnoea index score at baseline to week 48</w:t>
            </w:r>
          </w:p>
          <w:p w14:paraId="3B7DACE6"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SGRQ at baseline to week 48</w:t>
            </w:r>
          </w:p>
          <w:p w14:paraId="5F5ED808"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6MWT at baseline to week 48</w:t>
            </w:r>
          </w:p>
          <w:p w14:paraId="54929AFF"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BODE index score</w:t>
            </w:r>
          </w:p>
          <w:p w14:paraId="17511EA7" w14:textId="77777777" w:rsidR="004B7971" w:rsidRPr="00906719" w:rsidRDefault="004B7971"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COPD symptom score</w:t>
            </w:r>
          </w:p>
          <w:p w14:paraId="23CD6E28" w14:textId="00452CF2" w:rsidR="00B67728" w:rsidRPr="00906719" w:rsidRDefault="00B67728" w:rsidP="00650D10">
            <w:pPr>
              <w:pStyle w:val="TableFigureFooter"/>
              <w:keepNext/>
              <w:numPr>
                <w:ilvl w:val="0"/>
                <w:numId w:val="13"/>
              </w:numPr>
              <w:ind w:left="289" w:hanging="180"/>
              <w:jc w:val="left"/>
              <w:rPr>
                <w:bCs/>
                <w:color w:val="000000" w:themeColor="text1"/>
                <w:szCs w:val="18"/>
              </w:rPr>
            </w:pPr>
            <w:r w:rsidRPr="00906719">
              <w:rPr>
                <w:bCs/>
                <w:color w:val="000000" w:themeColor="text1"/>
                <w:szCs w:val="18"/>
              </w:rPr>
              <w:t>Use of rescue medication</w:t>
            </w:r>
          </w:p>
          <w:p w14:paraId="1E11A35E" w14:textId="12EA0231" w:rsidR="004B7971" w:rsidRPr="00906719" w:rsidRDefault="004B7971" w:rsidP="006C6D8B">
            <w:pPr>
              <w:pStyle w:val="TableFigureFooter"/>
              <w:keepNext/>
              <w:ind w:left="289" w:hanging="180"/>
              <w:jc w:val="left"/>
              <w:rPr>
                <w:bCs/>
                <w:color w:val="000000" w:themeColor="text1"/>
                <w:szCs w:val="18"/>
                <w:lang w:val="en-US"/>
              </w:rPr>
            </w:pPr>
          </w:p>
        </w:tc>
      </w:tr>
    </w:tbl>
    <w:p w14:paraId="6BDAB28E" w14:textId="77777777" w:rsidR="00E374F0" w:rsidRPr="00906719" w:rsidRDefault="00E374F0" w:rsidP="006C6D8B">
      <w:pPr>
        <w:pStyle w:val="TableFigureFooter"/>
        <w:keepNext/>
        <w:rPr>
          <w:color w:val="000000" w:themeColor="text1"/>
          <w:sz w:val="20"/>
        </w:rPr>
      </w:pPr>
      <w:r w:rsidRPr="00906719">
        <w:rPr>
          <w:color w:val="000000" w:themeColor="text1"/>
          <w:szCs w:val="18"/>
        </w:rPr>
        <w:t>Abbreviations: R= Randomised control trial; DB= Double blinded; BEC= Beclometasone dipropionate; BUD= Budesonide; FOR= Formoterol fumarate dehydrate; FP=</w:t>
      </w:r>
      <w:r w:rsidRPr="00906719">
        <w:rPr>
          <w:rFonts w:ascii="Garamond" w:eastAsiaTheme="minorHAnsi" w:hAnsi="Garamond"/>
          <w:color w:val="000000" w:themeColor="text1"/>
          <w:szCs w:val="18"/>
          <w:lang w:eastAsia="en-US"/>
        </w:rPr>
        <w:t xml:space="preserve"> </w:t>
      </w:r>
      <w:r w:rsidRPr="00906719">
        <w:rPr>
          <w:color w:val="000000" w:themeColor="text1"/>
          <w:szCs w:val="18"/>
        </w:rPr>
        <w:t xml:space="preserve">Fluticasone propionate; SAL= Salmeterol. ADR= Adverse Drug Reaction; COPD= Chronic Obstructive Pulmonary Disease; FEV1= Forced Expiratory Volume; </w:t>
      </w:r>
      <w:r w:rsidRPr="00906719">
        <w:rPr>
          <w:color w:val="000000" w:themeColor="text1"/>
        </w:rPr>
        <w:t xml:space="preserve">BDI= Baseline Dyspnoea Index; SGRQ=St. George’s respiratory questionnaire; 6MWT= 6-minute walking test; BODE= Body-mass index, airflow obstruction, </w:t>
      </w:r>
      <w:proofErr w:type="gramStart"/>
      <w:r w:rsidRPr="00906719">
        <w:rPr>
          <w:color w:val="000000" w:themeColor="text1"/>
        </w:rPr>
        <w:t>dyspnoea</w:t>
      </w:r>
      <w:proofErr w:type="gramEnd"/>
      <w:r w:rsidRPr="00906719">
        <w:rPr>
          <w:color w:val="000000" w:themeColor="text1"/>
        </w:rPr>
        <w:t xml:space="preserve"> and exercise; SD= Standard deviation. </w:t>
      </w:r>
    </w:p>
    <w:p w14:paraId="7CE17FCD" w14:textId="1569DCBF" w:rsidR="00E374F0" w:rsidRPr="00C54E70" w:rsidRDefault="00E374F0" w:rsidP="00C54E70">
      <w:pPr>
        <w:pStyle w:val="TableFigureFooter"/>
        <w:keepNext/>
        <w:ind w:left="720" w:hanging="720"/>
        <w:rPr>
          <w:color w:val="000000" w:themeColor="text1"/>
        </w:rPr>
      </w:pPr>
      <w:r w:rsidRPr="00906719">
        <w:rPr>
          <w:color w:val="000000" w:themeColor="text1"/>
        </w:rPr>
        <w:t>Source: Table 2</w:t>
      </w:r>
      <w:r w:rsidR="00101011">
        <w:rPr>
          <w:color w:val="000000" w:themeColor="text1"/>
        </w:rPr>
        <w:t>4 and Table p 35 of submission</w:t>
      </w:r>
      <w:r w:rsidRPr="00906719">
        <w:rPr>
          <w:color w:val="000000" w:themeColor="text1"/>
        </w:rPr>
        <w:t>.</w:t>
      </w:r>
    </w:p>
    <w:p w14:paraId="28AA9156" w14:textId="2BDB7BD5" w:rsidR="00443D47" w:rsidRPr="0069428E" w:rsidRDefault="00443D47" w:rsidP="008B58D3">
      <w:pPr>
        <w:pStyle w:val="3-BodyText"/>
        <w:rPr>
          <w:rFonts w:eastAsia="Calibri"/>
          <w:color w:val="000000" w:themeColor="text1"/>
        </w:rPr>
      </w:pPr>
      <w:bookmarkStart w:id="29" w:name="_Ref95381439"/>
      <w:r w:rsidRPr="0069428E">
        <w:rPr>
          <w:rFonts w:eastAsia="Calibri"/>
          <w:color w:val="000000" w:themeColor="text1"/>
        </w:rPr>
        <w:t>The primary objective of the FUTURE trial was to demonstrate the superiority of BEC/FOR versus FP/SAL in terms of lung function AUC</w:t>
      </w:r>
      <w:r w:rsidRPr="0069428E">
        <w:rPr>
          <w:rFonts w:eastAsia="Calibri"/>
          <w:color w:val="000000" w:themeColor="text1"/>
          <w:vertAlign w:val="subscript"/>
        </w:rPr>
        <w:t>(0-30min)</w:t>
      </w:r>
      <w:r w:rsidRPr="0069428E">
        <w:rPr>
          <w:rFonts w:eastAsia="Calibri"/>
          <w:color w:val="000000" w:themeColor="text1"/>
        </w:rPr>
        <w:t xml:space="preserve"> standardised by time of change from pre-dose in FEV1 after drug inhalation in the morning of day 1 (baseline), and the equivalence between BEC/FOR and FP/SAL in terms of the Transition Dyspnoea Index (TDI) score at day 84 in patients with COPD.</w:t>
      </w:r>
      <w:r w:rsidR="008B58D3" w:rsidRPr="0069428E">
        <w:rPr>
          <w:rFonts w:eastAsia="Calibri"/>
          <w:color w:val="000000" w:themeColor="text1"/>
        </w:rPr>
        <w:t xml:space="preserve"> </w:t>
      </w:r>
      <w:r w:rsidR="008B58D3" w:rsidRPr="0069428E">
        <w:rPr>
          <w:snapToGrid/>
          <w:color w:val="000000" w:themeColor="text1"/>
        </w:rPr>
        <w:t xml:space="preserve">The change from pre-dose in FEV1 after drug inhalation outcome </w:t>
      </w:r>
      <w:r w:rsidR="00C5191A" w:rsidRPr="00906719">
        <w:rPr>
          <w:snapToGrid/>
          <w:color w:val="000000" w:themeColor="text1"/>
        </w:rPr>
        <w:t>was intended to</w:t>
      </w:r>
      <w:r w:rsidR="00C5191A" w:rsidRPr="00906719">
        <w:rPr>
          <w:i/>
          <w:iCs/>
          <w:snapToGrid/>
          <w:color w:val="000000" w:themeColor="text1"/>
        </w:rPr>
        <w:t xml:space="preserve"> </w:t>
      </w:r>
      <w:r w:rsidR="00C5191A" w:rsidRPr="0069428E">
        <w:rPr>
          <w:color w:val="000000" w:themeColor="text1"/>
        </w:rPr>
        <w:t xml:space="preserve">show the faster onset of action of BEC/FOR over FP/SAL. As this outcome is not a measure of long-term patient improvement there is no MCID for this measure. To assess long-term patient outcomes, the submission stated the FUTURE trial used other primary and secondary endpoints, for example, the TDI score (primary outcome) and change in pre-dose morning FEV1 from baseline to week 12 (secondary endpoint), for which there are established </w:t>
      </w:r>
      <w:r w:rsidR="00C5191A" w:rsidRPr="00CC51B3">
        <w:rPr>
          <w:color w:val="000000" w:themeColor="text1"/>
        </w:rPr>
        <w:t>MCIDs (see paragraph</w:t>
      </w:r>
      <w:r w:rsidR="00CC5B79" w:rsidRPr="00CC51B3">
        <w:rPr>
          <w:color w:val="000000" w:themeColor="text1"/>
        </w:rPr>
        <w:t xml:space="preserve"> </w:t>
      </w:r>
      <w:r w:rsidR="00CC5B79" w:rsidRPr="00CC51B3">
        <w:rPr>
          <w:color w:val="000000" w:themeColor="text1"/>
        </w:rPr>
        <w:fldChar w:fldCharType="begin"/>
      </w:r>
      <w:r w:rsidR="00CC5B79" w:rsidRPr="00CC51B3">
        <w:rPr>
          <w:color w:val="000000" w:themeColor="text1"/>
        </w:rPr>
        <w:instrText xml:space="preserve"> REF _Ref95381369 \r \h </w:instrText>
      </w:r>
      <w:r w:rsidR="00CC51B3" w:rsidRPr="00CC51B3">
        <w:rPr>
          <w:color w:val="000000" w:themeColor="text1"/>
        </w:rPr>
        <w:instrText xml:space="preserve"> \* MERGEFORMAT </w:instrText>
      </w:r>
      <w:r w:rsidR="00CC5B79" w:rsidRPr="00CC51B3">
        <w:rPr>
          <w:color w:val="000000" w:themeColor="text1"/>
        </w:rPr>
      </w:r>
      <w:r w:rsidR="00CC5B79" w:rsidRPr="00CC51B3">
        <w:rPr>
          <w:color w:val="000000" w:themeColor="text1"/>
        </w:rPr>
        <w:fldChar w:fldCharType="separate"/>
      </w:r>
      <w:r w:rsidR="00FB39A0">
        <w:rPr>
          <w:color w:val="000000" w:themeColor="text1"/>
        </w:rPr>
        <w:t>6.13</w:t>
      </w:r>
      <w:r w:rsidR="00CC5B79" w:rsidRPr="00CC51B3">
        <w:rPr>
          <w:color w:val="000000" w:themeColor="text1"/>
        </w:rPr>
        <w:fldChar w:fldCharType="end"/>
      </w:r>
      <w:r w:rsidR="00C5191A" w:rsidRPr="00CC51B3">
        <w:rPr>
          <w:color w:val="000000" w:themeColor="text1"/>
        </w:rPr>
        <w:t>).</w:t>
      </w:r>
      <w:bookmarkEnd w:id="29"/>
    </w:p>
    <w:p w14:paraId="329659E6" w14:textId="2480364B" w:rsidR="00443D47" w:rsidRPr="0069428E" w:rsidRDefault="00443D47" w:rsidP="008B58D3">
      <w:pPr>
        <w:pStyle w:val="3-BodyText"/>
        <w:rPr>
          <w:rFonts w:eastAsia="Calibri"/>
          <w:color w:val="000000" w:themeColor="text1"/>
        </w:rPr>
      </w:pPr>
      <w:r w:rsidRPr="0069428E">
        <w:rPr>
          <w:rFonts w:eastAsia="Calibri"/>
          <w:color w:val="000000" w:themeColor="text1"/>
        </w:rPr>
        <w:lastRenderedPageBreak/>
        <w:t>The primary objective of the Calverley et al. (2010) trial was to demonstrate that BEC/FOR was non-inferior to BUD/FOR in terms of lung function (change in pre-dose morning FEV1 at baseline to 48 weeks) and superior to FOR alone in terms of exacerbation rates in patients with severe COPD.</w:t>
      </w:r>
    </w:p>
    <w:p w14:paraId="073CDE62" w14:textId="3E432867" w:rsidR="00443D47" w:rsidRPr="00650D10" w:rsidRDefault="00E374F0" w:rsidP="00B651FB">
      <w:pPr>
        <w:pStyle w:val="3-BodyText"/>
        <w:rPr>
          <w:color w:val="000000" w:themeColor="text1"/>
        </w:rPr>
      </w:pPr>
      <w:r w:rsidRPr="006A50B1">
        <w:rPr>
          <w:rFonts w:eastAsia="Calibri"/>
          <w:color w:val="000000" w:themeColor="text1"/>
        </w:rPr>
        <w:t xml:space="preserve">Whilst the evidence for BEC/FOR versus FP/SAL </w:t>
      </w:r>
      <w:r w:rsidR="004E5507" w:rsidRPr="006A50B1">
        <w:rPr>
          <w:rFonts w:eastAsia="Calibri"/>
          <w:color w:val="000000" w:themeColor="text1"/>
        </w:rPr>
        <w:t>wa</w:t>
      </w:r>
      <w:r w:rsidRPr="006A50B1">
        <w:rPr>
          <w:rFonts w:eastAsia="Calibri"/>
          <w:color w:val="000000" w:themeColor="text1"/>
        </w:rPr>
        <w:t xml:space="preserve">s provided by a double-blind </w:t>
      </w:r>
      <w:r w:rsidR="009B598B" w:rsidRPr="006A50B1">
        <w:rPr>
          <w:rFonts w:eastAsia="Calibri"/>
          <w:color w:val="000000" w:themeColor="text1"/>
        </w:rPr>
        <w:t>RCT (</w:t>
      </w:r>
      <w:r w:rsidRPr="006A50B1">
        <w:rPr>
          <w:rFonts w:eastAsia="Calibri"/>
          <w:color w:val="000000" w:themeColor="text1"/>
        </w:rPr>
        <w:t>FUTURE</w:t>
      </w:r>
      <w:r w:rsidR="009B598B" w:rsidRPr="006A50B1">
        <w:rPr>
          <w:rFonts w:eastAsia="Calibri"/>
          <w:color w:val="000000" w:themeColor="text1"/>
        </w:rPr>
        <w:t>)</w:t>
      </w:r>
      <w:r w:rsidRPr="006A50B1">
        <w:rPr>
          <w:rFonts w:eastAsia="Calibri"/>
          <w:color w:val="000000" w:themeColor="text1"/>
        </w:rPr>
        <w:t xml:space="preserve">, the </w:t>
      </w:r>
      <w:proofErr w:type="gramStart"/>
      <w:r w:rsidR="009B598B" w:rsidRPr="006A50B1">
        <w:rPr>
          <w:rFonts w:eastAsia="Calibri"/>
          <w:color w:val="000000" w:themeColor="text1"/>
        </w:rPr>
        <w:t>12</w:t>
      </w:r>
      <w:r w:rsidR="009A3986">
        <w:rPr>
          <w:rFonts w:eastAsia="Calibri"/>
          <w:color w:val="000000" w:themeColor="text1"/>
        </w:rPr>
        <w:t xml:space="preserve"> </w:t>
      </w:r>
      <w:r w:rsidR="009B598B" w:rsidRPr="006A50B1">
        <w:rPr>
          <w:rFonts w:eastAsia="Calibri"/>
          <w:color w:val="000000" w:themeColor="text1"/>
        </w:rPr>
        <w:t>week</w:t>
      </w:r>
      <w:proofErr w:type="gramEnd"/>
      <w:r w:rsidR="009B598B" w:rsidRPr="006A50B1">
        <w:rPr>
          <w:rFonts w:eastAsia="Calibri"/>
          <w:color w:val="000000" w:themeColor="text1"/>
        </w:rPr>
        <w:t xml:space="preserve"> </w:t>
      </w:r>
      <w:r w:rsidRPr="006A50B1">
        <w:rPr>
          <w:rFonts w:eastAsia="Calibri"/>
          <w:color w:val="000000" w:themeColor="text1"/>
        </w:rPr>
        <w:t>follow-up time of the trial</w:t>
      </w:r>
      <w:r w:rsidR="009B598B" w:rsidRPr="006A50B1">
        <w:rPr>
          <w:rFonts w:eastAsia="Calibri"/>
          <w:color w:val="000000" w:themeColor="text1"/>
        </w:rPr>
        <w:t xml:space="preserve"> </w:t>
      </w:r>
      <w:r w:rsidRPr="006A50B1">
        <w:rPr>
          <w:rFonts w:eastAsia="Calibri"/>
          <w:color w:val="000000" w:themeColor="text1"/>
        </w:rPr>
        <w:t>was shorter than the trial of Calverley et al. (2010)</w:t>
      </w:r>
      <w:r w:rsidR="006263EA" w:rsidRPr="006A50B1">
        <w:rPr>
          <w:rFonts w:eastAsia="Calibri"/>
          <w:color w:val="000000" w:themeColor="text1"/>
        </w:rPr>
        <w:t xml:space="preserve">. </w:t>
      </w:r>
      <w:r w:rsidRPr="006A50B1">
        <w:rPr>
          <w:rFonts w:eastAsia="Calibri"/>
          <w:color w:val="000000" w:themeColor="text1"/>
        </w:rPr>
        <w:t>The duration of the FUTURE trial may be too short to provide an accurate estimate of the effect of treatment on the key clinic</w:t>
      </w:r>
      <w:r w:rsidR="00EF0710" w:rsidRPr="006A50B1">
        <w:rPr>
          <w:rFonts w:eastAsia="Calibri"/>
          <w:color w:val="000000" w:themeColor="text1"/>
        </w:rPr>
        <w:t>al outcomes.</w:t>
      </w:r>
      <w:r w:rsidRPr="006A50B1">
        <w:rPr>
          <w:rFonts w:eastAsia="Calibri"/>
          <w:color w:val="000000" w:themeColor="text1"/>
        </w:rPr>
        <w:t xml:space="preserve"> For example, the treatment effects for change in FEV1 from baseline in the Calverley </w:t>
      </w:r>
      <w:r w:rsidR="00E21B5B" w:rsidRPr="006A50B1">
        <w:rPr>
          <w:rFonts w:eastAsia="Calibri"/>
          <w:color w:val="000000" w:themeColor="text1"/>
        </w:rPr>
        <w:t xml:space="preserve">et al. </w:t>
      </w:r>
      <w:r w:rsidRPr="006A50B1">
        <w:rPr>
          <w:rFonts w:eastAsia="Calibri"/>
          <w:color w:val="000000" w:themeColor="text1"/>
        </w:rPr>
        <w:t>(2010) trial varied according to follow up, from 12 to 48 weeks.</w:t>
      </w:r>
      <w:r w:rsidR="00004805">
        <w:rPr>
          <w:rFonts w:eastAsia="Calibri"/>
          <w:color w:val="000000" w:themeColor="text1"/>
        </w:rPr>
        <w:t xml:space="preserve"> </w:t>
      </w:r>
      <w:r w:rsidR="00004805" w:rsidRPr="00650D10">
        <w:rPr>
          <w:rFonts w:eastAsia="Calibri"/>
          <w:color w:val="000000" w:themeColor="text1"/>
        </w:rPr>
        <w:t xml:space="preserve">The </w:t>
      </w:r>
      <w:r w:rsidR="003A5217" w:rsidRPr="00650D10">
        <w:t>Pre-Sub-Committee Response (</w:t>
      </w:r>
      <w:r w:rsidR="00004805" w:rsidRPr="00650D10">
        <w:rPr>
          <w:rFonts w:eastAsia="Calibri"/>
          <w:color w:val="000000" w:themeColor="text1"/>
        </w:rPr>
        <w:t>PSCR</w:t>
      </w:r>
      <w:r w:rsidR="003A5217" w:rsidRPr="00650D10">
        <w:rPr>
          <w:rFonts w:eastAsia="Calibri"/>
          <w:color w:val="000000" w:themeColor="text1"/>
        </w:rPr>
        <w:t>)</w:t>
      </w:r>
      <w:r w:rsidR="00004805" w:rsidRPr="00650D10">
        <w:rPr>
          <w:rFonts w:eastAsia="Calibri"/>
          <w:color w:val="000000" w:themeColor="text1"/>
        </w:rPr>
        <w:t xml:space="preserve"> noted that PBAC had previously accepted non inferiority for fluticasone furoate plus vilanterol based on a 12-week study</w:t>
      </w:r>
      <w:r w:rsidR="003A5217" w:rsidRPr="00650D10">
        <w:rPr>
          <w:rFonts w:eastAsia="Calibri"/>
          <w:color w:val="000000" w:themeColor="text1"/>
        </w:rPr>
        <w:t xml:space="preserve"> </w:t>
      </w:r>
      <w:r w:rsidR="003A5217" w:rsidRPr="00650D10">
        <w:t>(paragraph 6.9, fluticasone furoate plus vilanterol Public Summary Document</w:t>
      </w:r>
      <w:r w:rsidR="003652B7">
        <w:t xml:space="preserve"> </w:t>
      </w:r>
      <w:r w:rsidR="009A3986">
        <w:t>(</w:t>
      </w:r>
      <w:r w:rsidR="003652B7">
        <w:t>PSD</w:t>
      </w:r>
      <w:r w:rsidR="009A3986">
        <w:t>)</w:t>
      </w:r>
      <w:r w:rsidR="003A5217" w:rsidRPr="00650D10">
        <w:t>, July 2014 PBAC Meeting)</w:t>
      </w:r>
      <w:r w:rsidR="00004805" w:rsidRPr="00650D10">
        <w:rPr>
          <w:rFonts w:eastAsia="Calibri"/>
          <w:color w:val="000000" w:themeColor="text1"/>
        </w:rPr>
        <w:t>.</w:t>
      </w:r>
    </w:p>
    <w:p w14:paraId="30AD8385" w14:textId="67119147" w:rsidR="00C5191A" w:rsidRPr="006A50B1" w:rsidRDefault="00E374F0" w:rsidP="00DC46A4">
      <w:pPr>
        <w:pStyle w:val="3-BodyText"/>
        <w:rPr>
          <w:color w:val="000000" w:themeColor="text1"/>
        </w:rPr>
      </w:pPr>
      <w:bookmarkStart w:id="30" w:name="_Ref95380679"/>
      <w:r w:rsidRPr="006A50B1">
        <w:rPr>
          <w:rFonts w:eastAsia="Calibri"/>
          <w:color w:val="000000" w:themeColor="text1"/>
        </w:rPr>
        <w:t xml:space="preserve">The FUTURE trial characteristics were generally consistent with the requested restriction and the Australian population, </w:t>
      </w:r>
      <w:proofErr w:type="gramStart"/>
      <w:r w:rsidRPr="006A50B1">
        <w:rPr>
          <w:rFonts w:eastAsia="Calibri"/>
          <w:color w:val="000000" w:themeColor="text1"/>
        </w:rPr>
        <w:t>with the exception of</w:t>
      </w:r>
      <w:proofErr w:type="gramEnd"/>
      <w:r w:rsidRPr="006A50B1">
        <w:rPr>
          <w:rFonts w:eastAsia="Calibri"/>
          <w:color w:val="000000" w:themeColor="text1"/>
        </w:rPr>
        <w:t xml:space="preserve"> the history of previous exacerbations. The proposed restriction states that patients must have had at least one severe COPD exacerbation, which required hospitalisation, or two or more moderate exacerbations in the previous 12 months. However, </w:t>
      </w:r>
      <w:r w:rsidR="004E5507" w:rsidRPr="006A50B1">
        <w:rPr>
          <w:rFonts w:eastAsia="Calibri"/>
          <w:color w:val="000000" w:themeColor="text1"/>
        </w:rPr>
        <w:t xml:space="preserve">FUTURE trial inclusion criteria required </w:t>
      </w:r>
      <w:r w:rsidRPr="006A50B1">
        <w:rPr>
          <w:rFonts w:eastAsia="Calibri"/>
          <w:color w:val="000000" w:themeColor="text1"/>
        </w:rPr>
        <w:t xml:space="preserve">patients </w:t>
      </w:r>
      <w:r w:rsidR="004E5507" w:rsidRPr="006A50B1">
        <w:rPr>
          <w:rFonts w:eastAsia="Calibri"/>
          <w:color w:val="000000" w:themeColor="text1"/>
        </w:rPr>
        <w:t xml:space="preserve">to have a history of less than or equal to one COPD exacerbation treated with antibiotics or systemic corticosteroids in the previous 12 months. At baseline, patients </w:t>
      </w:r>
      <w:r w:rsidRPr="006A50B1">
        <w:rPr>
          <w:rFonts w:eastAsia="Calibri"/>
          <w:color w:val="000000" w:themeColor="text1"/>
        </w:rPr>
        <w:t xml:space="preserve">in the FUTURE trial had a mean of only 0.4 exacerbations in the previous 12 months. </w:t>
      </w:r>
      <w:r w:rsidR="006C6D8B" w:rsidRPr="006A50B1">
        <w:rPr>
          <w:rFonts w:eastAsia="Calibri"/>
          <w:color w:val="000000" w:themeColor="text1"/>
        </w:rPr>
        <w:t>It is unclear how many of these exacerbations led to hospitalisations</w:t>
      </w:r>
      <w:r w:rsidR="004E5507" w:rsidRPr="006A50B1">
        <w:rPr>
          <w:rFonts w:eastAsia="Calibri"/>
          <w:color w:val="000000" w:themeColor="text1"/>
        </w:rPr>
        <w:t>.</w:t>
      </w:r>
      <w:r w:rsidR="00B5252B" w:rsidRPr="006A50B1">
        <w:rPr>
          <w:rFonts w:eastAsia="Calibri"/>
          <w:color w:val="000000" w:themeColor="text1"/>
        </w:rPr>
        <w:t xml:space="preserve"> </w:t>
      </w:r>
      <w:r w:rsidR="00E36B82" w:rsidRPr="006A50B1">
        <w:rPr>
          <w:rFonts w:eastAsia="Calibri"/>
          <w:color w:val="000000" w:themeColor="text1"/>
        </w:rPr>
        <w:t>The inclusion criteri</w:t>
      </w:r>
      <w:r w:rsidR="002A7F76" w:rsidRPr="006A50B1">
        <w:rPr>
          <w:rFonts w:eastAsia="Calibri"/>
          <w:color w:val="000000" w:themeColor="text1"/>
        </w:rPr>
        <w:t>on</w:t>
      </w:r>
      <w:r w:rsidR="00E36B82" w:rsidRPr="006A50B1">
        <w:rPr>
          <w:rFonts w:eastAsia="Calibri"/>
          <w:color w:val="000000" w:themeColor="text1"/>
        </w:rPr>
        <w:t xml:space="preserve"> for COPD exacerbations </w:t>
      </w:r>
      <w:r w:rsidR="00CB0A37" w:rsidRPr="006A50B1">
        <w:rPr>
          <w:rFonts w:eastAsia="Calibri"/>
          <w:color w:val="000000" w:themeColor="text1"/>
        </w:rPr>
        <w:t>in</w:t>
      </w:r>
      <w:r w:rsidR="00E36B82" w:rsidRPr="006A50B1">
        <w:rPr>
          <w:rFonts w:eastAsia="Calibri"/>
          <w:color w:val="000000" w:themeColor="text1"/>
        </w:rPr>
        <w:t xml:space="preserve"> the Calverley et al. (2010) trial was different th</w:t>
      </w:r>
      <w:r w:rsidR="00CB0A37" w:rsidRPr="006A50B1">
        <w:rPr>
          <w:rFonts w:eastAsia="Calibri"/>
          <w:color w:val="000000" w:themeColor="text1"/>
        </w:rPr>
        <w:t>a</w:t>
      </w:r>
      <w:r w:rsidR="00E36B82" w:rsidRPr="006A50B1">
        <w:rPr>
          <w:rFonts w:eastAsia="Calibri"/>
          <w:color w:val="000000" w:themeColor="text1"/>
        </w:rPr>
        <w:t xml:space="preserve">n </w:t>
      </w:r>
      <w:r w:rsidR="00CB0A37" w:rsidRPr="006A50B1">
        <w:rPr>
          <w:rFonts w:eastAsia="Calibri"/>
          <w:color w:val="000000" w:themeColor="text1"/>
        </w:rPr>
        <w:t xml:space="preserve">in </w:t>
      </w:r>
      <w:r w:rsidR="00E36B82" w:rsidRPr="006A50B1">
        <w:rPr>
          <w:rFonts w:eastAsia="Calibri"/>
          <w:color w:val="000000" w:themeColor="text1"/>
        </w:rPr>
        <w:t>the F</w:t>
      </w:r>
      <w:r w:rsidR="00CB0A37" w:rsidRPr="006A50B1">
        <w:rPr>
          <w:rFonts w:eastAsia="Calibri"/>
          <w:color w:val="000000" w:themeColor="text1"/>
        </w:rPr>
        <w:t>UTURE</w:t>
      </w:r>
      <w:r w:rsidR="00E36B82" w:rsidRPr="006A50B1">
        <w:rPr>
          <w:rFonts w:eastAsia="Calibri"/>
          <w:color w:val="000000" w:themeColor="text1"/>
        </w:rPr>
        <w:t xml:space="preserve"> trial. </w:t>
      </w:r>
      <w:r w:rsidR="00DC46A4" w:rsidRPr="006A50B1">
        <w:rPr>
          <w:rFonts w:eastAsia="Calibri"/>
          <w:color w:val="000000" w:themeColor="text1"/>
        </w:rPr>
        <w:t>The inclusion criteri</w:t>
      </w:r>
      <w:r w:rsidR="002A7F76" w:rsidRPr="006A50B1">
        <w:rPr>
          <w:rFonts w:eastAsia="Calibri"/>
          <w:color w:val="000000" w:themeColor="text1"/>
        </w:rPr>
        <w:t>on</w:t>
      </w:r>
      <w:r w:rsidR="00DC46A4" w:rsidRPr="006A50B1">
        <w:rPr>
          <w:rFonts w:eastAsia="Calibri"/>
          <w:color w:val="000000" w:themeColor="text1"/>
        </w:rPr>
        <w:t xml:space="preserve"> (at least 1 exacerbation requiring medical intervention) of the Calverley et al. (2010) is more consistent with </w:t>
      </w:r>
      <w:r w:rsidR="002A7F76" w:rsidRPr="006A50B1">
        <w:rPr>
          <w:rFonts w:eastAsia="Calibri"/>
          <w:color w:val="000000" w:themeColor="text1"/>
        </w:rPr>
        <w:t xml:space="preserve">the proposed </w:t>
      </w:r>
      <w:r w:rsidR="00DC46A4" w:rsidRPr="006A50B1">
        <w:rPr>
          <w:rFonts w:eastAsia="Calibri"/>
          <w:color w:val="000000" w:themeColor="text1"/>
        </w:rPr>
        <w:t>PBS restriction.</w:t>
      </w:r>
      <w:bookmarkEnd w:id="30"/>
      <w:r w:rsidR="00DC46A4" w:rsidRPr="006A50B1">
        <w:rPr>
          <w:rFonts w:eastAsia="Calibri"/>
          <w:color w:val="000000" w:themeColor="text1"/>
        </w:rPr>
        <w:t xml:space="preserve"> </w:t>
      </w:r>
    </w:p>
    <w:p w14:paraId="699B8F1C" w14:textId="1D7445FC" w:rsidR="006B7F35" w:rsidRPr="006A50B1" w:rsidRDefault="006B7F35" w:rsidP="006B7F35">
      <w:pPr>
        <w:pStyle w:val="3-BodyText"/>
        <w:rPr>
          <w:rFonts w:eastAsia="Calibri"/>
          <w:color w:val="000000" w:themeColor="text1"/>
        </w:rPr>
      </w:pPr>
      <w:r w:rsidRPr="006A50B1">
        <w:rPr>
          <w:rFonts w:eastAsia="Calibri"/>
          <w:color w:val="000000" w:themeColor="text1"/>
        </w:rPr>
        <w:t>The submission appropriately presented the results of many clinical outcomes. The rate of exacerbation and the change in FEV1 were key outcomes, as established in previous PBAC assessments in COPD. In 2014, the PBAC considered lung function (</w:t>
      </w:r>
      <w:proofErr w:type="gramStart"/>
      <w:r w:rsidRPr="006A50B1">
        <w:rPr>
          <w:rFonts w:eastAsia="Calibri"/>
          <w:color w:val="000000" w:themeColor="text1"/>
        </w:rPr>
        <w:t>i.e.</w:t>
      </w:r>
      <w:proofErr w:type="gramEnd"/>
      <w:r w:rsidRPr="006A50B1">
        <w:rPr>
          <w:rFonts w:eastAsia="Calibri"/>
          <w:color w:val="000000" w:themeColor="text1"/>
        </w:rPr>
        <w:t xml:space="preserve"> FEV1), frequency of exacerbations and hospitalisations as being patient relevant outcomes in COPD (paragraph 6.8, FF/VI </w:t>
      </w:r>
      <w:proofErr w:type="spellStart"/>
      <w:r w:rsidRPr="006A50B1">
        <w:rPr>
          <w:rFonts w:eastAsia="Calibri"/>
          <w:color w:val="000000" w:themeColor="text1"/>
        </w:rPr>
        <w:t>Breo</w:t>
      </w:r>
      <w:proofErr w:type="spellEnd"/>
      <w:r w:rsidRPr="006A50B1">
        <w:rPr>
          <w:rFonts w:eastAsia="Calibri"/>
          <w:color w:val="000000" w:themeColor="text1"/>
        </w:rPr>
        <w:t xml:space="preserve"> Ellipta, PSD March 2014 PBAC meeting). In the recent assessment of BEC/FOR/GLY, the claim of non-inferiority was based solely on rates of exacerbation (BEC/FOR/GLY </w:t>
      </w:r>
      <w:proofErr w:type="spellStart"/>
      <w:r w:rsidRPr="006A50B1">
        <w:rPr>
          <w:rFonts w:eastAsia="Calibri"/>
          <w:color w:val="000000" w:themeColor="text1"/>
        </w:rPr>
        <w:t>Trimbow</w:t>
      </w:r>
      <w:proofErr w:type="spellEnd"/>
      <w:r w:rsidRPr="006A50B1">
        <w:rPr>
          <w:rFonts w:eastAsia="Calibri"/>
          <w:color w:val="000000" w:themeColor="text1"/>
        </w:rPr>
        <w:t xml:space="preserve">, PSD November 2020 PBAC meeting). In the recent assessment of BUD/GLY/FOR, for COPD, the ESC considered the clinical claim based on the rates of moderate or severe exacerbations and change in FEV1, SGRQ score and rescue medication (paragraph 6.22, BUD/GLY/FOR </w:t>
      </w:r>
      <w:proofErr w:type="spellStart"/>
      <w:r w:rsidRPr="006A50B1">
        <w:rPr>
          <w:rFonts w:eastAsia="Calibri"/>
          <w:color w:val="000000" w:themeColor="text1"/>
        </w:rPr>
        <w:t>B</w:t>
      </w:r>
      <w:r w:rsidR="0044424F" w:rsidRPr="006A50B1">
        <w:rPr>
          <w:rFonts w:eastAsia="Calibri"/>
          <w:color w:val="000000" w:themeColor="text1"/>
        </w:rPr>
        <w:t>r</w:t>
      </w:r>
      <w:r w:rsidRPr="006A50B1">
        <w:rPr>
          <w:rFonts w:eastAsia="Calibri"/>
          <w:color w:val="000000" w:themeColor="text1"/>
        </w:rPr>
        <w:t>eztri</w:t>
      </w:r>
      <w:proofErr w:type="spellEnd"/>
      <w:r w:rsidRPr="006A50B1">
        <w:rPr>
          <w:rFonts w:eastAsia="Calibri"/>
          <w:color w:val="000000" w:themeColor="text1"/>
        </w:rPr>
        <w:t>, PSD July 2021 PBAC meeting).</w:t>
      </w:r>
    </w:p>
    <w:p w14:paraId="10ABD0E9" w14:textId="4414B8AA" w:rsidR="00D6111F" w:rsidRPr="006A50B1" w:rsidRDefault="00D6111F" w:rsidP="000F38CF">
      <w:pPr>
        <w:pStyle w:val="3-BodyText"/>
        <w:rPr>
          <w:rFonts w:eastAsia="Calibri"/>
          <w:color w:val="000000" w:themeColor="text1"/>
        </w:rPr>
      </w:pPr>
      <w:bookmarkStart w:id="31" w:name="_Ref95381369"/>
      <w:r w:rsidRPr="006A50B1">
        <w:rPr>
          <w:rFonts w:eastAsia="Calibri"/>
          <w:color w:val="000000" w:themeColor="text1"/>
        </w:rPr>
        <w:t xml:space="preserve">While no </w:t>
      </w:r>
      <w:r w:rsidR="006E04FD" w:rsidRPr="006A50B1">
        <w:rPr>
          <w:rFonts w:eastAsia="Calibri"/>
          <w:color w:val="000000" w:themeColor="text1"/>
        </w:rPr>
        <w:t xml:space="preserve">MCID </w:t>
      </w:r>
      <w:r w:rsidRPr="006A50B1">
        <w:rPr>
          <w:rFonts w:eastAsia="Calibri"/>
          <w:color w:val="000000" w:themeColor="text1"/>
        </w:rPr>
        <w:t xml:space="preserve">was proposed for change from pre-dose in FEV1 after drug inhalation </w:t>
      </w:r>
      <w:r w:rsidR="006E04FD" w:rsidRPr="00CC51B3">
        <w:rPr>
          <w:rFonts w:eastAsia="Calibri"/>
          <w:color w:val="000000" w:themeColor="text1"/>
        </w:rPr>
        <w:t>(</w:t>
      </w:r>
      <w:r w:rsidRPr="00CC51B3">
        <w:rPr>
          <w:rFonts w:eastAsia="Calibri"/>
          <w:color w:val="000000" w:themeColor="text1"/>
        </w:rPr>
        <w:t>see paragraph</w:t>
      </w:r>
      <w:r w:rsidR="005B2AE9" w:rsidRPr="00CC51B3">
        <w:rPr>
          <w:rFonts w:eastAsia="Calibri"/>
          <w:color w:val="000000" w:themeColor="text1"/>
        </w:rPr>
        <w:t xml:space="preserve"> </w:t>
      </w:r>
      <w:r w:rsidR="005B2AE9" w:rsidRPr="00CC51B3">
        <w:rPr>
          <w:rFonts w:eastAsia="Calibri"/>
          <w:color w:val="000000" w:themeColor="text1"/>
        </w:rPr>
        <w:fldChar w:fldCharType="begin"/>
      </w:r>
      <w:r w:rsidR="005B2AE9" w:rsidRPr="00CC51B3">
        <w:rPr>
          <w:rFonts w:eastAsia="Calibri"/>
          <w:color w:val="000000" w:themeColor="text1"/>
        </w:rPr>
        <w:instrText xml:space="preserve"> REF _Ref95381439 \r \h </w:instrText>
      </w:r>
      <w:r w:rsidR="00CC51B3">
        <w:rPr>
          <w:rFonts w:eastAsia="Calibri"/>
          <w:color w:val="000000" w:themeColor="text1"/>
        </w:rPr>
        <w:instrText xml:space="preserve"> \* MERGEFORMAT </w:instrText>
      </w:r>
      <w:r w:rsidR="005B2AE9" w:rsidRPr="00CC51B3">
        <w:rPr>
          <w:rFonts w:eastAsia="Calibri"/>
          <w:color w:val="000000" w:themeColor="text1"/>
        </w:rPr>
      </w:r>
      <w:r w:rsidR="005B2AE9" w:rsidRPr="00CC51B3">
        <w:rPr>
          <w:rFonts w:eastAsia="Calibri"/>
          <w:color w:val="000000" w:themeColor="text1"/>
        </w:rPr>
        <w:fldChar w:fldCharType="separate"/>
      </w:r>
      <w:r w:rsidR="00FB39A0">
        <w:rPr>
          <w:rFonts w:eastAsia="Calibri"/>
          <w:color w:val="000000" w:themeColor="text1"/>
        </w:rPr>
        <w:t>6.8</w:t>
      </w:r>
      <w:r w:rsidR="005B2AE9" w:rsidRPr="00CC51B3">
        <w:rPr>
          <w:rFonts w:eastAsia="Calibri"/>
          <w:color w:val="000000" w:themeColor="text1"/>
        </w:rPr>
        <w:fldChar w:fldCharType="end"/>
      </w:r>
      <w:r w:rsidR="006E04FD" w:rsidRPr="00CC51B3">
        <w:rPr>
          <w:rFonts w:eastAsia="Calibri"/>
          <w:color w:val="000000" w:themeColor="text1"/>
        </w:rPr>
        <w:t>)</w:t>
      </w:r>
      <w:r w:rsidRPr="00CC51B3">
        <w:rPr>
          <w:rFonts w:eastAsia="Calibri"/>
          <w:color w:val="000000" w:themeColor="text1"/>
        </w:rPr>
        <w:t xml:space="preserve"> in</w:t>
      </w:r>
      <w:r w:rsidRPr="006A50B1">
        <w:rPr>
          <w:rFonts w:eastAsia="Calibri"/>
          <w:color w:val="000000" w:themeColor="text1"/>
        </w:rPr>
        <w:t xml:space="preserve"> the FUTURE trial</w:t>
      </w:r>
      <w:r w:rsidR="00D40DD8" w:rsidRPr="006A50B1">
        <w:rPr>
          <w:rFonts w:eastAsia="Calibri"/>
          <w:color w:val="000000" w:themeColor="text1"/>
        </w:rPr>
        <w:t>,</w:t>
      </w:r>
      <w:r w:rsidR="00142B3D" w:rsidRPr="006A50B1">
        <w:rPr>
          <w:rFonts w:eastAsia="Calibri"/>
          <w:color w:val="000000" w:themeColor="text1"/>
        </w:rPr>
        <w:t xml:space="preserve"> </w:t>
      </w:r>
      <w:r w:rsidR="00D40DD8" w:rsidRPr="006A50B1">
        <w:rPr>
          <w:rFonts w:eastAsia="Calibri"/>
          <w:color w:val="000000" w:themeColor="text1"/>
        </w:rPr>
        <w:t>a</w:t>
      </w:r>
      <w:r w:rsidR="000F38CF" w:rsidRPr="006A50B1">
        <w:rPr>
          <w:rFonts w:eastAsia="Calibri"/>
          <w:color w:val="000000" w:themeColor="text1"/>
        </w:rPr>
        <w:t>n MCID of ≥ 100 ml was proposed for c</w:t>
      </w:r>
      <w:r w:rsidRPr="006A50B1">
        <w:rPr>
          <w:rFonts w:eastAsia="Calibri"/>
          <w:color w:val="000000" w:themeColor="text1"/>
        </w:rPr>
        <w:t>hange in pre-dose morning FEV1 from baseline to 48 weeks</w:t>
      </w:r>
      <w:r w:rsidR="00644FC1" w:rsidRPr="006A50B1">
        <w:rPr>
          <w:rFonts w:eastAsia="Calibri"/>
          <w:color w:val="000000" w:themeColor="text1"/>
        </w:rPr>
        <w:t xml:space="preserve"> for the Calverley et al. (2010) trial</w:t>
      </w:r>
      <w:r w:rsidRPr="006A50B1">
        <w:rPr>
          <w:rFonts w:eastAsia="Calibri"/>
          <w:color w:val="000000" w:themeColor="text1"/>
        </w:rPr>
        <w:t>. The PBAC previously considered that an increase in FEV1 of 100 ml (fr</w:t>
      </w:r>
      <w:r w:rsidR="0090388F" w:rsidRPr="006A50B1">
        <w:rPr>
          <w:rFonts w:eastAsia="Calibri"/>
          <w:color w:val="000000" w:themeColor="text1"/>
        </w:rPr>
        <w:t>o</w:t>
      </w:r>
      <w:r w:rsidRPr="006A50B1">
        <w:rPr>
          <w:rFonts w:eastAsia="Calibri"/>
          <w:color w:val="000000" w:themeColor="text1"/>
        </w:rPr>
        <w:t xml:space="preserve">m baseline </w:t>
      </w:r>
      <w:r w:rsidRPr="006A50B1">
        <w:rPr>
          <w:rFonts w:eastAsia="Calibri"/>
          <w:color w:val="000000" w:themeColor="text1"/>
        </w:rPr>
        <w:lastRenderedPageBreak/>
        <w:t xml:space="preserve">to end of the trial at 52 weeks) was likely to be clinically meaningful for moderate to severe COPD for FF/UMEC/VI (paragraph 6.21, FF/UMEC/VI </w:t>
      </w:r>
      <w:proofErr w:type="spellStart"/>
      <w:r w:rsidRPr="006A50B1">
        <w:rPr>
          <w:rFonts w:eastAsia="Calibri"/>
          <w:color w:val="000000" w:themeColor="text1"/>
        </w:rPr>
        <w:t>Trelegy</w:t>
      </w:r>
      <w:proofErr w:type="spellEnd"/>
      <w:r w:rsidRPr="006A50B1">
        <w:rPr>
          <w:rFonts w:eastAsia="Calibri"/>
          <w:color w:val="000000" w:themeColor="text1"/>
        </w:rPr>
        <w:t xml:space="preserve"> Ellipta</w:t>
      </w:r>
      <w:r w:rsidR="00B70AF1" w:rsidRPr="006A50B1">
        <w:rPr>
          <w:rFonts w:eastAsia="Calibri"/>
          <w:color w:val="000000" w:themeColor="text1"/>
        </w:rPr>
        <w:t>,</w:t>
      </w:r>
      <w:r w:rsidRPr="006A50B1">
        <w:rPr>
          <w:rFonts w:eastAsia="Calibri"/>
          <w:color w:val="000000" w:themeColor="text1"/>
        </w:rPr>
        <w:t xml:space="preserve"> PSD December 2017 PBAC meeting). Thus, an MCID of ≥100 ml is likely to be appropriate.</w:t>
      </w:r>
      <w:r w:rsidR="000F38CF" w:rsidRPr="006A50B1">
        <w:rPr>
          <w:rFonts w:eastAsia="Calibri"/>
          <w:color w:val="000000" w:themeColor="text1"/>
        </w:rPr>
        <w:t xml:space="preserve"> </w:t>
      </w:r>
      <w:r w:rsidR="000F38CF" w:rsidRPr="006A50B1">
        <w:rPr>
          <w:color w:val="000000" w:themeColor="text1"/>
        </w:rPr>
        <w:t>The submission did not nominate MCIDs for</w:t>
      </w:r>
      <w:r w:rsidR="000F38CF" w:rsidRPr="006A50B1">
        <w:rPr>
          <w:rFonts w:ascii="Garamond" w:eastAsiaTheme="minorHAnsi" w:hAnsi="Garamond" w:cs="TimesNewRoman"/>
          <w:color w:val="000000" w:themeColor="text1"/>
          <w:sz w:val="22"/>
          <w:szCs w:val="22"/>
          <w:lang w:eastAsia="en-US"/>
        </w:rPr>
        <w:t xml:space="preserve"> </w:t>
      </w:r>
      <w:r w:rsidR="000F38CF" w:rsidRPr="006A50B1">
        <w:rPr>
          <w:color w:val="000000" w:themeColor="text1"/>
        </w:rPr>
        <w:t>COPD exacerbations. This is consistent with the submission for FF/UMEC/VI (paragraph 6.21</w:t>
      </w:r>
      <w:r w:rsidR="003652B7">
        <w:rPr>
          <w:color w:val="000000" w:themeColor="text1"/>
        </w:rPr>
        <w:t>,</w:t>
      </w:r>
      <w:r w:rsidR="000F38CF" w:rsidRPr="006A50B1">
        <w:rPr>
          <w:color w:val="000000" w:themeColor="text1"/>
        </w:rPr>
        <w:t xml:space="preserve"> FF/UMEC/VI PSD December 2017 PBAC meeting). </w:t>
      </w:r>
      <w:r w:rsidR="00047738" w:rsidRPr="006A50B1">
        <w:rPr>
          <w:rFonts w:eastAsia="Calibri"/>
          <w:color w:val="000000" w:themeColor="text1"/>
        </w:rPr>
        <w:t>An increase of ≥1 in TDI focal score was put forward</w:t>
      </w:r>
      <w:r w:rsidR="00B70AF1" w:rsidRPr="006A50B1">
        <w:rPr>
          <w:rFonts w:eastAsia="Calibri"/>
          <w:color w:val="000000" w:themeColor="text1"/>
        </w:rPr>
        <w:t xml:space="preserve"> which is</w:t>
      </w:r>
      <w:r w:rsidR="00047738" w:rsidRPr="006A50B1">
        <w:rPr>
          <w:rFonts w:eastAsia="Calibri"/>
          <w:color w:val="000000" w:themeColor="text1"/>
        </w:rPr>
        <w:t xml:space="preserve"> consistent with the MCID nominated in the COPD-X guidelines for TDI. </w:t>
      </w:r>
      <w:r w:rsidR="000F38CF" w:rsidRPr="006A50B1">
        <w:rPr>
          <w:rFonts w:eastAsia="Calibri"/>
          <w:color w:val="000000" w:themeColor="text1"/>
        </w:rPr>
        <w:t xml:space="preserve">The MCID for the </w:t>
      </w:r>
      <w:r w:rsidRPr="006A50B1">
        <w:rPr>
          <w:rFonts w:eastAsia="Calibri"/>
          <w:color w:val="000000" w:themeColor="text1"/>
        </w:rPr>
        <w:t xml:space="preserve">St George’s Respiratory Questionnaire (SRGQ) total score </w:t>
      </w:r>
      <w:r w:rsidR="000F38CF" w:rsidRPr="006A50B1">
        <w:rPr>
          <w:rFonts w:eastAsia="Calibri"/>
          <w:color w:val="000000" w:themeColor="text1"/>
        </w:rPr>
        <w:t xml:space="preserve">was a </w:t>
      </w:r>
      <w:r w:rsidRPr="006A50B1">
        <w:rPr>
          <w:rFonts w:eastAsia="Calibri"/>
          <w:color w:val="000000" w:themeColor="text1"/>
        </w:rPr>
        <w:t xml:space="preserve">decrease of ≥4 units. This is consistent with COPD-X guidelines and the MCID previously considered by the PBAC for FF/UMEC/VI (paragraph 6.21, FF/UMEC/VI </w:t>
      </w:r>
      <w:proofErr w:type="spellStart"/>
      <w:r w:rsidRPr="006A50B1">
        <w:rPr>
          <w:rFonts w:eastAsia="Calibri"/>
          <w:color w:val="000000" w:themeColor="text1"/>
        </w:rPr>
        <w:t>Trelegy</w:t>
      </w:r>
      <w:proofErr w:type="spellEnd"/>
      <w:r w:rsidRPr="006A50B1">
        <w:rPr>
          <w:rFonts w:eastAsia="Calibri"/>
          <w:color w:val="000000" w:themeColor="text1"/>
        </w:rPr>
        <w:t xml:space="preserve"> Ellipta</w:t>
      </w:r>
      <w:r w:rsidR="002D4AAE" w:rsidRPr="006A50B1">
        <w:rPr>
          <w:rFonts w:eastAsia="Calibri"/>
          <w:color w:val="000000" w:themeColor="text1"/>
        </w:rPr>
        <w:t>,</w:t>
      </w:r>
      <w:r w:rsidRPr="006A50B1">
        <w:rPr>
          <w:rFonts w:eastAsia="Calibri"/>
          <w:color w:val="000000" w:themeColor="text1"/>
        </w:rPr>
        <w:t xml:space="preserve"> PSD December 2017 PBAC meeting)</w:t>
      </w:r>
      <w:r w:rsidRPr="006A50B1">
        <w:rPr>
          <w:color w:val="000000" w:themeColor="text1"/>
        </w:rPr>
        <w:t>.</w:t>
      </w:r>
      <w:bookmarkEnd w:id="31"/>
    </w:p>
    <w:p w14:paraId="6C230F8C" w14:textId="35CCF179" w:rsidR="006B7F35" w:rsidRPr="004C1289" w:rsidRDefault="006C477E" w:rsidP="004C1289">
      <w:pPr>
        <w:pStyle w:val="3-BodyText"/>
        <w:rPr>
          <w:rFonts w:eastAsia="Calibri"/>
          <w:iCs/>
          <w:color w:val="000000" w:themeColor="text1"/>
        </w:rPr>
      </w:pPr>
      <w:r w:rsidRPr="00906719">
        <w:rPr>
          <w:rFonts w:eastAsia="Calibri"/>
          <w:iCs/>
          <w:color w:val="000000" w:themeColor="text1"/>
        </w:rPr>
        <w:t xml:space="preserve">In terms of non-inferiority, for the TDI score in the FUTURE study, the submission </w:t>
      </w:r>
      <w:r w:rsidR="00644FC1" w:rsidRPr="00906719">
        <w:rPr>
          <w:rFonts w:eastAsia="Calibri"/>
          <w:iCs/>
          <w:color w:val="000000" w:themeColor="text1"/>
        </w:rPr>
        <w:t xml:space="preserve">stated </w:t>
      </w:r>
      <w:r w:rsidRPr="00906719">
        <w:rPr>
          <w:rFonts w:eastAsia="Calibri"/>
          <w:iCs/>
          <w:color w:val="000000" w:themeColor="text1"/>
        </w:rPr>
        <w:t xml:space="preserve">it was demonstrated if the two-sided 95% for the adjusted mean difference was entirely within the equivalence margins fixed at ± 1. </w:t>
      </w:r>
      <w:r w:rsidRPr="005C6F21">
        <w:rPr>
          <w:rFonts w:eastAsia="Calibri"/>
          <w:iCs/>
          <w:color w:val="000000" w:themeColor="text1"/>
        </w:rPr>
        <w:t xml:space="preserve">The PBAC has not previously considered a non-inferiority margin for this outcome. </w:t>
      </w:r>
      <w:r w:rsidRPr="00906719">
        <w:rPr>
          <w:color w:val="000000" w:themeColor="text1"/>
        </w:rPr>
        <w:t>In the Calverley et al. (2010) trial,</w:t>
      </w:r>
      <w:r w:rsidRPr="004C1289">
        <w:rPr>
          <w:color w:val="000000" w:themeColor="text1"/>
        </w:rPr>
        <w:t xml:space="preserve"> </w:t>
      </w:r>
      <w:r w:rsidRPr="00906719">
        <w:rPr>
          <w:color w:val="000000" w:themeColor="text1"/>
        </w:rPr>
        <w:t>non-inferiority was declared if the lower limit of the two-sided 95% CI for the difference between adjusted treatment means was above the non-inferiority margin fixed at -100 ml for the change in pre-dose morning FEV1 from baseline to 48 weeks</w:t>
      </w:r>
      <w:r w:rsidRPr="00906719">
        <w:rPr>
          <w:i/>
          <w:color w:val="000000" w:themeColor="text1"/>
        </w:rPr>
        <w:t>.</w:t>
      </w:r>
    </w:p>
    <w:p w14:paraId="723FEE45" w14:textId="77777777" w:rsidR="00E374F0" w:rsidRPr="00906719" w:rsidRDefault="00E374F0" w:rsidP="00A7711D">
      <w:pPr>
        <w:pStyle w:val="4-SubsectionHeading"/>
        <w:ind w:left="720" w:hanging="720"/>
        <w:rPr>
          <w:color w:val="000000" w:themeColor="text1"/>
        </w:rPr>
      </w:pPr>
      <w:bookmarkStart w:id="32" w:name="_Toc22897641"/>
      <w:bookmarkStart w:id="33" w:name="_Toc22898853"/>
      <w:bookmarkStart w:id="34" w:name="_Toc93506453"/>
      <w:r w:rsidRPr="00906719">
        <w:rPr>
          <w:color w:val="000000" w:themeColor="text1"/>
        </w:rPr>
        <w:t>Comparative effectiveness</w:t>
      </w:r>
      <w:bookmarkEnd w:id="32"/>
      <w:bookmarkEnd w:id="33"/>
      <w:bookmarkEnd w:id="34"/>
    </w:p>
    <w:p w14:paraId="19A4D0B8" w14:textId="5B449A7B" w:rsidR="00E374F0" w:rsidRPr="004C1289" w:rsidRDefault="00E374F0" w:rsidP="00A7711D">
      <w:pPr>
        <w:pStyle w:val="3-BodyText"/>
        <w:rPr>
          <w:color w:val="000000" w:themeColor="text1"/>
        </w:rPr>
      </w:pPr>
      <w:r w:rsidRPr="004C1289">
        <w:rPr>
          <w:color w:val="000000" w:themeColor="text1"/>
        </w:rPr>
        <w:t xml:space="preserve">The key results of the FUTURE trial are presented in Table </w:t>
      </w:r>
      <w:r w:rsidR="00015FF3" w:rsidRPr="004C1289">
        <w:rPr>
          <w:color w:val="000000" w:themeColor="text1"/>
        </w:rPr>
        <w:t>5</w:t>
      </w:r>
      <w:r w:rsidRPr="004C1289">
        <w:rPr>
          <w:color w:val="000000" w:themeColor="text1"/>
        </w:rPr>
        <w:t xml:space="preserve">. </w:t>
      </w:r>
    </w:p>
    <w:p w14:paraId="62E7DBDD" w14:textId="0E07927C" w:rsidR="00E374F0" w:rsidRPr="00906719" w:rsidRDefault="00E374F0" w:rsidP="00E374F0">
      <w:pPr>
        <w:pStyle w:val="Caption"/>
        <w:keepNext/>
        <w:spacing w:after="0"/>
        <w:rPr>
          <w:rStyle w:val="CommentReference"/>
          <w:b/>
          <w:color w:val="000000" w:themeColor="text1"/>
          <w:szCs w:val="20"/>
        </w:rPr>
      </w:pPr>
      <w:r w:rsidRPr="00906719">
        <w:rPr>
          <w:rFonts w:ascii="Arial Narrow" w:hAnsi="Arial Narrow"/>
          <w:color w:val="000000" w:themeColor="text1"/>
          <w:sz w:val="20"/>
          <w:szCs w:val="20"/>
        </w:rPr>
        <w:lastRenderedPageBreak/>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5</w:t>
      </w:r>
      <w:r w:rsidRPr="00906719">
        <w:rPr>
          <w:rFonts w:ascii="Arial Narrow" w:hAnsi="Arial Narrow"/>
          <w:color w:val="000000" w:themeColor="text1"/>
          <w:sz w:val="20"/>
          <w:szCs w:val="20"/>
        </w:rPr>
        <w:fldChar w:fldCharType="end"/>
      </w:r>
      <w:r w:rsidRPr="00906719">
        <w:rPr>
          <w:rStyle w:val="CommentReference"/>
          <w:b/>
          <w:color w:val="000000" w:themeColor="text1"/>
          <w:szCs w:val="20"/>
        </w:rPr>
        <w:t xml:space="preserve">: </w:t>
      </w:r>
      <w:r w:rsidR="0044424F" w:rsidRPr="00906719">
        <w:rPr>
          <w:rStyle w:val="CommentReference"/>
          <w:b/>
          <w:color w:val="000000" w:themeColor="text1"/>
          <w:szCs w:val="20"/>
        </w:rPr>
        <w:t xml:space="preserve">Key efficacy outcomes reported in </w:t>
      </w:r>
      <w:r w:rsidRPr="00906719">
        <w:rPr>
          <w:rStyle w:val="CommentReference"/>
          <w:b/>
          <w:color w:val="000000" w:themeColor="text1"/>
          <w:szCs w:val="20"/>
        </w:rPr>
        <w:t xml:space="preserve">the FUTURE trial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737"/>
        <w:gridCol w:w="1194"/>
        <w:gridCol w:w="1194"/>
        <w:gridCol w:w="1194"/>
        <w:gridCol w:w="1232"/>
        <w:gridCol w:w="1234"/>
        <w:gridCol w:w="1232"/>
      </w:tblGrid>
      <w:tr w:rsidR="00A604AC" w:rsidRPr="00A604AC" w14:paraId="40FE5085" w14:textId="77777777" w:rsidTr="003A6444">
        <w:trPr>
          <w:trHeight w:val="211"/>
        </w:trPr>
        <w:tc>
          <w:tcPr>
            <w:tcW w:w="964" w:type="pct"/>
            <w:vMerge w:val="restart"/>
          </w:tcPr>
          <w:p w14:paraId="47972C4C" w14:textId="77777777" w:rsidR="001011A3" w:rsidRPr="00906719" w:rsidRDefault="001011A3" w:rsidP="001011A3">
            <w:pPr>
              <w:pStyle w:val="TableText0"/>
              <w:jc w:val="center"/>
              <w:rPr>
                <w:b/>
                <w:iCs/>
                <w:color w:val="000000" w:themeColor="text1"/>
                <w:szCs w:val="20"/>
              </w:rPr>
            </w:pPr>
          </w:p>
          <w:p w14:paraId="0D8B4B0F" w14:textId="77777777" w:rsidR="001011A3" w:rsidRPr="00906719" w:rsidRDefault="001011A3" w:rsidP="001011A3">
            <w:pPr>
              <w:pStyle w:val="TableText0"/>
              <w:jc w:val="center"/>
              <w:rPr>
                <w:b/>
                <w:iCs/>
                <w:color w:val="000000" w:themeColor="text1"/>
                <w:szCs w:val="20"/>
              </w:rPr>
            </w:pPr>
          </w:p>
          <w:p w14:paraId="1EFA7CE3" w14:textId="33CB440F" w:rsidR="001011A3" w:rsidRPr="00906719" w:rsidRDefault="001011A3" w:rsidP="001011A3">
            <w:pPr>
              <w:pStyle w:val="TableText0"/>
              <w:jc w:val="center"/>
              <w:rPr>
                <w:b/>
                <w:iCs/>
                <w:color w:val="000000" w:themeColor="text1"/>
                <w:szCs w:val="20"/>
              </w:rPr>
            </w:pPr>
            <w:r w:rsidRPr="00906719">
              <w:rPr>
                <w:b/>
                <w:iCs/>
                <w:color w:val="000000" w:themeColor="text1"/>
                <w:szCs w:val="20"/>
              </w:rPr>
              <w:t>Outcome</w:t>
            </w:r>
          </w:p>
        </w:tc>
        <w:tc>
          <w:tcPr>
            <w:tcW w:w="1986" w:type="pct"/>
            <w:gridSpan w:val="3"/>
            <w:vAlign w:val="center"/>
          </w:tcPr>
          <w:p w14:paraId="14EA6A86" w14:textId="2D3D0835" w:rsidR="001011A3" w:rsidRPr="00906719" w:rsidRDefault="001011A3" w:rsidP="001011A3">
            <w:pPr>
              <w:pStyle w:val="TableText0"/>
              <w:jc w:val="center"/>
              <w:rPr>
                <w:b/>
                <w:color w:val="000000" w:themeColor="text1"/>
                <w:szCs w:val="20"/>
              </w:rPr>
            </w:pPr>
            <w:r w:rsidRPr="00906719">
              <w:rPr>
                <w:b/>
                <w:color w:val="000000" w:themeColor="text1"/>
                <w:szCs w:val="20"/>
              </w:rPr>
              <w:t>ITT population</w:t>
            </w:r>
          </w:p>
        </w:tc>
        <w:tc>
          <w:tcPr>
            <w:tcW w:w="2050" w:type="pct"/>
            <w:gridSpan w:val="3"/>
            <w:vAlign w:val="center"/>
          </w:tcPr>
          <w:p w14:paraId="7114AB58" w14:textId="68428BB4" w:rsidR="001011A3" w:rsidRPr="00906719" w:rsidRDefault="001011A3" w:rsidP="00821976">
            <w:pPr>
              <w:pStyle w:val="TableText0"/>
              <w:jc w:val="center"/>
              <w:rPr>
                <w:b/>
                <w:color w:val="000000" w:themeColor="text1"/>
                <w:szCs w:val="20"/>
              </w:rPr>
            </w:pPr>
            <w:r w:rsidRPr="00906719">
              <w:rPr>
                <w:b/>
                <w:color w:val="000000" w:themeColor="text1"/>
                <w:szCs w:val="20"/>
              </w:rPr>
              <w:t>FEV1 &lt; 50% subgroup</w:t>
            </w:r>
          </w:p>
        </w:tc>
      </w:tr>
      <w:tr w:rsidR="00A604AC" w:rsidRPr="00A604AC" w14:paraId="6B07D9BD" w14:textId="543B9C17" w:rsidTr="003A6444">
        <w:trPr>
          <w:trHeight w:val="211"/>
        </w:trPr>
        <w:tc>
          <w:tcPr>
            <w:tcW w:w="964" w:type="pct"/>
            <w:vMerge/>
          </w:tcPr>
          <w:p w14:paraId="55C9AA48" w14:textId="31C0AC1A" w:rsidR="001011A3" w:rsidRPr="00906719" w:rsidRDefault="001011A3" w:rsidP="001011A3">
            <w:pPr>
              <w:pStyle w:val="TableText0"/>
              <w:jc w:val="center"/>
              <w:rPr>
                <w:color w:val="000000" w:themeColor="text1"/>
                <w:szCs w:val="20"/>
              </w:rPr>
            </w:pPr>
          </w:p>
        </w:tc>
        <w:tc>
          <w:tcPr>
            <w:tcW w:w="662" w:type="pct"/>
            <w:vAlign w:val="center"/>
          </w:tcPr>
          <w:p w14:paraId="08F357E4" w14:textId="77777777" w:rsidR="001011A3" w:rsidRPr="00906719" w:rsidRDefault="001011A3" w:rsidP="001011A3">
            <w:pPr>
              <w:pStyle w:val="In-tableHeading"/>
              <w:jc w:val="center"/>
              <w:rPr>
                <w:bCs/>
                <w:iCs/>
                <w:color w:val="000000" w:themeColor="text1"/>
                <w:szCs w:val="20"/>
                <w:lang w:val="en-AU"/>
              </w:rPr>
            </w:pPr>
            <w:r w:rsidRPr="00906719">
              <w:rPr>
                <w:iCs/>
                <w:color w:val="000000" w:themeColor="text1"/>
                <w:szCs w:val="20"/>
                <w:lang w:val="en-AU"/>
              </w:rPr>
              <w:t>BEC/FOR</w:t>
            </w:r>
          </w:p>
          <w:p w14:paraId="356CEC66" w14:textId="77777777" w:rsidR="001011A3" w:rsidRPr="00906719" w:rsidRDefault="001011A3" w:rsidP="001011A3">
            <w:pPr>
              <w:pStyle w:val="In-tableHeading"/>
              <w:jc w:val="center"/>
              <w:rPr>
                <w:iCs/>
                <w:color w:val="000000" w:themeColor="text1"/>
                <w:szCs w:val="20"/>
                <w:lang w:val="en-AU"/>
              </w:rPr>
            </w:pPr>
            <w:r w:rsidRPr="00906719">
              <w:rPr>
                <w:iCs/>
                <w:color w:val="000000" w:themeColor="text1"/>
                <w:szCs w:val="20"/>
                <w:lang w:val="en-AU"/>
              </w:rPr>
              <w:t>n=211</w:t>
            </w:r>
          </w:p>
          <w:p w14:paraId="7A7F71E2" w14:textId="61AD94C1" w:rsidR="00561F9E" w:rsidRPr="00906719" w:rsidRDefault="00561F9E" w:rsidP="001011A3">
            <w:pPr>
              <w:pStyle w:val="In-tableHeading"/>
              <w:jc w:val="center"/>
              <w:rPr>
                <w:b w:val="0"/>
                <w:bCs/>
                <w:iCs/>
                <w:color w:val="000000" w:themeColor="text1"/>
                <w:szCs w:val="20"/>
                <w:lang w:val="en-AU"/>
              </w:rPr>
            </w:pPr>
            <w:r w:rsidRPr="00906719">
              <w:rPr>
                <w:b w:val="0"/>
                <w:bCs/>
                <w:iCs/>
                <w:color w:val="000000" w:themeColor="text1"/>
                <w:szCs w:val="20"/>
                <w:lang w:val="en-AU"/>
              </w:rPr>
              <w:t xml:space="preserve">Adj. mean </w:t>
            </w:r>
            <w:r w:rsidRPr="00906719">
              <w:rPr>
                <w:b w:val="0"/>
                <w:bCs/>
                <w:iCs/>
                <w:color w:val="000000" w:themeColor="text1"/>
                <w:szCs w:val="20"/>
                <w:lang w:val="en-AU"/>
              </w:rPr>
              <w:br/>
              <w:t>(95% CI)</w:t>
            </w:r>
          </w:p>
        </w:tc>
        <w:tc>
          <w:tcPr>
            <w:tcW w:w="662" w:type="pct"/>
            <w:vAlign w:val="center"/>
          </w:tcPr>
          <w:p w14:paraId="0640E3D1" w14:textId="77777777" w:rsidR="001011A3" w:rsidRPr="00906719" w:rsidRDefault="001011A3" w:rsidP="001011A3">
            <w:pPr>
              <w:pStyle w:val="In-tableHeading"/>
              <w:jc w:val="center"/>
              <w:rPr>
                <w:bCs/>
                <w:iCs/>
                <w:color w:val="000000" w:themeColor="text1"/>
                <w:szCs w:val="20"/>
                <w:lang w:val="en-AU"/>
              </w:rPr>
            </w:pPr>
            <w:r w:rsidRPr="00906719">
              <w:rPr>
                <w:iCs/>
                <w:color w:val="000000" w:themeColor="text1"/>
                <w:szCs w:val="20"/>
                <w:lang w:val="en-AU"/>
              </w:rPr>
              <w:t>FP/SAL</w:t>
            </w:r>
          </w:p>
          <w:p w14:paraId="7A8888C8" w14:textId="77777777" w:rsidR="001011A3" w:rsidRPr="00906719" w:rsidRDefault="001011A3" w:rsidP="001011A3">
            <w:pPr>
              <w:pStyle w:val="In-tableHeading"/>
              <w:jc w:val="center"/>
              <w:rPr>
                <w:iCs/>
                <w:color w:val="000000" w:themeColor="text1"/>
                <w:szCs w:val="20"/>
                <w:lang w:val="en-AU"/>
              </w:rPr>
            </w:pPr>
            <w:r w:rsidRPr="00906719">
              <w:rPr>
                <w:iCs/>
                <w:color w:val="000000" w:themeColor="text1"/>
                <w:szCs w:val="20"/>
                <w:lang w:val="en-AU"/>
              </w:rPr>
              <w:t>n=207</w:t>
            </w:r>
          </w:p>
          <w:p w14:paraId="02706E05" w14:textId="02CC9DF3" w:rsidR="00561F9E" w:rsidRPr="00906719" w:rsidRDefault="00561F9E" w:rsidP="001011A3">
            <w:pPr>
              <w:pStyle w:val="In-tableHeading"/>
              <w:jc w:val="center"/>
              <w:rPr>
                <w:b w:val="0"/>
                <w:bCs/>
                <w:iCs/>
                <w:color w:val="000000" w:themeColor="text1"/>
                <w:szCs w:val="20"/>
                <w:lang w:val="en-AU"/>
              </w:rPr>
            </w:pPr>
            <w:r w:rsidRPr="00906719">
              <w:rPr>
                <w:b w:val="0"/>
                <w:bCs/>
                <w:iCs/>
                <w:color w:val="000000" w:themeColor="text1"/>
                <w:szCs w:val="20"/>
                <w:lang w:val="en-AU"/>
              </w:rPr>
              <w:t xml:space="preserve">Adj. mean </w:t>
            </w:r>
            <w:r w:rsidRPr="00906719">
              <w:rPr>
                <w:b w:val="0"/>
                <w:bCs/>
                <w:iCs/>
                <w:color w:val="000000" w:themeColor="text1"/>
                <w:szCs w:val="20"/>
                <w:lang w:val="en-AU"/>
              </w:rPr>
              <w:br/>
              <w:t>(95% CI)</w:t>
            </w:r>
          </w:p>
        </w:tc>
        <w:tc>
          <w:tcPr>
            <w:tcW w:w="662" w:type="pct"/>
            <w:vAlign w:val="center"/>
          </w:tcPr>
          <w:p w14:paraId="2E3965EC" w14:textId="77777777" w:rsidR="001011A3" w:rsidRPr="00906719" w:rsidRDefault="001011A3" w:rsidP="001011A3">
            <w:pPr>
              <w:pStyle w:val="TableText0"/>
              <w:jc w:val="center"/>
              <w:rPr>
                <w:b/>
                <w:color w:val="000000" w:themeColor="text1"/>
                <w:szCs w:val="20"/>
              </w:rPr>
            </w:pPr>
            <w:r w:rsidRPr="00906719">
              <w:rPr>
                <w:b/>
                <w:color w:val="000000" w:themeColor="text1"/>
                <w:szCs w:val="20"/>
              </w:rPr>
              <w:t>Mean differences</w:t>
            </w:r>
          </w:p>
        </w:tc>
        <w:tc>
          <w:tcPr>
            <w:tcW w:w="683" w:type="pct"/>
            <w:vAlign w:val="center"/>
          </w:tcPr>
          <w:p w14:paraId="4739090A" w14:textId="77777777" w:rsidR="001011A3" w:rsidRPr="00906719" w:rsidRDefault="001011A3" w:rsidP="001011A3">
            <w:pPr>
              <w:pStyle w:val="In-tableHeading"/>
              <w:jc w:val="center"/>
              <w:rPr>
                <w:iCs/>
                <w:color w:val="000000" w:themeColor="text1"/>
                <w:szCs w:val="20"/>
                <w:lang w:val="en-AU"/>
              </w:rPr>
            </w:pPr>
            <w:r w:rsidRPr="00906719">
              <w:rPr>
                <w:iCs/>
                <w:color w:val="000000" w:themeColor="text1"/>
                <w:szCs w:val="20"/>
                <w:lang w:val="en-AU"/>
              </w:rPr>
              <w:t>BEC/FOR</w:t>
            </w:r>
          </w:p>
          <w:p w14:paraId="7AB1DC5B" w14:textId="7DDB7EE0" w:rsidR="001011A3" w:rsidRPr="00906719" w:rsidRDefault="001011A3" w:rsidP="00821976">
            <w:pPr>
              <w:pStyle w:val="In-tableHeading"/>
              <w:jc w:val="center"/>
              <w:rPr>
                <w:iCs/>
                <w:color w:val="000000" w:themeColor="text1"/>
                <w:szCs w:val="20"/>
                <w:lang w:val="en-AU"/>
              </w:rPr>
            </w:pPr>
            <w:r w:rsidRPr="00906719">
              <w:rPr>
                <w:iCs/>
                <w:color w:val="000000" w:themeColor="text1"/>
                <w:szCs w:val="20"/>
                <w:lang w:val="en-AU"/>
              </w:rPr>
              <w:t>n=</w:t>
            </w:r>
            <w:r w:rsidR="00090940" w:rsidRPr="00906719">
              <w:rPr>
                <w:iCs/>
                <w:color w:val="000000" w:themeColor="text1"/>
                <w:szCs w:val="20"/>
                <w:lang w:val="en-AU"/>
              </w:rPr>
              <w:t>119</w:t>
            </w:r>
          </w:p>
          <w:p w14:paraId="0DDFF9D9" w14:textId="2200B606" w:rsidR="00561F9E" w:rsidRPr="00906719" w:rsidRDefault="00561F9E" w:rsidP="00821976">
            <w:pPr>
              <w:pStyle w:val="In-tableHeading"/>
              <w:jc w:val="center"/>
              <w:rPr>
                <w:b w:val="0"/>
                <w:bCs/>
                <w:iCs/>
                <w:color w:val="000000" w:themeColor="text1"/>
                <w:szCs w:val="20"/>
              </w:rPr>
            </w:pPr>
            <w:r w:rsidRPr="00906719">
              <w:rPr>
                <w:b w:val="0"/>
                <w:bCs/>
                <w:iCs/>
                <w:color w:val="000000" w:themeColor="text1"/>
                <w:szCs w:val="20"/>
                <w:lang w:val="en-AU"/>
              </w:rPr>
              <w:t xml:space="preserve">Adj. mean </w:t>
            </w:r>
            <w:r w:rsidRPr="00906719">
              <w:rPr>
                <w:b w:val="0"/>
                <w:bCs/>
                <w:iCs/>
                <w:color w:val="000000" w:themeColor="text1"/>
                <w:szCs w:val="20"/>
                <w:lang w:val="en-AU"/>
              </w:rPr>
              <w:br/>
              <w:t>(95% CI)</w:t>
            </w:r>
          </w:p>
        </w:tc>
        <w:tc>
          <w:tcPr>
            <w:tcW w:w="684" w:type="pct"/>
            <w:vAlign w:val="center"/>
          </w:tcPr>
          <w:p w14:paraId="4CBF333C" w14:textId="77777777" w:rsidR="001011A3" w:rsidRPr="00906719" w:rsidRDefault="001011A3" w:rsidP="00821976">
            <w:pPr>
              <w:pStyle w:val="TableText0"/>
              <w:jc w:val="center"/>
              <w:rPr>
                <w:b/>
                <w:color w:val="000000" w:themeColor="text1"/>
                <w:szCs w:val="20"/>
              </w:rPr>
            </w:pPr>
            <w:r w:rsidRPr="00906719">
              <w:rPr>
                <w:b/>
                <w:color w:val="000000" w:themeColor="text1"/>
                <w:szCs w:val="20"/>
              </w:rPr>
              <w:t>FP/SAL</w:t>
            </w:r>
          </w:p>
          <w:p w14:paraId="6480A4FD" w14:textId="689F4990" w:rsidR="001011A3" w:rsidRPr="00906719" w:rsidRDefault="001011A3" w:rsidP="00821976">
            <w:pPr>
              <w:pStyle w:val="TableText0"/>
              <w:jc w:val="center"/>
              <w:rPr>
                <w:b/>
                <w:color w:val="000000" w:themeColor="text1"/>
                <w:szCs w:val="20"/>
              </w:rPr>
            </w:pPr>
            <w:r w:rsidRPr="00906719">
              <w:rPr>
                <w:b/>
                <w:color w:val="000000" w:themeColor="text1"/>
                <w:szCs w:val="20"/>
              </w:rPr>
              <w:t>n=</w:t>
            </w:r>
            <w:r w:rsidR="00090940" w:rsidRPr="00906719">
              <w:rPr>
                <w:b/>
                <w:color w:val="000000" w:themeColor="text1"/>
                <w:szCs w:val="20"/>
              </w:rPr>
              <w:t>122</w:t>
            </w:r>
            <w:r w:rsidR="00561F9E" w:rsidRPr="00906719">
              <w:rPr>
                <w:b/>
                <w:color w:val="000000" w:themeColor="text1"/>
                <w:szCs w:val="20"/>
              </w:rPr>
              <w:br/>
            </w:r>
            <w:r w:rsidR="00561F9E" w:rsidRPr="00906719">
              <w:rPr>
                <w:iCs/>
                <w:color w:val="000000" w:themeColor="text1"/>
                <w:szCs w:val="20"/>
              </w:rPr>
              <w:t xml:space="preserve">Adj. mean </w:t>
            </w:r>
            <w:r w:rsidR="00561F9E" w:rsidRPr="00906719">
              <w:rPr>
                <w:iCs/>
                <w:color w:val="000000" w:themeColor="text1"/>
                <w:szCs w:val="20"/>
              </w:rPr>
              <w:br/>
              <w:t>(95% CI)</w:t>
            </w:r>
          </w:p>
        </w:tc>
        <w:tc>
          <w:tcPr>
            <w:tcW w:w="684" w:type="pct"/>
            <w:vAlign w:val="center"/>
          </w:tcPr>
          <w:p w14:paraId="36466FBA" w14:textId="293FD3D1" w:rsidR="001011A3" w:rsidRPr="00906719" w:rsidRDefault="001011A3" w:rsidP="00821976">
            <w:pPr>
              <w:pStyle w:val="TableText0"/>
              <w:jc w:val="center"/>
              <w:rPr>
                <w:b/>
                <w:color w:val="000000" w:themeColor="text1"/>
                <w:szCs w:val="20"/>
              </w:rPr>
            </w:pPr>
            <w:r w:rsidRPr="00906719">
              <w:rPr>
                <w:b/>
                <w:color w:val="000000" w:themeColor="text1"/>
                <w:szCs w:val="20"/>
              </w:rPr>
              <w:t>Mean differences</w:t>
            </w:r>
          </w:p>
        </w:tc>
      </w:tr>
      <w:tr w:rsidR="00A604AC" w:rsidRPr="00A604AC" w14:paraId="4FD2B81E" w14:textId="77777777" w:rsidTr="003A6444">
        <w:trPr>
          <w:trHeight w:val="211"/>
        </w:trPr>
        <w:tc>
          <w:tcPr>
            <w:tcW w:w="5000" w:type="pct"/>
            <w:gridSpan w:val="7"/>
            <w:vAlign w:val="center"/>
          </w:tcPr>
          <w:p w14:paraId="72C02184" w14:textId="43D4B62C" w:rsidR="00B651FB" w:rsidRPr="00906719" w:rsidRDefault="00B651FB" w:rsidP="00B651FB">
            <w:pPr>
              <w:pStyle w:val="TableText0"/>
              <w:jc w:val="left"/>
              <w:rPr>
                <w:rFonts w:cs="TimesNewRoman"/>
                <w:b/>
                <w:bCs w:val="0"/>
                <w:color w:val="000000" w:themeColor="text1"/>
                <w:szCs w:val="20"/>
              </w:rPr>
            </w:pPr>
            <w:r w:rsidRPr="00906719">
              <w:rPr>
                <w:rFonts w:cs="TimesNewRoman"/>
                <w:b/>
                <w:bCs w:val="0"/>
                <w:color w:val="000000" w:themeColor="text1"/>
                <w:szCs w:val="20"/>
              </w:rPr>
              <w:t>Primary outcomes</w:t>
            </w:r>
          </w:p>
        </w:tc>
      </w:tr>
      <w:tr w:rsidR="00A604AC" w:rsidRPr="00A604AC" w14:paraId="39627474" w14:textId="04191841" w:rsidTr="003A6444">
        <w:trPr>
          <w:trHeight w:val="211"/>
        </w:trPr>
        <w:tc>
          <w:tcPr>
            <w:tcW w:w="964" w:type="pct"/>
            <w:vAlign w:val="center"/>
          </w:tcPr>
          <w:p w14:paraId="619E72A0" w14:textId="2DE848F8" w:rsidR="001011A3" w:rsidRPr="00906719" w:rsidRDefault="001011A3" w:rsidP="003A6444">
            <w:pPr>
              <w:pStyle w:val="TableText0"/>
              <w:jc w:val="left"/>
              <w:rPr>
                <w:rFonts w:cs="TimesNewRoman"/>
                <w:color w:val="000000" w:themeColor="text1"/>
                <w:szCs w:val="20"/>
              </w:rPr>
            </w:pPr>
            <w:r w:rsidRPr="00906719">
              <w:rPr>
                <w:rFonts w:cs="TimesNewRoman"/>
                <w:color w:val="000000" w:themeColor="text1"/>
                <w:szCs w:val="20"/>
              </w:rPr>
              <w:t>Change in pre dose FEV1 (L*30min) after drug inhalation (</w:t>
            </w:r>
            <w:r w:rsidR="00105511" w:rsidRPr="00906719">
              <w:rPr>
                <w:rFonts w:cs="TimesNewRoman"/>
                <w:color w:val="000000" w:themeColor="text1"/>
                <w:szCs w:val="20"/>
              </w:rPr>
              <w:t>Standardised</w:t>
            </w:r>
            <w:r w:rsidRPr="00906719">
              <w:rPr>
                <w:rFonts w:cs="TimesNewRoman"/>
                <w:color w:val="000000" w:themeColor="text1"/>
                <w:szCs w:val="20"/>
              </w:rPr>
              <w:t>)</w:t>
            </w:r>
            <w:r w:rsidR="00854D0F" w:rsidRPr="00854D0F">
              <w:rPr>
                <w:rFonts w:cs="TimesNewRoman"/>
                <w:color w:val="000000" w:themeColor="text1"/>
                <w:szCs w:val="20"/>
                <w:vertAlign w:val="superscript"/>
              </w:rPr>
              <w:t>a</w:t>
            </w:r>
          </w:p>
        </w:tc>
        <w:tc>
          <w:tcPr>
            <w:tcW w:w="662" w:type="pct"/>
            <w:vAlign w:val="center"/>
          </w:tcPr>
          <w:p w14:paraId="207B101B" w14:textId="0738AE31"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0.177 </w:t>
            </w:r>
            <w:r w:rsidRPr="00906719">
              <w:rPr>
                <w:rFonts w:cs="TimesNewRoman"/>
                <w:color w:val="000000" w:themeColor="text1"/>
                <w:szCs w:val="20"/>
              </w:rPr>
              <w:br/>
              <w:t>(0.160, 0.194)</w:t>
            </w:r>
          </w:p>
        </w:tc>
        <w:tc>
          <w:tcPr>
            <w:tcW w:w="662" w:type="pct"/>
            <w:vAlign w:val="center"/>
          </w:tcPr>
          <w:p w14:paraId="2C25A3AB" w14:textId="6BFBC846"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0.105 </w:t>
            </w:r>
            <w:r w:rsidRPr="00906719">
              <w:rPr>
                <w:rFonts w:cs="TimesNewRoman"/>
                <w:color w:val="000000" w:themeColor="text1"/>
                <w:szCs w:val="20"/>
              </w:rPr>
              <w:br/>
              <w:t>(0.087, 0.122)</w:t>
            </w:r>
          </w:p>
        </w:tc>
        <w:tc>
          <w:tcPr>
            <w:tcW w:w="662" w:type="pct"/>
            <w:vAlign w:val="center"/>
          </w:tcPr>
          <w:p w14:paraId="3B049204" w14:textId="534D2973" w:rsidR="001011A3" w:rsidRPr="00906719" w:rsidRDefault="001011A3" w:rsidP="004C1289">
            <w:pPr>
              <w:pStyle w:val="TableText0"/>
              <w:jc w:val="right"/>
              <w:rPr>
                <w:b/>
                <w:color w:val="000000" w:themeColor="text1"/>
                <w:szCs w:val="20"/>
              </w:rPr>
            </w:pPr>
            <w:r w:rsidRPr="00906719">
              <w:rPr>
                <w:rFonts w:cs="TimesNewRoman"/>
                <w:b/>
                <w:color w:val="000000" w:themeColor="text1"/>
                <w:szCs w:val="20"/>
              </w:rPr>
              <w:t xml:space="preserve">0.073 </w:t>
            </w:r>
            <w:r w:rsidRPr="00906719">
              <w:rPr>
                <w:rFonts w:cs="TimesNewRoman"/>
                <w:b/>
                <w:color w:val="000000" w:themeColor="text1"/>
                <w:szCs w:val="20"/>
              </w:rPr>
              <w:br/>
              <w:t>(0.050 ,0.095)</w:t>
            </w:r>
          </w:p>
        </w:tc>
        <w:tc>
          <w:tcPr>
            <w:tcW w:w="683" w:type="pct"/>
            <w:vAlign w:val="center"/>
          </w:tcPr>
          <w:p w14:paraId="51C430C5" w14:textId="154537A4"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0.173 </w:t>
            </w:r>
            <w:r w:rsidR="00B16942" w:rsidRPr="00906719">
              <w:rPr>
                <w:rFonts w:cs="TimesNewRoman"/>
                <w:color w:val="000000" w:themeColor="text1"/>
                <w:szCs w:val="20"/>
              </w:rPr>
              <w:br/>
            </w:r>
            <w:r w:rsidRPr="00906719">
              <w:rPr>
                <w:rFonts w:cs="TimesNewRoman"/>
                <w:color w:val="000000" w:themeColor="text1"/>
                <w:szCs w:val="20"/>
              </w:rPr>
              <w:t>(0.152, 0.194)</w:t>
            </w:r>
          </w:p>
        </w:tc>
        <w:tc>
          <w:tcPr>
            <w:tcW w:w="684" w:type="pct"/>
            <w:vAlign w:val="center"/>
          </w:tcPr>
          <w:p w14:paraId="6E8FCBC5" w14:textId="35D48F61"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0.098 </w:t>
            </w:r>
            <w:r w:rsidR="00B16942" w:rsidRPr="00906719">
              <w:rPr>
                <w:rFonts w:cs="TimesNewRoman"/>
                <w:color w:val="000000" w:themeColor="text1"/>
                <w:szCs w:val="20"/>
              </w:rPr>
              <w:br/>
            </w:r>
            <w:r w:rsidRPr="00906719">
              <w:rPr>
                <w:rFonts w:cs="TimesNewRoman"/>
                <w:color w:val="000000" w:themeColor="text1"/>
                <w:szCs w:val="20"/>
              </w:rPr>
              <w:t>(0.076, 0.119)</w:t>
            </w:r>
          </w:p>
        </w:tc>
        <w:tc>
          <w:tcPr>
            <w:tcW w:w="684" w:type="pct"/>
            <w:vAlign w:val="center"/>
          </w:tcPr>
          <w:p w14:paraId="1D8930C4" w14:textId="5EEB3046" w:rsidR="001011A3" w:rsidRPr="00906719" w:rsidRDefault="001011A3" w:rsidP="004C1289">
            <w:pPr>
              <w:pStyle w:val="TableText0"/>
              <w:jc w:val="right"/>
              <w:rPr>
                <w:rFonts w:cs="TimesNewRoman"/>
                <w:b/>
                <w:color w:val="000000" w:themeColor="text1"/>
                <w:szCs w:val="20"/>
              </w:rPr>
            </w:pPr>
            <w:r w:rsidRPr="00906719">
              <w:rPr>
                <w:rFonts w:cs="TimesNewRoman"/>
                <w:b/>
                <w:color w:val="000000" w:themeColor="text1"/>
                <w:szCs w:val="20"/>
              </w:rPr>
              <w:t xml:space="preserve">0.075 </w:t>
            </w:r>
            <w:r w:rsidR="00B16942" w:rsidRPr="00906719">
              <w:rPr>
                <w:rFonts w:cs="TimesNewRoman"/>
                <w:b/>
                <w:color w:val="000000" w:themeColor="text1"/>
                <w:szCs w:val="20"/>
              </w:rPr>
              <w:br/>
            </w:r>
            <w:r w:rsidRPr="00906719">
              <w:rPr>
                <w:rFonts w:cs="TimesNewRoman"/>
                <w:b/>
                <w:color w:val="000000" w:themeColor="text1"/>
                <w:szCs w:val="20"/>
              </w:rPr>
              <w:t>(0.048 ,0.103)</w:t>
            </w:r>
          </w:p>
        </w:tc>
      </w:tr>
      <w:tr w:rsidR="00A604AC" w:rsidRPr="00A604AC" w14:paraId="3E7056B6" w14:textId="77777777" w:rsidTr="003A6444">
        <w:trPr>
          <w:trHeight w:val="70"/>
        </w:trPr>
        <w:tc>
          <w:tcPr>
            <w:tcW w:w="964" w:type="pct"/>
          </w:tcPr>
          <w:p w14:paraId="26871996" w14:textId="77777777" w:rsidR="00B651FB" w:rsidRPr="00906719" w:rsidRDefault="00B651FB" w:rsidP="003A6444">
            <w:pPr>
              <w:pStyle w:val="TableText0"/>
              <w:jc w:val="left"/>
              <w:rPr>
                <w:rFonts w:cs="TimesNewRoman"/>
                <w:color w:val="000000" w:themeColor="text1"/>
                <w:szCs w:val="20"/>
              </w:rPr>
            </w:pPr>
            <w:r w:rsidRPr="00906719">
              <w:rPr>
                <w:color w:val="000000" w:themeColor="text1"/>
                <w:szCs w:val="20"/>
              </w:rPr>
              <w:t xml:space="preserve">TDI score (Week 12) </w:t>
            </w:r>
          </w:p>
        </w:tc>
        <w:tc>
          <w:tcPr>
            <w:tcW w:w="662" w:type="pct"/>
            <w:vAlign w:val="center"/>
          </w:tcPr>
          <w:p w14:paraId="27ED44FE" w14:textId="77777777" w:rsidR="00B651FB" w:rsidRPr="00906719" w:rsidRDefault="00B651FB" w:rsidP="004C1289">
            <w:pPr>
              <w:pStyle w:val="TableText0"/>
              <w:jc w:val="right"/>
              <w:rPr>
                <w:color w:val="000000" w:themeColor="text1"/>
                <w:szCs w:val="20"/>
              </w:rPr>
            </w:pPr>
            <w:r w:rsidRPr="00906719">
              <w:rPr>
                <w:rFonts w:cs="TimesNewRoman"/>
                <w:color w:val="000000" w:themeColor="text1"/>
                <w:szCs w:val="20"/>
              </w:rPr>
              <w:t xml:space="preserve">1.316 </w:t>
            </w:r>
            <w:r w:rsidRPr="00906719">
              <w:rPr>
                <w:rFonts w:cs="TimesNewRoman"/>
                <w:color w:val="000000" w:themeColor="text1"/>
                <w:szCs w:val="20"/>
              </w:rPr>
              <w:br/>
              <w:t>(0.865, 1.766)</w:t>
            </w:r>
          </w:p>
        </w:tc>
        <w:tc>
          <w:tcPr>
            <w:tcW w:w="662" w:type="pct"/>
            <w:vAlign w:val="center"/>
          </w:tcPr>
          <w:p w14:paraId="547C9246" w14:textId="77777777" w:rsidR="00B651FB" w:rsidRPr="00906719" w:rsidRDefault="00B651FB" w:rsidP="004C1289">
            <w:pPr>
              <w:pStyle w:val="TableText0"/>
              <w:jc w:val="right"/>
              <w:rPr>
                <w:color w:val="000000" w:themeColor="text1"/>
                <w:szCs w:val="20"/>
              </w:rPr>
            </w:pPr>
            <w:r w:rsidRPr="00906719">
              <w:rPr>
                <w:rFonts w:cs="TimesNewRoman"/>
                <w:color w:val="000000" w:themeColor="text1"/>
                <w:szCs w:val="20"/>
              </w:rPr>
              <w:t xml:space="preserve">1.150 </w:t>
            </w:r>
            <w:r w:rsidRPr="00906719">
              <w:rPr>
                <w:rFonts w:cs="TimesNewRoman"/>
                <w:color w:val="000000" w:themeColor="text1"/>
                <w:szCs w:val="20"/>
              </w:rPr>
              <w:br/>
              <w:t>(0.696, 1.604)</w:t>
            </w:r>
          </w:p>
        </w:tc>
        <w:tc>
          <w:tcPr>
            <w:tcW w:w="662" w:type="pct"/>
            <w:vAlign w:val="center"/>
          </w:tcPr>
          <w:p w14:paraId="4A0464A4" w14:textId="77777777" w:rsidR="00B651FB" w:rsidRPr="00906719" w:rsidRDefault="00B651FB" w:rsidP="004C1289">
            <w:pPr>
              <w:pStyle w:val="TableText0"/>
              <w:jc w:val="right"/>
              <w:rPr>
                <w:color w:val="000000" w:themeColor="text1"/>
                <w:szCs w:val="20"/>
              </w:rPr>
            </w:pPr>
            <w:r w:rsidRPr="00906719">
              <w:rPr>
                <w:rFonts w:cs="TimesNewRoman"/>
                <w:color w:val="000000" w:themeColor="text1"/>
                <w:szCs w:val="20"/>
              </w:rPr>
              <w:t xml:space="preserve">0.165 </w:t>
            </w:r>
            <w:r w:rsidRPr="00906719">
              <w:rPr>
                <w:rFonts w:cs="TimesNewRoman"/>
                <w:color w:val="000000" w:themeColor="text1"/>
                <w:szCs w:val="20"/>
              </w:rPr>
              <w:br/>
              <w:t>(-0.387, 0.718)</w:t>
            </w:r>
          </w:p>
        </w:tc>
        <w:tc>
          <w:tcPr>
            <w:tcW w:w="683" w:type="pct"/>
            <w:vAlign w:val="center"/>
          </w:tcPr>
          <w:p w14:paraId="2595BFEC" w14:textId="77777777" w:rsidR="00B651FB" w:rsidRPr="00906719" w:rsidRDefault="00B651FB" w:rsidP="004C1289">
            <w:pPr>
              <w:pStyle w:val="TableText0"/>
              <w:jc w:val="right"/>
              <w:rPr>
                <w:rFonts w:cs="TimesNewRoman"/>
                <w:color w:val="000000" w:themeColor="text1"/>
                <w:szCs w:val="20"/>
              </w:rPr>
            </w:pPr>
            <w:r w:rsidRPr="00906719">
              <w:rPr>
                <w:rFonts w:cs="TimesNewRoman"/>
                <w:color w:val="000000" w:themeColor="text1"/>
                <w:szCs w:val="20"/>
              </w:rPr>
              <w:t xml:space="preserve">0.889 </w:t>
            </w:r>
            <w:r w:rsidRPr="00906719">
              <w:rPr>
                <w:rFonts w:cs="TimesNewRoman"/>
                <w:color w:val="000000" w:themeColor="text1"/>
                <w:szCs w:val="20"/>
              </w:rPr>
              <w:br/>
              <w:t>(0.303, 1.476)</w:t>
            </w:r>
          </w:p>
        </w:tc>
        <w:tc>
          <w:tcPr>
            <w:tcW w:w="684" w:type="pct"/>
            <w:vAlign w:val="center"/>
          </w:tcPr>
          <w:p w14:paraId="7CF07A20" w14:textId="77777777" w:rsidR="00B651FB" w:rsidRPr="00906719" w:rsidRDefault="00B651FB" w:rsidP="004C1289">
            <w:pPr>
              <w:pStyle w:val="TableText0"/>
              <w:jc w:val="right"/>
              <w:rPr>
                <w:rFonts w:cs="TimesNewRoman"/>
                <w:color w:val="000000" w:themeColor="text1"/>
                <w:szCs w:val="20"/>
              </w:rPr>
            </w:pPr>
            <w:r w:rsidRPr="00906719">
              <w:rPr>
                <w:rFonts w:cs="TimesNewRoman"/>
                <w:color w:val="000000" w:themeColor="text1"/>
                <w:szCs w:val="20"/>
              </w:rPr>
              <w:t xml:space="preserve">0.950 </w:t>
            </w:r>
            <w:r w:rsidRPr="00906719">
              <w:rPr>
                <w:rFonts w:cs="TimesNewRoman"/>
                <w:color w:val="000000" w:themeColor="text1"/>
                <w:szCs w:val="20"/>
              </w:rPr>
              <w:br/>
              <w:t>(0.374, 1.527)</w:t>
            </w:r>
          </w:p>
        </w:tc>
        <w:tc>
          <w:tcPr>
            <w:tcW w:w="684" w:type="pct"/>
            <w:vAlign w:val="center"/>
          </w:tcPr>
          <w:p w14:paraId="308A2313" w14:textId="77777777" w:rsidR="00B651FB" w:rsidRPr="00906719" w:rsidRDefault="00B651FB" w:rsidP="004C1289">
            <w:pPr>
              <w:pStyle w:val="TableText0"/>
              <w:jc w:val="right"/>
              <w:rPr>
                <w:rFonts w:cs="TimesNewRoman"/>
                <w:color w:val="000000" w:themeColor="text1"/>
                <w:szCs w:val="20"/>
              </w:rPr>
            </w:pPr>
            <w:r w:rsidRPr="00906719">
              <w:rPr>
                <w:rFonts w:cs="TimesNewRoman"/>
                <w:color w:val="000000" w:themeColor="text1"/>
                <w:szCs w:val="20"/>
              </w:rPr>
              <w:t xml:space="preserve">-0.061 </w:t>
            </w:r>
            <w:r w:rsidRPr="00906719">
              <w:rPr>
                <w:rFonts w:cs="TimesNewRoman"/>
                <w:color w:val="000000" w:themeColor="text1"/>
                <w:szCs w:val="20"/>
              </w:rPr>
              <w:br/>
              <w:t>(-0.779, 0.656)</w:t>
            </w:r>
          </w:p>
        </w:tc>
      </w:tr>
      <w:tr w:rsidR="00A604AC" w:rsidRPr="00A604AC" w14:paraId="1FFEFFCC" w14:textId="77777777" w:rsidTr="003A6444">
        <w:trPr>
          <w:trHeight w:val="70"/>
        </w:trPr>
        <w:tc>
          <w:tcPr>
            <w:tcW w:w="5000" w:type="pct"/>
            <w:gridSpan w:val="7"/>
            <w:vAlign w:val="center"/>
          </w:tcPr>
          <w:p w14:paraId="17728903" w14:textId="2B99F48F" w:rsidR="00B651FB" w:rsidRPr="00906719" w:rsidRDefault="00B651FB" w:rsidP="003A6444">
            <w:pPr>
              <w:pStyle w:val="TableText0"/>
              <w:jc w:val="left"/>
              <w:rPr>
                <w:rFonts w:cs="TimesNewRoman"/>
                <w:b/>
                <w:color w:val="000000" w:themeColor="text1"/>
                <w:szCs w:val="20"/>
              </w:rPr>
            </w:pPr>
            <w:r w:rsidRPr="00906719">
              <w:rPr>
                <w:rFonts w:cs="TimesNewRoman"/>
                <w:b/>
                <w:color w:val="000000" w:themeColor="text1"/>
                <w:szCs w:val="20"/>
              </w:rPr>
              <w:t>Secondary outcomes</w:t>
            </w:r>
          </w:p>
        </w:tc>
      </w:tr>
      <w:tr w:rsidR="00A604AC" w:rsidRPr="00A604AC" w14:paraId="6CA4A257" w14:textId="01701704" w:rsidTr="003A6444">
        <w:trPr>
          <w:trHeight w:val="70"/>
        </w:trPr>
        <w:tc>
          <w:tcPr>
            <w:tcW w:w="964" w:type="pct"/>
            <w:vAlign w:val="center"/>
          </w:tcPr>
          <w:p w14:paraId="111A472E" w14:textId="2956417F" w:rsidR="001011A3" w:rsidRPr="00906719" w:rsidRDefault="001011A3" w:rsidP="003A6444">
            <w:pPr>
              <w:pStyle w:val="TableText0"/>
              <w:jc w:val="left"/>
              <w:rPr>
                <w:color w:val="000000" w:themeColor="text1"/>
                <w:szCs w:val="20"/>
              </w:rPr>
            </w:pPr>
            <w:r w:rsidRPr="00906719">
              <w:rPr>
                <w:rFonts w:cs="TimesNewRoman"/>
                <w:color w:val="000000" w:themeColor="text1"/>
                <w:szCs w:val="20"/>
              </w:rPr>
              <w:t>Change from baseline in pre-dose FEV1 (L*30min) after drug inhalation (week 12)</w:t>
            </w:r>
            <w:r w:rsidR="00105511" w:rsidRPr="00906719">
              <w:rPr>
                <w:color w:val="000000" w:themeColor="text1"/>
                <w:szCs w:val="20"/>
                <w:vertAlign w:val="superscript"/>
              </w:rPr>
              <w:t xml:space="preserve"> </w:t>
            </w:r>
            <w:r w:rsidR="00854D0F">
              <w:rPr>
                <w:color w:val="000000" w:themeColor="text1"/>
                <w:szCs w:val="20"/>
                <w:vertAlign w:val="superscript"/>
              </w:rPr>
              <w:t>b</w:t>
            </w:r>
            <w:r w:rsidR="00105511" w:rsidRPr="00906719" w:rsidDel="006D6CF4">
              <w:rPr>
                <w:rFonts w:cs="TimesNewRoman"/>
                <w:color w:val="000000" w:themeColor="text1"/>
                <w:szCs w:val="20"/>
                <w:vertAlign w:val="superscript"/>
              </w:rPr>
              <w:t xml:space="preserve"> </w:t>
            </w:r>
          </w:p>
        </w:tc>
        <w:tc>
          <w:tcPr>
            <w:tcW w:w="662" w:type="pct"/>
            <w:vAlign w:val="center"/>
          </w:tcPr>
          <w:p w14:paraId="2AA04E24" w14:textId="3D9A0629"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0.217 </w:t>
            </w:r>
            <w:r w:rsidRPr="00906719">
              <w:rPr>
                <w:rFonts w:cs="TimesNewRoman"/>
                <w:color w:val="000000" w:themeColor="text1"/>
                <w:szCs w:val="20"/>
              </w:rPr>
              <w:br/>
              <w:t>(0.183, 0.252)</w:t>
            </w:r>
          </w:p>
        </w:tc>
        <w:tc>
          <w:tcPr>
            <w:tcW w:w="662" w:type="pct"/>
            <w:vAlign w:val="center"/>
          </w:tcPr>
          <w:p w14:paraId="62E28063" w14:textId="65EB8D84"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0.136 </w:t>
            </w:r>
            <w:r w:rsidRPr="00906719">
              <w:rPr>
                <w:rFonts w:cs="TimesNewRoman"/>
                <w:color w:val="000000" w:themeColor="text1"/>
                <w:szCs w:val="20"/>
              </w:rPr>
              <w:br/>
              <w:t>(0.100, 0.172)</w:t>
            </w:r>
          </w:p>
        </w:tc>
        <w:tc>
          <w:tcPr>
            <w:tcW w:w="662" w:type="pct"/>
            <w:vAlign w:val="center"/>
          </w:tcPr>
          <w:p w14:paraId="2664307B" w14:textId="24100377" w:rsidR="001011A3" w:rsidRPr="00906719" w:rsidRDefault="001011A3" w:rsidP="004C1289">
            <w:pPr>
              <w:pStyle w:val="TableText0"/>
              <w:jc w:val="right"/>
              <w:rPr>
                <w:b/>
                <w:color w:val="000000" w:themeColor="text1"/>
                <w:szCs w:val="20"/>
              </w:rPr>
            </w:pPr>
            <w:r w:rsidRPr="00906719">
              <w:rPr>
                <w:rFonts w:cs="TimesNewRoman"/>
                <w:b/>
                <w:color w:val="000000" w:themeColor="text1"/>
                <w:szCs w:val="20"/>
              </w:rPr>
              <w:t xml:space="preserve">0.081 </w:t>
            </w:r>
            <w:r w:rsidRPr="00906719">
              <w:rPr>
                <w:rFonts w:cs="TimesNewRoman"/>
                <w:b/>
                <w:color w:val="000000" w:themeColor="text1"/>
                <w:szCs w:val="20"/>
              </w:rPr>
              <w:br/>
              <w:t>(0.036, 0.126)</w:t>
            </w:r>
          </w:p>
        </w:tc>
        <w:tc>
          <w:tcPr>
            <w:tcW w:w="683" w:type="pct"/>
            <w:vAlign w:val="center"/>
          </w:tcPr>
          <w:p w14:paraId="442F9A5E" w14:textId="3334B6BB"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0.178 </w:t>
            </w:r>
            <w:r w:rsidR="00B16942" w:rsidRPr="00906719">
              <w:rPr>
                <w:rFonts w:cs="TimesNewRoman"/>
                <w:color w:val="000000" w:themeColor="text1"/>
                <w:szCs w:val="20"/>
              </w:rPr>
              <w:br/>
            </w:r>
            <w:r w:rsidRPr="00906719">
              <w:rPr>
                <w:rFonts w:cs="TimesNewRoman"/>
                <w:color w:val="000000" w:themeColor="text1"/>
                <w:szCs w:val="20"/>
              </w:rPr>
              <w:t>(0.138, 0.218)</w:t>
            </w:r>
          </w:p>
        </w:tc>
        <w:tc>
          <w:tcPr>
            <w:tcW w:w="684" w:type="pct"/>
            <w:vAlign w:val="center"/>
          </w:tcPr>
          <w:p w14:paraId="7141DE8A" w14:textId="7A49E87D"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0.112 </w:t>
            </w:r>
            <w:r w:rsidR="00B16942" w:rsidRPr="00906719">
              <w:rPr>
                <w:rFonts w:cs="TimesNewRoman"/>
                <w:color w:val="000000" w:themeColor="text1"/>
                <w:szCs w:val="20"/>
              </w:rPr>
              <w:br/>
            </w:r>
            <w:r w:rsidRPr="00906719">
              <w:rPr>
                <w:rFonts w:cs="TimesNewRoman"/>
                <w:color w:val="000000" w:themeColor="text1"/>
                <w:szCs w:val="20"/>
              </w:rPr>
              <w:t>(0.072, 0.153)</w:t>
            </w:r>
          </w:p>
        </w:tc>
        <w:tc>
          <w:tcPr>
            <w:tcW w:w="684" w:type="pct"/>
            <w:vAlign w:val="center"/>
          </w:tcPr>
          <w:p w14:paraId="07034A00" w14:textId="1C0E9565" w:rsidR="001011A3" w:rsidRPr="00906719" w:rsidRDefault="001011A3" w:rsidP="004C1289">
            <w:pPr>
              <w:pStyle w:val="TableText0"/>
              <w:jc w:val="right"/>
              <w:rPr>
                <w:rFonts w:cs="TimesNewRoman"/>
                <w:b/>
                <w:color w:val="000000" w:themeColor="text1"/>
                <w:szCs w:val="20"/>
              </w:rPr>
            </w:pPr>
            <w:r w:rsidRPr="00906719">
              <w:rPr>
                <w:rFonts w:cs="TimesNewRoman"/>
                <w:b/>
                <w:color w:val="000000" w:themeColor="text1"/>
                <w:szCs w:val="20"/>
              </w:rPr>
              <w:t xml:space="preserve">0.066 </w:t>
            </w:r>
            <w:r w:rsidR="00B16942" w:rsidRPr="00906719">
              <w:rPr>
                <w:rFonts w:cs="TimesNewRoman"/>
                <w:b/>
                <w:color w:val="000000" w:themeColor="text1"/>
                <w:szCs w:val="20"/>
              </w:rPr>
              <w:br/>
            </w:r>
            <w:r w:rsidRPr="00906719">
              <w:rPr>
                <w:rFonts w:cs="TimesNewRoman"/>
                <w:b/>
                <w:color w:val="000000" w:themeColor="text1"/>
                <w:szCs w:val="20"/>
              </w:rPr>
              <w:t>(0.013, 0.118)</w:t>
            </w:r>
          </w:p>
        </w:tc>
      </w:tr>
      <w:tr w:rsidR="00A604AC" w:rsidRPr="00A604AC" w14:paraId="315FF988" w14:textId="6752FA43" w:rsidTr="003A6444">
        <w:trPr>
          <w:trHeight w:val="70"/>
        </w:trPr>
        <w:tc>
          <w:tcPr>
            <w:tcW w:w="964" w:type="pct"/>
          </w:tcPr>
          <w:p w14:paraId="02F4E4A3" w14:textId="52D1CF44" w:rsidR="001011A3" w:rsidRPr="00906719" w:rsidRDefault="001011A3" w:rsidP="003A6444">
            <w:pPr>
              <w:pStyle w:val="TableText0"/>
              <w:jc w:val="left"/>
              <w:rPr>
                <w:rFonts w:cs="TimesNewRoman"/>
                <w:b/>
                <w:color w:val="000000" w:themeColor="text1"/>
                <w:szCs w:val="20"/>
              </w:rPr>
            </w:pPr>
            <w:r w:rsidRPr="00906719">
              <w:rPr>
                <w:color w:val="000000" w:themeColor="text1"/>
                <w:szCs w:val="20"/>
              </w:rPr>
              <w:t xml:space="preserve">Change from baseline in pre-dose morning FEV1 (L) (week </w:t>
            </w:r>
            <w:proofErr w:type="gramStart"/>
            <w:r w:rsidRPr="00906719">
              <w:rPr>
                <w:color w:val="000000" w:themeColor="text1"/>
                <w:szCs w:val="20"/>
              </w:rPr>
              <w:t>12)</w:t>
            </w:r>
            <w:r w:rsidR="00854D0F" w:rsidRPr="00854D0F">
              <w:rPr>
                <w:color w:val="000000" w:themeColor="text1"/>
                <w:szCs w:val="20"/>
                <w:vertAlign w:val="superscript"/>
              </w:rPr>
              <w:t>b</w:t>
            </w:r>
            <w:proofErr w:type="gramEnd"/>
          </w:p>
        </w:tc>
        <w:tc>
          <w:tcPr>
            <w:tcW w:w="662" w:type="pct"/>
            <w:vAlign w:val="center"/>
          </w:tcPr>
          <w:p w14:paraId="33C889F1" w14:textId="03FF15B2" w:rsidR="001011A3" w:rsidRPr="00906719" w:rsidRDefault="001011A3" w:rsidP="004C1289">
            <w:pPr>
              <w:pStyle w:val="TableText0"/>
              <w:jc w:val="right"/>
              <w:rPr>
                <w:rFonts w:cs="TimesNewRoman"/>
                <w:b/>
                <w:color w:val="000000" w:themeColor="text1"/>
                <w:szCs w:val="20"/>
              </w:rPr>
            </w:pPr>
            <w:r w:rsidRPr="00906719">
              <w:rPr>
                <w:rFonts w:cs="TimesNewRoman"/>
                <w:color w:val="000000" w:themeColor="text1"/>
                <w:szCs w:val="20"/>
              </w:rPr>
              <w:t xml:space="preserve">0.077 </w:t>
            </w:r>
            <w:r w:rsidRPr="00906719">
              <w:rPr>
                <w:rFonts w:cs="TimesNewRoman"/>
                <w:color w:val="000000" w:themeColor="text1"/>
                <w:szCs w:val="20"/>
              </w:rPr>
              <w:br/>
              <w:t>(0.044, 0.110)</w:t>
            </w:r>
          </w:p>
        </w:tc>
        <w:tc>
          <w:tcPr>
            <w:tcW w:w="662" w:type="pct"/>
            <w:vAlign w:val="center"/>
          </w:tcPr>
          <w:p w14:paraId="2F60C3A6" w14:textId="76BD34B9" w:rsidR="001011A3" w:rsidRPr="00906719" w:rsidRDefault="001011A3" w:rsidP="004C1289">
            <w:pPr>
              <w:pStyle w:val="TableText0"/>
              <w:jc w:val="right"/>
              <w:rPr>
                <w:rFonts w:cs="TimesNewRoman"/>
                <w:b/>
                <w:color w:val="000000" w:themeColor="text1"/>
                <w:szCs w:val="20"/>
              </w:rPr>
            </w:pPr>
            <w:r w:rsidRPr="00906719">
              <w:rPr>
                <w:rFonts w:cs="TimesNewRoman"/>
                <w:color w:val="000000" w:themeColor="text1"/>
                <w:szCs w:val="20"/>
              </w:rPr>
              <w:t xml:space="preserve">0.064 </w:t>
            </w:r>
            <w:r w:rsidRPr="00906719">
              <w:rPr>
                <w:rFonts w:cs="TimesNewRoman"/>
                <w:color w:val="000000" w:themeColor="text1"/>
                <w:szCs w:val="20"/>
              </w:rPr>
              <w:br/>
              <w:t>(0.031, 0.098)</w:t>
            </w:r>
          </w:p>
        </w:tc>
        <w:tc>
          <w:tcPr>
            <w:tcW w:w="662" w:type="pct"/>
            <w:vAlign w:val="center"/>
          </w:tcPr>
          <w:p w14:paraId="2E3E917B" w14:textId="6A2F7BC3" w:rsidR="001011A3" w:rsidRPr="00906719" w:rsidRDefault="001011A3" w:rsidP="004C1289">
            <w:pPr>
              <w:pStyle w:val="TableText0"/>
              <w:jc w:val="right"/>
              <w:rPr>
                <w:rFonts w:cs="TimesNewRoman"/>
                <w:b/>
                <w:color w:val="000000" w:themeColor="text1"/>
                <w:szCs w:val="20"/>
              </w:rPr>
            </w:pPr>
            <w:r w:rsidRPr="00906719">
              <w:rPr>
                <w:rFonts w:cs="TimesNewRoman"/>
                <w:color w:val="000000" w:themeColor="text1"/>
                <w:szCs w:val="20"/>
              </w:rPr>
              <w:t xml:space="preserve">0.013 </w:t>
            </w:r>
            <w:r w:rsidRPr="00906719">
              <w:rPr>
                <w:rFonts w:cs="TimesNewRoman"/>
                <w:color w:val="000000" w:themeColor="text1"/>
                <w:szCs w:val="20"/>
              </w:rPr>
              <w:br/>
              <w:t>(-0.031, 0.056)</w:t>
            </w:r>
          </w:p>
        </w:tc>
        <w:tc>
          <w:tcPr>
            <w:tcW w:w="683" w:type="pct"/>
            <w:vAlign w:val="center"/>
          </w:tcPr>
          <w:p w14:paraId="7557D6C5" w14:textId="2292C224"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0.037 </w:t>
            </w:r>
            <w:r w:rsidR="00B16942" w:rsidRPr="00906719">
              <w:rPr>
                <w:rFonts w:cs="TimesNewRoman"/>
                <w:color w:val="000000" w:themeColor="text1"/>
                <w:szCs w:val="20"/>
              </w:rPr>
              <w:br/>
            </w:r>
            <w:r w:rsidRPr="00906719">
              <w:rPr>
                <w:rFonts w:cs="TimesNewRoman"/>
                <w:color w:val="000000" w:themeColor="text1"/>
                <w:szCs w:val="20"/>
              </w:rPr>
              <w:t>(0.000, 0.074)</w:t>
            </w:r>
          </w:p>
        </w:tc>
        <w:tc>
          <w:tcPr>
            <w:tcW w:w="684" w:type="pct"/>
            <w:vAlign w:val="center"/>
          </w:tcPr>
          <w:p w14:paraId="45D73C20" w14:textId="4C2BF466"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0.064 </w:t>
            </w:r>
            <w:r w:rsidR="00B16942" w:rsidRPr="00906719">
              <w:rPr>
                <w:rFonts w:cs="TimesNewRoman"/>
                <w:color w:val="000000" w:themeColor="text1"/>
                <w:szCs w:val="20"/>
              </w:rPr>
              <w:br/>
            </w:r>
            <w:r w:rsidRPr="00906719">
              <w:rPr>
                <w:rFonts w:cs="TimesNewRoman"/>
                <w:color w:val="000000" w:themeColor="text1"/>
                <w:szCs w:val="20"/>
              </w:rPr>
              <w:t>(0.026, 0.101)</w:t>
            </w:r>
          </w:p>
        </w:tc>
        <w:tc>
          <w:tcPr>
            <w:tcW w:w="684" w:type="pct"/>
            <w:vAlign w:val="center"/>
          </w:tcPr>
          <w:p w14:paraId="6D2A7B81" w14:textId="5461ECE8"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-0.027 </w:t>
            </w:r>
            <w:r w:rsidR="00B16942" w:rsidRPr="00906719">
              <w:rPr>
                <w:rFonts w:cs="TimesNewRoman"/>
                <w:color w:val="000000" w:themeColor="text1"/>
                <w:szCs w:val="20"/>
              </w:rPr>
              <w:br/>
            </w:r>
            <w:r w:rsidRPr="00906719">
              <w:rPr>
                <w:rFonts w:cs="TimesNewRoman"/>
                <w:color w:val="000000" w:themeColor="text1"/>
                <w:szCs w:val="20"/>
              </w:rPr>
              <w:t>(-0.076, 0.023)</w:t>
            </w:r>
          </w:p>
        </w:tc>
      </w:tr>
      <w:tr w:rsidR="00A604AC" w:rsidRPr="00A604AC" w14:paraId="23F85B4C" w14:textId="2BBE6F38" w:rsidTr="003A6444">
        <w:trPr>
          <w:trHeight w:val="70"/>
        </w:trPr>
        <w:tc>
          <w:tcPr>
            <w:tcW w:w="964" w:type="pct"/>
            <w:vAlign w:val="center"/>
          </w:tcPr>
          <w:p w14:paraId="2FB07A36" w14:textId="337FB75B" w:rsidR="001011A3" w:rsidRPr="00906719" w:rsidRDefault="001011A3" w:rsidP="003A6444">
            <w:pPr>
              <w:pStyle w:val="TableText0"/>
              <w:jc w:val="left"/>
              <w:rPr>
                <w:color w:val="000000" w:themeColor="text1"/>
                <w:szCs w:val="20"/>
              </w:rPr>
            </w:pPr>
            <w:r w:rsidRPr="00906719">
              <w:rPr>
                <w:color w:val="000000" w:themeColor="text1"/>
                <w:szCs w:val="20"/>
              </w:rPr>
              <w:t xml:space="preserve">No. patients with COPD </w:t>
            </w:r>
            <w:proofErr w:type="spellStart"/>
            <w:r w:rsidRPr="00906719">
              <w:rPr>
                <w:color w:val="000000" w:themeColor="text1"/>
                <w:szCs w:val="20"/>
              </w:rPr>
              <w:t>exacerbation</w:t>
            </w:r>
            <w:r w:rsidR="003F2C43" w:rsidRPr="00906719">
              <w:rPr>
                <w:color w:val="000000" w:themeColor="text1"/>
                <w:szCs w:val="20"/>
                <w:vertAlign w:val="superscript"/>
              </w:rPr>
              <w:t>a</w:t>
            </w:r>
            <w:proofErr w:type="spellEnd"/>
          </w:p>
        </w:tc>
        <w:tc>
          <w:tcPr>
            <w:tcW w:w="662" w:type="pct"/>
            <w:vAlign w:val="center"/>
          </w:tcPr>
          <w:p w14:paraId="4D950306" w14:textId="75631D7A"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6 (2.8%)</w:t>
            </w:r>
          </w:p>
        </w:tc>
        <w:tc>
          <w:tcPr>
            <w:tcW w:w="662" w:type="pct"/>
            <w:vAlign w:val="center"/>
          </w:tcPr>
          <w:p w14:paraId="68A1CFD3" w14:textId="77777777"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4 (1.9%)</w:t>
            </w:r>
          </w:p>
        </w:tc>
        <w:tc>
          <w:tcPr>
            <w:tcW w:w="662" w:type="pct"/>
            <w:vAlign w:val="center"/>
          </w:tcPr>
          <w:p w14:paraId="22AEB8E8" w14:textId="77777777"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N/A</w:t>
            </w:r>
          </w:p>
        </w:tc>
        <w:tc>
          <w:tcPr>
            <w:tcW w:w="683" w:type="pct"/>
            <w:vAlign w:val="center"/>
          </w:tcPr>
          <w:p w14:paraId="43BD8CE9" w14:textId="766ECD8C"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5 (4.2%)</w:t>
            </w:r>
          </w:p>
        </w:tc>
        <w:tc>
          <w:tcPr>
            <w:tcW w:w="684" w:type="pct"/>
            <w:vAlign w:val="center"/>
          </w:tcPr>
          <w:p w14:paraId="59D3B11E" w14:textId="5F11CB09"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3 (2.5%)</w:t>
            </w:r>
          </w:p>
        </w:tc>
        <w:tc>
          <w:tcPr>
            <w:tcW w:w="684" w:type="pct"/>
            <w:vAlign w:val="center"/>
          </w:tcPr>
          <w:p w14:paraId="293EAA03" w14:textId="48A6FBD9"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N/A</w:t>
            </w:r>
          </w:p>
        </w:tc>
      </w:tr>
      <w:tr w:rsidR="00A604AC" w:rsidRPr="00A604AC" w14:paraId="022609FB" w14:textId="49189D08" w:rsidTr="003A6444">
        <w:trPr>
          <w:trHeight w:val="67"/>
        </w:trPr>
        <w:tc>
          <w:tcPr>
            <w:tcW w:w="964" w:type="pct"/>
            <w:vAlign w:val="center"/>
          </w:tcPr>
          <w:p w14:paraId="09D3433C" w14:textId="24A3D6BB" w:rsidR="001011A3" w:rsidRPr="00906719" w:rsidRDefault="001011A3" w:rsidP="003A6444">
            <w:pPr>
              <w:pStyle w:val="TableText0"/>
              <w:jc w:val="left"/>
              <w:rPr>
                <w:color w:val="000000" w:themeColor="text1"/>
                <w:szCs w:val="20"/>
              </w:rPr>
            </w:pPr>
            <w:r w:rsidRPr="00906719">
              <w:rPr>
                <w:color w:val="000000" w:themeColor="text1"/>
                <w:szCs w:val="20"/>
              </w:rPr>
              <w:t xml:space="preserve">Change from baseline in total SGRQ score </w:t>
            </w:r>
            <w:r w:rsidR="00561F9E" w:rsidRPr="00906719">
              <w:rPr>
                <w:color w:val="000000" w:themeColor="text1"/>
                <w:szCs w:val="20"/>
              </w:rPr>
              <w:br/>
            </w:r>
            <w:r w:rsidRPr="00906719">
              <w:rPr>
                <w:color w:val="000000" w:themeColor="text1"/>
                <w:szCs w:val="20"/>
              </w:rPr>
              <w:t>(Week 12)</w:t>
            </w:r>
          </w:p>
        </w:tc>
        <w:tc>
          <w:tcPr>
            <w:tcW w:w="662" w:type="pct"/>
            <w:vAlign w:val="center"/>
          </w:tcPr>
          <w:p w14:paraId="5924999D" w14:textId="56D4DDAA"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-5.915 </w:t>
            </w:r>
            <w:r w:rsidRPr="00906719">
              <w:rPr>
                <w:rFonts w:cs="TimesNewRoman"/>
                <w:color w:val="000000" w:themeColor="text1"/>
                <w:szCs w:val="20"/>
              </w:rPr>
              <w:br/>
              <w:t>(-7.749, -4.081)</w:t>
            </w:r>
          </w:p>
        </w:tc>
        <w:tc>
          <w:tcPr>
            <w:tcW w:w="662" w:type="pct"/>
            <w:vAlign w:val="center"/>
          </w:tcPr>
          <w:p w14:paraId="6C2608E7" w14:textId="40AC8B37"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-3.802 </w:t>
            </w:r>
            <w:r w:rsidRPr="00906719">
              <w:rPr>
                <w:rFonts w:cs="TimesNewRoman"/>
                <w:color w:val="000000" w:themeColor="text1"/>
                <w:szCs w:val="20"/>
              </w:rPr>
              <w:br/>
              <w:t>(-5.703, -1.901)</w:t>
            </w:r>
          </w:p>
        </w:tc>
        <w:tc>
          <w:tcPr>
            <w:tcW w:w="662" w:type="pct"/>
            <w:vAlign w:val="center"/>
          </w:tcPr>
          <w:p w14:paraId="0A308334" w14:textId="0D1646A8"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-2.113 </w:t>
            </w:r>
            <w:r w:rsidRPr="00906719">
              <w:rPr>
                <w:rFonts w:cs="TimesNewRoman"/>
                <w:color w:val="000000" w:themeColor="text1"/>
                <w:szCs w:val="20"/>
              </w:rPr>
              <w:br/>
              <w:t>(-4.480, 0.253)</w:t>
            </w:r>
          </w:p>
        </w:tc>
        <w:tc>
          <w:tcPr>
            <w:tcW w:w="683" w:type="pct"/>
            <w:vAlign w:val="center"/>
          </w:tcPr>
          <w:p w14:paraId="504D16A5" w14:textId="633BAF7E"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-4.611 </w:t>
            </w:r>
            <w:r w:rsidRPr="00906719">
              <w:rPr>
                <w:rFonts w:cs="TimesNewRoman"/>
                <w:color w:val="000000" w:themeColor="text1"/>
                <w:szCs w:val="20"/>
              </w:rPr>
              <w:br/>
              <w:t>(-6.952, -2.270)</w:t>
            </w:r>
          </w:p>
        </w:tc>
        <w:tc>
          <w:tcPr>
            <w:tcW w:w="684" w:type="pct"/>
            <w:vAlign w:val="center"/>
          </w:tcPr>
          <w:p w14:paraId="386A9082" w14:textId="3D989266"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-3.541 </w:t>
            </w:r>
            <w:r w:rsidRPr="00906719">
              <w:rPr>
                <w:rFonts w:cs="TimesNewRoman"/>
                <w:color w:val="000000" w:themeColor="text1"/>
                <w:szCs w:val="20"/>
              </w:rPr>
              <w:br/>
              <w:t>(-5.943, -1.139)</w:t>
            </w:r>
          </w:p>
        </w:tc>
        <w:tc>
          <w:tcPr>
            <w:tcW w:w="684" w:type="pct"/>
            <w:vAlign w:val="center"/>
          </w:tcPr>
          <w:p w14:paraId="6B369986" w14:textId="42A7CD52"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-1.070 </w:t>
            </w:r>
            <w:r w:rsidRPr="00906719">
              <w:rPr>
                <w:rFonts w:cs="TimesNewRoman"/>
                <w:color w:val="000000" w:themeColor="text1"/>
                <w:szCs w:val="20"/>
              </w:rPr>
              <w:br/>
              <w:t>(-4.121, 1.982)</w:t>
            </w:r>
          </w:p>
        </w:tc>
      </w:tr>
      <w:tr w:rsidR="00A604AC" w:rsidRPr="00A604AC" w14:paraId="29720D81" w14:textId="6A3959C0" w:rsidTr="003A6444">
        <w:trPr>
          <w:trHeight w:val="67"/>
        </w:trPr>
        <w:tc>
          <w:tcPr>
            <w:tcW w:w="964" w:type="pct"/>
          </w:tcPr>
          <w:p w14:paraId="08599C7B" w14:textId="560955D1" w:rsidR="001011A3" w:rsidRPr="00854D0F" w:rsidRDefault="001011A3" w:rsidP="003A6444">
            <w:pPr>
              <w:pStyle w:val="TableText0"/>
              <w:jc w:val="left"/>
              <w:rPr>
                <w:color w:val="000000" w:themeColor="text1"/>
                <w:szCs w:val="20"/>
                <w:vertAlign w:val="superscript"/>
              </w:rPr>
            </w:pPr>
            <w:r w:rsidRPr="00906719">
              <w:rPr>
                <w:color w:val="000000" w:themeColor="text1"/>
                <w:szCs w:val="20"/>
              </w:rPr>
              <w:t xml:space="preserve">Change from baseline in COPD symptom total score (Week </w:t>
            </w:r>
            <w:proofErr w:type="gramStart"/>
            <w:r w:rsidRPr="00906719">
              <w:rPr>
                <w:color w:val="000000" w:themeColor="text1"/>
                <w:szCs w:val="20"/>
              </w:rPr>
              <w:t>12)</w:t>
            </w:r>
            <w:r w:rsidR="00854D0F">
              <w:rPr>
                <w:color w:val="000000" w:themeColor="text1"/>
                <w:szCs w:val="20"/>
                <w:vertAlign w:val="superscript"/>
              </w:rPr>
              <w:t>c</w:t>
            </w:r>
            <w:proofErr w:type="gramEnd"/>
          </w:p>
        </w:tc>
        <w:tc>
          <w:tcPr>
            <w:tcW w:w="662" w:type="pct"/>
            <w:vAlign w:val="center"/>
          </w:tcPr>
          <w:p w14:paraId="30C78E9C" w14:textId="36C1C2EF"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-1.209 </w:t>
            </w:r>
            <w:r w:rsidRPr="00906719">
              <w:rPr>
                <w:rFonts w:cs="TimesNewRoman"/>
                <w:color w:val="000000" w:themeColor="text1"/>
                <w:szCs w:val="20"/>
              </w:rPr>
              <w:br/>
              <w:t>(-1.550, -0.868)</w:t>
            </w:r>
          </w:p>
        </w:tc>
        <w:tc>
          <w:tcPr>
            <w:tcW w:w="662" w:type="pct"/>
            <w:vAlign w:val="center"/>
          </w:tcPr>
          <w:p w14:paraId="72B6CEB6" w14:textId="3B9DFEE6"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-1.000 </w:t>
            </w:r>
            <w:r w:rsidRPr="00906719">
              <w:rPr>
                <w:rFonts w:cs="TimesNewRoman"/>
                <w:color w:val="000000" w:themeColor="text1"/>
                <w:szCs w:val="20"/>
              </w:rPr>
              <w:br/>
              <w:t>(-1.346, -0.654)</w:t>
            </w:r>
          </w:p>
        </w:tc>
        <w:tc>
          <w:tcPr>
            <w:tcW w:w="662" w:type="pct"/>
            <w:vAlign w:val="center"/>
          </w:tcPr>
          <w:p w14:paraId="6A25065D" w14:textId="449BCBB3"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-0.209 </w:t>
            </w:r>
            <w:r w:rsidRPr="00906719">
              <w:rPr>
                <w:rFonts w:cs="TimesNewRoman"/>
                <w:color w:val="000000" w:themeColor="text1"/>
                <w:szCs w:val="20"/>
              </w:rPr>
              <w:br/>
              <w:t>(-0.660, 0.243)</w:t>
            </w:r>
          </w:p>
        </w:tc>
        <w:tc>
          <w:tcPr>
            <w:tcW w:w="683" w:type="pct"/>
            <w:vAlign w:val="center"/>
          </w:tcPr>
          <w:p w14:paraId="35351928" w14:textId="4CED39B0"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-1.047</w:t>
            </w:r>
            <w:r w:rsidR="00B16942" w:rsidRPr="00906719">
              <w:rPr>
                <w:rFonts w:cs="TimesNewRoman"/>
                <w:color w:val="000000" w:themeColor="text1"/>
                <w:szCs w:val="20"/>
              </w:rPr>
              <w:br/>
            </w:r>
            <w:r w:rsidR="003A6444">
              <w:rPr>
                <w:rFonts w:cs="TimesNewRoman"/>
                <w:color w:val="000000" w:themeColor="text1"/>
                <w:szCs w:val="20"/>
              </w:rPr>
              <w:t>( -1.</w:t>
            </w:r>
            <w:proofErr w:type="gramStart"/>
            <w:r w:rsidR="003A6444">
              <w:rPr>
                <w:rFonts w:cs="TimesNewRoman"/>
                <w:color w:val="000000" w:themeColor="text1"/>
                <w:szCs w:val="20"/>
              </w:rPr>
              <w:t>519,</w:t>
            </w:r>
            <w:r w:rsidRPr="00906719">
              <w:rPr>
                <w:rFonts w:cs="TimesNewRoman"/>
                <w:color w:val="000000" w:themeColor="text1"/>
                <w:szCs w:val="20"/>
              </w:rPr>
              <w:t>-</w:t>
            </w:r>
            <w:proofErr w:type="gramEnd"/>
            <w:r w:rsidRPr="00906719">
              <w:rPr>
                <w:rFonts w:cs="TimesNewRoman"/>
                <w:color w:val="000000" w:themeColor="text1"/>
                <w:szCs w:val="20"/>
              </w:rPr>
              <w:t>0.575)</w:t>
            </w:r>
          </w:p>
        </w:tc>
        <w:tc>
          <w:tcPr>
            <w:tcW w:w="684" w:type="pct"/>
            <w:vAlign w:val="center"/>
          </w:tcPr>
          <w:p w14:paraId="5112D76A" w14:textId="10033395"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-0.793 </w:t>
            </w:r>
            <w:r w:rsidR="00B16942" w:rsidRPr="00906719">
              <w:rPr>
                <w:rFonts w:cs="TimesNewRoman"/>
                <w:color w:val="000000" w:themeColor="text1"/>
                <w:szCs w:val="20"/>
              </w:rPr>
              <w:br/>
            </w:r>
            <w:r w:rsidRPr="00906719">
              <w:rPr>
                <w:rFonts w:cs="TimesNewRoman"/>
                <w:color w:val="000000" w:themeColor="text1"/>
                <w:szCs w:val="20"/>
              </w:rPr>
              <w:t>(-1.269, -0.318)</w:t>
            </w:r>
          </w:p>
        </w:tc>
        <w:tc>
          <w:tcPr>
            <w:tcW w:w="684" w:type="pct"/>
            <w:vAlign w:val="center"/>
          </w:tcPr>
          <w:p w14:paraId="5ADEED13" w14:textId="6E8E9E87"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-0.254 </w:t>
            </w:r>
            <w:r w:rsidR="00B16942" w:rsidRPr="00906719">
              <w:rPr>
                <w:rFonts w:cs="TimesNewRoman"/>
                <w:color w:val="000000" w:themeColor="text1"/>
                <w:szCs w:val="20"/>
              </w:rPr>
              <w:br/>
            </w:r>
            <w:r w:rsidRPr="00906719">
              <w:rPr>
                <w:rFonts w:cs="TimesNewRoman"/>
                <w:color w:val="000000" w:themeColor="text1"/>
                <w:szCs w:val="20"/>
              </w:rPr>
              <w:t>(-0.884, 0.377)</w:t>
            </w:r>
          </w:p>
        </w:tc>
      </w:tr>
      <w:tr w:rsidR="00A604AC" w:rsidRPr="00A604AC" w14:paraId="5AF163F9" w14:textId="6ABAE65D" w:rsidTr="003A6444">
        <w:trPr>
          <w:trHeight w:val="67"/>
        </w:trPr>
        <w:tc>
          <w:tcPr>
            <w:tcW w:w="964" w:type="pct"/>
          </w:tcPr>
          <w:p w14:paraId="177CE109" w14:textId="77777777" w:rsidR="001011A3" w:rsidRPr="00906719" w:rsidRDefault="001011A3" w:rsidP="003A6444">
            <w:pPr>
              <w:pStyle w:val="TableText0"/>
              <w:jc w:val="left"/>
              <w:rPr>
                <w:color w:val="000000" w:themeColor="text1"/>
                <w:szCs w:val="20"/>
              </w:rPr>
            </w:pPr>
            <w:r w:rsidRPr="00906719">
              <w:rPr>
                <w:color w:val="000000" w:themeColor="text1"/>
                <w:szCs w:val="20"/>
              </w:rPr>
              <w:t>Change from baseline in use of rescue medication (Week 12)</w:t>
            </w:r>
          </w:p>
        </w:tc>
        <w:tc>
          <w:tcPr>
            <w:tcW w:w="662" w:type="pct"/>
            <w:vAlign w:val="center"/>
          </w:tcPr>
          <w:p w14:paraId="0AC78CF0" w14:textId="0C4FF6B1"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-0.599 </w:t>
            </w:r>
            <w:r w:rsidRPr="00906719">
              <w:rPr>
                <w:rFonts w:cs="TimesNewRoman"/>
                <w:color w:val="000000" w:themeColor="text1"/>
                <w:szCs w:val="20"/>
              </w:rPr>
              <w:br/>
              <w:t>(-0.778, -0.419)</w:t>
            </w:r>
          </w:p>
        </w:tc>
        <w:tc>
          <w:tcPr>
            <w:tcW w:w="662" w:type="pct"/>
            <w:vAlign w:val="center"/>
          </w:tcPr>
          <w:p w14:paraId="24768012" w14:textId="5637BB02"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-0.629 </w:t>
            </w:r>
            <w:r w:rsidRPr="00906719">
              <w:rPr>
                <w:rFonts w:cs="TimesNewRoman"/>
                <w:color w:val="000000" w:themeColor="text1"/>
                <w:szCs w:val="20"/>
              </w:rPr>
              <w:br/>
              <w:t>(-0.812, -0.446)</w:t>
            </w:r>
          </w:p>
        </w:tc>
        <w:tc>
          <w:tcPr>
            <w:tcW w:w="662" w:type="pct"/>
            <w:vAlign w:val="center"/>
          </w:tcPr>
          <w:p w14:paraId="711C04CF" w14:textId="17ABE8A7" w:rsidR="001011A3" w:rsidRPr="00906719" w:rsidRDefault="001011A3" w:rsidP="004C1289">
            <w:pPr>
              <w:pStyle w:val="TableText0"/>
              <w:jc w:val="right"/>
              <w:rPr>
                <w:color w:val="000000" w:themeColor="text1"/>
                <w:szCs w:val="20"/>
              </w:rPr>
            </w:pPr>
            <w:r w:rsidRPr="00906719">
              <w:rPr>
                <w:rFonts w:cs="TimesNewRoman"/>
                <w:color w:val="000000" w:themeColor="text1"/>
                <w:szCs w:val="20"/>
              </w:rPr>
              <w:t xml:space="preserve">0.030 </w:t>
            </w:r>
            <w:r w:rsidRPr="00906719">
              <w:rPr>
                <w:rFonts w:cs="TimesNewRoman"/>
                <w:color w:val="000000" w:themeColor="text1"/>
                <w:szCs w:val="20"/>
              </w:rPr>
              <w:br/>
              <w:t>(-0.209, 0.270)</w:t>
            </w:r>
          </w:p>
        </w:tc>
        <w:tc>
          <w:tcPr>
            <w:tcW w:w="683" w:type="pct"/>
            <w:vAlign w:val="center"/>
          </w:tcPr>
          <w:p w14:paraId="1F247945" w14:textId="1AAE6595"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-0.577 </w:t>
            </w:r>
            <w:r w:rsidR="00B16942" w:rsidRPr="00906719">
              <w:rPr>
                <w:rFonts w:cs="TimesNewRoman"/>
                <w:color w:val="000000" w:themeColor="text1"/>
                <w:szCs w:val="20"/>
              </w:rPr>
              <w:br/>
            </w:r>
            <w:r w:rsidRPr="00906719">
              <w:rPr>
                <w:rFonts w:cs="TimesNewRoman"/>
                <w:color w:val="000000" w:themeColor="text1"/>
                <w:szCs w:val="20"/>
              </w:rPr>
              <w:t>(-0.841, -0.313)</w:t>
            </w:r>
          </w:p>
        </w:tc>
        <w:tc>
          <w:tcPr>
            <w:tcW w:w="684" w:type="pct"/>
            <w:vAlign w:val="center"/>
          </w:tcPr>
          <w:p w14:paraId="554D0CBB" w14:textId="25477A2C"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-0.716 </w:t>
            </w:r>
            <w:r w:rsidR="00B16942" w:rsidRPr="00906719">
              <w:rPr>
                <w:rFonts w:cs="TimesNewRoman"/>
                <w:color w:val="000000" w:themeColor="text1"/>
                <w:szCs w:val="20"/>
              </w:rPr>
              <w:br/>
            </w:r>
            <w:r w:rsidRPr="00906719">
              <w:rPr>
                <w:rFonts w:cs="TimesNewRoman"/>
                <w:color w:val="000000" w:themeColor="text1"/>
                <w:szCs w:val="20"/>
              </w:rPr>
              <w:t>(-0.981, -0.451)</w:t>
            </w:r>
          </w:p>
        </w:tc>
        <w:tc>
          <w:tcPr>
            <w:tcW w:w="684" w:type="pct"/>
            <w:vAlign w:val="center"/>
          </w:tcPr>
          <w:p w14:paraId="07EE3269" w14:textId="3AD0CCFC" w:rsidR="001011A3" w:rsidRPr="00906719" w:rsidRDefault="001011A3" w:rsidP="004C1289">
            <w:pPr>
              <w:pStyle w:val="TableText0"/>
              <w:jc w:val="right"/>
              <w:rPr>
                <w:rFonts w:cs="TimesNewRoman"/>
                <w:color w:val="000000" w:themeColor="text1"/>
                <w:szCs w:val="20"/>
              </w:rPr>
            </w:pPr>
            <w:r w:rsidRPr="00906719">
              <w:rPr>
                <w:rFonts w:cs="TimesNewRoman"/>
                <w:color w:val="000000" w:themeColor="text1"/>
                <w:szCs w:val="20"/>
              </w:rPr>
              <w:t xml:space="preserve">0.139 </w:t>
            </w:r>
            <w:r w:rsidR="00B16942" w:rsidRPr="00906719">
              <w:rPr>
                <w:rFonts w:cs="TimesNewRoman"/>
                <w:color w:val="000000" w:themeColor="text1"/>
                <w:szCs w:val="20"/>
              </w:rPr>
              <w:br/>
            </w:r>
            <w:r w:rsidRPr="00906719">
              <w:rPr>
                <w:rFonts w:cs="TimesNewRoman"/>
                <w:color w:val="000000" w:themeColor="text1"/>
                <w:szCs w:val="20"/>
              </w:rPr>
              <w:t>(-0.215, 0.493)</w:t>
            </w:r>
          </w:p>
        </w:tc>
      </w:tr>
    </w:tbl>
    <w:p w14:paraId="7B33E3B3" w14:textId="77777777" w:rsidR="00E374F0" w:rsidRPr="00906719" w:rsidRDefault="00E374F0" w:rsidP="00E374F0">
      <w:pPr>
        <w:pStyle w:val="TableFigureFooter"/>
        <w:rPr>
          <w:color w:val="000000" w:themeColor="text1"/>
          <w:szCs w:val="18"/>
        </w:rPr>
      </w:pPr>
      <w:r w:rsidRPr="00906719">
        <w:rPr>
          <w:color w:val="000000" w:themeColor="text1"/>
          <w:szCs w:val="18"/>
        </w:rPr>
        <w:t>Abbreviations: BEC= Beclometasone dipropionate; FOR= Formoterol fumarate dehydrate; FP=</w:t>
      </w:r>
      <w:r w:rsidRPr="00906719">
        <w:rPr>
          <w:rFonts w:eastAsiaTheme="minorHAnsi"/>
          <w:color w:val="000000" w:themeColor="text1"/>
          <w:szCs w:val="18"/>
          <w:lang w:eastAsia="en-US"/>
        </w:rPr>
        <w:t xml:space="preserve"> </w:t>
      </w:r>
      <w:r w:rsidRPr="00906719">
        <w:rPr>
          <w:color w:val="000000" w:themeColor="text1"/>
          <w:szCs w:val="18"/>
        </w:rPr>
        <w:t>Fluticasone propionate; SAL= Salmeterol; COPD= Chronic obstructive pulmonary disease; FEV1= Forced Expiratory Volume; SGRQ= St. George's Respiratory Questionnaire; TDI= Transition dyspnoea index.</w:t>
      </w:r>
    </w:p>
    <w:p w14:paraId="10B33DF2" w14:textId="77777777" w:rsidR="00E374F0" w:rsidRPr="00906719" w:rsidRDefault="00E374F0" w:rsidP="00E374F0">
      <w:pPr>
        <w:pStyle w:val="TableFigureFooter"/>
        <w:rPr>
          <w:color w:val="000000" w:themeColor="text1"/>
          <w:szCs w:val="18"/>
        </w:rPr>
      </w:pPr>
      <w:r w:rsidRPr="00906719">
        <w:rPr>
          <w:color w:val="000000" w:themeColor="text1"/>
          <w:szCs w:val="18"/>
        </w:rPr>
        <w:t xml:space="preserve">CI = confidence interval; COPD = (95% CI); FEV1 = (95% CI); SGRQ = (95% CI). </w:t>
      </w:r>
    </w:p>
    <w:p w14:paraId="475C2064" w14:textId="77777777" w:rsidR="00E374F0" w:rsidRPr="00906719" w:rsidRDefault="00E374F0" w:rsidP="00E374F0">
      <w:pPr>
        <w:pStyle w:val="TableFigureFooter"/>
        <w:rPr>
          <w:color w:val="000000" w:themeColor="text1"/>
          <w:szCs w:val="18"/>
        </w:rPr>
      </w:pPr>
      <w:r w:rsidRPr="00906719">
        <w:rPr>
          <w:bCs/>
          <w:color w:val="000000" w:themeColor="text1"/>
          <w:szCs w:val="18"/>
        </w:rPr>
        <w:t>Bold</w:t>
      </w:r>
      <w:r w:rsidRPr="00906719">
        <w:rPr>
          <w:color w:val="000000" w:themeColor="text1"/>
          <w:szCs w:val="18"/>
        </w:rPr>
        <w:t xml:space="preserve"> means statistically significant mean difference. </w:t>
      </w:r>
    </w:p>
    <w:p w14:paraId="47E96B2E" w14:textId="5970ADEE" w:rsidR="00105511" w:rsidRPr="00906719" w:rsidRDefault="00854D0F" w:rsidP="00E374F0">
      <w:pPr>
        <w:pStyle w:val="TableFigureFooter"/>
        <w:rPr>
          <w:color w:val="000000" w:themeColor="text1"/>
          <w:szCs w:val="20"/>
        </w:rPr>
      </w:pPr>
      <w:r>
        <w:rPr>
          <w:color w:val="000000" w:themeColor="text1"/>
          <w:szCs w:val="18"/>
          <w:vertAlign w:val="superscript"/>
        </w:rPr>
        <w:t>a</w:t>
      </w:r>
      <w:r w:rsidR="00105511" w:rsidRPr="00906719">
        <w:rPr>
          <w:color w:val="000000" w:themeColor="text1"/>
          <w:szCs w:val="18"/>
        </w:rPr>
        <w:t xml:space="preserve"> </w:t>
      </w:r>
      <w:r w:rsidR="00105511" w:rsidRPr="00906719">
        <w:rPr>
          <w:color w:val="000000" w:themeColor="text1"/>
          <w:szCs w:val="20"/>
        </w:rPr>
        <w:t xml:space="preserve">Standardised by time of change from pre-dose in FEV1 after drug inhalation in the morning of day 1 (baseline). </w:t>
      </w:r>
    </w:p>
    <w:p w14:paraId="4B24A4FD" w14:textId="68588295" w:rsidR="00105511" w:rsidRDefault="00854D0F" w:rsidP="00E374F0">
      <w:pPr>
        <w:pStyle w:val="TableFigureFooter"/>
        <w:rPr>
          <w:color w:val="000000" w:themeColor="text1"/>
          <w:szCs w:val="20"/>
        </w:rPr>
      </w:pPr>
      <w:r>
        <w:rPr>
          <w:color w:val="000000" w:themeColor="text1"/>
          <w:szCs w:val="20"/>
          <w:vertAlign w:val="superscript"/>
        </w:rPr>
        <w:t>b</w:t>
      </w:r>
      <w:r w:rsidR="00105511" w:rsidRPr="00906719">
        <w:rPr>
          <w:color w:val="000000" w:themeColor="text1"/>
          <w:szCs w:val="20"/>
          <w:vertAlign w:val="superscript"/>
        </w:rPr>
        <w:t xml:space="preserve"> </w:t>
      </w:r>
      <w:r w:rsidR="003D4F7D" w:rsidRPr="00906719">
        <w:rPr>
          <w:color w:val="000000" w:themeColor="text1"/>
          <w:szCs w:val="20"/>
        </w:rPr>
        <w:t xml:space="preserve">Not standardised. </w:t>
      </w:r>
    </w:p>
    <w:p w14:paraId="717A9EEA" w14:textId="0E02B061" w:rsidR="00854D0F" w:rsidRPr="00906719" w:rsidRDefault="00854D0F" w:rsidP="00E374F0">
      <w:pPr>
        <w:pStyle w:val="TableFigureFooter"/>
        <w:rPr>
          <w:color w:val="000000" w:themeColor="text1"/>
          <w:szCs w:val="18"/>
        </w:rPr>
      </w:pPr>
      <w:r>
        <w:rPr>
          <w:color w:val="000000" w:themeColor="text1"/>
          <w:szCs w:val="18"/>
          <w:vertAlign w:val="superscript"/>
        </w:rPr>
        <w:t>c</w:t>
      </w:r>
      <w:r w:rsidRPr="00906719">
        <w:rPr>
          <w:color w:val="000000" w:themeColor="text1"/>
          <w:szCs w:val="18"/>
          <w:vertAlign w:val="superscript"/>
        </w:rPr>
        <w:t xml:space="preserve"> </w:t>
      </w:r>
      <w:r w:rsidRPr="00906719">
        <w:rPr>
          <w:snapToGrid/>
          <w:color w:val="000000" w:themeColor="text1"/>
          <w:szCs w:val="18"/>
        </w:rPr>
        <w:t>COPD exacerbations between date of Visit 2 and the end of the study and derived from the consumption of resources form are considered for the analysis.</w:t>
      </w:r>
      <w:r w:rsidRPr="00906719">
        <w:rPr>
          <w:color w:val="000000" w:themeColor="text1"/>
          <w:szCs w:val="18"/>
        </w:rPr>
        <w:t xml:space="preserve"> Percentages are calculated on the number of patients (N).</w:t>
      </w:r>
    </w:p>
    <w:p w14:paraId="2FF143F5" w14:textId="194643F6" w:rsidR="008D0A50" w:rsidRPr="00906719" w:rsidRDefault="00E374F0" w:rsidP="00E374F0">
      <w:pPr>
        <w:pStyle w:val="TableFigureFooter"/>
        <w:rPr>
          <w:color w:val="000000" w:themeColor="text1"/>
          <w:szCs w:val="18"/>
        </w:rPr>
      </w:pPr>
      <w:r w:rsidRPr="00906719">
        <w:rPr>
          <w:color w:val="000000" w:themeColor="text1"/>
          <w:szCs w:val="18"/>
        </w:rPr>
        <w:t>Source: Table 37, 38, 43, 47 and 50, p60-75 of the submission.</w:t>
      </w:r>
    </w:p>
    <w:p w14:paraId="6C0C9A01" w14:textId="30D141D6" w:rsidR="008D0A50" w:rsidRPr="006A50B1" w:rsidRDefault="008D0A50">
      <w:pPr>
        <w:pStyle w:val="3-BodyText"/>
        <w:rPr>
          <w:rFonts w:eastAsia="Calibri"/>
          <w:iCs/>
          <w:color w:val="000000" w:themeColor="text1"/>
        </w:rPr>
      </w:pPr>
      <w:r w:rsidRPr="00906719">
        <w:rPr>
          <w:rFonts w:eastAsia="Calibri"/>
          <w:iCs/>
          <w:color w:val="000000" w:themeColor="text1"/>
        </w:rPr>
        <w:t xml:space="preserve">Change in pre-dose morning forced expiratory volume (FEV1) area under the curve zero to thirty minutes </w:t>
      </w:r>
      <w:r w:rsidR="000B730E">
        <w:rPr>
          <w:rFonts w:eastAsia="Calibri"/>
          <w:iCs/>
          <w:color w:val="000000" w:themeColor="text1"/>
        </w:rPr>
        <w:t xml:space="preserve">(standardised by time of change from pre-dose in FEV1) </w:t>
      </w:r>
      <w:r w:rsidRPr="00906719">
        <w:rPr>
          <w:rFonts w:eastAsia="Calibri"/>
          <w:iCs/>
          <w:color w:val="000000" w:themeColor="text1"/>
        </w:rPr>
        <w:t xml:space="preserve">after drug inhalation at the baseline visit compared treatments in terms of their onset of action. </w:t>
      </w:r>
      <w:r w:rsidR="00644FC1" w:rsidRPr="00906719">
        <w:rPr>
          <w:rFonts w:eastAsia="Calibri"/>
          <w:iCs/>
          <w:color w:val="000000" w:themeColor="text1"/>
        </w:rPr>
        <w:t>The i</w:t>
      </w:r>
      <w:r w:rsidRPr="00906719">
        <w:rPr>
          <w:rFonts w:eastAsia="Calibri"/>
          <w:iCs/>
          <w:color w:val="000000" w:themeColor="text1"/>
        </w:rPr>
        <w:t xml:space="preserve">ncrease in FEV1 was found to be significantly higher in the BEC/FOR group compared to the FP/SAL group (adjusted mean difference 73 ml; p = &lt;0.001) (Table </w:t>
      </w:r>
      <w:r w:rsidR="004C1289">
        <w:rPr>
          <w:rFonts w:eastAsia="Calibri"/>
          <w:iCs/>
          <w:color w:val="000000" w:themeColor="text1"/>
        </w:rPr>
        <w:t>5</w:t>
      </w:r>
      <w:r w:rsidRPr="00906719">
        <w:rPr>
          <w:rFonts w:eastAsia="Calibri"/>
          <w:iCs/>
          <w:color w:val="000000" w:themeColor="text1"/>
        </w:rPr>
        <w:t>). The change in this outcome was also found to be significant when measured at week 12 (Table</w:t>
      </w:r>
      <w:r w:rsidR="004C1289">
        <w:rPr>
          <w:rFonts w:eastAsia="Calibri"/>
          <w:iCs/>
          <w:color w:val="000000" w:themeColor="text1"/>
        </w:rPr>
        <w:t xml:space="preserve"> 5</w:t>
      </w:r>
      <w:r w:rsidRPr="00906719">
        <w:rPr>
          <w:rFonts w:eastAsia="Calibri"/>
          <w:iCs/>
          <w:color w:val="000000" w:themeColor="text1"/>
        </w:rPr>
        <w:t>).</w:t>
      </w:r>
      <w:r w:rsidRPr="00906719">
        <w:rPr>
          <w:rFonts w:eastAsia="Calibri"/>
          <w:i/>
          <w:color w:val="000000" w:themeColor="text1"/>
        </w:rPr>
        <w:t xml:space="preserve"> </w:t>
      </w:r>
      <w:r w:rsidRPr="006A50B1">
        <w:rPr>
          <w:rFonts w:eastAsia="Calibri"/>
          <w:iCs/>
          <w:color w:val="000000" w:themeColor="text1"/>
        </w:rPr>
        <w:t xml:space="preserve">As outlined in paragraph </w:t>
      </w:r>
      <w:r w:rsidR="002943AE">
        <w:rPr>
          <w:rFonts w:eastAsia="Calibri"/>
          <w:iCs/>
          <w:color w:val="000000" w:themeColor="text1"/>
        </w:rPr>
        <w:fldChar w:fldCharType="begin"/>
      </w:r>
      <w:r w:rsidR="002943AE">
        <w:rPr>
          <w:rFonts w:eastAsia="Calibri"/>
          <w:iCs/>
          <w:color w:val="000000" w:themeColor="text1"/>
        </w:rPr>
        <w:instrText xml:space="preserve"> REF _Ref95381439 \r \h </w:instrText>
      </w:r>
      <w:r w:rsidR="002943AE">
        <w:rPr>
          <w:rFonts w:eastAsia="Calibri"/>
          <w:iCs/>
          <w:color w:val="000000" w:themeColor="text1"/>
        </w:rPr>
      </w:r>
      <w:r w:rsidR="002943AE">
        <w:rPr>
          <w:rFonts w:eastAsia="Calibri"/>
          <w:iCs/>
          <w:color w:val="000000" w:themeColor="text1"/>
        </w:rPr>
        <w:fldChar w:fldCharType="separate"/>
      </w:r>
      <w:r w:rsidR="000A781E">
        <w:rPr>
          <w:rFonts w:eastAsia="Calibri"/>
          <w:iCs/>
          <w:color w:val="000000" w:themeColor="text1"/>
        </w:rPr>
        <w:t>6.8</w:t>
      </w:r>
      <w:r w:rsidR="002943AE">
        <w:rPr>
          <w:rFonts w:eastAsia="Calibri"/>
          <w:iCs/>
          <w:color w:val="000000" w:themeColor="text1"/>
        </w:rPr>
        <w:fldChar w:fldCharType="end"/>
      </w:r>
      <w:r w:rsidRPr="006A50B1">
        <w:rPr>
          <w:rFonts w:eastAsia="Calibri"/>
          <w:iCs/>
          <w:color w:val="000000" w:themeColor="text1"/>
        </w:rPr>
        <w:t>, this outcome was intended to show the faster onset of action of BEC/FOR over FP/SAL and is not a measure of long-term patient improvement.</w:t>
      </w:r>
    </w:p>
    <w:p w14:paraId="66D02F00" w14:textId="0A298044" w:rsidR="008D0A50" w:rsidRPr="000241F6" w:rsidRDefault="00090940" w:rsidP="00090940">
      <w:pPr>
        <w:pStyle w:val="3-BodyText"/>
        <w:rPr>
          <w:i/>
          <w:color w:val="000000" w:themeColor="text1"/>
        </w:rPr>
      </w:pPr>
      <w:r w:rsidRPr="00ED2B48">
        <w:rPr>
          <w:color w:val="000000" w:themeColor="text1"/>
        </w:rPr>
        <w:lastRenderedPageBreak/>
        <w:t xml:space="preserve">No statistically significant differences between treatment arms </w:t>
      </w:r>
      <w:proofErr w:type="gramStart"/>
      <w:r w:rsidRPr="00ED2B48">
        <w:rPr>
          <w:color w:val="000000" w:themeColor="text1"/>
        </w:rPr>
        <w:t>was</w:t>
      </w:r>
      <w:proofErr w:type="gramEnd"/>
      <w:r w:rsidRPr="00ED2B48">
        <w:rPr>
          <w:color w:val="000000" w:themeColor="text1"/>
        </w:rPr>
        <w:t xml:space="preserve"> identified for the other primary outcome of the FUTURE trial, TDI score. </w:t>
      </w:r>
      <w:r w:rsidRPr="00906719">
        <w:rPr>
          <w:color w:val="000000" w:themeColor="text1"/>
          <w:lang w:val="en-US"/>
        </w:rPr>
        <w:t xml:space="preserve">The difference </w:t>
      </w:r>
      <w:r w:rsidRPr="00906719">
        <w:rPr>
          <w:color w:val="000000" w:themeColor="text1"/>
        </w:rPr>
        <w:t>between the BEC/FOR group and the FP/SAL group in the ANCOVA model and the 95% CI for the difference (-0.387 to 0.718) lay entirely within the proposed ± 1 equivalence margins</w:t>
      </w:r>
      <w:r w:rsidR="008D0A50" w:rsidRPr="00906719">
        <w:rPr>
          <w:color w:val="000000" w:themeColor="text1"/>
        </w:rPr>
        <w:t>.</w:t>
      </w:r>
      <w:r w:rsidR="00104CFB" w:rsidRPr="000241F6">
        <w:rPr>
          <w:color w:val="000000" w:themeColor="text1"/>
        </w:rPr>
        <w:t xml:space="preserve"> </w:t>
      </w:r>
    </w:p>
    <w:p w14:paraId="15793FE8" w14:textId="5C009A71" w:rsidR="008D0A50" w:rsidRPr="00ED2B48" w:rsidRDefault="00C42E03" w:rsidP="00E374F0">
      <w:pPr>
        <w:pStyle w:val="3-BodyText"/>
        <w:rPr>
          <w:color w:val="000000" w:themeColor="text1"/>
          <w:lang w:val="en-US"/>
        </w:rPr>
      </w:pPr>
      <w:r w:rsidRPr="00ED2B48">
        <w:rPr>
          <w:color w:val="000000" w:themeColor="text1"/>
          <w:lang w:val="en-US"/>
        </w:rPr>
        <w:t>N</w:t>
      </w:r>
      <w:r w:rsidR="009B3E51" w:rsidRPr="00ED2B48">
        <w:rPr>
          <w:color w:val="000000" w:themeColor="text1"/>
          <w:lang w:val="en-US"/>
        </w:rPr>
        <w:t>o statistically significant difference</w:t>
      </w:r>
      <w:r w:rsidRPr="00ED2B48">
        <w:rPr>
          <w:color w:val="000000" w:themeColor="text1"/>
          <w:lang w:val="en-US"/>
        </w:rPr>
        <w:t>s were seen</w:t>
      </w:r>
      <w:r w:rsidR="009B3E51" w:rsidRPr="00ED2B48">
        <w:rPr>
          <w:color w:val="000000" w:themeColor="text1"/>
          <w:lang w:val="en-US"/>
        </w:rPr>
        <w:t xml:space="preserve"> between BEC/FOR and FP/SAL in </w:t>
      </w:r>
      <w:r w:rsidRPr="00ED2B48">
        <w:rPr>
          <w:color w:val="000000" w:themeColor="text1"/>
          <w:lang w:val="en-US"/>
        </w:rPr>
        <w:t>the remaining key secondary outcomes reported in Table 5</w:t>
      </w:r>
      <w:r w:rsidR="009B3E51" w:rsidRPr="00ED2B48">
        <w:rPr>
          <w:color w:val="000000" w:themeColor="text1"/>
          <w:lang w:val="en-US"/>
        </w:rPr>
        <w:t xml:space="preserve">. </w:t>
      </w:r>
    </w:p>
    <w:p w14:paraId="1E31BD24" w14:textId="5E69B91D" w:rsidR="00BB3F71" w:rsidRPr="00ED2B48" w:rsidRDefault="00BB3F71" w:rsidP="00ED2B48">
      <w:pPr>
        <w:pStyle w:val="3-BodyText"/>
        <w:rPr>
          <w:color w:val="000000" w:themeColor="text1"/>
        </w:rPr>
      </w:pPr>
      <w:r w:rsidRPr="00ED2B48">
        <w:rPr>
          <w:color w:val="000000" w:themeColor="text1"/>
        </w:rPr>
        <w:t xml:space="preserve">The key results of the </w:t>
      </w:r>
      <w:r w:rsidRPr="00906719">
        <w:rPr>
          <w:color w:val="000000" w:themeColor="text1"/>
          <w:lang w:val="en-US"/>
        </w:rPr>
        <w:t>Calverley et al. (2010) trial</w:t>
      </w:r>
      <w:r w:rsidRPr="00ED2B48">
        <w:rPr>
          <w:color w:val="000000" w:themeColor="text1"/>
        </w:rPr>
        <w:t xml:space="preserve"> </w:t>
      </w:r>
      <w:proofErr w:type="gramStart"/>
      <w:r w:rsidRPr="00ED2B48">
        <w:rPr>
          <w:color w:val="000000" w:themeColor="text1"/>
        </w:rPr>
        <w:t>are</w:t>
      </w:r>
      <w:proofErr w:type="gramEnd"/>
      <w:r w:rsidRPr="00ED2B48">
        <w:rPr>
          <w:color w:val="000000" w:themeColor="text1"/>
        </w:rPr>
        <w:t xml:space="preserve"> presented in Table 6. </w:t>
      </w:r>
    </w:p>
    <w:p w14:paraId="587DB1AF" w14:textId="58F99C70" w:rsidR="00E374F0" w:rsidRPr="00906719" w:rsidRDefault="00E374F0" w:rsidP="00131ED0">
      <w:pPr>
        <w:pStyle w:val="Caption"/>
        <w:keepNext/>
        <w:spacing w:after="0"/>
        <w:rPr>
          <w:rFonts w:ascii="Arial Narrow" w:eastAsia="MS Gothic" w:hAnsi="Arial Narrow" w:cs="Times New Roman"/>
          <w:b w:val="0"/>
          <w:bCs w:val="0"/>
          <w:color w:val="000000" w:themeColor="text1"/>
          <w:sz w:val="20"/>
          <w:szCs w:val="20"/>
        </w:rPr>
      </w:pPr>
      <w:r w:rsidRPr="00906719">
        <w:rPr>
          <w:rFonts w:ascii="Arial Narrow" w:hAnsi="Arial Narrow"/>
          <w:color w:val="000000" w:themeColor="text1"/>
          <w:sz w:val="20"/>
          <w:szCs w:val="20"/>
        </w:rPr>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6</w:t>
      </w:r>
      <w:r w:rsidRPr="00906719">
        <w:rPr>
          <w:rFonts w:ascii="Arial Narrow" w:hAnsi="Arial Narrow"/>
          <w:color w:val="000000" w:themeColor="text1"/>
          <w:sz w:val="20"/>
          <w:szCs w:val="20"/>
        </w:rPr>
        <w:fldChar w:fldCharType="end"/>
      </w:r>
      <w:r w:rsidRPr="00906719">
        <w:rPr>
          <w:rFonts w:ascii="Arial Narrow" w:eastAsia="MS Gothic" w:hAnsi="Arial Narrow" w:cs="Times New Roman"/>
          <w:b w:val="0"/>
          <w:bCs w:val="0"/>
          <w:color w:val="000000" w:themeColor="text1"/>
          <w:sz w:val="20"/>
          <w:szCs w:val="20"/>
        </w:rPr>
        <w:t xml:space="preserve">: </w:t>
      </w:r>
      <w:r w:rsidR="00C42E03" w:rsidRPr="00906719">
        <w:rPr>
          <w:rFonts w:ascii="Arial Narrow" w:eastAsia="MS Gothic" w:hAnsi="Arial Narrow" w:cs="Times New Roman"/>
          <w:bCs w:val="0"/>
          <w:color w:val="000000" w:themeColor="text1"/>
          <w:sz w:val="20"/>
          <w:szCs w:val="20"/>
        </w:rPr>
        <w:t>Key efficacy outcomes reported in</w:t>
      </w:r>
      <w:r w:rsidR="0042743C" w:rsidRPr="00906719">
        <w:rPr>
          <w:rFonts w:ascii="Arial Narrow" w:eastAsia="MS Gothic" w:hAnsi="Arial Narrow" w:cs="Times New Roman"/>
          <w:bCs w:val="0"/>
          <w:color w:val="000000" w:themeColor="text1"/>
          <w:sz w:val="20"/>
          <w:szCs w:val="20"/>
        </w:rPr>
        <w:t xml:space="preserve"> </w:t>
      </w:r>
      <w:r w:rsidRPr="00906719">
        <w:rPr>
          <w:rFonts w:ascii="Arial Narrow" w:eastAsia="MS Gothic" w:hAnsi="Arial Narrow" w:cs="Times New Roman"/>
          <w:bCs w:val="0"/>
          <w:color w:val="000000" w:themeColor="text1"/>
          <w:sz w:val="20"/>
          <w:szCs w:val="20"/>
        </w:rPr>
        <w:t>the Calverley et al. (2010) trial</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10"/>
        <w:gridCol w:w="949"/>
        <w:gridCol w:w="949"/>
        <w:gridCol w:w="949"/>
        <w:gridCol w:w="1851"/>
        <w:gridCol w:w="1849"/>
      </w:tblGrid>
      <w:tr w:rsidR="004B0000" w:rsidRPr="00BD1F00" w14:paraId="7C56F183" w14:textId="77777777" w:rsidTr="004B0000">
        <w:trPr>
          <w:trHeight w:val="370"/>
        </w:trPr>
        <w:tc>
          <w:tcPr>
            <w:tcW w:w="1345" w:type="pct"/>
          </w:tcPr>
          <w:p w14:paraId="69166330"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p>
        </w:tc>
        <w:tc>
          <w:tcPr>
            <w:tcW w:w="530" w:type="pct"/>
            <w:vAlign w:val="center"/>
          </w:tcPr>
          <w:p w14:paraId="524A485A"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 xml:space="preserve">BEC/FOR </w:t>
            </w:r>
          </w:p>
          <w:p w14:paraId="06C6819C"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n=232</w:t>
            </w:r>
          </w:p>
        </w:tc>
        <w:tc>
          <w:tcPr>
            <w:tcW w:w="530" w:type="pct"/>
            <w:vAlign w:val="center"/>
          </w:tcPr>
          <w:p w14:paraId="0866FA25"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BUD/FOR</w:t>
            </w:r>
          </w:p>
          <w:p w14:paraId="719700F4"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n=242</w:t>
            </w:r>
          </w:p>
        </w:tc>
        <w:tc>
          <w:tcPr>
            <w:tcW w:w="530" w:type="pct"/>
            <w:vAlign w:val="center"/>
          </w:tcPr>
          <w:p w14:paraId="490C9497"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FOR</w:t>
            </w:r>
          </w:p>
          <w:p w14:paraId="02AD39C1"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n=238</w:t>
            </w:r>
          </w:p>
        </w:tc>
        <w:tc>
          <w:tcPr>
            <w:tcW w:w="1032" w:type="pct"/>
          </w:tcPr>
          <w:p w14:paraId="4A8D4CDF"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BEC/FOR</w:t>
            </w:r>
          </w:p>
          <w:p w14:paraId="29CAE3DA"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 xml:space="preserve">vs. </w:t>
            </w:r>
          </w:p>
          <w:p w14:paraId="6793EEB2"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BUD/FOR</w:t>
            </w:r>
          </w:p>
        </w:tc>
        <w:tc>
          <w:tcPr>
            <w:tcW w:w="1033" w:type="pct"/>
          </w:tcPr>
          <w:p w14:paraId="31390DF6"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BEC/FOR</w:t>
            </w:r>
          </w:p>
          <w:p w14:paraId="74D97466"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vs.</w:t>
            </w:r>
          </w:p>
          <w:p w14:paraId="55536BAF" w14:textId="77777777" w:rsidR="00520AE2" w:rsidRPr="00ED2B48" w:rsidRDefault="00520AE2" w:rsidP="00131ED0">
            <w:pPr>
              <w:keepNext/>
              <w:jc w:val="center"/>
              <w:rPr>
                <w:rFonts w:ascii="Arial Narrow" w:eastAsia="MS Gothic" w:hAnsi="Arial Narrow" w:cs="Times New Roman"/>
                <w:b/>
                <w:bCs/>
                <w:color w:val="000000" w:themeColor="text1"/>
                <w:sz w:val="20"/>
                <w:szCs w:val="20"/>
              </w:rPr>
            </w:pPr>
            <w:r w:rsidRPr="00ED2B48">
              <w:rPr>
                <w:rFonts w:ascii="Arial Narrow" w:eastAsia="MS Gothic" w:hAnsi="Arial Narrow" w:cs="Times New Roman"/>
                <w:b/>
                <w:bCs/>
                <w:color w:val="000000" w:themeColor="text1"/>
                <w:sz w:val="20"/>
                <w:szCs w:val="20"/>
              </w:rPr>
              <w:t>FOR</w:t>
            </w:r>
          </w:p>
        </w:tc>
      </w:tr>
      <w:tr w:rsidR="004B0000" w:rsidRPr="00BD1F00" w14:paraId="6D44EE83" w14:textId="77777777" w:rsidTr="004B0000">
        <w:trPr>
          <w:trHeight w:val="370"/>
        </w:trPr>
        <w:tc>
          <w:tcPr>
            <w:tcW w:w="1345" w:type="pct"/>
          </w:tcPr>
          <w:p w14:paraId="2E7C1FBC" w14:textId="77777777" w:rsidR="00520AE2" w:rsidRPr="00ED2B48" w:rsidRDefault="00520AE2" w:rsidP="00E20505">
            <w:pPr>
              <w:keepNext/>
              <w:jc w:val="center"/>
              <w:rPr>
                <w:rFonts w:ascii="Arial Narrow" w:eastAsia="MS Gothic" w:hAnsi="Arial Narrow" w:cs="Times New Roman"/>
                <w:b/>
                <w:iCs/>
                <w:color w:val="000000" w:themeColor="text1"/>
                <w:sz w:val="20"/>
                <w:szCs w:val="20"/>
                <w:lang w:val="en-US"/>
              </w:rPr>
            </w:pPr>
          </w:p>
          <w:p w14:paraId="6ADA2D8F" w14:textId="77777777" w:rsidR="00520AE2" w:rsidRPr="00ED2B48" w:rsidRDefault="00520AE2" w:rsidP="00E20505">
            <w:pPr>
              <w:keepNext/>
              <w:jc w:val="center"/>
              <w:rPr>
                <w:rFonts w:ascii="Arial Narrow" w:eastAsia="MS Gothic" w:hAnsi="Arial Narrow" w:cs="TimesNewRoman"/>
                <w:b/>
                <w:bCs/>
                <w:color w:val="000000" w:themeColor="text1"/>
                <w:sz w:val="20"/>
                <w:szCs w:val="20"/>
              </w:rPr>
            </w:pPr>
            <w:r w:rsidRPr="00ED2B48">
              <w:rPr>
                <w:rFonts w:ascii="Arial Narrow" w:eastAsia="MS Gothic" w:hAnsi="Arial Narrow" w:cs="Times New Roman"/>
                <w:b/>
                <w:bCs/>
                <w:iCs/>
                <w:color w:val="000000" w:themeColor="text1"/>
                <w:sz w:val="20"/>
                <w:szCs w:val="20"/>
              </w:rPr>
              <w:t>Outcome</w:t>
            </w:r>
          </w:p>
        </w:tc>
        <w:tc>
          <w:tcPr>
            <w:tcW w:w="530" w:type="pct"/>
            <w:vAlign w:val="center"/>
          </w:tcPr>
          <w:p w14:paraId="1E1B98BE" w14:textId="500947DA" w:rsidR="00520AE2" w:rsidRPr="00ED2B48" w:rsidRDefault="00520AE2" w:rsidP="00E20505">
            <w:pPr>
              <w:keepNext/>
              <w:jc w:val="center"/>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 xml:space="preserve">Adjusted mean </w:t>
            </w:r>
          </w:p>
        </w:tc>
        <w:tc>
          <w:tcPr>
            <w:tcW w:w="530" w:type="pct"/>
            <w:vAlign w:val="center"/>
          </w:tcPr>
          <w:p w14:paraId="23BF7669" w14:textId="29936B52" w:rsidR="00520AE2" w:rsidRPr="00ED2B48" w:rsidRDefault="00520AE2" w:rsidP="00E20505">
            <w:pPr>
              <w:keepNext/>
              <w:jc w:val="center"/>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 xml:space="preserve">Adjusted mean </w:t>
            </w:r>
          </w:p>
        </w:tc>
        <w:tc>
          <w:tcPr>
            <w:tcW w:w="530" w:type="pct"/>
            <w:vAlign w:val="center"/>
          </w:tcPr>
          <w:p w14:paraId="032E5544" w14:textId="3C9177CC" w:rsidR="00520AE2" w:rsidRPr="00ED2B48" w:rsidRDefault="00520AE2" w:rsidP="00E20505">
            <w:pPr>
              <w:keepNext/>
              <w:jc w:val="center"/>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 xml:space="preserve">Adjusted mean </w:t>
            </w:r>
          </w:p>
        </w:tc>
        <w:tc>
          <w:tcPr>
            <w:tcW w:w="1032" w:type="pct"/>
            <w:vAlign w:val="center"/>
          </w:tcPr>
          <w:p w14:paraId="2389D13F" w14:textId="77777777" w:rsidR="00520AE2" w:rsidRPr="00ED2B48" w:rsidRDefault="00520AE2" w:rsidP="00E20505">
            <w:pPr>
              <w:keepNext/>
              <w:jc w:val="center"/>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Adjusted Mean difference (95% CI)</w:t>
            </w:r>
          </w:p>
        </w:tc>
        <w:tc>
          <w:tcPr>
            <w:tcW w:w="1033" w:type="pct"/>
            <w:vAlign w:val="center"/>
          </w:tcPr>
          <w:p w14:paraId="512E0364" w14:textId="77777777" w:rsidR="00520AE2" w:rsidRPr="00ED2B48" w:rsidRDefault="00520AE2" w:rsidP="00E86824">
            <w:pPr>
              <w:keepNext/>
              <w:jc w:val="center"/>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Adjusted mean difference (95% CI)</w:t>
            </w:r>
          </w:p>
        </w:tc>
      </w:tr>
      <w:tr w:rsidR="003C5EB7" w:rsidRPr="00BD1F00" w14:paraId="59E39343" w14:textId="77777777" w:rsidTr="004B0000">
        <w:trPr>
          <w:trHeight w:val="370"/>
        </w:trPr>
        <w:tc>
          <w:tcPr>
            <w:tcW w:w="5000" w:type="pct"/>
            <w:gridSpan w:val="6"/>
            <w:vAlign w:val="center"/>
          </w:tcPr>
          <w:p w14:paraId="39DFCDB6" w14:textId="20CBAA75" w:rsidR="003C5EB7" w:rsidRPr="00ED2B48" w:rsidRDefault="00E86824" w:rsidP="003C5EB7">
            <w:pPr>
              <w:keepNext/>
              <w:jc w:val="left"/>
              <w:rPr>
                <w:rFonts w:ascii="Arial Narrow" w:eastAsia="MS Gothic" w:hAnsi="Arial Narrow" w:cs="Times New Roman"/>
                <w:b/>
                <w:color w:val="000000" w:themeColor="text1"/>
                <w:sz w:val="20"/>
                <w:szCs w:val="20"/>
              </w:rPr>
            </w:pPr>
            <w:r w:rsidRPr="00ED2B48">
              <w:rPr>
                <w:rFonts w:ascii="Arial Narrow" w:eastAsia="MS Gothic" w:hAnsi="Arial Narrow" w:cs="Times New Roman"/>
                <w:b/>
                <w:color w:val="000000" w:themeColor="text1"/>
                <w:sz w:val="20"/>
                <w:szCs w:val="20"/>
              </w:rPr>
              <w:t>Primary outcomes</w:t>
            </w:r>
          </w:p>
        </w:tc>
      </w:tr>
      <w:tr w:rsidR="004B0000" w:rsidRPr="00BD1F00" w14:paraId="314B73AF" w14:textId="77777777" w:rsidTr="004B0000">
        <w:trPr>
          <w:trHeight w:val="370"/>
        </w:trPr>
        <w:tc>
          <w:tcPr>
            <w:tcW w:w="1345" w:type="pct"/>
            <w:vAlign w:val="center"/>
          </w:tcPr>
          <w:p w14:paraId="087F19F8" w14:textId="31CF370D" w:rsidR="00520AE2" w:rsidRPr="00ED2B48" w:rsidRDefault="00520AE2" w:rsidP="000A3EB4">
            <w:pPr>
              <w:keepNext/>
              <w:jc w:val="left"/>
              <w:rPr>
                <w:rFonts w:ascii="Arial Narrow" w:eastAsia="MS Gothic" w:hAnsi="Arial Narrow" w:cs="Times New Roman"/>
                <w:iCs/>
                <w:color w:val="000000" w:themeColor="text1"/>
                <w:sz w:val="20"/>
                <w:szCs w:val="20"/>
                <w:lang w:val="en-US"/>
              </w:rPr>
            </w:pPr>
            <w:r w:rsidRPr="00ED2B48">
              <w:rPr>
                <w:rFonts w:ascii="Arial Narrow" w:eastAsia="MS Gothic" w:hAnsi="Arial Narrow" w:cs="Times New Roman"/>
                <w:color w:val="000000" w:themeColor="text1"/>
                <w:sz w:val="20"/>
                <w:szCs w:val="20"/>
                <w:lang w:val="en-US"/>
              </w:rPr>
              <w:t>Change from baseline in pre-dose FEV1 (L) (week 48)</w:t>
            </w:r>
          </w:p>
        </w:tc>
        <w:tc>
          <w:tcPr>
            <w:tcW w:w="530" w:type="pct"/>
            <w:vAlign w:val="center"/>
          </w:tcPr>
          <w:p w14:paraId="0B9E1918" w14:textId="77777777" w:rsidR="00520AE2" w:rsidRPr="00ED2B48" w:rsidRDefault="00520AE2" w:rsidP="00ED2B48">
            <w:pPr>
              <w:keepNext/>
              <w:jc w:val="right"/>
              <w:rPr>
                <w:rFonts w:ascii="Arial Narrow" w:eastAsia="MS Gothic" w:hAnsi="Arial Narrow" w:cs="Times New Roman"/>
                <w:bCs/>
                <w:color w:val="000000" w:themeColor="text1"/>
                <w:sz w:val="20"/>
                <w:szCs w:val="20"/>
              </w:rPr>
            </w:pPr>
            <w:r w:rsidRPr="00ED2B48">
              <w:rPr>
                <w:rFonts w:ascii="Arial Narrow" w:eastAsia="Calibri" w:hAnsi="Arial Narrow" w:cs="Times New Roman"/>
                <w:bCs/>
                <w:color w:val="000000" w:themeColor="text1"/>
                <w:sz w:val="20"/>
                <w:szCs w:val="20"/>
              </w:rPr>
              <w:t>0.077</w:t>
            </w:r>
          </w:p>
        </w:tc>
        <w:tc>
          <w:tcPr>
            <w:tcW w:w="530" w:type="pct"/>
            <w:vAlign w:val="center"/>
          </w:tcPr>
          <w:p w14:paraId="4B356072" w14:textId="77777777" w:rsidR="00520AE2" w:rsidRPr="00ED2B48" w:rsidRDefault="00520AE2" w:rsidP="00ED2B48">
            <w:pPr>
              <w:keepNext/>
              <w:jc w:val="right"/>
              <w:rPr>
                <w:rFonts w:ascii="Arial Narrow" w:eastAsia="MS Gothic" w:hAnsi="Arial Narrow" w:cs="Times New Roman"/>
                <w:bCs/>
                <w:color w:val="000000" w:themeColor="text1"/>
                <w:sz w:val="20"/>
                <w:szCs w:val="20"/>
              </w:rPr>
            </w:pPr>
            <w:r w:rsidRPr="00ED2B48">
              <w:rPr>
                <w:rFonts w:ascii="Arial Narrow" w:eastAsia="Calibri" w:hAnsi="Arial Narrow" w:cs="Times New Roman"/>
                <w:bCs/>
                <w:color w:val="000000" w:themeColor="text1"/>
                <w:sz w:val="20"/>
                <w:szCs w:val="20"/>
              </w:rPr>
              <w:t>0.080</w:t>
            </w:r>
          </w:p>
        </w:tc>
        <w:tc>
          <w:tcPr>
            <w:tcW w:w="530" w:type="pct"/>
            <w:vAlign w:val="center"/>
          </w:tcPr>
          <w:p w14:paraId="59C1CE21" w14:textId="77777777" w:rsidR="00520AE2" w:rsidRPr="00ED2B48" w:rsidRDefault="00520AE2" w:rsidP="00ED2B48">
            <w:pPr>
              <w:keepNext/>
              <w:jc w:val="right"/>
              <w:rPr>
                <w:rFonts w:ascii="Arial Narrow" w:eastAsia="MS Gothic" w:hAnsi="Arial Narrow" w:cs="Times New Roman"/>
                <w:bCs/>
                <w:color w:val="000000" w:themeColor="text1"/>
                <w:sz w:val="20"/>
                <w:szCs w:val="20"/>
              </w:rPr>
            </w:pPr>
            <w:r w:rsidRPr="00ED2B48">
              <w:rPr>
                <w:rFonts w:ascii="Arial Narrow" w:eastAsia="Calibri" w:hAnsi="Arial Narrow" w:cs="Times New Roman"/>
                <w:bCs/>
                <w:color w:val="000000" w:themeColor="text1"/>
                <w:sz w:val="20"/>
                <w:szCs w:val="20"/>
              </w:rPr>
              <w:t>0.026</w:t>
            </w:r>
          </w:p>
        </w:tc>
        <w:tc>
          <w:tcPr>
            <w:tcW w:w="1032" w:type="pct"/>
            <w:vAlign w:val="center"/>
          </w:tcPr>
          <w:p w14:paraId="55620F8C" w14:textId="3AFB9068" w:rsidR="00520AE2" w:rsidRPr="00ED2B48" w:rsidRDefault="00520AE2" w:rsidP="00ED2B48">
            <w:pPr>
              <w:keepNext/>
              <w:jc w:val="right"/>
              <w:rPr>
                <w:rFonts w:ascii="Arial Narrow" w:eastAsia="MS Gothic" w:hAnsi="Arial Narrow" w:cs="Times New Roman"/>
                <w:bCs/>
                <w:color w:val="000000" w:themeColor="text1"/>
                <w:sz w:val="20"/>
                <w:szCs w:val="20"/>
              </w:rPr>
            </w:pPr>
            <w:r w:rsidRPr="00ED2B48">
              <w:rPr>
                <w:rFonts w:ascii="Arial Narrow" w:eastAsia="MS Gothic" w:hAnsi="Arial Narrow" w:cs="TimesNewRoman"/>
                <w:bCs/>
                <w:color w:val="000000" w:themeColor="text1"/>
                <w:sz w:val="20"/>
                <w:szCs w:val="20"/>
              </w:rPr>
              <w:t xml:space="preserve">-0.002 </w:t>
            </w:r>
            <w:r w:rsidR="000A3EB4"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(-0.</w:t>
            </w:r>
            <w:proofErr w:type="gramStart"/>
            <w:r w:rsidRPr="00ED2B48">
              <w:rPr>
                <w:rFonts w:ascii="Arial Narrow" w:eastAsia="MS Gothic" w:hAnsi="Arial Narrow" w:cs="TimesNewRoman"/>
                <w:bCs/>
                <w:color w:val="000000" w:themeColor="text1"/>
                <w:sz w:val="20"/>
                <w:szCs w:val="20"/>
              </w:rPr>
              <w:t>052)</w:t>
            </w:r>
            <w:r w:rsidRPr="00ED2B48">
              <w:rPr>
                <w:rFonts w:ascii="Arial Narrow" w:eastAsia="MS Gothic" w:hAnsi="Arial Narrow" w:cs="TimesNewRoman"/>
                <w:b/>
                <w:bCs/>
                <w:color w:val="000000" w:themeColor="text1"/>
                <w:sz w:val="20"/>
                <w:szCs w:val="20"/>
                <w:vertAlign w:val="superscript"/>
              </w:rPr>
              <w:t>a</w:t>
            </w:r>
            <w:proofErr w:type="gramEnd"/>
          </w:p>
        </w:tc>
        <w:tc>
          <w:tcPr>
            <w:tcW w:w="1033" w:type="pct"/>
            <w:vAlign w:val="center"/>
          </w:tcPr>
          <w:p w14:paraId="1F2ACAF9" w14:textId="77777777" w:rsidR="00520AE2" w:rsidRPr="00ED2B48" w:rsidRDefault="00520AE2" w:rsidP="00ED2B48">
            <w:pPr>
              <w:widowControl w:val="0"/>
              <w:jc w:val="right"/>
              <w:rPr>
                <w:rFonts w:ascii="Arial Narrow" w:hAnsi="Arial Narrow" w:cs="TimesNewRoman"/>
                <w:b/>
                <w:snapToGrid w:val="0"/>
                <w:color w:val="000000" w:themeColor="text1"/>
                <w:sz w:val="20"/>
                <w:szCs w:val="20"/>
                <w:lang w:eastAsia="en-US"/>
              </w:rPr>
            </w:pPr>
            <w:r w:rsidRPr="00ED2B48">
              <w:rPr>
                <w:rFonts w:ascii="Arial Narrow" w:hAnsi="Arial Narrow" w:cs="TimesNewRoman"/>
                <w:b/>
                <w:snapToGrid w:val="0"/>
                <w:color w:val="000000" w:themeColor="text1"/>
                <w:sz w:val="20"/>
                <w:szCs w:val="20"/>
                <w:lang w:eastAsia="en-US"/>
              </w:rPr>
              <w:t>0.051</w:t>
            </w:r>
          </w:p>
          <w:p w14:paraId="47B9785D" w14:textId="74AB5C23" w:rsidR="00520AE2" w:rsidRPr="00ED2B48" w:rsidRDefault="00520AE2" w:rsidP="00ED2B48">
            <w:pPr>
              <w:keepNext/>
              <w:jc w:val="right"/>
              <w:rPr>
                <w:rFonts w:ascii="Arial Narrow" w:eastAsia="MS Gothic" w:hAnsi="Arial Narrow" w:cs="Times New Roman"/>
                <w:bCs/>
                <w:color w:val="000000" w:themeColor="text1"/>
                <w:sz w:val="20"/>
                <w:szCs w:val="20"/>
              </w:rPr>
            </w:pPr>
            <w:r w:rsidRPr="00ED2B48">
              <w:rPr>
                <w:rFonts w:ascii="Arial Narrow" w:eastAsia="MS Gothic" w:hAnsi="Arial Narrow" w:cs="TimesNewRoman"/>
                <w:b/>
                <w:bCs/>
                <w:color w:val="000000" w:themeColor="text1"/>
                <w:sz w:val="20"/>
                <w:szCs w:val="20"/>
              </w:rPr>
              <w:t>(0.001, 0.102)</w:t>
            </w:r>
            <w:r w:rsidR="00090940" w:rsidRPr="00ED2B48">
              <w:rPr>
                <w:rFonts w:ascii="Arial Narrow" w:eastAsia="MS Gothic" w:hAnsi="Arial Narrow" w:cs="TimesNewRoman"/>
                <w:b/>
                <w:bCs/>
                <w:color w:val="000000" w:themeColor="text1"/>
                <w:sz w:val="20"/>
                <w:szCs w:val="20"/>
              </w:rPr>
              <w:t>, p= 0.046</w:t>
            </w:r>
          </w:p>
        </w:tc>
      </w:tr>
      <w:tr w:rsidR="004B0000" w:rsidRPr="00BD1F00" w14:paraId="4FAA00FE" w14:textId="77777777" w:rsidTr="004B0000">
        <w:trPr>
          <w:trHeight w:val="370"/>
        </w:trPr>
        <w:tc>
          <w:tcPr>
            <w:tcW w:w="1345" w:type="pct"/>
          </w:tcPr>
          <w:p w14:paraId="430ED4DB" w14:textId="5D035B1F" w:rsidR="00E86824" w:rsidRPr="00ED2B48" w:rsidRDefault="00561F9E" w:rsidP="00E86824">
            <w:pPr>
              <w:keepNext/>
              <w:jc w:val="left"/>
              <w:rPr>
                <w:rFonts w:ascii="Arial Narrow" w:eastAsia="MS Gothic" w:hAnsi="Arial Narrow" w:cs="Times New Roman"/>
                <w:color w:val="000000" w:themeColor="text1"/>
                <w:sz w:val="20"/>
                <w:szCs w:val="20"/>
                <w:lang w:val="en-US"/>
              </w:rPr>
            </w:pPr>
            <w:r w:rsidRPr="00ED2B48">
              <w:rPr>
                <w:rFonts w:ascii="Arial Narrow" w:eastAsia="MS Gothic" w:hAnsi="Arial Narrow" w:cs="TimesNewRoman"/>
                <w:bCs/>
                <w:color w:val="000000" w:themeColor="text1"/>
                <w:sz w:val="20"/>
                <w:szCs w:val="20"/>
              </w:rPr>
              <w:t xml:space="preserve">Mean rate per patient/year </w:t>
            </w:r>
            <w:r w:rsidR="00E86824" w:rsidRPr="00ED2B48">
              <w:rPr>
                <w:rFonts w:ascii="Arial Narrow" w:eastAsia="MS Gothic" w:hAnsi="Arial Narrow" w:cs="TimesNewRoman"/>
                <w:bCs/>
                <w:color w:val="000000" w:themeColor="text1"/>
                <w:sz w:val="20"/>
                <w:szCs w:val="20"/>
              </w:rPr>
              <w:t>COPD exacerbations</w:t>
            </w:r>
          </w:p>
        </w:tc>
        <w:tc>
          <w:tcPr>
            <w:tcW w:w="530" w:type="pct"/>
            <w:vAlign w:val="center"/>
          </w:tcPr>
          <w:p w14:paraId="2B08B95D" w14:textId="7E8EFECD" w:rsidR="00E86824" w:rsidRPr="00ED2B48" w:rsidRDefault="00E86824" w:rsidP="00ED2B48">
            <w:pPr>
              <w:keepNext/>
              <w:jc w:val="right"/>
              <w:rPr>
                <w:rFonts w:ascii="Arial Narrow" w:eastAsia="Calibri"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0.414</w:t>
            </w:r>
            <w:r w:rsidR="0042743C" w:rsidRPr="00ED2B48">
              <w:rPr>
                <w:rFonts w:ascii="Arial Narrow" w:eastAsia="MS Gothic" w:hAnsi="Arial Narrow" w:cs="TimesNewRoman"/>
                <w:bCs/>
                <w:color w:val="000000" w:themeColor="text1"/>
                <w:sz w:val="20"/>
                <w:szCs w:val="20"/>
                <w:vertAlign w:val="superscript"/>
              </w:rPr>
              <w:t>b</w:t>
            </w:r>
          </w:p>
        </w:tc>
        <w:tc>
          <w:tcPr>
            <w:tcW w:w="530" w:type="pct"/>
            <w:vAlign w:val="center"/>
          </w:tcPr>
          <w:p w14:paraId="08BBFC88" w14:textId="4D4D8763" w:rsidR="00E86824" w:rsidRPr="00ED2B48" w:rsidRDefault="00E86824" w:rsidP="00ED2B48">
            <w:pPr>
              <w:keepNext/>
              <w:jc w:val="right"/>
              <w:rPr>
                <w:rFonts w:ascii="Arial Narrow" w:eastAsia="Calibri"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0.423</w:t>
            </w:r>
            <w:r w:rsidR="0042743C" w:rsidRPr="00ED2B48">
              <w:rPr>
                <w:rFonts w:ascii="Arial Narrow" w:eastAsia="MS Gothic" w:hAnsi="Arial Narrow" w:cs="TimesNewRoman"/>
                <w:bCs/>
                <w:color w:val="000000" w:themeColor="text1"/>
                <w:sz w:val="20"/>
                <w:szCs w:val="20"/>
                <w:vertAlign w:val="superscript"/>
              </w:rPr>
              <w:t>b</w:t>
            </w:r>
          </w:p>
        </w:tc>
        <w:tc>
          <w:tcPr>
            <w:tcW w:w="530" w:type="pct"/>
            <w:vAlign w:val="center"/>
          </w:tcPr>
          <w:p w14:paraId="2ED3956B" w14:textId="5428ECF3" w:rsidR="00E86824" w:rsidRPr="00ED2B48" w:rsidRDefault="00E86824" w:rsidP="00ED2B48">
            <w:pPr>
              <w:keepNext/>
              <w:jc w:val="right"/>
              <w:rPr>
                <w:rFonts w:ascii="Arial Narrow" w:eastAsia="Calibri"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0.431</w:t>
            </w:r>
            <w:r w:rsidR="0042743C" w:rsidRPr="00ED2B48">
              <w:rPr>
                <w:rFonts w:ascii="Arial Narrow" w:eastAsia="MS Gothic" w:hAnsi="Arial Narrow" w:cs="TimesNewRoman"/>
                <w:bCs/>
                <w:color w:val="000000" w:themeColor="text1"/>
                <w:sz w:val="20"/>
                <w:szCs w:val="20"/>
                <w:vertAlign w:val="superscript"/>
              </w:rPr>
              <w:t>b</w:t>
            </w:r>
          </w:p>
        </w:tc>
        <w:tc>
          <w:tcPr>
            <w:tcW w:w="1032" w:type="pct"/>
            <w:vAlign w:val="center"/>
          </w:tcPr>
          <w:p w14:paraId="06180390" w14:textId="70DB1715"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0.979</w:t>
            </w:r>
            <w:r w:rsidR="0042743C" w:rsidRPr="00ED2B48">
              <w:rPr>
                <w:rFonts w:ascii="Arial Narrow" w:eastAsia="MS Gothic" w:hAnsi="Arial Narrow" w:cs="TimesNewRoman"/>
                <w:bCs/>
                <w:color w:val="000000" w:themeColor="text1"/>
                <w:sz w:val="20"/>
                <w:szCs w:val="20"/>
                <w:vertAlign w:val="superscript"/>
              </w:rPr>
              <w:t>c</w:t>
            </w:r>
            <w:r w:rsidRPr="00ED2B48">
              <w:rPr>
                <w:rFonts w:ascii="Arial Narrow" w:eastAsia="MS Gothic" w:hAnsi="Arial Narrow" w:cs="TimesNewRoman"/>
                <w:bCs/>
                <w:color w:val="000000" w:themeColor="text1"/>
                <w:sz w:val="20"/>
                <w:szCs w:val="20"/>
              </w:rPr>
              <w:t xml:space="preserve"> </w:t>
            </w:r>
            <w:r w:rsidRPr="00ED2B48">
              <w:rPr>
                <w:rFonts w:ascii="Arial Narrow" w:eastAsia="MS Gothic" w:hAnsi="Arial Narrow" w:cs="TimesNewRoman"/>
                <w:bCs/>
                <w:color w:val="000000" w:themeColor="text1"/>
                <w:sz w:val="20"/>
                <w:szCs w:val="20"/>
              </w:rPr>
              <w:br/>
              <w:t>(0.722, 1.326)</w:t>
            </w:r>
          </w:p>
        </w:tc>
        <w:tc>
          <w:tcPr>
            <w:tcW w:w="1033" w:type="pct"/>
            <w:vAlign w:val="center"/>
          </w:tcPr>
          <w:p w14:paraId="624D6F0C" w14:textId="3AD2DA57" w:rsidR="00E86824" w:rsidRPr="00ED2B48" w:rsidRDefault="00E86824" w:rsidP="00ED2B48">
            <w:pPr>
              <w:widowControl w:val="0"/>
              <w:jc w:val="right"/>
              <w:rPr>
                <w:rFonts w:ascii="Arial Narrow" w:hAnsi="Arial Narrow" w:cs="TimesNewRoman"/>
                <w:snapToGrid w:val="0"/>
                <w:color w:val="000000" w:themeColor="text1"/>
                <w:sz w:val="20"/>
                <w:szCs w:val="20"/>
                <w:lang w:eastAsia="en-US"/>
              </w:rPr>
            </w:pPr>
            <w:r w:rsidRPr="00ED2B48">
              <w:rPr>
                <w:rFonts w:ascii="Arial Narrow" w:eastAsia="MS Gothic" w:hAnsi="Arial Narrow" w:cs="TimesNewRoman"/>
                <w:bCs/>
                <w:color w:val="000000" w:themeColor="text1"/>
                <w:sz w:val="20"/>
                <w:szCs w:val="20"/>
              </w:rPr>
              <w:t>0.961</w:t>
            </w:r>
            <w:r w:rsidR="0042743C" w:rsidRPr="00ED2B48">
              <w:rPr>
                <w:rFonts w:ascii="Arial Narrow" w:eastAsia="MS Gothic" w:hAnsi="Arial Narrow" w:cs="TimesNewRoman"/>
                <w:bCs/>
                <w:color w:val="000000" w:themeColor="text1"/>
                <w:sz w:val="20"/>
                <w:szCs w:val="20"/>
                <w:vertAlign w:val="superscript"/>
              </w:rPr>
              <w:t>c</w:t>
            </w:r>
            <w:r w:rsidRPr="00ED2B48">
              <w:rPr>
                <w:rFonts w:ascii="Arial Narrow" w:eastAsia="MS Gothic" w:hAnsi="Arial Narrow" w:cs="TimesNewRoman"/>
                <w:bCs/>
                <w:color w:val="000000" w:themeColor="text1"/>
                <w:sz w:val="20"/>
                <w:szCs w:val="20"/>
              </w:rPr>
              <w:t xml:space="preserve"> </w:t>
            </w:r>
            <w:r w:rsidRPr="00ED2B48">
              <w:rPr>
                <w:rFonts w:ascii="Arial Narrow" w:eastAsia="MS Gothic" w:hAnsi="Arial Narrow" w:cs="TimesNewRoman"/>
                <w:bCs/>
                <w:color w:val="000000" w:themeColor="text1"/>
                <w:sz w:val="20"/>
                <w:szCs w:val="20"/>
              </w:rPr>
              <w:br/>
              <w:t>(0.707, 1.305)</w:t>
            </w:r>
          </w:p>
        </w:tc>
      </w:tr>
      <w:tr w:rsidR="00E86824" w:rsidRPr="00BD1F00" w14:paraId="4E4F3F93" w14:textId="77777777" w:rsidTr="004B0000">
        <w:trPr>
          <w:trHeight w:val="370"/>
        </w:trPr>
        <w:tc>
          <w:tcPr>
            <w:tcW w:w="5000" w:type="pct"/>
            <w:gridSpan w:val="6"/>
            <w:vAlign w:val="center"/>
          </w:tcPr>
          <w:p w14:paraId="1B70B7FE" w14:textId="1CB95DC2" w:rsidR="00E86824" w:rsidRPr="00ED2B48" w:rsidRDefault="00E86824" w:rsidP="00ED2B48">
            <w:pPr>
              <w:keepNext/>
              <w:jc w:val="left"/>
              <w:rPr>
                <w:rFonts w:ascii="Arial Narrow" w:hAnsi="Arial Narrow" w:cs="TimesNewRoman"/>
                <w:snapToGrid w:val="0"/>
                <w:color w:val="000000" w:themeColor="text1"/>
                <w:sz w:val="20"/>
                <w:szCs w:val="20"/>
                <w:lang w:eastAsia="en-US"/>
              </w:rPr>
            </w:pPr>
            <w:r w:rsidRPr="00ED2B48">
              <w:rPr>
                <w:rFonts w:ascii="Arial Narrow" w:eastAsia="MS Gothic" w:hAnsi="Arial Narrow" w:cs="Times New Roman"/>
                <w:b/>
                <w:color w:val="000000" w:themeColor="text1"/>
                <w:sz w:val="20"/>
                <w:szCs w:val="20"/>
              </w:rPr>
              <w:t>Secondary outcomes</w:t>
            </w:r>
          </w:p>
        </w:tc>
      </w:tr>
      <w:tr w:rsidR="00E86824" w:rsidRPr="00BD1F00" w14:paraId="5EF1104C" w14:textId="77777777" w:rsidTr="004B0000">
        <w:trPr>
          <w:trHeight w:val="370"/>
        </w:trPr>
        <w:tc>
          <w:tcPr>
            <w:tcW w:w="1345" w:type="pct"/>
            <w:vAlign w:val="center"/>
          </w:tcPr>
          <w:p w14:paraId="36A1C9A1" w14:textId="78F07080" w:rsidR="00E86824" w:rsidRPr="00ED2B48" w:rsidRDefault="003C46C0" w:rsidP="003C46C0">
            <w:pPr>
              <w:keepNext/>
              <w:jc w:val="left"/>
              <w:rPr>
                <w:rFonts w:ascii="Arial Narrow" w:eastAsia="MS Gothic" w:hAnsi="Arial Narrow" w:cs="TimesNewRoman"/>
                <w:bCs/>
                <w:color w:val="000000" w:themeColor="text1"/>
                <w:sz w:val="20"/>
                <w:szCs w:val="20"/>
              </w:rPr>
            </w:pPr>
            <w:r w:rsidRPr="00ED2B48">
              <w:rPr>
                <w:rFonts w:ascii="Arial Narrow" w:eastAsia="MS Gothic" w:hAnsi="Arial Narrow" w:cs="Times New Roman"/>
                <w:bCs/>
                <w:color w:val="000000" w:themeColor="text1"/>
                <w:sz w:val="20"/>
                <w:szCs w:val="20"/>
              </w:rPr>
              <w:t xml:space="preserve">Mean rate per patient/year </w:t>
            </w:r>
            <w:r w:rsidR="00E86824" w:rsidRPr="00ED2B48">
              <w:rPr>
                <w:rFonts w:ascii="Arial Narrow" w:eastAsia="MS Gothic" w:hAnsi="Arial Narrow" w:cs="Times New Roman"/>
                <w:bCs/>
                <w:color w:val="000000" w:themeColor="text1"/>
                <w:sz w:val="20"/>
                <w:szCs w:val="20"/>
              </w:rPr>
              <w:t>COPD exacerbations leading to hospitalisation</w:t>
            </w:r>
          </w:p>
        </w:tc>
        <w:tc>
          <w:tcPr>
            <w:tcW w:w="530" w:type="pct"/>
            <w:vAlign w:val="center"/>
          </w:tcPr>
          <w:p w14:paraId="42A2A498" w14:textId="6E8F3A76" w:rsidR="00E86824" w:rsidRPr="00ED2B48" w:rsidRDefault="00E86824" w:rsidP="00ED2B48">
            <w:pPr>
              <w:keepNext/>
              <w:ind w:left="720" w:hanging="720"/>
              <w:jc w:val="right"/>
              <w:rPr>
                <w:rFonts w:ascii="Arial Narrow" w:eastAsia="MS Gothic"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0.074</w:t>
            </w:r>
            <w:r w:rsidR="0042743C" w:rsidRPr="00ED2B48">
              <w:rPr>
                <w:rFonts w:ascii="Arial Narrow" w:eastAsia="MS Gothic" w:hAnsi="Arial Narrow" w:cs="TimesNewRoman"/>
                <w:bCs/>
                <w:color w:val="000000" w:themeColor="text1"/>
                <w:sz w:val="20"/>
                <w:szCs w:val="20"/>
                <w:vertAlign w:val="superscript"/>
              </w:rPr>
              <w:t>b</w:t>
            </w:r>
          </w:p>
        </w:tc>
        <w:tc>
          <w:tcPr>
            <w:tcW w:w="530" w:type="pct"/>
            <w:vAlign w:val="center"/>
          </w:tcPr>
          <w:p w14:paraId="74912253" w14:textId="57FCB788" w:rsidR="00E86824" w:rsidRPr="00ED2B48" w:rsidRDefault="00E86824" w:rsidP="00ED2B48">
            <w:pPr>
              <w:keepNext/>
              <w:ind w:left="720" w:hanging="720"/>
              <w:jc w:val="right"/>
              <w:rPr>
                <w:rFonts w:ascii="Arial Narrow" w:eastAsia="MS Gothic"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0.033</w:t>
            </w:r>
            <w:r w:rsidR="0042743C" w:rsidRPr="00ED2B48">
              <w:rPr>
                <w:rFonts w:ascii="Arial Narrow" w:eastAsia="MS Gothic" w:hAnsi="Arial Narrow" w:cs="TimesNewRoman"/>
                <w:bCs/>
                <w:color w:val="000000" w:themeColor="text1"/>
                <w:sz w:val="20"/>
                <w:szCs w:val="20"/>
                <w:vertAlign w:val="superscript"/>
              </w:rPr>
              <w:t>b</w:t>
            </w:r>
          </w:p>
        </w:tc>
        <w:tc>
          <w:tcPr>
            <w:tcW w:w="530" w:type="pct"/>
            <w:vAlign w:val="center"/>
          </w:tcPr>
          <w:p w14:paraId="7EDEB273" w14:textId="5DF8603A" w:rsidR="00E86824" w:rsidRPr="00ED2B48" w:rsidRDefault="00E86824" w:rsidP="00ED2B48">
            <w:pPr>
              <w:keepNext/>
              <w:ind w:left="720" w:hanging="720"/>
              <w:jc w:val="right"/>
              <w:rPr>
                <w:rFonts w:ascii="Arial Narrow" w:eastAsia="MS Gothic" w:hAnsi="Arial Narrow" w:cs="Times New Roman"/>
                <w:bCs/>
                <w:color w:val="000000" w:themeColor="text1"/>
                <w:sz w:val="20"/>
                <w:szCs w:val="20"/>
                <w:vertAlign w:val="superscript"/>
              </w:rPr>
            </w:pPr>
            <w:r w:rsidRPr="00ED2B48">
              <w:rPr>
                <w:rFonts w:ascii="Arial Narrow" w:eastAsia="MS Gothic" w:hAnsi="Arial Narrow" w:cs="TimesNewRoman"/>
                <w:bCs/>
                <w:color w:val="000000" w:themeColor="text1"/>
                <w:sz w:val="20"/>
                <w:szCs w:val="20"/>
              </w:rPr>
              <w:t>0.040</w:t>
            </w:r>
            <w:r w:rsidR="0042743C" w:rsidRPr="00ED2B48">
              <w:rPr>
                <w:rFonts w:ascii="Arial Narrow" w:eastAsia="MS Gothic" w:hAnsi="Arial Narrow" w:cs="TimesNewRoman"/>
                <w:bCs/>
                <w:color w:val="000000" w:themeColor="text1"/>
                <w:sz w:val="20"/>
                <w:szCs w:val="20"/>
                <w:vertAlign w:val="superscript"/>
              </w:rPr>
              <w:t>b</w:t>
            </w:r>
          </w:p>
        </w:tc>
        <w:tc>
          <w:tcPr>
            <w:tcW w:w="1033" w:type="pct"/>
            <w:vAlign w:val="center"/>
          </w:tcPr>
          <w:p w14:paraId="454DAA47" w14:textId="11CA9890" w:rsidR="00E86824" w:rsidRPr="00ED2B48" w:rsidRDefault="00E86824" w:rsidP="00ED2B48">
            <w:pPr>
              <w:keepNext/>
              <w:jc w:val="right"/>
              <w:rPr>
                <w:rFonts w:ascii="Arial Narrow" w:eastAsia="MS Gothic" w:hAnsi="Arial Narrow" w:cs="TimesNewRoman"/>
                <w:b/>
                <w:bCs/>
                <w:color w:val="000000" w:themeColor="text1"/>
                <w:sz w:val="20"/>
                <w:szCs w:val="20"/>
              </w:rPr>
            </w:pPr>
            <w:r w:rsidRPr="00ED2B48">
              <w:rPr>
                <w:rFonts w:ascii="Arial Narrow" w:eastAsia="MS Gothic" w:hAnsi="Arial Narrow" w:cs="TimesNewRoman"/>
                <w:b/>
                <w:bCs/>
                <w:color w:val="000000" w:themeColor="text1"/>
                <w:sz w:val="20"/>
                <w:szCs w:val="20"/>
              </w:rPr>
              <w:t>2.222</w:t>
            </w:r>
            <w:r w:rsidR="0042743C" w:rsidRPr="00ED2B48">
              <w:rPr>
                <w:rFonts w:ascii="Arial Narrow" w:eastAsia="MS Gothic" w:hAnsi="Arial Narrow" w:cs="TimesNewRoman"/>
                <w:b/>
                <w:bCs/>
                <w:color w:val="000000" w:themeColor="text1"/>
                <w:sz w:val="20"/>
                <w:szCs w:val="20"/>
                <w:vertAlign w:val="superscript"/>
              </w:rPr>
              <w:t>c</w:t>
            </w:r>
            <w:r w:rsidRPr="00ED2B48">
              <w:rPr>
                <w:rFonts w:ascii="Arial Narrow" w:eastAsia="MS Gothic" w:hAnsi="Arial Narrow" w:cs="TimesNewRoman"/>
                <w:b/>
                <w:bCs/>
                <w:color w:val="000000" w:themeColor="text1"/>
                <w:sz w:val="20"/>
                <w:szCs w:val="20"/>
              </w:rPr>
              <w:t xml:space="preserve"> </w:t>
            </w:r>
            <w:r w:rsidR="003C46C0" w:rsidRPr="00ED2B48">
              <w:rPr>
                <w:rFonts w:ascii="Arial Narrow" w:eastAsia="MS Gothic" w:hAnsi="Arial Narrow" w:cs="TimesNewRoman"/>
                <w:b/>
                <w:bCs/>
                <w:color w:val="000000" w:themeColor="text1"/>
                <w:sz w:val="20"/>
                <w:szCs w:val="20"/>
              </w:rPr>
              <w:br/>
            </w:r>
            <w:r w:rsidRPr="00ED2B48">
              <w:rPr>
                <w:rFonts w:ascii="Arial Narrow" w:eastAsia="MS Gothic" w:hAnsi="Arial Narrow" w:cs="TimesNewRoman"/>
                <w:b/>
                <w:bCs/>
                <w:color w:val="000000" w:themeColor="text1"/>
                <w:sz w:val="20"/>
                <w:szCs w:val="20"/>
              </w:rPr>
              <w:t>(1.384, 3.567), p&lt;0.001</w:t>
            </w:r>
          </w:p>
        </w:tc>
        <w:tc>
          <w:tcPr>
            <w:tcW w:w="1033" w:type="pct"/>
            <w:vAlign w:val="center"/>
          </w:tcPr>
          <w:p w14:paraId="045C2B2D" w14:textId="7378D11B" w:rsidR="00E86824" w:rsidRPr="00ED2B48" w:rsidRDefault="00E86824" w:rsidP="00ED2B48">
            <w:pPr>
              <w:keepNext/>
              <w:jc w:val="right"/>
              <w:rPr>
                <w:rFonts w:ascii="Arial Narrow" w:eastAsia="MS Gothic" w:hAnsi="Arial Narrow" w:cs="TimesNewRoman"/>
                <w:b/>
                <w:bCs/>
                <w:color w:val="000000" w:themeColor="text1"/>
                <w:sz w:val="20"/>
                <w:szCs w:val="20"/>
              </w:rPr>
            </w:pPr>
            <w:r w:rsidRPr="00ED2B48">
              <w:rPr>
                <w:rFonts w:ascii="Arial Narrow" w:eastAsia="MS Gothic" w:hAnsi="Arial Narrow" w:cs="TimesNewRoman"/>
                <w:b/>
                <w:bCs/>
                <w:color w:val="000000" w:themeColor="text1"/>
                <w:sz w:val="20"/>
                <w:szCs w:val="20"/>
              </w:rPr>
              <w:t>1.844</w:t>
            </w:r>
            <w:r w:rsidR="0042743C" w:rsidRPr="00ED2B48">
              <w:rPr>
                <w:rFonts w:ascii="Arial Narrow" w:eastAsia="MS Gothic" w:hAnsi="Arial Narrow" w:cs="TimesNewRoman"/>
                <w:b/>
                <w:bCs/>
                <w:color w:val="000000" w:themeColor="text1"/>
                <w:sz w:val="20"/>
                <w:szCs w:val="20"/>
                <w:vertAlign w:val="superscript"/>
              </w:rPr>
              <w:t>c</w:t>
            </w:r>
            <w:r w:rsidRPr="00ED2B48">
              <w:rPr>
                <w:rFonts w:ascii="Arial Narrow" w:eastAsia="MS Gothic" w:hAnsi="Arial Narrow" w:cs="TimesNewRoman"/>
                <w:b/>
                <w:bCs/>
                <w:color w:val="000000" w:themeColor="text1"/>
                <w:sz w:val="20"/>
                <w:szCs w:val="20"/>
              </w:rPr>
              <w:t xml:space="preserve"> </w:t>
            </w:r>
            <w:r w:rsidR="003C46C0" w:rsidRPr="00ED2B48">
              <w:rPr>
                <w:rFonts w:ascii="Arial Narrow" w:eastAsia="MS Gothic" w:hAnsi="Arial Narrow" w:cs="TimesNewRoman"/>
                <w:b/>
                <w:bCs/>
                <w:color w:val="000000" w:themeColor="text1"/>
                <w:sz w:val="20"/>
                <w:szCs w:val="20"/>
              </w:rPr>
              <w:br/>
            </w:r>
            <w:r w:rsidRPr="00ED2B48">
              <w:rPr>
                <w:rFonts w:ascii="Arial Narrow" w:eastAsia="MS Gothic" w:hAnsi="Arial Narrow" w:cs="TimesNewRoman"/>
                <w:b/>
                <w:bCs/>
                <w:color w:val="000000" w:themeColor="text1"/>
                <w:sz w:val="20"/>
                <w:szCs w:val="20"/>
              </w:rPr>
              <w:t>(1.173, 2.901), p=0.008</w:t>
            </w:r>
          </w:p>
        </w:tc>
      </w:tr>
      <w:tr w:rsidR="00E86824" w:rsidRPr="00BD1F00" w14:paraId="445F4EA9" w14:textId="77777777" w:rsidTr="004B0000">
        <w:trPr>
          <w:trHeight w:val="122"/>
        </w:trPr>
        <w:tc>
          <w:tcPr>
            <w:tcW w:w="1345" w:type="pct"/>
          </w:tcPr>
          <w:p w14:paraId="760182BB" w14:textId="77777777" w:rsidR="00E86824" w:rsidRPr="00ED2B48" w:rsidRDefault="00E86824" w:rsidP="00E86824">
            <w:pPr>
              <w:keepNext/>
              <w:jc w:val="left"/>
              <w:rPr>
                <w:rFonts w:ascii="Arial Narrow" w:eastAsia="MS Gothic" w:hAnsi="Arial Narrow" w:cs="TimesNewRoman"/>
                <w:bCs/>
                <w:color w:val="000000" w:themeColor="text1"/>
                <w:sz w:val="20"/>
                <w:szCs w:val="20"/>
              </w:rPr>
            </w:pPr>
            <w:r w:rsidRPr="00ED2B48">
              <w:rPr>
                <w:rFonts w:ascii="Arial Narrow" w:eastAsia="MS Gothic" w:hAnsi="Arial Narrow" w:cs="Times New Roman"/>
                <w:bCs/>
                <w:color w:val="000000" w:themeColor="text1"/>
                <w:sz w:val="20"/>
                <w:szCs w:val="20"/>
              </w:rPr>
              <w:t xml:space="preserve">Change from baseline in dyspnoea score (Week 48) </w:t>
            </w:r>
          </w:p>
        </w:tc>
        <w:tc>
          <w:tcPr>
            <w:tcW w:w="530" w:type="pct"/>
            <w:vAlign w:val="center"/>
          </w:tcPr>
          <w:p w14:paraId="4E549B16" w14:textId="77777777" w:rsidR="00E86824" w:rsidRPr="00ED2B48" w:rsidRDefault="00E86824" w:rsidP="00ED2B48">
            <w:pPr>
              <w:keepNext/>
              <w:ind w:left="720" w:hanging="720"/>
              <w:jc w:val="right"/>
              <w:rPr>
                <w:rFonts w:ascii="Arial Narrow" w:eastAsia="MS Gothic" w:hAnsi="Arial Narrow" w:cs="Times New Roman"/>
                <w:bCs/>
                <w:color w:val="000000" w:themeColor="text1"/>
                <w:sz w:val="20"/>
                <w:szCs w:val="20"/>
              </w:rPr>
            </w:pPr>
            <w:r w:rsidRPr="00ED2B48">
              <w:rPr>
                <w:rFonts w:ascii="Arial Narrow" w:eastAsia="MS Gothic" w:hAnsi="Arial Narrow" w:cs="TimesNewRoman"/>
                <w:bCs/>
                <w:color w:val="000000" w:themeColor="text1"/>
                <w:sz w:val="20"/>
                <w:szCs w:val="20"/>
              </w:rPr>
              <w:t>-0.14</w:t>
            </w:r>
          </w:p>
        </w:tc>
        <w:tc>
          <w:tcPr>
            <w:tcW w:w="530" w:type="pct"/>
            <w:vAlign w:val="center"/>
          </w:tcPr>
          <w:p w14:paraId="1ECE6912" w14:textId="77777777" w:rsidR="00E86824" w:rsidRPr="00ED2B48" w:rsidRDefault="00E86824" w:rsidP="00ED2B48">
            <w:pPr>
              <w:keepNext/>
              <w:ind w:left="720" w:hanging="720"/>
              <w:jc w:val="right"/>
              <w:rPr>
                <w:rFonts w:ascii="Arial Narrow" w:eastAsia="MS Gothic" w:hAnsi="Arial Narrow" w:cs="Times New Roman"/>
                <w:bCs/>
                <w:color w:val="000000" w:themeColor="text1"/>
                <w:sz w:val="20"/>
                <w:szCs w:val="20"/>
              </w:rPr>
            </w:pPr>
            <w:r w:rsidRPr="00ED2B48">
              <w:rPr>
                <w:rFonts w:ascii="Arial Narrow" w:eastAsia="MS Gothic" w:hAnsi="Arial Narrow" w:cs="TimesNewRoman"/>
                <w:bCs/>
                <w:color w:val="000000" w:themeColor="text1"/>
                <w:sz w:val="20"/>
                <w:szCs w:val="20"/>
              </w:rPr>
              <w:t>-0.19</w:t>
            </w:r>
          </w:p>
        </w:tc>
        <w:tc>
          <w:tcPr>
            <w:tcW w:w="530" w:type="pct"/>
            <w:vAlign w:val="center"/>
          </w:tcPr>
          <w:p w14:paraId="6FA1955A" w14:textId="77777777" w:rsidR="00E86824" w:rsidRPr="00ED2B48" w:rsidRDefault="00E86824" w:rsidP="00ED2B48">
            <w:pPr>
              <w:keepNext/>
              <w:ind w:left="720" w:hanging="720"/>
              <w:jc w:val="right"/>
              <w:rPr>
                <w:rFonts w:ascii="Arial Narrow" w:eastAsia="MS Gothic" w:hAnsi="Arial Narrow" w:cs="Times New Roman"/>
                <w:bCs/>
                <w:color w:val="000000" w:themeColor="text1"/>
                <w:sz w:val="20"/>
                <w:szCs w:val="20"/>
              </w:rPr>
            </w:pPr>
            <w:r w:rsidRPr="00ED2B48">
              <w:rPr>
                <w:rFonts w:ascii="Arial Narrow" w:eastAsia="MS Gothic" w:hAnsi="Arial Narrow" w:cs="TimesNewRoman"/>
                <w:bCs/>
                <w:color w:val="000000" w:themeColor="text1"/>
                <w:sz w:val="20"/>
                <w:szCs w:val="20"/>
              </w:rPr>
              <w:t>-0.05</w:t>
            </w:r>
          </w:p>
        </w:tc>
        <w:tc>
          <w:tcPr>
            <w:tcW w:w="1033" w:type="pct"/>
            <w:vAlign w:val="center"/>
          </w:tcPr>
          <w:p w14:paraId="24EB9848" w14:textId="4E10D169"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 xml:space="preserve">0.05 </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w:t>
            </w:r>
            <w:r w:rsidRPr="00ED2B48">
              <w:rPr>
                <w:rFonts w:ascii="Arial Narrow" w:eastAsia="Calibri" w:hAnsi="Arial Narrow" w:cs="Times New Roman"/>
                <w:bCs/>
                <w:color w:val="000000" w:themeColor="text1"/>
                <w:sz w:val="20"/>
                <w:szCs w:val="20"/>
              </w:rPr>
              <w:t>-0.07, 0.17</w:t>
            </w:r>
            <w:r w:rsidRPr="00ED2B48">
              <w:rPr>
                <w:rFonts w:ascii="Arial Narrow" w:eastAsia="MS Gothic" w:hAnsi="Arial Narrow" w:cs="TimesNewRoman"/>
                <w:bCs/>
                <w:color w:val="000000" w:themeColor="text1"/>
                <w:sz w:val="20"/>
                <w:szCs w:val="20"/>
              </w:rPr>
              <w:t>)</w:t>
            </w:r>
          </w:p>
        </w:tc>
        <w:tc>
          <w:tcPr>
            <w:tcW w:w="1033" w:type="pct"/>
            <w:vAlign w:val="center"/>
          </w:tcPr>
          <w:p w14:paraId="7D3DBBEC" w14:textId="15EC68A8"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 xml:space="preserve">-0.09 </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(-0.21, 0.03)</w:t>
            </w:r>
          </w:p>
        </w:tc>
      </w:tr>
      <w:tr w:rsidR="00E86824" w:rsidRPr="00BD1F00" w14:paraId="5B15F051" w14:textId="77777777" w:rsidTr="004B0000">
        <w:trPr>
          <w:trHeight w:val="117"/>
        </w:trPr>
        <w:tc>
          <w:tcPr>
            <w:tcW w:w="1345" w:type="pct"/>
          </w:tcPr>
          <w:p w14:paraId="1759820A" w14:textId="77777777" w:rsidR="00E86824" w:rsidRPr="00ED2B48" w:rsidRDefault="00E86824" w:rsidP="00E86824">
            <w:pPr>
              <w:keepNext/>
              <w:jc w:val="left"/>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Change from baseline in total SGRQ score (Week 48)</w:t>
            </w:r>
          </w:p>
        </w:tc>
        <w:tc>
          <w:tcPr>
            <w:tcW w:w="530" w:type="pct"/>
            <w:vAlign w:val="center"/>
          </w:tcPr>
          <w:p w14:paraId="725D44BB"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-3.70</w:t>
            </w:r>
          </w:p>
        </w:tc>
        <w:tc>
          <w:tcPr>
            <w:tcW w:w="530" w:type="pct"/>
            <w:vAlign w:val="center"/>
          </w:tcPr>
          <w:p w14:paraId="7F22A886"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-4.67</w:t>
            </w:r>
          </w:p>
        </w:tc>
        <w:tc>
          <w:tcPr>
            <w:tcW w:w="530" w:type="pct"/>
            <w:vAlign w:val="center"/>
          </w:tcPr>
          <w:p w14:paraId="6FA820C7"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-2.84</w:t>
            </w:r>
          </w:p>
        </w:tc>
        <w:tc>
          <w:tcPr>
            <w:tcW w:w="1033" w:type="pct"/>
            <w:vAlign w:val="center"/>
          </w:tcPr>
          <w:p w14:paraId="1FFE5520" w14:textId="7CE5B00A"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0.98</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(-1.26, 3.21)</w:t>
            </w:r>
          </w:p>
        </w:tc>
        <w:tc>
          <w:tcPr>
            <w:tcW w:w="1033" w:type="pct"/>
            <w:vAlign w:val="center"/>
          </w:tcPr>
          <w:p w14:paraId="7B147693" w14:textId="04CC819D"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-0.86</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(-3.10, 1.39)</w:t>
            </w:r>
          </w:p>
        </w:tc>
      </w:tr>
      <w:tr w:rsidR="00E86824" w:rsidRPr="00BD1F00" w14:paraId="152B574E" w14:textId="77777777" w:rsidTr="004B0000">
        <w:trPr>
          <w:trHeight w:val="117"/>
        </w:trPr>
        <w:tc>
          <w:tcPr>
            <w:tcW w:w="1345" w:type="pct"/>
          </w:tcPr>
          <w:p w14:paraId="73B14AA2" w14:textId="77777777" w:rsidR="00E86824" w:rsidRPr="00ED2B48" w:rsidRDefault="00E86824" w:rsidP="00E86824">
            <w:pPr>
              <w:keepNext/>
              <w:jc w:val="left"/>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Change from baseline in % of symptom free days (Week 48)</w:t>
            </w:r>
          </w:p>
        </w:tc>
        <w:tc>
          <w:tcPr>
            <w:tcW w:w="530" w:type="pct"/>
            <w:vAlign w:val="center"/>
          </w:tcPr>
          <w:p w14:paraId="6FEA708D"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2.63%</w:t>
            </w:r>
          </w:p>
        </w:tc>
        <w:tc>
          <w:tcPr>
            <w:tcW w:w="530" w:type="pct"/>
            <w:vAlign w:val="center"/>
          </w:tcPr>
          <w:p w14:paraId="0FECCD3B"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3.24%</w:t>
            </w:r>
          </w:p>
        </w:tc>
        <w:tc>
          <w:tcPr>
            <w:tcW w:w="530" w:type="pct"/>
            <w:vAlign w:val="center"/>
          </w:tcPr>
          <w:p w14:paraId="0A8A1B97"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3.82 %</w:t>
            </w:r>
          </w:p>
        </w:tc>
        <w:tc>
          <w:tcPr>
            <w:tcW w:w="1033" w:type="pct"/>
            <w:vAlign w:val="center"/>
          </w:tcPr>
          <w:p w14:paraId="6F512A72" w14:textId="05F3CFB9"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-0.61</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(-4.95, 3.73)</w:t>
            </w:r>
          </w:p>
        </w:tc>
        <w:tc>
          <w:tcPr>
            <w:tcW w:w="1033" w:type="pct"/>
            <w:vAlign w:val="center"/>
          </w:tcPr>
          <w:p w14:paraId="17D65944" w14:textId="15E3AD85"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-1.18</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(-5.55, 3.18)</w:t>
            </w:r>
          </w:p>
        </w:tc>
      </w:tr>
      <w:tr w:rsidR="00E86824" w:rsidRPr="00BD1F00" w14:paraId="6EA3B55B" w14:textId="77777777" w:rsidTr="004B0000">
        <w:trPr>
          <w:trHeight w:val="117"/>
        </w:trPr>
        <w:tc>
          <w:tcPr>
            <w:tcW w:w="1345" w:type="pct"/>
          </w:tcPr>
          <w:p w14:paraId="3AC0F765" w14:textId="77777777" w:rsidR="00E86824" w:rsidRPr="00ED2B48" w:rsidRDefault="00E86824" w:rsidP="00E86824">
            <w:pPr>
              <w:keepNext/>
              <w:jc w:val="left"/>
              <w:rPr>
                <w:rFonts w:ascii="Arial Narrow" w:eastAsia="MS Gothic" w:hAnsi="Arial Narrow" w:cs="Times New Roman"/>
                <w:bCs/>
                <w:color w:val="000000" w:themeColor="text1"/>
                <w:sz w:val="20"/>
                <w:szCs w:val="20"/>
              </w:rPr>
            </w:pPr>
            <w:r w:rsidRPr="00ED2B48">
              <w:rPr>
                <w:rFonts w:ascii="Arial Narrow" w:eastAsia="MS Gothic" w:hAnsi="Arial Narrow" w:cs="Times New Roman"/>
                <w:bCs/>
                <w:color w:val="000000" w:themeColor="text1"/>
                <w:sz w:val="20"/>
                <w:szCs w:val="20"/>
              </w:rPr>
              <w:t>Change from baseline in use of rescue medication (Week 48)</w:t>
            </w:r>
          </w:p>
        </w:tc>
        <w:tc>
          <w:tcPr>
            <w:tcW w:w="530" w:type="pct"/>
            <w:vAlign w:val="center"/>
          </w:tcPr>
          <w:p w14:paraId="7B713B02"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-0.23</w:t>
            </w:r>
          </w:p>
        </w:tc>
        <w:tc>
          <w:tcPr>
            <w:tcW w:w="530" w:type="pct"/>
            <w:vAlign w:val="center"/>
          </w:tcPr>
          <w:p w14:paraId="41F1B197"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-0.23</w:t>
            </w:r>
          </w:p>
        </w:tc>
        <w:tc>
          <w:tcPr>
            <w:tcW w:w="530" w:type="pct"/>
            <w:vAlign w:val="center"/>
          </w:tcPr>
          <w:p w14:paraId="7036BD0D" w14:textId="77777777" w:rsidR="00E86824" w:rsidRPr="00ED2B48" w:rsidRDefault="00E86824" w:rsidP="00ED2B48">
            <w:pPr>
              <w:keepNext/>
              <w:ind w:left="720" w:hanging="720"/>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-0.11</w:t>
            </w:r>
          </w:p>
        </w:tc>
        <w:tc>
          <w:tcPr>
            <w:tcW w:w="1033" w:type="pct"/>
            <w:vAlign w:val="center"/>
          </w:tcPr>
          <w:p w14:paraId="7EFF9BB2" w14:textId="3C7FB9BE"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0.02</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(-0.19, 0.22)</w:t>
            </w:r>
          </w:p>
        </w:tc>
        <w:tc>
          <w:tcPr>
            <w:tcW w:w="1033" w:type="pct"/>
            <w:vAlign w:val="center"/>
          </w:tcPr>
          <w:p w14:paraId="2F050529" w14:textId="3568621F" w:rsidR="00E86824" w:rsidRPr="00ED2B48" w:rsidRDefault="00E86824" w:rsidP="00ED2B48">
            <w:pPr>
              <w:keepNext/>
              <w:jc w:val="right"/>
              <w:rPr>
                <w:rFonts w:ascii="Arial Narrow" w:eastAsia="MS Gothic" w:hAnsi="Arial Narrow" w:cs="TimesNewRoman"/>
                <w:bCs/>
                <w:color w:val="000000" w:themeColor="text1"/>
                <w:sz w:val="20"/>
                <w:szCs w:val="20"/>
              </w:rPr>
            </w:pPr>
            <w:r w:rsidRPr="00ED2B48">
              <w:rPr>
                <w:rFonts w:ascii="Arial Narrow" w:eastAsia="MS Gothic" w:hAnsi="Arial Narrow" w:cs="TimesNewRoman"/>
                <w:bCs/>
                <w:color w:val="000000" w:themeColor="text1"/>
                <w:sz w:val="20"/>
                <w:szCs w:val="20"/>
              </w:rPr>
              <w:t>-0.11</w:t>
            </w:r>
            <w:r w:rsidR="0042743C" w:rsidRPr="00ED2B48">
              <w:rPr>
                <w:rFonts w:ascii="Arial Narrow" w:eastAsia="MS Gothic" w:hAnsi="Arial Narrow" w:cs="TimesNewRoman"/>
                <w:bCs/>
                <w:color w:val="000000" w:themeColor="text1"/>
                <w:sz w:val="20"/>
                <w:szCs w:val="20"/>
                <w:vertAlign w:val="superscript"/>
              </w:rPr>
              <w:t>d</w:t>
            </w:r>
            <w:r w:rsidR="003C46C0" w:rsidRPr="00ED2B48">
              <w:rPr>
                <w:rFonts w:ascii="Arial Narrow" w:eastAsia="MS Gothic" w:hAnsi="Arial Narrow" w:cs="TimesNewRoman"/>
                <w:bCs/>
                <w:color w:val="000000" w:themeColor="text1"/>
                <w:sz w:val="20"/>
                <w:szCs w:val="20"/>
              </w:rPr>
              <w:br/>
            </w:r>
            <w:r w:rsidRPr="00ED2B48">
              <w:rPr>
                <w:rFonts w:ascii="Arial Narrow" w:eastAsia="MS Gothic" w:hAnsi="Arial Narrow" w:cs="TimesNewRoman"/>
                <w:bCs/>
                <w:color w:val="000000" w:themeColor="text1"/>
                <w:sz w:val="20"/>
                <w:szCs w:val="20"/>
              </w:rPr>
              <w:t>(-0.32, 0.10)</w:t>
            </w:r>
          </w:p>
        </w:tc>
      </w:tr>
    </w:tbl>
    <w:p w14:paraId="19715E7E" w14:textId="77777777" w:rsidR="00E374F0" w:rsidRPr="00ED2B48" w:rsidRDefault="00E374F0"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rPr>
        <w:t xml:space="preserve">Abbreviations: BEC= Beclometasone dipropionate; FOR= Formoterol fumarate dehydrate; FP= Fluticasone propionate; SAL= Salmeterol; FEV1= Forced Expiratory Volume; COPD= Chronic obstructive pulmonary disease; SGRQ= St. George's Respiratory Questionnaire. </w:t>
      </w:r>
    </w:p>
    <w:p w14:paraId="2D42DA1F" w14:textId="77777777" w:rsidR="00E374F0" w:rsidRPr="00ED2B48" w:rsidRDefault="00E374F0"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rPr>
        <w:t xml:space="preserve">CI = confidence interval. COPD = 95% CI; FEV1 = 95% CI; SGRQ = 95% CI. CI = confidence interval. COPD = 95% CI; FEV1 = 95% CI; SGRQ = 95% CI. </w:t>
      </w:r>
    </w:p>
    <w:p w14:paraId="78B6A2A3" w14:textId="77777777" w:rsidR="00E374F0" w:rsidRPr="00ED2B48" w:rsidRDefault="00E374F0"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bCs/>
          <w:snapToGrid w:val="0"/>
          <w:color w:val="000000" w:themeColor="text1"/>
          <w:sz w:val="18"/>
          <w:szCs w:val="18"/>
        </w:rPr>
        <w:t>Bold</w:t>
      </w:r>
      <w:r w:rsidRPr="00ED2B48">
        <w:rPr>
          <w:rFonts w:ascii="Arial Narrow" w:hAnsi="Arial Narrow"/>
          <w:snapToGrid w:val="0"/>
          <w:color w:val="000000" w:themeColor="text1"/>
          <w:sz w:val="18"/>
          <w:szCs w:val="18"/>
        </w:rPr>
        <w:t xml:space="preserve"> indicates statistical significance. </w:t>
      </w:r>
    </w:p>
    <w:p w14:paraId="118A3D15" w14:textId="2F498BE5" w:rsidR="00E374F0" w:rsidRPr="00ED2B48" w:rsidRDefault="00E374F0"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vertAlign w:val="superscript"/>
        </w:rPr>
        <w:t>a</w:t>
      </w:r>
      <w:r w:rsidRPr="00ED2B48">
        <w:rPr>
          <w:rFonts w:ascii="Arial Narrow" w:hAnsi="Arial Narrow"/>
          <w:snapToGrid w:val="0"/>
          <w:color w:val="000000" w:themeColor="text1"/>
          <w:sz w:val="18"/>
          <w:szCs w:val="18"/>
        </w:rPr>
        <w:t xml:space="preserve"> Unilateral 97.5% CI</w:t>
      </w:r>
    </w:p>
    <w:p w14:paraId="3388A35D" w14:textId="468DB62D" w:rsidR="003C46C0" w:rsidRPr="00ED2B48" w:rsidRDefault="003C46C0"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vertAlign w:val="superscript"/>
        </w:rPr>
        <w:t xml:space="preserve">b </w:t>
      </w:r>
      <w:r w:rsidRPr="00ED2B48">
        <w:rPr>
          <w:rFonts w:ascii="Arial Narrow" w:hAnsi="Arial Narrow"/>
          <w:snapToGrid w:val="0"/>
          <w:color w:val="000000" w:themeColor="text1"/>
          <w:sz w:val="18"/>
          <w:szCs w:val="18"/>
        </w:rPr>
        <w:t>Mean rate per patient/year</w:t>
      </w:r>
    </w:p>
    <w:p w14:paraId="7F55F776" w14:textId="11F27B93" w:rsidR="00E374F0" w:rsidRPr="00ED2B48" w:rsidRDefault="0042743C"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vertAlign w:val="superscript"/>
        </w:rPr>
        <w:t>c</w:t>
      </w:r>
      <w:r w:rsidR="00E374F0" w:rsidRPr="00ED2B48">
        <w:rPr>
          <w:rFonts w:ascii="Arial Narrow" w:hAnsi="Arial Narrow"/>
          <w:snapToGrid w:val="0"/>
          <w:color w:val="000000" w:themeColor="text1"/>
          <w:sz w:val="18"/>
          <w:szCs w:val="18"/>
        </w:rPr>
        <w:t xml:space="preserve"> Indicates rate ratio (95% CI)</w:t>
      </w:r>
    </w:p>
    <w:p w14:paraId="306CE156" w14:textId="26390153" w:rsidR="00E374F0" w:rsidRPr="00ED2B48" w:rsidRDefault="0042743C" w:rsidP="00E374F0">
      <w:pPr>
        <w:spacing w:after="120"/>
        <w:contextualSpacing/>
        <w:jc w:val="left"/>
        <w:rPr>
          <w:rFonts w:ascii="Arial Narrow" w:hAnsi="Arial Narrow"/>
          <w:snapToGrid w:val="0"/>
          <w:color w:val="000000" w:themeColor="text1"/>
          <w:sz w:val="18"/>
          <w:szCs w:val="18"/>
        </w:rPr>
      </w:pPr>
      <w:r w:rsidRPr="00ED2B48">
        <w:rPr>
          <w:rFonts w:ascii="Arial Narrow" w:hAnsi="Arial Narrow"/>
          <w:snapToGrid w:val="0"/>
          <w:color w:val="000000" w:themeColor="text1"/>
          <w:sz w:val="18"/>
          <w:szCs w:val="18"/>
          <w:vertAlign w:val="superscript"/>
        </w:rPr>
        <w:t>d</w:t>
      </w:r>
      <w:r w:rsidR="00E86824" w:rsidRPr="00ED2B48">
        <w:rPr>
          <w:rFonts w:ascii="Arial Narrow" w:hAnsi="Arial Narrow"/>
          <w:snapToGrid w:val="0"/>
          <w:color w:val="000000" w:themeColor="text1"/>
          <w:sz w:val="18"/>
          <w:szCs w:val="18"/>
          <w:vertAlign w:val="superscript"/>
        </w:rPr>
        <w:t xml:space="preserve"> </w:t>
      </w:r>
      <w:r w:rsidR="00E374F0" w:rsidRPr="00ED2B48">
        <w:rPr>
          <w:rFonts w:ascii="Arial Narrow" w:hAnsi="Arial Narrow"/>
          <w:snapToGrid w:val="0"/>
          <w:color w:val="000000" w:themeColor="text1"/>
          <w:sz w:val="18"/>
          <w:szCs w:val="18"/>
        </w:rPr>
        <w:t>Table 3 of the submission presents this value as 0.11. "(should be -0.11)".</w:t>
      </w:r>
    </w:p>
    <w:p w14:paraId="4D70E91C" w14:textId="37A9ED2A" w:rsidR="004A5F03" w:rsidRPr="00C54E70" w:rsidRDefault="00E374F0" w:rsidP="00ED2B48">
      <w:pPr>
        <w:spacing w:after="120"/>
        <w:contextualSpacing/>
        <w:jc w:val="left"/>
        <w:rPr>
          <w:rFonts w:ascii="Arial Narrow" w:hAnsi="Arial Narrow"/>
          <w:snapToGrid w:val="0"/>
          <w:color w:val="000000" w:themeColor="text1"/>
          <w:sz w:val="18"/>
          <w:szCs w:val="18"/>
        </w:rPr>
      </w:pPr>
      <w:r w:rsidRPr="00ED2B48">
        <w:rPr>
          <w:rFonts w:ascii="Arial Narrow" w:hAnsi="Arial Narrow"/>
          <w:color w:val="000000" w:themeColor="text1"/>
          <w:sz w:val="18"/>
          <w:szCs w:val="18"/>
        </w:rPr>
        <w:t>Source: Table 41, 42, 44, 46, 48 and 51. p 65-76 of the submission.</w:t>
      </w:r>
    </w:p>
    <w:p w14:paraId="1ECED734" w14:textId="66D78DE6" w:rsidR="00E374F0" w:rsidRPr="006A50B1" w:rsidRDefault="00E374F0" w:rsidP="00A7711D">
      <w:pPr>
        <w:pStyle w:val="3-BodyText"/>
        <w:rPr>
          <w:color w:val="000000" w:themeColor="text1"/>
          <w:lang w:val="en-US"/>
        </w:rPr>
      </w:pPr>
      <w:bookmarkStart w:id="35" w:name="_Ref98422363"/>
      <w:r w:rsidRPr="00906719">
        <w:rPr>
          <w:color w:val="000000" w:themeColor="text1"/>
          <w:lang w:val="en-US"/>
        </w:rPr>
        <w:t>In the Calverley et al. (2010) trial, change in pre-dose morning FEV1 from baseline to 48 weeks did not vary significantly by treatment</w:t>
      </w:r>
      <w:r w:rsidR="00644FC1" w:rsidRPr="00906719">
        <w:rPr>
          <w:color w:val="000000" w:themeColor="text1"/>
          <w:lang w:val="en-US"/>
        </w:rPr>
        <w:t xml:space="preserve"> between BEC/FOR and BUD/FOR</w:t>
      </w:r>
      <w:r w:rsidRPr="00906719">
        <w:rPr>
          <w:color w:val="000000" w:themeColor="text1"/>
          <w:lang w:val="en-US"/>
        </w:rPr>
        <w:t xml:space="preserve">. </w:t>
      </w:r>
      <w:r w:rsidRPr="006A50B1">
        <w:rPr>
          <w:color w:val="000000" w:themeColor="text1"/>
          <w:lang w:val="en-US"/>
        </w:rPr>
        <w:t xml:space="preserve">However, the lower 95% confidence interval of the difference between BEC/FOR and BUD/FOR was less than 100ml, which </w:t>
      </w:r>
      <w:r w:rsidR="00BB3F71" w:rsidRPr="006A50B1">
        <w:rPr>
          <w:color w:val="000000" w:themeColor="text1"/>
          <w:lang w:val="en-US"/>
        </w:rPr>
        <w:t>support</w:t>
      </w:r>
      <w:r w:rsidRPr="006A50B1">
        <w:rPr>
          <w:color w:val="000000" w:themeColor="text1"/>
          <w:lang w:val="en-US"/>
        </w:rPr>
        <w:t xml:space="preserve"> non-inferior effectiveness for this outcome.</w:t>
      </w:r>
      <w:bookmarkEnd w:id="35"/>
      <w:r w:rsidRPr="006A50B1">
        <w:rPr>
          <w:color w:val="000000" w:themeColor="text1"/>
        </w:rPr>
        <w:t xml:space="preserve"> </w:t>
      </w:r>
    </w:p>
    <w:p w14:paraId="4CE0A01C" w14:textId="33F19BF6" w:rsidR="00E374F0" w:rsidRPr="006A50B1" w:rsidRDefault="00324DC4" w:rsidP="00933BB6">
      <w:pPr>
        <w:pStyle w:val="3-BodyText"/>
        <w:rPr>
          <w:color w:val="000000" w:themeColor="text1"/>
          <w:lang w:val="en-US"/>
        </w:rPr>
      </w:pPr>
      <w:r w:rsidRPr="006A50B1">
        <w:rPr>
          <w:color w:val="000000" w:themeColor="text1"/>
          <w:lang w:val="en-US"/>
        </w:rPr>
        <w:t>T</w:t>
      </w:r>
      <w:r w:rsidR="00BB3F71" w:rsidRPr="006A50B1">
        <w:rPr>
          <w:color w:val="000000" w:themeColor="text1"/>
          <w:lang w:val="en-US"/>
        </w:rPr>
        <w:t xml:space="preserve">he </w:t>
      </w:r>
      <w:r w:rsidRPr="006A50B1">
        <w:rPr>
          <w:color w:val="000000" w:themeColor="text1"/>
          <w:lang w:val="en-US"/>
        </w:rPr>
        <w:t xml:space="preserve">co-primary outcome of </w:t>
      </w:r>
      <w:r w:rsidR="00BB3F71" w:rsidRPr="006A50B1">
        <w:rPr>
          <w:color w:val="000000" w:themeColor="text1"/>
          <w:lang w:val="en-US"/>
        </w:rPr>
        <w:t>mean rate of COPD exacerbations per patient per year were similar across the three treatment groups.</w:t>
      </w:r>
      <w:r w:rsidR="00933BB6" w:rsidRPr="006A50B1">
        <w:rPr>
          <w:color w:val="000000" w:themeColor="text1"/>
          <w:lang w:val="en-US"/>
        </w:rPr>
        <w:t xml:space="preserve"> </w:t>
      </w:r>
      <w:r w:rsidR="00E374F0" w:rsidRPr="006A50B1">
        <w:rPr>
          <w:color w:val="000000" w:themeColor="text1"/>
          <w:lang w:val="en-US"/>
        </w:rPr>
        <w:t xml:space="preserve">The submission did not attempt to consider whether BEC/FOR was non-inferior to BUD/FOR based on rates of </w:t>
      </w:r>
      <w:r w:rsidR="00E374F0" w:rsidRPr="006A50B1">
        <w:rPr>
          <w:color w:val="000000" w:themeColor="text1"/>
          <w:lang w:val="en-US"/>
        </w:rPr>
        <w:lastRenderedPageBreak/>
        <w:t>exacerbation.</w:t>
      </w:r>
      <w:r w:rsidR="00933BB6" w:rsidRPr="006A50B1">
        <w:rPr>
          <w:color w:val="000000" w:themeColor="text1"/>
          <w:lang w:val="en-US"/>
        </w:rPr>
        <w:t xml:space="preserve"> </w:t>
      </w:r>
      <w:r w:rsidR="003B1353" w:rsidRPr="006A50B1">
        <w:rPr>
          <w:color w:val="000000" w:themeColor="text1"/>
          <w:lang w:val="en-US"/>
        </w:rPr>
        <w:t xml:space="preserve">However, </w:t>
      </w:r>
      <w:r w:rsidR="003B1353" w:rsidRPr="006A50B1">
        <w:rPr>
          <w:color w:val="000000" w:themeColor="text1"/>
        </w:rPr>
        <w:t>the upper 95% confidence interval of the exacerbation rate ratio for BEC/FOR versus BUD/FOR was high, at 1.33, implying that BEC/FOR may not be considered non-inferior to BUD/FOR based on this outcome.</w:t>
      </w:r>
    </w:p>
    <w:p w14:paraId="4FD9DBC1" w14:textId="5B9D2A19" w:rsidR="004A0BA3" w:rsidRPr="006A50B1" w:rsidRDefault="004A0BA3" w:rsidP="00933BB6">
      <w:pPr>
        <w:pStyle w:val="3-BodyText"/>
        <w:rPr>
          <w:color w:val="000000" w:themeColor="text1"/>
          <w:lang w:val="en-US"/>
        </w:rPr>
      </w:pPr>
      <w:r w:rsidRPr="006A50B1">
        <w:t>BEC/FOR was not superior to FOR alone in terms of exacerbations. However, the TGA Public Assessment Report for BEC/FOR stated the reduction in exacerbations was much less than anticipated in the power calculations, thus it is likely that the study was underpowered for this outcome.</w:t>
      </w:r>
    </w:p>
    <w:p w14:paraId="0B5345D7" w14:textId="34108CE8" w:rsidR="00E374F0" w:rsidRPr="00906719" w:rsidRDefault="00644FC1" w:rsidP="00324DC4">
      <w:pPr>
        <w:pStyle w:val="3-BodyText"/>
        <w:rPr>
          <w:color w:val="000000" w:themeColor="text1"/>
          <w:lang w:val="en-US"/>
        </w:rPr>
      </w:pPr>
      <w:r w:rsidRPr="00906719">
        <w:rPr>
          <w:color w:val="000000" w:themeColor="text1"/>
          <w:lang w:val="en-US"/>
        </w:rPr>
        <w:t>T</w:t>
      </w:r>
      <w:r w:rsidR="00E374F0" w:rsidRPr="00906719">
        <w:rPr>
          <w:color w:val="000000" w:themeColor="text1"/>
          <w:lang w:val="en-US"/>
        </w:rPr>
        <w:t xml:space="preserve">he rate of COPD exacerbations leading to </w:t>
      </w:r>
      <w:proofErr w:type="spellStart"/>
      <w:r w:rsidR="00E374F0" w:rsidRPr="00906719">
        <w:rPr>
          <w:color w:val="000000" w:themeColor="text1"/>
          <w:lang w:val="en-US"/>
        </w:rPr>
        <w:t>hospitalisation</w:t>
      </w:r>
      <w:proofErr w:type="spellEnd"/>
      <w:r w:rsidR="00E374F0" w:rsidRPr="00906719">
        <w:rPr>
          <w:color w:val="000000" w:themeColor="text1"/>
          <w:lang w:val="en-US"/>
        </w:rPr>
        <w:t xml:space="preserve"> was significantly higher in the BEC/FOR group (0.074 per patient/year) than in the BUD/FOR group (0.033 per patient/year; p&lt;0.001) and in the FOR group (0.040 per patient/year; p = 0.008)</w:t>
      </w:r>
      <w:r w:rsidR="003811C1">
        <w:rPr>
          <w:color w:val="000000" w:themeColor="text1"/>
          <w:lang w:val="en-US"/>
        </w:rPr>
        <w:t xml:space="preserve"> (Table </w:t>
      </w:r>
      <w:r w:rsidR="001E3E17" w:rsidRPr="00906719">
        <w:rPr>
          <w:color w:val="000000" w:themeColor="text1"/>
          <w:lang w:val="en-US"/>
        </w:rPr>
        <w:t>6).</w:t>
      </w:r>
      <w:r w:rsidR="00E374F0" w:rsidRPr="00906719">
        <w:rPr>
          <w:color w:val="000000" w:themeColor="text1"/>
          <w:lang w:val="en-US"/>
        </w:rPr>
        <w:t xml:space="preserve"> </w:t>
      </w:r>
      <w:r w:rsidR="001E3E17" w:rsidRPr="00906719">
        <w:rPr>
          <w:color w:val="000000" w:themeColor="text1"/>
          <w:lang w:val="en-US"/>
        </w:rPr>
        <w:t xml:space="preserve">In this trial </w:t>
      </w:r>
      <w:r w:rsidR="00E374F0" w:rsidRPr="00906719">
        <w:rPr>
          <w:color w:val="000000" w:themeColor="text1"/>
          <w:lang w:val="en-US"/>
        </w:rPr>
        <w:t xml:space="preserve">the </w:t>
      </w:r>
      <w:r w:rsidR="001E3E17" w:rsidRPr="00906719">
        <w:rPr>
          <w:color w:val="000000" w:themeColor="text1"/>
          <w:lang w:val="en-US"/>
        </w:rPr>
        <w:t xml:space="preserve">COPD exacerbations leading to </w:t>
      </w:r>
      <w:proofErr w:type="spellStart"/>
      <w:r w:rsidR="001E3E17" w:rsidRPr="00906719">
        <w:rPr>
          <w:color w:val="000000" w:themeColor="text1"/>
          <w:lang w:val="en-US"/>
        </w:rPr>
        <w:t>hospitalisation</w:t>
      </w:r>
      <w:proofErr w:type="spellEnd"/>
      <w:r w:rsidR="001E3E17" w:rsidRPr="00906719">
        <w:rPr>
          <w:color w:val="000000" w:themeColor="text1"/>
          <w:lang w:val="en-US"/>
        </w:rPr>
        <w:t xml:space="preserve"> </w:t>
      </w:r>
      <w:r w:rsidR="00E374F0" w:rsidRPr="00906719">
        <w:rPr>
          <w:color w:val="000000" w:themeColor="text1"/>
          <w:lang w:val="en-US"/>
        </w:rPr>
        <w:t xml:space="preserve">rates were low (3% - 6%) </w:t>
      </w:r>
      <w:r w:rsidR="001E3E17" w:rsidRPr="00906719">
        <w:rPr>
          <w:color w:val="000000" w:themeColor="text1"/>
          <w:lang w:val="en-US"/>
        </w:rPr>
        <w:t xml:space="preserve">compared to the </w:t>
      </w:r>
      <w:r w:rsidR="000C5B63" w:rsidRPr="00906719">
        <w:rPr>
          <w:color w:val="000000" w:themeColor="text1"/>
          <w:lang w:val="en-US"/>
        </w:rPr>
        <w:t xml:space="preserve">estimates </w:t>
      </w:r>
      <w:r w:rsidR="00E4245E" w:rsidRPr="00906719">
        <w:rPr>
          <w:color w:val="000000" w:themeColor="text1"/>
          <w:lang w:val="en-US"/>
        </w:rPr>
        <w:t xml:space="preserve">available in </w:t>
      </w:r>
      <w:r w:rsidR="000C5B63" w:rsidRPr="00906719">
        <w:rPr>
          <w:color w:val="000000" w:themeColor="text1"/>
          <w:lang w:val="en-US"/>
        </w:rPr>
        <w:t>the current literature (up to 10%)</w:t>
      </w:r>
      <w:r w:rsidR="000C5B63" w:rsidRPr="00906719">
        <w:rPr>
          <w:rStyle w:val="FootnoteReference"/>
          <w:color w:val="000000" w:themeColor="text1"/>
          <w:lang w:val="en-US"/>
        </w:rPr>
        <w:footnoteReference w:id="2"/>
      </w:r>
      <w:r w:rsidR="003652B7">
        <w:rPr>
          <w:color w:val="000000" w:themeColor="text1"/>
          <w:lang w:val="en-US"/>
        </w:rPr>
        <w:t>.</w:t>
      </w:r>
      <w:r w:rsidR="000C5B63" w:rsidRPr="00906719">
        <w:rPr>
          <w:color w:val="000000" w:themeColor="text1"/>
          <w:lang w:val="en-US"/>
        </w:rPr>
        <w:t xml:space="preserve"> </w:t>
      </w:r>
    </w:p>
    <w:p w14:paraId="57543FF7" w14:textId="64183566" w:rsidR="00E374F0" w:rsidRPr="0003293F" w:rsidRDefault="00906719" w:rsidP="0003293F">
      <w:pPr>
        <w:pStyle w:val="3-BodyText"/>
        <w:rPr>
          <w:color w:val="000000" w:themeColor="text1"/>
          <w:lang w:val="en-US"/>
        </w:rPr>
      </w:pPr>
      <w:r w:rsidRPr="00906719">
        <w:rPr>
          <w:color w:val="000000" w:themeColor="text1"/>
        </w:rPr>
        <w:t>Furthermore</w:t>
      </w:r>
      <w:r w:rsidR="00BB6B45" w:rsidRPr="000452BF">
        <w:rPr>
          <w:color w:val="000000" w:themeColor="text1"/>
        </w:rPr>
        <w:t>, change in from baseline in dyspnoea score (week 48) and change from baseline in total SGRQ score (Week 48) were not statistically significant between BEC/FOR and BUD/FOR as well as BEC/FOR and FOR</w:t>
      </w:r>
      <w:r w:rsidR="00E374F0" w:rsidRPr="00906719">
        <w:rPr>
          <w:color w:val="000000" w:themeColor="text1"/>
          <w:lang w:val="en-US"/>
        </w:rPr>
        <w:t>.</w:t>
      </w:r>
      <w:r w:rsidR="00BB6B45" w:rsidRPr="00906719">
        <w:rPr>
          <w:color w:val="000000" w:themeColor="text1"/>
          <w:lang w:val="en-US"/>
        </w:rPr>
        <w:t xml:space="preserve"> However, patients in BUD/FOR group had greater changes in </w:t>
      </w:r>
      <w:proofErr w:type="spellStart"/>
      <w:r w:rsidR="00BB6B45" w:rsidRPr="00906719">
        <w:rPr>
          <w:color w:val="000000" w:themeColor="text1"/>
          <w:lang w:val="en-US"/>
        </w:rPr>
        <w:t>dyspnoea</w:t>
      </w:r>
      <w:proofErr w:type="spellEnd"/>
      <w:r w:rsidR="00BB6B45" w:rsidRPr="00906719">
        <w:rPr>
          <w:color w:val="000000" w:themeColor="text1"/>
          <w:lang w:val="en-US"/>
        </w:rPr>
        <w:t xml:space="preserve"> score (-0.19 vs -0.14) and SGRQ score (-4.67 vs -3.70) than those in BEC/FOR group.</w:t>
      </w:r>
      <w:r w:rsidR="00E66B1C" w:rsidRPr="00906719">
        <w:rPr>
          <w:color w:val="000000" w:themeColor="text1"/>
          <w:lang w:val="en-US"/>
        </w:rPr>
        <w:t xml:space="preserve"> Lastly, there were no significant differences in changes in symptom free days and use of rescue medication</w:t>
      </w:r>
      <w:r w:rsidR="008B5FCC" w:rsidRPr="00906719">
        <w:rPr>
          <w:color w:val="000000" w:themeColor="text1"/>
          <w:lang w:val="en-US"/>
        </w:rPr>
        <w:t xml:space="preserve">s between BEC/FOR and BUD/FOR, and BEC/FOR and FOR </w:t>
      </w:r>
      <w:r w:rsidR="00E66B1C" w:rsidRPr="00906719">
        <w:rPr>
          <w:color w:val="000000" w:themeColor="text1"/>
          <w:lang w:val="en-US"/>
        </w:rPr>
        <w:t xml:space="preserve">treatment group. </w:t>
      </w:r>
    </w:p>
    <w:p w14:paraId="5626DD91" w14:textId="77777777" w:rsidR="00E374F0" w:rsidRPr="00ED2B48" w:rsidRDefault="00E374F0" w:rsidP="00A7711D">
      <w:pPr>
        <w:pStyle w:val="4-SubsectionHeading"/>
        <w:ind w:left="720" w:hanging="720"/>
        <w:rPr>
          <w:color w:val="000000" w:themeColor="text1"/>
        </w:rPr>
      </w:pPr>
      <w:bookmarkStart w:id="36" w:name="_Toc22897642"/>
      <w:bookmarkStart w:id="37" w:name="_Toc22898854"/>
      <w:bookmarkStart w:id="38" w:name="_Toc93506454"/>
      <w:r w:rsidRPr="00ED2B48">
        <w:rPr>
          <w:color w:val="000000" w:themeColor="text1"/>
        </w:rPr>
        <w:t>Comparative harms</w:t>
      </w:r>
      <w:bookmarkEnd w:id="36"/>
      <w:bookmarkEnd w:id="37"/>
      <w:bookmarkEnd w:id="38"/>
    </w:p>
    <w:p w14:paraId="2C0EE0AA" w14:textId="276E475B" w:rsidR="00E374F0" w:rsidRPr="00ED2B48" w:rsidRDefault="00E374F0" w:rsidP="00A7711D">
      <w:pPr>
        <w:pStyle w:val="3-BodyText"/>
        <w:rPr>
          <w:color w:val="000000" w:themeColor="text1"/>
        </w:rPr>
      </w:pPr>
      <w:r w:rsidRPr="00ED2B48">
        <w:rPr>
          <w:color w:val="000000" w:themeColor="text1"/>
        </w:rPr>
        <w:t xml:space="preserve">The safety results </w:t>
      </w:r>
      <w:r w:rsidR="00644FC1" w:rsidRPr="00ED2B48">
        <w:rPr>
          <w:color w:val="000000" w:themeColor="text1"/>
        </w:rPr>
        <w:t xml:space="preserve">reported </w:t>
      </w:r>
      <w:r w:rsidRPr="00ED2B48">
        <w:rPr>
          <w:color w:val="000000" w:themeColor="text1"/>
        </w:rPr>
        <w:t xml:space="preserve">in the FUTURE and Calverley et al. (2010) trials are summarised in </w:t>
      </w:r>
      <w:r w:rsidR="003811C1">
        <w:rPr>
          <w:color w:val="000000" w:themeColor="text1"/>
        </w:rPr>
        <w:t>Table 7</w:t>
      </w:r>
      <w:r w:rsidRPr="00ED2B48">
        <w:rPr>
          <w:color w:val="000000" w:themeColor="text1"/>
        </w:rPr>
        <w:t xml:space="preserve">. </w:t>
      </w:r>
    </w:p>
    <w:p w14:paraId="51CD9D31" w14:textId="43C3D1E1" w:rsidR="00E374F0" w:rsidRPr="00906719" w:rsidRDefault="00E374F0" w:rsidP="00A7711D">
      <w:pPr>
        <w:pStyle w:val="Caption"/>
        <w:keepNext/>
        <w:spacing w:after="0"/>
        <w:ind w:left="720" w:hanging="720"/>
        <w:rPr>
          <w:rFonts w:ascii="Arial Narrow" w:eastAsiaTheme="majorEastAsia" w:hAnsi="Arial Narrow" w:cstheme="majorBidi"/>
          <w:bCs w:val="0"/>
          <w:color w:val="000000" w:themeColor="text1"/>
          <w:sz w:val="20"/>
          <w:szCs w:val="20"/>
        </w:rPr>
      </w:pPr>
      <w:r w:rsidRPr="00906719">
        <w:rPr>
          <w:rFonts w:ascii="Arial Narrow" w:hAnsi="Arial Narrow"/>
          <w:color w:val="000000" w:themeColor="text1"/>
          <w:sz w:val="20"/>
          <w:szCs w:val="20"/>
        </w:rPr>
        <w:lastRenderedPageBreak/>
        <w:t xml:space="preserve">Table </w:t>
      </w:r>
      <w:r w:rsidRPr="00906719">
        <w:rPr>
          <w:rFonts w:ascii="Arial Narrow" w:hAnsi="Arial Narrow"/>
          <w:color w:val="000000" w:themeColor="text1"/>
          <w:sz w:val="20"/>
          <w:szCs w:val="20"/>
        </w:rPr>
        <w:fldChar w:fldCharType="begin"/>
      </w:r>
      <w:r w:rsidRPr="00906719">
        <w:rPr>
          <w:rFonts w:ascii="Arial Narrow" w:hAnsi="Arial Narrow"/>
          <w:color w:val="000000" w:themeColor="text1"/>
          <w:sz w:val="20"/>
          <w:szCs w:val="20"/>
        </w:rPr>
        <w:instrText xml:space="preserve"> SEQ Table \* ARABIC </w:instrText>
      </w:r>
      <w:r w:rsidRPr="00906719">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7</w:t>
      </w:r>
      <w:r w:rsidRPr="00906719">
        <w:rPr>
          <w:rFonts w:ascii="Arial Narrow" w:hAnsi="Arial Narrow"/>
          <w:color w:val="000000" w:themeColor="text1"/>
          <w:sz w:val="20"/>
          <w:szCs w:val="20"/>
        </w:rPr>
        <w:fldChar w:fldCharType="end"/>
      </w:r>
      <w:r w:rsidRPr="00906719">
        <w:rPr>
          <w:rFonts w:ascii="Arial Narrow" w:eastAsiaTheme="majorEastAsia" w:hAnsi="Arial Narrow" w:cstheme="majorBidi"/>
          <w:bCs w:val="0"/>
          <w:color w:val="000000" w:themeColor="text1"/>
          <w:sz w:val="20"/>
          <w:szCs w:val="20"/>
        </w:rPr>
        <w:t>: Summary of key adverse events in the FUTURE and Calverley et al. (2010) trials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834"/>
        <w:gridCol w:w="692"/>
        <w:gridCol w:w="834"/>
        <w:gridCol w:w="695"/>
        <w:gridCol w:w="834"/>
        <w:gridCol w:w="696"/>
        <w:gridCol w:w="833"/>
        <w:gridCol w:w="698"/>
        <w:gridCol w:w="833"/>
        <w:gridCol w:w="684"/>
      </w:tblGrid>
      <w:tr w:rsidR="00A604AC" w:rsidRPr="00A604AC" w14:paraId="3061C2C3" w14:textId="77777777" w:rsidTr="00CC2C67">
        <w:trPr>
          <w:trHeight w:val="172"/>
          <w:jc w:val="center"/>
        </w:trPr>
        <w:tc>
          <w:tcPr>
            <w:tcW w:w="768" w:type="pct"/>
            <w:tcBorders>
              <w:top w:val="single" w:sz="4" w:space="0" w:color="auto"/>
              <w:left w:val="single" w:sz="4" w:space="0" w:color="auto"/>
              <w:bottom w:val="nil"/>
              <w:right w:val="single" w:sz="4" w:space="0" w:color="auto"/>
            </w:tcBorders>
            <w:shd w:val="clear" w:color="auto" w:fill="FFFFFF" w:themeFill="background1"/>
            <w:vAlign w:val="center"/>
          </w:tcPr>
          <w:p w14:paraId="563F0CD8" w14:textId="77777777" w:rsidR="004B7971" w:rsidRPr="00906719" w:rsidRDefault="004B7971" w:rsidP="004B7971">
            <w:pPr>
              <w:keepNext/>
              <w:contextualSpacing/>
              <w:rPr>
                <w:rFonts w:ascii="Arial Narrow" w:eastAsiaTheme="majorEastAsia" w:hAnsi="Arial Narrow" w:cstheme="majorBidi"/>
                <w:b/>
                <w:bCs/>
                <w:snapToGrid w:val="0"/>
                <w:color w:val="000000" w:themeColor="text1"/>
                <w:sz w:val="20"/>
                <w:szCs w:val="16"/>
              </w:rPr>
            </w:pPr>
          </w:p>
        </w:tc>
        <w:tc>
          <w:tcPr>
            <w:tcW w:w="1696" w:type="pct"/>
            <w:gridSpan w:val="4"/>
            <w:vMerge w:val="restart"/>
            <w:tcBorders>
              <w:left w:val="single" w:sz="4" w:space="0" w:color="auto"/>
              <w:right w:val="single" w:sz="4" w:space="0" w:color="auto"/>
            </w:tcBorders>
            <w:shd w:val="clear" w:color="auto" w:fill="auto"/>
          </w:tcPr>
          <w:p w14:paraId="4BDC97D4" w14:textId="77777777" w:rsidR="004B7971" w:rsidRPr="00906719" w:rsidRDefault="004B7971" w:rsidP="004B7971">
            <w:pPr>
              <w:keepNext/>
              <w:contextualSpacing/>
              <w:jc w:val="center"/>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FUTURE</w:t>
            </w:r>
          </w:p>
        </w:tc>
        <w:tc>
          <w:tcPr>
            <w:tcW w:w="2536" w:type="pct"/>
            <w:gridSpan w:val="6"/>
            <w:vMerge w:val="restart"/>
            <w:tcBorders>
              <w:left w:val="single" w:sz="4" w:space="0" w:color="auto"/>
              <w:right w:val="single" w:sz="4" w:space="0" w:color="auto"/>
            </w:tcBorders>
            <w:shd w:val="clear" w:color="auto" w:fill="auto"/>
          </w:tcPr>
          <w:p w14:paraId="68B9864A" w14:textId="77777777" w:rsidR="004B7971" w:rsidRPr="00906719" w:rsidRDefault="004B7971" w:rsidP="004B7971">
            <w:pPr>
              <w:keepNext/>
              <w:contextualSpacing/>
              <w:jc w:val="center"/>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 xml:space="preserve">Calverley </w:t>
            </w:r>
            <w:r w:rsidRPr="00906719">
              <w:rPr>
                <w:rFonts w:ascii="Arial Narrow" w:eastAsiaTheme="majorEastAsia" w:hAnsi="Arial Narrow" w:cstheme="majorBidi"/>
                <w:b/>
                <w:bCs/>
                <w:iCs/>
                <w:snapToGrid w:val="0"/>
                <w:color w:val="000000" w:themeColor="text1"/>
                <w:sz w:val="20"/>
                <w:szCs w:val="16"/>
              </w:rPr>
              <w:t xml:space="preserve">et al. </w:t>
            </w:r>
            <w:r w:rsidRPr="00906719">
              <w:rPr>
                <w:rFonts w:ascii="Arial Narrow" w:eastAsiaTheme="majorEastAsia" w:hAnsi="Arial Narrow" w:cstheme="majorBidi"/>
                <w:b/>
                <w:bCs/>
                <w:snapToGrid w:val="0"/>
                <w:color w:val="000000" w:themeColor="text1"/>
                <w:sz w:val="20"/>
                <w:szCs w:val="16"/>
              </w:rPr>
              <w:t>(2010)</w:t>
            </w:r>
          </w:p>
        </w:tc>
      </w:tr>
      <w:tr w:rsidR="00A604AC" w:rsidRPr="00A604AC" w14:paraId="66B7FB38" w14:textId="77777777" w:rsidTr="00CC2C67">
        <w:trPr>
          <w:trHeight w:val="70"/>
          <w:jc w:val="center"/>
        </w:trPr>
        <w:tc>
          <w:tcPr>
            <w:tcW w:w="768" w:type="pct"/>
            <w:tcBorders>
              <w:top w:val="nil"/>
              <w:left w:val="single" w:sz="4" w:space="0" w:color="auto"/>
              <w:bottom w:val="nil"/>
              <w:right w:val="single" w:sz="4" w:space="0" w:color="auto"/>
            </w:tcBorders>
            <w:shd w:val="clear" w:color="auto" w:fill="FFFFFF" w:themeFill="background1"/>
            <w:vAlign w:val="center"/>
          </w:tcPr>
          <w:p w14:paraId="317992AD"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p>
        </w:tc>
        <w:tc>
          <w:tcPr>
            <w:tcW w:w="1696" w:type="pct"/>
            <w:gridSpan w:val="4"/>
            <w:vMerge/>
            <w:tcBorders>
              <w:left w:val="single" w:sz="4" w:space="0" w:color="auto"/>
              <w:right w:val="single" w:sz="4" w:space="0" w:color="auto"/>
            </w:tcBorders>
            <w:shd w:val="clear" w:color="auto" w:fill="auto"/>
            <w:vAlign w:val="center"/>
          </w:tcPr>
          <w:p w14:paraId="1FFCB68A"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p>
        </w:tc>
        <w:tc>
          <w:tcPr>
            <w:tcW w:w="2536" w:type="pct"/>
            <w:gridSpan w:val="6"/>
            <w:vMerge/>
            <w:tcBorders>
              <w:left w:val="single" w:sz="4" w:space="0" w:color="auto"/>
              <w:right w:val="single" w:sz="4" w:space="0" w:color="auto"/>
            </w:tcBorders>
            <w:shd w:val="clear" w:color="auto" w:fill="auto"/>
          </w:tcPr>
          <w:p w14:paraId="3CF38EBF"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p>
        </w:tc>
      </w:tr>
      <w:tr w:rsidR="00A604AC" w:rsidRPr="00A604AC" w14:paraId="5E9D5959" w14:textId="77777777" w:rsidTr="00CC2C67">
        <w:trPr>
          <w:trHeight w:val="45"/>
          <w:jc w:val="center"/>
        </w:trPr>
        <w:tc>
          <w:tcPr>
            <w:tcW w:w="768" w:type="pct"/>
            <w:tcBorders>
              <w:top w:val="nil"/>
              <w:left w:val="single" w:sz="4" w:space="0" w:color="auto"/>
              <w:bottom w:val="nil"/>
              <w:right w:val="single" w:sz="4" w:space="0" w:color="auto"/>
            </w:tcBorders>
            <w:shd w:val="clear" w:color="auto" w:fill="FFFFFF" w:themeFill="background1"/>
            <w:vAlign w:val="center"/>
          </w:tcPr>
          <w:p w14:paraId="3B2D7846"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Outcomes</w:t>
            </w:r>
          </w:p>
        </w:tc>
        <w:tc>
          <w:tcPr>
            <w:tcW w:w="847" w:type="pct"/>
            <w:gridSpan w:val="2"/>
            <w:tcBorders>
              <w:left w:val="single" w:sz="4" w:space="0" w:color="auto"/>
              <w:right w:val="single" w:sz="4" w:space="0" w:color="auto"/>
            </w:tcBorders>
            <w:shd w:val="clear" w:color="auto" w:fill="auto"/>
            <w:vAlign w:val="center"/>
          </w:tcPr>
          <w:p w14:paraId="5A6BE29B"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BEC/FOR</w:t>
            </w:r>
          </w:p>
          <w:p w14:paraId="77E13197"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n=211</w:t>
            </w:r>
          </w:p>
        </w:tc>
        <w:tc>
          <w:tcPr>
            <w:tcW w:w="849" w:type="pct"/>
            <w:gridSpan w:val="2"/>
            <w:tcBorders>
              <w:left w:val="single" w:sz="4" w:space="0" w:color="auto"/>
              <w:right w:val="single" w:sz="4" w:space="0" w:color="auto"/>
            </w:tcBorders>
            <w:shd w:val="clear" w:color="auto" w:fill="auto"/>
            <w:vAlign w:val="center"/>
          </w:tcPr>
          <w:p w14:paraId="15387388"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FP/SAL</w:t>
            </w:r>
          </w:p>
          <w:p w14:paraId="31B4DDAE"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n=208</w:t>
            </w:r>
          </w:p>
        </w:tc>
        <w:tc>
          <w:tcPr>
            <w:tcW w:w="849" w:type="pct"/>
            <w:gridSpan w:val="2"/>
            <w:tcBorders>
              <w:left w:val="single" w:sz="4" w:space="0" w:color="auto"/>
              <w:right w:val="single" w:sz="4" w:space="0" w:color="auto"/>
            </w:tcBorders>
            <w:shd w:val="clear" w:color="auto" w:fill="auto"/>
            <w:vAlign w:val="center"/>
          </w:tcPr>
          <w:p w14:paraId="02A93BAC"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BEC/FOR</w:t>
            </w:r>
          </w:p>
          <w:p w14:paraId="3162F8B2"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n= 236</w:t>
            </w:r>
          </w:p>
        </w:tc>
        <w:tc>
          <w:tcPr>
            <w:tcW w:w="849" w:type="pct"/>
            <w:gridSpan w:val="2"/>
            <w:tcBorders>
              <w:left w:val="single" w:sz="4" w:space="0" w:color="auto"/>
              <w:right w:val="single" w:sz="4" w:space="0" w:color="auto"/>
            </w:tcBorders>
            <w:shd w:val="clear" w:color="auto" w:fill="auto"/>
            <w:vAlign w:val="center"/>
          </w:tcPr>
          <w:p w14:paraId="3CEB9BE2"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BUD/FOR</w:t>
            </w:r>
          </w:p>
          <w:p w14:paraId="35C80811"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n=242</w:t>
            </w:r>
          </w:p>
        </w:tc>
        <w:tc>
          <w:tcPr>
            <w:tcW w:w="837" w:type="pct"/>
            <w:gridSpan w:val="2"/>
            <w:tcBorders>
              <w:left w:val="single" w:sz="4" w:space="0" w:color="auto"/>
              <w:right w:val="single" w:sz="4" w:space="0" w:color="auto"/>
            </w:tcBorders>
            <w:shd w:val="clear" w:color="auto" w:fill="auto"/>
          </w:tcPr>
          <w:p w14:paraId="55EA3B48"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FOR</w:t>
            </w:r>
          </w:p>
          <w:p w14:paraId="15F12176"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r w:rsidRPr="00906719">
              <w:rPr>
                <w:rFonts w:ascii="Arial Narrow" w:eastAsiaTheme="majorEastAsia" w:hAnsi="Arial Narrow" w:cstheme="majorBidi"/>
                <w:b/>
                <w:bCs/>
                <w:snapToGrid w:val="0"/>
                <w:color w:val="000000" w:themeColor="text1"/>
                <w:sz w:val="20"/>
                <w:szCs w:val="16"/>
              </w:rPr>
              <w:t>n= 238</w:t>
            </w:r>
          </w:p>
        </w:tc>
      </w:tr>
      <w:tr w:rsidR="00A604AC" w:rsidRPr="00A604AC" w14:paraId="734B7285" w14:textId="77777777" w:rsidTr="00CC2C67">
        <w:trPr>
          <w:trHeight w:val="172"/>
          <w:jc w:val="center"/>
        </w:trPr>
        <w:tc>
          <w:tcPr>
            <w:tcW w:w="768" w:type="pct"/>
            <w:tcBorders>
              <w:top w:val="nil"/>
              <w:left w:val="single" w:sz="4" w:space="0" w:color="auto"/>
              <w:right w:val="single" w:sz="4" w:space="0" w:color="auto"/>
            </w:tcBorders>
            <w:shd w:val="clear" w:color="auto" w:fill="FFFFFF" w:themeFill="background1"/>
            <w:vAlign w:val="center"/>
          </w:tcPr>
          <w:p w14:paraId="55798EFC"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20"/>
                <w:szCs w:val="16"/>
              </w:rPr>
            </w:pPr>
          </w:p>
        </w:tc>
        <w:tc>
          <w:tcPr>
            <w:tcW w:w="463" w:type="pct"/>
            <w:tcBorders>
              <w:left w:val="single" w:sz="4" w:space="0" w:color="auto"/>
              <w:right w:val="single" w:sz="4" w:space="0" w:color="auto"/>
            </w:tcBorders>
            <w:shd w:val="clear" w:color="auto" w:fill="auto"/>
            <w:vAlign w:val="center"/>
          </w:tcPr>
          <w:p w14:paraId="336F49B7"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patients (%)</w:t>
            </w:r>
          </w:p>
        </w:tc>
        <w:tc>
          <w:tcPr>
            <w:tcW w:w="384" w:type="pct"/>
            <w:tcBorders>
              <w:left w:val="single" w:sz="4" w:space="0" w:color="auto"/>
              <w:right w:val="single" w:sz="4" w:space="0" w:color="auto"/>
            </w:tcBorders>
            <w:shd w:val="clear" w:color="auto" w:fill="auto"/>
            <w:vAlign w:val="center"/>
          </w:tcPr>
          <w:p w14:paraId="4F6BC819"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events</w:t>
            </w:r>
          </w:p>
        </w:tc>
        <w:tc>
          <w:tcPr>
            <w:tcW w:w="463" w:type="pct"/>
            <w:tcBorders>
              <w:left w:val="single" w:sz="4" w:space="0" w:color="auto"/>
              <w:right w:val="single" w:sz="4" w:space="0" w:color="auto"/>
            </w:tcBorders>
            <w:shd w:val="clear" w:color="auto" w:fill="auto"/>
            <w:vAlign w:val="center"/>
          </w:tcPr>
          <w:p w14:paraId="74E84005"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patients (%)</w:t>
            </w:r>
          </w:p>
        </w:tc>
        <w:tc>
          <w:tcPr>
            <w:tcW w:w="386" w:type="pct"/>
            <w:tcBorders>
              <w:left w:val="nil"/>
              <w:right w:val="single" w:sz="4" w:space="0" w:color="auto"/>
            </w:tcBorders>
            <w:shd w:val="clear" w:color="auto" w:fill="auto"/>
            <w:vAlign w:val="center"/>
          </w:tcPr>
          <w:p w14:paraId="0CECF0F6"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events</w:t>
            </w:r>
          </w:p>
        </w:tc>
        <w:tc>
          <w:tcPr>
            <w:tcW w:w="463" w:type="pct"/>
            <w:tcBorders>
              <w:left w:val="nil"/>
              <w:right w:val="single" w:sz="4" w:space="0" w:color="auto"/>
            </w:tcBorders>
            <w:shd w:val="clear" w:color="auto" w:fill="auto"/>
            <w:vAlign w:val="center"/>
          </w:tcPr>
          <w:p w14:paraId="78E4CBA1"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patients (%)</w:t>
            </w:r>
          </w:p>
        </w:tc>
        <w:tc>
          <w:tcPr>
            <w:tcW w:w="386" w:type="pct"/>
            <w:tcBorders>
              <w:left w:val="nil"/>
              <w:right w:val="single" w:sz="4" w:space="0" w:color="auto"/>
            </w:tcBorders>
            <w:shd w:val="clear" w:color="auto" w:fill="auto"/>
            <w:vAlign w:val="center"/>
          </w:tcPr>
          <w:p w14:paraId="7C64DD84"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events</w:t>
            </w:r>
          </w:p>
        </w:tc>
        <w:tc>
          <w:tcPr>
            <w:tcW w:w="462" w:type="pct"/>
            <w:tcBorders>
              <w:left w:val="nil"/>
              <w:right w:val="single" w:sz="4" w:space="0" w:color="auto"/>
            </w:tcBorders>
            <w:shd w:val="clear" w:color="auto" w:fill="auto"/>
            <w:vAlign w:val="center"/>
          </w:tcPr>
          <w:p w14:paraId="4492FEDF"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patients (%)</w:t>
            </w:r>
          </w:p>
        </w:tc>
        <w:tc>
          <w:tcPr>
            <w:tcW w:w="387" w:type="pct"/>
            <w:tcBorders>
              <w:left w:val="nil"/>
              <w:right w:val="single" w:sz="4" w:space="0" w:color="auto"/>
            </w:tcBorders>
            <w:shd w:val="clear" w:color="auto" w:fill="auto"/>
            <w:vAlign w:val="center"/>
          </w:tcPr>
          <w:p w14:paraId="56489CD5"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events</w:t>
            </w:r>
          </w:p>
        </w:tc>
        <w:tc>
          <w:tcPr>
            <w:tcW w:w="462" w:type="pct"/>
            <w:tcBorders>
              <w:left w:val="nil"/>
              <w:right w:val="single" w:sz="4" w:space="0" w:color="auto"/>
            </w:tcBorders>
            <w:shd w:val="clear" w:color="auto" w:fill="auto"/>
            <w:vAlign w:val="center"/>
          </w:tcPr>
          <w:p w14:paraId="3AB57FD4"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patients (%)</w:t>
            </w:r>
          </w:p>
        </w:tc>
        <w:tc>
          <w:tcPr>
            <w:tcW w:w="375" w:type="pct"/>
            <w:tcBorders>
              <w:left w:val="nil"/>
              <w:right w:val="single" w:sz="4" w:space="0" w:color="auto"/>
            </w:tcBorders>
            <w:shd w:val="clear" w:color="auto" w:fill="auto"/>
            <w:vAlign w:val="center"/>
          </w:tcPr>
          <w:p w14:paraId="5FF5C9CC" w14:textId="77777777" w:rsidR="004B7971" w:rsidRPr="00906719" w:rsidRDefault="004B7971" w:rsidP="004B7971">
            <w:pPr>
              <w:keepNext/>
              <w:spacing w:after="120"/>
              <w:contextualSpacing/>
              <w:rPr>
                <w:rFonts w:ascii="Arial Narrow" w:eastAsiaTheme="majorEastAsia" w:hAnsi="Arial Narrow" w:cstheme="majorBidi"/>
                <w:b/>
                <w:bCs/>
                <w:snapToGrid w:val="0"/>
                <w:color w:val="000000" w:themeColor="text1"/>
                <w:sz w:val="18"/>
                <w:szCs w:val="18"/>
              </w:rPr>
            </w:pPr>
            <w:r w:rsidRPr="00906719">
              <w:rPr>
                <w:rFonts w:ascii="Arial Narrow" w:eastAsiaTheme="majorEastAsia" w:hAnsi="Arial Narrow" w:cstheme="majorBidi"/>
                <w:b/>
                <w:bCs/>
                <w:snapToGrid w:val="0"/>
                <w:color w:val="000000" w:themeColor="text1"/>
                <w:sz w:val="18"/>
                <w:szCs w:val="18"/>
              </w:rPr>
              <w:t>No. events</w:t>
            </w:r>
          </w:p>
        </w:tc>
      </w:tr>
      <w:tr w:rsidR="00A604AC" w:rsidRPr="00A604AC" w14:paraId="60969D2B" w14:textId="77777777" w:rsidTr="00CC2C67">
        <w:trPr>
          <w:trHeight w:val="167"/>
          <w:jc w:val="center"/>
        </w:trPr>
        <w:tc>
          <w:tcPr>
            <w:tcW w:w="768" w:type="pct"/>
            <w:tcBorders>
              <w:left w:val="single" w:sz="4" w:space="0" w:color="auto"/>
              <w:right w:val="single" w:sz="4" w:space="0" w:color="auto"/>
            </w:tcBorders>
            <w:shd w:val="clear" w:color="auto" w:fill="FFFFFF" w:themeFill="background1"/>
            <w:vAlign w:val="center"/>
          </w:tcPr>
          <w:p w14:paraId="3075493C"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TEAEs</w:t>
            </w:r>
          </w:p>
        </w:tc>
        <w:tc>
          <w:tcPr>
            <w:tcW w:w="463" w:type="pct"/>
            <w:tcBorders>
              <w:left w:val="single" w:sz="4" w:space="0" w:color="auto"/>
              <w:right w:val="single" w:sz="4" w:space="0" w:color="auto"/>
            </w:tcBorders>
            <w:shd w:val="clear" w:color="auto" w:fill="FFFFFF" w:themeFill="background1"/>
            <w:vAlign w:val="center"/>
          </w:tcPr>
          <w:p w14:paraId="1E875273"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36 (17.1%)</w:t>
            </w:r>
          </w:p>
        </w:tc>
        <w:tc>
          <w:tcPr>
            <w:tcW w:w="384" w:type="pct"/>
            <w:tcBorders>
              <w:left w:val="single" w:sz="4" w:space="0" w:color="auto"/>
              <w:right w:val="single" w:sz="4" w:space="0" w:color="auto"/>
            </w:tcBorders>
            <w:shd w:val="clear" w:color="auto" w:fill="FFFFFF" w:themeFill="background1"/>
            <w:vAlign w:val="center"/>
          </w:tcPr>
          <w:p w14:paraId="4872BC7A"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58</w:t>
            </w:r>
          </w:p>
        </w:tc>
        <w:tc>
          <w:tcPr>
            <w:tcW w:w="463" w:type="pct"/>
            <w:tcBorders>
              <w:left w:val="single" w:sz="4" w:space="0" w:color="auto"/>
              <w:right w:val="single" w:sz="4" w:space="0" w:color="auto"/>
            </w:tcBorders>
            <w:shd w:val="clear" w:color="auto" w:fill="FFFFFF" w:themeFill="background1"/>
            <w:vAlign w:val="center"/>
          </w:tcPr>
          <w:p w14:paraId="74B55EB9"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46 (22.1%)</w:t>
            </w:r>
          </w:p>
        </w:tc>
        <w:tc>
          <w:tcPr>
            <w:tcW w:w="386" w:type="pct"/>
            <w:tcBorders>
              <w:left w:val="nil"/>
              <w:right w:val="single" w:sz="4" w:space="0" w:color="auto"/>
            </w:tcBorders>
            <w:shd w:val="clear" w:color="auto" w:fill="FFFFFF" w:themeFill="background1"/>
            <w:vAlign w:val="center"/>
          </w:tcPr>
          <w:p w14:paraId="6CFFC735"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76</w:t>
            </w:r>
          </w:p>
        </w:tc>
        <w:tc>
          <w:tcPr>
            <w:tcW w:w="463" w:type="pct"/>
            <w:tcBorders>
              <w:left w:val="nil"/>
              <w:right w:val="single" w:sz="4" w:space="0" w:color="auto"/>
            </w:tcBorders>
            <w:shd w:val="clear" w:color="auto" w:fill="FFFFFF" w:themeFill="background1"/>
            <w:vAlign w:val="center"/>
          </w:tcPr>
          <w:p w14:paraId="2B8A1A97"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101 (42.8%)</w:t>
            </w:r>
          </w:p>
        </w:tc>
        <w:tc>
          <w:tcPr>
            <w:tcW w:w="386" w:type="pct"/>
            <w:tcBorders>
              <w:left w:val="nil"/>
              <w:right w:val="single" w:sz="4" w:space="0" w:color="auto"/>
            </w:tcBorders>
            <w:shd w:val="clear" w:color="auto" w:fill="FFFFFF" w:themeFill="background1"/>
            <w:vAlign w:val="center"/>
          </w:tcPr>
          <w:p w14:paraId="6C2AE0B4"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233</w:t>
            </w:r>
          </w:p>
        </w:tc>
        <w:tc>
          <w:tcPr>
            <w:tcW w:w="462" w:type="pct"/>
            <w:tcBorders>
              <w:left w:val="nil"/>
              <w:right w:val="single" w:sz="4" w:space="0" w:color="auto"/>
            </w:tcBorders>
            <w:shd w:val="clear" w:color="auto" w:fill="FFFFFF" w:themeFill="background1"/>
            <w:vAlign w:val="center"/>
          </w:tcPr>
          <w:p w14:paraId="43FB4F07"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99 (40.9%)</w:t>
            </w:r>
          </w:p>
        </w:tc>
        <w:tc>
          <w:tcPr>
            <w:tcW w:w="387" w:type="pct"/>
            <w:tcBorders>
              <w:left w:val="nil"/>
              <w:right w:val="single" w:sz="4" w:space="0" w:color="auto"/>
            </w:tcBorders>
            <w:shd w:val="clear" w:color="auto" w:fill="FFFFFF" w:themeFill="background1"/>
            <w:vAlign w:val="center"/>
          </w:tcPr>
          <w:p w14:paraId="1B13A047"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196</w:t>
            </w:r>
          </w:p>
        </w:tc>
        <w:tc>
          <w:tcPr>
            <w:tcW w:w="462" w:type="pct"/>
            <w:tcBorders>
              <w:left w:val="nil"/>
              <w:right w:val="single" w:sz="4" w:space="0" w:color="auto"/>
            </w:tcBorders>
            <w:shd w:val="clear" w:color="auto" w:fill="FFFFFF" w:themeFill="background1"/>
            <w:vAlign w:val="center"/>
          </w:tcPr>
          <w:p w14:paraId="5AF88A60"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105 (44.1%)</w:t>
            </w:r>
          </w:p>
        </w:tc>
        <w:tc>
          <w:tcPr>
            <w:tcW w:w="375" w:type="pct"/>
            <w:tcBorders>
              <w:left w:val="nil"/>
              <w:right w:val="single" w:sz="4" w:space="0" w:color="auto"/>
            </w:tcBorders>
            <w:shd w:val="clear" w:color="auto" w:fill="FFFFFF" w:themeFill="background1"/>
            <w:vAlign w:val="center"/>
          </w:tcPr>
          <w:p w14:paraId="0BE162C3" w14:textId="77777777" w:rsidR="004B7971" w:rsidRPr="00906719"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197</w:t>
            </w:r>
          </w:p>
        </w:tc>
      </w:tr>
      <w:tr w:rsidR="00A604AC" w:rsidRPr="00A604AC" w14:paraId="1EE21192" w14:textId="77777777" w:rsidTr="00CC2C67">
        <w:trPr>
          <w:trHeight w:val="39"/>
          <w:jc w:val="center"/>
        </w:trPr>
        <w:tc>
          <w:tcPr>
            <w:tcW w:w="768" w:type="pct"/>
            <w:tcBorders>
              <w:left w:val="single" w:sz="4" w:space="0" w:color="auto"/>
              <w:right w:val="single" w:sz="4" w:space="0" w:color="auto"/>
            </w:tcBorders>
            <w:shd w:val="clear" w:color="auto" w:fill="FFFFFF" w:themeFill="background1"/>
            <w:vAlign w:val="center"/>
          </w:tcPr>
          <w:p w14:paraId="0D185BA8"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Serious TEAEs</w:t>
            </w:r>
          </w:p>
        </w:tc>
        <w:tc>
          <w:tcPr>
            <w:tcW w:w="463" w:type="pct"/>
            <w:tcBorders>
              <w:left w:val="single" w:sz="4" w:space="0" w:color="auto"/>
              <w:right w:val="single" w:sz="4" w:space="0" w:color="auto"/>
            </w:tcBorders>
            <w:shd w:val="clear" w:color="auto" w:fill="FFFFFF" w:themeFill="background1"/>
            <w:vAlign w:val="center"/>
          </w:tcPr>
          <w:p w14:paraId="7A80F81F" w14:textId="3AE30935"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906719">
              <w:rPr>
                <w:rFonts w:ascii="Arial Narrow" w:eastAsiaTheme="majorEastAsia" w:hAnsi="Arial Narrow" w:cstheme="majorBidi"/>
                <w:bCs/>
                <w:snapToGrid w:val="0"/>
                <w:color w:val="000000" w:themeColor="text1"/>
                <w:sz w:val="20"/>
                <w:szCs w:val="16"/>
              </w:rPr>
              <w:t xml:space="preserve">4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(1.9%)</w:t>
            </w:r>
          </w:p>
        </w:tc>
        <w:tc>
          <w:tcPr>
            <w:tcW w:w="384" w:type="pct"/>
            <w:tcBorders>
              <w:left w:val="single" w:sz="4" w:space="0" w:color="auto"/>
              <w:right w:val="single" w:sz="4" w:space="0" w:color="auto"/>
            </w:tcBorders>
            <w:shd w:val="clear" w:color="auto" w:fill="FFFFFF" w:themeFill="background1"/>
            <w:vAlign w:val="center"/>
          </w:tcPr>
          <w:p w14:paraId="40BBB107"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4</w:t>
            </w:r>
          </w:p>
        </w:tc>
        <w:tc>
          <w:tcPr>
            <w:tcW w:w="463" w:type="pct"/>
            <w:tcBorders>
              <w:left w:val="single" w:sz="4" w:space="0" w:color="auto"/>
              <w:right w:val="single" w:sz="4" w:space="0" w:color="auto"/>
            </w:tcBorders>
            <w:shd w:val="clear" w:color="auto" w:fill="auto"/>
            <w:vAlign w:val="center"/>
          </w:tcPr>
          <w:p w14:paraId="7B832571"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13 (6.3%)</w:t>
            </w:r>
          </w:p>
        </w:tc>
        <w:tc>
          <w:tcPr>
            <w:tcW w:w="386" w:type="pct"/>
            <w:tcBorders>
              <w:left w:val="nil"/>
              <w:right w:val="single" w:sz="4" w:space="0" w:color="auto"/>
            </w:tcBorders>
            <w:shd w:val="clear" w:color="auto" w:fill="auto"/>
            <w:vAlign w:val="center"/>
          </w:tcPr>
          <w:p w14:paraId="71406053"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16</w:t>
            </w:r>
          </w:p>
        </w:tc>
        <w:tc>
          <w:tcPr>
            <w:tcW w:w="463" w:type="pct"/>
            <w:tcBorders>
              <w:left w:val="nil"/>
              <w:right w:val="single" w:sz="4" w:space="0" w:color="auto"/>
            </w:tcBorders>
            <w:vAlign w:val="center"/>
          </w:tcPr>
          <w:p w14:paraId="4DBC4F28"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24 (10.2%)</w:t>
            </w:r>
          </w:p>
        </w:tc>
        <w:tc>
          <w:tcPr>
            <w:tcW w:w="386" w:type="pct"/>
            <w:tcBorders>
              <w:left w:val="nil"/>
              <w:right w:val="single" w:sz="4" w:space="0" w:color="auto"/>
            </w:tcBorders>
            <w:vAlign w:val="center"/>
          </w:tcPr>
          <w:p w14:paraId="4C3586E0"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33</w:t>
            </w:r>
          </w:p>
        </w:tc>
        <w:tc>
          <w:tcPr>
            <w:tcW w:w="462" w:type="pct"/>
            <w:tcBorders>
              <w:left w:val="nil"/>
              <w:right w:val="single" w:sz="4" w:space="0" w:color="auto"/>
            </w:tcBorders>
            <w:vAlign w:val="center"/>
          </w:tcPr>
          <w:p w14:paraId="3C8414F2"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19 (7.9%)</w:t>
            </w:r>
          </w:p>
        </w:tc>
        <w:tc>
          <w:tcPr>
            <w:tcW w:w="387" w:type="pct"/>
            <w:tcBorders>
              <w:left w:val="nil"/>
              <w:right w:val="single" w:sz="4" w:space="0" w:color="auto"/>
            </w:tcBorders>
            <w:vAlign w:val="center"/>
          </w:tcPr>
          <w:p w14:paraId="32244C06"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27</w:t>
            </w:r>
          </w:p>
        </w:tc>
        <w:tc>
          <w:tcPr>
            <w:tcW w:w="462" w:type="pct"/>
            <w:tcBorders>
              <w:left w:val="nil"/>
              <w:right w:val="single" w:sz="4" w:space="0" w:color="auto"/>
            </w:tcBorders>
            <w:vAlign w:val="center"/>
          </w:tcPr>
          <w:p w14:paraId="3585604A"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14 (5.9%)</w:t>
            </w:r>
          </w:p>
        </w:tc>
        <w:tc>
          <w:tcPr>
            <w:tcW w:w="375" w:type="pct"/>
            <w:tcBorders>
              <w:left w:val="nil"/>
              <w:right w:val="single" w:sz="4" w:space="0" w:color="auto"/>
            </w:tcBorders>
            <w:vAlign w:val="center"/>
          </w:tcPr>
          <w:p w14:paraId="58CBD61E"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19</w:t>
            </w:r>
          </w:p>
        </w:tc>
      </w:tr>
      <w:tr w:rsidR="00A604AC" w:rsidRPr="00A604AC" w14:paraId="20FBCBB0" w14:textId="77777777" w:rsidTr="00CC2C67">
        <w:trPr>
          <w:trHeight w:val="147"/>
          <w:jc w:val="center"/>
        </w:trPr>
        <w:tc>
          <w:tcPr>
            <w:tcW w:w="768" w:type="pct"/>
            <w:tcBorders>
              <w:left w:val="single" w:sz="4" w:space="0" w:color="auto"/>
              <w:right w:val="single" w:sz="4" w:space="0" w:color="auto"/>
            </w:tcBorders>
            <w:shd w:val="clear" w:color="auto" w:fill="FFFFFF" w:themeFill="background1"/>
            <w:vAlign w:val="center"/>
          </w:tcPr>
          <w:p w14:paraId="61C8CB41"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Treatment-emergent ADRs</w:t>
            </w:r>
          </w:p>
        </w:tc>
        <w:tc>
          <w:tcPr>
            <w:tcW w:w="463" w:type="pct"/>
            <w:tcBorders>
              <w:left w:val="single" w:sz="4" w:space="0" w:color="auto"/>
              <w:right w:val="single" w:sz="4" w:space="0" w:color="auto"/>
            </w:tcBorders>
            <w:shd w:val="clear" w:color="auto" w:fill="FFFFFF" w:themeFill="background1"/>
            <w:vAlign w:val="center"/>
          </w:tcPr>
          <w:p w14:paraId="6F2A65CF" w14:textId="070D3508"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6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(2.8%)</w:t>
            </w:r>
          </w:p>
        </w:tc>
        <w:tc>
          <w:tcPr>
            <w:tcW w:w="384" w:type="pct"/>
            <w:tcBorders>
              <w:left w:val="single" w:sz="4" w:space="0" w:color="auto"/>
              <w:right w:val="single" w:sz="4" w:space="0" w:color="auto"/>
            </w:tcBorders>
            <w:shd w:val="clear" w:color="auto" w:fill="FFFFFF" w:themeFill="background1"/>
            <w:vAlign w:val="center"/>
          </w:tcPr>
          <w:p w14:paraId="4890B74D"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9</w:t>
            </w:r>
          </w:p>
        </w:tc>
        <w:tc>
          <w:tcPr>
            <w:tcW w:w="463" w:type="pct"/>
            <w:tcBorders>
              <w:left w:val="single" w:sz="4" w:space="0" w:color="auto"/>
              <w:right w:val="single" w:sz="4" w:space="0" w:color="auto"/>
            </w:tcBorders>
            <w:shd w:val="clear" w:color="auto" w:fill="auto"/>
            <w:vAlign w:val="center"/>
          </w:tcPr>
          <w:p w14:paraId="72D4DD9C" w14:textId="0FB6269C"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2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(1.0%)</w:t>
            </w:r>
          </w:p>
        </w:tc>
        <w:tc>
          <w:tcPr>
            <w:tcW w:w="386" w:type="pct"/>
            <w:tcBorders>
              <w:left w:val="nil"/>
              <w:right w:val="single" w:sz="4" w:space="0" w:color="auto"/>
            </w:tcBorders>
            <w:shd w:val="clear" w:color="auto" w:fill="auto"/>
            <w:vAlign w:val="center"/>
          </w:tcPr>
          <w:p w14:paraId="6B46A54D"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3</w:t>
            </w:r>
          </w:p>
        </w:tc>
        <w:tc>
          <w:tcPr>
            <w:tcW w:w="463" w:type="pct"/>
            <w:tcBorders>
              <w:left w:val="nil"/>
              <w:right w:val="single" w:sz="4" w:space="0" w:color="auto"/>
            </w:tcBorders>
            <w:vAlign w:val="center"/>
          </w:tcPr>
          <w:p w14:paraId="10407017"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22 (9.3%)</w:t>
            </w:r>
          </w:p>
        </w:tc>
        <w:tc>
          <w:tcPr>
            <w:tcW w:w="386" w:type="pct"/>
            <w:tcBorders>
              <w:left w:val="nil"/>
              <w:right w:val="single" w:sz="4" w:space="0" w:color="auto"/>
            </w:tcBorders>
            <w:vAlign w:val="center"/>
          </w:tcPr>
          <w:p w14:paraId="1318D23D"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37</w:t>
            </w:r>
          </w:p>
        </w:tc>
        <w:tc>
          <w:tcPr>
            <w:tcW w:w="462" w:type="pct"/>
            <w:tcBorders>
              <w:left w:val="nil"/>
              <w:right w:val="single" w:sz="4" w:space="0" w:color="auto"/>
            </w:tcBorders>
            <w:vAlign w:val="center"/>
          </w:tcPr>
          <w:p w14:paraId="3A462442"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12 (5.0%)</w:t>
            </w:r>
          </w:p>
        </w:tc>
        <w:tc>
          <w:tcPr>
            <w:tcW w:w="387" w:type="pct"/>
            <w:tcBorders>
              <w:left w:val="nil"/>
              <w:right w:val="single" w:sz="4" w:space="0" w:color="auto"/>
            </w:tcBorders>
            <w:vAlign w:val="center"/>
          </w:tcPr>
          <w:p w14:paraId="2FE9D75D"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18</w:t>
            </w:r>
          </w:p>
        </w:tc>
        <w:tc>
          <w:tcPr>
            <w:tcW w:w="462" w:type="pct"/>
            <w:tcBorders>
              <w:left w:val="nil"/>
              <w:right w:val="single" w:sz="4" w:space="0" w:color="auto"/>
            </w:tcBorders>
            <w:vAlign w:val="center"/>
          </w:tcPr>
          <w:p w14:paraId="38F7C707"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20 (8.4%)</w:t>
            </w:r>
          </w:p>
        </w:tc>
        <w:tc>
          <w:tcPr>
            <w:tcW w:w="375" w:type="pct"/>
            <w:tcBorders>
              <w:left w:val="nil"/>
              <w:right w:val="single" w:sz="4" w:space="0" w:color="auto"/>
            </w:tcBorders>
            <w:vAlign w:val="center"/>
          </w:tcPr>
          <w:p w14:paraId="149B32E2"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24</w:t>
            </w:r>
          </w:p>
        </w:tc>
      </w:tr>
      <w:tr w:rsidR="00A604AC" w:rsidRPr="00A604AC" w14:paraId="0AF2EB05" w14:textId="77777777" w:rsidTr="00CC2C67">
        <w:trPr>
          <w:trHeight w:val="167"/>
          <w:jc w:val="center"/>
        </w:trPr>
        <w:tc>
          <w:tcPr>
            <w:tcW w:w="768" w:type="pct"/>
            <w:tcBorders>
              <w:left w:val="single" w:sz="4" w:space="0" w:color="auto"/>
              <w:right w:val="single" w:sz="4" w:space="0" w:color="auto"/>
            </w:tcBorders>
            <w:shd w:val="clear" w:color="auto" w:fill="FFFFFF" w:themeFill="background1"/>
            <w:vAlign w:val="center"/>
          </w:tcPr>
          <w:p w14:paraId="76C1F2A1"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Severe TEAEs</w:t>
            </w:r>
          </w:p>
        </w:tc>
        <w:tc>
          <w:tcPr>
            <w:tcW w:w="463" w:type="pct"/>
            <w:tcBorders>
              <w:left w:val="single" w:sz="4" w:space="0" w:color="auto"/>
              <w:right w:val="single" w:sz="4" w:space="0" w:color="auto"/>
            </w:tcBorders>
            <w:shd w:val="clear" w:color="auto" w:fill="FFFFFF" w:themeFill="background1"/>
            <w:vAlign w:val="center"/>
          </w:tcPr>
          <w:p w14:paraId="09860693" w14:textId="176189EE"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2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(0.9%)</w:t>
            </w:r>
          </w:p>
        </w:tc>
        <w:tc>
          <w:tcPr>
            <w:tcW w:w="384" w:type="pct"/>
            <w:tcBorders>
              <w:left w:val="single" w:sz="4" w:space="0" w:color="auto"/>
              <w:right w:val="single" w:sz="4" w:space="0" w:color="auto"/>
            </w:tcBorders>
            <w:shd w:val="clear" w:color="auto" w:fill="FFFFFF" w:themeFill="background1"/>
            <w:vAlign w:val="center"/>
          </w:tcPr>
          <w:p w14:paraId="75B6E115"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w:t>
            </w:r>
          </w:p>
        </w:tc>
        <w:tc>
          <w:tcPr>
            <w:tcW w:w="463" w:type="pct"/>
            <w:tcBorders>
              <w:left w:val="single" w:sz="4" w:space="0" w:color="auto"/>
              <w:right w:val="single" w:sz="4" w:space="0" w:color="auto"/>
            </w:tcBorders>
            <w:shd w:val="clear" w:color="auto" w:fill="auto"/>
            <w:vAlign w:val="center"/>
          </w:tcPr>
          <w:p w14:paraId="03E5DEDD" w14:textId="3FA66995"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5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(2.4%)</w:t>
            </w:r>
          </w:p>
        </w:tc>
        <w:tc>
          <w:tcPr>
            <w:tcW w:w="386" w:type="pct"/>
            <w:tcBorders>
              <w:left w:val="nil"/>
              <w:right w:val="single" w:sz="4" w:space="0" w:color="auto"/>
            </w:tcBorders>
            <w:shd w:val="clear" w:color="auto" w:fill="auto"/>
            <w:vAlign w:val="center"/>
          </w:tcPr>
          <w:p w14:paraId="24A37E0F"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5</w:t>
            </w:r>
          </w:p>
        </w:tc>
        <w:tc>
          <w:tcPr>
            <w:tcW w:w="463" w:type="pct"/>
            <w:tcBorders>
              <w:left w:val="nil"/>
              <w:right w:val="single" w:sz="4" w:space="0" w:color="auto"/>
            </w:tcBorders>
            <w:shd w:val="clear" w:color="auto" w:fill="auto"/>
            <w:vAlign w:val="center"/>
          </w:tcPr>
          <w:p w14:paraId="2F27BAA6"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386" w:type="pct"/>
            <w:tcBorders>
              <w:left w:val="nil"/>
              <w:right w:val="single" w:sz="4" w:space="0" w:color="auto"/>
            </w:tcBorders>
            <w:shd w:val="clear" w:color="auto" w:fill="auto"/>
            <w:vAlign w:val="center"/>
          </w:tcPr>
          <w:p w14:paraId="22304ACC"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462" w:type="pct"/>
            <w:tcBorders>
              <w:left w:val="nil"/>
              <w:right w:val="single" w:sz="4" w:space="0" w:color="auto"/>
            </w:tcBorders>
            <w:shd w:val="clear" w:color="auto" w:fill="auto"/>
            <w:vAlign w:val="center"/>
          </w:tcPr>
          <w:p w14:paraId="31B23B71"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387" w:type="pct"/>
            <w:tcBorders>
              <w:left w:val="nil"/>
              <w:right w:val="single" w:sz="4" w:space="0" w:color="auto"/>
            </w:tcBorders>
            <w:shd w:val="clear" w:color="auto" w:fill="auto"/>
            <w:vAlign w:val="center"/>
          </w:tcPr>
          <w:p w14:paraId="1D9F34E5"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462" w:type="pct"/>
            <w:tcBorders>
              <w:left w:val="nil"/>
              <w:right w:val="single" w:sz="4" w:space="0" w:color="auto"/>
            </w:tcBorders>
            <w:shd w:val="clear" w:color="auto" w:fill="auto"/>
            <w:vAlign w:val="center"/>
          </w:tcPr>
          <w:p w14:paraId="7FBCFCAB"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375" w:type="pct"/>
            <w:tcBorders>
              <w:left w:val="nil"/>
              <w:right w:val="single" w:sz="4" w:space="0" w:color="auto"/>
            </w:tcBorders>
            <w:shd w:val="clear" w:color="auto" w:fill="auto"/>
            <w:vAlign w:val="center"/>
          </w:tcPr>
          <w:p w14:paraId="10363744"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r>
      <w:tr w:rsidR="00A604AC" w:rsidRPr="00A604AC" w14:paraId="6DB48800" w14:textId="77777777" w:rsidTr="00CC2C67">
        <w:trPr>
          <w:trHeight w:val="167"/>
          <w:jc w:val="center"/>
        </w:trPr>
        <w:tc>
          <w:tcPr>
            <w:tcW w:w="768" w:type="pct"/>
            <w:tcBorders>
              <w:left w:val="single" w:sz="4" w:space="0" w:color="auto"/>
              <w:right w:val="single" w:sz="4" w:space="0" w:color="auto"/>
            </w:tcBorders>
            <w:shd w:val="clear" w:color="auto" w:fill="FFFFFF" w:themeFill="background1"/>
            <w:vAlign w:val="center"/>
          </w:tcPr>
          <w:p w14:paraId="242EE4F4"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TEAEs resulting in study drug discontinuation</w:t>
            </w:r>
          </w:p>
        </w:tc>
        <w:tc>
          <w:tcPr>
            <w:tcW w:w="463" w:type="pct"/>
            <w:tcBorders>
              <w:left w:val="single" w:sz="4" w:space="0" w:color="auto"/>
              <w:right w:val="single" w:sz="4" w:space="0" w:color="auto"/>
            </w:tcBorders>
            <w:shd w:val="clear" w:color="auto" w:fill="FFFFFF" w:themeFill="background1"/>
            <w:vAlign w:val="center"/>
          </w:tcPr>
          <w:p w14:paraId="361218B7" w14:textId="73840680"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3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(1.4%)</w:t>
            </w:r>
          </w:p>
        </w:tc>
        <w:tc>
          <w:tcPr>
            <w:tcW w:w="384" w:type="pct"/>
            <w:tcBorders>
              <w:left w:val="single" w:sz="4" w:space="0" w:color="auto"/>
              <w:right w:val="single" w:sz="4" w:space="0" w:color="auto"/>
            </w:tcBorders>
            <w:shd w:val="clear" w:color="auto" w:fill="FFFFFF" w:themeFill="background1"/>
            <w:vAlign w:val="center"/>
          </w:tcPr>
          <w:p w14:paraId="6F4B0788"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3</w:t>
            </w:r>
          </w:p>
        </w:tc>
        <w:tc>
          <w:tcPr>
            <w:tcW w:w="463" w:type="pct"/>
            <w:tcBorders>
              <w:left w:val="single" w:sz="4" w:space="0" w:color="auto"/>
              <w:right w:val="single" w:sz="4" w:space="0" w:color="auto"/>
            </w:tcBorders>
            <w:shd w:val="clear" w:color="auto" w:fill="auto"/>
            <w:vAlign w:val="center"/>
          </w:tcPr>
          <w:p w14:paraId="2C6CF18E" w14:textId="22A44D82"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5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(2.4%)</w:t>
            </w:r>
          </w:p>
        </w:tc>
        <w:tc>
          <w:tcPr>
            <w:tcW w:w="386" w:type="pct"/>
            <w:tcBorders>
              <w:left w:val="nil"/>
              <w:right w:val="single" w:sz="4" w:space="0" w:color="auto"/>
            </w:tcBorders>
            <w:shd w:val="clear" w:color="auto" w:fill="auto"/>
            <w:vAlign w:val="center"/>
          </w:tcPr>
          <w:p w14:paraId="6A7BA5E2"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5</w:t>
            </w:r>
          </w:p>
        </w:tc>
        <w:tc>
          <w:tcPr>
            <w:tcW w:w="463" w:type="pct"/>
            <w:tcBorders>
              <w:left w:val="nil"/>
              <w:right w:val="single" w:sz="4" w:space="0" w:color="auto"/>
            </w:tcBorders>
            <w:vAlign w:val="center"/>
          </w:tcPr>
          <w:p w14:paraId="2497AC04" w14:textId="6F674915"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9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(3.8%)</w:t>
            </w:r>
          </w:p>
        </w:tc>
        <w:tc>
          <w:tcPr>
            <w:tcW w:w="386" w:type="pct"/>
            <w:tcBorders>
              <w:left w:val="nil"/>
              <w:right w:val="single" w:sz="4" w:space="0" w:color="auto"/>
            </w:tcBorders>
            <w:vAlign w:val="center"/>
          </w:tcPr>
          <w:p w14:paraId="69AED1EB"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14</w:t>
            </w:r>
          </w:p>
        </w:tc>
        <w:tc>
          <w:tcPr>
            <w:tcW w:w="462" w:type="pct"/>
            <w:tcBorders>
              <w:left w:val="nil"/>
              <w:right w:val="single" w:sz="4" w:space="0" w:color="auto"/>
            </w:tcBorders>
            <w:vAlign w:val="center"/>
          </w:tcPr>
          <w:p w14:paraId="72B8149C" w14:textId="68623248"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6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(2.5%)</w:t>
            </w:r>
          </w:p>
        </w:tc>
        <w:tc>
          <w:tcPr>
            <w:tcW w:w="387" w:type="pct"/>
            <w:tcBorders>
              <w:left w:val="nil"/>
              <w:right w:val="single" w:sz="4" w:space="0" w:color="auto"/>
            </w:tcBorders>
            <w:vAlign w:val="center"/>
          </w:tcPr>
          <w:p w14:paraId="1AFBA8A0"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9</w:t>
            </w:r>
          </w:p>
        </w:tc>
        <w:tc>
          <w:tcPr>
            <w:tcW w:w="462" w:type="pct"/>
            <w:tcBorders>
              <w:left w:val="nil"/>
              <w:right w:val="single" w:sz="4" w:space="0" w:color="auto"/>
            </w:tcBorders>
            <w:vAlign w:val="center"/>
          </w:tcPr>
          <w:p w14:paraId="4380B0A8" w14:textId="7FA34416"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5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(2.1%)</w:t>
            </w:r>
          </w:p>
        </w:tc>
        <w:tc>
          <w:tcPr>
            <w:tcW w:w="375" w:type="pct"/>
            <w:tcBorders>
              <w:left w:val="nil"/>
              <w:right w:val="single" w:sz="4" w:space="0" w:color="auto"/>
            </w:tcBorders>
            <w:vAlign w:val="center"/>
          </w:tcPr>
          <w:p w14:paraId="3B05EF27"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7</w:t>
            </w:r>
          </w:p>
        </w:tc>
      </w:tr>
      <w:tr w:rsidR="00A604AC" w:rsidRPr="00A604AC" w14:paraId="40098498" w14:textId="77777777" w:rsidTr="00CC2C67">
        <w:trPr>
          <w:trHeight w:val="377"/>
          <w:jc w:val="center"/>
        </w:trPr>
        <w:tc>
          <w:tcPr>
            <w:tcW w:w="768" w:type="pct"/>
            <w:tcBorders>
              <w:left w:val="single" w:sz="4" w:space="0" w:color="auto"/>
              <w:right w:val="single" w:sz="4" w:space="0" w:color="auto"/>
            </w:tcBorders>
            <w:shd w:val="clear" w:color="auto" w:fill="FFFFFF" w:themeFill="background1"/>
            <w:vAlign w:val="center"/>
          </w:tcPr>
          <w:p w14:paraId="41D26A3A" w14:textId="77777777" w:rsidR="004B7971" w:rsidRPr="00CC2C67" w:rsidRDefault="004B7971" w:rsidP="000A7FFD">
            <w:pPr>
              <w:keepNext/>
              <w:spacing w:after="120"/>
              <w:contextualSpacing/>
              <w:jc w:val="left"/>
              <w:rPr>
                <w:rFonts w:ascii="Arial Narrow" w:eastAsiaTheme="majorEastAsia" w:hAnsi="Arial Narrow" w:cstheme="majorBidi"/>
                <w:bCs/>
                <w:snapToGrid w:val="0"/>
                <w:color w:val="000000" w:themeColor="text1"/>
                <w:sz w:val="19"/>
                <w:szCs w:val="19"/>
              </w:rPr>
            </w:pPr>
            <w:r w:rsidRPr="00CC2C67">
              <w:rPr>
                <w:rFonts w:ascii="Arial Narrow" w:eastAsiaTheme="majorEastAsia" w:hAnsi="Arial Narrow" w:cstheme="majorBidi"/>
                <w:bCs/>
                <w:snapToGrid w:val="0"/>
                <w:color w:val="000000" w:themeColor="text1"/>
                <w:sz w:val="19"/>
                <w:szCs w:val="19"/>
              </w:rPr>
              <w:t>TEAEs leading to death</w:t>
            </w:r>
          </w:p>
        </w:tc>
        <w:tc>
          <w:tcPr>
            <w:tcW w:w="463" w:type="pct"/>
            <w:tcBorders>
              <w:left w:val="single" w:sz="4" w:space="0" w:color="auto"/>
              <w:right w:val="single" w:sz="4" w:space="0" w:color="auto"/>
            </w:tcBorders>
            <w:shd w:val="clear" w:color="auto" w:fill="FFFFFF" w:themeFill="background1"/>
            <w:vAlign w:val="center"/>
          </w:tcPr>
          <w:p w14:paraId="40420139" w14:textId="7EB450FF"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1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(0.1%)</w:t>
            </w:r>
          </w:p>
        </w:tc>
        <w:tc>
          <w:tcPr>
            <w:tcW w:w="384" w:type="pct"/>
            <w:tcBorders>
              <w:left w:val="single" w:sz="4" w:space="0" w:color="auto"/>
              <w:right w:val="single" w:sz="4" w:space="0" w:color="auto"/>
            </w:tcBorders>
            <w:shd w:val="clear" w:color="auto" w:fill="FFFFFF" w:themeFill="background1"/>
            <w:vAlign w:val="center"/>
          </w:tcPr>
          <w:p w14:paraId="3F35AC7E"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1</w:t>
            </w:r>
          </w:p>
        </w:tc>
        <w:tc>
          <w:tcPr>
            <w:tcW w:w="463" w:type="pct"/>
            <w:tcBorders>
              <w:left w:val="single" w:sz="4" w:space="0" w:color="auto"/>
              <w:right w:val="single" w:sz="4" w:space="0" w:color="auto"/>
            </w:tcBorders>
            <w:shd w:val="clear" w:color="auto" w:fill="auto"/>
            <w:vAlign w:val="center"/>
          </w:tcPr>
          <w:p w14:paraId="09272DE0" w14:textId="232AD9A8"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0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(0.0%)</w:t>
            </w:r>
          </w:p>
        </w:tc>
        <w:tc>
          <w:tcPr>
            <w:tcW w:w="386" w:type="pct"/>
            <w:tcBorders>
              <w:left w:val="nil"/>
              <w:right w:val="single" w:sz="4" w:space="0" w:color="auto"/>
            </w:tcBorders>
            <w:shd w:val="clear" w:color="auto" w:fill="auto"/>
            <w:vAlign w:val="center"/>
          </w:tcPr>
          <w:p w14:paraId="3F17A485"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0 </w:t>
            </w:r>
          </w:p>
        </w:tc>
        <w:tc>
          <w:tcPr>
            <w:tcW w:w="463" w:type="pct"/>
            <w:tcBorders>
              <w:left w:val="nil"/>
              <w:right w:val="single" w:sz="4" w:space="0" w:color="auto"/>
            </w:tcBorders>
            <w:vAlign w:val="center"/>
          </w:tcPr>
          <w:p w14:paraId="090F5A5C" w14:textId="12F66614"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2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(0.8%)</w:t>
            </w:r>
          </w:p>
        </w:tc>
        <w:tc>
          <w:tcPr>
            <w:tcW w:w="386" w:type="pct"/>
            <w:tcBorders>
              <w:left w:val="nil"/>
              <w:right w:val="single" w:sz="4" w:space="0" w:color="auto"/>
            </w:tcBorders>
            <w:vAlign w:val="center"/>
          </w:tcPr>
          <w:p w14:paraId="2D0A3F4F"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2</w:t>
            </w:r>
          </w:p>
        </w:tc>
        <w:tc>
          <w:tcPr>
            <w:tcW w:w="462" w:type="pct"/>
            <w:tcBorders>
              <w:left w:val="nil"/>
              <w:right w:val="single" w:sz="4" w:space="0" w:color="auto"/>
            </w:tcBorders>
            <w:vAlign w:val="center"/>
          </w:tcPr>
          <w:p w14:paraId="7D2B82E7" w14:textId="3E8BB871"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4 </w:t>
            </w:r>
            <w:r w:rsidR="0008085B" w:rsidRPr="00A604AC">
              <w:rPr>
                <w:rFonts w:ascii="Arial Narrow" w:eastAsiaTheme="majorEastAsia" w:hAnsi="Arial Narrow" w:cstheme="majorBidi"/>
                <w:bCs/>
                <w:snapToGrid w:val="0"/>
                <w:color w:val="000000" w:themeColor="text1"/>
                <w:sz w:val="20"/>
                <w:szCs w:val="16"/>
              </w:rPr>
              <w:br/>
            </w:r>
            <w:r w:rsidRPr="00A604AC">
              <w:rPr>
                <w:rFonts w:ascii="Arial Narrow" w:eastAsiaTheme="majorEastAsia" w:hAnsi="Arial Narrow" w:cstheme="majorBidi"/>
                <w:bCs/>
                <w:snapToGrid w:val="0"/>
                <w:color w:val="000000" w:themeColor="text1"/>
                <w:sz w:val="20"/>
                <w:szCs w:val="16"/>
              </w:rPr>
              <w:t>(1.7%)</w:t>
            </w:r>
          </w:p>
        </w:tc>
        <w:tc>
          <w:tcPr>
            <w:tcW w:w="387" w:type="pct"/>
            <w:tcBorders>
              <w:left w:val="nil"/>
              <w:right w:val="single" w:sz="4" w:space="0" w:color="auto"/>
            </w:tcBorders>
            <w:vAlign w:val="center"/>
          </w:tcPr>
          <w:p w14:paraId="0949C385"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4</w:t>
            </w:r>
          </w:p>
        </w:tc>
        <w:tc>
          <w:tcPr>
            <w:tcW w:w="462" w:type="pct"/>
            <w:tcBorders>
              <w:left w:val="nil"/>
              <w:right w:val="single" w:sz="4" w:space="0" w:color="auto"/>
            </w:tcBorders>
            <w:vAlign w:val="center"/>
          </w:tcPr>
          <w:p w14:paraId="6DDE727F" w14:textId="77777777" w:rsidR="004B7971" w:rsidRPr="00A604AC" w:rsidRDefault="004B7971"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N/A</w:t>
            </w:r>
          </w:p>
        </w:tc>
        <w:tc>
          <w:tcPr>
            <w:tcW w:w="375" w:type="pct"/>
            <w:tcBorders>
              <w:left w:val="nil"/>
              <w:right w:val="single" w:sz="4" w:space="0" w:color="auto"/>
            </w:tcBorders>
            <w:vAlign w:val="center"/>
          </w:tcPr>
          <w:p w14:paraId="09DB6049" w14:textId="2FB68405" w:rsidR="004B7971" w:rsidRPr="00A604AC" w:rsidRDefault="00FB4964" w:rsidP="00ED2B48">
            <w:pPr>
              <w:keepNext/>
              <w:spacing w:after="120"/>
              <w:contextualSpacing/>
              <w:jc w:val="right"/>
              <w:rPr>
                <w:rFonts w:ascii="Arial Narrow" w:eastAsiaTheme="majorEastAsia" w:hAnsi="Arial Narrow" w:cstheme="majorBidi"/>
                <w:bCs/>
                <w:snapToGrid w:val="0"/>
                <w:color w:val="000000" w:themeColor="text1"/>
                <w:sz w:val="20"/>
                <w:szCs w:val="16"/>
              </w:rPr>
            </w:pPr>
            <w:r w:rsidRPr="00A604AC">
              <w:rPr>
                <w:rFonts w:ascii="Arial Narrow" w:eastAsiaTheme="majorEastAsia" w:hAnsi="Arial Narrow" w:cstheme="majorBidi"/>
                <w:bCs/>
                <w:snapToGrid w:val="0"/>
                <w:color w:val="000000" w:themeColor="text1"/>
                <w:sz w:val="20"/>
                <w:szCs w:val="16"/>
              </w:rPr>
              <w:t xml:space="preserve">N/A            </w:t>
            </w:r>
          </w:p>
        </w:tc>
      </w:tr>
    </w:tbl>
    <w:p w14:paraId="5C0E1A53" w14:textId="77777777" w:rsidR="00E374F0" w:rsidRPr="00A604AC" w:rsidRDefault="00E374F0" w:rsidP="00BA6251">
      <w:pPr>
        <w:pStyle w:val="TableFigureFooter"/>
        <w:keepNext/>
        <w:rPr>
          <w:color w:val="000000" w:themeColor="text1"/>
          <w:szCs w:val="18"/>
        </w:rPr>
      </w:pPr>
      <w:r w:rsidRPr="00A604AC">
        <w:rPr>
          <w:color w:val="000000" w:themeColor="text1"/>
          <w:szCs w:val="18"/>
        </w:rPr>
        <w:t xml:space="preserve">Abbreviations: </w:t>
      </w:r>
      <w:r w:rsidRPr="00A604AC">
        <w:rPr>
          <w:color w:val="000000" w:themeColor="text1"/>
        </w:rPr>
        <w:t>TEAE= Treatment-emergent adverse events; BEC= Beclometasone dipropionate; BUD= Budesonide; FOR= Formoterol fumarate dehydrate; FP=</w:t>
      </w:r>
      <w:r w:rsidRPr="00A604AC">
        <w:rPr>
          <w:rFonts w:ascii="Garamond" w:eastAsiaTheme="minorHAnsi" w:hAnsi="Garamond"/>
          <w:color w:val="000000" w:themeColor="text1"/>
          <w:sz w:val="22"/>
          <w:lang w:eastAsia="en-US"/>
        </w:rPr>
        <w:t xml:space="preserve"> </w:t>
      </w:r>
      <w:r w:rsidRPr="00A604AC">
        <w:rPr>
          <w:color w:val="000000" w:themeColor="text1"/>
        </w:rPr>
        <w:t xml:space="preserve">Fluticasone propionate; </w:t>
      </w:r>
      <w:r w:rsidRPr="00A604AC">
        <w:rPr>
          <w:color w:val="000000" w:themeColor="text1"/>
          <w:szCs w:val="18"/>
        </w:rPr>
        <w:t xml:space="preserve">SAL= Salmeterol; ADR= Adverse Drug Reaction. </w:t>
      </w:r>
    </w:p>
    <w:p w14:paraId="2414C56F" w14:textId="77777777" w:rsidR="00E374F0" w:rsidRPr="00A604AC" w:rsidRDefault="00E374F0" w:rsidP="00A7711D">
      <w:pPr>
        <w:pStyle w:val="TableFigureFooter"/>
        <w:keepNext/>
        <w:ind w:left="720" w:hanging="720"/>
        <w:rPr>
          <w:color w:val="000000" w:themeColor="text1"/>
          <w:szCs w:val="18"/>
        </w:rPr>
      </w:pPr>
      <w:r w:rsidRPr="00A604AC">
        <w:rPr>
          <w:color w:val="000000" w:themeColor="text1"/>
          <w:szCs w:val="18"/>
        </w:rPr>
        <w:t xml:space="preserve">N/A means the submission did not provide information. </w:t>
      </w:r>
    </w:p>
    <w:p w14:paraId="4BE700A6" w14:textId="77777777" w:rsidR="00E374F0" w:rsidRPr="00A604AC" w:rsidRDefault="00E374F0" w:rsidP="00A7711D">
      <w:pPr>
        <w:pStyle w:val="TableFigureFooter"/>
        <w:keepNext/>
        <w:ind w:left="720" w:hanging="720"/>
        <w:rPr>
          <w:bCs/>
          <w:color w:val="000000" w:themeColor="text1"/>
          <w:szCs w:val="16"/>
        </w:rPr>
      </w:pPr>
      <w:r w:rsidRPr="00A604AC">
        <w:rPr>
          <w:rFonts w:eastAsiaTheme="majorEastAsia" w:cstheme="majorBidi"/>
          <w:bCs/>
          <w:color w:val="000000" w:themeColor="text1"/>
          <w:szCs w:val="16"/>
        </w:rPr>
        <w:t xml:space="preserve">Source: Table 56, p83 of the submission, and p86 of the CSR. </w:t>
      </w:r>
    </w:p>
    <w:p w14:paraId="7810CB86" w14:textId="72F9ED60" w:rsidR="00E374F0" w:rsidRPr="006A50B1" w:rsidRDefault="0008085B" w:rsidP="00A7711D">
      <w:pPr>
        <w:pStyle w:val="3-BodyText"/>
        <w:keepNext/>
        <w:rPr>
          <w:color w:val="000000" w:themeColor="text1"/>
        </w:rPr>
      </w:pPr>
      <w:r w:rsidRPr="00ED2B48">
        <w:rPr>
          <w:color w:val="000000" w:themeColor="text1"/>
        </w:rPr>
        <w:t>Serious t</w:t>
      </w:r>
      <w:r w:rsidR="00E374F0" w:rsidRPr="00ED2B48">
        <w:rPr>
          <w:color w:val="000000" w:themeColor="text1"/>
        </w:rPr>
        <w:t>reatment-emergent adverse events</w:t>
      </w:r>
      <w:r w:rsidRPr="00ED2B48">
        <w:rPr>
          <w:color w:val="000000" w:themeColor="text1"/>
        </w:rPr>
        <w:t xml:space="preserve"> (TEAEs)</w:t>
      </w:r>
      <w:r w:rsidR="00E374F0" w:rsidRPr="00ED2B48">
        <w:rPr>
          <w:color w:val="000000" w:themeColor="text1"/>
        </w:rPr>
        <w:t xml:space="preserve"> occurred significantly less often in the BEC/FOR group than in the FP/SAL group (4 people [1.9%]</w:t>
      </w:r>
      <w:r w:rsidR="00DC587C" w:rsidRPr="00ED2B48">
        <w:rPr>
          <w:color w:val="000000" w:themeColor="text1"/>
        </w:rPr>
        <w:t xml:space="preserve"> compared with 13 people [6.3%]</w:t>
      </w:r>
      <w:r w:rsidR="00E374F0" w:rsidRPr="00ED2B48">
        <w:rPr>
          <w:color w:val="000000" w:themeColor="text1"/>
        </w:rPr>
        <w:t>, p=0</w:t>
      </w:r>
      <w:r w:rsidR="00E374F0" w:rsidRPr="006A50B1">
        <w:rPr>
          <w:color w:val="000000" w:themeColor="text1"/>
        </w:rPr>
        <w:t>.024). All other results in Table 7 were non-significant at the 5% level.</w:t>
      </w:r>
      <w:r w:rsidRPr="006A50B1">
        <w:rPr>
          <w:color w:val="000000" w:themeColor="text1"/>
        </w:rPr>
        <w:t xml:space="preserve"> In summary, the safety results for BEC/FOR and FP/SAL were similar.</w:t>
      </w:r>
    </w:p>
    <w:p w14:paraId="007322E2" w14:textId="728CBB46" w:rsidR="0008085B" w:rsidRPr="006A50B1" w:rsidRDefault="0008085B" w:rsidP="0008085B">
      <w:pPr>
        <w:pStyle w:val="3-BodyText"/>
        <w:rPr>
          <w:color w:val="000000" w:themeColor="text1"/>
          <w:lang w:val="en-US"/>
        </w:rPr>
      </w:pPr>
      <w:r w:rsidRPr="006A50B1">
        <w:rPr>
          <w:color w:val="000000" w:themeColor="text1"/>
        </w:rPr>
        <w:t xml:space="preserve">There were no significant differences in the rates of TEAEs between the three treatments in the Calverley et al (2010) trial. The </w:t>
      </w:r>
      <w:proofErr w:type="gramStart"/>
      <w:r w:rsidRPr="006A50B1">
        <w:rPr>
          <w:color w:val="000000" w:themeColor="text1"/>
        </w:rPr>
        <w:t>most commonly reported</w:t>
      </w:r>
      <w:proofErr w:type="gramEnd"/>
      <w:r w:rsidRPr="006A50B1">
        <w:rPr>
          <w:color w:val="000000" w:themeColor="text1"/>
        </w:rPr>
        <w:t xml:space="preserve"> adverse event was exacerbation or worsening of COPD, which occurred in 27−28% of participants. The safety results in the Calverley et al. (2010) trial </w:t>
      </w:r>
      <w:proofErr w:type="gramStart"/>
      <w:r w:rsidRPr="006A50B1">
        <w:rPr>
          <w:color w:val="000000" w:themeColor="text1"/>
        </w:rPr>
        <w:t>were</w:t>
      </w:r>
      <w:proofErr w:type="gramEnd"/>
      <w:r w:rsidRPr="006A50B1">
        <w:rPr>
          <w:color w:val="000000" w:themeColor="text1"/>
        </w:rPr>
        <w:t xml:space="preserve"> similar between treatments and are in line with the expected findings for ICS/LABA combination treatments. </w:t>
      </w:r>
    </w:p>
    <w:p w14:paraId="375CD11C" w14:textId="21527D5C" w:rsidR="00E374F0" w:rsidRPr="00ED2B48" w:rsidRDefault="0008085B" w:rsidP="00A7711D">
      <w:pPr>
        <w:pStyle w:val="3-BodyText"/>
        <w:rPr>
          <w:i/>
          <w:iCs/>
          <w:color w:val="000000" w:themeColor="text1"/>
        </w:rPr>
      </w:pPr>
      <w:r w:rsidRPr="006A50B1">
        <w:rPr>
          <w:color w:val="000000" w:themeColor="text1"/>
        </w:rPr>
        <w:t>TEAEs</w:t>
      </w:r>
      <w:r w:rsidR="00E374F0" w:rsidRPr="006A50B1">
        <w:rPr>
          <w:color w:val="000000" w:themeColor="text1"/>
        </w:rPr>
        <w:t xml:space="preserve"> leading to death occurred in only one patient in the FUTURE trial, who was in the BEC/FOR group. The submission claimed that the death was attributed to acute myocardial infarction and was not related</w:t>
      </w:r>
      <w:r w:rsidR="00E374F0" w:rsidRPr="00ED2B48">
        <w:rPr>
          <w:color w:val="000000" w:themeColor="text1"/>
        </w:rPr>
        <w:t xml:space="preserve"> to treatment. The Calverley et al. (2010) trial reported two deaths in the BEC/FOR group and four deaths in the BUD/FOR group. </w:t>
      </w:r>
    </w:p>
    <w:p w14:paraId="0E512B72" w14:textId="77777777" w:rsidR="00E374F0" w:rsidRPr="00ED2B48" w:rsidRDefault="00E374F0" w:rsidP="00A7711D">
      <w:pPr>
        <w:pStyle w:val="4-SubsectionHeading"/>
        <w:ind w:left="720" w:hanging="720"/>
        <w:rPr>
          <w:color w:val="000000" w:themeColor="text1"/>
        </w:rPr>
      </w:pPr>
      <w:bookmarkStart w:id="39" w:name="_Toc22897644"/>
      <w:bookmarkStart w:id="40" w:name="_Toc22898856"/>
      <w:bookmarkStart w:id="41" w:name="_Toc93506455"/>
      <w:r w:rsidRPr="00ED2B48">
        <w:rPr>
          <w:color w:val="000000" w:themeColor="text1"/>
        </w:rPr>
        <w:t>Clinical claim</w:t>
      </w:r>
      <w:bookmarkEnd w:id="39"/>
      <w:bookmarkEnd w:id="40"/>
      <w:bookmarkEnd w:id="41"/>
    </w:p>
    <w:p w14:paraId="4C0BF725" w14:textId="77777777" w:rsidR="008C47C5" w:rsidRPr="006A50B1" w:rsidRDefault="00E374F0" w:rsidP="00A7711D">
      <w:pPr>
        <w:pStyle w:val="3-BodyText"/>
        <w:rPr>
          <w:rFonts w:eastAsia="Calibri"/>
          <w:iCs/>
          <w:color w:val="000000" w:themeColor="text1"/>
        </w:rPr>
      </w:pPr>
      <w:r w:rsidRPr="006A50B1">
        <w:rPr>
          <w:rFonts w:eastAsia="Calibri"/>
          <w:iCs/>
          <w:color w:val="000000" w:themeColor="text1"/>
        </w:rPr>
        <w:t xml:space="preserve">The submission described BEC/FOR as non-inferior in terms of effectiveness compared to FP/SAL and compared to BUD/FOR. </w:t>
      </w:r>
      <w:r w:rsidR="00D61502" w:rsidRPr="006A50B1">
        <w:rPr>
          <w:rFonts w:eastAsia="Calibri"/>
          <w:iCs/>
          <w:color w:val="000000" w:themeColor="text1"/>
        </w:rPr>
        <w:t xml:space="preserve">The clinical claim was broadly supported by </w:t>
      </w:r>
      <w:r w:rsidR="008C47C5" w:rsidRPr="006A50B1">
        <w:rPr>
          <w:rFonts w:eastAsia="Calibri"/>
          <w:iCs/>
          <w:color w:val="000000" w:themeColor="text1"/>
        </w:rPr>
        <w:t xml:space="preserve">TDI and </w:t>
      </w:r>
      <w:r w:rsidR="00D61502" w:rsidRPr="006A50B1">
        <w:rPr>
          <w:rFonts w:eastAsia="Calibri"/>
          <w:iCs/>
          <w:color w:val="000000" w:themeColor="text1"/>
        </w:rPr>
        <w:t xml:space="preserve">lung function results but </w:t>
      </w:r>
      <w:r w:rsidR="008C47C5" w:rsidRPr="006A50B1">
        <w:rPr>
          <w:rFonts w:eastAsia="Calibri"/>
          <w:iCs/>
          <w:color w:val="000000" w:themeColor="text1"/>
        </w:rPr>
        <w:t>may no</w:t>
      </w:r>
      <w:r w:rsidR="00D61502" w:rsidRPr="006A50B1">
        <w:rPr>
          <w:rFonts w:eastAsia="Calibri"/>
          <w:iCs/>
          <w:color w:val="000000" w:themeColor="text1"/>
        </w:rPr>
        <w:t xml:space="preserve">t </w:t>
      </w:r>
      <w:r w:rsidR="008C47C5" w:rsidRPr="006A50B1">
        <w:rPr>
          <w:rFonts w:eastAsia="Calibri"/>
          <w:iCs/>
          <w:color w:val="000000" w:themeColor="text1"/>
        </w:rPr>
        <w:t xml:space="preserve">be </w:t>
      </w:r>
      <w:r w:rsidR="00D61502" w:rsidRPr="006A50B1">
        <w:rPr>
          <w:rFonts w:eastAsia="Calibri"/>
          <w:iCs/>
          <w:color w:val="000000" w:themeColor="text1"/>
        </w:rPr>
        <w:t>supported by the results of the rates of exacerbations.</w:t>
      </w:r>
    </w:p>
    <w:p w14:paraId="5AFC77B3" w14:textId="79FA7E8A" w:rsidR="00E374F0" w:rsidRPr="006A50B1" w:rsidRDefault="00D75D68" w:rsidP="00A7711D">
      <w:pPr>
        <w:pStyle w:val="3-BodyText"/>
        <w:rPr>
          <w:rFonts w:eastAsia="Calibri"/>
          <w:iCs/>
          <w:color w:val="000000" w:themeColor="text1"/>
        </w:rPr>
      </w:pPr>
      <w:r w:rsidRPr="006A50B1">
        <w:rPr>
          <w:rFonts w:eastAsia="Calibri"/>
          <w:iCs/>
          <w:color w:val="000000" w:themeColor="text1"/>
        </w:rPr>
        <w:lastRenderedPageBreak/>
        <w:t>The claim of n</w:t>
      </w:r>
      <w:r w:rsidR="0060662E" w:rsidRPr="006A50B1">
        <w:rPr>
          <w:rFonts w:eastAsia="Calibri"/>
          <w:iCs/>
          <w:color w:val="000000" w:themeColor="text1"/>
        </w:rPr>
        <w:t>on-inferior</w:t>
      </w:r>
      <w:r w:rsidRPr="006A50B1">
        <w:rPr>
          <w:rFonts w:eastAsia="Calibri"/>
          <w:iCs/>
          <w:color w:val="000000" w:themeColor="text1"/>
        </w:rPr>
        <w:t xml:space="preserve"> clinical effectiveness</w:t>
      </w:r>
      <w:r w:rsidR="0060662E" w:rsidRPr="006A50B1">
        <w:rPr>
          <w:rFonts w:eastAsia="Calibri"/>
          <w:iCs/>
          <w:color w:val="000000" w:themeColor="text1"/>
        </w:rPr>
        <w:t xml:space="preserve"> was supported by the TDI results of the FUTURE trial. However, the trial was of 12 weeks duration only and </w:t>
      </w:r>
      <w:r w:rsidR="0060662E" w:rsidRPr="006A50B1">
        <w:rPr>
          <w:iCs/>
        </w:rPr>
        <w:t>may be too short to give an accurate estimate of the effect of treatment on the key clinical outcomes.</w:t>
      </w:r>
      <w:r w:rsidR="0060662E" w:rsidRPr="006A50B1">
        <w:rPr>
          <w:rFonts w:eastAsia="Calibri"/>
          <w:iCs/>
          <w:color w:val="000000" w:themeColor="text1"/>
        </w:rPr>
        <w:t xml:space="preserve"> </w:t>
      </w:r>
      <w:r w:rsidR="00004805" w:rsidRPr="00650D10">
        <w:rPr>
          <w:rFonts w:eastAsia="Calibri"/>
          <w:iCs/>
          <w:color w:val="000000" w:themeColor="text1"/>
        </w:rPr>
        <w:t xml:space="preserve">The </w:t>
      </w:r>
      <w:r w:rsidR="00D10CC0" w:rsidRPr="00650D10">
        <w:rPr>
          <w:rFonts w:eastAsia="Calibri"/>
          <w:iCs/>
          <w:color w:val="000000" w:themeColor="text1"/>
        </w:rPr>
        <w:t xml:space="preserve">ESC agreed with the </w:t>
      </w:r>
      <w:r w:rsidR="00004805" w:rsidRPr="00650D10">
        <w:rPr>
          <w:rFonts w:eastAsia="Calibri"/>
          <w:iCs/>
          <w:color w:val="000000" w:themeColor="text1"/>
        </w:rPr>
        <w:t>PSCR that PBAC had previously accepted non inferiority for fluticasone furoate plus vilanterol based on a 12-week study</w:t>
      </w:r>
      <w:r w:rsidR="003A5217" w:rsidRPr="00650D10">
        <w:rPr>
          <w:rFonts w:eastAsia="Calibri"/>
          <w:iCs/>
          <w:color w:val="000000" w:themeColor="text1"/>
        </w:rPr>
        <w:t xml:space="preserve"> </w:t>
      </w:r>
      <w:r w:rsidR="003A5217" w:rsidRPr="00650D10">
        <w:rPr>
          <w:iCs/>
        </w:rPr>
        <w:t xml:space="preserve">(paragraph 6.9, fluticasone furoate plus vilanterol </w:t>
      </w:r>
      <w:r w:rsidR="003652B7">
        <w:rPr>
          <w:iCs/>
        </w:rPr>
        <w:t>PSD</w:t>
      </w:r>
      <w:r w:rsidR="003A5217" w:rsidRPr="00650D10">
        <w:rPr>
          <w:iCs/>
        </w:rPr>
        <w:t>, July 2014 PBAC Meeting)</w:t>
      </w:r>
      <w:r w:rsidR="00004805" w:rsidRPr="00650D10">
        <w:rPr>
          <w:rFonts w:eastAsia="Calibri"/>
          <w:iCs/>
          <w:color w:val="000000" w:themeColor="text1"/>
        </w:rPr>
        <w:t>.</w:t>
      </w:r>
      <w:r w:rsidR="00004805" w:rsidRPr="00004805">
        <w:rPr>
          <w:rFonts w:eastAsia="Calibri"/>
          <w:iCs/>
          <w:color w:val="000000" w:themeColor="text1"/>
        </w:rPr>
        <w:t xml:space="preserve"> </w:t>
      </w:r>
    </w:p>
    <w:p w14:paraId="482A5A74" w14:textId="78EBE391" w:rsidR="00E442B6" w:rsidRPr="006A50B1" w:rsidRDefault="00D75D68" w:rsidP="005A44CC">
      <w:pPr>
        <w:pStyle w:val="3-BodyText"/>
        <w:rPr>
          <w:iCs/>
          <w:color w:val="000000" w:themeColor="text1"/>
          <w:lang w:val="en-US"/>
        </w:rPr>
      </w:pPr>
      <w:r w:rsidRPr="006A50B1">
        <w:rPr>
          <w:rFonts w:eastAsia="Calibri"/>
          <w:iCs/>
          <w:color w:val="000000" w:themeColor="text1"/>
        </w:rPr>
        <w:t xml:space="preserve">The claim of non-inferior clinical effectiveness was also supported by the </w:t>
      </w:r>
      <w:r w:rsidR="00E374F0" w:rsidRPr="006A50B1">
        <w:rPr>
          <w:rFonts w:eastAsia="Calibri"/>
          <w:iCs/>
          <w:color w:val="000000" w:themeColor="text1"/>
        </w:rPr>
        <w:t>change in pre-dose morning FEV1 from baseline to 48 weeks</w:t>
      </w:r>
      <w:r w:rsidRPr="006A50B1">
        <w:rPr>
          <w:rFonts w:eastAsia="Calibri"/>
          <w:iCs/>
          <w:color w:val="000000" w:themeColor="text1"/>
        </w:rPr>
        <w:t xml:space="preserve"> reported </w:t>
      </w:r>
      <w:bookmarkStart w:id="42" w:name="_Hlk98427289"/>
      <w:r w:rsidRPr="006A50B1">
        <w:rPr>
          <w:rFonts w:eastAsia="Calibri"/>
          <w:iCs/>
          <w:color w:val="000000" w:themeColor="text1"/>
        </w:rPr>
        <w:t>in the Calverley et al. (2010) trial</w:t>
      </w:r>
      <w:bookmarkEnd w:id="42"/>
      <w:r w:rsidRPr="006A50B1">
        <w:rPr>
          <w:rFonts w:eastAsia="Calibri"/>
          <w:iCs/>
          <w:color w:val="000000" w:themeColor="text1"/>
        </w:rPr>
        <w:t xml:space="preserve"> for BEC/FOR versus BUD/FOR (</w:t>
      </w:r>
      <w:r w:rsidRPr="002B71EA">
        <w:rPr>
          <w:rFonts w:eastAsia="Calibri"/>
          <w:iCs/>
          <w:color w:val="000000" w:themeColor="text1"/>
        </w:rPr>
        <w:t xml:space="preserve">see paragraph </w:t>
      </w:r>
      <w:r w:rsidR="00480B18">
        <w:rPr>
          <w:rFonts w:eastAsia="Calibri"/>
          <w:iCs/>
          <w:color w:val="000000" w:themeColor="text1"/>
        </w:rPr>
        <w:fldChar w:fldCharType="begin"/>
      </w:r>
      <w:r w:rsidR="00480B18">
        <w:rPr>
          <w:rFonts w:eastAsia="Calibri"/>
          <w:iCs/>
          <w:color w:val="000000" w:themeColor="text1"/>
        </w:rPr>
        <w:instrText xml:space="preserve"> REF _Ref98422363 \r \h </w:instrText>
      </w:r>
      <w:r w:rsidR="00480B18">
        <w:rPr>
          <w:rFonts w:eastAsia="Calibri"/>
          <w:iCs/>
          <w:color w:val="000000" w:themeColor="text1"/>
        </w:rPr>
      </w:r>
      <w:r w:rsidR="00480B18">
        <w:rPr>
          <w:rFonts w:eastAsia="Calibri"/>
          <w:iCs/>
          <w:color w:val="000000" w:themeColor="text1"/>
        </w:rPr>
        <w:fldChar w:fldCharType="separate"/>
      </w:r>
      <w:r w:rsidR="000F131C">
        <w:rPr>
          <w:rFonts w:eastAsia="Calibri"/>
          <w:iCs/>
          <w:color w:val="000000" w:themeColor="text1"/>
        </w:rPr>
        <w:t>6.20</w:t>
      </w:r>
      <w:r w:rsidR="00480B18">
        <w:rPr>
          <w:rFonts w:eastAsia="Calibri"/>
          <w:iCs/>
          <w:color w:val="000000" w:themeColor="text1"/>
        </w:rPr>
        <w:fldChar w:fldCharType="end"/>
      </w:r>
      <w:r w:rsidRPr="006A50B1">
        <w:rPr>
          <w:rFonts w:eastAsia="Calibri"/>
          <w:iCs/>
          <w:color w:val="000000" w:themeColor="text1"/>
        </w:rPr>
        <w:t xml:space="preserve">). </w:t>
      </w:r>
    </w:p>
    <w:p w14:paraId="73E6B986" w14:textId="19B571CB" w:rsidR="00E374F0" w:rsidRPr="006A50B1" w:rsidRDefault="00D61502" w:rsidP="005A44CC">
      <w:pPr>
        <w:pStyle w:val="3-BodyText"/>
        <w:rPr>
          <w:iCs/>
          <w:color w:val="000000" w:themeColor="text1"/>
          <w:lang w:val="en-US"/>
        </w:rPr>
      </w:pPr>
      <w:r w:rsidRPr="006A50B1">
        <w:rPr>
          <w:rFonts w:eastAsia="Calibri"/>
          <w:iCs/>
          <w:color w:val="000000" w:themeColor="text1"/>
        </w:rPr>
        <w:t xml:space="preserve">A non-inferiority margin was not proposed for the </w:t>
      </w:r>
      <w:r w:rsidR="00D75D68" w:rsidRPr="006A50B1">
        <w:rPr>
          <w:rFonts w:eastAsia="Calibri"/>
          <w:iCs/>
          <w:color w:val="000000" w:themeColor="text1"/>
        </w:rPr>
        <w:t xml:space="preserve">co-primary </w:t>
      </w:r>
      <w:r w:rsidRPr="006A50B1">
        <w:rPr>
          <w:rFonts w:eastAsia="Calibri"/>
          <w:iCs/>
          <w:color w:val="000000" w:themeColor="text1"/>
        </w:rPr>
        <w:t xml:space="preserve">outcome of </w:t>
      </w:r>
      <w:r w:rsidR="00D75D68" w:rsidRPr="006A50B1">
        <w:rPr>
          <w:rFonts w:eastAsia="Calibri"/>
          <w:iCs/>
          <w:color w:val="000000" w:themeColor="text1"/>
        </w:rPr>
        <w:t xml:space="preserve">mean rate per patient/year for COPD </w:t>
      </w:r>
      <w:r w:rsidRPr="006A50B1">
        <w:rPr>
          <w:rFonts w:eastAsia="Calibri"/>
          <w:iCs/>
          <w:color w:val="000000" w:themeColor="text1"/>
        </w:rPr>
        <w:t>exacerbations</w:t>
      </w:r>
      <w:r w:rsidR="00C03E52">
        <w:rPr>
          <w:rFonts w:eastAsia="Calibri"/>
          <w:iCs/>
          <w:color w:val="000000" w:themeColor="text1"/>
        </w:rPr>
        <w:t xml:space="preserve"> </w:t>
      </w:r>
      <w:r w:rsidR="00C03E52" w:rsidRPr="006A50B1">
        <w:rPr>
          <w:rFonts w:eastAsia="Calibri"/>
          <w:iCs/>
          <w:color w:val="000000" w:themeColor="text1"/>
        </w:rPr>
        <w:t>in the Calverley et al. (2010) trial</w:t>
      </w:r>
      <w:r w:rsidRPr="006A50B1">
        <w:rPr>
          <w:rFonts w:eastAsia="Calibri"/>
          <w:iCs/>
          <w:color w:val="000000" w:themeColor="text1"/>
        </w:rPr>
        <w:t xml:space="preserve">. </w:t>
      </w:r>
      <w:r w:rsidR="005A44CC" w:rsidRPr="006A50B1">
        <w:rPr>
          <w:rFonts w:eastAsia="Calibri"/>
          <w:iCs/>
          <w:color w:val="000000" w:themeColor="text1"/>
        </w:rPr>
        <w:t xml:space="preserve">While no significant statistical differences were evident, </w:t>
      </w:r>
      <w:r w:rsidR="00E374F0" w:rsidRPr="006A50B1">
        <w:rPr>
          <w:rFonts w:eastAsia="Calibri"/>
          <w:iCs/>
          <w:color w:val="000000" w:themeColor="text1"/>
        </w:rPr>
        <w:t>the upper 95% confidence interval of the exacerbation rate ratio for BEC/FOR versus BUD/FOR was high, at 1.33.</w:t>
      </w:r>
      <w:r w:rsidR="005A44CC" w:rsidRPr="006A50B1">
        <w:rPr>
          <w:rFonts w:eastAsia="Calibri"/>
          <w:iCs/>
          <w:color w:val="000000" w:themeColor="text1"/>
        </w:rPr>
        <w:t xml:space="preserve"> However, the </w:t>
      </w:r>
      <w:r w:rsidR="005A44CC" w:rsidRPr="006A50B1">
        <w:rPr>
          <w:iCs/>
        </w:rPr>
        <w:t>reduction in exacerbations was much less than anticipated in the power calculations, thus it is likely that the study was underpowered for this outcome.</w:t>
      </w:r>
    </w:p>
    <w:p w14:paraId="3A8E6FF4" w14:textId="6E6C9AFF" w:rsidR="00E374F0" w:rsidRPr="005C6F21" w:rsidRDefault="00D61502" w:rsidP="00A7711D">
      <w:pPr>
        <w:pStyle w:val="3-BodyText"/>
        <w:rPr>
          <w:rFonts w:ascii="Calibri" w:eastAsiaTheme="majorEastAsia" w:hAnsi="Calibri" w:cstheme="majorBidi"/>
          <w:b/>
          <w:iCs/>
          <w:snapToGrid/>
          <w:color w:val="000000" w:themeColor="text1"/>
          <w:spacing w:val="5"/>
          <w:kern w:val="28"/>
        </w:rPr>
      </w:pPr>
      <w:r w:rsidRPr="006A50B1">
        <w:rPr>
          <w:rFonts w:eastAsia="Calibri"/>
          <w:iCs/>
          <w:color w:val="000000" w:themeColor="text1"/>
        </w:rPr>
        <w:t>Furthermore, t</w:t>
      </w:r>
      <w:r w:rsidR="00E374F0" w:rsidRPr="006A50B1">
        <w:rPr>
          <w:rFonts w:eastAsia="Calibri"/>
          <w:iCs/>
          <w:color w:val="000000" w:themeColor="text1"/>
        </w:rPr>
        <w:t xml:space="preserve">he submission described BEC/FOR as non-inferior in terms of safety compared to FP/SAL and BUD/FOR. </w:t>
      </w:r>
      <w:r w:rsidR="00CC4A74" w:rsidRPr="006A50B1">
        <w:rPr>
          <w:rFonts w:eastAsia="Calibri"/>
          <w:iCs/>
          <w:color w:val="000000" w:themeColor="text1"/>
        </w:rPr>
        <w:t>T</w:t>
      </w:r>
      <w:r w:rsidR="00E374F0" w:rsidRPr="006A50B1">
        <w:rPr>
          <w:rFonts w:eastAsia="Calibri"/>
          <w:iCs/>
          <w:color w:val="000000" w:themeColor="text1"/>
        </w:rPr>
        <w:t>he overall safety</w:t>
      </w:r>
      <w:r w:rsidR="00CC4A74" w:rsidRPr="006A50B1">
        <w:rPr>
          <w:rFonts w:eastAsia="Calibri"/>
          <w:iCs/>
          <w:color w:val="000000" w:themeColor="text1"/>
        </w:rPr>
        <w:t xml:space="preserve"> profiles</w:t>
      </w:r>
      <w:r w:rsidR="00E374F0" w:rsidRPr="006A50B1">
        <w:rPr>
          <w:rFonts w:eastAsia="Calibri"/>
          <w:iCs/>
          <w:color w:val="000000" w:themeColor="text1"/>
        </w:rPr>
        <w:t xml:space="preserve"> of BEC/FOR and FP/SAL in the FUTURE trial and BEC/FOR and BUD/FOR in</w:t>
      </w:r>
      <w:r w:rsidR="009B1DE6" w:rsidRPr="006A50B1">
        <w:rPr>
          <w:rFonts w:eastAsia="Calibri"/>
          <w:iCs/>
          <w:color w:val="000000" w:themeColor="text1"/>
        </w:rPr>
        <w:t xml:space="preserve"> the</w:t>
      </w:r>
      <w:r w:rsidR="00E374F0" w:rsidRPr="006A50B1">
        <w:rPr>
          <w:rFonts w:eastAsia="Calibri"/>
          <w:iCs/>
          <w:color w:val="000000" w:themeColor="text1"/>
        </w:rPr>
        <w:t xml:space="preserve"> Calverley et al</w:t>
      </w:r>
      <w:r w:rsidR="00BF0846" w:rsidRPr="006A50B1">
        <w:rPr>
          <w:rFonts w:eastAsia="Calibri"/>
          <w:iCs/>
          <w:color w:val="000000" w:themeColor="text1"/>
        </w:rPr>
        <w:t>.</w:t>
      </w:r>
      <w:r w:rsidR="00E374F0" w:rsidRPr="006A50B1">
        <w:rPr>
          <w:rFonts w:eastAsia="Calibri"/>
          <w:iCs/>
          <w:color w:val="000000" w:themeColor="text1"/>
        </w:rPr>
        <w:t xml:space="preserve"> (2010)</w:t>
      </w:r>
      <w:r w:rsidR="009B1DE6" w:rsidRPr="006A50B1">
        <w:rPr>
          <w:rFonts w:eastAsia="Calibri"/>
          <w:iCs/>
          <w:color w:val="000000" w:themeColor="text1"/>
        </w:rPr>
        <w:t xml:space="preserve"> trial</w:t>
      </w:r>
      <w:r w:rsidR="00E374F0" w:rsidRPr="006A50B1">
        <w:rPr>
          <w:rFonts w:eastAsia="Calibri"/>
          <w:iCs/>
          <w:color w:val="000000" w:themeColor="text1"/>
        </w:rPr>
        <w:t xml:space="preserve"> </w:t>
      </w:r>
      <w:proofErr w:type="gramStart"/>
      <w:r w:rsidR="009B1DE6" w:rsidRPr="006A50B1">
        <w:rPr>
          <w:rFonts w:eastAsia="Calibri"/>
          <w:iCs/>
          <w:color w:val="000000" w:themeColor="text1"/>
        </w:rPr>
        <w:t>w</w:t>
      </w:r>
      <w:r w:rsidR="00CC4A74" w:rsidRPr="006A50B1">
        <w:rPr>
          <w:rFonts w:eastAsia="Calibri"/>
          <w:iCs/>
          <w:color w:val="000000" w:themeColor="text1"/>
        </w:rPr>
        <w:t>ere</w:t>
      </w:r>
      <w:proofErr w:type="gramEnd"/>
      <w:r w:rsidR="00E374F0" w:rsidRPr="006A50B1">
        <w:rPr>
          <w:rFonts w:eastAsia="Calibri"/>
          <w:iCs/>
          <w:color w:val="000000" w:themeColor="text1"/>
        </w:rPr>
        <w:t xml:space="preserve"> similar. N</w:t>
      </w:r>
      <w:r w:rsidR="00E374F0" w:rsidRPr="006A50B1">
        <w:rPr>
          <w:iCs/>
          <w:color w:val="000000" w:themeColor="text1"/>
        </w:rPr>
        <w:t xml:space="preserve">o significant differences were found between the treatments apart from a significantly higher incidence of </w:t>
      </w:r>
      <w:r w:rsidR="00CC4A74" w:rsidRPr="006A50B1">
        <w:rPr>
          <w:iCs/>
          <w:color w:val="000000" w:themeColor="text1"/>
        </w:rPr>
        <w:t xml:space="preserve">serious TEAEs </w:t>
      </w:r>
      <w:r w:rsidR="00E374F0" w:rsidRPr="006A50B1">
        <w:rPr>
          <w:iCs/>
          <w:color w:val="000000" w:themeColor="text1"/>
        </w:rPr>
        <w:t xml:space="preserve">in the FP/SAL treatment group (1.9% BEC/FOR vs 6.3% FP/SAL; p = 0.024). </w:t>
      </w:r>
    </w:p>
    <w:p w14:paraId="102DA2EF" w14:textId="0BB29581" w:rsidR="003A5217" w:rsidRPr="006A50B1" w:rsidRDefault="00D10CC0" w:rsidP="000F131C">
      <w:pPr>
        <w:pStyle w:val="3-BodyText"/>
        <w:rPr>
          <w:rFonts w:ascii="Calibri" w:eastAsiaTheme="majorEastAsia" w:hAnsi="Calibri" w:cstheme="majorBidi"/>
          <w:b/>
          <w:iCs/>
          <w:snapToGrid/>
          <w:color w:val="000000" w:themeColor="text1"/>
          <w:spacing w:val="5"/>
          <w:kern w:val="28"/>
        </w:rPr>
      </w:pPr>
      <w:r w:rsidRPr="00650D10">
        <w:rPr>
          <w:rFonts w:eastAsia="Calibri"/>
          <w:iCs/>
          <w:color w:val="000000" w:themeColor="text1"/>
        </w:rPr>
        <w:t xml:space="preserve">The </w:t>
      </w:r>
      <w:r w:rsidR="0097319A">
        <w:rPr>
          <w:rFonts w:eastAsia="Calibri"/>
          <w:iCs/>
          <w:color w:val="000000" w:themeColor="text1"/>
        </w:rPr>
        <w:t>PBAC</w:t>
      </w:r>
      <w:r w:rsidRPr="00650D10">
        <w:rPr>
          <w:rFonts w:eastAsia="Calibri"/>
          <w:iCs/>
          <w:color w:val="000000" w:themeColor="text1"/>
        </w:rPr>
        <w:t xml:space="preserve"> </w:t>
      </w:r>
      <w:r w:rsidR="00480B18">
        <w:rPr>
          <w:rFonts w:eastAsia="Calibri"/>
          <w:iCs/>
          <w:color w:val="000000" w:themeColor="text1"/>
        </w:rPr>
        <w:t xml:space="preserve">agreed with the ESC that the </w:t>
      </w:r>
      <w:r w:rsidRPr="00650D10">
        <w:rPr>
          <w:rFonts w:eastAsia="Calibri"/>
          <w:iCs/>
          <w:color w:val="000000" w:themeColor="text1"/>
        </w:rPr>
        <w:t xml:space="preserve">clinical claims of non-inferior effectiveness and safety were supported by the data presented. </w:t>
      </w:r>
    </w:p>
    <w:p w14:paraId="0569B5FE" w14:textId="77777777" w:rsidR="00E374F0" w:rsidRPr="00390D87" w:rsidRDefault="00E374F0" w:rsidP="00A7711D">
      <w:pPr>
        <w:pStyle w:val="4-SubsectionHeading"/>
        <w:ind w:left="720" w:hanging="720"/>
        <w:rPr>
          <w:color w:val="000000" w:themeColor="text1"/>
        </w:rPr>
      </w:pPr>
      <w:bookmarkStart w:id="43" w:name="_Toc22897645"/>
      <w:bookmarkStart w:id="44" w:name="_Toc22898857"/>
      <w:bookmarkStart w:id="45" w:name="_Toc93506456"/>
      <w:r w:rsidRPr="00390D87">
        <w:rPr>
          <w:color w:val="000000" w:themeColor="text1"/>
        </w:rPr>
        <w:t>Economic analysis</w:t>
      </w:r>
      <w:bookmarkEnd w:id="43"/>
      <w:bookmarkEnd w:id="44"/>
      <w:bookmarkEnd w:id="45"/>
      <w:r w:rsidRPr="00390D87">
        <w:rPr>
          <w:color w:val="000000" w:themeColor="text1"/>
        </w:rPr>
        <w:t xml:space="preserve"> </w:t>
      </w:r>
    </w:p>
    <w:p w14:paraId="4377764A" w14:textId="77777777" w:rsidR="00E374F0" w:rsidRPr="006A50B1" w:rsidRDefault="00E374F0" w:rsidP="00A7711D">
      <w:pPr>
        <w:pStyle w:val="3-BodyText"/>
        <w:rPr>
          <w:color w:val="000000" w:themeColor="text1"/>
        </w:rPr>
      </w:pPr>
      <w:r w:rsidRPr="006A50B1">
        <w:rPr>
          <w:color w:val="000000" w:themeColor="text1"/>
        </w:rPr>
        <w:t>The cost-minimisation analysis was based on the claim of non-inferior effectiveness and safety for BEC/FOR compared to FP/SAL on the equipotent doses demonstrated in the FUTURE trial. A cost-minimisation approach is consistent with the clinical claim.</w:t>
      </w:r>
    </w:p>
    <w:p w14:paraId="5901C461" w14:textId="3FAB12A8" w:rsidR="00E374F0" w:rsidRPr="00390D87" w:rsidRDefault="00E374F0" w:rsidP="00A7711D">
      <w:pPr>
        <w:pStyle w:val="3-BodyText"/>
        <w:rPr>
          <w:color w:val="000000" w:themeColor="text1"/>
        </w:rPr>
      </w:pPr>
      <w:r w:rsidRPr="00390D87">
        <w:rPr>
          <w:color w:val="000000" w:themeColor="text1"/>
        </w:rPr>
        <w:t xml:space="preserve">The equi-effective doses are presented in </w:t>
      </w:r>
      <w:r w:rsidR="003811C1">
        <w:rPr>
          <w:color w:val="000000" w:themeColor="text1"/>
        </w:rPr>
        <w:t>Table 8</w:t>
      </w:r>
      <w:r w:rsidRPr="00390D87">
        <w:rPr>
          <w:color w:val="000000" w:themeColor="text1"/>
        </w:rPr>
        <w:t>.</w:t>
      </w:r>
    </w:p>
    <w:p w14:paraId="33D7B2BA" w14:textId="230AC0FD" w:rsidR="00E374F0" w:rsidRPr="00A604AC" w:rsidRDefault="00E374F0" w:rsidP="000F131C">
      <w:pPr>
        <w:pStyle w:val="Caption"/>
        <w:keepNext/>
        <w:keepLines/>
        <w:spacing w:after="0"/>
        <w:ind w:left="720" w:hanging="720"/>
        <w:rPr>
          <w:color w:val="000000" w:themeColor="text1"/>
          <w:szCs w:val="20"/>
        </w:rPr>
      </w:pPr>
      <w:bookmarkStart w:id="46" w:name="_Ref98431535"/>
      <w:r w:rsidRPr="00A604AC">
        <w:rPr>
          <w:rFonts w:ascii="Arial Narrow" w:hAnsi="Arial Narrow"/>
          <w:color w:val="000000" w:themeColor="text1"/>
          <w:sz w:val="20"/>
          <w:szCs w:val="20"/>
        </w:rPr>
        <w:t xml:space="preserve">Table </w:t>
      </w:r>
      <w:r w:rsidRPr="00A604AC">
        <w:rPr>
          <w:rFonts w:ascii="Arial Narrow" w:hAnsi="Arial Narrow"/>
          <w:color w:val="000000" w:themeColor="text1"/>
          <w:sz w:val="20"/>
          <w:szCs w:val="20"/>
        </w:rPr>
        <w:fldChar w:fldCharType="begin"/>
      </w:r>
      <w:r w:rsidRPr="00A604AC">
        <w:rPr>
          <w:rFonts w:ascii="Arial Narrow" w:hAnsi="Arial Narrow"/>
          <w:color w:val="000000" w:themeColor="text1"/>
          <w:sz w:val="20"/>
          <w:szCs w:val="20"/>
        </w:rPr>
        <w:instrText xml:space="preserve"> SEQ Table \* ARABIC </w:instrText>
      </w:r>
      <w:r w:rsidRPr="00A604AC">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8</w:t>
      </w:r>
      <w:r w:rsidRPr="00A604AC">
        <w:rPr>
          <w:rFonts w:ascii="Arial Narrow" w:hAnsi="Arial Narrow"/>
          <w:color w:val="000000" w:themeColor="text1"/>
          <w:sz w:val="20"/>
          <w:szCs w:val="20"/>
        </w:rPr>
        <w:fldChar w:fldCharType="end"/>
      </w:r>
      <w:bookmarkEnd w:id="46"/>
      <w:r w:rsidRPr="00A604AC">
        <w:rPr>
          <w:rFonts w:ascii="Arial Narrow" w:hAnsi="Arial Narrow"/>
          <w:color w:val="000000" w:themeColor="text1"/>
          <w:sz w:val="20"/>
          <w:szCs w:val="20"/>
        </w:rPr>
        <w:t>: Data used to calculate the equi-effective doses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2802"/>
        <w:gridCol w:w="1417"/>
        <w:gridCol w:w="1738"/>
      </w:tblGrid>
      <w:tr w:rsidR="00E374F0" w:rsidRPr="00BD1F00" w14:paraId="2A70C6EE" w14:textId="77777777" w:rsidTr="00351F2F">
        <w:trPr>
          <w:trHeight w:val="215"/>
        </w:trPr>
        <w:tc>
          <w:tcPr>
            <w:tcW w:w="1696" w:type="pct"/>
            <w:vAlign w:val="center"/>
          </w:tcPr>
          <w:p w14:paraId="74F05C37" w14:textId="77777777" w:rsidR="00E374F0" w:rsidRPr="00390D87" w:rsidRDefault="00E374F0" w:rsidP="000F131C">
            <w:pPr>
              <w:pStyle w:val="In-tableHeading"/>
              <w:keepLines/>
              <w:ind w:left="720" w:hanging="720"/>
              <w:rPr>
                <w:color w:val="000000" w:themeColor="text1"/>
              </w:rPr>
            </w:pPr>
            <w:r w:rsidRPr="00390D87">
              <w:rPr>
                <w:color w:val="000000" w:themeColor="text1"/>
              </w:rPr>
              <w:t>Treatment</w:t>
            </w:r>
          </w:p>
        </w:tc>
        <w:tc>
          <w:tcPr>
            <w:tcW w:w="1554" w:type="pct"/>
            <w:vAlign w:val="center"/>
          </w:tcPr>
          <w:p w14:paraId="440E913B" w14:textId="77777777" w:rsidR="00E374F0" w:rsidRPr="00390D87" w:rsidRDefault="00E374F0" w:rsidP="000F131C">
            <w:pPr>
              <w:pStyle w:val="In-tableHeading"/>
              <w:keepLines/>
              <w:ind w:left="720" w:hanging="720"/>
              <w:rPr>
                <w:color w:val="000000" w:themeColor="text1"/>
              </w:rPr>
            </w:pPr>
            <w:r w:rsidRPr="00390D87">
              <w:rPr>
                <w:color w:val="000000" w:themeColor="text1"/>
              </w:rPr>
              <w:t>Dose/Day</w:t>
            </w:r>
          </w:p>
        </w:tc>
        <w:tc>
          <w:tcPr>
            <w:tcW w:w="786" w:type="pct"/>
            <w:vAlign w:val="center"/>
          </w:tcPr>
          <w:p w14:paraId="7DE669F5" w14:textId="77777777" w:rsidR="00E374F0" w:rsidRPr="00390D87" w:rsidRDefault="00E374F0" w:rsidP="000F131C">
            <w:pPr>
              <w:pStyle w:val="In-tableHeading"/>
              <w:keepLines/>
              <w:ind w:left="720" w:hanging="720"/>
              <w:rPr>
                <w:color w:val="000000" w:themeColor="text1"/>
              </w:rPr>
            </w:pPr>
            <w:r w:rsidRPr="00390D87">
              <w:rPr>
                <w:color w:val="000000" w:themeColor="text1"/>
              </w:rPr>
              <w:t>Pack size</w:t>
            </w:r>
          </w:p>
        </w:tc>
        <w:tc>
          <w:tcPr>
            <w:tcW w:w="965" w:type="pct"/>
            <w:vAlign w:val="center"/>
          </w:tcPr>
          <w:p w14:paraId="0B7BE0EE" w14:textId="77777777" w:rsidR="00E374F0" w:rsidRPr="00390D87" w:rsidRDefault="00E374F0" w:rsidP="000F131C">
            <w:pPr>
              <w:pStyle w:val="In-tableHeading"/>
              <w:keepLines/>
              <w:ind w:left="720" w:hanging="720"/>
              <w:rPr>
                <w:color w:val="000000" w:themeColor="text1"/>
              </w:rPr>
            </w:pPr>
            <w:r w:rsidRPr="00390D87">
              <w:rPr>
                <w:color w:val="000000" w:themeColor="text1"/>
              </w:rPr>
              <w:t>Days per pack</w:t>
            </w:r>
          </w:p>
        </w:tc>
      </w:tr>
      <w:tr w:rsidR="00E374F0" w:rsidRPr="00BD1F00" w14:paraId="7BA58130" w14:textId="77777777" w:rsidTr="00351F2F">
        <w:trPr>
          <w:trHeight w:val="202"/>
        </w:trPr>
        <w:tc>
          <w:tcPr>
            <w:tcW w:w="5000" w:type="pct"/>
            <w:gridSpan w:val="4"/>
            <w:vAlign w:val="center"/>
          </w:tcPr>
          <w:p w14:paraId="438C6257" w14:textId="77777777" w:rsidR="00E374F0" w:rsidRPr="00390D87" w:rsidRDefault="00E374F0" w:rsidP="000F131C">
            <w:pPr>
              <w:pStyle w:val="In-tableHeading"/>
              <w:keepLines/>
              <w:ind w:left="720" w:hanging="720"/>
              <w:rPr>
                <w:b w:val="0"/>
                <w:color w:val="000000" w:themeColor="text1"/>
              </w:rPr>
            </w:pPr>
            <w:r w:rsidRPr="00390D87">
              <w:rPr>
                <w:b w:val="0"/>
                <w:color w:val="000000" w:themeColor="text1"/>
              </w:rPr>
              <w:t>Equi-effective doses</w:t>
            </w:r>
          </w:p>
        </w:tc>
      </w:tr>
      <w:tr w:rsidR="00E374F0" w:rsidRPr="00BD1F00" w14:paraId="372BA0AF" w14:textId="77777777" w:rsidTr="00351F2F">
        <w:trPr>
          <w:trHeight w:val="354"/>
        </w:trPr>
        <w:tc>
          <w:tcPr>
            <w:tcW w:w="1696" w:type="pct"/>
            <w:tcBorders>
              <w:bottom w:val="single" w:sz="4" w:space="0" w:color="auto"/>
            </w:tcBorders>
            <w:vAlign w:val="center"/>
          </w:tcPr>
          <w:p w14:paraId="175A099F" w14:textId="497E9399" w:rsidR="00E374F0" w:rsidRPr="00390D87" w:rsidRDefault="00E374F0" w:rsidP="000F131C">
            <w:pPr>
              <w:pStyle w:val="TableText0"/>
              <w:keepLines/>
              <w:ind w:left="720" w:hanging="720"/>
              <w:rPr>
                <w:color w:val="000000" w:themeColor="text1"/>
              </w:rPr>
            </w:pPr>
            <w:r w:rsidRPr="00390D87">
              <w:rPr>
                <w:color w:val="000000" w:themeColor="text1"/>
              </w:rPr>
              <w:t>BEC/FOR (100/6</w:t>
            </w:r>
            <w:r w:rsidR="003652B7">
              <w:rPr>
                <w:color w:val="000000" w:themeColor="text1"/>
              </w:rPr>
              <w:t> </w:t>
            </w:r>
            <w:r w:rsidRPr="00390D87">
              <w:rPr>
                <w:color w:val="000000" w:themeColor="text1"/>
              </w:rPr>
              <w:t>μg)</w:t>
            </w:r>
          </w:p>
        </w:tc>
        <w:tc>
          <w:tcPr>
            <w:tcW w:w="1554" w:type="pct"/>
            <w:tcBorders>
              <w:bottom w:val="single" w:sz="4" w:space="0" w:color="auto"/>
            </w:tcBorders>
            <w:vAlign w:val="center"/>
          </w:tcPr>
          <w:p w14:paraId="742FE3E9"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Two actuations twice daily</w:t>
            </w:r>
          </w:p>
        </w:tc>
        <w:tc>
          <w:tcPr>
            <w:tcW w:w="786" w:type="pct"/>
            <w:tcBorders>
              <w:bottom w:val="single" w:sz="4" w:space="0" w:color="auto"/>
            </w:tcBorders>
            <w:vAlign w:val="center"/>
          </w:tcPr>
          <w:p w14:paraId="6C4768F6"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120 doses</w:t>
            </w:r>
          </w:p>
        </w:tc>
        <w:tc>
          <w:tcPr>
            <w:tcW w:w="965" w:type="pct"/>
            <w:tcBorders>
              <w:bottom w:val="single" w:sz="4" w:space="0" w:color="auto"/>
            </w:tcBorders>
            <w:vAlign w:val="center"/>
          </w:tcPr>
          <w:p w14:paraId="0A92A75F"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30</w:t>
            </w:r>
          </w:p>
        </w:tc>
      </w:tr>
      <w:tr w:rsidR="00E374F0" w:rsidRPr="00BD1F00" w14:paraId="09DE1A1F" w14:textId="77777777" w:rsidTr="00351F2F">
        <w:trPr>
          <w:trHeight w:val="202"/>
        </w:trPr>
        <w:tc>
          <w:tcPr>
            <w:tcW w:w="1696" w:type="pct"/>
            <w:vAlign w:val="center"/>
          </w:tcPr>
          <w:p w14:paraId="1FC023C1" w14:textId="19D5614E" w:rsidR="00E374F0" w:rsidRPr="00390D87" w:rsidRDefault="00E374F0" w:rsidP="000F131C">
            <w:pPr>
              <w:pStyle w:val="TableText0"/>
              <w:keepLines/>
              <w:ind w:left="720" w:hanging="720"/>
              <w:rPr>
                <w:color w:val="000000" w:themeColor="text1"/>
              </w:rPr>
            </w:pPr>
            <w:r w:rsidRPr="00390D87">
              <w:rPr>
                <w:color w:val="000000" w:themeColor="text1"/>
              </w:rPr>
              <w:t>FP/SAL (250/25</w:t>
            </w:r>
            <w:r w:rsidR="003652B7">
              <w:rPr>
                <w:color w:val="000000" w:themeColor="text1"/>
              </w:rPr>
              <w:t> </w:t>
            </w:r>
            <w:r w:rsidRPr="00390D87">
              <w:rPr>
                <w:color w:val="000000" w:themeColor="text1"/>
              </w:rPr>
              <w:t>μg)</w:t>
            </w:r>
          </w:p>
        </w:tc>
        <w:tc>
          <w:tcPr>
            <w:tcW w:w="1554" w:type="pct"/>
            <w:vAlign w:val="center"/>
          </w:tcPr>
          <w:p w14:paraId="29287636"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Two actuations twice daily</w:t>
            </w:r>
          </w:p>
        </w:tc>
        <w:tc>
          <w:tcPr>
            <w:tcW w:w="786" w:type="pct"/>
            <w:vAlign w:val="center"/>
          </w:tcPr>
          <w:p w14:paraId="104BB9F4"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120 doses</w:t>
            </w:r>
          </w:p>
        </w:tc>
        <w:tc>
          <w:tcPr>
            <w:tcW w:w="965" w:type="pct"/>
            <w:vAlign w:val="center"/>
          </w:tcPr>
          <w:p w14:paraId="4429924B" w14:textId="77777777" w:rsidR="00E374F0" w:rsidRPr="00390D87" w:rsidRDefault="00E374F0" w:rsidP="000F131C">
            <w:pPr>
              <w:pStyle w:val="TableText0"/>
              <w:keepLines/>
              <w:ind w:left="720" w:hanging="720"/>
              <w:jc w:val="left"/>
              <w:rPr>
                <w:color w:val="000000" w:themeColor="text1"/>
              </w:rPr>
            </w:pPr>
            <w:r w:rsidRPr="00390D87">
              <w:rPr>
                <w:color w:val="000000" w:themeColor="text1"/>
              </w:rPr>
              <w:t>30</w:t>
            </w:r>
          </w:p>
        </w:tc>
      </w:tr>
    </w:tbl>
    <w:p w14:paraId="289CC6B1" w14:textId="77777777" w:rsidR="00E374F0" w:rsidRPr="00390D87" w:rsidRDefault="00E374F0" w:rsidP="000F131C">
      <w:pPr>
        <w:pStyle w:val="TableFigureFooter"/>
        <w:keepNext/>
        <w:keepLines/>
        <w:ind w:left="720" w:hanging="720"/>
        <w:rPr>
          <w:color w:val="000000" w:themeColor="text1"/>
        </w:rPr>
      </w:pPr>
      <w:r w:rsidRPr="00390D87">
        <w:rPr>
          <w:color w:val="000000" w:themeColor="text1"/>
        </w:rPr>
        <w:t xml:space="preserve">Abbreviations: BEC = beclometasone dipropionate, FOR = formoterol fumarate, </w:t>
      </w:r>
      <w:r w:rsidRPr="00390D87">
        <w:rPr>
          <w:color w:val="000000" w:themeColor="text1"/>
          <w:szCs w:val="18"/>
        </w:rPr>
        <w:t>FP= Fluticasone propionate, SAL= Salmeterol</w:t>
      </w:r>
      <w:r w:rsidRPr="00390D87">
        <w:rPr>
          <w:color w:val="000000" w:themeColor="text1"/>
        </w:rPr>
        <w:t>.</w:t>
      </w:r>
    </w:p>
    <w:p w14:paraId="2BC5EE2D" w14:textId="0CFC31F6" w:rsidR="00E374F0" w:rsidRPr="00390D87" w:rsidRDefault="00E374F0" w:rsidP="00C54E70">
      <w:pPr>
        <w:pStyle w:val="TableFigureFooter"/>
        <w:ind w:left="720" w:hanging="720"/>
        <w:rPr>
          <w:color w:val="000000" w:themeColor="text1"/>
        </w:rPr>
      </w:pPr>
      <w:r w:rsidRPr="00390D87">
        <w:rPr>
          <w:color w:val="000000" w:themeColor="text1"/>
        </w:rPr>
        <w:t xml:space="preserve">Source: Section 3.2 p97 of the submission. </w:t>
      </w:r>
    </w:p>
    <w:p w14:paraId="634EEE57" w14:textId="2A02B9D7" w:rsidR="00E374F0" w:rsidRPr="006A50B1" w:rsidRDefault="00E374F0" w:rsidP="00A7711D">
      <w:pPr>
        <w:pStyle w:val="3-BodyText"/>
        <w:rPr>
          <w:iCs/>
          <w:color w:val="000000" w:themeColor="text1"/>
        </w:rPr>
      </w:pPr>
      <w:r w:rsidRPr="006A50B1">
        <w:rPr>
          <w:iCs/>
          <w:color w:val="000000" w:themeColor="text1"/>
        </w:rPr>
        <w:t xml:space="preserve">The proposed equi-effective doses were consistent with the doses and treatment regimens in the TGA Product Information for BEC/FOR and FP/SAL. </w:t>
      </w:r>
      <w:r w:rsidR="00D22C6F" w:rsidRPr="006A50B1">
        <w:rPr>
          <w:iCs/>
          <w:color w:val="000000" w:themeColor="text1"/>
        </w:rPr>
        <w:t>However, FP/SAL 500/</w:t>
      </w:r>
      <w:r w:rsidR="003652B7" w:rsidRPr="006A50B1">
        <w:rPr>
          <w:iCs/>
          <w:color w:val="000000" w:themeColor="text1"/>
        </w:rPr>
        <w:t>50</w:t>
      </w:r>
      <w:r w:rsidR="003652B7">
        <w:rPr>
          <w:iCs/>
          <w:color w:val="000000" w:themeColor="text1"/>
        </w:rPr>
        <w:t> </w:t>
      </w:r>
      <w:r w:rsidR="00D22C6F" w:rsidRPr="006A50B1">
        <w:rPr>
          <w:iCs/>
          <w:color w:val="000000" w:themeColor="text1"/>
        </w:rPr>
        <w:t xml:space="preserve">μg one actuation twice daily was used in the FUTURE trial. </w:t>
      </w:r>
      <w:r w:rsidRPr="006A50B1">
        <w:rPr>
          <w:iCs/>
          <w:color w:val="000000" w:themeColor="text1"/>
        </w:rPr>
        <w:t xml:space="preserve">The submission implicitly assumed a dose intensity of 100% for both treatments, and this was a reasonable assumption given the dose intensities in the FUTURE trial. </w:t>
      </w:r>
    </w:p>
    <w:p w14:paraId="661A7012" w14:textId="5DF606A5" w:rsidR="00E374F0" w:rsidRPr="00390D87" w:rsidRDefault="00E374F0" w:rsidP="00A7711D">
      <w:pPr>
        <w:pStyle w:val="3-BodyText"/>
        <w:rPr>
          <w:i/>
          <w:color w:val="000000" w:themeColor="text1"/>
        </w:rPr>
      </w:pPr>
      <w:r w:rsidRPr="00390D87">
        <w:rPr>
          <w:color w:val="000000" w:themeColor="text1"/>
        </w:rPr>
        <w:lastRenderedPageBreak/>
        <w:t xml:space="preserve">The results of the cost-minimisation analysis as presented in the submission are </w:t>
      </w:r>
      <w:r w:rsidR="003811C1">
        <w:rPr>
          <w:color w:val="000000" w:themeColor="text1"/>
        </w:rPr>
        <w:t>shown in Table 9</w:t>
      </w:r>
      <w:r w:rsidRPr="00390D87">
        <w:rPr>
          <w:color w:val="000000" w:themeColor="text1"/>
        </w:rPr>
        <w:t>.</w:t>
      </w:r>
    </w:p>
    <w:p w14:paraId="1F4A5508" w14:textId="779FA913" w:rsidR="00E374F0" w:rsidRPr="00A604AC" w:rsidRDefault="00E374F0" w:rsidP="00A7711D">
      <w:pPr>
        <w:pStyle w:val="Caption"/>
        <w:keepNext/>
        <w:spacing w:after="0"/>
        <w:ind w:left="720" w:hanging="720"/>
        <w:rPr>
          <w:rStyle w:val="CommentReference"/>
          <w:b/>
          <w:color w:val="000000" w:themeColor="text1"/>
        </w:rPr>
      </w:pPr>
      <w:bookmarkStart w:id="47" w:name="_Ref92358130"/>
      <w:r w:rsidRPr="00A604AC">
        <w:rPr>
          <w:rFonts w:ascii="Arial Narrow" w:hAnsi="Arial Narrow"/>
          <w:color w:val="000000" w:themeColor="text1"/>
          <w:sz w:val="20"/>
          <w:szCs w:val="20"/>
        </w:rPr>
        <w:t xml:space="preserve">Table </w:t>
      </w:r>
      <w:r w:rsidRPr="00A604AC">
        <w:rPr>
          <w:rFonts w:ascii="Arial Narrow" w:hAnsi="Arial Narrow"/>
          <w:color w:val="000000" w:themeColor="text1"/>
          <w:sz w:val="20"/>
          <w:szCs w:val="20"/>
        </w:rPr>
        <w:fldChar w:fldCharType="begin"/>
      </w:r>
      <w:r w:rsidRPr="00A604AC">
        <w:rPr>
          <w:rFonts w:ascii="Arial Narrow" w:hAnsi="Arial Narrow"/>
          <w:color w:val="000000" w:themeColor="text1"/>
          <w:sz w:val="20"/>
          <w:szCs w:val="20"/>
        </w:rPr>
        <w:instrText xml:space="preserve"> SEQ Table \* ARABIC </w:instrText>
      </w:r>
      <w:r w:rsidRPr="00A604AC">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9</w:t>
      </w:r>
      <w:r w:rsidRPr="00A604AC">
        <w:rPr>
          <w:rFonts w:ascii="Arial Narrow" w:hAnsi="Arial Narrow"/>
          <w:color w:val="000000" w:themeColor="text1"/>
          <w:sz w:val="20"/>
          <w:szCs w:val="20"/>
        </w:rPr>
        <w:fldChar w:fldCharType="end"/>
      </w:r>
      <w:bookmarkEnd w:id="47"/>
      <w:r w:rsidRPr="00A604AC">
        <w:rPr>
          <w:rStyle w:val="CommentReference"/>
          <w:b/>
          <w:color w:val="000000" w:themeColor="text1"/>
          <w:szCs w:val="20"/>
        </w:rPr>
        <w:t>:</w:t>
      </w:r>
      <w:r w:rsidRPr="00A604AC">
        <w:rPr>
          <w:rStyle w:val="CommentReference"/>
          <w:b/>
          <w:color w:val="000000" w:themeColor="text1"/>
        </w:rPr>
        <w:t xml:space="preserve"> Results of the cost-minimisation analysis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3008"/>
        <w:gridCol w:w="3107"/>
      </w:tblGrid>
      <w:tr w:rsidR="00E374F0" w:rsidRPr="00BD1F00" w14:paraId="638F804A" w14:textId="77777777" w:rsidTr="00351F2F">
        <w:trPr>
          <w:trHeight w:val="254"/>
        </w:trPr>
        <w:tc>
          <w:tcPr>
            <w:tcW w:w="1609" w:type="pct"/>
          </w:tcPr>
          <w:p w14:paraId="01ACDC5E" w14:textId="77777777" w:rsidR="00E374F0" w:rsidRPr="00390D87" w:rsidRDefault="00E374F0" w:rsidP="00A7711D">
            <w:pPr>
              <w:pStyle w:val="In-tableHeading"/>
              <w:ind w:left="720" w:hanging="720"/>
              <w:rPr>
                <w:color w:val="000000" w:themeColor="text1"/>
              </w:rPr>
            </w:pPr>
          </w:p>
        </w:tc>
        <w:tc>
          <w:tcPr>
            <w:tcW w:w="1668" w:type="pct"/>
          </w:tcPr>
          <w:p w14:paraId="5F8EA810" w14:textId="2E7C1BBC" w:rsidR="00E374F0" w:rsidRPr="00390D87" w:rsidRDefault="00E374F0" w:rsidP="00A7711D">
            <w:pPr>
              <w:pStyle w:val="In-tableHeading"/>
              <w:ind w:left="720" w:hanging="720"/>
              <w:jc w:val="center"/>
              <w:rPr>
                <w:color w:val="000000" w:themeColor="text1"/>
              </w:rPr>
            </w:pPr>
            <w:r w:rsidRPr="00390D87">
              <w:rPr>
                <w:color w:val="000000" w:themeColor="text1"/>
                <w:lang w:val="en-AU"/>
              </w:rPr>
              <w:t>BEC/FOR 100/6</w:t>
            </w:r>
            <w:r w:rsidR="003652B7">
              <w:rPr>
                <w:color w:val="000000" w:themeColor="text1"/>
                <w:lang w:val="en-AU"/>
              </w:rPr>
              <w:t> </w:t>
            </w:r>
            <w:r w:rsidRPr="00390D87">
              <w:rPr>
                <w:color w:val="000000" w:themeColor="text1"/>
              </w:rPr>
              <w:t>μg</w:t>
            </w:r>
          </w:p>
        </w:tc>
        <w:tc>
          <w:tcPr>
            <w:tcW w:w="1723" w:type="pct"/>
          </w:tcPr>
          <w:p w14:paraId="7ED24434" w14:textId="6A40D3B6" w:rsidR="00E374F0" w:rsidRPr="00390D87" w:rsidRDefault="00E374F0" w:rsidP="00A7711D">
            <w:pPr>
              <w:pStyle w:val="In-tableHeading"/>
              <w:ind w:left="720" w:hanging="720"/>
              <w:jc w:val="center"/>
              <w:rPr>
                <w:color w:val="000000" w:themeColor="text1"/>
              </w:rPr>
            </w:pPr>
            <w:r w:rsidRPr="00390D87">
              <w:rPr>
                <w:color w:val="000000" w:themeColor="text1"/>
                <w:lang w:val="en-AU"/>
              </w:rPr>
              <w:t>FP/SAL 250/25</w:t>
            </w:r>
            <w:r w:rsidR="003652B7">
              <w:rPr>
                <w:color w:val="000000" w:themeColor="text1"/>
                <w:lang w:val="en-AU"/>
              </w:rPr>
              <w:t> </w:t>
            </w:r>
            <w:r w:rsidRPr="00390D87">
              <w:rPr>
                <w:color w:val="000000" w:themeColor="text1"/>
              </w:rPr>
              <w:t>μg</w:t>
            </w:r>
          </w:p>
        </w:tc>
      </w:tr>
      <w:tr w:rsidR="00E374F0" w:rsidRPr="00BD1F00" w14:paraId="40F77F66" w14:textId="77777777" w:rsidTr="00351F2F">
        <w:trPr>
          <w:trHeight w:val="254"/>
        </w:trPr>
        <w:tc>
          <w:tcPr>
            <w:tcW w:w="1609" w:type="pct"/>
          </w:tcPr>
          <w:p w14:paraId="13398B66"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Inhalations per day</w:t>
            </w:r>
          </w:p>
        </w:tc>
        <w:tc>
          <w:tcPr>
            <w:tcW w:w="1668" w:type="pct"/>
          </w:tcPr>
          <w:p w14:paraId="21A58CD7"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4</w:t>
            </w:r>
          </w:p>
        </w:tc>
        <w:tc>
          <w:tcPr>
            <w:tcW w:w="1723" w:type="pct"/>
          </w:tcPr>
          <w:p w14:paraId="6718E434"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4</w:t>
            </w:r>
          </w:p>
        </w:tc>
      </w:tr>
      <w:tr w:rsidR="00E374F0" w:rsidRPr="00BD1F00" w14:paraId="06C1BBF4" w14:textId="77777777" w:rsidTr="00351F2F">
        <w:trPr>
          <w:trHeight w:val="254"/>
        </w:trPr>
        <w:tc>
          <w:tcPr>
            <w:tcW w:w="1609" w:type="pct"/>
          </w:tcPr>
          <w:p w14:paraId="71DF4418"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Actuations per inhaler</w:t>
            </w:r>
          </w:p>
        </w:tc>
        <w:tc>
          <w:tcPr>
            <w:tcW w:w="1668" w:type="pct"/>
          </w:tcPr>
          <w:p w14:paraId="1D4436F8"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120</w:t>
            </w:r>
          </w:p>
        </w:tc>
        <w:tc>
          <w:tcPr>
            <w:tcW w:w="1723" w:type="pct"/>
          </w:tcPr>
          <w:p w14:paraId="5CFD9172"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120</w:t>
            </w:r>
          </w:p>
        </w:tc>
      </w:tr>
      <w:tr w:rsidR="00E374F0" w:rsidRPr="00BD1F00" w14:paraId="3EA6E3DA" w14:textId="77777777" w:rsidTr="006228AF">
        <w:trPr>
          <w:trHeight w:val="254"/>
        </w:trPr>
        <w:tc>
          <w:tcPr>
            <w:tcW w:w="1609" w:type="pct"/>
          </w:tcPr>
          <w:p w14:paraId="51542494"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Days per pack</w:t>
            </w:r>
          </w:p>
        </w:tc>
        <w:tc>
          <w:tcPr>
            <w:tcW w:w="1668" w:type="pct"/>
            <w:tcBorders>
              <w:bottom w:val="single" w:sz="4" w:space="0" w:color="auto"/>
            </w:tcBorders>
          </w:tcPr>
          <w:p w14:paraId="240C30A9"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30</w:t>
            </w:r>
          </w:p>
        </w:tc>
        <w:tc>
          <w:tcPr>
            <w:tcW w:w="1723" w:type="pct"/>
          </w:tcPr>
          <w:p w14:paraId="02B396A5"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30</w:t>
            </w:r>
          </w:p>
        </w:tc>
      </w:tr>
      <w:tr w:rsidR="00E374F0" w:rsidRPr="00BD1F00" w14:paraId="3B2E925E" w14:textId="77777777" w:rsidTr="006228AF">
        <w:trPr>
          <w:trHeight w:val="254"/>
        </w:trPr>
        <w:tc>
          <w:tcPr>
            <w:tcW w:w="1609" w:type="pct"/>
          </w:tcPr>
          <w:p w14:paraId="237FE69C"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Packs per year</w:t>
            </w:r>
          </w:p>
        </w:tc>
        <w:tc>
          <w:tcPr>
            <w:tcW w:w="1668" w:type="pct"/>
            <w:tcBorders>
              <w:bottom w:val="single" w:sz="4" w:space="0" w:color="auto"/>
            </w:tcBorders>
            <w:shd w:val="solid" w:color="000000" w:fill="000000"/>
          </w:tcPr>
          <w:p w14:paraId="7CBEB2EE" w14:textId="7B89AC05" w:rsidR="00E374F0" w:rsidRPr="00390D87" w:rsidRDefault="006228AF" w:rsidP="00390D87">
            <w:pPr>
              <w:pStyle w:val="In-tableHeading"/>
              <w:ind w:left="720" w:hanging="720"/>
              <w:jc w:val="right"/>
              <w:rPr>
                <w:b w:val="0"/>
                <w:color w:val="000000" w:themeColor="text1"/>
                <w:lang w:val="en-AU"/>
              </w:rPr>
            </w:pPr>
            <w:r w:rsidRPr="006228AF">
              <w:rPr>
                <w:b w:val="0"/>
                <w:color w:val="000000" w:themeColor="text1"/>
                <w:lang w:val="en-AU"/>
                <w14:textFill>
                  <w14:solidFill>
                    <w14:schemeClr w14:val="tx1">
                      <w14:alpha w14:val="100000"/>
                    </w14:schemeClr>
                  </w14:solidFill>
                </w14:textFill>
              </w:rPr>
              <w:t>|</w:t>
            </w:r>
          </w:p>
        </w:tc>
        <w:tc>
          <w:tcPr>
            <w:tcW w:w="1723" w:type="pct"/>
          </w:tcPr>
          <w:p w14:paraId="3AE34082" w14:textId="227D8864" w:rsidR="006228AF" w:rsidRPr="00390D87" w:rsidRDefault="00E374F0" w:rsidP="006228AF">
            <w:pPr>
              <w:pStyle w:val="In-tableHeading"/>
              <w:ind w:left="720" w:hanging="720"/>
              <w:jc w:val="right"/>
              <w:rPr>
                <w:b w:val="0"/>
                <w:color w:val="000000" w:themeColor="text1"/>
                <w:lang w:val="en-AU"/>
              </w:rPr>
            </w:pPr>
            <w:r w:rsidRPr="00390D87">
              <w:rPr>
                <w:b w:val="0"/>
                <w:color w:val="000000" w:themeColor="text1"/>
                <w:lang w:val="en-AU"/>
              </w:rPr>
              <w:t>12.175</w:t>
            </w:r>
          </w:p>
        </w:tc>
      </w:tr>
      <w:tr w:rsidR="00E374F0" w:rsidRPr="00BD1F00" w14:paraId="03578F4C" w14:textId="77777777" w:rsidTr="0078736D">
        <w:trPr>
          <w:trHeight w:val="254"/>
        </w:trPr>
        <w:tc>
          <w:tcPr>
            <w:tcW w:w="1609" w:type="pct"/>
          </w:tcPr>
          <w:p w14:paraId="04B20382"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AEMP ($)</w:t>
            </w:r>
          </w:p>
        </w:tc>
        <w:tc>
          <w:tcPr>
            <w:tcW w:w="1668" w:type="pct"/>
            <w:tcBorders>
              <w:bottom w:val="single" w:sz="4" w:space="0" w:color="auto"/>
            </w:tcBorders>
            <w:shd w:val="solid" w:color="000000" w:fill="000000"/>
          </w:tcPr>
          <w:p w14:paraId="3C3D4028" w14:textId="2C40EEAF" w:rsidR="00E374F0" w:rsidRPr="0078736D" w:rsidRDefault="0078736D" w:rsidP="00390D87">
            <w:pPr>
              <w:pStyle w:val="In-tableHeading"/>
              <w:ind w:left="720" w:hanging="720"/>
              <w:jc w:val="right"/>
              <w:rPr>
                <w:b w:val="0"/>
                <w:color w:val="000000" w:themeColor="text1"/>
                <w:lang w:val="en-AU"/>
              </w:rPr>
            </w:pPr>
            <w:r w:rsidRPr="0078736D">
              <w:rPr>
                <w:b w:val="0"/>
                <w:color w:val="000000" w:themeColor="text1"/>
                <w:lang w:val="en-AU"/>
                <w14:textFill>
                  <w14:solidFill>
                    <w14:schemeClr w14:val="tx1">
                      <w14:alpha w14:val="100000"/>
                    </w14:schemeClr>
                  </w14:solidFill>
                </w14:textFill>
              </w:rPr>
              <w:t>|</w:t>
            </w:r>
          </w:p>
        </w:tc>
        <w:tc>
          <w:tcPr>
            <w:tcW w:w="1723" w:type="pct"/>
          </w:tcPr>
          <w:p w14:paraId="14D325A3"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46.78</w:t>
            </w:r>
          </w:p>
        </w:tc>
      </w:tr>
      <w:tr w:rsidR="00E374F0" w:rsidRPr="00BD1F00" w14:paraId="68F58B64" w14:textId="77777777" w:rsidTr="0078736D">
        <w:trPr>
          <w:trHeight w:val="254"/>
        </w:trPr>
        <w:tc>
          <w:tcPr>
            <w:tcW w:w="1609" w:type="pct"/>
          </w:tcPr>
          <w:p w14:paraId="5121091C"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DPMQ ($)</w:t>
            </w:r>
          </w:p>
        </w:tc>
        <w:tc>
          <w:tcPr>
            <w:tcW w:w="1668" w:type="pct"/>
            <w:tcBorders>
              <w:bottom w:val="single" w:sz="4" w:space="0" w:color="auto"/>
            </w:tcBorders>
            <w:shd w:val="solid" w:color="000000" w:fill="000000"/>
          </w:tcPr>
          <w:p w14:paraId="7B676158" w14:textId="176EA485" w:rsidR="00E374F0" w:rsidRPr="0078736D" w:rsidRDefault="0078736D" w:rsidP="00390D87">
            <w:pPr>
              <w:pStyle w:val="In-tableHeading"/>
              <w:ind w:left="720" w:hanging="720"/>
              <w:jc w:val="right"/>
              <w:rPr>
                <w:b w:val="0"/>
                <w:color w:val="000000" w:themeColor="text1"/>
                <w:lang w:val="en-AU"/>
              </w:rPr>
            </w:pPr>
            <w:r w:rsidRPr="0078736D">
              <w:rPr>
                <w:b w:val="0"/>
                <w:color w:val="000000" w:themeColor="text1"/>
                <w:lang w:val="en-AU"/>
                <w14:textFill>
                  <w14:solidFill>
                    <w14:schemeClr w14:val="tx1">
                      <w14:alpha w14:val="100000"/>
                    </w14:schemeClr>
                  </w14:solidFill>
                </w14:textFill>
              </w:rPr>
              <w:t>|</w:t>
            </w:r>
          </w:p>
        </w:tc>
        <w:tc>
          <w:tcPr>
            <w:tcW w:w="1723" w:type="pct"/>
          </w:tcPr>
          <w:p w14:paraId="480E5592"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62.38</w:t>
            </w:r>
          </w:p>
        </w:tc>
      </w:tr>
      <w:tr w:rsidR="00E374F0" w:rsidRPr="00BD1F00" w14:paraId="74F70335" w14:textId="77777777" w:rsidTr="0078736D">
        <w:trPr>
          <w:trHeight w:val="254"/>
        </w:trPr>
        <w:tc>
          <w:tcPr>
            <w:tcW w:w="1609" w:type="pct"/>
          </w:tcPr>
          <w:p w14:paraId="2EF174DD"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Cost per year ($)</w:t>
            </w:r>
          </w:p>
        </w:tc>
        <w:tc>
          <w:tcPr>
            <w:tcW w:w="1668" w:type="pct"/>
            <w:shd w:val="solid" w:color="000000" w:fill="000000"/>
          </w:tcPr>
          <w:p w14:paraId="001D0D98" w14:textId="788FC14C" w:rsidR="00E374F0" w:rsidRPr="0078736D" w:rsidRDefault="0078736D" w:rsidP="00390D87">
            <w:pPr>
              <w:pStyle w:val="In-tableHeading"/>
              <w:ind w:left="720" w:hanging="720"/>
              <w:jc w:val="right"/>
              <w:rPr>
                <w:b w:val="0"/>
                <w:color w:val="000000" w:themeColor="text1"/>
                <w:lang w:val="en-AU"/>
              </w:rPr>
            </w:pPr>
            <w:r w:rsidRPr="0078736D">
              <w:rPr>
                <w:b w:val="0"/>
                <w:color w:val="000000" w:themeColor="text1"/>
                <w:lang w:val="en-AU"/>
                <w14:textFill>
                  <w14:solidFill>
                    <w14:schemeClr w14:val="tx1">
                      <w14:alpha w14:val="100000"/>
                    </w14:schemeClr>
                  </w14:solidFill>
                </w14:textFill>
              </w:rPr>
              <w:t>|</w:t>
            </w:r>
          </w:p>
        </w:tc>
        <w:tc>
          <w:tcPr>
            <w:tcW w:w="1723" w:type="pct"/>
          </w:tcPr>
          <w:p w14:paraId="759F2262"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759.48</w:t>
            </w:r>
          </w:p>
        </w:tc>
      </w:tr>
      <w:tr w:rsidR="00E374F0" w:rsidRPr="00BD1F00" w14:paraId="173A0A95" w14:textId="77777777" w:rsidTr="00351F2F">
        <w:trPr>
          <w:trHeight w:val="237"/>
        </w:trPr>
        <w:tc>
          <w:tcPr>
            <w:tcW w:w="1609" w:type="pct"/>
          </w:tcPr>
          <w:p w14:paraId="43430F5A" w14:textId="77777777" w:rsidR="00E374F0" w:rsidRPr="00390D87" w:rsidRDefault="00E374F0" w:rsidP="00A7711D">
            <w:pPr>
              <w:pStyle w:val="In-tableHeading"/>
              <w:ind w:left="720" w:hanging="720"/>
              <w:rPr>
                <w:b w:val="0"/>
                <w:color w:val="000000" w:themeColor="text1"/>
              </w:rPr>
            </w:pPr>
            <w:r w:rsidRPr="00390D87">
              <w:rPr>
                <w:b w:val="0"/>
                <w:color w:val="000000" w:themeColor="text1"/>
              </w:rPr>
              <w:t>Difference in cost per year</w:t>
            </w:r>
          </w:p>
        </w:tc>
        <w:tc>
          <w:tcPr>
            <w:tcW w:w="1668" w:type="pct"/>
          </w:tcPr>
          <w:p w14:paraId="7EB0B659" w14:textId="77777777" w:rsidR="00E374F0" w:rsidRPr="00390D87" w:rsidRDefault="00E374F0" w:rsidP="00390D87">
            <w:pPr>
              <w:pStyle w:val="In-tableHeading"/>
              <w:ind w:left="720" w:hanging="720"/>
              <w:jc w:val="right"/>
              <w:rPr>
                <w:b w:val="0"/>
                <w:color w:val="000000" w:themeColor="text1"/>
                <w:lang w:val="en-AU"/>
              </w:rPr>
            </w:pPr>
            <w:r w:rsidRPr="00390D87">
              <w:rPr>
                <w:b w:val="0"/>
                <w:color w:val="000000" w:themeColor="text1"/>
                <w:lang w:val="en-AU"/>
              </w:rPr>
              <w:t>$0.00</w:t>
            </w:r>
          </w:p>
        </w:tc>
        <w:tc>
          <w:tcPr>
            <w:tcW w:w="1723" w:type="pct"/>
          </w:tcPr>
          <w:p w14:paraId="5C507F8C" w14:textId="77777777" w:rsidR="00E374F0" w:rsidRPr="00390D87" w:rsidRDefault="00E374F0" w:rsidP="00390D87">
            <w:pPr>
              <w:pStyle w:val="In-tableHeading"/>
              <w:ind w:left="720" w:hanging="720"/>
              <w:jc w:val="right"/>
              <w:rPr>
                <w:b w:val="0"/>
                <w:color w:val="000000" w:themeColor="text1"/>
                <w:lang w:val="en-AU"/>
              </w:rPr>
            </w:pPr>
          </w:p>
        </w:tc>
      </w:tr>
    </w:tbl>
    <w:p w14:paraId="28B4BF1C" w14:textId="77777777" w:rsidR="00E374F0" w:rsidRPr="008E447D" w:rsidRDefault="00E374F0" w:rsidP="00283E87">
      <w:pPr>
        <w:pStyle w:val="TableFigureFooter"/>
        <w:keepNext/>
        <w:keepLines/>
        <w:rPr>
          <w:color w:val="000000" w:themeColor="text1"/>
          <w:szCs w:val="18"/>
        </w:rPr>
      </w:pPr>
      <w:r w:rsidRPr="00390D87">
        <w:rPr>
          <w:color w:val="000000" w:themeColor="text1"/>
          <w:szCs w:val="18"/>
        </w:rPr>
        <w:t xml:space="preserve">Abbreviations: </w:t>
      </w:r>
      <w:r w:rsidRPr="00A604AC">
        <w:rPr>
          <w:color w:val="000000" w:themeColor="text1"/>
        </w:rPr>
        <w:t>BEC= Beclometasone dipropionate; FOR= Formoterol fumarate dehydrate; FP=</w:t>
      </w:r>
      <w:r w:rsidRPr="00A604AC">
        <w:rPr>
          <w:rFonts w:ascii="Garamond" w:eastAsiaTheme="minorHAnsi" w:hAnsi="Garamond"/>
          <w:color w:val="000000" w:themeColor="text1"/>
          <w:sz w:val="22"/>
          <w:lang w:eastAsia="en-US"/>
        </w:rPr>
        <w:t xml:space="preserve"> </w:t>
      </w:r>
      <w:r w:rsidRPr="00A604AC">
        <w:rPr>
          <w:color w:val="000000" w:themeColor="text1"/>
        </w:rPr>
        <w:t xml:space="preserve">Fluticasone propionate; </w:t>
      </w:r>
      <w:r w:rsidRPr="00A604AC">
        <w:rPr>
          <w:color w:val="000000" w:themeColor="text1"/>
          <w:szCs w:val="18"/>
        </w:rPr>
        <w:t xml:space="preserve">SAL= Salmeterol; </w:t>
      </w:r>
      <w:r w:rsidRPr="008E447D">
        <w:rPr>
          <w:color w:val="000000" w:themeColor="text1"/>
          <w:szCs w:val="18"/>
        </w:rPr>
        <w:t>AEMP= Approved ex-manufacturer price; DPMQ= Dispensed price for maximum quantity.</w:t>
      </w:r>
    </w:p>
    <w:p w14:paraId="39146BDD" w14:textId="77777777" w:rsidR="00E374F0" w:rsidRPr="008E447D" w:rsidRDefault="00E374F0" w:rsidP="00A7711D">
      <w:pPr>
        <w:pStyle w:val="TableFigureFooter"/>
        <w:ind w:left="720" w:hanging="720"/>
        <w:rPr>
          <w:color w:val="000000" w:themeColor="text1"/>
          <w:szCs w:val="18"/>
        </w:rPr>
      </w:pPr>
      <w:r w:rsidRPr="008E447D">
        <w:rPr>
          <w:color w:val="000000" w:themeColor="text1"/>
          <w:szCs w:val="18"/>
        </w:rPr>
        <w:t>Source: Table 68, p98 of the submission.</w:t>
      </w:r>
    </w:p>
    <w:p w14:paraId="5F7ADD31" w14:textId="103B8F70" w:rsidR="00E374F0" w:rsidRPr="00F0295C" w:rsidRDefault="00E374F0" w:rsidP="00A7711D">
      <w:pPr>
        <w:pStyle w:val="3-BodyText"/>
        <w:rPr>
          <w:color w:val="000000" w:themeColor="text1"/>
        </w:rPr>
      </w:pPr>
      <w:r w:rsidRPr="006A50B1">
        <w:rPr>
          <w:color w:val="000000" w:themeColor="text1"/>
        </w:rPr>
        <w:t>The submission assumed an AEMP of FP/SAL of $46.78 (</w:t>
      </w:r>
      <w:r w:rsidR="003811C1">
        <w:rPr>
          <w:color w:val="000000" w:themeColor="text1"/>
        </w:rPr>
        <w:t>Table 9</w:t>
      </w:r>
      <w:r w:rsidRPr="006A50B1">
        <w:rPr>
          <w:color w:val="000000" w:themeColor="text1"/>
        </w:rPr>
        <w:t xml:space="preserve">). However, the Price Disclosure Reductions for the 2022 April Cycle suggests that this price </w:t>
      </w:r>
      <w:r w:rsidR="00BE66C8" w:rsidRPr="006A50B1">
        <w:rPr>
          <w:color w:val="000000" w:themeColor="text1"/>
        </w:rPr>
        <w:t>may</w:t>
      </w:r>
      <w:r w:rsidRPr="006A50B1">
        <w:rPr>
          <w:color w:val="000000" w:themeColor="text1"/>
        </w:rPr>
        <w:t xml:space="preserve"> </w:t>
      </w:r>
      <w:r w:rsidRPr="00F0295C">
        <w:rPr>
          <w:color w:val="000000" w:themeColor="text1"/>
        </w:rPr>
        <w:t>reduce by 12.67%</w:t>
      </w:r>
      <w:r w:rsidRPr="00F0295C">
        <w:rPr>
          <w:rStyle w:val="FootnoteReference"/>
          <w:rFonts w:eastAsiaTheme="majorEastAsia"/>
          <w:color w:val="000000" w:themeColor="text1"/>
        </w:rPr>
        <w:footnoteReference w:id="3"/>
      </w:r>
      <w:r w:rsidRPr="00F0295C">
        <w:rPr>
          <w:color w:val="000000" w:themeColor="text1"/>
        </w:rPr>
        <w:t>, to $40.85.</w:t>
      </w:r>
    </w:p>
    <w:p w14:paraId="07848DD3" w14:textId="6B130061" w:rsidR="00E374F0" w:rsidRPr="00F0295C" w:rsidRDefault="00E374F0" w:rsidP="00A7711D">
      <w:pPr>
        <w:pStyle w:val="3-BodyText"/>
        <w:rPr>
          <w:color w:val="000000" w:themeColor="text1"/>
        </w:rPr>
      </w:pPr>
      <w:r w:rsidRPr="00F0295C">
        <w:rPr>
          <w:color w:val="000000" w:themeColor="text1"/>
        </w:rPr>
        <w:t>The submission proposed an AEMP of $</w:t>
      </w:r>
      <w:r w:rsidR="0078736D" w:rsidRPr="009A3986">
        <w:rPr>
          <w:color w:val="000000" w:themeColor="text1"/>
          <w:w w:val="60"/>
          <w:shd w:val="solid" w:color="000000" w:fill="000000"/>
          <w:fitText w:val="470" w:id="-1500861438"/>
          <w14:textFill>
            <w14:solidFill>
              <w14:schemeClr w14:val="tx1">
                <w14:alpha w14:val="100000"/>
              </w14:schemeClr>
            </w14:solidFill>
          </w14:textFill>
        </w:rPr>
        <w:t>||</w:t>
      </w:r>
      <w:proofErr w:type="gramStart"/>
      <w:r w:rsidR="0078736D" w:rsidRPr="009A3986">
        <w:rPr>
          <w:color w:val="000000" w:themeColor="text1"/>
          <w:w w:val="60"/>
          <w:shd w:val="solid" w:color="000000" w:fill="000000"/>
          <w:fitText w:val="470" w:id="-1500861438"/>
          <w14:textFill>
            <w14:solidFill>
              <w14:schemeClr w14:val="tx1">
                <w14:alpha w14:val="100000"/>
              </w14:schemeClr>
            </w14:solidFill>
          </w14:textFill>
        </w:rPr>
        <w:t>|  |</w:t>
      </w:r>
      <w:proofErr w:type="gramEnd"/>
      <w:r w:rsidR="0078736D" w:rsidRPr="009A3986">
        <w:rPr>
          <w:color w:val="000000" w:themeColor="text1"/>
          <w:w w:val="60"/>
          <w:shd w:val="solid" w:color="000000" w:fill="000000"/>
          <w:fitText w:val="470" w:id="-1500861438"/>
          <w14:textFill>
            <w14:solidFill>
              <w14:schemeClr w14:val="tx1">
                <w14:alpha w14:val="100000"/>
              </w14:schemeClr>
            </w14:solidFill>
          </w14:textFill>
        </w:rPr>
        <w:t>|</w:t>
      </w:r>
      <w:r w:rsidR="0078736D" w:rsidRPr="009A3986">
        <w:rPr>
          <w:color w:val="000000" w:themeColor="text1"/>
          <w:spacing w:val="6"/>
          <w:w w:val="60"/>
          <w:shd w:val="solid" w:color="000000" w:fill="000000"/>
          <w:fitText w:val="470" w:id="-1500861438"/>
          <w14:textFill>
            <w14:solidFill>
              <w14:schemeClr w14:val="tx1">
                <w14:alpha w14:val="100000"/>
              </w14:schemeClr>
            </w14:solidFill>
          </w14:textFill>
        </w:rPr>
        <w:t>|</w:t>
      </w:r>
      <w:r w:rsidRPr="00F0295C">
        <w:rPr>
          <w:color w:val="000000" w:themeColor="text1"/>
        </w:rPr>
        <w:t xml:space="preserve"> for BEC/FOR equal to the average of the cost-minimised price of $46.78 for COPD and the price of $</w:t>
      </w:r>
      <w:r w:rsidR="0078736D" w:rsidRPr="009A3986">
        <w:rPr>
          <w:color w:val="000000" w:themeColor="text1"/>
          <w:w w:val="15"/>
          <w:shd w:val="solid" w:color="000000" w:fill="000000"/>
          <w:fitText w:val="-20" w:id="-1500861437"/>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37"/>
          <w14:textFill>
            <w14:solidFill>
              <w14:schemeClr w14:val="tx1">
                <w14:alpha w14:val="100000"/>
              </w14:schemeClr>
            </w14:solidFill>
          </w14:textFill>
        </w:rPr>
        <w:t>|</w:t>
      </w:r>
      <w:r w:rsidRPr="00F0295C">
        <w:rPr>
          <w:color w:val="000000" w:themeColor="text1"/>
        </w:rPr>
        <w:t xml:space="preserve"> for the asthma indication, weighted by the project utilisation in the two indications</w:t>
      </w:r>
      <w:r w:rsidR="002B71EA" w:rsidRPr="00F0295C">
        <w:rPr>
          <w:color w:val="000000" w:themeColor="text1"/>
        </w:rPr>
        <w:t xml:space="preserve">. </w:t>
      </w:r>
      <w:r w:rsidR="002B71EA" w:rsidRPr="00650D10">
        <w:rPr>
          <w:color w:val="000000" w:themeColor="text1"/>
        </w:rPr>
        <w:t xml:space="preserve">The submission </w:t>
      </w:r>
      <w:r w:rsidR="0047204F" w:rsidRPr="00650D10">
        <w:rPr>
          <w:color w:val="000000" w:themeColor="text1"/>
        </w:rPr>
        <w:t>calculated</w:t>
      </w:r>
      <w:r w:rsidR="002B71EA" w:rsidRPr="00650D10">
        <w:rPr>
          <w:color w:val="000000" w:themeColor="text1"/>
        </w:rPr>
        <w:t xml:space="preserve"> the weighting</w:t>
      </w:r>
      <w:r w:rsidR="0047204F" w:rsidRPr="00650D10">
        <w:rPr>
          <w:color w:val="000000" w:themeColor="text1"/>
        </w:rPr>
        <w:t>s across indications, based on the split of asthma (</w:t>
      </w:r>
      <w:proofErr w:type="gramStart"/>
      <w:r w:rsidR="0078736D" w:rsidRPr="009A3986">
        <w:rPr>
          <w:color w:val="000000" w:themeColor="text1"/>
          <w:w w:val="15"/>
          <w:shd w:val="solid" w:color="000000" w:fill="000000"/>
          <w:fitText w:val="-20" w:id="-1500861436"/>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36"/>
          <w14:textFill>
            <w14:solidFill>
              <w14:schemeClr w14:val="tx1">
                <w14:alpha w14:val="100000"/>
              </w14:schemeClr>
            </w14:solidFill>
          </w14:textFill>
        </w:rPr>
        <w:t>|</w:t>
      </w:r>
      <w:proofErr w:type="gramEnd"/>
      <w:r w:rsidR="0047204F" w:rsidRPr="00650D10">
        <w:rPr>
          <w:color w:val="000000" w:themeColor="text1"/>
        </w:rPr>
        <w:t>%) and COPD (</w:t>
      </w:r>
      <w:r w:rsidR="0078736D" w:rsidRPr="009A3986">
        <w:rPr>
          <w:color w:val="000000" w:themeColor="text1"/>
          <w:w w:val="15"/>
          <w:shd w:val="solid" w:color="000000" w:fill="000000"/>
          <w:fitText w:val="-20" w:id="-1500861435"/>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35"/>
          <w14:textFill>
            <w14:solidFill>
              <w14:schemeClr w14:val="tx1">
                <w14:alpha w14:val="100000"/>
              </w14:schemeClr>
            </w14:solidFill>
          </w14:textFill>
        </w:rPr>
        <w:t>|</w:t>
      </w:r>
      <w:r w:rsidR="0047204F" w:rsidRPr="00650D10">
        <w:rPr>
          <w:color w:val="000000" w:themeColor="text1"/>
        </w:rPr>
        <w:t xml:space="preserve">%) prescriptions for Seretide MDI 250/25 (FP/SAL, PBS item 8915J), </w:t>
      </w:r>
      <w:r w:rsidR="00F0295C" w:rsidRPr="00650D10">
        <w:rPr>
          <w:color w:val="000000" w:themeColor="text1"/>
        </w:rPr>
        <w:t>using the</w:t>
      </w:r>
      <w:r w:rsidR="0047204F" w:rsidRPr="00650D10">
        <w:rPr>
          <w:color w:val="000000" w:themeColor="text1"/>
        </w:rPr>
        <w:t xml:space="preserve"> PBS 10% Sample data. The submission stated this approach was justified as Seretide MDI 250/25 was the most likely product to be replaced in practice. Given the asthma and COPD listings are both under the same Authority Required (STREAMLINED) PBS item number and differentiated only by the streamlined authority code in each restriction, the reliability of streamlined authority code data to accurately capture prescribing for asthma and COPD is uncertain. The weighted price calculation is presented in </w:t>
      </w:r>
      <w:r w:rsidR="003811C1" w:rsidRPr="00650D10">
        <w:rPr>
          <w:color w:val="000000" w:themeColor="text1"/>
        </w:rPr>
        <w:t>Table 10</w:t>
      </w:r>
      <w:r w:rsidR="0047204F" w:rsidRPr="00650D10">
        <w:rPr>
          <w:color w:val="000000" w:themeColor="text1"/>
        </w:rPr>
        <w:t>.</w:t>
      </w:r>
    </w:p>
    <w:p w14:paraId="03419626" w14:textId="09F4160D" w:rsidR="00E374F0" w:rsidRPr="00A604AC" w:rsidRDefault="00E374F0" w:rsidP="00390D87">
      <w:pPr>
        <w:pStyle w:val="Caption"/>
        <w:keepNext/>
        <w:spacing w:after="0"/>
        <w:ind w:left="720" w:hanging="720"/>
        <w:rPr>
          <w:rFonts w:ascii="Arial Narrow" w:hAnsi="Arial Narrow"/>
          <w:color w:val="000000" w:themeColor="text1"/>
          <w:sz w:val="20"/>
          <w:szCs w:val="20"/>
        </w:rPr>
      </w:pPr>
      <w:r w:rsidRPr="00A604AC">
        <w:rPr>
          <w:rFonts w:ascii="Arial Narrow" w:hAnsi="Arial Narrow"/>
          <w:color w:val="000000" w:themeColor="text1"/>
          <w:sz w:val="20"/>
          <w:szCs w:val="20"/>
        </w:rPr>
        <w:t xml:space="preserve">Table </w:t>
      </w:r>
      <w:r w:rsidRPr="00A604AC">
        <w:rPr>
          <w:rFonts w:ascii="Arial Narrow" w:hAnsi="Arial Narrow"/>
          <w:color w:val="000000" w:themeColor="text1"/>
          <w:sz w:val="20"/>
          <w:szCs w:val="20"/>
        </w:rPr>
        <w:fldChar w:fldCharType="begin"/>
      </w:r>
      <w:r w:rsidRPr="00A604AC">
        <w:rPr>
          <w:rFonts w:ascii="Arial Narrow" w:hAnsi="Arial Narrow"/>
          <w:color w:val="000000" w:themeColor="text1"/>
          <w:sz w:val="20"/>
          <w:szCs w:val="20"/>
        </w:rPr>
        <w:instrText xml:space="preserve"> SEQ Table \* ARABIC </w:instrText>
      </w:r>
      <w:r w:rsidRPr="00A604AC">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10</w:t>
      </w:r>
      <w:r w:rsidRPr="00A604AC">
        <w:rPr>
          <w:rFonts w:ascii="Arial Narrow" w:hAnsi="Arial Narrow"/>
          <w:color w:val="000000" w:themeColor="text1"/>
          <w:sz w:val="20"/>
          <w:szCs w:val="20"/>
        </w:rPr>
        <w:fldChar w:fldCharType="end"/>
      </w:r>
      <w:r w:rsidRPr="00A604AC">
        <w:rPr>
          <w:rFonts w:ascii="Arial Narrow" w:hAnsi="Arial Narrow"/>
          <w:color w:val="000000" w:themeColor="text1"/>
          <w:sz w:val="20"/>
          <w:szCs w:val="20"/>
        </w:rPr>
        <w:t>: Weighted average price calculation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2"/>
        <w:gridCol w:w="2379"/>
        <w:gridCol w:w="2256"/>
      </w:tblGrid>
      <w:tr w:rsidR="00E374F0" w:rsidRPr="00BD1F00" w14:paraId="063EF333" w14:textId="77777777" w:rsidTr="00351F2F">
        <w:trPr>
          <w:trHeight w:val="268"/>
        </w:trPr>
        <w:tc>
          <w:tcPr>
            <w:tcW w:w="2430" w:type="pct"/>
            <w:shd w:val="clear" w:color="auto" w:fill="auto"/>
            <w:noWrap/>
            <w:vAlign w:val="bottom"/>
            <w:hideMark/>
          </w:tcPr>
          <w:p w14:paraId="0629CFA7" w14:textId="77777777" w:rsidR="00E374F0" w:rsidRPr="00390D87" w:rsidRDefault="00E374F0" w:rsidP="00142B3D">
            <w:pPr>
              <w:pStyle w:val="TableText0"/>
              <w:ind w:left="720" w:hanging="720"/>
              <w:rPr>
                <w:b/>
                <w:color w:val="000000" w:themeColor="text1"/>
                <w:szCs w:val="20"/>
              </w:rPr>
            </w:pPr>
          </w:p>
        </w:tc>
        <w:tc>
          <w:tcPr>
            <w:tcW w:w="1319" w:type="pct"/>
            <w:shd w:val="clear" w:color="auto" w:fill="auto"/>
            <w:noWrap/>
            <w:vAlign w:val="bottom"/>
            <w:hideMark/>
          </w:tcPr>
          <w:p w14:paraId="0D0FF4B8" w14:textId="77777777" w:rsidR="00E374F0" w:rsidRPr="00390D87" w:rsidRDefault="00E374F0" w:rsidP="00351F2F">
            <w:pPr>
              <w:pStyle w:val="TableText0"/>
              <w:ind w:left="720" w:hanging="720"/>
              <w:jc w:val="center"/>
              <w:rPr>
                <w:b/>
                <w:color w:val="000000" w:themeColor="text1"/>
                <w:szCs w:val="20"/>
              </w:rPr>
            </w:pPr>
            <w:r w:rsidRPr="00390D87">
              <w:rPr>
                <w:b/>
                <w:color w:val="000000" w:themeColor="text1"/>
                <w:szCs w:val="20"/>
              </w:rPr>
              <w:t>COPD</w:t>
            </w:r>
          </w:p>
        </w:tc>
        <w:tc>
          <w:tcPr>
            <w:tcW w:w="1251" w:type="pct"/>
            <w:shd w:val="clear" w:color="auto" w:fill="auto"/>
            <w:noWrap/>
            <w:vAlign w:val="bottom"/>
            <w:hideMark/>
          </w:tcPr>
          <w:p w14:paraId="382BE00C" w14:textId="77777777" w:rsidR="00E374F0" w:rsidRPr="00390D87" w:rsidRDefault="00E374F0" w:rsidP="00351F2F">
            <w:pPr>
              <w:pStyle w:val="TableText0"/>
              <w:ind w:left="720" w:hanging="720"/>
              <w:jc w:val="center"/>
              <w:rPr>
                <w:b/>
                <w:color w:val="000000" w:themeColor="text1"/>
                <w:szCs w:val="20"/>
              </w:rPr>
            </w:pPr>
            <w:r w:rsidRPr="00390D87">
              <w:rPr>
                <w:b/>
                <w:color w:val="000000" w:themeColor="text1"/>
                <w:szCs w:val="20"/>
              </w:rPr>
              <w:t>Asthma</w:t>
            </w:r>
          </w:p>
        </w:tc>
      </w:tr>
      <w:tr w:rsidR="00E374F0" w:rsidRPr="00BD1F00" w14:paraId="1C770E67" w14:textId="77777777" w:rsidTr="00351F2F">
        <w:trPr>
          <w:trHeight w:val="268"/>
        </w:trPr>
        <w:tc>
          <w:tcPr>
            <w:tcW w:w="2430" w:type="pct"/>
            <w:shd w:val="clear" w:color="auto" w:fill="auto"/>
            <w:noWrap/>
            <w:vAlign w:val="bottom"/>
            <w:hideMark/>
          </w:tcPr>
          <w:p w14:paraId="38049902" w14:textId="77777777" w:rsidR="00E374F0" w:rsidRPr="00390D87" w:rsidRDefault="00E374F0" w:rsidP="00142B3D">
            <w:pPr>
              <w:pStyle w:val="TableText0"/>
              <w:ind w:left="720" w:hanging="720"/>
              <w:rPr>
                <w:color w:val="000000" w:themeColor="text1"/>
                <w:szCs w:val="20"/>
              </w:rPr>
            </w:pPr>
            <w:r w:rsidRPr="00390D87">
              <w:rPr>
                <w:color w:val="000000" w:themeColor="text1"/>
                <w:szCs w:val="20"/>
              </w:rPr>
              <w:t>AEMP</w:t>
            </w:r>
          </w:p>
        </w:tc>
        <w:tc>
          <w:tcPr>
            <w:tcW w:w="1319" w:type="pct"/>
            <w:shd w:val="clear" w:color="auto" w:fill="auto"/>
            <w:noWrap/>
            <w:vAlign w:val="bottom"/>
            <w:hideMark/>
          </w:tcPr>
          <w:p w14:paraId="236EC562" w14:textId="3FF6F21C" w:rsidR="00E374F0" w:rsidRPr="00390D87" w:rsidRDefault="00E374F0" w:rsidP="003963B7">
            <w:pPr>
              <w:pStyle w:val="TableText0"/>
              <w:ind w:left="720" w:hanging="720"/>
              <w:jc w:val="right"/>
              <w:rPr>
                <w:color w:val="000000" w:themeColor="text1"/>
                <w:szCs w:val="20"/>
              </w:rPr>
            </w:pPr>
            <w:r w:rsidRPr="00390D87">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p>
        </w:tc>
        <w:tc>
          <w:tcPr>
            <w:tcW w:w="1251" w:type="pct"/>
            <w:shd w:val="clear" w:color="auto" w:fill="auto"/>
            <w:noWrap/>
            <w:vAlign w:val="bottom"/>
            <w:hideMark/>
          </w:tcPr>
          <w:p w14:paraId="6B970A67" w14:textId="77777777" w:rsidR="00E374F0" w:rsidRPr="00390D87" w:rsidRDefault="00E374F0">
            <w:pPr>
              <w:pStyle w:val="TableText0"/>
              <w:ind w:left="720" w:hanging="720"/>
              <w:jc w:val="right"/>
              <w:rPr>
                <w:color w:val="000000" w:themeColor="text1"/>
                <w:szCs w:val="20"/>
              </w:rPr>
            </w:pPr>
            <w:r w:rsidRPr="00390D87">
              <w:rPr>
                <w:color w:val="000000" w:themeColor="text1"/>
                <w:szCs w:val="20"/>
              </w:rPr>
              <w:t>$29.69</w:t>
            </w:r>
          </w:p>
        </w:tc>
      </w:tr>
      <w:tr w:rsidR="00E374F0" w:rsidRPr="00BD1F00" w14:paraId="13FC7DA5" w14:textId="77777777" w:rsidTr="00351F2F">
        <w:trPr>
          <w:trHeight w:val="268"/>
        </w:trPr>
        <w:tc>
          <w:tcPr>
            <w:tcW w:w="2430" w:type="pct"/>
            <w:shd w:val="clear" w:color="auto" w:fill="auto"/>
            <w:noWrap/>
            <w:vAlign w:val="bottom"/>
            <w:hideMark/>
          </w:tcPr>
          <w:p w14:paraId="1E7037FF" w14:textId="77777777" w:rsidR="00E374F0" w:rsidRPr="00390D87" w:rsidRDefault="00E374F0" w:rsidP="00142B3D">
            <w:pPr>
              <w:pStyle w:val="TableText0"/>
              <w:ind w:left="720" w:hanging="720"/>
              <w:rPr>
                <w:color w:val="000000" w:themeColor="text1"/>
                <w:szCs w:val="20"/>
              </w:rPr>
            </w:pPr>
            <w:r w:rsidRPr="00390D87">
              <w:rPr>
                <w:color w:val="000000" w:themeColor="text1"/>
                <w:szCs w:val="20"/>
              </w:rPr>
              <w:t>Projected Utilisation</w:t>
            </w:r>
          </w:p>
        </w:tc>
        <w:tc>
          <w:tcPr>
            <w:tcW w:w="1319" w:type="pct"/>
            <w:shd w:val="clear" w:color="auto" w:fill="auto"/>
            <w:noWrap/>
            <w:vAlign w:val="bottom"/>
            <w:hideMark/>
          </w:tcPr>
          <w:p w14:paraId="5220FC6A" w14:textId="2EC80368" w:rsidR="00E374F0" w:rsidRPr="00390D87" w:rsidRDefault="0078736D" w:rsidP="003963B7">
            <w:pPr>
              <w:pStyle w:val="TableText0"/>
              <w:ind w:left="720" w:hanging="720"/>
              <w:jc w:val="right"/>
              <w:rPr>
                <w:color w:val="000000" w:themeColor="text1"/>
                <w:szCs w:val="20"/>
              </w:rPr>
            </w:pPr>
            <w:r w:rsidRPr="0078736D">
              <w:rPr>
                <w:color w:val="000000" w:themeColor="text1"/>
                <w:szCs w:val="20"/>
                <w:shd w:val="solid" w:color="000000" w:fill="000000"/>
                <w14:textFill>
                  <w14:solidFill>
                    <w14:schemeClr w14:val="tx1">
                      <w14:alpha w14:val="100000"/>
                    </w14:schemeClr>
                  </w14:solidFill>
                </w14:textFill>
              </w:rPr>
              <w:t>|</w:t>
            </w:r>
            <w:r w:rsidR="00E374F0" w:rsidRPr="00390D87">
              <w:rPr>
                <w:color w:val="000000" w:themeColor="text1"/>
                <w:szCs w:val="20"/>
              </w:rPr>
              <w:t>%</w:t>
            </w:r>
          </w:p>
        </w:tc>
        <w:tc>
          <w:tcPr>
            <w:tcW w:w="1251" w:type="pct"/>
            <w:shd w:val="clear" w:color="auto" w:fill="auto"/>
            <w:noWrap/>
            <w:vAlign w:val="bottom"/>
            <w:hideMark/>
          </w:tcPr>
          <w:p w14:paraId="568052FC" w14:textId="43470F74" w:rsidR="00E374F0" w:rsidRPr="00390D87" w:rsidRDefault="0078736D">
            <w:pPr>
              <w:pStyle w:val="TableText0"/>
              <w:ind w:left="720" w:hanging="720"/>
              <w:jc w:val="right"/>
              <w:rPr>
                <w:color w:val="000000" w:themeColor="text1"/>
                <w:szCs w:val="20"/>
              </w:rPr>
            </w:pPr>
            <w:r w:rsidRPr="0078736D">
              <w:rPr>
                <w:color w:val="000000" w:themeColor="text1"/>
                <w:szCs w:val="20"/>
                <w:shd w:val="solid" w:color="000000" w:fill="000000"/>
                <w14:textFill>
                  <w14:solidFill>
                    <w14:schemeClr w14:val="tx1">
                      <w14:alpha w14:val="100000"/>
                    </w14:schemeClr>
                  </w14:solidFill>
                </w14:textFill>
              </w:rPr>
              <w:t>|</w:t>
            </w:r>
            <w:r w:rsidR="00E374F0" w:rsidRPr="00390D87">
              <w:rPr>
                <w:color w:val="000000" w:themeColor="text1"/>
                <w:szCs w:val="20"/>
              </w:rPr>
              <w:t>%</w:t>
            </w:r>
          </w:p>
        </w:tc>
      </w:tr>
      <w:tr w:rsidR="00E374F0" w:rsidRPr="00BD1F00" w14:paraId="1902A4C2" w14:textId="77777777" w:rsidTr="00351F2F">
        <w:trPr>
          <w:trHeight w:val="268"/>
        </w:trPr>
        <w:tc>
          <w:tcPr>
            <w:tcW w:w="3749" w:type="pct"/>
            <w:gridSpan w:val="2"/>
            <w:shd w:val="clear" w:color="auto" w:fill="auto"/>
            <w:noWrap/>
            <w:vAlign w:val="bottom"/>
          </w:tcPr>
          <w:p w14:paraId="586CCC3A" w14:textId="77777777" w:rsidR="00E374F0" w:rsidRPr="00390D87" w:rsidRDefault="00E374F0" w:rsidP="00142B3D">
            <w:pPr>
              <w:pStyle w:val="TableText0"/>
              <w:ind w:left="720" w:hanging="720"/>
              <w:jc w:val="left"/>
              <w:rPr>
                <w:color w:val="000000" w:themeColor="text1"/>
                <w:szCs w:val="20"/>
              </w:rPr>
            </w:pPr>
            <w:r w:rsidRPr="00390D87">
              <w:rPr>
                <w:b/>
                <w:color w:val="000000" w:themeColor="text1"/>
                <w:szCs w:val="20"/>
              </w:rPr>
              <w:t>Weighted Average Price</w:t>
            </w:r>
          </w:p>
        </w:tc>
        <w:tc>
          <w:tcPr>
            <w:tcW w:w="1251" w:type="pct"/>
            <w:shd w:val="clear" w:color="auto" w:fill="auto"/>
            <w:noWrap/>
            <w:vAlign w:val="bottom"/>
          </w:tcPr>
          <w:p w14:paraId="60E3AA21" w14:textId="19D5F742" w:rsidR="00E374F0" w:rsidRPr="00390D87" w:rsidRDefault="00E374F0" w:rsidP="003963B7">
            <w:pPr>
              <w:pStyle w:val="TableText0"/>
              <w:ind w:left="720" w:hanging="720"/>
              <w:jc w:val="right"/>
              <w:rPr>
                <w:color w:val="000000" w:themeColor="text1"/>
                <w:szCs w:val="20"/>
              </w:rPr>
            </w:pPr>
            <w:r w:rsidRPr="00390D87">
              <w:rPr>
                <w:b/>
                <w:color w:val="000000" w:themeColor="text1"/>
                <w:szCs w:val="20"/>
              </w:rPr>
              <w:t>$</w:t>
            </w:r>
            <w:r w:rsidR="0078736D" w:rsidRPr="0078736D">
              <w:rPr>
                <w:b/>
                <w:color w:val="000000" w:themeColor="text1"/>
                <w:szCs w:val="20"/>
                <w:shd w:val="solid" w:color="000000" w:fill="000000"/>
                <w14:textFill>
                  <w14:solidFill>
                    <w14:schemeClr w14:val="tx1">
                      <w14:alpha w14:val="100000"/>
                    </w14:schemeClr>
                  </w14:solidFill>
                </w14:textFill>
              </w:rPr>
              <w:t>|</w:t>
            </w:r>
          </w:p>
        </w:tc>
      </w:tr>
    </w:tbl>
    <w:p w14:paraId="1577681E" w14:textId="77777777" w:rsidR="00E374F0" w:rsidRPr="00A604AC" w:rsidRDefault="00E374F0" w:rsidP="00390D87">
      <w:pPr>
        <w:pStyle w:val="TableFigureFooter"/>
        <w:keepNext/>
        <w:ind w:left="720" w:hanging="720"/>
        <w:rPr>
          <w:color w:val="000000" w:themeColor="text1"/>
        </w:rPr>
      </w:pPr>
      <w:r w:rsidRPr="00390D87">
        <w:rPr>
          <w:color w:val="000000" w:themeColor="text1"/>
        </w:rPr>
        <w:t xml:space="preserve">Abbreviations: AEMP= Approved ex-manufacturer price; </w:t>
      </w:r>
      <w:r w:rsidRPr="00A604AC">
        <w:rPr>
          <w:color w:val="000000" w:themeColor="text1"/>
        </w:rPr>
        <w:t xml:space="preserve">COPD= Chronic obstructive pulmonary disease. </w:t>
      </w:r>
    </w:p>
    <w:p w14:paraId="18FB7ECA" w14:textId="42156BB4" w:rsidR="00E374F0" w:rsidRPr="00390D87" w:rsidRDefault="00E374F0" w:rsidP="00C54E70">
      <w:pPr>
        <w:pStyle w:val="TableFigureFooter"/>
        <w:keepNext/>
        <w:ind w:left="720" w:hanging="720"/>
        <w:rPr>
          <w:color w:val="000000" w:themeColor="text1"/>
        </w:rPr>
      </w:pPr>
      <w:r w:rsidRPr="00390D87">
        <w:rPr>
          <w:color w:val="000000" w:themeColor="text1"/>
        </w:rPr>
        <w:t xml:space="preserve">Source: Section 3.2 p97 of the submission </w:t>
      </w:r>
    </w:p>
    <w:p w14:paraId="2934EBA5" w14:textId="3B2C9A72" w:rsidR="00E374F0" w:rsidRPr="006A50B1" w:rsidRDefault="000D04AA" w:rsidP="00E60532">
      <w:pPr>
        <w:pStyle w:val="3-BodyText"/>
        <w:rPr>
          <w:iCs/>
          <w:snapToGrid/>
          <w:color w:val="000000" w:themeColor="text1"/>
          <w:lang w:val="en-US"/>
        </w:rPr>
      </w:pPr>
      <w:r w:rsidRPr="006A50B1">
        <w:rPr>
          <w:iCs/>
          <w:snapToGrid/>
          <w:color w:val="000000" w:themeColor="text1"/>
          <w:lang w:val="en-US"/>
        </w:rPr>
        <w:t>Should the PBAC accept the clinical claim of overall non-inferior effectiveness and safety, the cost-</w:t>
      </w:r>
      <w:proofErr w:type="spellStart"/>
      <w:r w:rsidRPr="006A50B1">
        <w:rPr>
          <w:iCs/>
          <w:snapToGrid/>
          <w:color w:val="000000" w:themeColor="text1"/>
          <w:lang w:val="en-US"/>
        </w:rPr>
        <w:t>minimisation</w:t>
      </w:r>
      <w:proofErr w:type="spellEnd"/>
      <w:r w:rsidRPr="006A50B1">
        <w:rPr>
          <w:iCs/>
          <w:snapToGrid/>
          <w:color w:val="000000" w:themeColor="text1"/>
          <w:lang w:val="en-US"/>
        </w:rPr>
        <w:t xml:space="preserve"> approach must establish that the cost per patient for treatment with BEC/FOR would be no more than the cost per patient of any other available ICS/LABA inhaler. By analogy, the PBAC has considered that the cost for any </w:t>
      </w:r>
      <w:r w:rsidRPr="006A50B1">
        <w:rPr>
          <w:iCs/>
          <w:snapToGrid/>
          <w:color w:val="000000" w:themeColor="text1"/>
          <w:lang w:val="en-US"/>
        </w:rPr>
        <w:lastRenderedPageBreak/>
        <w:t xml:space="preserve">triple therapy inhalers should be no greater than the lowest price combination of ICS, LAMA and LABA products listed for COPD (paragraph 7.8, FF/UMEC/VI </w:t>
      </w:r>
      <w:proofErr w:type="spellStart"/>
      <w:r w:rsidRPr="006A50B1">
        <w:rPr>
          <w:iCs/>
          <w:snapToGrid/>
          <w:color w:val="000000" w:themeColor="text1"/>
          <w:lang w:val="en-US"/>
        </w:rPr>
        <w:t>Trelegy</w:t>
      </w:r>
      <w:proofErr w:type="spellEnd"/>
      <w:r w:rsidRPr="006A50B1">
        <w:rPr>
          <w:iCs/>
          <w:snapToGrid/>
          <w:color w:val="000000" w:themeColor="text1"/>
          <w:lang w:val="en-US"/>
        </w:rPr>
        <w:t xml:space="preserve">, PSD December 2017 PBAC meeting; paragraph 7.2, BEC/GLY/FOR </w:t>
      </w:r>
      <w:proofErr w:type="spellStart"/>
      <w:r w:rsidRPr="006A50B1">
        <w:rPr>
          <w:iCs/>
          <w:snapToGrid/>
          <w:color w:val="000000" w:themeColor="text1"/>
          <w:lang w:val="en-US"/>
        </w:rPr>
        <w:t>Trimbow</w:t>
      </w:r>
      <w:proofErr w:type="spellEnd"/>
      <w:r w:rsidRPr="006A50B1">
        <w:rPr>
          <w:iCs/>
          <w:snapToGrid/>
          <w:color w:val="000000" w:themeColor="text1"/>
          <w:lang w:val="en-US"/>
        </w:rPr>
        <w:t>, P</w:t>
      </w:r>
      <w:r w:rsidR="00283E87" w:rsidRPr="006A50B1">
        <w:rPr>
          <w:iCs/>
          <w:snapToGrid/>
          <w:color w:val="000000" w:themeColor="text1"/>
          <w:lang w:val="en-US"/>
        </w:rPr>
        <w:t>SD November 2020 PBAC meeting).</w:t>
      </w:r>
      <w:r w:rsidRPr="006A50B1">
        <w:rPr>
          <w:iCs/>
          <w:snapToGrid/>
          <w:color w:val="000000" w:themeColor="text1"/>
          <w:lang w:val="en-US"/>
        </w:rPr>
        <w:t xml:space="preserve"> The cost per patient </w:t>
      </w:r>
      <w:proofErr w:type="gramStart"/>
      <w:r w:rsidRPr="006A50B1">
        <w:rPr>
          <w:iCs/>
          <w:snapToGrid/>
          <w:color w:val="000000" w:themeColor="text1"/>
          <w:lang w:val="en-US"/>
        </w:rPr>
        <w:t>takes into account</w:t>
      </w:r>
      <w:proofErr w:type="gramEnd"/>
      <w:r w:rsidRPr="006A50B1">
        <w:rPr>
          <w:iCs/>
          <w:snapToGrid/>
          <w:color w:val="000000" w:themeColor="text1"/>
          <w:lang w:val="en-US"/>
        </w:rPr>
        <w:t xml:space="preserve"> the mean equi-effective doses of the new intervention and the alternative therapies. Where these cost per patient calculations are uncertain, the guiding principle is that the Australian Government should not bear the financial risk of this uncertainty because the Australian population already has access to therapy that is at least as effective and safe. </w:t>
      </w:r>
    </w:p>
    <w:p w14:paraId="4195DB67" w14:textId="4D4DE307" w:rsidR="00FC5A4A" w:rsidRPr="000F131C" w:rsidRDefault="00E374F0" w:rsidP="00A7711D">
      <w:pPr>
        <w:pStyle w:val="3-BodyText"/>
      </w:pPr>
      <w:r w:rsidRPr="000F131C">
        <w:t xml:space="preserve">The AEMP per 30 days of four ICS/LABA inhalers are lower than the proposed indication-specific AEMP per 30 days </w:t>
      </w:r>
      <w:r w:rsidR="00EA37E2" w:rsidRPr="000F131C">
        <w:t>for</w:t>
      </w:r>
      <w:r w:rsidRPr="000F131C">
        <w:t xml:space="preserve"> BEC/FOR of $</w:t>
      </w:r>
      <w:proofErr w:type="gramStart"/>
      <w:r w:rsidR="0078736D" w:rsidRPr="009A3986">
        <w:rPr>
          <w:color w:val="000000"/>
          <w:w w:val="15"/>
          <w:shd w:val="solid" w:color="000000" w:fill="000000"/>
          <w:fitText w:val="-20" w:id="-1500861434"/>
          <w14:textFill>
            <w14:solidFill>
              <w14:srgbClr w14:val="000000">
                <w14:alpha w14:val="100000"/>
              </w14:srgbClr>
            </w14:solidFill>
          </w14:textFill>
        </w:rPr>
        <w:t xml:space="preserve">|  </w:t>
      </w:r>
      <w:r w:rsidR="0078736D" w:rsidRPr="009A3986">
        <w:rPr>
          <w:color w:val="000000"/>
          <w:spacing w:val="-69"/>
          <w:w w:val="15"/>
          <w:shd w:val="solid" w:color="000000" w:fill="000000"/>
          <w:fitText w:val="-20" w:id="-1500861434"/>
          <w14:textFill>
            <w14:solidFill>
              <w14:srgbClr w14:val="000000">
                <w14:alpha w14:val="100000"/>
              </w14:srgbClr>
            </w14:solidFill>
          </w14:textFill>
        </w:rPr>
        <w:t>|</w:t>
      </w:r>
      <w:proofErr w:type="gramEnd"/>
      <w:r w:rsidR="0074388B" w:rsidRPr="000F131C">
        <w:t xml:space="preserve"> (</w:t>
      </w:r>
      <w:r w:rsidR="0074388B" w:rsidRPr="000F131C">
        <w:fldChar w:fldCharType="begin"/>
      </w:r>
      <w:r w:rsidR="0074388B" w:rsidRPr="000F131C">
        <w:instrText xml:space="preserve"> REF _Ref92356095 \h </w:instrText>
      </w:r>
      <w:r w:rsidR="008441EF" w:rsidRPr="000F131C">
        <w:instrText xml:space="preserve"> \* MERGEFORMAT </w:instrText>
      </w:r>
      <w:r w:rsidR="0074388B" w:rsidRPr="000F131C">
        <w:fldChar w:fldCharType="separate"/>
      </w:r>
      <w:r w:rsidR="00BA5BCE" w:rsidRPr="000F131C">
        <w:t>Table 11</w:t>
      </w:r>
      <w:r w:rsidR="0074388B" w:rsidRPr="000F131C">
        <w:fldChar w:fldCharType="end"/>
      </w:r>
      <w:r w:rsidR="0074388B" w:rsidRPr="000F131C">
        <w:t>)</w:t>
      </w:r>
      <w:r w:rsidRPr="000F131C">
        <w:t>. The lowest AEMP per 30 days of $24.45 corresponds to BUD/FOR</w:t>
      </w:r>
      <w:r w:rsidR="008441EF" w:rsidRPr="000F131C">
        <w:t xml:space="preserve"> 400/12</w:t>
      </w:r>
      <w:r w:rsidRPr="000F131C">
        <w:t xml:space="preserve"> (Symbicort </w:t>
      </w:r>
      <w:proofErr w:type="spellStart"/>
      <w:r w:rsidRPr="000F131C">
        <w:t>Turbuhaler</w:t>
      </w:r>
      <w:proofErr w:type="spellEnd"/>
      <w:r w:rsidR="008441EF" w:rsidRPr="000F131C">
        <w:t xml:space="preserve">; </w:t>
      </w:r>
      <w:proofErr w:type="spellStart"/>
      <w:r w:rsidRPr="000F131C">
        <w:t>DuoResp</w:t>
      </w:r>
      <w:proofErr w:type="spellEnd"/>
      <w:r w:rsidRPr="000F131C">
        <w:t xml:space="preserve"> </w:t>
      </w:r>
      <w:proofErr w:type="spellStart"/>
      <w:r w:rsidRPr="000F131C">
        <w:t>Spiromax</w:t>
      </w:r>
      <w:proofErr w:type="spellEnd"/>
      <w:r w:rsidRPr="000F131C">
        <w:t xml:space="preserve">; </w:t>
      </w:r>
      <w:proofErr w:type="spellStart"/>
      <w:r w:rsidRPr="000F131C">
        <w:t>BiResp</w:t>
      </w:r>
      <w:proofErr w:type="spellEnd"/>
      <w:r w:rsidRPr="000F131C">
        <w:t xml:space="preserve"> </w:t>
      </w:r>
      <w:proofErr w:type="spellStart"/>
      <w:r w:rsidRPr="000F131C">
        <w:t>Spiromax</w:t>
      </w:r>
      <w:proofErr w:type="spellEnd"/>
      <w:r w:rsidRPr="000F131C">
        <w:t xml:space="preserve">).  </w:t>
      </w:r>
    </w:p>
    <w:p w14:paraId="2C7F8E19" w14:textId="49E07025" w:rsidR="00FC5A4A" w:rsidRPr="00650D10" w:rsidRDefault="00FC5A4A" w:rsidP="002B71EA">
      <w:pPr>
        <w:pStyle w:val="3-BodyText"/>
        <w:rPr>
          <w:color w:val="000000" w:themeColor="text1"/>
        </w:rPr>
      </w:pPr>
      <w:r w:rsidRPr="000F131C">
        <w:t>BUD/FOR 400/12 with a dose of one puff twice per d</w:t>
      </w:r>
      <w:r w:rsidR="008441EF" w:rsidRPr="000F131C">
        <w:t xml:space="preserve">ay and a total of </w:t>
      </w:r>
      <w:r w:rsidRPr="000F131C">
        <w:t xml:space="preserve">120 (2 x 60) actuations </w:t>
      </w:r>
      <w:r w:rsidR="008441EF" w:rsidRPr="000F131C">
        <w:t xml:space="preserve">per prescription </w:t>
      </w:r>
      <w:r w:rsidRPr="000F131C">
        <w:t>provides</w:t>
      </w:r>
      <w:r w:rsidRPr="00650D10">
        <w:rPr>
          <w:color w:val="000000" w:themeColor="text1"/>
        </w:rPr>
        <w:t xml:space="preserve"> for 60 days of treatment. The PSCR note</w:t>
      </w:r>
      <w:r w:rsidR="00124ABC" w:rsidRPr="00650D10">
        <w:rPr>
          <w:color w:val="000000" w:themeColor="text1"/>
        </w:rPr>
        <w:t>d</w:t>
      </w:r>
      <w:r w:rsidRPr="00650D10">
        <w:rPr>
          <w:color w:val="000000" w:themeColor="text1"/>
        </w:rPr>
        <w:t xml:space="preserve"> that the </w:t>
      </w:r>
      <w:r w:rsidR="00FE19B9" w:rsidRPr="00650D10">
        <w:rPr>
          <w:color w:val="000000" w:themeColor="text1"/>
        </w:rPr>
        <w:t xml:space="preserve">July 2020 </w:t>
      </w:r>
      <w:r w:rsidR="002070FC">
        <w:rPr>
          <w:color w:val="000000" w:themeColor="text1"/>
        </w:rPr>
        <w:t>PSD</w:t>
      </w:r>
      <w:r w:rsidR="002070FC" w:rsidRPr="00650D10">
        <w:rPr>
          <w:color w:val="000000" w:themeColor="text1"/>
        </w:rPr>
        <w:t xml:space="preserve"> </w:t>
      </w:r>
      <w:r w:rsidR="00FE19B9" w:rsidRPr="00650D10">
        <w:rPr>
          <w:color w:val="000000" w:themeColor="text1"/>
        </w:rPr>
        <w:t xml:space="preserve">for </w:t>
      </w:r>
      <w:r w:rsidRPr="00650D10">
        <w:rPr>
          <w:color w:val="000000" w:themeColor="text1"/>
        </w:rPr>
        <w:t xml:space="preserve">consideration of BEC/FOR 100/6 (Fostair) for asthma </w:t>
      </w:r>
      <w:r w:rsidR="00FE19B9" w:rsidRPr="00650D10">
        <w:rPr>
          <w:color w:val="000000" w:themeColor="text1"/>
        </w:rPr>
        <w:t>state</w:t>
      </w:r>
      <w:r w:rsidRPr="00650D10">
        <w:rPr>
          <w:color w:val="000000" w:themeColor="text1"/>
        </w:rPr>
        <w:t xml:space="preserve"> ‘</w:t>
      </w:r>
      <w:r w:rsidRPr="00650D10">
        <w:t>The nominated equi-effective dose for BUD/FOR 200/6 MDI may not be reasonable given one script provides for 60 days of treatment at the equi-effective dose (2x120 actuations per script), rather than 30 days of treatment for BEC/FOR (120 actuations per script)’</w:t>
      </w:r>
      <w:r w:rsidRPr="00650D10">
        <w:rPr>
          <w:rStyle w:val="FootnoteReference"/>
        </w:rPr>
        <w:footnoteReference w:id="4"/>
      </w:r>
      <w:r w:rsidRPr="00650D10">
        <w:t xml:space="preserve"> (paragraph 6.26, July 2020 PBAC </w:t>
      </w:r>
      <w:r w:rsidR="0027664A">
        <w:t>PSD</w:t>
      </w:r>
      <w:r w:rsidRPr="00650D10">
        <w:t>, beclometasone + formoterol).</w:t>
      </w:r>
      <w:r w:rsidR="00FE19B9" w:rsidRPr="00650D10">
        <w:t xml:space="preserve"> </w:t>
      </w:r>
      <w:r w:rsidR="008441EF" w:rsidRPr="00650D10">
        <w:t>Given this precedent,</w:t>
      </w:r>
      <w:r w:rsidR="00FE19B9" w:rsidRPr="00650D10">
        <w:t xml:space="preserve"> the PSCR concluded that the comparator treatment should provide 30 days of treatment per </w:t>
      </w:r>
      <w:r w:rsidR="008441EF" w:rsidRPr="00650D10">
        <w:t>prescription</w:t>
      </w:r>
      <w:r w:rsidR="007A5954" w:rsidRPr="00650D10">
        <w:t xml:space="preserve"> and hence BUD/FOR 400/12 is not an appropriate comparator</w:t>
      </w:r>
      <w:r w:rsidR="00FE19B9" w:rsidRPr="00650D10">
        <w:t>.</w:t>
      </w:r>
    </w:p>
    <w:p w14:paraId="16E142FF" w14:textId="6497AF99" w:rsidR="000F5B19" w:rsidRPr="00650D10" w:rsidRDefault="007A5954" w:rsidP="0074388B">
      <w:pPr>
        <w:pStyle w:val="3-BodyText"/>
      </w:pPr>
      <w:r w:rsidRPr="00650D10">
        <w:t>The ESC noted the issue raised by the PBAC in July 2020 related to the equi-effective doses</w:t>
      </w:r>
      <w:r w:rsidR="00124ABC" w:rsidRPr="00650D10">
        <w:t xml:space="preserve"> and that based on established relativities the equi-effective doses for BEC/FOR 100/6 2 BD should be BUD/FOR 100/3 MDI 4 BD</w:t>
      </w:r>
      <w:r w:rsidR="0074388B" w:rsidRPr="00650D10">
        <w:t xml:space="preserve"> (for which one prescription provides 30 days of treatment)</w:t>
      </w:r>
      <w:r w:rsidR="00124ABC" w:rsidRPr="00650D10">
        <w:t xml:space="preserve"> rather than BUD/FOR 200/6 2 BD</w:t>
      </w:r>
      <w:r w:rsidR="0074388B" w:rsidRPr="00650D10">
        <w:t xml:space="preserve"> (for which one prescription provides 60 days of treatment)</w:t>
      </w:r>
      <w:r w:rsidRPr="00650D10">
        <w:t xml:space="preserve">. </w:t>
      </w:r>
    </w:p>
    <w:p w14:paraId="3558B5AE" w14:textId="4FDEAB9B" w:rsidR="006D3B30" w:rsidRPr="00650D10" w:rsidRDefault="00124ABC" w:rsidP="002B71EA">
      <w:pPr>
        <w:pStyle w:val="3-BodyText"/>
        <w:rPr>
          <w:color w:val="000000" w:themeColor="text1"/>
        </w:rPr>
      </w:pPr>
      <w:bookmarkStart w:id="48" w:name="_Ref98430360"/>
      <w:r w:rsidRPr="00650D10">
        <w:rPr>
          <w:color w:val="000000" w:themeColor="text1"/>
        </w:rPr>
        <w:t>In November 2010 the PBAC determined f</w:t>
      </w:r>
      <w:r w:rsidR="006D3B30" w:rsidRPr="00650D10">
        <w:rPr>
          <w:color w:val="000000" w:themeColor="text1"/>
        </w:rPr>
        <w:t>or COPD the</w:t>
      </w:r>
      <w:r w:rsidRPr="00650D10">
        <w:rPr>
          <w:color w:val="000000" w:themeColor="text1"/>
        </w:rPr>
        <w:t xml:space="preserve"> equi-effective doses are</w:t>
      </w:r>
      <w:r w:rsidR="006D3B30" w:rsidRPr="00650D10">
        <w:rPr>
          <w:color w:val="000000" w:themeColor="text1"/>
        </w:rPr>
        <w:t xml:space="preserve"> BUD/FOR 400/12 BD = FP/SAL 500/50 BD</w:t>
      </w:r>
      <w:r w:rsidRPr="00650D10">
        <w:rPr>
          <w:color w:val="000000" w:themeColor="text1"/>
        </w:rPr>
        <w:t xml:space="preserve"> and this was </w:t>
      </w:r>
      <w:proofErr w:type="gramStart"/>
      <w:r w:rsidRPr="00650D10">
        <w:rPr>
          <w:color w:val="000000" w:themeColor="text1"/>
        </w:rPr>
        <w:t>on the basis of</w:t>
      </w:r>
      <w:proofErr w:type="gramEnd"/>
      <w:r w:rsidRPr="00650D10">
        <w:rPr>
          <w:color w:val="000000" w:themeColor="text1"/>
        </w:rPr>
        <w:t xml:space="preserve"> 1 prescription for BUD/FOR 400/12 providing 2 months of treatment compared with </w:t>
      </w:r>
      <w:r w:rsidR="0074388B" w:rsidRPr="00650D10">
        <w:rPr>
          <w:color w:val="000000" w:themeColor="text1"/>
        </w:rPr>
        <w:t>1 month of treatment for FP/SAL 500/50</w:t>
      </w:r>
      <w:r w:rsidR="00F40DA1" w:rsidRPr="00650D10">
        <w:rPr>
          <w:rStyle w:val="FootnoteReference"/>
          <w:color w:val="000000" w:themeColor="text1"/>
        </w:rPr>
        <w:footnoteReference w:id="5"/>
      </w:r>
      <w:r w:rsidR="0074388B" w:rsidRPr="00650D10">
        <w:rPr>
          <w:color w:val="000000" w:themeColor="text1"/>
        </w:rPr>
        <w:t>. On the basis of this prev</w:t>
      </w:r>
      <w:r w:rsidR="008441EF" w:rsidRPr="00650D10">
        <w:rPr>
          <w:color w:val="000000" w:themeColor="text1"/>
        </w:rPr>
        <w:t>iously established relativity, t</w:t>
      </w:r>
      <w:r w:rsidR="0074388B" w:rsidRPr="00650D10">
        <w:rPr>
          <w:color w:val="000000" w:themeColor="text1"/>
        </w:rPr>
        <w:t>he ESC considered BUD/FOR 400/12 to be a reasonable alternative treatment</w:t>
      </w:r>
      <w:r w:rsidR="00F40DA1" w:rsidRPr="00650D10">
        <w:rPr>
          <w:color w:val="000000" w:themeColor="text1"/>
        </w:rPr>
        <w:t xml:space="preserve">, </w:t>
      </w:r>
      <w:proofErr w:type="gramStart"/>
      <w:r w:rsidR="00CC51B3" w:rsidRPr="00650D10">
        <w:rPr>
          <w:color w:val="000000" w:themeColor="text1"/>
        </w:rPr>
        <w:t>i.e. :</w:t>
      </w:r>
      <w:bookmarkEnd w:id="48"/>
      <w:proofErr w:type="gramEnd"/>
    </w:p>
    <w:p w14:paraId="3AB51A65" w14:textId="40F1AF93" w:rsidR="009B2A21" w:rsidRDefault="00F40DA1" w:rsidP="009B2A21">
      <w:pPr>
        <w:pStyle w:val="3-BodyText"/>
        <w:numPr>
          <w:ilvl w:val="0"/>
          <w:numId w:val="16"/>
        </w:numPr>
        <w:rPr>
          <w:color w:val="000000" w:themeColor="text1"/>
        </w:rPr>
      </w:pPr>
      <w:r w:rsidRPr="00650D10">
        <w:rPr>
          <w:color w:val="000000" w:themeColor="text1"/>
        </w:rPr>
        <w:t>BEC/FOR 100/6 2 BD = FP/SAL 250/25 2 BD = FP/SAL 500/50 BD = BUD/FOR 400/12 BD</w:t>
      </w:r>
      <w:r w:rsidR="006E220D">
        <w:rPr>
          <w:color w:val="000000" w:themeColor="text1"/>
        </w:rPr>
        <w:t>.</w:t>
      </w:r>
    </w:p>
    <w:p w14:paraId="12E9700C" w14:textId="423B2AC9" w:rsidR="006F666D" w:rsidRPr="002A5391" w:rsidRDefault="006F666D">
      <w:pPr>
        <w:pStyle w:val="3-BodyText"/>
        <w:rPr>
          <w:lang w:val="en-GB"/>
        </w:rPr>
      </w:pPr>
      <w:bookmarkStart w:id="49" w:name="_Ref99038894"/>
      <w:r w:rsidRPr="006F666D">
        <w:lastRenderedPageBreak/>
        <w:t>The PBAC noted the arguments provided in the PSCR and reiterated in the pre-PBAC response regarding comparable alternatives based on duration of treatment provided.</w:t>
      </w:r>
      <w:r>
        <w:t xml:space="preserve"> </w:t>
      </w:r>
      <w:proofErr w:type="gramStart"/>
      <w:r>
        <w:t>On the basis of</w:t>
      </w:r>
      <w:proofErr w:type="gramEnd"/>
      <w:r>
        <w:t xml:space="preserve"> its previous COPD recommendation outlined in paragraph </w:t>
      </w:r>
      <w:r>
        <w:fldChar w:fldCharType="begin"/>
      </w:r>
      <w:r>
        <w:instrText xml:space="preserve"> REF _Ref98430360 \r \h </w:instrText>
      </w:r>
      <w:r>
        <w:fldChar w:fldCharType="separate"/>
      </w:r>
      <w:r>
        <w:t>6.45</w:t>
      </w:r>
      <w:r>
        <w:fldChar w:fldCharType="end"/>
      </w:r>
      <w:r>
        <w:t xml:space="preserve">, the PBAC </w:t>
      </w:r>
      <w:r w:rsidR="00292344">
        <w:t>agreed with the ESC that BUD/FOR 400/12 was a reasonable alternative</w:t>
      </w:r>
      <w:r>
        <w:t xml:space="preserve"> irrespective of treatment duration per prescription.</w:t>
      </w:r>
      <w:bookmarkEnd w:id="49"/>
    </w:p>
    <w:p w14:paraId="6D81FD42" w14:textId="6A06B8DE" w:rsidR="00E374F0" w:rsidRPr="00A604AC" w:rsidRDefault="00E374F0" w:rsidP="00BE1B3B">
      <w:pPr>
        <w:pStyle w:val="Caption"/>
        <w:keepNext/>
        <w:spacing w:after="0"/>
        <w:ind w:left="720" w:hanging="720"/>
        <w:rPr>
          <w:rFonts w:ascii="Arial Narrow" w:hAnsi="Arial Narrow"/>
          <w:b w:val="0"/>
          <w:color w:val="000000" w:themeColor="text1"/>
          <w:sz w:val="20"/>
          <w:szCs w:val="20"/>
        </w:rPr>
      </w:pPr>
      <w:bookmarkStart w:id="50" w:name="_Ref92356095"/>
      <w:r w:rsidRPr="00A604AC">
        <w:rPr>
          <w:rFonts w:ascii="Arial Narrow" w:hAnsi="Arial Narrow"/>
          <w:color w:val="000000" w:themeColor="text1"/>
          <w:sz w:val="20"/>
          <w:szCs w:val="20"/>
        </w:rPr>
        <w:t xml:space="preserve">Table </w:t>
      </w:r>
      <w:r w:rsidRPr="00A604AC">
        <w:rPr>
          <w:rFonts w:ascii="Arial Narrow" w:hAnsi="Arial Narrow"/>
          <w:color w:val="000000" w:themeColor="text1"/>
          <w:sz w:val="20"/>
          <w:szCs w:val="20"/>
        </w:rPr>
        <w:fldChar w:fldCharType="begin"/>
      </w:r>
      <w:r w:rsidRPr="00A604AC">
        <w:rPr>
          <w:rFonts w:ascii="Arial Narrow" w:hAnsi="Arial Narrow"/>
          <w:color w:val="000000" w:themeColor="text1"/>
          <w:sz w:val="20"/>
          <w:szCs w:val="20"/>
        </w:rPr>
        <w:instrText xml:space="preserve"> SEQ Table \* ARABIC </w:instrText>
      </w:r>
      <w:r w:rsidRPr="00A604AC">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11</w:t>
      </w:r>
      <w:r w:rsidRPr="00A604AC">
        <w:rPr>
          <w:rFonts w:ascii="Arial Narrow" w:hAnsi="Arial Narrow"/>
          <w:color w:val="000000" w:themeColor="text1"/>
          <w:sz w:val="20"/>
          <w:szCs w:val="20"/>
        </w:rPr>
        <w:fldChar w:fldCharType="end"/>
      </w:r>
      <w:bookmarkEnd w:id="50"/>
      <w:r w:rsidRPr="00A604AC">
        <w:rPr>
          <w:rFonts w:ascii="Arial Narrow" w:hAnsi="Arial Narrow"/>
          <w:color w:val="000000" w:themeColor="text1"/>
          <w:sz w:val="20"/>
          <w:szCs w:val="20"/>
        </w:rPr>
        <w:t xml:space="preserve">: ICS/LABA inhalers </w:t>
      </w:r>
      <w:r w:rsidR="00E60532" w:rsidRPr="00906719">
        <w:rPr>
          <w:rFonts w:ascii="Arial Narrow" w:hAnsi="Arial Narrow"/>
          <w:color w:val="000000" w:themeColor="text1"/>
          <w:sz w:val="20"/>
          <w:szCs w:val="20"/>
        </w:rPr>
        <w:t>PBS-listed for COPD</w:t>
      </w:r>
    </w:p>
    <w:tbl>
      <w:tblPr>
        <w:tblStyle w:val="TableGrid"/>
        <w:tblW w:w="5000" w:type="pct"/>
        <w:tblLook w:val="04A0" w:firstRow="1" w:lastRow="0" w:firstColumn="1" w:lastColumn="0" w:noHBand="0" w:noVBand="1"/>
      </w:tblPr>
      <w:tblGrid>
        <w:gridCol w:w="1274"/>
        <w:gridCol w:w="1912"/>
        <w:gridCol w:w="3737"/>
        <w:gridCol w:w="1048"/>
        <w:gridCol w:w="1046"/>
      </w:tblGrid>
      <w:tr w:rsidR="00E374F0" w:rsidRPr="006A50B1" w14:paraId="0D932E54" w14:textId="77777777" w:rsidTr="00351F2F">
        <w:trPr>
          <w:tblHeader/>
        </w:trPr>
        <w:tc>
          <w:tcPr>
            <w:tcW w:w="686" w:type="pct"/>
          </w:tcPr>
          <w:p w14:paraId="2EDDBAF9" w14:textId="77777777" w:rsidR="00E374F0" w:rsidRPr="006A50B1" w:rsidRDefault="00E374F0" w:rsidP="00BE1B3B">
            <w:pPr>
              <w:pStyle w:val="3-BodyText"/>
              <w:keepNext/>
              <w:numPr>
                <w:ilvl w:val="0"/>
                <w:numId w:val="0"/>
              </w:numPr>
              <w:ind w:left="720" w:hanging="720"/>
              <w:rPr>
                <w:rFonts w:ascii="Arial Narrow" w:hAnsi="Arial Narrow"/>
                <w:b/>
                <w:iCs/>
                <w:color w:val="000000" w:themeColor="text1"/>
                <w:sz w:val="20"/>
                <w:szCs w:val="20"/>
              </w:rPr>
            </w:pPr>
            <w:r w:rsidRPr="006A50B1">
              <w:rPr>
                <w:rFonts w:ascii="Arial Narrow" w:hAnsi="Arial Narrow"/>
                <w:b/>
                <w:iCs/>
                <w:color w:val="000000" w:themeColor="text1"/>
                <w:sz w:val="20"/>
                <w:szCs w:val="20"/>
              </w:rPr>
              <w:t>PBS item</w:t>
            </w:r>
          </w:p>
        </w:tc>
        <w:tc>
          <w:tcPr>
            <w:tcW w:w="1066" w:type="pct"/>
          </w:tcPr>
          <w:p w14:paraId="0B5AAED0"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Brand name</w:t>
            </w:r>
          </w:p>
        </w:tc>
        <w:tc>
          <w:tcPr>
            <w:tcW w:w="2077" w:type="pct"/>
          </w:tcPr>
          <w:p w14:paraId="30F11890"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Strength &amp; Form</w:t>
            </w:r>
          </w:p>
        </w:tc>
        <w:tc>
          <w:tcPr>
            <w:tcW w:w="586" w:type="pct"/>
          </w:tcPr>
          <w:p w14:paraId="2C480C3A" w14:textId="77777777" w:rsidR="00E374F0" w:rsidRPr="006A50B1" w:rsidRDefault="00E374F0" w:rsidP="003C2442">
            <w:pPr>
              <w:pStyle w:val="3-BodyText"/>
              <w:keepNext/>
              <w:numPr>
                <w:ilvl w:val="0"/>
                <w:numId w:val="0"/>
              </w:numPr>
              <w:ind w:left="-18" w:firstLine="18"/>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AEMP per 30 days</w:t>
            </w:r>
          </w:p>
        </w:tc>
        <w:tc>
          <w:tcPr>
            <w:tcW w:w="585" w:type="pct"/>
          </w:tcPr>
          <w:p w14:paraId="6309E496" w14:textId="77777777" w:rsidR="00E374F0" w:rsidRPr="006A50B1" w:rsidRDefault="00E374F0" w:rsidP="003C2442">
            <w:pPr>
              <w:pStyle w:val="3-BodyText"/>
              <w:keepNext/>
              <w:numPr>
                <w:ilvl w:val="0"/>
                <w:numId w:val="0"/>
              </w:numPr>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DPMQ per 30 days</w:t>
            </w:r>
          </w:p>
        </w:tc>
      </w:tr>
      <w:tr w:rsidR="00E374F0" w:rsidRPr="006A50B1" w14:paraId="369C14E7" w14:textId="77777777" w:rsidTr="00351F2F">
        <w:tc>
          <w:tcPr>
            <w:tcW w:w="686" w:type="pct"/>
          </w:tcPr>
          <w:p w14:paraId="62650C34"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8519J</w:t>
            </w:r>
          </w:p>
        </w:tc>
        <w:tc>
          <w:tcPr>
            <w:tcW w:w="1066" w:type="pct"/>
          </w:tcPr>
          <w:p w14:paraId="59920FDD" w14:textId="77777777" w:rsidR="00E374F0" w:rsidRPr="006A50B1" w:rsidRDefault="00E374F0" w:rsidP="00160952">
            <w:pPr>
              <w:pStyle w:val="3-BodyText"/>
              <w:keepNext/>
              <w:numPr>
                <w:ilvl w:val="0"/>
                <w:numId w:val="0"/>
              </w:numPr>
              <w:ind w:firstLine="1"/>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Seretide 250/25; Cipla 250/25; </w:t>
            </w:r>
            <w:proofErr w:type="spellStart"/>
            <w:r w:rsidRPr="006A50B1">
              <w:rPr>
                <w:rFonts w:ascii="Arial Narrow" w:hAnsi="Arial Narrow" w:cs="Times New Roman"/>
                <w:iCs/>
                <w:color w:val="000000" w:themeColor="text1"/>
                <w:sz w:val="20"/>
                <w:szCs w:val="20"/>
              </w:rPr>
              <w:t>Pavtide</w:t>
            </w:r>
            <w:proofErr w:type="spellEnd"/>
            <w:r w:rsidRPr="006A50B1">
              <w:rPr>
                <w:rFonts w:ascii="Arial Narrow" w:hAnsi="Arial Narrow" w:cs="Times New Roman"/>
                <w:iCs/>
                <w:color w:val="000000" w:themeColor="text1"/>
                <w:sz w:val="20"/>
                <w:szCs w:val="20"/>
              </w:rPr>
              <w:t xml:space="preserve">; </w:t>
            </w:r>
            <w:proofErr w:type="spellStart"/>
            <w:r w:rsidRPr="006A50B1">
              <w:rPr>
                <w:rFonts w:ascii="Arial Narrow" w:hAnsi="Arial Narrow" w:cs="Times New Roman"/>
                <w:iCs/>
                <w:color w:val="000000" w:themeColor="text1"/>
                <w:sz w:val="20"/>
                <w:szCs w:val="20"/>
              </w:rPr>
              <w:t>SalplusF</w:t>
            </w:r>
            <w:proofErr w:type="spellEnd"/>
            <w:r w:rsidRPr="006A50B1">
              <w:rPr>
                <w:rFonts w:ascii="Arial Narrow" w:hAnsi="Arial Narrow" w:cs="Times New Roman"/>
                <w:iCs/>
                <w:color w:val="000000" w:themeColor="text1"/>
                <w:sz w:val="20"/>
                <w:szCs w:val="20"/>
              </w:rPr>
              <w:t xml:space="preserve"> Inhaler 250/25; </w:t>
            </w:r>
            <w:proofErr w:type="spellStart"/>
            <w:r w:rsidRPr="006A50B1">
              <w:rPr>
                <w:rFonts w:ascii="Arial Narrow" w:hAnsi="Arial Narrow" w:cs="Times New Roman"/>
                <w:iCs/>
                <w:color w:val="000000" w:themeColor="text1"/>
                <w:sz w:val="20"/>
                <w:szCs w:val="20"/>
              </w:rPr>
              <w:t>Seroflo</w:t>
            </w:r>
            <w:proofErr w:type="spellEnd"/>
            <w:r w:rsidRPr="006A50B1">
              <w:rPr>
                <w:rFonts w:ascii="Arial Narrow" w:hAnsi="Arial Narrow" w:cs="Times New Roman"/>
                <w:iCs/>
                <w:color w:val="000000" w:themeColor="text1"/>
                <w:sz w:val="20"/>
                <w:szCs w:val="20"/>
              </w:rPr>
              <w:t xml:space="preserve"> 250/25</w:t>
            </w:r>
          </w:p>
        </w:tc>
        <w:tc>
          <w:tcPr>
            <w:tcW w:w="2077" w:type="pct"/>
          </w:tcPr>
          <w:p w14:paraId="53777D7B" w14:textId="75C54A99" w:rsidR="00E374F0" w:rsidRPr="006A50B1" w:rsidRDefault="00E374F0" w:rsidP="00160952">
            <w:pPr>
              <w:pStyle w:val="3-BodyText"/>
              <w:keepN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fluticasone 250 µg/actuation + salmeterol </w:t>
            </w:r>
            <w:r w:rsidR="002070FC" w:rsidRPr="006A50B1">
              <w:rPr>
                <w:rFonts w:ascii="Arial Narrow" w:hAnsi="Arial Narrow" w:cs="Times New Roman"/>
                <w:iCs/>
                <w:color w:val="000000" w:themeColor="text1"/>
                <w:sz w:val="20"/>
                <w:szCs w:val="20"/>
              </w:rPr>
              <w:t>25</w:t>
            </w:r>
            <w:r w:rsidR="002070FC">
              <w:rPr>
                <w:rFonts w:ascii="Arial Narrow" w:hAnsi="Arial Narrow" w:cs="Times New Roman"/>
                <w:iCs/>
                <w:color w:val="000000" w:themeColor="text1"/>
                <w:sz w:val="20"/>
                <w:szCs w:val="20"/>
              </w:rPr>
              <w:t> </w:t>
            </w:r>
            <w:r w:rsidRPr="006A50B1">
              <w:rPr>
                <w:rFonts w:ascii="Arial Narrow" w:hAnsi="Arial Narrow" w:cs="Times New Roman"/>
                <w:iCs/>
                <w:color w:val="000000" w:themeColor="text1"/>
                <w:sz w:val="20"/>
                <w:szCs w:val="20"/>
              </w:rPr>
              <w:t xml:space="preserve">µg/actuation inhalation, </w:t>
            </w:r>
            <w:r w:rsidR="000C5B63" w:rsidRPr="006A50B1">
              <w:rPr>
                <w:rFonts w:ascii="Arial Narrow" w:hAnsi="Arial Narrow" w:cs="Times New Roman"/>
                <w:iCs/>
                <w:color w:val="000000" w:themeColor="text1"/>
                <w:sz w:val="20"/>
                <w:szCs w:val="20"/>
              </w:rPr>
              <w:t xml:space="preserve">two puffs twice a day, </w:t>
            </w:r>
            <w:r w:rsidRPr="006A50B1">
              <w:rPr>
                <w:rFonts w:ascii="Arial Narrow" w:hAnsi="Arial Narrow" w:cs="Times New Roman"/>
                <w:iCs/>
                <w:color w:val="000000" w:themeColor="text1"/>
                <w:sz w:val="20"/>
                <w:szCs w:val="20"/>
              </w:rPr>
              <w:t>120 actuations</w:t>
            </w:r>
          </w:p>
        </w:tc>
        <w:tc>
          <w:tcPr>
            <w:tcW w:w="586" w:type="pct"/>
          </w:tcPr>
          <w:p w14:paraId="2A15BC9D"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Cs/>
                <w:iCs/>
                <w:color w:val="000000" w:themeColor="text1"/>
                <w:sz w:val="20"/>
                <w:szCs w:val="20"/>
              </w:rPr>
              <w:t>$46.78</w:t>
            </w:r>
          </w:p>
        </w:tc>
        <w:tc>
          <w:tcPr>
            <w:tcW w:w="585" w:type="pct"/>
          </w:tcPr>
          <w:p w14:paraId="1EF1A037"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Cs/>
                <w:iCs/>
                <w:color w:val="000000" w:themeColor="text1"/>
                <w:sz w:val="20"/>
                <w:szCs w:val="20"/>
              </w:rPr>
              <w:t>$66.38</w:t>
            </w:r>
            <w:r w:rsidRPr="006A50B1">
              <w:rPr>
                <w:rFonts w:ascii="Arial Narrow" w:hAnsi="Arial Narrow" w:cs="Times New Roman"/>
                <w:iCs/>
                <w:color w:val="000000" w:themeColor="text1"/>
                <w:sz w:val="20"/>
                <w:szCs w:val="20"/>
                <w:vertAlign w:val="superscript"/>
              </w:rPr>
              <w:t xml:space="preserve"> a</w:t>
            </w:r>
          </w:p>
        </w:tc>
      </w:tr>
      <w:tr w:rsidR="00E374F0" w:rsidRPr="006A50B1" w14:paraId="3AC353C7" w14:textId="77777777" w:rsidTr="00351F2F">
        <w:tc>
          <w:tcPr>
            <w:tcW w:w="686" w:type="pct"/>
          </w:tcPr>
          <w:p w14:paraId="1CDAC13B"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8432T</w:t>
            </w:r>
          </w:p>
        </w:tc>
        <w:tc>
          <w:tcPr>
            <w:tcW w:w="1066" w:type="pct"/>
          </w:tcPr>
          <w:p w14:paraId="0F33A9B6" w14:textId="77777777" w:rsidR="00E374F0" w:rsidRPr="006A50B1" w:rsidRDefault="00E374F0" w:rsidP="00160952">
            <w:pPr>
              <w:pStyle w:val="3-BodyText"/>
              <w:keepNext/>
              <w:numPr>
                <w:ilvl w:val="0"/>
                <w:numId w:val="0"/>
              </w:numPr>
              <w:ind w:left="-18" w:firstLine="18"/>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Seretide </w:t>
            </w:r>
            <w:proofErr w:type="spellStart"/>
            <w:r w:rsidRPr="006A50B1">
              <w:rPr>
                <w:rFonts w:ascii="Arial Narrow" w:hAnsi="Arial Narrow" w:cs="Times New Roman"/>
                <w:iCs/>
                <w:color w:val="000000" w:themeColor="text1"/>
                <w:sz w:val="20"/>
                <w:szCs w:val="20"/>
              </w:rPr>
              <w:t>Accuhaler</w:t>
            </w:r>
            <w:proofErr w:type="spellEnd"/>
            <w:r w:rsidRPr="006A50B1">
              <w:rPr>
                <w:rFonts w:ascii="Arial Narrow" w:hAnsi="Arial Narrow" w:cs="Times New Roman"/>
                <w:iCs/>
                <w:color w:val="000000" w:themeColor="text1"/>
                <w:sz w:val="20"/>
                <w:szCs w:val="20"/>
              </w:rPr>
              <w:t xml:space="preserve"> 500/50; </w:t>
            </w:r>
            <w:proofErr w:type="spellStart"/>
            <w:r w:rsidRPr="006A50B1">
              <w:rPr>
                <w:rFonts w:ascii="Arial Narrow" w:hAnsi="Arial Narrow" w:cs="Times New Roman"/>
                <w:iCs/>
                <w:color w:val="000000" w:themeColor="text1"/>
                <w:sz w:val="20"/>
                <w:szCs w:val="20"/>
              </w:rPr>
              <w:t>Pavtide</w:t>
            </w:r>
            <w:proofErr w:type="spellEnd"/>
            <w:r w:rsidRPr="006A50B1">
              <w:rPr>
                <w:rFonts w:ascii="Arial Narrow" w:hAnsi="Arial Narrow" w:cs="Times New Roman"/>
                <w:iCs/>
                <w:color w:val="000000" w:themeColor="text1"/>
                <w:sz w:val="20"/>
                <w:szCs w:val="20"/>
              </w:rPr>
              <w:t xml:space="preserve"> </w:t>
            </w:r>
            <w:proofErr w:type="spellStart"/>
            <w:r w:rsidRPr="006A50B1">
              <w:rPr>
                <w:rFonts w:ascii="Arial Narrow" w:hAnsi="Arial Narrow" w:cs="Times New Roman"/>
                <w:iCs/>
                <w:color w:val="000000" w:themeColor="text1"/>
                <w:sz w:val="20"/>
                <w:szCs w:val="20"/>
              </w:rPr>
              <w:t>Accuhaler</w:t>
            </w:r>
            <w:proofErr w:type="spellEnd"/>
            <w:r w:rsidRPr="006A50B1">
              <w:rPr>
                <w:rFonts w:ascii="Arial Narrow" w:hAnsi="Arial Narrow" w:cs="Times New Roman"/>
                <w:iCs/>
                <w:color w:val="000000" w:themeColor="text1"/>
                <w:sz w:val="20"/>
                <w:szCs w:val="20"/>
              </w:rPr>
              <w:t xml:space="preserve"> 500/50</w:t>
            </w:r>
          </w:p>
        </w:tc>
        <w:tc>
          <w:tcPr>
            <w:tcW w:w="2077" w:type="pct"/>
          </w:tcPr>
          <w:p w14:paraId="4C026436" w14:textId="2CCBC931" w:rsidR="00E374F0" w:rsidRPr="006A50B1" w:rsidRDefault="00E374F0" w:rsidP="00160952">
            <w:pPr>
              <w:pStyle w:val="3-BodyText"/>
              <w:keepN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fluticasone 500 µg/actuation + salmeterol </w:t>
            </w:r>
            <w:r w:rsidR="002070FC" w:rsidRPr="006A50B1">
              <w:rPr>
                <w:rFonts w:ascii="Arial Narrow" w:hAnsi="Arial Narrow" w:cs="Times New Roman"/>
                <w:iCs/>
                <w:color w:val="000000" w:themeColor="text1"/>
                <w:sz w:val="20"/>
                <w:szCs w:val="20"/>
              </w:rPr>
              <w:t>50</w:t>
            </w:r>
            <w:r w:rsidR="002070FC">
              <w:rPr>
                <w:rFonts w:ascii="Arial Narrow" w:hAnsi="Arial Narrow" w:cs="Times New Roman"/>
                <w:iCs/>
                <w:color w:val="000000" w:themeColor="text1"/>
                <w:sz w:val="20"/>
                <w:szCs w:val="20"/>
              </w:rPr>
              <w:t> </w:t>
            </w:r>
            <w:r w:rsidRPr="006A50B1">
              <w:rPr>
                <w:rFonts w:ascii="Arial Narrow" w:hAnsi="Arial Narrow" w:cs="Times New Roman"/>
                <w:iCs/>
                <w:color w:val="000000" w:themeColor="text1"/>
                <w:sz w:val="20"/>
                <w:szCs w:val="20"/>
              </w:rPr>
              <w:t xml:space="preserve">µg/actuation powder for inhalation, </w:t>
            </w:r>
            <w:r w:rsidR="000C5B63" w:rsidRPr="006A50B1">
              <w:rPr>
                <w:rFonts w:ascii="Arial Narrow" w:hAnsi="Arial Narrow" w:cs="Times New Roman"/>
                <w:iCs/>
                <w:color w:val="000000" w:themeColor="text1"/>
                <w:sz w:val="20"/>
                <w:szCs w:val="20"/>
              </w:rPr>
              <w:t xml:space="preserve">one puff twice a day, </w:t>
            </w:r>
            <w:r w:rsidRPr="006A50B1">
              <w:rPr>
                <w:rFonts w:ascii="Arial Narrow" w:hAnsi="Arial Narrow" w:cs="Times New Roman"/>
                <w:iCs/>
                <w:color w:val="000000" w:themeColor="text1"/>
                <w:sz w:val="20"/>
                <w:szCs w:val="20"/>
              </w:rPr>
              <w:t>60 actuations</w:t>
            </w:r>
          </w:p>
        </w:tc>
        <w:tc>
          <w:tcPr>
            <w:tcW w:w="586" w:type="pct"/>
          </w:tcPr>
          <w:p w14:paraId="12CB5532"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Cs/>
                <w:iCs/>
                <w:color w:val="000000" w:themeColor="text1"/>
                <w:sz w:val="20"/>
                <w:szCs w:val="20"/>
              </w:rPr>
              <w:t>$46.78</w:t>
            </w:r>
          </w:p>
        </w:tc>
        <w:tc>
          <w:tcPr>
            <w:tcW w:w="585" w:type="pct"/>
          </w:tcPr>
          <w:p w14:paraId="1D901005"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Cs/>
                <w:iCs/>
                <w:color w:val="000000" w:themeColor="text1"/>
                <w:sz w:val="20"/>
                <w:szCs w:val="20"/>
              </w:rPr>
              <w:t>$62.38</w:t>
            </w:r>
          </w:p>
        </w:tc>
      </w:tr>
      <w:tr w:rsidR="00E374F0" w:rsidRPr="006A50B1" w14:paraId="1E5529E2" w14:textId="77777777" w:rsidTr="00351F2F">
        <w:tc>
          <w:tcPr>
            <w:tcW w:w="686" w:type="pct"/>
          </w:tcPr>
          <w:p w14:paraId="7271C977"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10018G</w:t>
            </w:r>
          </w:p>
        </w:tc>
        <w:tc>
          <w:tcPr>
            <w:tcW w:w="1066" w:type="pct"/>
          </w:tcPr>
          <w:p w14:paraId="124AC1B6" w14:textId="60F01354" w:rsidR="00E374F0" w:rsidRPr="006A50B1" w:rsidRDefault="00283E87" w:rsidP="00160952">
            <w:pPr>
              <w:keepNext/>
              <w:jc w:val="left"/>
              <w:rPr>
                <w:rFonts w:ascii="Arial Narrow" w:hAnsi="Arial Narrow" w:cs="Times New Roman"/>
                <w:iCs/>
                <w:color w:val="000000" w:themeColor="text1"/>
                <w:sz w:val="20"/>
                <w:szCs w:val="20"/>
              </w:rPr>
            </w:pPr>
            <w:r w:rsidRPr="006A50B1">
              <w:rPr>
                <w:rFonts w:ascii="Arial Narrow" w:hAnsi="Arial Narrow" w:cs="Times New Roman"/>
                <w:iCs/>
                <w:color w:val="000000" w:themeColor="text1"/>
                <w:sz w:val="20"/>
                <w:szCs w:val="20"/>
              </w:rPr>
              <w:t xml:space="preserve">Symbicort </w:t>
            </w:r>
            <w:proofErr w:type="spellStart"/>
            <w:r w:rsidRPr="006A50B1">
              <w:rPr>
                <w:rFonts w:ascii="Arial Narrow" w:hAnsi="Arial Narrow" w:cs="Times New Roman"/>
                <w:iCs/>
                <w:color w:val="000000" w:themeColor="text1"/>
                <w:sz w:val="20"/>
                <w:szCs w:val="20"/>
              </w:rPr>
              <w:t>Rapihaler</w:t>
            </w:r>
            <w:proofErr w:type="spellEnd"/>
            <w:r w:rsidRPr="006A50B1">
              <w:rPr>
                <w:rFonts w:ascii="Arial Narrow" w:hAnsi="Arial Narrow" w:cs="Times New Roman"/>
                <w:iCs/>
                <w:color w:val="000000" w:themeColor="text1"/>
                <w:sz w:val="20"/>
                <w:szCs w:val="20"/>
              </w:rPr>
              <w:t xml:space="preserve"> 200/6</w:t>
            </w:r>
          </w:p>
          <w:p w14:paraId="58F610BF" w14:textId="7DD49F4C" w:rsidR="00E374F0" w:rsidRPr="006A50B1" w:rsidRDefault="00E374F0" w:rsidP="00160952">
            <w:pPr>
              <w:pStyle w:val="3-BodyText"/>
              <w:keepNext/>
              <w:numPr>
                <w:ilvl w:val="0"/>
                <w:numId w:val="0"/>
              </w:numPr>
              <w:jc w:val="left"/>
              <w:rPr>
                <w:rFonts w:ascii="Arial Narrow" w:hAnsi="Arial Narrow"/>
                <w:iCs/>
                <w:color w:val="000000" w:themeColor="text1"/>
                <w:sz w:val="20"/>
                <w:szCs w:val="20"/>
              </w:rPr>
            </w:pPr>
          </w:p>
        </w:tc>
        <w:tc>
          <w:tcPr>
            <w:tcW w:w="2077" w:type="pct"/>
          </w:tcPr>
          <w:p w14:paraId="72ED60FA" w14:textId="5244F28A" w:rsidR="00E374F0" w:rsidRPr="006A50B1" w:rsidRDefault="00E374F0" w:rsidP="00160952">
            <w:pPr>
              <w:pStyle w:val="3-BodyText"/>
              <w:keepN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budesonide 200 µg/actuation + formoterol fumarate dihydrate 6 µg/actuation inhalation, </w:t>
            </w:r>
            <w:r w:rsidR="00592902" w:rsidRPr="006A50B1">
              <w:rPr>
                <w:rFonts w:ascii="Arial Narrow" w:hAnsi="Arial Narrow" w:cs="Times New Roman"/>
                <w:iCs/>
                <w:color w:val="000000" w:themeColor="text1"/>
                <w:sz w:val="20"/>
                <w:szCs w:val="20"/>
              </w:rPr>
              <w:t xml:space="preserve">two puffs twice a day, </w:t>
            </w:r>
            <w:r w:rsidRPr="006A50B1">
              <w:rPr>
                <w:rFonts w:ascii="Arial Narrow" w:hAnsi="Arial Narrow" w:cs="Times New Roman"/>
                <w:iCs/>
                <w:color w:val="000000" w:themeColor="text1"/>
                <w:sz w:val="20"/>
                <w:szCs w:val="20"/>
              </w:rPr>
              <w:t>120 actuations</w:t>
            </w:r>
            <w:r w:rsidR="00EA37E2" w:rsidRPr="006A50B1">
              <w:rPr>
                <w:rFonts w:ascii="Arial Narrow" w:hAnsi="Arial Narrow" w:cs="Times New Roman"/>
                <w:iCs/>
                <w:color w:val="000000" w:themeColor="text1"/>
                <w:sz w:val="20"/>
                <w:szCs w:val="20"/>
              </w:rPr>
              <w:t xml:space="preserve"> </w:t>
            </w:r>
          </w:p>
        </w:tc>
        <w:tc>
          <w:tcPr>
            <w:tcW w:w="586" w:type="pct"/>
          </w:tcPr>
          <w:p w14:paraId="17AE3EC0" w14:textId="143834FA"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$27.87</w:t>
            </w:r>
          </w:p>
        </w:tc>
        <w:tc>
          <w:tcPr>
            <w:tcW w:w="585" w:type="pct"/>
          </w:tcPr>
          <w:p w14:paraId="12A9FCD5" w14:textId="5F18F0D4"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$36.01</w:t>
            </w:r>
            <w:r w:rsidR="00592902" w:rsidRPr="006A50B1">
              <w:rPr>
                <w:rFonts w:ascii="Arial Narrow" w:hAnsi="Arial Narrow" w:cs="Times New Roman"/>
                <w:b/>
                <w:bCs/>
                <w:iCs/>
                <w:color w:val="000000" w:themeColor="text1"/>
                <w:sz w:val="20"/>
                <w:szCs w:val="20"/>
                <w:vertAlign w:val="superscript"/>
              </w:rPr>
              <w:t>b</w:t>
            </w:r>
          </w:p>
        </w:tc>
      </w:tr>
      <w:tr w:rsidR="00E374F0" w:rsidRPr="006A50B1" w14:paraId="5CAF659F" w14:textId="77777777" w:rsidTr="00351F2F">
        <w:tc>
          <w:tcPr>
            <w:tcW w:w="686" w:type="pct"/>
          </w:tcPr>
          <w:p w14:paraId="443486E9"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8750M</w:t>
            </w:r>
          </w:p>
        </w:tc>
        <w:tc>
          <w:tcPr>
            <w:tcW w:w="1066" w:type="pct"/>
          </w:tcPr>
          <w:p w14:paraId="2E28813F" w14:textId="77777777" w:rsidR="00E374F0" w:rsidRPr="006A50B1" w:rsidRDefault="00E374F0" w:rsidP="00160952">
            <w:pPr>
              <w:pStyle w:val="3-BodyText"/>
              <w:keepNext/>
              <w:numPr>
                <w:ilvl w:val="0"/>
                <w:numId w:val="0"/>
              </w:numPr>
              <w:ind w:left="-18" w:firstLine="18"/>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Symbicort </w:t>
            </w:r>
            <w:proofErr w:type="spellStart"/>
            <w:r w:rsidRPr="006A50B1">
              <w:rPr>
                <w:rFonts w:ascii="Arial Narrow" w:hAnsi="Arial Narrow" w:cs="Times New Roman"/>
                <w:iCs/>
                <w:color w:val="000000" w:themeColor="text1"/>
                <w:sz w:val="20"/>
                <w:szCs w:val="20"/>
              </w:rPr>
              <w:t>Turbuhaler</w:t>
            </w:r>
            <w:proofErr w:type="spellEnd"/>
            <w:r w:rsidRPr="006A50B1">
              <w:rPr>
                <w:rFonts w:ascii="Arial Narrow" w:hAnsi="Arial Narrow" w:cs="Times New Roman"/>
                <w:iCs/>
                <w:color w:val="000000" w:themeColor="text1"/>
                <w:sz w:val="20"/>
                <w:szCs w:val="20"/>
              </w:rPr>
              <w:t xml:space="preserve"> 400/12</w:t>
            </w:r>
          </w:p>
        </w:tc>
        <w:tc>
          <w:tcPr>
            <w:tcW w:w="2077" w:type="pct"/>
          </w:tcPr>
          <w:p w14:paraId="62F3173D" w14:textId="1D9D4097" w:rsidR="00E374F0" w:rsidRPr="006A50B1" w:rsidRDefault="00E374F0" w:rsidP="00160952">
            <w:pPr>
              <w:pStyle w:val="3-BodyText"/>
              <w:keepN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budesonide 400 µg/actuation + formoterol fumarate dihydrate 12 µg/actuation powder for inhalation, </w:t>
            </w:r>
            <w:r w:rsidR="00142E36" w:rsidRPr="006A50B1">
              <w:rPr>
                <w:rFonts w:ascii="Arial Narrow" w:hAnsi="Arial Narrow" w:cs="Times New Roman"/>
                <w:iCs/>
                <w:color w:val="000000" w:themeColor="text1"/>
                <w:sz w:val="20"/>
                <w:szCs w:val="20"/>
              </w:rPr>
              <w:t>one</w:t>
            </w:r>
            <w:r w:rsidR="00592902" w:rsidRPr="006A50B1">
              <w:rPr>
                <w:rFonts w:ascii="Arial Narrow" w:hAnsi="Arial Narrow" w:cs="Times New Roman"/>
                <w:iCs/>
                <w:color w:val="000000" w:themeColor="text1"/>
                <w:sz w:val="20"/>
                <w:szCs w:val="20"/>
              </w:rPr>
              <w:t xml:space="preserve"> puff twice a day, </w:t>
            </w:r>
            <w:r w:rsidRPr="006A50B1">
              <w:rPr>
                <w:rFonts w:ascii="Arial Narrow" w:hAnsi="Arial Narrow" w:cs="Times New Roman"/>
                <w:iCs/>
                <w:color w:val="000000" w:themeColor="text1"/>
                <w:sz w:val="20"/>
                <w:szCs w:val="20"/>
              </w:rPr>
              <w:t>2 x 60 actuations</w:t>
            </w:r>
          </w:p>
        </w:tc>
        <w:tc>
          <w:tcPr>
            <w:tcW w:w="586" w:type="pct"/>
          </w:tcPr>
          <w:p w14:paraId="22CF78B2"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$24.45</w:t>
            </w:r>
          </w:p>
        </w:tc>
        <w:tc>
          <w:tcPr>
            <w:tcW w:w="585" w:type="pct"/>
          </w:tcPr>
          <w:p w14:paraId="0C560FF8"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$32.33</w:t>
            </w:r>
          </w:p>
        </w:tc>
      </w:tr>
      <w:tr w:rsidR="00E374F0" w:rsidRPr="006A50B1" w14:paraId="780971E7" w14:textId="77777777" w:rsidTr="00351F2F">
        <w:tc>
          <w:tcPr>
            <w:tcW w:w="686" w:type="pct"/>
          </w:tcPr>
          <w:p w14:paraId="4FDA7E5F" w14:textId="77777777" w:rsidR="00E374F0" w:rsidRPr="006A50B1" w:rsidRDefault="00E374F0" w:rsidP="00BE1B3B">
            <w:pPr>
              <w:pStyle w:val="3-BodyText"/>
              <w:keepN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11301T</w:t>
            </w:r>
          </w:p>
        </w:tc>
        <w:tc>
          <w:tcPr>
            <w:tcW w:w="1066" w:type="pct"/>
          </w:tcPr>
          <w:p w14:paraId="0C2ED4C9" w14:textId="694CE578" w:rsidR="00E374F0" w:rsidRPr="006A50B1" w:rsidRDefault="00E374F0" w:rsidP="00160952">
            <w:pPr>
              <w:pStyle w:val="3-BodyText"/>
              <w:keepNext/>
              <w:numPr>
                <w:ilvl w:val="0"/>
                <w:numId w:val="0"/>
              </w:numPr>
              <w:ind w:left="-18" w:firstLine="18"/>
              <w:jc w:val="left"/>
              <w:rPr>
                <w:rFonts w:ascii="Arial Narrow" w:hAnsi="Arial Narrow"/>
                <w:iCs/>
                <w:color w:val="000000" w:themeColor="text1"/>
                <w:sz w:val="20"/>
                <w:szCs w:val="20"/>
              </w:rPr>
            </w:pPr>
            <w:proofErr w:type="spellStart"/>
            <w:r w:rsidRPr="006A50B1">
              <w:rPr>
                <w:rFonts w:ascii="Arial Narrow" w:hAnsi="Arial Narrow" w:cs="Times New Roman"/>
                <w:iCs/>
                <w:color w:val="000000" w:themeColor="text1"/>
                <w:sz w:val="20"/>
                <w:szCs w:val="20"/>
              </w:rPr>
              <w:t>DuoResp</w:t>
            </w:r>
            <w:proofErr w:type="spellEnd"/>
            <w:r w:rsidRPr="006A50B1">
              <w:rPr>
                <w:rFonts w:ascii="Arial Narrow" w:hAnsi="Arial Narrow" w:cs="Times New Roman"/>
                <w:iCs/>
                <w:color w:val="000000" w:themeColor="text1"/>
                <w:sz w:val="20"/>
                <w:szCs w:val="20"/>
              </w:rPr>
              <w:t xml:space="preserve"> </w:t>
            </w:r>
            <w:proofErr w:type="spellStart"/>
            <w:r w:rsidRPr="006A50B1">
              <w:rPr>
                <w:rFonts w:ascii="Arial Narrow" w:hAnsi="Arial Narrow" w:cs="Times New Roman"/>
                <w:iCs/>
                <w:color w:val="000000" w:themeColor="text1"/>
                <w:sz w:val="20"/>
                <w:szCs w:val="20"/>
              </w:rPr>
              <w:t>Spiromax</w:t>
            </w:r>
            <w:proofErr w:type="spellEnd"/>
            <w:r w:rsidRPr="006A50B1">
              <w:rPr>
                <w:rFonts w:ascii="Arial Narrow" w:hAnsi="Arial Narrow" w:cs="Times New Roman"/>
                <w:iCs/>
                <w:color w:val="000000" w:themeColor="text1"/>
                <w:sz w:val="20"/>
                <w:szCs w:val="20"/>
              </w:rPr>
              <w:t xml:space="preserve">; </w:t>
            </w:r>
            <w:proofErr w:type="spellStart"/>
            <w:r w:rsidRPr="006A50B1">
              <w:rPr>
                <w:rFonts w:ascii="Arial Narrow" w:hAnsi="Arial Narrow" w:cs="Times New Roman"/>
                <w:iCs/>
                <w:color w:val="000000" w:themeColor="text1"/>
                <w:sz w:val="20"/>
                <w:szCs w:val="20"/>
              </w:rPr>
              <w:t>BiResp</w:t>
            </w:r>
            <w:proofErr w:type="spellEnd"/>
            <w:r w:rsidRPr="006A50B1">
              <w:rPr>
                <w:rFonts w:ascii="Arial Narrow" w:hAnsi="Arial Narrow" w:cs="Times New Roman"/>
                <w:iCs/>
                <w:color w:val="000000" w:themeColor="text1"/>
                <w:sz w:val="20"/>
                <w:szCs w:val="20"/>
              </w:rPr>
              <w:t xml:space="preserve"> </w:t>
            </w:r>
            <w:proofErr w:type="spellStart"/>
            <w:r w:rsidRPr="006A50B1">
              <w:rPr>
                <w:rFonts w:ascii="Arial Narrow" w:hAnsi="Arial Narrow" w:cs="Times New Roman"/>
                <w:iCs/>
                <w:color w:val="000000" w:themeColor="text1"/>
                <w:sz w:val="20"/>
                <w:szCs w:val="20"/>
              </w:rPr>
              <w:t>Spiromax</w:t>
            </w:r>
            <w:proofErr w:type="spellEnd"/>
            <w:r w:rsidR="00B41DED">
              <w:rPr>
                <w:rFonts w:ascii="Arial Narrow" w:hAnsi="Arial Narrow" w:cs="Times New Roman"/>
                <w:iCs/>
                <w:color w:val="000000" w:themeColor="text1"/>
                <w:sz w:val="20"/>
                <w:szCs w:val="20"/>
              </w:rPr>
              <w:t xml:space="preserve"> 400/12</w:t>
            </w:r>
          </w:p>
        </w:tc>
        <w:tc>
          <w:tcPr>
            <w:tcW w:w="2077" w:type="pct"/>
          </w:tcPr>
          <w:p w14:paraId="7BA5E76D" w14:textId="7F63B0F6" w:rsidR="00E374F0" w:rsidRPr="006A50B1" w:rsidRDefault="00E374F0" w:rsidP="00160952">
            <w:pPr>
              <w:pStyle w:val="3-BodyText"/>
              <w:keepN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budesonide 400 µg/actuation + formoterol fumarate dihydrate 12 µg/actuation powder for inhalation, </w:t>
            </w:r>
            <w:r w:rsidR="00142E36" w:rsidRPr="006A50B1">
              <w:rPr>
                <w:rFonts w:ascii="Arial Narrow" w:hAnsi="Arial Narrow" w:cs="Times New Roman"/>
                <w:iCs/>
                <w:color w:val="000000" w:themeColor="text1"/>
                <w:sz w:val="20"/>
                <w:szCs w:val="20"/>
              </w:rPr>
              <w:t>one</w:t>
            </w:r>
            <w:r w:rsidR="00592902" w:rsidRPr="006A50B1">
              <w:rPr>
                <w:rFonts w:ascii="Arial Narrow" w:hAnsi="Arial Narrow" w:cs="Times New Roman"/>
                <w:iCs/>
                <w:color w:val="000000" w:themeColor="text1"/>
                <w:sz w:val="20"/>
                <w:szCs w:val="20"/>
              </w:rPr>
              <w:t xml:space="preserve"> puff twice a day, </w:t>
            </w:r>
            <w:r w:rsidRPr="006A50B1">
              <w:rPr>
                <w:rFonts w:ascii="Arial Narrow" w:hAnsi="Arial Narrow" w:cs="Times New Roman"/>
                <w:iCs/>
                <w:color w:val="000000" w:themeColor="text1"/>
                <w:sz w:val="20"/>
                <w:szCs w:val="20"/>
              </w:rPr>
              <w:t>2 x 60 actuations</w:t>
            </w:r>
          </w:p>
        </w:tc>
        <w:tc>
          <w:tcPr>
            <w:tcW w:w="586" w:type="pct"/>
          </w:tcPr>
          <w:p w14:paraId="26AC3A95"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$24.45</w:t>
            </w:r>
          </w:p>
        </w:tc>
        <w:tc>
          <w:tcPr>
            <w:tcW w:w="585" w:type="pct"/>
          </w:tcPr>
          <w:p w14:paraId="385034E1" w14:textId="77777777" w:rsidR="00E374F0" w:rsidRPr="006A50B1" w:rsidRDefault="00E374F0" w:rsidP="00390D87">
            <w:pPr>
              <w:pStyle w:val="3-BodyText"/>
              <w:keepN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$32.33</w:t>
            </w:r>
          </w:p>
        </w:tc>
      </w:tr>
      <w:tr w:rsidR="00E374F0" w:rsidRPr="006A50B1" w14:paraId="11D3D3A7" w14:textId="77777777" w:rsidTr="00351F2F">
        <w:tc>
          <w:tcPr>
            <w:tcW w:w="686" w:type="pct"/>
          </w:tcPr>
          <w:p w14:paraId="1D63A6C7" w14:textId="77777777" w:rsidR="00E374F0" w:rsidRPr="006A50B1" w:rsidRDefault="00E374F0" w:rsidP="00A7711D">
            <w:pPr>
              <w:pStyle w:val="3-BodyText"/>
              <w:numPr>
                <w:ilvl w:val="0"/>
                <w:numId w:val="0"/>
              </w:numPr>
              <w:ind w:left="720" w:hanging="720"/>
              <w:rPr>
                <w:rFonts w:ascii="Arial Narrow" w:hAnsi="Arial Narrow"/>
                <w:iCs/>
                <w:color w:val="000000" w:themeColor="text1"/>
                <w:sz w:val="20"/>
                <w:szCs w:val="20"/>
              </w:rPr>
            </w:pPr>
            <w:r w:rsidRPr="006A50B1">
              <w:rPr>
                <w:rFonts w:ascii="Arial Narrow" w:hAnsi="Arial Narrow"/>
                <w:iCs/>
                <w:color w:val="000000" w:themeColor="text1"/>
                <w:sz w:val="20"/>
                <w:szCs w:val="20"/>
              </w:rPr>
              <w:t>11124L</w:t>
            </w:r>
          </w:p>
        </w:tc>
        <w:tc>
          <w:tcPr>
            <w:tcW w:w="1066" w:type="pct"/>
          </w:tcPr>
          <w:p w14:paraId="1301DD83" w14:textId="77777777" w:rsidR="00E374F0" w:rsidRPr="006A50B1" w:rsidRDefault="00E374F0" w:rsidP="00160952">
            <w:pPr>
              <w:pStyle w:val="3-BodyText"/>
              <w:numPr>
                <w:ilvl w:val="0"/>
                <w:numId w:val="0"/>
              </w:numPr>
              <w:ind w:left="-18" w:firstLine="18"/>
              <w:jc w:val="left"/>
              <w:rPr>
                <w:rFonts w:ascii="Arial Narrow" w:hAnsi="Arial Narrow"/>
                <w:iCs/>
                <w:color w:val="000000" w:themeColor="text1"/>
                <w:sz w:val="20"/>
                <w:szCs w:val="20"/>
              </w:rPr>
            </w:pPr>
            <w:proofErr w:type="spellStart"/>
            <w:r w:rsidRPr="006A50B1">
              <w:rPr>
                <w:rFonts w:ascii="Arial Narrow" w:hAnsi="Arial Narrow" w:cs="Times New Roman"/>
                <w:iCs/>
                <w:color w:val="000000" w:themeColor="text1"/>
                <w:sz w:val="20"/>
                <w:szCs w:val="20"/>
              </w:rPr>
              <w:t>Breo</w:t>
            </w:r>
            <w:proofErr w:type="spellEnd"/>
            <w:r w:rsidRPr="006A50B1">
              <w:rPr>
                <w:rFonts w:ascii="Arial Narrow" w:hAnsi="Arial Narrow" w:cs="Times New Roman"/>
                <w:iCs/>
                <w:color w:val="000000" w:themeColor="text1"/>
                <w:sz w:val="20"/>
                <w:szCs w:val="20"/>
              </w:rPr>
              <w:t xml:space="preserve"> Ellipta 100/25</w:t>
            </w:r>
          </w:p>
        </w:tc>
        <w:tc>
          <w:tcPr>
            <w:tcW w:w="2077" w:type="pct"/>
          </w:tcPr>
          <w:p w14:paraId="499BAD6D" w14:textId="788C5E83" w:rsidR="00E374F0" w:rsidRPr="006A50B1" w:rsidRDefault="00E374F0" w:rsidP="00160952">
            <w:pPr>
              <w:pStyle w:val="3-BodyText"/>
              <w:numPr>
                <w:ilvl w:val="0"/>
                <w:numId w:val="0"/>
              </w:numPr>
              <w:ind w:left="72" w:hanging="72"/>
              <w:jc w:val="left"/>
              <w:rPr>
                <w:rFonts w:ascii="Arial Narrow" w:hAnsi="Arial Narrow"/>
                <w:iCs/>
                <w:color w:val="000000" w:themeColor="text1"/>
                <w:sz w:val="20"/>
                <w:szCs w:val="20"/>
              </w:rPr>
            </w:pPr>
            <w:r w:rsidRPr="006A50B1">
              <w:rPr>
                <w:rFonts w:ascii="Arial Narrow" w:hAnsi="Arial Narrow" w:cs="Times New Roman"/>
                <w:iCs/>
                <w:color w:val="000000" w:themeColor="text1"/>
                <w:sz w:val="20"/>
                <w:szCs w:val="20"/>
              </w:rPr>
              <w:t xml:space="preserve">fluticasone fumarate 100 µg/actuation + vilanterol 25 µg/actuation powder for inhalation, </w:t>
            </w:r>
            <w:r w:rsidR="00592902" w:rsidRPr="006A50B1">
              <w:rPr>
                <w:rFonts w:ascii="Arial Narrow" w:hAnsi="Arial Narrow" w:cs="Times New Roman"/>
                <w:iCs/>
                <w:color w:val="000000" w:themeColor="text1"/>
                <w:sz w:val="20"/>
                <w:szCs w:val="20"/>
              </w:rPr>
              <w:t xml:space="preserve">once </w:t>
            </w:r>
            <w:r w:rsidR="00142E36" w:rsidRPr="006A50B1">
              <w:rPr>
                <w:rFonts w:ascii="Arial Narrow" w:hAnsi="Arial Narrow" w:cs="Times New Roman"/>
                <w:iCs/>
                <w:color w:val="000000" w:themeColor="text1"/>
                <w:sz w:val="20"/>
                <w:szCs w:val="20"/>
              </w:rPr>
              <w:t xml:space="preserve">puff </w:t>
            </w:r>
            <w:r w:rsidR="00592902" w:rsidRPr="006A50B1">
              <w:rPr>
                <w:rFonts w:ascii="Arial Narrow" w:hAnsi="Arial Narrow" w:cs="Times New Roman"/>
                <w:iCs/>
                <w:color w:val="000000" w:themeColor="text1"/>
                <w:sz w:val="20"/>
                <w:szCs w:val="20"/>
              </w:rPr>
              <w:t xml:space="preserve">daily, </w:t>
            </w:r>
            <w:r w:rsidRPr="006A50B1">
              <w:rPr>
                <w:rFonts w:ascii="Arial Narrow" w:hAnsi="Arial Narrow" w:cs="Times New Roman"/>
                <w:iCs/>
                <w:color w:val="000000" w:themeColor="text1"/>
                <w:sz w:val="20"/>
                <w:szCs w:val="20"/>
              </w:rPr>
              <w:t>30 actuations</w:t>
            </w:r>
          </w:p>
        </w:tc>
        <w:tc>
          <w:tcPr>
            <w:tcW w:w="586" w:type="pct"/>
          </w:tcPr>
          <w:p w14:paraId="74590955" w14:textId="77777777" w:rsidR="00E374F0" w:rsidRPr="006A50B1" w:rsidRDefault="00E374F0" w:rsidP="00390D87">
            <w:pPr>
              <w:pStyle w:val="3-BodyT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$41.88</w:t>
            </w:r>
          </w:p>
        </w:tc>
        <w:tc>
          <w:tcPr>
            <w:tcW w:w="585" w:type="pct"/>
          </w:tcPr>
          <w:p w14:paraId="16C800CF" w14:textId="77777777" w:rsidR="00E374F0" w:rsidRPr="006A50B1" w:rsidRDefault="00E374F0" w:rsidP="00390D87">
            <w:pPr>
              <w:pStyle w:val="3-BodyText"/>
              <w:numPr>
                <w:ilvl w:val="0"/>
                <w:numId w:val="0"/>
              </w:numPr>
              <w:ind w:left="720" w:hanging="720"/>
              <w:jc w:val="right"/>
              <w:rPr>
                <w:rFonts w:ascii="Arial Narrow" w:hAnsi="Arial Narrow"/>
                <w:iCs/>
                <w:color w:val="000000" w:themeColor="text1"/>
                <w:sz w:val="20"/>
                <w:szCs w:val="20"/>
              </w:rPr>
            </w:pPr>
            <w:r w:rsidRPr="006A50B1">
              <w:rPr>
                <w:rFonts w:ascii="Arial Narrow" w:hAnsi="Arial Narrow" w:cs="Times New Roman"/>
                <w:b/>
                <w:bCs/>
                <w:iCs/>
                <w:color w:val="000000" w:themeColor="text1"/>
                <w:sz w:val="20"/>
                <w:szCs w:val="20"/>
              </w:rPr>
              <w:t>$57.11</w:t>
            </w:r>
          </w:p>
        </w:tc>
      </w:tr>
    </w:tbl>
    <w:p w14:paraId="61802E58" w14:textId="112C2105" w:rsidR="00E374F0" w:rsidRPr="00390D87" w:rsidRDefault="00E374F0" w:rsidP="00142E36">
      <w:pPr>
        <w:pStyle w:val="3-BodyText"/>
        <w:keepNext/>
        <w:numPr>
          <w:ilvl w:val="0"/>
          <w:numId w:val="0"/>
        </w:numPr>
        <w:spacing w:after="0"/>
        <w:ind w:left="90" w:hanging="90"/>
        <w:rPr>
          <w:rFonts w:ascii="Arial Narrow" w:hAnsi="Arial Narrow"/>
          <w:color w:val="000000" w:themeColor="text1"/>
          <w:sz w:val="18"/>
          <w:szCs w:val="18"/>
        </w:rPr>
      </w:pPr>
      <w:r w:rsidRPr="00390D87">
        <w:rPr>
          <w:rFonts w:ascii="Arial Narrow" w:hAnsi="Arial Narrow"/>
          <w:color w:val="000000" w:themeColor="text1"/>
          <w:sz w:val="18"/>
          <w:szCs w:val="18"/>
        </w:rPr>
        <w:t xml:space="preserve">  Sources: Constructed during the evaluation using Table 66 submission and PBS pricing calculator (as of 29 Nov 2021)</w:t>
      </w:r>
      <w:r w:rsidR="00142E36">
        <w:rPr>
          <w:rFonts w:ascii="Arial Narrow" w:hAnsi="Arial Narrow"/>
          <w:color w:val="000000" w:themeColor="text1"/>
          <w:sz w:val="18"/>
          <w:szCs w:val="18"/>
        </w:rPr>
        <w:t xml:space="preserve"> and TGA Product Information for each item. </w:t>
      </w:r>
      <w:r w:rsidRPr="00390D87">
        <w:rPr>
          <w:rFonts w:ascii="Arial Narrow" w:hAnsi="Arial Narrow"/>
          <w:color w:val="000000" w:themeColor="text1"/>
          <w:sz w:val="18"/>
          <w:szCs w:val="18"/>
        </w:rPr>
        <w:t>Ex-manufacturer price data: https://www.pbs.gov.au/info/industry/pricing/ex-manufacturer-price</w:t>
      </w:r>
    </w:p>
    <w:p w14:paraId="0D7EC7FA" w14:textId="77777777" w:rsidR="00E374F0" w:rsidRPr="00390D87" w:rsidRDefault="00E374F0" w:rsidP="00A7711D">
      <w:pPr>
        <w:pStyle w:val="3-BodyText"/>
        <w:keepNext/>
        <w:numPr>
          <w:ilvl w:val="0"/>
          <w:numId w:val="0"/>
        </w:numPr>
        <w:spacing w:after="0"/>
        <w:ind w:left="720" w:hanging="720"/>
        <w:rPr>
          <w:rFonts w:ascii="Arial Narrow" w:hAnsi="Arial Narrow"/>
          <w:color w:val="000000" w:themeColor="text1"/>
          <w:sz w:val="18"/>
          <w:szCs w:val="18"/>
        </w:rPr>
      </w:pPr>
      <w:r w:rsidRPr="00390D87">
        <w:rPr>
          <w:rFonts w:ascii="Arial Narrow" w:hAnsi="Arial Narrow"/>
          <w:color w:val="000000" w:themeColor="text1"/>
          <w:sz w:val="18"/>
          <w:szCs w:val="18"/>
        </w:rPr>
        <w:t xml:space="preserve">  Pharmaceutical Benefits Schedule Item Reports: Http://Medicarestatistics.Humanservices.Gov.Au/Statistics/Pbs_Item.Jsp</w:t>
      </w:r>
    </w:p>
    <w:p w14:paraId="53CA8BC6" w14:textId="77777777" w:rsidR="00E374F0" w:rsidRPr="00390D87" w:rsidRDefault="00E374F0" w:rsidP="00A7711D">
      <w:pPr>
        <w:pStyle w:val="3-BodyText"/>
        <w:keepNext/>
        <w:numPr>
          <w:ilvl w:val="0"/>
          <w:numId w:val="0"/>
        </w:numPr>
        <w:spacing w:after="0"/>
        <w:ind w:left="720" w:hanging="720"/>
        <w:rPr>
          <w:rFonts w:ascii="Arial Narrow" w:hAnsi="Arial Narrow"/>
          <w:color w:val="000000" w:themeColor="text1"/>
          <w:sz w:val="18"/>
          <w:szCs w:val="18"/>
        </w:rPr>
      </w:pPr>
      <w:r w:rsidRPr="00390D87">
        <w:rPr>
          <w:rFonts w:ascii="Arial Narrow" w:hAnsi="Arial Narrow"/>
          <w:color w:val="000000" w:themeColor="text1"/>
          <w:sz w:val="18"/>
          <w:szCs w:val="18"/>
        </w:rPr>
        <w:t xml:space="preserve">  </w:t>
      </w:r>
      <w:proofErr w:type="spellStart"/>
      <w:proofErr w:type="gramStart"/>
      <w:r w:rsidRPr="00390D87">
        <w:rPr>
          <w:rFonts w:ascii="Arial Narrow" w:hAnsi="Arial Narrow"/>
          <w:color w:val="000000" w:themeColor="text1"/>
          <w:sz w:val="18"/>
          <w:szCs w:val="18"/>
          <w:vertAlign w:val="superscript"/>
        </w:rPr>
        <w:t>a</w:t>
      </w:r>
      <w:proofErr w:type="spellEnd"/>
      <w:proofErr w:type="gramEnd"/>
      <w:r w:rsidRPr="00390D87">
        <w:rPr>
          <w:rFonts w:ascii="Arial Narrow" w:hAnsi="Arial Narrow"/>
          <w:color w:val="000000" w:themeColor="text1"/>
          <w:sz w:val="18"/>
          <w:szCs w:val="18"/>
          <w:vertAlign w:val="superscript"/>
        </w:rPr>
        <w:t xml:space="preserve"> </w:t>
      </w:r>
      <w:r w:rsidRPr="00390D87">
        <w:rPr>
          <w:rFonts w:ascii="Arial Narrow" w:hAnsi="Arial Narrow"/>
          <w:color w:val="000000" w:themeColor="text1"/>
          <w:sz w:val="18"/>
          <w:szCs w:val="18"/>
        </w:rPr>
        <w:t>Additional charge for this brand is $4 for Seretide 250/25 (https://www.pbs.gov.au/medicine/item/8519J)</w:t>
      </w:r>
    </w:p>
    <w:p w14:paraId="1C610F7C" w14:textId="580C20B2" w:rsidR="00E374F0" w:rsidRPr="00390D87" w:rsidRDefault="00E374F0" w:rsidP="00E60532">
      <w:pPr>
        <w:pStyle w:val="3-BodyText"/>
        <w:keepNext/>
        <w:numPr>
          <w:ilvl w:val="0"/>
          <w:numId w:val="0"/>
        </w:numPr>
        <w:spacing w:after="0"/>
        <w:jc w:val="left"/>
        <w:rPr>
          <w:rFonts w:ascii="Arial Narrow" w:hAnsi="Arial Narrow"/>
          <w:color w:val="000000" w:themeColor="text1"/>
          <w:sz w:val="18"/>
          <w:szCs w:val="18"/>
        </w:rPr>
      </w:pPr>
      <w:r w:rsidRPr="00390D87">
        <w:rPr>
          <w:rFonts w:ascii="Arial Narrow" w:hAnsi="Arial Narrow"/>
          <w:color w:val="000000" w:themeColor="text1"/>
          <w:sz w:val="18"/>
          <w:szCs w:val="18"/>
        </w:rPr>
        <w:t xml:space="preserve">  </w:t>
      </w:r>
      <w:r w:rsidRPr="00390D87">
        <w:rPr>
          <w:rFonts w:ascii="Arial Narrow" w:hAnsi="Arial Narrow"/>
          <w:color w:val="000000" w:themeColor="text1"/>
          <w:sz w:val="18"/>
          <w:szCs w:val="18"/>
          <w:vertAlign w:val="superscript"/>
        </w:rPr>
        <w:t>b</w:t>
      </w:r>
      <w:r w:rsidRPr="00390D87">
        <w:rPr>
          <w:rFonts w:ascii="Arial Narrow" w:hAnsi="Arial Narrow"/>
          <w:color w:val="000000" w:themeColor="text1"/>
          <w:sz w:val="18"/>
          <w:szCs w:val="18"/>
        </w:rPr>
        <w:t xml:space="preserve"> Estimated from total number of actuations divided by number of actuations per day.</w:t>
      </w:r>
      <w:r w:rsidR="00E60532">
        <w:rPr>
          <w:rFonts w:ascii="Arial Narrow" w:hAnsi="Arial Narrow"/>
          <w:color w:val="000000" w:themeColor="text1"/>
          <w:sz w:val="18"/>
          <w:szCs w:val="18"/>
        </w:rPr>
        <w:t xml:space="preserve"> Noting the maximum quantity is 2 but there is only </w:t>
      </w:r>
      <w:r w:rsidR="00142E36">
        <w:rPr>
          <w:rFonts w:ascii="Arial Narrow" w:hAnsi="Arial Narrow"/>
          <w:color w:val="000000" w:themeColor="text1"/>
          <w:sz w:val="18"/>
          <w:szCs w:val="18"/>
        </w:rPr>
        <w:t xml:space="preserve">  </w:t>
      </w:r>
      <w:r w:rsidR="00142E36">
        <w:rPr>
          <w:rFonts w:ascii="Arial Narrow" w:hAnsi="Arial Narrow"/>
          <w:color w:val="000000" w:themeColor="text1"/>
          <w:sz w:val="18"/>
          <w:szCs w:val="18"/>
        </w:rPr>
        <w:br/>
        <w:t xml:space="preserve">  </w:t>
      </w:r>
      <w:r w:rsidR="00E60532">
        <w:rPr>
          <w:rFonts w:ascii="Arial Narrow" w:hAnsi="Arial Narrow"/>
          <w:color w:val="000000" w:themeColor="text1"/>
          <w:sz w:val="18"/>
          <w:szCs w:val="18"/>
        </w:rPr>
        <w:t>1 in a pack.</w:t>
      </w:r>
    </w:p>
    <w:p w14:paraId="3FD6E2EA" w14:textId="4AD1C137" w:rsidR="00E374F0" w:rsidRPr="00C54E70" w:rsidRDefault="00E374F0" w:rsidP="00C54E70">
      <w:pPr>
        <w:pStyle w:val="3-BodyText"/>
        <w:keepNext/>
        <w:numPr>
          <w:ilvl w:val="0"/>
          <w:numId w:val="0"/>
        </w:numPr>
        <w:spacing w:after="0"/>
        <w:ind w:left="720" w:hanging="720"/>
        <w:rPr>
          <w:rFonts w:ascii="Arial Narrow" w:hAnsi="Arial Narrow"/>
          <w:color w:val="000000" w:themeColor="text1"/>
          <w:sz w:val="18"/>
          <w:szCs w:val="18"/>
        </w:rPr>
      </w:pPr>
      <w:r w:rsidRPr="00390D87">
        <w:rPr>
          <w:rFonts w:ascii="Arial Narrow" w:hAnsi="Arial Narrow"/>
          <w:color w:val="000000" w:themeColor="text1"/>
          <w:sz w:val="18"/>
          <w:szCs w:val="18"/>
        </w:rPr>
        <w:t xml:space="preserve">  Bold values indicate ICS/LABAs with AEMP per 30 days less than for BEC/FOR</w:t>
      </w:r>
      <w:r w:rsidR="0014608E">
        <w:rPr>
          <w:rFonts w:ascii="Arial Narrow" w:hAnsi="Arial Narrow"/>
          <w:color w:val="000000" w:themeColor="text1"/>
          <w:sz w:val="18"/>
          <w:szCs w:val="18"/>
        </w:rPr>
        <w:t>.</w:t>
      </w:r>
      <w:r w:rsidRPr="00390D87">
        <w:rPr>
          <w:rFonts w:ascii="Arial Narrow" w:hAnsi="Arial Narrow"/>
          <w:color w:val="000000" w:themeColor="text1"/>
          <w:sz w:val="18"/>
          <w:szCs w:val="18"/>
        </w:rPr>
        <w:t xml:space="preserve"> </w:t>
      </w:r>
    </w:p>
    <w:p w14:paraId="7B6CC44B" w14:textId="77777777" w:rsidR="00E374F0" w:rsidRPr="00390D87" w:rsidRDefault="00E374F0" w:rsidP="00A7711D">
      <w:pPr>
        <w:pStyle w:val="4-SubsectionHeading"/>
        <w:ind w:left="720" w:hanging="720"/>
        <w:rPr>
          <w:color w:val="000000" w:themeColor="text1"/>
        </w:rPr>
      </w:pPr>
      <w:bookmarkStart w:id="51" w:name="_Toc22897646"/>
      <w:bookmarkStart w:id="52" w:name="_Toc22898858"/>
      <w:bookmarkStart w:id="53" w:name="_Toc93506457"/>
      <w:r w:rsidRPr="00390D87">
        <w:rPr>
          <w:color w:val="000000" w:themeColor="text1"/>
        </w:rPr>
        <w:t>Drug cost/patient/course/year</w:t>
      </w:r>
      <w:bookmarkEnd w:id="51"/>
      <w:bookmarkEnd w:id="52"/>
      <w:bookmarkEnd w:id="53"/>
    </w:p>
    <w:p w14:paraId="16B36B02" w14:textId="5FF105FE" w:rsidR="00E374F0" w:rsidRPr="00390D87" w:rsidRDefault="00E374F0" w:rsidP="00A7711D">
      <w:pPr>
        <w:pStyle w:val="3-BodyText"/>
        <w:rPr>
          <w:rFonts w:cstheme="minorHAnsi"/>
          <w:i/>
          <w:iCs/>
          <w:color w:val="000000" w:themeColor="text1"/>
        </w:rPr>
      </w:pPr>
      <w:r w:rsidRPr="00390D87">
        <w:rPr>
          <w:color w:val="000000" w:themeColor="text1"/>
        </w:rPr>
        <w:t>The submission proposed an annual DPMQ of BEC/FOR of $</w:t>
      </w:r>
      <w:r w:rsidR="0078736D" w:rsidRPr="009A3986">
        <w:rPr>
          <w:color w:val="000000" w:themeColor="text1"/>
          <w:w w:val="60"/>
          <w:shd w:val="solid" w:color="000000" w:fill="000000"/>
          <w:fitText w:val="470" w:id="-1500861433"/>
          <w14:textFill>
            <w14:solidFill>
              <w14:schemeClr w14:val="tx1">
                <w14:alpha w14:val="100000"/>
              </w14:schemeClr>
            </w14:solidFill>
          </w14:textFill>
        </w:rPr>
        <w:t>||</w:t>
      </w:r>
      <w:proofErr w:type="gramStart"/>
      <w:r w:rsidR="0078736D" w:rsidRPr="009A3986">
        <w:rPr>
          <w:color w:val="000000" w:themeColor="text1"/>
          <w:w w:val="60"/>
          <w:shd w:val="solid" w:color="000000" w:fill="000000"/>
          <w:fitText w:val="470" w:id="-1500861433"/>
          <w14:textFill>
            <w14:solidFill>
              <w14:schemeClr w14:val="tx1">
                <w14:alpha w14:val="100000"/>
              </w14:schemeClr>
            </w14:solidFill>
          </w14:textFill>
        </w:rPr>
        <w:t>|  |</w:t>
      </w:r>
      <w:proofErr w:type="gramEnd"/>
      <w:r w:rsidR="0078736D" w:rsidRPr="009A3986">
        <w:rPr>
          <w:color w:val="000000" w:themeColor="text1"/>
          <w:w w:val="60"/>
          <w:shd w:val="solid" w:color="000000" w:fill="000000"/>
          <w:fitText w:val="470" w:id="-1500861433"/>
          <w14:textFill>
            <w14:solidFill>
              <w14:schemeClr w14:val="tx1">
                <w14:alpha w14:val="100000"/>
              </w14:schemeClr>
            </w14:solidFill>
          </w14:textFill>
        </w:rPr>
        <w:t>|</w:t>
      </w:r>
      <w:r w:rsidR="0078736D" w:rsidRPr="009A3986">
        <w:rPr>
          <w:color w:val="000000" w:themeColor="text1"/>
          <w:spacing w:val="6"/>
          <w:w w:val="60"/>
          <w:shd w:val="solid" w:color="000000" w:fill="000000"/>
          <w:fitText w:val="470" w:id="-1500861433"/>
          <w14:textFill>
            <w14:solidFill>
              <w14:schemeClr w14:val="tx1">
                <w14:alpha w14:val="100000"/>
              </w14:schemeClr>
            </w14:solidFill>
          </w14:textFill>
        </w:rPr>
        <w:t>|</w:t>
      </w:r>
      <w:r w:rsidRPr="00390D87">
        <w:rPr>
          <w:color w:val="000000" w:themeColor="text1"/>
        </w:rPr>
        <w:t xml:space="preserve">. This assumed </w:t>
      </w:r>
      <w:r w:rsidR="006228AF" w:rsidRPr="009A3986">
        <w:rPr>
          <w:color w:val="000000" w:themeColor="text1"/>
          <w:w w:val="53"/>
          <w:shd w:val="solid" w:color="000000" w:fill="000000"/>
          <w:fitText w:val="530" w:id="-1497651712"/>
          <w14:textFill>
            <w14:solidFill>
              <w14:schemeClr w14:val="tx1">
                <w14:alpha w14:val="100000"/>
              </w14:schemeClr>
            </w14:solidFill>
          </w14:textFill>
        </w:rPr>
        <w:t>|||</w:t>
      </w:r>
      <w:proofErr w:type="gramStart"/>
      <w:r w:rsidR="006228AF" w:rsidRPr="009A3986">
        <w:rPr>
          <w:color w:val="000000" w:themeColor="text1"/>
          <w:w w:val="53"/>
          <w:shd w:val="solid" w:color="000000" w:fill="000000"/>
          <w:fitText w:val="530" w:id="-1497651712"/>
          <w14:textFill>
            <w14:solidFill>
              <w14:schemeClr w14:val="tx1">
                <w14:alpha w14:val="100000"/>
              </w14:schemeClr>
            </w14:solidFill>
          </w14:textFill>
        </w:rPr>
        <w:t>|  |</w:t>
      </w:r>
      <w:proofErr w:type="gramEnd"/>
      <w:r w:rsidR="006228AF" w:rsidRPr="009A3986">
        <w:rPr>
          <w:color w:val="000000" w:themeColor="text1"/>
          <w:w w:val="53"/>
          <w:shd w:val="solid" w:color="000000" w:fill="000000"/>
          <w:fitText w:val="530" w:id="-1497651712"/>
          <w14:textFill>
            <w14:solidFill>
              <w14:schemeClr w14:val="tx1">
                <w14:alpha w14:val="100000"/>
              </w14:schemeClr>
            </w14:solidFill>
          </w14:textFill>
        </w:rPr>
        <w:t>|||</w:t>
      </w:r>
      <w:r w:rsidR="006228AF">
        <w:rPr>
          <w:color w:val="000000" w:themeColor="text1"/>
        </w:rPr>
        <w:t xml:space="preserve"> </w:t>
      </w:r>
      <w:r w:rsidRPr="00390D87">
        <w:rPr>
          <w:color w:val="000000" w:themeColor="text1"/>
        </w:rPr>
        <w:t xml:space="preserve">scripts per year at the requested DPMQ </w:t>
      </w:r>
      <w:r w:rsidRPr="00390D87">
        <w:rPr>
          <w:rFonts w:cstheme="minorHAnsi"/>
          <w:color w:val="000000" w:themeColor="text1"/>
        </w:rPr>
        <w:t>of $</w:t>
      </w:r>
      <w:r w:rsidR="0078736D" w:rsidRPr="009A3986">
        <w:rPr>
          <w:rFonts w:cstheme="minorHAnsi"/>
          <w:color w:val="000000" w:themeColor="text1"/>
          <w:w w:val="15"/>
          <w:shd w:val="solid" w:color="000000" w:fill="000000"/>
          <w:fitText w:val="-20" w:id="-1500861432"/>
          <w14:textFill>
            <w14:solidFill>
              <w14:schemeClr w14:val="tx1">
                <w14:alpha w14:val="100000"/>
              </w14:schemeClr>
            </w14:solidFill>
          </w14:textFill>
        </w:rPr>
        <w:t xml:space="preserve">|  </w:t>
      </w:r>
      <w:r w:rsidR="0078736D" w:rsidRPr="009A3986">
        <w:rPr>
          <w:rFonts w:cstheme="minorHAnsi"/>
          <w:color w:val="000000" w:themeColor="text1"/>
          <w:spacing w:val="-69"/>
          <w:w w:val="15"/>
          <w:shd w:val="solid" w:color="000000" w:fill="000000"/>
          <w:fitText w:val="-20" w:id="-1500861432"/>
          <w14:textFill>
            <w14:solidFill>
              <w14:schemeClr w14:val="tx1">
                <w14:alpha w14:val="100000"/>
              </w14:schemeClr>
            </w14:solidFill>
          </w14:textFill>
        </w:rPr>
        <w:t>|</w:t>
      </w:r>
      <w:r w:rsidRPr="00390D87">
        <w:rPr>
          <w:rFonts w:cstheme="minorHAnsi"/>
          <w:color w:val="000000" w:themeColor="text1"/>
        </w:rPr>
        <w:t>. The estimated annual DPMQ for the comparator FP/SAL, was also $</w:t>
      </w:r>
      <w:r w:rsidRPr="00F748DF">
        <w:rPr>
          <w:rFonts w:cstheme="minorHAnsi"/>
          <w:color w:val="000000" w:themeColor="text1"/>
        </w:rPr>
        <w:t xml:space="preserve">759.48 </w:t>
      </w:r>
      <w:r w:rsidRPr="00390D87">
        <w:rPr>
          <w:rFonts w:cstheme="minorHAnsi"/>
          <w:color w:val="000000" w:themeColor="text1"/>
        </w:rPr>
        <w:t>(</w:t>
      </w:r>
      <w:r w:rsidRPr="00390D87">
        <w:rPr>
          <w:rFonts w:cstheme="minorHAnsi"/>
          <w:color w:val="000000" w:themeColor="text1"/>
        </w:rPr>
        <w:fldChar w:fldCharType="begin"/>
      </w:r>
      <w:r w:rsidRPr="00390D87">
        <w:rPr>
          <w:rFonts w:cstheme="minorHAnsi"/>
          <w:color w:val="000000" w:themeColor="text1"/>
        </w:rPr>
        <w:instrText xml:space="preserve"> REF _Ref92358130 \h  \* MERGEFORMAT </w:instrText>
      </w:r>
      <w:r w:rsidRPr="00390D87">
        <w:rPr>
          <w:rFonts w:cstheme="minorHAnsi"/>
          <w:color w:val="000000" w:themeColor="text1"/>
        </w:rPr>
      </w:r>
      <w:r w:rsidRPr="00390D87">
        <w:rPr>
          <w:rFonts w:cstheme="minorHAnsi"/>
          <w:color w:val="000000" w:themeColor="text1"/>
        </w:rPr>
        <w:fldChar w:fldCharType="separate"/>
      </w:r>
      <w:r w:rsidR="00BA5BCE" w:rsidRPr="00BA5BCE">
        <w:rPr>
          <w:rFonts w:cstheme="minorHAnsi"/>
          <w:color w:val="000000" w:themeColor="text1"/>
        </w:rPr>
        <w:t xml:space="preserve">Table </w:t>
      </w:r>
      <w:r w:rsidR="00BA5BCE" w:rsidRPr="00BA5BCE">
        <w:rPr>
          <w:rFonts w:cstheme="minorHAnsi"/>
          <w:noProof/>
          <w:color w:val="000000" w:themeColor="text1"/>
        </w:rPr>
        <w:t>9</w:t>
      </w:r>
      <w:r w:rsidRPr="00390D87">
        <w:rPr>
          <w:rFonts w:cstheme="minorHAnsi"/>
          <w:color w:val="000000" w:themeColor="text1"/>
        </w:rPr>
        <w:fldChar w:fldCharType="end"/>
      </w:r>
      <w:r w:rsidRPr="00390D87">
        <w:rPr>
          <w:rFonts w:cstheme="minorHAnsi"/>
          <w:color w:val="000000" w:themeColor="text1"/>
        </w:rPr>
        <w:t>).</w:t>
      </w:r>
    </w:p>
    <w:p w14:paraId="7C1CE5A5" w14:textId="77777777" w:rsidR="00E374F0" w:rsidRPr="00390D87" w:rsidRDefault="00E374F0" w:rsidP="00A7711D">
      <w:pPr>
        <w:pStyle w:val="4-SubsectionHeading"/>
        <w:ind w:left="720" w:hanging="720"/>
        <w:rPr>
          <w:color w:val="000000" w:themeColor="text1"/>
        </w:rPr>
      </w:pPr>
      <w:bookmarkStart w:id="54" w:name="_Toc22897647"/>
      <w:bookmarkStart w:id="55" w:name="_Toc22898859"/>
      <w:bookmarkStart w:id="56" w:name="_Toc93506458"/>
      <w:r w:rsidRPr="00390D87">
        <w:rPr>
          <w:color w:val="000000" w:themeColor="text1"/>
        </w:rPr>
        <w:t>Estimated PBS usage &amp; financial implications</w:t>
      </w:r>
      <w:bookmarkEnd w:id="54"/>
      <w:bookmarkEnd w:id="55"/>
      <w:bookmarkEnd w:id="56"/>
    </w:p>
    <w:p w14:paraId="479B4C26" w14:textId="078FD7C6" w:rsidR="00522ECC" w:rsidRPr="00390D87" w:rsidRDefault="00E374F0" w:rsidP="000B730E">
      <w:pPr>
        <w:pStyle w:val="3-BodyText"/>
        <w:rPr>
          <w:color w:val="000000" w:themeColor="text1"/>
        </w:rPr>
      </w:pPr>
      <w:bookmarkStart w:id="57" w:name="_Hlk50110924"/>
      <w:r w:rsidRPr="00A604AC">
        <w:rPr>
          <w:color w:val="000000" w:themeColor="text1"/>
        </w:rPr>
        <w:t>This submission w</w:t>
      </w:r>
      <w:r w:rsidR="006A50B1">
        <w:rPr>
          <w:color w:val="000000" w:themeColor="text1"/>
        </w:rPr>
        <w:t xml:space="preserve">as </w:t>
      </w:r>
      <w:r w:rsidRPr="00A604AC">
        <w:rPr>
          <w:color w:val="000000" w:themeColor="text1"/>
        </w:rPr>
        <w:t>not considered by DUSC</w:t>
      </w:r>
      <w:bookmarkEnd w:id="57"/>
      <w:r w:rsidRPr="00A604AC">
        <w:rPr>
          <w:color w:val="000000" w:themeColor="text1"/>
        </w:rPr>
        <w:t xml:space="preserve">. The submission used a market share approach to estimate the utilisation and financial impacts associated with the PBS listing of BEC/FOR </w:t>
      </w:r>
      <w:proofErr w:type="spellStart"/>
      <w:r w:rsidRPr="00A604AC">
        <w:rPr>
          <w:color w:val="000000" w:themeColor="text1"/>
        </w:rPr>
        <w:t>for</w:t>
      </w:r>
      <w:proofErr w:type="spellEnd"/>
      <w:r w:rsidRPr="00A604AC">
        <w:rPr>
          <w:color w:val="000000" w:themeColor="text1"/>
        </w:rPr>
        <w:t xml:space="preserve"> COPD. </w:t>
      </w:r>
      <w:r w:rsidRPr="00F40DA1">
        <w:rPr>
          <w:iCs/>
          <w:color w:val="000000" w:themeColor="text1"/>
        </w:rPr>
        <w:t>T</w:t>
      </w:r>
      <w:r w:rsidR="00D10CC0">
        <w:rPr>
          <w:iCs/>
          <w:color w:val="000000" w:themeColor="text1"/>
        </w:rPr>
        <w:t>he evaluation considered t</w:t>
      </w:r>
      <w:r w:rsidRPr="00F40DA1">
        <w:rPr>
          <w:iCs/>
          <w:color w:val="000000" w:themeColor="text1"/>
        </w:rPr>
        <w:t xml:space="preserve">his </w:t>
      </w:r>
      <w:r w:rsidR="00CC0DC2" w:rsidRPr="00F40DA1">
        <w:rPr>
          <w:iCs/>
          <w:color w:val="000000" w:themeColor="text1"/>
        </w:rPr>
        <w:t>was</w:t>
      </w:r>
      <w:r w:rsidRPr="00F40DA1">
        <w:rPr>
          <w:iCs/>
          <w:color w:val="000000" w:themeColor="text1"/>
        </w:rPr>
        <w:t xml:space="preserve"> reasonable</w:t>
      </w:r>
      <w:r w:rsidRPr="00D10CC0">
        <w:rPr>
          <w:iCs/>
          <w:color w:val="000000" w:themeColor="text1"/>
        </w:rPr>
        <w:t>.</w:t>
      </w:r>
      <w:r w:rsidRPr="00A604AC">
        <w:rPr>
          <w:color w:val="000000" w:themeColor="text1"/>
        </w:rPr>
        <w:t xml:space="preserve"> Key inputs used in the financial estimates are presented in </w:t>
      </w:r>
      <w:r w:rsidR="003811C1">
        <w:rPr>
          <w:color w:val="000000" w:themeColor="text1"/>
        </w:rPr>
        <w:t>Table 12</w:t>
      </w:r>
      <w:r w:rsidRPr="00A604AC">
        <w:rPr>
          <w:color w:val="000000" w:themeColor="text1"/>
        </w:rPr>
        <w:t xml:space="preserve">. </w:t>
      </w:r>
    </w:p>
    <w:p w14:paraId="30BCC34D" w14:textId="2982A0EE" w:rsidR="00E374F0" w:rsidRPr="00A604AC" w:rsidRDefault="00E374F0" w:rsidP="000B730E">
      <w:pPr>
        <w:pStyle w:val="Caption"/>
        <w:keepNext/>
        <w:spacing w:after="0"/>
        <w:ind w:left="720" w:hanging="720"/>
        <w:rPr>
          <w:rStyle w:val="CommentReference"/>
          <w:b/>
          <w:color w:val="000000" w:themeColor="text1"/>
          <w:szCs w:val="20"/>
        </w:rPr>
      </w:pPr>
      <w:r w:rsidRPr="00A604AC">
        <w:rPr>
          <w:rFonts w:ascii="Arial Narrow" w:hAnsi="Arial Narrow"/>
          <w:color w:val="000000" w:themeColor="text1"/>
          <w:sz w:val="20"/>
          <w:szCs w:val="20"/>
        </w:rPr>
        <w:lastRenderedPageBreak/>
        <w:t xml:space="preserve">Table </w:t>
      </w:r>
      <w:r w:rsidRPr="00A604AC">
        <w:rPr>
          <w:rFonts w:ascii="Arial Narrow" w:hAnsi="Arial Narrow"/>
          <w:color w:val="000000" w:themeColor="text1"/>
          <w:sz w:val="20"/>
          <w:szCs w:val="20"/>
        </w:rPr>
        <w:fldChar w:fldCharType="begin"/>
      </w:r>
      <w:r w:rsidRPr="00A604AC">
        <w:rPr>
          <w:rFonts w:ascii="Arial Narrow" w:hAnsi="Arial Narrow"/>
          <w:color w:val="000000" w:themeColor="text1"/>
          <w:sz w:val="20"/>
          <w:szCs w:val="20"/>
        </w:rPr>
        <w:instrText xml:space="preserve"> SEQ Table \* ARABIC </w:instrText>
      </w:r>
      <w:r w:rsidRPr="00A604AC">
        <w:rPr>
          <w:rFonts w:ascii="Arial Narrow" w:hAnsi="Arial Narrow"/>
          <w:color w:val="000000" w:themeColor="text1"/>
          <w:sz w:val="20"/>
          <w:szCs w:val="20"/>
        </w:rPr>
        <w:fldChar w:fldCharType="separate"/>
      </w:r>
      <w:r w:rsidR="00FD0A77">
        <w:rPr>
          <w:rFonts w:ascii="Arial Narrow" w:hAnsi="Arial Narrow"/>
          <w:noProof/>
          <w:color w:val="000000" w:themeColor="text1"/>
          <w:sz w:val="20"/>
          <w:szCs w:val="20"/>
        </w:rPr>
        <w:t>12</w:t>
      </w:r>
      <w:r w:rsidRPr="00A604AC">
        <w:rPr>
          <w:rFonts w:ascii="Arial Narrow" w:hAnsi="Arial Narrow"/>
          <w:color w:val="000000" w:themeColor="text1"/>
          <w:sz w:val="20"/>
          <w:szCs w:val="20"/>
        </w:rPr>
        <w:fldChar w:fldCharType="end"/>
      </w:r>
      <w:r w:rsidRPr="00A604AC">
        <w:rPr>
          <w:rStyle w:val="CommentReference"/>
          <w:b/>
          <w:color w:val="000000" w:themeColor="text1"/>
          <w:szCs w:val="20"/>
        </w:rPr>
        <w:t>: Data sources and parameter values applied in the utilisation and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450"/>
        <w:gridCol w:w="2700"/>
        <w:gridCol w:w="1502"/>
        <w:gridCol w:w="3365"/>
      </w:tblGrid>
      <w:tr w:rsidR="004B7971" w:rsidRPr="00BD1F00" w14:paraId="56D2B383" w14:textId="77777777" w:rsidTr="0014608E">
        <w:trPr>
          <w:cantSplit/>
          <w:tblHeader/>
        </w:trPr>
        <w:tc>
          <w:tcPr>
            <w:tcW w:w="804" w:type="pct"/>
            <w:vAlign w:val="center"/>
          </w:tcPr>
          <w:p w14:paraId="02A235F9" w14:textId="77777777" w:rsidR="004B7971" w:rsidRPr="00390D87" w:rsidRDefault="004B7971" w:rsidP="00390D87">
            <w:pPr>
              <w:keepNext/>
              <w:jc w:val="center"/>
              <w:rPr>
                <w:rFonts w:ascii="Arial Narrow" w:eastAsia="MS Gothic" w:hAnsi="Arial Narrow" w:cs="Times New Roman"/>
                <w:b/>
                <w:color w:val="000000" w:themeColor="text1"/>
                <w:sz w:val="20"/>
                <w:lang w:val="en-US"/>
              </w:rPr>
            </w:pPr>
            <w:r w:rsidRPr="00390D87">
              <w:rPr>
                <w:rFonts w:ascii="Arial Narrow" w:eastAsia="MS Gothic" w:hAnsi="Arial Narrow" w:cs="Times New Roman"/>
                <w:b/>
                <w:color w:val="000000" w:themeColor="text1"/>
                <w:sz w:val="20"/>
                <w:lang w:val="en-US"/>
              </w:rPr>
              <w:t>Data</w:t>
            </w:r>
          </w:p>
        </w:tc>
        <w:tc>
          <w:tcPr>
            <w:tcW w:w="1497" w:type="pct"/>
            <w:vAlign w:val="center"/>
          </w:tcPr>
          <w:p w14:paraId="23FD38B9" w14:textId="77777777" w:rsidR="004B7971" w:rsidRPr="00390D87" w:rsidRDefault="004B7971" w:rsidP="00390D87">
            <w:pPr>
              <w:keepNext/>
              <w:jc w:val="center"/>
              <w:rPr>
                <w:rFonts w:ascii="Arial Narrow" w:eastAsia="MS Gothic" w:hAnsi="Arial Narrow" w:cs="Times New Roman"/>
                <w:b/>
                <w:color w:val="000000" w:themeColor="text1"/>
                <w:sz w:val="20"/>
                <w:lang w:val="en-US"/>
              </w:rPr>
            </w:pPr>
            <w:r w:rsidRPr="00390D87">
              <w:rPr>
                <w:rFonts w:ascii="Arial Narrow" w:eastAsia="MS Gothic" w:hAnsi="Arial Narrow" w:cs="Times New Roman"/>
                <w:b/>
                <w:color w:val="000000" w:themeColor="text1"/>
                <w:sz w:val="20"/>
                <w:lang w:val="en-US"/>
              </w:rPr>
              <w:t>Input</w:t>
            </w:r>
          </w:p>
        </w:tc>
        <w:tc>
          <w:tcPr>
            <w:tcW w:w="833" w:type="pct"/>
            <w:vAlign w:val="center"/>
          </w:tcPr>
          <w:p w14:paraId="4475CB94" w14:textId="77777777" w:rsidR="004B7971" w:rsidRPr="00390D87" w:rsidRDefault="004B7971" w:rsidP="00390D87">
            <w:pPr>
              <w:keepNext/>
              <w:jc w:val="center"/>
              <w:rPr>
                <w:rFonts w:ascii="Arial Narrow" w:eastAsia="MS Gothic" w:hAnsi="Arial Narrow" w:cs="Times New Roman"/>
                <w:b/>
                <w:color w:val="000000" w:themeColor="text1"/>
                <w:sz w:val="20"/>
                <w:lang w:val="en-US"/>
              </w:rPr>
            </w:pPr>
            <w:r w:rsidRPr="00390D87">
              <w:rPr>
                <w:rFonts w:ascii="Arial Narrow" w:eastAsia="MS Gothic" w:hAnsi="Arial Narrow" w:cs="Times New Roman"/>
                <w:b/>
                <w:color w:val="000000" w:themeColor="text1"/>
                <w:sz w:val="20"/>
                <w:lang w:val="en-US"/>
              </w:rPr>
              <w:t>Source</w:t>
            </w:r>
          </w:p>
        </w:tc>
        <w:tc>
          <w:tcPr>
            <w:tcW w:w="1865" w:type="pct"/>
            <w:vAlign w:val="center"/>
          </w:tcPr>
          <w:p w14:paraId="760FCA59" w14:textId="77777777" w:rsidR="004B7971" w:rsidRPr="006A50B1" w:rsidRDefault="004B7971" w:rsidP="00390D87">
            <w:pPr>
              <w:keepNext/>
              <w:jc w:val="center"/>
              <w:rPr>
                <w:rFonts w:ascii="Arial Narrow" w:eastAsia="MS Gothic" w:hAnsi="Arial Narrow" w:cs="Times New Roman"/>
                <w:b/>
                <w:color w:val="000000" w:themeColor="text1"/>
                <w:sz w:val="20"/>
                <w:lang w:val="en-US"/>
              </w:rPr>
            </w:pPr>
            <w:r w:rsidRPr="006A50B1">
              <w:rPr>
                <w:rFonts w:ascii="Arial Narrow" w:eastAsia="MS Gothic" w:hAnsi="Arial Narrow" w:cs="Times New Roman"/>
                <w:b/>
                <w:color w:val="000000" w:themeColor="text1"/>
                <w:sz w:val="20"/>
                <w:lang w:val="en-US"/>
              </w:rPr>
              <w:t>Comment</w:t>
            </w:r>
          </w:p>
        </w:tc>
      </w:tr>
      <w:tr w:rsidR="004B7971" w:rsidRPr="00BD1F00" w14:paraId="124DDEC5" w14:textId="77777777" w:rsidTr="0014608E">
        <w:trPr>
          <w:cantSplit/>
        </w:trPr>
        <w:tc>
          <w:tcPr>
            <w:tcW w:w="5000" w:type="pct"/>
            <w:gridSpan w:val="4"/>
            <w:vAlign w:val="center"/>
          </w:tcPr>
          <w:p w14:paraId="6C3D9A1B" w14:textId="77777777" w:rsidR="004B7971" w:rsidRPr="006A50B1" w:rsidRDefault="004B7971" w:rsidP="00390D87">
            <w:pPr>
              <w:keepNext/>
              <w:jc w:val="left"/>
              <w:rPr>
                <w:rFonts w:ascii="Arial Narrow" w:eastAsia="MS Gothic" w:hAnsi="Arial Narrow" w:cs="Times New Roman"/>
                <w:b/>
                <w:color w:val="000000" w:themeColor="text1"/>
                <w:sz w:val="20"/>
                <w:lang w:val="en-US"/>
              </w:rPr>
            </w:pPr>
            <w:r w:rsidRPr="006A50B1">
              <w:rPr>
                <w:rFonts w:ascii="Arial Narrow" w:eastAsia="MS Gothic" w:hAnsi="Arial Narrow" w:cs="Times New Roman"/>
                <w:b/>
                <w:color w:val="000000" w:themeColor="text1"/>
                <w:sz w:val="20"/>
                <w:lang w:val="en-US"/>
              </w:rPr>
              <w:t>Market size of BEC/FOR data</w:t>
            </w:r>
          </w:p>
        </w:tc>
      </w:tr>
      <w:tr w:rsidR="004B7971" w:rsidRPr="00BD1F00" w14:paraId="4A98F075" w14:textId="77777777" w:rsidTr="0014608E">
        <w:trPr>
          <w:cantSplit/>
        </w:trPr>
        <w:tc>
          <w:tcPr>
            <w:tcW w:w="804" w:type="pct"/>
          </w:tcPr>
          <w:p w14:paraId="5067E0D7"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ICS/LABA therapies indicated for COPD</w:t>
            </w:r>
          </w:p>
        </w:tc>
        <w:tc>
          <w:tcPr>
            <w:tcW w:w="1497" w:type="pct"/>
          </w:tcPr>
          <w:p w14:paraId="3C297791"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8519J – FP/SAL</w:t>
            </w:r>
          </w:p>
          <w:p w14:paraId="1DDCB8E4"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8432T – FP/SAL</w:t>
            </w:r>
          </w:p>
          <w:p w14:paraId="37ADB3AF"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10018G – BUD/FOR</w:t>
            </w:r>
          </w:p>
          <w:p w14:paraId="1DD30489"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8750M – BUD/FOR</w:t>
            </w:r>
          </w:p>
          <w:p w14:paraId="4361CBF1"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11301T – BUD/FOR</w:t>
            </w:r>
          </w:p>
          <w:p w14:paraId="19D9C408"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11124L – FF/VI</w:t>
            </w:r>
          </w:p>
        </w:tc>
        <w:tc>
          <w:tcPr>
            <w:tcW w:w="833" w:type="pct"/>
          </w:tcPr>
          <w:p w14:paraId="52421476" w14:textId="77777777" w:rsidR="004B7971" w:rsidRPr="00390D87" w:rsidRDefault="004B7971" w:rsidP="00390D87">
            <w:pPr>
              <w:keepNext/>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PBS Schedule</w:t>
            </w:r>
          </w:p>
        </w:tc>
        <w:tc>
          <w:tcPr>
            <w:tcW w:w="1865" w:type="pct"/>
          </w:tcPr>
          <w:p w14:paraId="4C17DD7D" w14:textId="77777777" w:rsidR="004B7971" w:rsidRPr="006A50B1" w:rsidRDefault="004B7971" w:rsidP="00390D87">
            <w:pPr>
              <w:keepNext/>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This is reasonable. These represent all the PBS-listed ICS/LABA treatments for COPD. </w:t>
            </w:r>
          </w:p>
        </w:tc>
      </w:tr>
      <w:tr w:rsidR="004B7971" w:rsidRPr="00BD1F00" w14:paraId="053A0B2D" w14:textId="77777777" w:rsidTr="0014608E">
        <w:trPr>
          <w:cantSplit/>
        </w:trPr>
        <w:tc>
          <w:tcPr>
            <w:tcW w:w="804" w:type="pct"/>
          </w:tcPr>
          <w:p w14:paraId="684D8F7E"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Total PBS+RPBS units dispensed</w:t>
            </w:r>
          </w:p>
          <w:p w14:paraId="0286D08F" w14:textId="42283535"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(COPD related services</w:t>
            </w:r>
            <w:r w:rsidR="00D938F4" w:rsidRPr="00390D87">
              <w:rPr>
                <w:rFonts w:ascii="Arial Narrow" w:eastAsia="MS Gothic" w:hAnsi="Arial Narrow" w:cs="Times New Roman"/>
                <w:bCs/>
                <w:color w:val="000000" w:themeColor="text1"/>
                <w:sz w:val="20"/>
              </w:rPr>
              <w:t xml:space="preserve"> only</w:t>
            </w:r>
            <w:r w:rsidRPr="00390D87">
              <w:rPr>
                <w:rFonts w:ascii="Arial Narrow" w:eastAsia="MS Gothic" w:hAnsi="Arial Narrow" w:cs="Times New Roman"/>
                <w:bCs/>
                <w:color w:val="000000" w:themeColor="text1"/>
                <w:sz w:val="20"/>
              </w:rPr>
              <w:t xml:space="preserve">) </w:t>
            </w:r>
          </w:p>
        </w:tc>
        <w:tc>
          <w:tcPr>
            <w:tcW w:w="1497" w:type="pct"/>
          </w:tcPr>
          <w:p w14:paraId="08FBB420"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8432T – 79,038</w:t>
            </w:r>
          </w:p>
          <w:p w14:paraId="3B39EF9E"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8519J – 258,060</w:t>
            </w:r>
          </w:p>
          <w:p w14:paraId="38AA4F84"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8750M – 83,904</w:t>
            </w:r>
          </w:p>
          <w:p w14:paraId="78B93E4F"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10018G – 96,515</w:t>
            </w:r>
          </w:p>
          <w:p w14:paraId="75986836"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11301T – 13,645</w:t>
            </w:r>
          </w:p>
          <w:p w14:paraId="72E2E835"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11124L – 73,965</w:t>
            </w:r>
          </w:p>
        </w:tc>
        <w:tc>
          <w:tcPr>
            <w:tcW w:w="833" w:type="pct"/>
          </w:tcPr>
          <w:p w14:paraId="05F33E8E"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Medicare Statistics PBS Item reports (2020)</w:t>
            </w:r>
          </w:p>
        </w:tc>
        <w:tc>
          <w:tcPr>
            <w:tcW w:w="1865" w:type="pct"/>
          </w:tcPr>
          <w:p w14:paraId="5FB38674" w14:textId="77777777"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This is reasonable. </w:t>
            </w:r>
          </w:p>
        </w:tc>
      </w:tr>
      <w:tr w:rsidR="004B7971" w:rsidRPr="00BD1F00" w14:paraId="1EF86750" w14:textId="77777777" w:rsidTr="0014608E">
        <w:trPr>
          <w:cantSplit/>
        </w:trPr>
        <w:tc>
          <w:tcPr>
            <w:tcW w:w="804" w:type="pct"/>
          </w:tcPr>
          <w:p w14:paraId="1ECB7A91"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Proportion of COPD scripts for ICS/LABA therapies</w:t>
            </w:r>
          </w:p>
        </w:tc>
        <w:tc>
          <w:tcPr>
            <w:tcW w:w="1497" w:type="pct"/>
          </w:tcPr>
          <w:p w14:paraId="7F29CF82"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8432T – 23.82%</w:t>
            </w:r>
          </w:p>
          <w:p w14:paraId="020AAF55"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8519J – 22.01%</w:t>
            </w:r>
          </w:p>
          <w:p w14:paraId="6EF50227"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8750M – 25.17%</w:t>
            </w:r>
          </w:p>
          <w:p w14:paraId="48608DCD"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10018G – 22.38%</w:t>
            </w:r>
          </w:p>
          <w:p w14:paraId="3B2CD727"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11301T – 28.45%</w:t>
            </w:r>
          </w:p>
          <w:p w14:paraId="4246B94D"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11124L – 23.57%</w:t>
            </w:r>
          </w:p>
        </w:tc>
        <w:tc>
          <w:tcPr>
            <w:tcW w:w="833" w:type="pct"/>
          </w:tcPr>
          <w:p w14:paraId="2E3F996A"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PBS 10% Medicare Sample Dataset (2018)</w:t>
            </w:r>
          </w:p>
        </w:tc>
        <w:tc>
          <w:tcPr>
            <w:tcW w:w="1865" w:type="pct"/>
          </w:tcPr>
          <w:p w14:paraId="03B0A1BF" w14:textId="77777777"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Unable to verify.  </w:t>
            </w:r>
          </w:p>
          <w:p w14:paraId="58ED3433" w14:textId="5078C51D" w:rsidR="00592902" w:rsidRPr="006A50B1" w:rsidRDefault="00592902" w:rsidP="00592902">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The method used </w:t>
            </w:r>
            <w:r w:rsidR="00251425" w:rsidRPr="006A50B1">
              <w:rPr>
                <w:rFonts w:ascii="Arial Narrow" w:eastAsia="MS Gothic" w:hAnsi="Arial Narrow" w:cs="Times New Roman"/>
                <w:bCs/>
                <w:color w:val="000000" w:themeColor="text1"/>
                <w:sz w:val="20"/>
              </w:rPr>
              <w:t xml:space="preserve">to estimate the indication split for ICS/LABA therapies (restricted for both asthma and COPD) is reasonable. </w:t>
            </w:r>
          </w:p>
        </w:tc>
      </w:tr>
      <w:tr w:rsidR="004B7971" w:rsidRPr="00BD1F00" w14:paraId="55CD4DDA" w14:textId="77777777" w:rsidTr="0014608E">
        <w:trPr>
          <w:cantSplit/>
        </w:trPr>
        <w:tc>
          <w:tcPr>
            <w:tcW w:w="804" w:type="pct"/>
          </w:tcPr>
          <w:p w14:paraId="3AA03949"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 xml:space="preserve">COPD market growth rate </w:t>
            </w:r>
          </w:p>
        </w:tc>
        <w:tc>
          <w:tcPr>
            <w:tcW w:w="1497" w:type="pct"/>
          </w:tcPr>
          <w:p w14:paraId="2FC27B77"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-9.41%</w:t>
            </w:r>
          </w:p>
        </w:tc>
        <w:tc>
          <w:tcPr>
            <w:tcW w:w="833" w:type="pct"/>
          </w:tcPr>
          <w:p w14:paraId="530744D1"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PBS 10% Medicare Sample Dataset (2015 to 2020)</w:t>
            </w:r>
          </w:p>
        </w:tc>
        <w:tc>
          <w:tcPr>
            <w:tcW w:w="1865" w:type="pct"/>
            <w:vAlign w:val="center"/>
          </w:tcPr>
          <w:p w14:paraId="58E7F5CB" w14:textId="77777777"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This approach is reasonable. However, the </w:t>
            </w:r>
            <w:proofErr w:type="gramStart"/>
            <w:r w:rsidRPr="006A50B1">
              <w:rPr>
                <w:rFonts w:ascii="Arial Narrow" w:eastAsia="MS Gothic" w:hAnsi="Arial Narrow" w:cs="Times New Roman"/>
                <w:bCs/>
                <w:color w:val="000000" w:themeColor="text1"/>
                <w:sz w:val="20"/>
              </w:rPr>
              <w:t>3 year</w:t>
            </w:r>
            <w:proofErr w:type="gramEnd"/>
            <w:r w:rsidRPr="006A50B1">
              <w:rPr>
                <w:rFonts w:ascii="Arial Narrow" w:eastAsia="MS Gothic" w:hAnsi="Arial Narrow" w:cs="Times New Roman"/>
                <w:bCs/>
                <w:color w:val="000000" w:themeColor="text1"/>
                <w:sz w:val="20"/>
              </w:rPr>
              <w:t xml:space="preserve"> (more recent) growth rate of COPD market was -11.72% (calculated using the same data during evaluation).  </w:t>
            </w:r>
          </w:p>
        </w:tc>
      </w:tr>
      <w:tr w:rsidR="004B7971" w:rsidRPr="00BD1F00" w14:paraId="6BFE1145" w14:textId="77777777" w:rsidTr="0014608E">
        <w:trPr>
          <w:cantSplit/>
        </w:trPr>
        <w:tc>
          <w:tcPr>
            <w:tcW w:w="804" w:type="pct"/>
          </w:tcPr>
          <w:p w14:paraId="40308D9F"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BEC/FOR annual rate of displacement (2022 – 2027)</w:t>
            </w:r>
          </w:p>
        </w:tc>
        <w:tc>
          <w:tcPr>
            <w:tcW w:w="1497" w:type="pct"/>
          </w:tcPr>
          <w:p w14:paraId="21B5D60B"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8519J – 5-20%</w:t>
            </w:r>
          </w:p>
          <w:p w14:paraId="57E13032"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8432T – 5-20%</w:t>
            </w:r>
          </w:p>
          <w:p w14:paraId="7502E3F3"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10018G – 1-2%</w:t>
            </w:r>
          </w:p>
          <w:p w14:paraId="0AEFCFCD"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8750M – 1-2%</w:t>
            </w:r>
          </w:p>
          <w:p w14:paraId="2D039BF4"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11301T – 1-2%</w:t>
            </w:r>
          </w:p>
          <w:p w14:paraId="7E82A71E"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11124L – 1-2%</w:t>
            </w:r>
          </w:p>
        </w:tc>
        <w:tc>
          <w:tcPr>
            <w:tcW w:w="833" w:type="pct"/>
          </w:tcPr>
          <w:p w14:paraId="7552350A" w14:textId="77777777" w:rsidR="004B7971" w:rsidRPr="00390D87" w:rsidRDefault="004B7971" w:rsidP="00420770">
            <w:pPr>
              <w:jc w:val="left"/>
              <w:rPr>
                <w:rFonts w:ascii="Arial Narrow" w:eastAsia="MS Gothic" w:hAnsi="Arial Narrow" w:cs="Times New Roman"/>
                <w:bCs/>
                <w:color w:val="000000" w:themeColor="text1"/>
                <w:sz w:val="20"/>
              </w:rPr>
            </w:pPr>
            <w:r w:rsidRPr="00390D87">
              <w:rPr>
                <w:rFonts w:ascii="Arial Narrow" w:eastAsia="MS Gothic" w:hAnsi="Arial Narrow" w:cs="Times New Roman"/>
                <w:bCs/>
                <w:color w:val="000000" w:themeColor="text1"/>
                <w:sz w:val="20"/>
              </w:rPr>
              <w:t>Assumed</w:t>
            </w:r>
          </w:p>
        </w:tc>
        <w:tc>
          <w:tcPr>
            <w:tcW w:w="1865" w:type="pct"/>
            <w:vAlign w:val="center"/>
          </w:tcPr>
          <w:p w14:paraId="6DC9A64F" w14:textId="3C12B24A"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This is uncertain. The submission did not present a rationale for these displacement rates. </w:t>
            </w:r>
          </w:p>
        </w:tc>
      </w:tr>
      <w:tr w:rsidR="004B7971" w:rsidRPr="00BD1F00" w14:paraId="280470F2" w14:textId="77777777" w:rsidTr="0014608E">
        <w:trPr>
          <w:cantSplit/>
        </w:trPr>
        <w:tc>
          <w:tcPr>
            <w:tcW w:w="804" w:type="pct"/>
          </w:tcPr>
          <w:p w14:paraId="0CE9658D"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daily dosage</w:t>
            </w:r>
          </w:p>
        </w:tc>
        <w:tc>
          <w:tcPr>
            <w:tcW w:w="1497" w:type="pct"/>
          </w:tcPr>
          <w:p w14:paraId="70E991D6"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 xml:space="preserve">2 inhalations </w:t>
            </w:r>
            <w:proofErr w:type="gramStart"/>
            <w:r w:rsidRPr="0062263F">
              <w:rPr>
                <w:rFonts w:ascii="Arial Narrow" w:eastAsia="MS Gothic" w:hAnsi="Arial Narrow" w:cs="Times New Roman"/>
                <w:bCs/>
                <w:color w:val="000000" w:themeColor="text1"/>
                <w:sz w:val="20"/>
              </w:rPr>
              <w:t>twice-daily</w:t>
            </w:r>
            <w:proofErr w:type="gramEnd"/>
            <w:r w:rsidRPr="0062263F">
              <w:rPr>
                <w:rFonts w:ascii="Arial Narrow" w:eastAsia="MS Gothic" w:hAnsi="Arial Narrow" w:cs="Times New Roman"/>
                <w:bCs/>
                <w:color w:val="000000" w:themeColor="text1"/>
                <w:sz w:val="20"/>
              </w:rPr>
              <w:t>; 4 actuations total</w:t>
            </w:r>
          </w:p>
        </w:tc>
        <w:tc>
          <w:tcPr>
            <w:tcW w:w="833" w:type="pct"/>
          </w:tcPr>
          <w:p w14:paraId="4B8CA0BF"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PI</w:t>
            </w:r>
          </w:p>
        </w:tc>
        <w:tc>
          <w:tcPr>
            <w:tcW w:w="1865" w:type="pct"/>
          </w:tcPr>
          <w:p w14:paraId="6CFFAFB4" w14:textId="77777777"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This is reasonable. Consistent with pivotal trials and PI.</w:t>
            </w:r>
          </w:p>
        </w:tc>
      </w:tr>
      <w:tr w:rsidR="004B7971" w:rsidRPr="00BD1F00" w14:paraId="19FCFBFD" w14:textId="77777777" w:rsidTr="0014608E">
        <w:trPr>
          <w:cantSplit/>
        </w:trPr>
        <w:tc>
          <w:tcPr>
            <w:tcW w:w="804" w:type="pct"/>
          </w:tcPr>
          <w:p w14:paraId="4D6DC4C3"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actuations per inhaler</w:t>
            </w:r>
          </w:p>
        </w:tc>
        <w:tc>
          <w:tcPr>
            <w:tcW w:w="1497" w:type="pct"/>
          </w:tcPr>
          <w:p w14:paraId="0722464F"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120</w:t>
            </w:r>
          </w:p>
        </w:tc>
        <w:tc>
          <w:tcPr>
            <w:tcW w:w="833" w:type="pct"/>
          </w:tcPr>
          <w:p w14:paraId="48EFF387"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PI</w:t>
            </w:r>
          </w:p>
        </w:tc>
        <w:tc>
          <w:tcPr>
            <w:tcW w:w="1865" w:type="pct"/>
          </w:tcPr>
          <w:p w14:paraId="385E700A" w14:textId="67579A33" w:rsidR="004B7971" w:rsidRPr="006A50B1" w:rsidRDefault="00AC41C2" w:rsidP="00AC41C2">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This is reasonable</w:t>
            </w:r>
            <w:r w:rsidR="004B7971" w:rsidRPr="006A50B1">
              <w:rPr>
                <w:rFonts w:ascii="Arial Narrow" w:eastAsia="MS Gothic" w:hAnsi="Arial Narrow" w:cs="Times New Roman"/>
                <w:bCs/>
                <w:color w:val="000000" w:themeColor="text1"/>
                <w:sz w:val="20"/>
              </w:rPr>
              <w:t>. Consistent with pivotal trials and PI.</w:t>
            </w:r>
          </w:p>
        </w:tc>
      </w:tr>
      <w:tr w:rsidR="004B7971" w:rsidRPr="00BD1F00" w14:paraId="00E98ADE" w14:textId="77777777" w:rsidTr="0014608E">
        <w:trPr>
          <w:cantSplit/>
        </w:trPr>
        <w:tc>
          <w:tcPr>
            <w:tcW w:w="804" w:type="pct"/>
          </w:tcPr>
          <w:p w14:paraId="195BCFE9"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days per pack</w:t>
            </w:r>
          </w:p>
        </w:tc>
        <w:tc>
          <w:tcPr>
            <w:tcW w:w="1497" w:type="pct"/>
          </w:tcPr>
          <w:p w14:paraId="7243DD8E"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30</w:t>
            </w:r>
          </w:p>
        </w:tc>
        <w:tc>
          <w:tcPr>
            <w:tcW w:w="833" w:type="pct"/>
          </w:tcPr>
          <w:p w14:paraId="30978E77"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PI</w:t>
            </w:r>
          </w:p>
        </w:tc>
        <w:tc>
          <w:tcPr>
            <w:tcW w:w="1865" w:type="pct"/>
          </w:tcPr>
          <w:p w14:paraId="41414B10" w14:textId="36B14A2B" w:rsidR="004B7971" w:rsidRPr="006A50B1" w:rsidRDefault="00AC41C2"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This is reasonable</w:t>
            </w:r>
            <w:r w:rsidR="004B7971" w:rsidRPr="006A50B1">
              <w:rPr>
                <w:rFonts w:ascii="Arial Narrow" w:eastAsia="MS Gothic" w:hAnsi="Arial Narrow" w:cs="Times New Roman"/>
                <w:bCs/>
                <w:color w:val="000000" w:themeColor="text1"/>
                <w:sz w:val="20"/>
              </w:rPr>
              <w:t>. Consistent with PI.</w:t>
            </w:r>
          </w:p>
        </w:tc>
      </w:tr>
      <w:tr w:rsidR="004B7971" w:rsidRPr="00BD1F00" w14:paraId="1A233DA2" w14:textId="77777777" w:rsidTr="0014608E">
        <w:trPr>
          <w:cantSplit/>
        </w:trPr>
        <w:tc>
          <w:tcPr>
            <w:tcW w:w="804" w:type="pct"/>
            <w:vAlign w:val="center"/>
          </w:tcPr>
          <w:p w14:paraId="1A812943" w14:textId="31FD351F" w:rsidR="004B7971" w:rsidRPr="0062263F" w:rsidRDefault="004B7971" w:rsidP="0013384A">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w:t>
            </w:r>
            <w:r w:rsidR="0013384A">
              <w:rPr>
                <w:rFonts w:ascii="Arial Narrow" w:eastAsia="MS Gothic" w:hAnsi="Arial Narrow" w:cs="Times New Roman"/>
                <w:bCs/>
                <w:color w:val="000000" w:themeColor="text1"/>
                <w:sz w:val="20"/>
              </w:rPr>
              <w:t>C/FOR unit equivalence against alternative</w:t>
            </w:r>
            <w:r w:rsidRPr="0062263F">
              <w:rPr>
                <w:rFonts w:ascii="Arial Narrow" w:eastAsia="MS Gothic" w:hAnsi="Arial Narrow" w:cs="Times New Roman"/>
                <w:bCs/>
                <w:color w:val="000000" w:themeColor="text1"/>
                <w:sz w:val="20"/>
              </w:rPr>
              <w:t>s</w:t>
            </w:r>
          </w:p>
        </w:tc>
        <w:tc>
          <w:tcPr>
            <w:tcW w:w="1497" w:type="pct"/>
          </w:tcPr>
          <w:p w14:paraId="6818B52C"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 1</w:t>
            </w:r>
          </w:p>
          <w:p w14:paraId="16EB496B"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8519J - 1</w:t>
            </w:r>
          </w:p>
          <w:p w14:paraId="5B6C435E"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8432T - 1</w:t>
            </w:r>
          </w:p>
          <w:p w14:paraId="63616183" w14:textId="57758EED"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 xml:space="preserve">10018G – </w:t>
            </w:r>
            <w:r w:rsidR="0033178F" w:rsidRPr="0062263F">
              <w:rPr>
                <w:rFonts w:ascii="Arial Narrow" w:eastAsia="MS Gothic" w:hAnsi="Arial Narrow" w:cs="Times New Roman"/>
                <w:bCs/>
                <w:color w:val="000000" w:themeColor="text1"/>
                <w:sz w:val="20"/>
              </w:rPr>
              <w:t>0.5</w:t>
            </w:r>
          </w:p>
          <w:p w14:paraId="29E6BBCD"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8750M – 0.5</w:t>
            </w:r>
          </w:p>
          <w:p w14:paraId="13BF7FD1"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11301T – 0.5</w:t>
            </w:r>
          </w:p>
          <w:p w14:paraId="34972E52"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11124L - 1</w:t>
            </w:r>
          </w:p>
        </w:tc>
        <w:tc>
          <w:tcPr>
            <w:tcW w:w="833" w:type="pct"/>
          </w:tcPr>
          <w:p w14:paraId="26D8DEE0" w14:textId="3D76960C" w:rsidR="004B7971" w:rsidRPr="0062263F" w:rsidRDefault="004B7971" w:rsidP="0013384A">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 xml:space="preserve">Calculated by the sponsor from dosages reported in </w:t>
            </w:r>
            <w:r w:rsidR="0013384A">
              <w:rPr>
                <w:rFonts w:ascii="Arial Narrow" w:eastAsia="MS Gothic" w:hAnsi="Arial Narrow" w:cs="Times New Roman"/>
                <w:bCs/>
                <w:color w:val="000000" w:themeColor="text1"/>
                <w:sz w:val="20"/>
              </w:rPr>
              <w:t>the</w:t>
            </w:r>
            <w:r w:rsidRPr="0062263F">
              <w:rPr>
                <w:rFonts w:ascii="Arial Narrow" w:eastAsia="MS Gothic" w:hAnsi="Arial Narrow" w:cs="Times New Roman"/>
                <w:bCs/>
                <w:color w:val="000000" w:themeColor="text1"/>
                <w:sz w:val="20"/>
              </w:rPr>
              <w:t xml:space="preserve"> PIs. The value refers to the number of scripts per month.</w:t>
            </w:r>
          </w:p>
        </w:tc>
        <w:tc>
          <w:tcPr>
            <w:tcW w:w="1865" w:type="pct"/>
            <w:vAlign w:val="center"/>
          </w:tcPr>
          <w:p w14:paraId="68EAFE1B" w14:textId="3F3AB7D9" w:rsidR="004B7971" w:rsidRPr="006A50B1" w:rsidRDefault="00651119" w:rsidP="00420770">
            <w:pPr>
              <w:rPr>
                <w:rFonts w:ascii="Arial Narrow" w:eastAsia="MS Gothic" w:hAnsi="Arial Narrow" w:cs="Times New Roman"/>
                <w:bCs/>
                <w:color w:val="000000" w:themeColor="text1"/>
                <w:sz w:val="20"/>
              </w:rPr>
            </w:pPr>
            <w:bookmarkStart w:id="58" w:name="_Hlk92996315"/>
            <w:r w:rsidRPr="006A50B1">
              <w:rPr>
                <w:rFonts w:ascii="Arial Narrow" w:eastAsia="MS Gothic" w:hAnsi="Arial Narrow" w:cs="Times New Roman"/>
                <w:bCs/>
                <w:color w:val="000000" w:themeColor="text1"/>
                <w:sz w:val="20"/>
              </w:rPr>
              <w:t>This is reasonable. Consistent with PI.</w:t>
            </w:r>
            <w:bookmarkEnd w:id="58"/>
          </w:p>
        </w:tc>
      </w:tr>
      <w:tr w:rsidR="004B7971" w:rsidRPr="00BD1F00" w14:paraId="14ABFF3C" w14:textId="77777777" w:rsidTr="0014608E">
        <w:trPr>
          <w:cantSplit/>
          <w:trHeight w:val="611"/>
        </w:trPr>
        <w:tc>
          <w:tcPr>
            <w:tcW w:w="804" w:type="pct"/>
          </w:tcPr>
          <w:p w14:paraId="550031F0"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BEC/FOR DPMQ</w:t>
            </w:r>
          </w:p>
        </w:tc>
        <w:tc>
          <w:tcPr>
            <w:tcW w:w="1497" w:type="pct"/>
          </w:tcPr>
          <w:p w14:paraId="0388A5F9" w14:textId="263FF806"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w:t>
            </w:r>
            <w:r w:rsidR="0078736D" w:rsidRPr="0078736D">
              <w:rPr>
                <w:rFonts w:ascii="Arial Narrow" w:eastAsia="MS Gothic" w:hAnsi="Arial Narrow" w:cs="Times New Roman"/>
                <w:bCs/>
                <w:color w:val="000000" w:themeColor="text1"/>
                <w:spacing w:val="53"/>
                <w:sz w:val="20"/>
                <w:shd w:val="solid" w:color="000000" w:fill="000000"/>
                <w:fitText w:val="330" w:id="-1500861431"/>
                <w14:textFill>
                  <w14:solidFill>
                    <w14:schemeClr w14:val="tx1">
                      <w14:alpha w14:val="100000"/>
                    </w14:schemeClr>
                  </w14:solidFill>
                </w14:textFill>
              </w:rPr>
              <w:t>|||</w:t>
            </w:r>
            <w:r w:rsidR="0078736D" w:rsidRPr="0078736D">
              <w:rPr>
                <w:rFonts w:ascii="Arial Narrow" w:eastAsia="MS Gothic" w:hAnsi="Arial Narrow" w:cs="Times New Roman"/>
                <w:bCs/>
                <w:color w:val="000000" w:themeColor="text1"/>
                <w:spacing w:val="1"/>
                <w:sz w:val="20"/>
                <w:shd w:val="solid" w:color="000000" w:fill="000000"/>
                <w:fitText w:val="330" w:id="-1500861431"/>
                <w14:textFill>
                  <w14:solidFill>
                    <w14:schemeClr w14:val="tx1">
                      <w14:alpha w14:val="100000"/>
                    </w14:schemeClr>
                  </w14:solidFill>
                </w14:textFill>
              </w:rPr>
              <w:t>|</w:t>
            </w:r>
          </w:p>
        </w:tc>
        <w:tc>
          <w:tcPr>
            <w:tcW w:w="833" w:type="pct"/>
          </w:tcPr>
          <w:p w14:paraId="2C53F682" w14:textId="77777777" w:rsidR="004B7971" w:rsidRPr="0062263F"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 xml:space="preserve">Proposed. </w:t>
            </w:r>
          </w:p>
        </w:tc>
        <w:tc>
          <w:tcPr>
            <w:tcW w:w="1865" w:type="pct"/>
          </w:tcPr>
          <w:p w14:paraId="2C24A3C8" w14:textId="3EE5FCF9" w:rsidR="004B7971" w:rsidRPr="006A50B1"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 xml:space="preserve">This </w:t>
            </w:r>
            <w:r w:rsidR="00603218" w:rsidRPr="006A50B1">
              <w:rPr>
                <w:rFonts w:ascii="Arial Narrow" w:eastAsia="MS Gothic" w:hAnsi="Arial Narrow" w:cs="Times New Roman"/>
                <w:bCs/>
                <w:color w:val="000000" w:themeColor="text1"/>
                <w:sz w:val="20"/>
              </w:rPr>
              <w:t>is</w:t>
            </w:r>
            <w:r w:rsidRPr="006A50B1">
              <w:rPr>
                <w:rFonts w:ascii="Arial Narrow" w:eastAsia="MS Gothic" w:hAnsi="Arial Narrow" w:cs="Times New Roman"/>
                <w:bCs/>
                <w:color w:val="000000" w:themeColor="text1"/>
                <w:sz w:val="20"/>
              </w:rPr>
              <w:t xml:space="preserve"> the proposed average price of BEC/FOR over the COPD and asthma indications, weighted by utilisation in the indications.</w:t>
            </w:r>
          </w:p>
        </w:tc>
      </w:tr>
      <w:tr w:rsidR="004B7971" w:rsidRPr="00BD1F00" w:rsidDel="00561854" w14:paraId="4C323565" w14:textId="77777777" w:rsidTr="0014608E">
        <w:trPr>
          <w:cantSplit/>
        </w:trPr>
        <w:tc>
          <w:tcPr>
            <w:tcW w:w="804" w:type="pct"/>
            <w:vAlign w:val="center"/>
          </w:tcPr>
          <w:p w14:paraId="256B5087" w14:textId="77777777" w:rsidR="004B7971" w:rsidRPr="0062263F" w:rsidDel="00561854"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MBS costs</w:t>
            </w:r>
          </w:p>
        </w:tc>
        <w:tc>
          <w:tcPr>
            <w:tcW w:w="1497" w:type="pct"/>
            <w:vAlign w:val="center"/>
          </w:tcPr>
          <w:p w14:paraId="20FD1992" w14:textId="77777777" w:rsidR="004B7971" w:rsidRPr="0062263F" w:rsidDel="00561854"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Nil</w:t>
            </w:r>
          </w:p>
        </w:tc>
        <w:tc>
          <w:tcPr>
            <w:tcW w:w="833" w:type="pct"/>
            <w:vAlign w:val="center"/>
          </w:tcPr>
          <w:p w14:paraId="28CAB74E" w14:textId="77777777" w:rsidR="004B7971" w:rsidRPr="0062263F" w:rsidDel="00561854" w:rsidRDefault="004B7971" w:rsidP="00420770">
            <w:pPr>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Assumption</w:t>
            </w:r>
          </w:p>
        </w:tc>
        <w:tc>
          <w:tcPr>
            <w:tcW w:w="1865" w:type="pct"/>
            <w:vAlign w:val="center"/>
          </w:tcPr>
          <w:p w14:paraId="03E6E6D5" w14:textId="77777777" w:rsidR="004B7971" w:rsidRPr="006A50B1" w:rsidDel="00561854" w:rsidRDefault="004B7971" w:rsidP="00420770">
            <w:pPr>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This is reasonable</w:t>
            </w:r>
          </w:p>
        </w:tc>
      </w:tr>
      <w:tr w:rsidR="004B7971" w:rsidRPr="00BD1F00" w14:paraId="0E179B5D" w14:textId="77777777" w:rsidTr="0014608E">
        <w:trPr>
          <w:cantSplit/>
        </w:trPr>
        <w:tc>
          <w:tcPr>
            <w:tcW w:w="5000" w:type="pct"/>
            <w:gridSpan w:val="4"/>
          </w:tcPr>
          <w:p w14:paraId="3D37507D" w14:textId="77777777" w:rsidR="004B7971" w:rsidRPr="006A50B1" w:rsidRDefault="004B7971" w:rsidP="000A7FFD">
            <w:pPr>
              <w:keepNext/>
              <w:keepLines/>
              <w:jc w:val="left"/>
              <w:rPr>
                <w:rFonts w:ascii="Arial Narrow" w:eastAsia="MS Gothic" w:hAnsi="Arial Narrow" w:cs="Times New Roman"/>
                <w:bCs/>
                <w:color w:val="000000" w:themeColor="text1"/>
                <w:sz w:val="20"/>
              </w:rPr>
            </w:pPr>
            <w:r w:rsidRPr="006A50B1">
              <w:rPr>
                <w:rFonts w:ascii="Arial Narrow" w:eastAsia="MS Gothic" w:hAnsi="Arial Narrow" w:cs="Times New Roman"/>
                <w:b/>
                <w:bCs/>
                <w:color w:val="000000" w:themeColor="text1"/>
                <w:sz w:val="20"/>
              </w:rPr>
              <w:lastRenderedPageBreak/>
              <w:t>Patient co-payment</w:t>
            </w:r>
          </w:p>
        </w:tc>
      </w:tr>
      <w:tr w:rsidR="004B7971" w:rsidRPr="00BD1F00" w14:paraId="25F3171D" w14:textId="77777777" w:rsidTr="0014608E">
        <w:trPr>
          <w:cantSplit/>
          <w:trHeight w:val="413"/>
        </w:trPr>
        <w:tc>
          <w:tcPr>
            <w:tcW w:w="804" w:type="pct"/>
            <w:vMerge w:val="restart"/>
          </w:tcPr>
          <w:p w14:paraId="3AAFEAFE" w14:textId="77777777" w:rsidR="004B7971" w:rsidRPr="0062263F" w:rsidRDefault="004B7971" w:rsidP="000A7FFD">
            <w:pPr>
              <w:keepNext/>
              <w:keepLines/>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Beneficiary Type</w:t>
            </w:r>
          </w:p>
        </w:tc>
        <w:tc>
          <w:tcPr>
            <w:tcW w:w="1497" w:type="pct"/>
          </w:tcPr>
          <w:p w14:paraId="09D6F28F" w14:textId="77777777" w:rsidR="004B7971" w:rsidRPr="0062263F" w:rsidRDefault="004B7971" w:rsidP="000A7FFD">
            <w:pPr>
              <w:keepNext/>
              <w:keepLines/>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Average patient co-payment</w:t>
            </w:r>
          </w:p>
          <w:p w14:paraId="16241B16" w14:textId="1EEF03E7" w:rsidR="004B7971" w:rsidRPr="0062263F" w:rsidRDefault="004B7971" w:rsidP="000A7FFD">
            <w:pPr>
              <w:keepNext/>
              <w:keepLines/>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 xml:space="preserve"> PBS- $17.74</w:t>
            </w:r>
          </w:p>
        </w:tc>
        <w:tc>
          <w:tcPr>
            <w:tcW w:w="833" w:type="pct"/>
            <w:vMerge w:val="restart"/>
          </w:tcPr>
          <w:p w14:paraId="022FEB3F" w14:textId="77777777" w:rsidR="004B7971" w:rsidRPr="0062263F" w:rsidRDefault="004B7971" w:rsidP="000A7FFD">
            <w:pPr>
              <w:keepNext/>
              <w:keepLines/>
              <w:jc w:val="left"/>
              <w:rPr>
                <w:rFonts w:ascii="Arial Narrow" w:eastAsia="MS Gothic" w:hAnsi="Arial Narrow" w:cs="Times New Roman"/>
                <w:b/>
                <w:color w:val="000000" w:themeColor="text1"/>
                <w:sz w:val="20"/>
                <w:u w:val="single"/>
              </w:rPr>
            </w:pPr>
            <w:r w:rsidRPr="0062263F">
              <w:rPr>
                <w:rFonts w:ascii="Arial Narrow" w:eastAsia="MS Gothic" w:hAnsi="Arial Narrow" w:cs="Times New Roman"/>
                <w:color w:val="000000" w:themeColor="text1"/>
                <w:sz w:val="20"/>
              </w:rPr>
              <w:t>PBS service volumes of the ICS/LABA COPD market from 2020</w:t>
            </w:r>
          </w:p>
        </w:tc>
        <w:tc>
          <w:tcPr>
            <w:tcW w:w="1865" w:type="pct"/>
            <w:vMerge w:val="restart"/>
            <w:vAlign w:val="center"/>
          </w:tcPr>
          <w:p w14:paraId="0360719C" w14:textId="77777777" w:rsidR="004B7971" w:rsidRPr="006A50B1" w:rsidRDefault="004B7971" w:rsidP="000A7FFD">
            <w:pPr>
              <w:keepNext/>
              <w:keepLines/>
              <w:jc w:val="left"/>
              <w:rPr>
                <w:rFonts w:ascii="Arial Narrow" w:eastAsia="MS Gothic" w:hAnsi="Arial Narrow" w:cs="Times New Roman"/>
                <w:bCs/>
                <w:color w:val="000000" w:themeColor="text1"/>
                <w:sz w:val="20"/>
              </w:rPr>
            </w:pPr>
            <w:r w:rsidRPr="006A50B1">
              <w:rPr>
                <w:rFonts w:ascii="Arial Narrow" w:eastAsia="MS Gothic" w:hAnsi="Arial Narrow" w:cs="Times New Roman"/>
                <w:bCs/>
                <w:color w:val="000000" w:themeColor="text1"/>
                <w:sz w:val="20"/>
              </w:rPr>
              <w:t>This is reasonable.</w:t>
            </w:r>
          </w:p>
        </w:tc>
      </w:tr>
      <w:tr w:rsidR="004B7971" w:rsidRPr="00BD1F00" w14:paraId="5BF7DBF1" w14:textId="77777777" w:rsidTr="0014608E">
        <w:trPr>
          <w:cantSplit/>
        </w:trPr>
        <w:tc>
          <w:tcPr>
            <w:tcW w:w="804" w:type="pct"/>
            <w:vMerge/>
          </w:tcPr>
          <w:p w14:paraId="79CA68CC" w14:textId="77777777" w:rsidR="004B7971" w:rsidRPr="0062263F" w:rsidRDefault="004B7971" w:rsidP="000A7FFD">
            <w:pPr>
              <w:keepNext/>
              <w:keepLines/>
              <w:jc w:val="left"/>
              <w:rPr>
                <w:rFonts w:ascii="Arial Narrow" w:eastAsia="MS Gothic" w:hAnsi="Arial Narrow" w:cs="Times New Roman"/>
                <w:bCs/>
                <w:color w:val="000000" w:themeColor="text1"/>
                <w:sz w:val="20"/>
              </w:rPr>
            </w:pPr>
          </w:p>
        </w:tc>
        <w:tc>
          <w:tcPr>
            <w:tcW w:w="1497" w:type="pct"/>
          </w:tcPr>
          <w:p w14:paraId="652350AE" w14:textId="77777777" w:rsidR="004B7971" w:rsidRPr="0062263F" w:rsidRDefault="004B7971" w:rsidP="000A7FFD">
            <w:pPr>
              <w:keepNext/>
              <w:keepLines/>
              <w:jc w:val="left"/>
              <w:rPr>
                <w:rFonts w:ascii="Arial Narrow" w:eastAsia="MS Gothic" w:hAnsi="Arial Narrow" w:cs="Times New Roman"/>
                <w:bCs/>
                <w:color w:val="000000" w:themeColor="text1"/>
                <w:sz w:val="20"/>
              </w:rPr>
            </w:pPr>
            <w:r w:rsidRPr="0062263F">
              <w:rPr>
                <w:rFonts w:ascii="Arial Narrow" w:eastAsia="MS Gothic" w:hAnsi="Arial Narrow" w:cs="Times New Roman"/>
                <w:bCs/>
                <w:color w:val="000000" w:themeColor="text1"/>
                <w:sz w:val="20"/>
              </w:rPr>
              <w:t>Average patient co-payment RPBS- $4.24</w:t>
            </w:r>
          </w:p>
        </w:tc>
        <w:tc>
          <w:tcPr>
            <w:tcW w:w="833" w:type="pct"/>
            <w:vMerge/>
          </w:tcPr>
          <w:p w14:paraId="16DB2178" w14:textId="77777777" w:rsidR="004B7971" w:rsidRPr="0062263F" w:rsidRDefault="004B7971" w:rsidP="000A7FFD">
            <w:pPr>
              <w:keepNext/>
              <w:keepLines/>
              <w:jc w:val="left"/>
              <w:rPr>
                <w:rFonts w:ascii="Arial Narrow" w:eastAsia="MS Gothic" w:hAnsi="Arial Narrow" w:cs="Times New Roman"/>
                <w:bCs/>
                <w:color w:val="000000" w:themeColor="text1"/>
                <w:sz w:val="20"/>
                <w:u w:val="single"/>
              </w:rPr>
            </w:pPr>
          </w:p>
        </w:tc>
        <w:tc>
          <w:tcPr>
            <w:tcW w:w="1865" w:type="pct"/>
            <w:vMerge/>
            <w:vAlign w:val="center"/>
          </w:tcPr>
          <w:p w14:paraId="6F9FAE8A" w14:textId="77777777" w:rsidR="004B7971" w:rsidRPr="006A50B1" w:rsidRDefault="004B7971" w:rsidP="000A7FFD">
            <w:pPr>
              <w:keepNext/>
              <w:keepLines/>
              <w:jc w:val="left"/>
              <w:rPr>
                <w:rFonts w:ascii="Arial Narrow" w:eastAsia="MS Gothic" w:hAnsi="Arial Narrow" w:cs="Times New Roman"/>
                <w:bCs/>
                <w:color w:val="000000" w:themeColor="text1"/>
                <w:sz w:val="20"/>
              </w:rPr>
            </w:pPr>
          </w:p>
        </w:tc>
      </w:tr>
    </w:tbl>
    <w:p w14:paraId="6F260B20" w14:textId="77777777" w:rsidR="00E374F0" w:rsidRPr="00A604AC" w:rsidRDefault="00E374F0" w:rsidP="005041F3">
      <w:pPr>
        <w:pStyle w:val="TableFigureFooter"/>
        <w:keepNext/>
        <w:rPr>
          <w:color w:val="000000" w:themeColor="text1"/>
          <w:szCs w:val="18"/>
        </w:rPr>
      </w:pPr>
      <w:r w:rsidRPr="00A604AC">
        <w:rPr>
          <w:color w:val="000000" w:themeColor="text1"/>
          <w:szCs w:val="18"/>
        </w:rPr>
        <w:t xml:space="preserve">Abbreviations: AEMP= Approved ex-manufacturer price; DPMQ= Dispensed price for maximum quantity; BEC= Beclometasone dipropionate; BUD= Budesonide; FOR= Formoterol fumarate dehydrate; FP= Fluticasone propionate; SAL= Salmeterol; COPD= Chronic obstructive pulmonary disease; FF= Fluticasone fumarate; VI= Vilanterol </w:t>
      </w:r>
      <w:proofErr w:type="spellStart"/>
      <w:r w:rsidRPr="00A604AC">
        <w:rPr>
          <w:color w:val="000000" w:themeColor="text1"/>
          <w:szCs w:val="18"/>
        </w:rPr>
        <w:t>trifenatate</w:t>
      </w:r>
      <w:proofErr w:type="spellEnd"/>
      <w:r w:rsidRPr="00A604AC">
        <w:rPr>
          <w:color w:val="000000" w:themeColor="text1"/>
          <w:szCs w:val="18"/>
        </w:rPr>
        <w:t xml:space="preserve">; PI = Product Information; LABA= long-acting β-agonist; ICS= inhaled corticosteroid. </w:t>
      </w:r>
    </w:p>
    <w:p w14:paraId="5949FC07" w14:textId="3A4A9192" w:rsidR="00E374F0" w:rsidRPr="00A604AC" w:rsidRDefault="00E374F0" w:rsidP="0062263F">
      <w:pPr>
        <w:pStyle w:val="TableFigureFooter"/>
        <w:keepNext/>
        <w:ind w:left="720" w:hanging="720"/>
        <w:rPr>
          <w:rFonts w:asciiTheme="minorHAnsi" w:hAnsiTheme="minorHAnsi"/>
          <w:color w:val="000000" w:themeColor="text1"/>
          <w:sz w:val="24"/>
          <w:szCs w:val="24"/>
        </w:rPr>
      </w:pPr>
      <w:r w:rsidRPr="00A604AC">
        <w:rPr>
          <w:color w:val="000000" w:themeColor="text1"/>
          <w:szCs w:val="18"/>
        </w:rPr>
        <w:t>Source: Table 76-</w:t>
      </w:r>
      <w:r w:rsidR="00160952">
        <w:rPr>
          <w:color w:val="000000" w:themeColor="text1"/>
          <w:szCs w:val="18"/>
        </w:rPr>
        <w:t>78, p104-107 of the submission.</w:t>
      </w:r>
    </w:p>
    <w:p w14:paraId="40E16392" w14:textId="4ACBE1E0" w:rsidR="00E374F0" w:rsidRPr="00A604AC" w:rsidRDefault="00C2424B" w:rsidP="00A7711D">
      <w:pPr>
        <w:pStyle w:val="3-BodyText"/>
        <w:rPr>
          <w:color w:val="000000" w:themeColor="text1"/>
        </w:rPr>
      </w:pPr>
      <w:r w:rsidRPr="00A604AC">
        <w:rPr>
          <w:color w:val="000000" w:themeColor="text1"/>
        </w:rPr>
        <w:t xml:space="preserve">The estimated financial implications for the listing of BEC/FOR based on the following three separate DPMQs for BEC/FOR are presented in </w:t>
      </w:r>
      <w:r w:rsidR="00FD0A77">
        <w:rPr>
          <w:color w:val="000000" w:themeColor="text1"/>
        </w:rPr>
        <w:fldChar w:fldCharType="begin"/>
      </w:r>
      <w:r w:rsidR="00FD0A77">
        <w:rPr>
          <w:color w:val="000000" w:themeColor="text1"/>
        </w:rPr>
        <w:instrText xml:space="preserve"> REF _Ref98432413 \h  \* MERGEFORMAT </w:instrText>
      </w:r>
      <w:r w:rsidR="00FD0A77">
        <w:rPr>
          <w:color w:val="000000" w:themeColor="text1"/>
        </w:rPr>
      </w:r>
      <w:r w:rsidR="00FD0A77">
        <w:rPr>
          <w:color w:val="000000" w:themeColor="text1"/>
        </w:rPr>
        <w:fldChar w:fldCharType="separate"/>
      </w:r>
      <w:r w:rsidR="00FD0A77" w:rsidRPr="00FD0A77">
        <w:t xml:space="preserve">Table </w:t>
      </w:r>
      <w:r w:rsidR="00FD0A77" w:rsidRPr="002A5391">
        <w:t>13</w:t>
      </w:r>
      <w:r w:rsidR="00FD0A77">
        <w:rPr>
          <w:color w:val="000000" w:themeColor="text1"/>
        </w:rPr>
        <w:fldChar w:fldCharType="end"/>
      </w:r>
      <w:r w:rsidRPr="00A604AC">
        <w:rPr>
          <w:color w:val="000000" w:themeColor="text1"/>
        </w:rPr>
        <w:t>: weighted average value of $</w:t>
      </w:r>
      <w:r w:rsidR="0078736D" w:rsidRPr="009A3986">
        <w:rPr>
          <w:color w:val="000000" w:themeColor="text1"/>
          <w:w w:val="15"/>
          <w:shd w:val="solid" w:color="000000" w:fill="000000"/>
          <w:fitText w:val="-20" w:id="-1500861430"/>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30"/>
          <w14:textFill>
            <w14:solidFill>
              <w14:schemeClr w14:val="tx1">
                <w14:alpha w14:val="100000"/>
              </w14:schemeClr>
            </w14:solidFill>
          </w14:textFill>
        </w:rPr>
        <w:t>|</w:t>
      </w:r>
      <w:r w:rsidRPr="00A604AC">
        <w:rPr>
          <w:color w:val="000000" w:themeColor="text1"/>
        </w:rPr>
        <w:t xml:space="preserve"> as presented in the submission, indication-specific value of </w:t>
      </w:r>
      <w:r w:rsidRPr="0062263F">
        <w:rPr>
          <w:color w:val="000000" w:themeColor="text1"/>
        </w:rPr>
        <w:t>$</w:t>
      </w:r>
      <w:r w:rsidR="0078736D" w:rsidRPr="009A3986">
        <w:rPr>
          <w:color w:val="000000" w:themeColor="text1"/>
          <w:w w:val="15"/>
          <w:shd w:val="solid" w:color="000000" w:fill="000000"/>
          <w:fitText w:val="-20" w:id="-1500861429"/>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29"/>
          <w14:textFill>
            <w14:solidFill>
              <w14:schemeClr w14:val="tx1">
                <w14:alpha w14:val="100000"/>
              </w14:schemeClr>
            </w14:solidFill>
          </w14:textFill>
        </w:rPr>
        <w:t>|</w:t>
      </w:r>
      <w:r w:rsidR="0013384A">
        <w:rPr>
          <w:color w:val="000000" w:themeColor="text1"/>
        </w:rPr>
        <w:t>and least-cost alternative</w:t>
      </w:r>
      <w:r w:rsidRPr="00A604AC">
        <w:rPr>
          <w:color w:val="000000" w:themeColor="text1"/>
        </w:rPr>
        <w:t xml:space="preserve"> value of </w:t>
      </w:r>
      <w:r w:rsidRPr="0062263F">
        <w:rPr>
          <w:color w:val="000000" w:themeColor="text1"/>
        </w:rPr>
        <w:t>$</w:t>
      </w:r>
      <w:r w:rsidR="0078736D" w:rsidRPr="009A3986">
        <w:rPr>
          <w:color w:val="000000" w:themeColor="text1"/>
          <w:w w:val="15"/>
          <w:shd w:val="solid" w:color="000000" w:fill="000000"/>
          <w:fitText w:val="-20" w:id="-1500861428"/>
          <w14:textFill>
            <w14:solidFill>
              <w14:schemeClr w14:val="tx1">
                <w14:alpha w14:val="100000"/>
              </w14:schemeClr>
            </w14:solidFill>
          </w14:textFill>
        </w:rPr>
        <w:t xml:space="preserve">|  </w:t>
      </w:r>
      <w:r w:rsidR="0078736D" w:rsidRPr="009A3986">
        <w:rPr>
          <w:color w:val="000000" w:themeColor="text1"/>
          <w:spacing w:val="-69"/>
          <w:w w:val="15"/>
          <w:shd w:val="solid" w:color="000000" w:fill="000000"/>
          <w:fitText w:val="-20" w:id="-1500861428"/>
          <w14:textFill>
            <w14:solidFill>
              <w14:schemeClr w14:val="tx1">
                <w14:alpha w14:val="100000"/>
              </w14:schemeClr>
            </w14:solidFill>
          </w14:textFill>
        </w:rPr>
        <w:t>|</w:t>
      </w:r>
      <w:r w:rsidRPr="0062263F">
        <w:rPr>
          <w:rFonts w:cstheme="minorHAnsi"/>
          <w:color w:val="000000" w:themeColor="text1"/>
        </w:rPr>
        <w:t>(</w:t>
      </w:r>
      <w:r w:rsidRPr="0062263F">
        <w:rPr>
          <w:rFonts w:cstheme="minorHAnsi"/>
          <w:color w:val="000000" w:themeColor="text1"/>
        </w:rPr>
        <w:fldChar w:fldCharType="begin"/>
      </w:r>
      <w:r w:rsidRPr="0062263F">
        <w:rPr>
          <w:rFonts w:cstheme="minorHAnsi"/>
          <w:color w:val="000000" w:themeColor="text1"/>
        </w:rPr>
        <w:instrText xml:space="preserve"> REF _Ref92356095 \h  \* MERGEFORMAT </w:instrText>
      </w:r>
      <w:r w:rsidRPr="0062263F">
        <w:rPr>
          <w:rFonts w:cstheme="minorHAnsi"/>
          <w:color w:val="000000" w:themeColor="text1"/>
        </w:rPr>
      </w:r>
      <w:r w:rsidRPr="0062263F">
        <w:rPr>
          <w:rFonts w:cstheme="minorHAnsi"/>
          <w:color w:val="000000" w:themeColor="text1"/>
        </w:rPr>
        <w:fldChar w:fldCharType="separate"/>
      </w:r>
      <w:r w:rsidR="00BA5BCE" w:rsidRPr="00BA5BCE">
        <w:rPr>
          <w:rFonts w:cstheme="minorHAnsi"/>
          <w:snapToGrid/>
          <w:color w:val="000000" w:themeColor="text1"/>
        </w:rPr>
        <w:t xml:space="preserve">Table </w:t>
      </w:r>
      <w:r w:rsidR="00BA5BCE" w:rsidRPr="00BA5BCE">
        <w:rPr>
          <w:rFonts w:cstheme="minorHAnsi"/>
          <w:noProof/>
          <w:color w:val="000000" w:themeColor="text1"/>
        </w:rPr>
        <w:t>11</w:t>
      </w:r>
      <w:r w:rsidRPr="0062263F">
        <w:rPr>
          <w:rFonts w:cstheme="minorHAnsi"/>
          <w:color w:val="000000" w:themeColor="text1"/>
        </w:rPr>
        <w:fldChar w:fldCharType="end"/>
      </w:r>
      <w:r w:rsidRPr="0062263F">
        <w:rPr>
          <w:rFonts w:cstheme="minorHAnsi"/>
          <w:color w:val="000000" w:themeColor="text1"/>
        </w:rPr>
        <w:t>)</w:t>
      </w:r>
      <w:r w:rsidRPr="00A604AC">
        <w:rPr>
          <w:color w:val="000000" w:themeColor="text1"/>
        </w:rPr>
        <w:t>.</w:t>
      </w:r>
    </w:p>
    <w:p w14:paraId="21B5B241" w14:textId="32B938B3" w:rsidR="00E374F0" w:rsidRPr="00A604AC" w:rsidRDefault="00FD0A77" w:rsidP="0078736D">
      <w:pPr>
        <w:pStyle w:val="Caption"/>
        <w:keepNext/>
        <w:keepLines/>
        <w:spacing w:after="0"/>
        <w:rPr>
          <w:rFonts w:ascii="Arial Narrow" w:hAnsi="Arial Narrow"/>
          <w:color w:val="000000" w:themeColor="text1"/>
          <w:sz w:val="20"/>
          <w:szCs w:val="20"/>
        </w:rPr>
      </w:pPr>
      <w:bookmarkStart w:id="59" w:name="_Ref98432413"/>
      <w:r w:rsidRPr="002A5391">
        <w:rPr>
          <w:rStyle w:val="CommentReference"/>
          <w:b/>
          <w:color w:val="000000" w:themeColor="text1"/>
          <w:szCs w:val="20"/>
        </w:rPr>
        <w:lastRenderedPageBreak/>
        <w:t xml:space="preserve">Table </w:t>
      </w:r>
      <w:r w:rsidRPr="002A5391">
        <w:rPr>
          <w:rStyle w:val="CommentReference"/>
          <w:b/>
          <w:color w:val="000000" w:themeColor="text1"/>
          <w:szCs w:val="20"/>
        </w:rPr>
        <w:fldChar w:fldCharType="begin"/>
      </w:r>
      <w:r w:rsidRPr="002A5391">
        <w:rPr>
          <w:rStyle w:val="CommentReference"/>
          <w:b/>
          <w:color w:val="000000" w:themeColor="text1"/>
          <w:szCs w:val="20"/>
        </w:rPr>
        <w:instrText xml:space="preserve"> SEQ Table \* ARABIC </w:instrText>
      </w:r>
      <w:r w:rsidRPr="002A5391">
        <w:rPr>
          <w:rStyle w:val="CommentReference"/>
          <w:b/>
          <w:color w:val="000000" w:themeColor="text1"/>
          <w:szCs w:val="20"/>
        </w:rPr>
        <w:fldChar w:fldCharType="separate"/>
      </w:r>
      <w:r w:rsidRPr="002A5391">
        <w:rPr>
          <w:rStyle w:val="CommentReference"/>
          <w:b/>
          <w:color w:val="000000" w:themeColor="text1"/>
          <w:szCs w:val="20"/>
        </w:rPr>
        <w:t>13</w:t>
      </w:r>
      <w:r w:rsidRPr="002A5391">
        <w:rPr>
          <w:rStyle w:val="CommentReference"/>
          <w:b/>
          <w:color w:val="000000" w:themeColor="text1"/>
          <w:szCs w:val="20"/>
        </w:rPr>
        <w:fldChar w:fldCharType="end"/>
      </w:r>
      <w:bookmarkEnd w:id="59"/>
      <w:r w:rsidRPr="00A604AC">
        <w:rPr>
          <w:rStyle w:val="CommentReference"/>
          <w:b/>
          <w:color w:val="000000" w:themeColor="text1"/>
          <w:szCs w:val="20"/>
        </w:rPr>
        <w:t xml:space="preserve">: Estimated use and financial implications of listing BEC/FOR </w:t>
      </w:r>
      <w:proofErr w:type="spellStart"/>
      <w:r w:rsidRPr="00A604AC">
        <w:rPr>
          <w:rStyle w:val="CommentReference"/>
          <w:b/>
          <w:color w:val="000000" w:themeColor="text1"/>
          <w:szCs w:val="20"/>
        </w:rPr>
        <w:t>for</w:t>
      </w:r>
      <w:proofErr w:type="spellEnd"/>
      <w:r w:rsidRPr="00A604AC">
        <w:rPr>
          <w:rStyle w:val="CommentReference"/>
          <w:b/>
          <w:color w:val="000000" w:themeColor="text1"/>
          <w:szCs w:val="20"/>
        </w:rPr>
        <w:t xml:space="preserve"> COPD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5"/>
        <w:gridCol w:w="1167"/>
        <w:gridCol w:w="1167"/>
        <w:gridCol w:w="1167"/>
        <w:gridCol w:w="1167"/>
        <w:gridCol w:w="1167"/>
        <w:gridCol w:w="1167"/>
      </w:tblGrid>
      <w:tr w:rsidR="00E374F0" w:rsidRPr="00BD1F00" w14:paraId="7F74B7A8" w14:textId="77777777" w:rsidTr="00E20505">
        <w:trPr>
          <w:tblHeader/>
        </w:trPr>
        <w:tc>
          <w:tcPr>
            <w:tcW w:w="1118" w:type="pct"/>
            <w:shd w:val="clear" w:color="auto" w:fill="auto"/>
            <w:vAlign w:val="center"/>
          </w:tcPr>
          <w:p w14:paraId="528435C3" w14:textId="77777777" w:rsidR="00E374F0" w:rsidRPr="0062263F" w:rsidRDefault="00E374F0" w:rsidP="002A5391">
            <w:pPr>
              <w:pStyle w:val="In-tableHeading"/>
              <w:keepLines/>
              <w:ind w:left="720" w:hanging="720"/>
              <w:jc w:val="center"/>
              <w:rPr>
                <w:color w:val="000000" w:themeColor="text1"/>
                <w:szCs w:val="20"/>
              </w:rPr>
            </w:pPr>
          </w:p>
        </w:tc>
        <w:tc>
          <w:tcPr>
            <w:tcW w:w="647" w:type="pct"/>
            <w:shd w:val="clear" w:color="auto" w:fill="auto"/>
            <w:vAlign w:val="center"/>
          </w:tcPr>
          <w:p w14:paraId="350F64FD"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1</w:t>
            </w:r>
          </w:p>
        </w:tc>
        <w:tc>
          <w:tcPr>
            <w:tcW w:w="647" w:type="pct"/>
            <w:shd w:val="clear" w:color="auto" w:fill="auto"/>
            <w:vAlign w:val="center"/>
          </w:tcPr>
          <w:p w14:paraId="2AA20E03"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2</w:t>
            </w:r>
          </w:p>
        </w:tc>
        <w:tc>
          <w:tcPr>
            <w:tcW w:w="647" w:type="pct"/>
            <w:shd w:val="clear" w:color="auto" w:fill="auto"/>
            <w:vAlign w:val="center"/>
          </w:tcPr>
          <w:p w14:paraId="2600433C"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3</w:t>
            </w:r>
          </w:p>
        </w:tc>
        <w:tc>
          <w:tcPr>
            <w:tcW w:w="647" w:type="pct"/>
            <w:shd w:val="clear" w:color="auto" w:fill="auto"/>
            <w:vAlign w:val="center"/>
          </w:tcPr>
          <w:p w14:paraId="73202CD6"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4</w:t>
            </w:r>
          </w:p>
        </w:tc>
        <w:tc>
          <w:tcPr>
            <w:tcW w:w="647" w:type="pct"/>
            <w:shd w:val="clear" w:color="auto" w:fill="auto"/>
            <w:vAlign w:val="center"/>
          </w:tcPr>
          <w:p w14:paraId="3464F7FE"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5</w:t>
            </w:r>
          </w:p>
        </w:tc>
        <w:tc>
          <w:tcPr>
            <w:tcW w:w="647" w:type="pct"/>
          </w:tcPr>
          <w:p w14:paraId="208A94A1" w14:textId="77777777" w:rsidR="00E374F0" w:rsidRPr="0062263F" w:rsidRDefault="00E374F0" w:rsidP="002A5391">
            <w:pPr>
              <w:pStyle w:val="In-tableHeading"/>
              <w:keepLines/>
              <w:ind w:left="720" w:hanging="720"/>
              <w:jc w:val="center"/>
              <w:rPr>
                <w:color w:val="000000" w:themeColor="text1"/>
                <w:szCs w:val="20"/>
              </w:rPr>
            </w:pPr>
            <w:r w:rsidRPr="0062263F">
              <w:rPr>
                <w:color w:val="000000" w:themeColor="text1"/>
                <w:szCs w:val="20"/>
              </w:rPr>
              <w:t>Year 6</w:t>
            </w:r>
          </w:p>
        </w:tc>
      </w:tr>
      <w:tr w:rsidR="00E374F0" w:rsidRPr="00BD1F00" w14:paraId="673330A1" w14:textId="77777777" w:rsidTr="00E20505">
        <w:tc>
          <w:tcPr>
            <w:tcW w:w="5000" w:type="pct"/>
            <w:gridSpan w:val="7"/>
            <w:shd w:val="clear" w:color="auto" w:fill="auto"/>
            <w:vAlign w:val="center"/>
          </w:tcPr>
          <w:p w14:paraId="3BB699B3" w14:textId="77777777" w:rsidR="00E374F0" w:rsidRPr="0062263F" w:rsidRDefault="00E374F0" w:rsidP="002A5391">
            <w:pPr>
              <w:pStyle w:val="In-tableHeading"/>
              <w:keepLines/>
              <w:ind w:left="720" w:hanging="720"/>
              <w:rPr>
                <w:bCs/>
                <w:color w:val="000000" w:themeColor="text1"/>
                <w:szCs w:val="20"/>
              </w:rPr>
            </w:pPr>
            <w:r w:rsidRPr="0062263F">
              <w:rPr>
                <w:bCs/>
                <w:color w:val="000000" w:themeColor="text1"/>
                <w:szCs w:val="20"/>
              </w:rPr>
              <w:t>Estimated extent of use</w:t>
            </w:r>
          </w:p>
        </w:tc>
      </w:tr>
      <w:tr w:rsidR="00E374F0" w:rsidRPr="00BD1F00" w14:paraId="79920BB0" w14:textId="77777777" w:rsidTr="00E20505">
        <w:tc>
          <w:tcPr>
            <w:tcW w:w="1118" w:type="pct"/>
            <w:shd w:val="clear" w:color="auto" w:fill="auto"/>
            <w:vAlign w:val="center"/>
          </w:tcPr>
          <w:p w14:paraId="31DD9111" w14:textId="77777777" w:rsidR="00E374F0" w:rsidRPr="0062263F" w:rsidRDefault="00E374F0" w:rsidP="002A5391">
            <w:pPr>
              <w:pStyle w:val="TableText0"/>
              <w:keepLines/>
              <w:ind w:left="-33" w:firstLine="33"/>
              <w:rPr>
                <w:color w:val="000000" w:themeColor="text1"/>
                <w:szCs w:val="20"/>
              </w:rPr>
            </w:pPr>
            <w:r w:rsidRPr="0062263F">
              <w:rPr>
                <w:color w:val="000000" w:themeColor="text1"/>
                <w:szCs w:val="20"/>
              </w:rPr>
              <w:t xml:space="preserve">Number of scripts </w:t>
            </w:r>
            <w:proofErr w:type="spellStart"/>
            <w:r w:rsidRPr="0062263F">
              <w:rPr>
                <w:color w:val="000000" w:themeColor="text1"/>
                <w:szCs w:val="20"/>
              </w:rPr>
              <w:t>dispensed</w:t>
            </w:r>
            <w:r w:rsidRPr="0062263F">
              <w:rPr>
                <w:color w:val="000000" w:themeColor="text1"/>
                <w:szCs w:val="20"/>
                <w:vertAlign w:val="superscript"/>
              </w:rPr>
              <w:t>a</w:t>
            </w:r>
            <w:proofErr w:type="spellEnd"/>
          </w:p>
        </w:tc>
        <w:tc>
          <w:tcPr>
            <w:tcW w:w="647" w:type="pct"/>
            <w:shd w:val="clear" w:color="auto" w:fill="auto"/>
          </w:tcPr>
          <w:p w14:paraId="1C130754" w14:textId="608570CF" w:rsidR="00E374F0" w:rsidRPr="0078736D" w:rsidRDefault="0078736D" w:rsidP="002A5391">
            <w:pPr>
              <w:pStyle w:val="TableText0"/>
              <w:keepLines/>
              <w:ind w:left="720" w:hanging="720"/>
              <w:jc w:val="right"/>
              <w:rPr>
                <w:color w:val="000000" w:themeColor="text1"/>
                <w:szCs w:val="20"/>
                <w:highlight w:val="yellow"/>
              </w:rPr>
            </w:pPr>
            <w:r w:rsidRPr="009A3986">
              <w:rPr>
                <w:rFonts w:hint="eastAsia"/>
                <w:color w:val="000000" w:themeColor="text1"/>
                <w:w w:val="31"/>
                <w:szCs w:val="20"/>
                <w:shd w:val="solid" w:color="000000" w:fill="000000"/>
                <w:fitText w:val="140" w:id="-1500861427"/>
                <w14:textFill>
                  <w14:solidFill>
                    <w14:schemeClr w14:val="tx1">
                      <w14:alpha w14:val="100000"/>
                    </w14:schemeClr>
                  </w14:solidFill>
                </w14:textFill>
              </w:rPr>
              <w:t xml:space="preserve">　</w:t>
            </w:r>
            <w:r w:rsidRPr="009A3986">
              <w:rPr>
                <w:color w:val="000000" w:themeColor="text1"/>
                <w:w w:val="31"/>
                <w:szCs w:val="20"/>
                <w:shd w:val="solid" w:color="000000" w:fill="000000"/>
                <w:fitText w:val="140" w:id="-1500861427"/>
                <w14:textFill>
                  <w14:solidFill>
                    <w14:schemeClr w14:val="tx1">
                      <w14:alpha w14:val="100000"/>
                    </w14:schemeClr>
                  </w14:solidFill>
                </w14:textFill>
              </w:rPr>
              <w:t>|</w:t>
            </w:r>
            <w:r w:rsidRPr="009A3986">
              <w:rPr>
                <w:rFonts w:hint="eastAsia"/>
                <w:color w:val="000000" w:themeColor="text1"/>
                <w:w w:val="31"/>
                <w:szCs w:val="20"/>
                <w:shd w:val="solid" w:color="000000" w:fill="000000"/>
                <w:fitText w:val="140" w:id="-1500861427"/>
                <w14:textFill>
                  <w14:solidFill>
                    <w14:schemeClr w14:val="tx1">
                      <w14:alpha w14:val="100000"/>
                    </w14:schemeClr>
                  </w14:solidFill>
                </w14:textFill>
              </w:rPr>
              <w:t xml:space="preserve">　</w:t>
            </w:r>
            <w:r w:rsidR="008A7811" w:rsidRPr="0078736D">
              <w:rPr>
                <w:color w:val="000000" w:themeColor="text1"/>
                <w:szCs w:val="20"/>
                <w:vertAlign w:val="superscript"/>
              </w:rPr>
              <w:t>1</w:t>
            </w:r>
          </w:p>
        </w:tc>
        <w:tc>
          <w:tcPr>
            <w:tcW w:w="647" w:type="pct"/>
            <w:shd w:val="clear" w:color="auto" w:fill="auto"/>
          </w:tcPr>
          <w:p w14:paraId="210CE64D" w14:textId="7A45AF2E" w:rsidR="00E374F0" w:rsidRPr="0078736D" w:rsidRDefault="0078736D" w:rsidP="002A5391">
            <w:pPr>
              <w:pStyle w:val="TableText0"/>
              <w:keepLines/>
              <w:ind w:left="720" w:hanging="720"/>
              <w:jc w:val="right"/>
              <w:rPr>
                <w:color w:val="000000" w:themeColor="text1"/>
                <w:szCs w:val="20"/>
                <w:highlight w:val="yellow"/>
              </w:rPr>
            </w:pPr>
            <w:r w:rsidRPr="009A3986">
              <w:rPr>
                <w:rFonts w:hint="eastAsia"/>
                <w:color w:val="000000" w:themeColor="text1"/>
                <w:w w:val="31"/>
                <w:szCs w:val="20"/>
                <w:shd w:val="solid" w:color="000000" w:fill="000000"/>
                <w:fitText w:val="140" w:id="-1500861426"/>
                <w14:textFill>
                  <w14:solidFill>
                    <w14:schemeClr w14:val="tx1">
                      <w14:alpha w14:val="100000"/>
                    </w14:schemeClr>
                  </w14:solidFill>
                </w14:textFill>
              </w:rPr>
              <w:t xml:space="preserve">　</w:t>
            </w:r>
            <w:r w:rsidRPr="009A3986">
              <w:rPr>
                <w:color w:val="000000" w:themeColor="text1"/>
                <w:w w:val="31"/>
                <w:szCs w:val="20"/>
                <w:shd w:val="solid" w:color="000000" w:fill="000000"/>
                <w:fitText w:val="140" w:id="-1500861426"/>
                <w14:textFill>
                  <w14:solidFill>
                    <w14:schemeClr w14:val="tx1">
                      <w14:alpha w14:val="100000"/>
                    </w14:schemeClr>
                  </w14:solidFill>
                </w14:textFill>
              </w:rPr>
              <w:t>|</w:t>
            </w:r>
            <w:r w:rsidRPr="009A3986">
              <w:rPr>
                <w:rFonts w:hint="eastAsia"/>
                <w:color w:val="000000" w:themeColor="text1"/>
                <w:w w:val="31"/>
                <w:szCs w:val="20"/>
                <w:shd w:val="solid" w:color="000000" w:fill="000000"/>
                <w:fitText w:val="140" w:id="-1500861426"/>
                <w14:textFill>
                  <w14:solidFill>
                    <w14:schemeClr w14:val="tx1">
                      <w14:alpha w14:val="100000"/>
                    </w14:schemeClr>
                  </w14:solidFill>
                </w14:textFill>
              </w:rPr>
              <w:t xml:space="preserve">　</w:t>
            </w:r>
            <w:r w:rsidR="008A7811">
              <w:rPr>
                <w:color w:val="000000" w:themeColor="text1"/>
                <w:szCs w:val="20"/>
                <w:vertAlign w:val="superscript"/>
              </w:rPr>
              <w:t>3</w:t>
            </w:r>
          </w:p>
        </w:tc>
        <w:tc>
          <w:tcPr>
            <w:tcW w:w="647" w:type="pct"/>
            <w:shd w:val="clear" w:color="auto" w:fill="auto"/>
          </w:tcPr>
          <w:p w14:paraId="06EBE813" w14:textId="5E5E6CD3" w:rsidR="00E374F0" w:rsidRPr="0078736D" w:rsidRDefault="0078736D" w:rsidP="002A5391">
            <w:pPr>
              <w:pStyle w:val="TableText0"/>
              <w:keepLines/>
              <w:ind w:left="720" w:hanging="720"/>
              <w:jc w:val="right"/>
              <w:rPr>
                <w:color w:val="000000" w:themeColor="text1"/>
                <w:szCs w:val="20"/>
                <w:highlight w:val="yellow"/>
              </w:rPr>
            </w:pPr>
            <w:r w:rsidRPr="009A3986">
              <w:rPr>
                <w:rFonts w:hint="eastAsia"/>
                <w:color w:val="000000" w:themeColor="text1"/>
                <w:w w:val="31"/>
                <w:szCs w:val="20"/>
                <w:shd w:val="solid" w:color="000000" w:fill="000000"/>
                <w:fitText w:val="140" w:id="-1500861425"/>
                <w14:textFill>
                  <w14:solidFill>
                    <w14:schemeClr w14:val="tx1">
                      <w14:alpha w14:val="100000"/>
                    </w14:schemeClr>
                  </w14:solidFill>
                </w14:textFill>
              </w:rPr>
              <w:t xml:space="preserve">　</w:t>
            </w:r>
            <w:r w:rsidRPr="009A3986">
              <w:rPr>
                <w:color w:val="000000" w:themeColor="text1"/>
                <w:w w:val="31"/>
                <w:szCs w:val="20"/>
                <w:shd w:val="solid" w:color="000000" w:fill="000000"/>
                <w:fitText w:val="140" w:id="-1500861425"/>
                <w14:textFill>
                  <w14:solidFill>
                    <w14:schemeClr w14:val="tx1">
                      <w14:alpha w14:val="100000"/>
                    </w14:schemeClr>
                  </w14:solidFill>
                </w14:textFill>
              </w:rPr>
              <w:t>|</w:t>
            </w:r>
            <w:r w:rsidRPr="009A3986">
              <w:rPr>
                <w:rFonts w:hint="eastAsia"/>
                <w:color w:val="000000" w:themeColor="text1"/>
                <w:w w:val="31"/>
                <w:szCs w:val="20"/>
                <w:shd w:val="solid" w:color="000000" w:fill="000000"/>
                <w:fitText w:val="140" w:id="-1500861425"/>
                <w14:textFill>
                  <w14:solidFill>
                    <w14:schemeClr w14:val="tx1">
                      <w14:alpha w14:val="100000"/>
                    </w14:schemeClr>
                  </w14:solidFill>
                </w14:textFill>
              </w:rPr>
              <w:t xml:space="preserve">　</w:t>
            </w:r>
            <w:r w:rsidR="008A7811">
              <w:rPr>
                <w:color w:val="000000" w:themeColor="text1"/>
                <w:szCs w:val="20"/>
                <w:vertAlign w:val="superscript"/>
              </w:rPr>
              <w:t>4</w:t>
            </w:r>
          </w:p>
        </w:tc>
        <w:tc>
          <w:tcPr>
            <w:tcW w:w="647" w:type="pct"/>
            <w:shd w:val="clear" w:color="auto" w:fill="auto"/>
          </w:tcPr>
          <w:p w14:paraId="2332DB0C" w14:textId="6781B0E5" w:rsidR="00E374F0" w:rsidRPr="0078736D" w:rsidRDefault="0078736D" w:rsidP="002A5391">
            <w:pPr>
              <w:pStyle w:val="TableText0"/>
              <w:keepLines/>
              <w:ind w:left="720" w:hanging="720"/>
              <w:jc w:val="right"/>
              <w:rPr>
                <w:color w:val="000000" w:themeColor="text1"/>
                <w:szCs w:val="20"/>
                <w:highlight w:val="yellow"/>
              </w:rPr>
            </w:pPr>
            <w:r w:rsidRPr="009A3986">
              <w:rPr>
                <w:rFonts w:hint="eastAsia"/>
                <w:color w:val="000000" w:themeColor="text1"/>
                <w:w w:val="31"/>
                <w:szCs w:val="20"/>
                <w:shd w:val="solid" w:color="000000" w:fill="000000"/>
                <w:fitText w:val="140" w:id="-1500861424"/>
                <w14:textFill>
                  <w14:solidFill>
                    <w14:schemeClr w14:val="tx1">
                      <w14:alpha w14:val="100000"/>
                    </w14:schemeClr>
                  </w14:solidFill>
                </w14:textFill>
              </w:rPr>
              <w:t xml:space="preserve">　</w:t>
            </w:r>
            <w:r w:rsidRPr="009A3986">
              <w:rPr>
                <w:color w:val="000000" w:themeColor="text1"/>
                <w:w w:val="31"/>
                <w:szCs w:val="20"/>
                <w:shd w:val="solid" w:color="000000" w:fill="000000"/>
                <w:fitText w:val="140" w:id="-1500861424"/>
                <w14:textFill>
                  <w14:solidFill>
                    <w14:schemeClr w14:val="tx1">
                      <w14:alpha w14:val="100000"/>
                    </w14:schemeClr>
                  </w14:solidFill>
                </w14:textFill>
              </w:rPr>
              <w:t>|</w:t>
            </w:r>
            <w:r w:rsidRPr="009A3986">
              <w:rPr>
                <w:rFonts w:hint="eastAsia"/>
                <w:color w:val="000000" w:themeColor="text1"/>
                <w:w w:val="31"/>
                <w:szCs w:val="20"/>
                <w:shd w:val="solid" w:color="000000" w:fill="000000"/>
                <w:fitText w:val="140" w:id="-1500861424"/>
                <w14:textFill>
                  <w14:solidFill>
                    <w14:schemeClr w14:val="tx1">
                      <w14:alpha w14:val="100000"/>
                    </w14:schemeClr>
                  </w14:solidFill>
                </w14:textFill>
              </w:rPr>
              <w:t xml:space="preserve">　</w:t>
            </w:r>
            <w:r w:rsidR="008A7811">
              <w:rPr>
                <w:color w:val="000000" w:themeColor="text1"/>
                <w:szCs w:val="20"/>
                <w:vertAlign w:val="superscript"/>
              </w:rPr>
              <w:t>4</w:t>
            </w:r>
          </w:p>
        </w:tc>
        <w:tc>
          <w:tcPr>
            <w:tcW w:w="647" w:type="pct"/>
            <w:shd w:val="clear" w:color="auto" w:fill="auto"/>
          </w:tcPr>
          <w:p w14:paraId="710A3366" w14:textId="756C1DA6" w:rsidR="00E374F0" w:rsidRPr="0078736D" w:rsidRDefault="0078736D" w:rsidP="002A5391">
            <w:pPr>
              <w:pStyle w:val="TableText0"/>
              <w:keepLines/>
              <w:ind w:left="720" w:hanging="720"/>
              <w:jc w:val="right"/>
              <w:rPr>
                <w:color w:val="000000" w:themeColor="text1"/>
                <w:szCs w:val="20"/>
                <w:highlight w:val="yellow"/>
              </w:rPr>
            </w:pPr>
            <w:r w:rsidRPr="009A3986">
              <w:rPr>
                <w:rFonts w:hint="eastAsia"/>
                <w:color w:val="000000" w:themeColor="text1"/>
                <w:w w:val="31"/>
                <w:szCs w:val="20"/>
                <w:shd w:val="solid" w:color="000000" w:fill="000000"/>
                <w:fitText w:val="140" w:id="-1500861440"/>
                <w14:textFill>
                  <w14:solidFill>
                    <w14:schemeClr w14:val="tx1">
                      <w14:alpha w14:val="100000"/>
                    </w14:schemeClr>
                  </w14:solidFill>
                </w14:textFill>
              </w:rPr>
              <w:t xml:space="preserve">　</w:t>
            </w:r>
            <w:r w:rsidRPr="009A3986">
              <w:rPr>
                <w:color w:val="000000" w:themeColor="text1"/>
                <w:w w:val="31"/>
                <w:szCs w:val="20"/>
                <w:shd w:val="solid" w:color="000000" w:fill="000000"/>
                <w:fitText w:val="140" w:id="-1500861440"/>
                <w14:textFill>
                  <w14:solidFill>
                    <w14:schemeClr w14:val="tx1">
                      <w14:alpha w14:val="100000"/>
                    </w14:schemeClr>
                  </w14:solidFill>
                </w14:textFill>
              </w:rPr>
              <w:t>|</w:t>
            </w:r>
            <w:r w:rsidRPr="009A3986">
              <w:rPr>
                <w:rFonts w:hint="eastAsia"/>
                <w:color w:val="000000" w:themeColor="text1"/>
                <w:w w:val="31"/>
                <w:szCs w:val="20"/>
                <w:shd w:val="solid" w:color="000000" w:fill="000000"/>
                <w:fitText w:val="140" w:id="-1500861440"/>
                <w14:textFill>
                  <w14:solidFill>
                    <w14:schemeClr w14:val="tx1">
                      <w14:alpha w14:val="100000"/>
                    </w14:schemeClr>
                  </w14:solidFill>
                </w14:textFill>
              </w:rPr>
              <w:t xml:space="preserve">　</w:t>
            </w:r>
            <w:r w:rsidR="008A7811">
              <w:rPr>
                <w:color w:val="000000" w:themeColor="text1"/>
                <w:szCs w:val="20"/>
                <w:vertAlign w:val="superscript"/>
              </w:rPr>
              <w:t>4</w:t>
            </w:r>
          </w:p>
        </w:tc>
        <w:tc>
          <w:tcPr>
            <w:tcW w:w="647" w:type="pct"/>
          </w:tcPr>
          <w:p w14:paraId="2F62BA4E" w14:textId="5390B457"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4</w:t>
            </w:r>
          </w:p>
        </w:tc>
      </w:tr>
      <w:tr w:rsidR="00E374F0" w:rsidRPr="00BD1F00" w14:paraId="4A69E569" w14:textId="77777777" w:rsidTr="00E20505">
        <w:tc>
          <w:tcPr>
            <w:tcW w:w="5000" w:type="pct"/>
            <w:gridSpan w:val="7"/>
            <w:shd w:val="clear" w:color="auto" w:fill="auto"/>
            <w:vAlign w:val="center"/>
          </w:tcPr>
          <w:p w14:paraId="72D75878" w14:textId="5F2789BB" w:rsidR="00E374F0" w:rsidRPr="00F85022" w:rsidRDefault="00E374F0" w:rsidP="002A5391">
            <w:pPr>
              <w:pStyle w:val="TableText0"/>
              <w:keepLines/>
              <w:ind w:left="-33" w:firstLine="33"/>
              <w:rPr>
                <w:b/>
                <w:color w:val="000000" w:themeColor="text1"/>
                <w:szCs w:val="20"/>
                <w:vertAlign w:val="superscript"/>
              </w:rPr>
            </w:pPr>
            <w:r w:rsidRPr="00A604AC">
              <w:rPr>
                <w:b/>
                <w:color w:val="000000" w:themeColor="text1"/>
                <w:szCs w:val="20"/>
              </w:rPr>
              <w:t>DPMQ= $</w:t>
            </w:r>
            <w:r w:rsidR="0078736D" w:rsidRPr="009A3986">
              <w:rPr>
                <w:b/>
                <w:color w:val="000000" w:themeColor="text1"/>
                <w:spacing w:val="27"/>
                <w:szCs w:val="20"/>
                <w:shd w:val="solid" w:color="000000" w:fill="000000"/>
                <w:fitText w:val="340" w:id="-1500861439"/>
                <w14:textFill>
                  <w14:solidFill>
                    <w14:schemeClr w14:val="tx1">
                      <w14:alpha w14:val="100000"/>
                    </w14:schemeClr>
                  </w14:solidFill>
                </w14:textFill>
              </w:rPr>
              <w:t>|</w:t>
            </w:r>
            <w:proofErr w:type="gramStart"/>
            <w:r w:rsidR="0078736D" w:rsidRPr="009A3986">
              <w:rPr>
                <w:b/>
                <w:color w:val="000000" w:themeColor="text1"/>
                <w:spacing w:val="27"/>
                <w:szCs w:val="20"/>
                <w:shd w:val="solid" w:color="000000" w:fill="000000"/>
                <w:fitText w:val="340" w:id="-1500861439"/>
                <w14:textFill>
                  <w14:solidFill>
                    <w14:schemeClr w14:val="tx1">
                      <w14:alpha w14:val="100000"/>
                    </w14:schemeClr>
                  </w14:solidFill>
                </w14:textFill>
              </w:rPr>
              <w:t xml:space="preserve">|  </w:t>
            </w:r>
            <w:r w:rsidR="0078736D" w:rsidRPr="009A3986">
              <w:rPr>
                <w:b/>
                <w:color w:val="000000" w:themeColor="text1"/>
                <w:spacing w:val="3"/>
                <w:szCs w:val="20"/>
                <w:shd w:val="solid" w:color="000000" w:fill="000000"/>
                <w:fitText w:val="340" w:id="-1500861439"/>
                <w14:textFill>
                  <w14:solidFill>
                    <w14:schemeClr w14:val="tx1">
                      <w14:alpha w14:val="100000"/>
                    </w14:schemeClr>
                  </w14:solidFill>
                </w14:textFill>
              </w:rPr>
              <w:t>|</w:t>
            </w:r>
            <w:proofErr w:type="gramEnd"/>
            <w:r w:rsidR="00F85022" w:rsidRPr="00F85022">
              <w:rPr>
                <w:color w:val="000000" w:themeColor="text1"/>
                <w:szCs w:val="20"/>
                <w:vertAlign w:val="superscript"/>
              </w:rPr>
              <w:t xml:space="preserve"> a</w:t>
            </w:r>
          </w:p>
        </w:tc>
      </w:tr>
      <w:tr w:rsidR="00E374F0" w:rsidRPr="00BD1F00" w14:paraId="286A08E9" w14:textId="77777777" w:rsidTr="00E20505">
        <w:tc>
          <w:tcPr>
            <w:tcW w:w="5000" w:type="pct"/>
            <w:gridSpan w:val="7"/>
            <w:shd w:val="clear" w:color="auto" w:fill="auto"/>
            <w:vAlign w:val="center"/>
          </w:tcPr>
          <w:p w14:paraId="5B92C3AF" w14:textId="77777777" w:rsidR="00E374F0" w:rsidRPr="0062263F" w:rsidRDefault="00E374F0" w:rsidP="002A5391">
            <w:pPr>
              <w:pStyle w:val="In-tableHeading"/>
              <w:keepLines/>
              <w:ind w:left="-33" w:firstLine="33"/>
              <w:rPr>
                <w:color w:val="000000" w:themeColor="text1"/>
                <w:szCs w:val="20"/>
              </w:rPr>
            </w:pPr>
            <w:r w:rsidRPr="0062263F">
              <w:rPr>
                <w:color w:val="000000" w:themeColor="text1"/>
                <w:szCs w:val="20"/>
              </w:rPr>
              <w:t>Estimated financial implications of BEC/FOR</w:t>
            </w:r>
          </w:p>
        </w:tc>
      </w:tr>
      <w:tr w:rsidR="00E374F0" w:rsidRPr="00BD1F00" w14:paraId="46FBF8CE" w14:textId="77777777" w:rsidTr="00E20505">
        <w:tc>
          <w:tcPr>
            <w:tcW w:w="1118" w:type="pct"/>
            <w:shd w:val="clear" w:color="auto" w:fill="auto"/>
            <w:vAlign w:val="center"/>
          </w:tcPr>
          <w:p w14:paraId="06E4A18C" w14:textId="0ADBB124" w:rsidR="00E374F0" w:rsidRPr="0062263F" w:rsidRDefault="00E374F0" w:rsidP="002A5391">
            <w:pPr>
              <w:pStyle w:val="TableText0"/>
              <w:keepLines/>
              <w:ind w:left="-33" w:firstLine="33"/>
              <w:rPr>
                <w:color w:val="000000" w:themeColor="text1"/>
                <w:szCs w:val="20"/>
              </w:rPr>
            </w:pPr>
            <w:r w:rsidRPr="0062263F">
              <w:rPr>
                <w:color w:val="000000" w:themeColor="text1"/>
                <w:szCs w:val="20"/>
              </w:rPr>
              <w:t>Cost to PBS/RPBS less copayments</w:t>
            </w:r>
            <w:r w:rsidR="002070FC">
              <w:rPr>
                <w:color w:val="000000" w:themeColor="text1"/>
                <w:szCs w:val="20"/>
              </w:rPr>
              <w:t xml:space="preserve"> ($)</w:t>
            </w:r>
          </w:p>
        </w:tc>
        <w:tc>
          <w:tcPr>
            <w:tcW w:w="647" w:type="pct"/>
            <w:shd w:val="clear" w:color="auto" w:fill="auto"/>
          </w:tcPr>
          <w:p w14:paraId="0C16359B" w14:textId="036F06C3"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4B132232" w14:textId="68F6A791"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813BC6B" w14:textId="24A47196"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830300F" w14:textId="687660C1"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1BB08B77" w14:textId="48780CDA"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tcPr>
          <w:p w14:paraId="5EE309CD" w14:textId="514C956C"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41298FD0" w14:textId="77777777" w:rsidTr="00E20505">
        <w:tc>
          <w:tcPr>
            <w:tcW w:w="5000" w:type="pct"/>
            <w:gridSpan w:val="7"/>
            <w:shd w:val="clear" w:color="auto" w:fill="auto"/>
            <w:vAlign w:val="center"/>
          </w:tcPr>
          <w:p w14:paraId="4B84CFED" w14:textId="77777777" w:rsidR="00E374F0" w:rsidRPr="0062263F" w:rsidRDefault="00E374F0" w:rsidP="002A5391">
            <w:pPr>
              <w:pStyle w:val="TableText0"/>
              <w:keepLines/>
              <w:ind w:left="-33" w:firstLine="33"/>
              <w:rPr>
                <w:b/>
                <w:color w:val="000000" w:themeColor="text1"/>
                <w:szCs w:val="20"/>
              </w:rPr>
            </w:pPr>
            <w:r w:rsidRPr="0062263F">
              <w:rPr>
                <w:b/>
                <w:color w:val="000000" w:themeColor="text1"/>
                <w:szCs w:val="20"/>
              </w:rPr>
              <w:t>Estimated financial implications for FP/SAL, BUD/FOR, FF/VI</w:t>
            </w:r>
          </w:p>
        </w:tc>
      </w:tr>
      <w:tr w:rsidR="00E374F0" w:rsidRPr="00BD1F00" w14:paraId="12447A36" w14:textId="77777777" w:rsidTr="00E20505">
        <w:tc>
          <w:tcPr>
            <w:tcW w:w="1118" w:type="pct"/>
            <w:shd w:val="clear" w:color="auto" w:fill="auto"/>
            <w:vAlign w:val="center"/>
          </w:tcPr>
          <w:p w14:paraId="727EFACC" w14:textId="535AE58C" w:rsidR="00E374F0" w:rsidRPr="0062263F" w:rsidRDefault="00E374F0" w:rsidP="002A5391">
            <w:pPr>
              <w:pStyle w:val="TableText0"/>
              <w:keepLines/>
              <w:ind w:left="-33" w:firstLine="33"/>
              <w:rPr>
                <w:color w:val="000000" w:themeColor="text1"/>
                <w:szCs w:val="20"/>
              </w:rPr>
            </w:pPr>
            <w:r w:rsidRPr="0062263F">
              <w:rPr>
                <w:color w:val="000000" w:themeColor="text1"/>
                <w:szCs w:val="20"/>
              </w:rPr>
              <w:t>Cost to PBS/RPBS less copayments</w:t>
            </w:r>
            <w:r w:rsidR="002070FC">
              <w:rPr>
                <w:color w:val="000000" w:themeColor="text1"/>
                <w:szCs w:val="20"/>
              </w:rPr>
              <w:t xml:space="preserve"> ($)</w:t>
            </w:r>
          </w:p>
        </w:tc>
        <w:tc>
          <w:tcPr>
            <w:tcW w:w="647" w:type="pct"/>
            <w:shd w:val="clear" w:color="auto" w:fill="auto"/>
            <w:vAlign w:val="center"/>
          </w:tcPr>
          <w:p w14:paraId="0C6854F4" w14:textId="5656A45C"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198FDD66" w14:textId="582B4B11"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3F2D53D8" w14:textId="636C6E36"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48F64B60" w14:textId="5AD7FF1F"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2BB68DC6" w14:textId="7B8855C5"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vAlign w:val="center"/>
          </w:tcPr>
          <w:p w14:paraId="1569ADFD" w14:textId="455AEBB2"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73E0B006" w14:textId="77777777" w:rsidTr="00E20505">
        <w:tc>
          <w:tcPr>
            <w:tcW w:w="5000" w:type="pct"/>
            <w:gridSpan w:val="7"/>
            <w:shd w:val="clear" w:color="auto" w:fill="auto"/>
            <w:vAlign w:val="center"/>
          </w:tcPr>
          <w:p w14:paraId="68111F0A" w14:textId="77777777" w:rsidR="00E374F0" w:rsidRPr="0062263F" w:rsidRDefault="00E374F0" w:rsidP="002A5391">
            <w:pPr>
              <w:pStyle w:val="In-tableHeading"/>
              <w:keepLines/>
              <w:ind w:left="-33" w:firstLine="33"/>
              <w:rPr>
                <w:color w:val="000000" w:themeColor="text1"/>
                <w:szCs w:val="20"/>
              </w:rPr>
            </w:pPr>
            <w:r w:rsidRPr="0062263F">
              <w:rPr>
                <w:color w:val="000000" w:themeColor="text1"/>
                <w:szCs w:val="20"/>
              </w:rPr>
              <w:t xml:space="preserve">Net financial implications </w:t>
            </w:r>
          </w:p>
        </w:tc>
      </w:tr>
      <w:tr w:rsidR="00E374F0" w:rsidRPr="00BD1F00" w14:paraId="31322DC8" w14:textId="77777777" w:rsidTr="00E20505">
        <w:tc>
          <w:tcPr>
            <w:tcW w:w="1118" w:type="pct"/>
            <w:shd w:val="clear" w:color="auto" w:fill="auto"/>
            <w:vAlign w:val="center"/>
          </w:tcPr>
          <w:p w14:paraId="0DCDDDE1" w14:textId="64964ACE" w:rsidR="00E374F0" w:rsidRPr="0062263F" w:rsidRDefault="00E374F0" w:rsidP="002A5391">
            <w:pPr>
              <w:pStyle w:val="TableText0"/>
              <w:keepLines/>
              <w:ind w:left="-33" w:firstLine="33"/>
              <w:rPr>
                <w:color w:val="000000" w:themeColor="text1"/>
                <w:szCs w:val="20"/>
              </w:rPr>
            </w:pPr>
            <w:r w:rsidRPr="0062263F">
              <w:rPr>
                <w:color w:val="000000" w:themeColor="text1"/>
                <w:szCs w:val="20"/>
              </w:rPr>
              <w:t>Net cost to PBS/RPBS</w:t>
            </w:r>
            <w:r w:rsidR="002070FC">
              <w:rPr>
                <w:color w:val="000000" w:themeColor="text1"/>
                <w:szCs w:val="20"/>
              </w:rPr>
              <w:t xml:space="preserve"> ($)</w:t>
            </w:r>
          </w:p>
        </w:tc>
        <w:tc>
          <w:tcPr>
            <w:tcW w:w="647" w:type="pct"/>
            <w:shd w:val="clear" w:color="auto" w:fill="auto"/>
            <w:vAlign w:val="center"/>
          </w:tcPr>
          <w:p w14:paraId="2DC5B26B" w14:textId="54BC89FC"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145A76C2" w14:textId="35F7B278"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6D8AB9AE" w14:textId="04EAD1B7"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7E0233CE" w14:textId="4F986034"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358A5FBF" w14:textId="0D958CD5"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vAlign w:val="center"/>
          </w:tcPr>
          <w:p w14:paraId="1887EA3F" w14:textId="4DEF7A20"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34353AE6" w14:textId="77777777" w:rsidTr="00E20505">
        <w:tc>
          <w:tcPr>
            <w:tcW w:w="1118" w:type="pct"/>
            <w:shd w:val="clear" w:color="auto" w:fill="auto"/>
            <w:vAlign w:val="center"/>
          </w:tcPr>
          <w:p w14:paraId="6D1322A7" w14:textId="7D20051B" w:rsidR="00E374F0" w:rsidRPr="0062263F" w:rsidRDefault="00E374F0" w:rsidP="002A5391">
            <w:pPr>
              <w:pStyle w:val="TableText0"/>
              <w:keepLines/>
              <w:ind w:left="-33" w:firstLine="33"/>
              <w:rPr>
                <w:color w:val="000000" w:themeColor="text1"/>
                <w:szCs w:val="20"/>
              </w:rPr>
            </w:pPr>
            <w:r w:rsidRPr="0062263F">
              <w:rPr>
                <w:color w:val="000000" w:themeColor="text1"/>
                <w:szCs w:val="20"/>
              </w:rPr>
              <w:t>Net cost to MBS</w:t>
            </w:r>
            <w:r w:rsidR="002070FC">
              <w:rPr>
                <w:color w:val="000000" w:themeColor="text1"/>
                <w:szCs w:val="20"/>
              </w:rPr>
              <w:t xml:space="preserve"> ($)</w:t>
            </w:r>
          </w:p>
        </w:tc>
        <w:tc>
          <w:tcPr>
            <w:tcW w:w="647" w:type="pct"/>
            <w:shd w:val="clear" w:color="auto" w:fill="auto"/>
            <w:vAlign w:val="center"/>
          </w:tcPr>
          <w:p w14:paraId="12254812" w14:textId="6F3AA079"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B4AA77E" w14:textId="2A2DC603"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A085528" w14:textId="7F1ABFD4"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CB7A4D6" w14:textId="712C3FB3"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C3BA69E" w14:textId="7916E9CE"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tcPr>
          <w:p w14:paraId="7773E56B" w14:textId="36FA0CB6"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5D0911CF" w14:textId="77777777" w:rsidTr="00E20505">
        <w:trPr>
          <w:trHeight w:val="305"/>
        </w:trPr>
        <w:tc>
          <w:tcPr>
            <w:tcW w:w="1118" w:type="pct"/>
            <w:shd w:val="clear" w:color="auto" w:fill="auto"/>
            <w:vAlign w:val="center"/>
          </w:tcPr>
          <w:p w14:paraId="79215B4C" w14:textId="24CD5760" w:rsidR="00E374F0" w:rsidRPr="0062263F" w:rsidRDefault="00E374F0" w:rsidP="002A5391">
            <w:pPr>
              <w:pStyle w:val="TableText0"/>
              <w:keepLines/>
              <w:ind w:left="-33" w:firstLine="33"/>
              <w:rPr>
                <w:color w:val="000000" w:themeColor="text1"/>
                <w:szCs w:val="20"/>
              </w:rPr>
            </w:pPr>
            <w:r w:rsidRPr="0062263F">
              <w:rPr>
                <w:color w:val="000000" w:themeColor="text1"/>
                <w:szCs w:val="20"/>
              </w:rPr>
              <w:t>Net cost to Government</w:t>
            </w:r>
            <w:r w:rsidR="002070FC">
              <w:rPr>
                <w:color w:val="000000" w:themeColor="text1"/>
                <w:szCs w:val="20"/>
              </w:rPr>
              <w:t xml:space="preserve"> ($)</w:t>
            </w:r>
          </w:p>
        </w:tc>
        <w:tc>
          <w:tcPr>
            <w:tcW w:w="647" w:type="pct"/>
            <w:shd w:val="clear" w:color="auto" w:fill="auto"/>
            <w:vAlign w:val="center"/>
          </w:tcPr>
          <w:p w14:paraId="0FB87955" w14:textId="252EB4D8"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33137C22" w14:textId="31C122DE"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0D8DFE6B" w14:textId="1F70E470"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1B660F16" w14:textId="58DBFA2D"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vAlign w:val="center"/>
          </w:tcPr>
          <w:p w14:paraId="355D8C05" w14:textId="029C8022"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vAlign w:val="center"/>
          </w:tcPr>
          <w:p w14:paraId="60D16B2A" w14:textId="741EE6DB" w:rsidR="00E374F0" w:rsidRPr="0062263F" w:rsidRDefault="00E374F0" w:rsidP="002A5391">
            <w:pPr>
              <w:pStyle w:val="TableText0"/>
              <w:keepLines/>
              <w:ind w:left="720" w:hanging="720"/>
              <w:jc w:val="right"/>
              <w:rPr>
                <w:color w:val="000000" w:themeColor="text1"/>
                <w:szCs w:val="20"/>
              </w:rPr>
            </w:pPr>
            <w:r w:rsidRPr="00A604AC">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69EBEB7E" w14:textId="77777777" w:rsidTr="00E20505">
        <w:tc>
          <w:tcPr>
            <w:tcW w:w="5000" w:type="pct"/>
            <w:gridSpan w:val="7"/>
            <w:shd w:val="clear" w:color="auto" w:fill="auto"/>
            <w:vAlign w:val="center"/>
          </w:tcPr>
          <w:p w14:paraId="3FFD0D16" w14:textId="209C886B" w:rsidR="00E374F0" w:rsidRPr="0062263F" w:rsidRDefault="00E374F0" w:rsidP="002A5391">
            <w:pPr>
              <w:pStyle w:val="In-tableHeading"/>
              <w:keepLines/>
              <w:ind w:left="-33" w:firstLine="33"/>
              <w:rPr>
                <w:color w:val="000000" w:themeColor="text1"/>
                <w:szCs w:val="20"/>
              </w:rPr>
            </w:pPr>
            <w:r w:rsidRPr="00A604AC">
              <w:rPr>
                <w:color w:val="000000" w:themeColor="text1"/>
                <w:szCs w:val="20"/>
              </w:rPr>
              <w:t>DPMQ= $</w:t>
            </w:r>
            <w:proofErr w:type="gramStart"/>
            <w:r w:rsidR="00EA40DF" w:rsidRPr="009A3986">
              <w:rPr>
                <w:color w:val="000000" w:themeColor="text1"/>
                <w:spacing w:val="15"/>
                <w:w w:val="67"/>
                <w:szCs w:val="20"/>
                <w:shd w:val="solid" w:color="000000" w:fill="000000"/>
                <w:fitText w:val="123" w:id="-1498141184"/>
                <w14:textFill>
                  <w14:solidFill>
                    <w14:schemeClr w14:val="tx1">
                      <w14:alpha w14:val="100000"/>
                    </w14:schemeClr>
                  </w14:solidFill>
                </w14:textFill>
              </w:rPr>
              <w:t xml:space="preserve">| </w:t>
            </w:r>
            <w:r w:rsidR="00EA40DF" w:rsidRPr="009A3986">
              <w:rPr>
                <w:color w:val="000000" w:themeColor="text1"/>
                <w:spacing w:val="2"/>
                <w:w w:val="67"/>
                <w:szCs w:val="20"/>
                <w:shd w:val="solid" w:color="000000" w:fill="000000"/>
                <w:fitText w:val="123" w:id="-1498141184"/>
                <w14:textFill>
                  <w14:solidFill>
                    <w14:schemeClr w14:val="tx1">
                      <w14:alpha w14:val="100000"/>
                    </w14:schemeClr>
                  </w14:solidFill>
                </w14:textFill>
              </w:rPr>
              <w:t xml:space="preserve"> </w:t>
            </w:r>
            <w:r w:rsidR="00EA40DF" w:rsidRPr="009A3986">
              <w:rPr>
                <w:color w:val="000000" w:themeColor="text1"/>
                <w:w w:val="65"/>
                <w:szCs w:val="20"/>
                <w:shd w:val="solid" w:color="000000" w:fill="000000"/>
                <w:fitText w:val="179" w:id="-1498140928"/>
                <w14:textFill>
                  <w14:solidFill>
                    <w14:schemeClr w14:val="tx1">
                      <w14:alpha w14:val="100000"/>
                    </w14:schemeClr>
                  </w14:solidFill>
                </w14:textFill>
              </w:rPr>
              <w:t>|</w:t>
            </w:r>
            <w:proofErr w:type="gramEnd"/>
            <w:r w:rsidR="00EA40DF" w:rsidRPr="009A3986">
              <w:rPr>
                <w:color w:val="000000" w:themeColor="text1"/>
                <w:w w:val="65"/>
                <w:szCs w:val="20"/>
                <w:shd w:val="solid" w:color="000000" w:fill="000000"/>
                <w:fitText w:val="179" w:id="-1498140928"/>
                <w14:textFill>
                  <w14:solidFill>
                    <w14:schemeClr w14:val="tx1">
                      <w14:alpha w14:val="100000"/>
                    </w14:schemeClr>
                  </w14:solidFill>
                </w14:textFill>
              </w:rPr>
              <w:t>|  ||</w:t>
            </w:r>
            <w:r w:rsidR="00EA40DF">
              <w:rPr>
                <w:color w:val="000000" w:themeColor="text1"/>
                <w:w w:val="67"/>
                <w:szCs w:val="20"/>
                <w:shd w:val="solid" w:color="000000" w:fill="000000"/>
                <w14:textFill>
                  <w14:solidFill>
                    <w14:schemeClr w14:val="tx1">
                      <w14:alpha w14:val="100000"/>
                    </w14:schemeClr>
                  </w14:solidFill>
                </w14:textFill>
              </w:rPr>
              <w:t xml:space="preserve"> </w:t>
            </w:r>
            <w:r w:rsidRPr="00A604AC">
              <w:rPr>
                <w:color w:val="000000" w:themeColor="text1"/>
                <w:szCs w:val="20"/>
                <w:vertAlign w:val="superscript"/>
              </w:rPr>
              <w:t>b</w:t>
            </w:r>
          </w:p>
        </w:tc>
      </w:tr>
      <w:tr w:rsidR="00E374F0" w:rsidRPr="00BD1F00" w14:paraId="59F0AAA2" w14:textId="77777777" w:rsidTr="00E20505">
        <w:tc>
          <w:tcPr>
            <w:tcW w:w="5000" w:type="pct"/>
            <w:gridSpan w:val="7"/>
            <w:shd w:val="clear" w:color="auto" w:fill="auto"/>
            <w:vAlign w:val="center"/>
          </w:tcPr>
          <w:p w14:paraId="1AB62D33" w14:textId="77777777" w:rsidR="00E374F0" w:rsidRPr="0062263F" w:rsidRDefault="00E374F0" w:rsidP="002A5391">
            <w:pPr>
              <w:pStyle w:val="TableText0"/>
              <w:keepLines/>
              <w:ind w:left="-33" w:firstLine="33"/>
              <w:rPr>
                <w:b/>
                <w:color w:val="000000" w:themeColor="text1"/>
                <w:szCs w:val="20"/>
              </w:rPr>
            </w:pPr>
            <w:r w:rsidRPr="0062263F">
              <w:rPr>
                <w:b/>
                <w:color w:val="000000" w:themeColor="text1"/>
                <w:szCs w:val="20"/>
              </w:rPr>
              <w:t>Estimated financial implications of BEC/FOR</w:t>
            </w:r>
          </w:p>
        </w:tc>
      </w:tr>
      <w:tr w:rsidR="00E374F0" w:rsidRPr="00BD1F00" w14:paraId="605AEC7A" w14:textId="77777777" w:rsidTr="00E20505">
        <w:tc>
          <w:tcPr>
            <w:tcW w:w="1118" w:type="pct"/>
            <w:shd w:val="clear" w:color="auto" w:fill="auto"/>
            <w:vAlign w:val="center"/>
          </w:tcPr>
          <w:p w14:paraId="00CEF008" w14:textId="7D676DE5" w:rsidR="00E374F0" w:rsidRPr="0062263F" w:rsidRDefault="00E374F0" w:rsidP="002A5391">
            <w:pPr>
              <w:pStyle w:val="TableText0"/>
              <w:keepLines/>
              <w:ind w:left="-33" w:firstLine="33"/>
              <w:rPr>
                <w:color w:val="000000" w:themeColor="text1"/>
                <w:szCs w:val="20"/>
              </w:rPr>
            </w:pPr>
            <w:r w:rsidRPr="0062263F">
              <w:rPr>
                <w:color w:val="000000" w:themeColor="text1"/>
                <w:szCs w:val="20"/>
              </w:rPr>
              <w:t>Cost to PBS/RPBS less copayments</w:t>
            </w:r>
            <w:r w:rsidR="002070FC">
              <w:rPr>
                <w:color w:val="000000" w:themeColor="text1"/>
                <w:szCs w:val="20"/>
              </w:rPr>
              <w:t xml:space="preserve"> ($)</w:t>
            </w:r>
          </w:p>
        </w:tc>
        <w:tc>
          <w:tcPr>
            <w:tcW w:w="647" w:type="pct"/>
            <w:shd w:val="clear" w:color="auto" w:fill="auto"/>
          </w:tcPr>
          <w:p w14:paraId="1DDB1AF4" w14:textId="79E0178B"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79A5D762" w14:textId="2A1A4402"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A44C0A6" w14:textId="5A01F8AD"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A9F9411" w14:textId="1144E886"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0700425F" w14:textId="2AD0E170"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2FFEE318" w14:textId="135D1AA9" w:rsidR="00E374F0" w:rsidRPr="0078736D" w:rsidRDefault="0078736D" w:rsidP="002A5391">
            <w:pPr>
              <w:pStyle w:val="TableText0"/>
              <w:keepLines/>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750FA2E2" w14:textId="77777777" w:rsidTr="00E20505">
        <w:tc>
          <w:tcPr>
            <w:tcW w:w="5000" w:type="pct"/>
            <w:gridSpan w:val="7"/>
            <w:shd w:val="clear" w:color="auto" w:fill="auto"/>
            <w:vAlign w:val="center"/>
          </w:tcPr>
          <w:p w14:paraId="1B2EFF94" w14:textId="77777777" w:rsidR="00E374F0" w:rsidRPr="0062263F" w:rsidRDefault="00E374F0" w:rsidP="002A5391">
            <w:pPr>
              <w:pStyle w:val="TableText0"/>
              <w:keepLines/>
              <w:ind w:left="-33" w:firstLine="33"/>
              <w:rPr>
                <w:b/>
                <w:color w:val="000000" w:themeColor="text1"/>
                <w:szCs w:val="20"/>
              </w:rPr>
            </w:pPr>
            <w:r w:rsidRPr="0062263F">
              <w:rPr>
                <w:b/>
                <w:color w:val="000000" w:themeColor="text1"/>
                <w:szCs w:val="20"/>
              </w:rPr>
              <w:t>Estimated financial implications for FP/SAL, BUD/FOR, FF/VI</w:t>
            </w:r>
          </w:p>
        </w:tc>
      </w:tr>
      <w:tr w:rsidR="00E374F0" w:rsidRPr="00BD1F00" w14:paraId="44B47016" w14:textId="77777777" w:rsidTr="00E20505">
        <w:tc>
          <w:tcPr>
            <w:tcW w:w="1118" w:type="pct"/>
            <w:shd w:val="clear" w:color="auto" w:fill="auto"/>
            <w:vAlign w:val="center"/>
          </w:tcPr>
          <w:p w14:paraId="73E8BB4C" w14:textId="3420ABD8" w:rsidR="00E374F0" w:rsidRPr="0062263F" w:rsidRDefault="00E374F0" w:rsidP="002A5391">
            <w:pPr>
              <w:pStyle w:val="TableText0"/>
              <w:keepLines/>
              <w:ind w:left="-33" w:firstLine="33"/>
              <w:rPr>
                <w:color w:val="000000" w:themeColor="text1"/>
                <w:szCs w:val="20"/>
              </w:rPr>
            </w:pPr>
            <w:r w:rsidRPr="0062263F">
              <w:rPr>
                <w:color w:val="000000" w:themeColor="text1"/>
                <w:szCs w:val="20"/>
              </w:rPr>
              <w:t>Cost to PBS/RPBS less copayments</w:t>
            </w:r>
            <w:r w:rsidR="00781A32">
              <w:rPr>
                <w:color w:val="000000" w:themeColor="text1"/>
                <w:szCs w:val="20"/>
              </w:rPr>
              <w:t xml:space="preserve"> ($)</w:t>
            </w:r>
          </w:p>
        </w:tc>
        <w:tc>
          <w:tcPr>
            <w:tcW w:w="647" w:type="pct"/>
            <w:shd w:val="clear" w:color="auto" w:fill="auto"/>
          </w:tcPr>
          <w:p w14:paraId="426654E9" w14:textId="3C04B525"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AD443B0" w14:textId="1F7E57FA"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C3596FE" w14:textId="2BFDA5CB"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EEE8961" w14:textId="337DF741"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001938DE" w14:textId="17BDB571"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62A73BF7" w14:textId="1ABC6BB9" w:rsidR="00E374F0" w:rsidRPr="000A7FFD" w:rsidRDefault="00E374F0" w:rsidP="002A5391">
            <w:pPr>
              <w:pStyle w:val="TableText0"/>
              <w:keepLines/>
              <w:ind w:left="720" w:hanging="720"/>
              <w:jc w:val="right"/>
              <w:rPr>
                <w:color w:val="000000" w:themeColor="text1"/>
                <w:szCs w:val="20"/>
              </w:rPr>
            </w:pPr>
            <w:r w:rsidRPr="000A7FFD">
              <w:rPr>
                <w:color w:val="000000" w:themeColor="text1"/>
                <w:szCs w:val="20"/>
              </w:rPr>
              <w:t>-</w:t>
            </w:r>
            <w:r w:rsidR="00781A32">
              <w:rPr>
                <w:color w:val="000000" w:themeColor="text1"/>
                <w:szCs w:val="20"/>
              </w:rPr>
              <w:t xml:space="preserve"> </w:t>
            </w:r>
            <w:r w:rsidR="0078736D"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0F45AE26" w14:textId="77777777" w:rsidTr="00E20505">
        <w:tc>
          <w:tcPr>
            <w:tcW w:w="5000" w:type="pct"/>
            <w:gridSpan w:val="7"/>
            <w:shd w:val="clear" w:color="auto" w:fill="auto"/>
            <w:vAlign w:val="center"/>
          </w:tcPr>
          <w:p w14:paraId="593CDF0C" w14:textId="77777777" w:rsidR="00E374F0" w:rsidRPr="000A7FFD" w:rsidRDefault="00E374F0" w:rsidP="005A049C">
            <w:pPr>
              <w:pStyle w:val="TableText0"/>
              <w:ind w:left="-33" w:firstLine="33"/>
              <w:rPr>
                <w:b/>
                <w:color w:val="000000" w:themeColor="text1"/>
                <w:szCs w:val="20"/>
              </w:rPr>
            </w:pPr>
            <w:r w:rsidRPr="000A7FFD">
              <w:rPr>
                <w:b/>
                <w:color w:val="000000" w:themeColor="text1"/>
                <w:szCs w:val="20"/>
              </w:rPr>
              <w:t xml:space="preserve">Net financial implications </w:t>
            </w:r>
          </w:p>
        </w:tc>
      </w:tr>
      <w:tr w:rsidR="00E374F0" w:rsidRPr="00BD1F00" w14:paraId="66528E6E" w14:textId="77777777" w:rsidTr="00E20505">
        <w:tc>
          <w:tcPr>
            <w:tcW w:w="1118" w:type="pct"/>
            <w:shd w:val="clear" w:color="auto" w:fill="auto"/>
            <w:vAlign w:val="center"/>
          </w:tcPr>
          <w:p w14:paraId="7F3692A9" w14:textId="4DD2F060" w:rsidR="00E374F0" w:rsidRPr="0062263F" w:rsidRDefault="00E374F0" w:rsidP="005A049C">
            <w:pPr>
              <w:pStyle w:val="TableText0"/>
              <w:ind w:left="-33" w:firstLine="33"/>
              <w:rPr>
                <w:color w:val="000000" w:themeColor="text1"/>
                <w:szCs w:val="20"/>
              </w:rPr>
            </w:pPr>
            <w:r w:rsidRPr="0062263F">
              <w:rPr>
                <w:color w:val="000000" w:themeColor="text1"/>
                <w:szCs w:val="20"/>
              </w:rPr>
              <w:t>Net cost to PBS/RPBS</w:t>
            </w:r>
            <w:r w:rsidR="00781A32">
              <w:rPr>
                <w:color w:val="000000" w:themeColor="text1"/>
                <w:szCs w:val="20"/>
              </w:rPr>
              <w:t xml:space="preserve"> ($)</w:t>
            </w:r>
          </w:p>
        </w:tc>
        <w:tc>
          <w:tcPr>
            <w:tcW w:w="647" w:type="pct"/>
            <w:shd w:val="clear" w:color="auto" w:fill="auto"/>
          </w:tcPr>
          <w:p w14:paraId="6BA559B3" w14:textId="027EEC06"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416F0F0E" w14:textId="74AC2165"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CA15CA2" w14:textId="34A2277B"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56B96CF" w14:textId="21F46B18"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7B854283" w14:textId="2E73E0E0"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42558816" w14:textId="059E563C"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4C98BDA3" w14:textId="77777777" w:rsidTr="00E20505">
        <w:tc>
          <w:tcPr>
            <w:tcW w:w="1118" w:type="pct"/>
            <w:shd w:val="clear" w:color="auto" w:fill="auto"/>
            <w:vAlign w:val="center"/>
          </w:tcPr>
          <w:p w14:paraId="082EF505" w14:textId="66E5A194" w:rsidR="00E374F0" w:rsidRPr="0062263F" w:rsidRDefault="00E374F0" w:rsidP="005A049C">
            <w:pPr>
              <w:pStyle w:val="TableText0"/>
              <w:ind w:left="-33" w:firstLine="33"/>
              <w:rPr>
                <w:color w:val="000000" w:themeColor="text1"/>
                <w:szCs w:val="20"/>
              </w:rPr>
            </w:pPr>
            <w:r w:rsidRPr="0062263F">
              <w:rPr>
                <w:color w:val="000000" w:themeColor="text1"/>
                <w:szCs w:val="20"/>
              </w:rPr>
              <w:t>Net cost to MBS</w:t>
            </w:r>
            <w:r w:rsidR="00781A32">
              <w:rPr>
                <w:color w:val="000000" w:themeColor="text1"/>
                <w:szCs w:val="20"/>
              </w:rPr>
              <w:t xml:space="preserve"> ($)</w:t>
            </w:r>
          </w:p>
        </w:tc>
        <w:tc>
          <w:tcPr>
            <w:tcW w:w="647" w:type="pct"/>
            <w:shd w:val="clear" w:color="auto" w:fill="auto"/>
            <w:vAlign w:val="center"/>
          </w:tcPr>
          <w:p w14:paraId="0C7A793E" w14:textId="7E12AEBD"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189EA62" w14:textId="56D6BB2F"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2F1878C" w14:textId="04B21147"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76E9C672" w14:textId="3BB6BA7E"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016EF349" w14:textId="0AE1E8AB"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1877F257" w14:textId="39E75A56"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2CFD518E" w14:textId="77777777" w:rsidTr="00E20505">
        <w:trPr>
          <w:trHeight w:val="332"/>
        </w:trPr>
        <w:tc>
          <w:tcPr>
            <w:tcW w:w="1118" w:type="pct"/>
            <w:shd w:val="clear" w:color="auto" w:fill="auto"/>
            <w:vAlign w:val="center"/>
          </w:tcPr>
          <w:p w14:paraId="1AAFE6E1" w14:textId="4DA53D6B" w:rsidR="00E374F0" w:rsidRPr="0062263F" w:rsidRDefault="00E374F0" w:rsidP="005A049C">
            <w:pPr>
              <w:pStyle w:val="TableText0"/>
              <w:ind w:left="-33" w:firstLine="33"/>
              <w:rPr>
                <w:color w:val="000000" w:themeColor="text1"/>
                <w:szCs w:val="20"/>
              </w:rPr>
            </w:pPr>
            <w:r w:rsidRPr="0062263F">
              <w:rPr>
                <w:color w:val="000000" w:themeColor="text1"/>
                <w:szCs w:val="20"/>
              </w:rPr>
              <w:t>Net cost to Government</w:t>
            </w:r>
            <w:r w:rsidR="00781A32">
              <w:rPr>
                <w:color w:val="000000" w:themeColor="text1"/>
                <w:szCs w:val="20"/>
              </w:rPr>
              <w:t xml:space="preserve"> </w:t>
            </w:r>
            <w:r w:rsidR="00781A32" w:rsidRPr="0078736D">
              <w:rPr>
                <w:bCs w:val="0"/>
                <w:color w:val="000000" w:themeColor="text1"/>
                <w:szCs w:val="20"/>
              </w:rPr>
              <w:t>($)</w:t>
            </w:r>
          </w:p>
        </w:tc>
        <w:tc>
          <w:tcPr>
            <w:tcW w:w="647" w:type="pct"/>
            <w:shd w:val="clear" w:color="auto" w:fill="auto"/>
          </w:tcPr>
          <w:p w14:paraId="6938FAA3" w14:textId="5753D851"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49F42232" w14:textId="677AD17F"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35D0AFFB" w14:textId="250FA42D"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21FC0587" w14:textId="1F43ACF8"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C6CE19C" w14:textId="4AA36F6D"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c>
          <w:tcPr>
            <w:tcW w:w="647" w:type="pct"/>
            <w:shd w:val="clear" w:color="auto" w:fill="auto"/>
          </w:tcPr>
          <w:p w14:paraId="58180825" w14:textId="72022DFF" w:rsidR="00E374F0" w:rsidRPr="0078736D" w:rsidRDefault="0078736D" w:rsidP="00A7711D">
            <w:pPr>
              <w:pStyle w:val="TableText0"/>
              <w:ind w:left="720" w:hanging="720"/>
              <w:jc w:val="right"/>
              <w:rPr>
                <w:color w:val="000000" w:themeColor="text1"/>
                <w:szCs w:val="20"/>
                <w:highlight w:val="yellow"/>
              </w:rPr>
            </w:pPr>
            <w:r w:rsidRPr="0078736D">
              <w:rPr>
                <w:color w:val="000000" w:themeColor="text1"/>
                <w:szCs w:val="20"/>
                <w:shd w:val="solid" w:color="000000" w:fill="000000"/>
                <w14:textFill>
                  <w14:solidFill>
                    <w14:schemeClr w14:val="tx1">
                      <w14:alpha w14:val="100000"/>
                    </w14:schemeClr>
                  </w14:solidFill>
                </w14:textFill>
              </w:rPr>
              <w:t>|</w:t>
            </w:r>
            <w:r w:rsidR="008A7811">
              <w:rPr>
                <w:color w:val="000000" w:themeColor="text1"/>
                <w:szCs w:val="20"/>
                <w:vertAlign w:val="superscript"/>
              </w:rPr>
              <w:t>2</w:t>
            </w:r>
          </w:p>
        </w:tc>
      </w:tr>
      <w:tr w:rsidR="00E374F0" w:rsidRPr="00BD1F00" w14:paraId="4929F62C" w14:textId="77777777" w:rsidTr="00E20505">
        <w:tc>
          <w:tcPr>
            <w:tcW w:w="5000" w:type="pct"/>
            <w:gridSpan w:val="7"/>
            <w:shd w:val="clear" w:color="auto" w:fill="auto"/>
            <w:vAlign w:val="center"/>
          </w:tcPr>
          <w:p w14:paraId="0D2E6D76" w14:textId="2A26A018" w:rsidR="00E374F0" w:rsidRPr="00A604AC" w:rsidRDefault="00E374F0" w:rsidP="005A049C">
            <w:pPr>
              <w:pStyle w:val="In-tableHeading"/>
              <w:ind w:left="-33" w:firstLine="33"/>
              <w:rPr>
                <w:color w:val="000000" w:themeColor="text1"/>
                <w:szCs w:val="20"/>
              </w:rPr>
            </w:pPr>
            <w:r w:rsidRPr="00A604AC">
              <w:rPr>
                <w:color w:val="000000" w:themeColor="text1"/>
                <w:szCs w:val="20"/>
              </w:rPr>
              <w:t>DPMQ= $</w:t>
            </w:r>
            <w:r w:rsidR="00EA40DF" w:rsidRPr="009A3986">
              <w:rPr>
                <w:color w:val="000000" w:themeColor="text1"/>
                <w:spacing w:val="5"/>
                <w:szCs w:val="20"/>
                <w:shd w:val="solid" w:color="000000" w:fill="000000"/>
                <w:fitText w:val="301" w:id="-1498140927"/>
                <w14:textFill>
                  <w14:solidFill>
                    <w14:schemeClr w14:val="tx1">
                      <w14:alpha w14:val="100000"/>
                    </w14:schemeClr>
                  </w14:solidFill>
                </w14:textFill>
              </w:rPr>
              <w:t>|</w:t>
            </w:r>
            <w:proofErr w:type="gramStart"/>
            <w:r w:rsidR="00EA40DF" w:rsidRPr="009A3986">
              <w:rPr>
                <w:color w:val="000000" w:themeColor="text1"/>
                <w:spacing w:val="5"/>
                <w:szCs w:val="20"/>
                <w:shd w:val="solid" w:color="000000" w:fill="000000"/>
                <w:fitText w:val="301" w:id="-1498140927"/>
                <w14:textFill>
                  <w14:solidFill>
                    <w14:schemeClr w14:val="tx1">
                      <w14:alpha w14:val="100000"/>
                    </w14:schemeClr>
                  </w14:solidFill>
                </w14:textFill>
              </w:rPr>
              <w:t>|  |</w:t>
            </w:r>
            <w:proofErr w:type="gramEnd"/>
            <w:r w:rsidR="00EA40DF" w:rsidRPr="009A3986">
              <w:rPr>
                <w:color w:val="000000" w:themeColor="text1"/>
                <w:spacing w:val="1"/>
                <w:szCs w:val="20"/>
                <w:shd w:val="solid" w:color="000000" w:fill="000000"/>
                <w:fitText w:val="301" w:id="-1498140927"/>
                <w14:textFill>
                  <w14:solidFill>
                    <w14:schemeClr w14:val="tx1">
                      <w14:alpha w14:val="100000"/>
                    </w14:schemeClr>
                  </w14:solidFill>
                </w14:textFill>
              </w:rPr>
              <w:t>|</w:t>
            </w:r>
            <w:r w:rsidR="00EA40DF">
              <w:rPr>
                <w:color w:val="000000" w:themeColor="text1"/>
                <w:szCs w:val="20"/>
              </w:rPr>
              <w:t xml:space="preserve"> </w:t>
            </w:r>
            <w:r w:rsidRPr="00A604AC">
              <w:rPr>
                <w:color w:val="000000" w:themeColor="text1"/>
                <w:szCs w:val="20"/>
                <w:vertAlign w:val="superscript"/>
              </w:rPr>
              <w:t>c</w:t>
            </w:r>
          </w:p>
        </w:tc>
      </w:tr>
      <w:tr w:rsidR="00E374F0" w:rsidRPr="00BD1F00" w14:paraId="4C085283" w14:textId="77777777" w:rsidTr="00E20505">
        <w:tc>
          <w:tcPr>
            <w:tcW w:w="5000" w:type="pct"/>
            <w:gridSpan w:val="7"/>
            <w:shd w:val="clear" w:color="auto" w:fill="auto"/>
            <w:vAlign w:val="center"/>
          </w:tcPr>
          <w:p w14:paraId="69D5D990" w14:textId="77777777" w:rsidR="00E374F0" w:rsidRPr="00A604AC" w:rsidRDefault="00E374F0" w:rsidP="005A049C">
            <w:pPr>
              <w:pStyle w:val="In-tableHeading"/>
              <w:ind w:left="-33" w:firstLine="33"/>
              <w:rPr>
                <w:color w:val="000000" w:themeColor="text1"/>
                <w:szCs w:val="20"/>
              </w:rPr>
            </w:pPr>
            <w:r w:rsidRPr="0062263F">
              <w:rPr>
                <w:color w:val="000000" w:themeColor="text1"/>
                <w:szCs w:val="20"/>
              </w:rPr>
              <w:t>Estimated financial implications of BEC/FOR</w:t>
            </w:r>
          </w:p>
        </w:tc>
      </w:tr>
      <w:tr w:rsidR="00E374F0" w:rsidRPr="00BD1F00" w14:paraId="4AEBDC36" w14:textId="77777777" w:rsidTr="00E20505">
        <w:tc>
          <w:tcPr>
            <w:tcW w:w="1118" w:type="pct"/>
            <w:shd w:val="clear" w:color="auto" w:fill="auto"/>
            <w:vAlign w:val="center"/>
          </w:tcPr>
          <w:p w14:paraId="76524653" w14:textId="5DD5D4BD" w:rsidR="00E374F0" w:rsidRPr="00A604AC" w:rsidRDefault="00E374F0" w:rsidP="005A049C">
            <w:pPr>
              <w:pStyle w:val="In-tableHeading"/>
              <w:ind w:left="-33" w:firstLine="33"/>
              <w:rPr>
                <w:b w:val="0"/>
                <w:color w:val="000000" w:themeColor="text1"/>
                <w:szCs w:val="20"/>
              </w:rPr>
            </w:pPr>
            <w:r w:rsidRPr="0062263F">
              <w:rPr>
                <w:b w:val="0"/>
                <w:color w:val="000000" w:themeColor="text1"/>
                <w:szCs w:val="20"/>
              </w:rPr>
              <w:t>Cost to PBS/RPBS less copayments</w:t>
            </w:r>
            <w:r w:rsidR="00781A32">
              <w:rPr>
                <w:b w:val="0"/>
                <w:color w:val="000000" w:themeColor="text1"/>
                <w:szCs w:val="20"/>
              </w:rPr>
              <w:t xml:space="preserve"> </w:t>
            </w:r>
            <w:r w:rsidR="00781A32" w:rsidRPr="00253996">
              <w:rPr>
                <w:b w:val="0"/>
                <w:bCs/>
                <w:color w:val="000000" w:themeColor="text1"/>
                <w:szCs w:val="20"/>
              </w:rPr>
              <w:t>($)</w:t>
            </w:r>
          </w:p>
        </w:tc>
        <w:tc>
          <w:tcPr>
            <w:tcW w:w="647" w:type="pct"/>
            <w:shd w:val="clear" w:color="auto" w:fill="auto"/>
          </w:tcPr>
          <w:p w14:paraId="4D60DD15" w14:textId="1209C626"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bCs/>
                <w:color w:val="000000" w:themeColor="text1"/>
                <w:szCs w:val="20"/>
                <w:vertAlign w:val="superscript"/>
              </w:rPr>
              <w:t>2</w:t>
            </w:r>
          </w:p>
        </w:tc>
        <w:tc>
          <w:tcPr>
            <w:tcW w:w="647" w:type="pct"/>
            <w:shd w:val="clear" w:color="auto" w:fill="auto"/>
          </w:tcPr>
          <w:p w14:paraId="180E3D15" w14:textId="7A0379B3"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754A08EC" w14:textId="0A988937"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34452BB6" w14:textId="6749EEAA"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5CAAC732" w14:textId="11C5793B"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1EA8C074" w14:textId="1784D806"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r>
      <w:tr w:rsidR="00E374F0" w:rsidRPr="00BD1F00" w14:paraId="24CB524F" w14:textId="77777777" w:rsidTr="00E20505">
        <w:tc>
          <w:tcPr>
            <w:tcW w:w="5000" w:type="pct"/>
            <w:gridSpan w:val="7"/>
            <w:shd w:val="clear" w:color="auto" w:fill="auto"/>
            <w:vAlign w:val="center"/>
          </w:tcPr>
          <w:p w14:paraId="556BD4B0" w14:textId="118E3529" w:rsidR="00E374F0" w:rsidRPr="000A7FFD" w:rsidRDefault="00E374F0" w:rsidP="005A049C">
            <w:pPr>
              <w:pStyle w:val="In-tableHeading"/>
              <w:ind w:left="-33" w:firstLine="33"/>
              <w:rPr>
                <w:color w:val="000000" w:themeColor="text1"/>
                <w:szCs w:val="20"/>
              </w:rPr>
            </w:pPr>
            <w:r w:rsidRPr="000A7FFD">
              <w:rPr>
                <w:color w:val="000000" w:themeColor="text1"/>
                <w:szCs w:val="20"/>
              </w:rPr>
              <w:t>Estimated financial implications for FP/SAL, BUD/</w:t>
            </w:r>
            <w:proofErr w:type="gramStart"/>
            <w:r w:rsidRPr="000A7FFD">
              <w:rPr>
                <w:color w:val="000000" w:themeColor="text1"/>
                <w:szCs w:val="20"/>
              </w:rPr>
              <w:t>FOR,</w:t>
            </w:r>
            <w:r w:rsidR="008A7811">
              <w:rPr>
                <w:color w:val="000000" w:themeColor="text1"/>
                <w:szCs w:val="20"/>
                <w:vertAlign w:val="superscript"/>
              </w:rPr>
              <w:t xml:space="preserve"> </w:t>
            </w:r>
            <w:r w:rsidRPr="000A7FFD">
              <w:rPr>
                <w:color w:val="000000" w:themeColor="text1"/>
                <w:szCs w:val="20"/>
              </w:rPr>
              <w:t xml:space="preserve"> FF</w:t>
            </w:r>
            <w:proofErr w:type="gramEnd"/>
            <w:r w:rsidRPr="000A7FFD">
              <w:rPr>
                <w:color w:val="000000" w:themeColor="text1"/>
                <w:szCs w:val="20"/>
              </w:rPr>
              <w:t>/VI</w:t>
            </w:r>
          </w:p>
        </w:tc>
      </w:tr>
      <w:tr w:rsidR="00E374F0" w:rsidRPr="00BD1F00" w14:paraId="34997B2F" w14:textId="77777777" w:rsidTr="00E20505">
        <w:tc>
          <w:tcPr>
            <w:tcW w:w="1118" w:type="pct"/>
            <w:shd w:val="clear" w:color="auto" w:fill="auto"/>
            <w:vAlign w:val="center"/>
          </w:tcPr>
          <w:p w14:paraId="27216988" w14:textId="7FCC8914" w:rsidR="00E374F0" w:rsidRPr="00A604AC" w:rsidRDefault="00E374F0" w:rsidP="005A049C">
            <w:pPr>
              <w:pStyle w:val="In-tableHeading"/>
              <w:ind w:left="-33" w:firstLine="33"/>
              <w:rPr>
                <w:b w:val="0"/>
                <w:color w:val="000000" w:themeColor="text1"/>
                <w:szCs w:val="20"/>
              </w:rPr>
            </w:pPr>
            <w:r w:rsidRPr="0062263F">
              <w:rPr>
                <w:b w:val="0"/>
                <w:color w:val="000000" w:themeColor="text1"/>
                <w:szCs w:val="20"/>
              </w:rPr>
              <w:t>Cost to PBS/RPBS less copayments</w:t>
            </w:r>
            <w:r w:rsidR="00781A32">
              <w:rPr>
                <w:b w:val="0"/>
                <w:color w:val="000000" w:themeColor="text1"/>
                <w:szCs w:val="20"/>
              </w:rPr>
              <w:t xml:space="preserve"> </w:t>
            </w:r>
            <w:r w:rsidR="00781A32" w:rsidRPr="00253996">
              <w:rPr>
                <w:b w:val="0"/>
                <w:bCs/>
                <w:color w:val="000000" w:themeColor="text1"/>
                <w:szCs w:val="20"/>
              </w:rPr>
              <w:t>($)</w:t>
            </w:r>
          </w:p>
        </w:tc>
        <w:tc>
          <w:tcPr>
            <w:tcW w:w="647" w:type="pct"/>
            <w:shd w:val="clear" w:color="auto" w:fill="auto"/>
          </w:tcPr>
          <w:p w14:paraId="47DA4F29" w14:textId="722F901E"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1D1BC00C" w14:textId="429D5094"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4CA35244" w14:textId="0A45F4E2"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3097E69A" w14:textId="2D807873"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4E766B00" w14:textId="75B509A8"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2FF3BCA9" w14:textId="523F0740"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r>
      <w:tr w:rsidR="00E374F0" w:rsidRPr="00BD1F00" w14:paraId="43C0CA24" w14:textId="77777777" w:rsidTr="00E20505">
        <w:tc>
          <w:tcPr>
            <w:tcW w:w="5000" w:type="pct"/>
            <w:gridSpan w:val="7"/>
            <w:shd w:val="clear" w:color="auto" w:fill="auto"/>
            <w:vAlign w:val="center"/>
          </w:tcPr>
          <w:p w14:paraId="7F17811A" w14:textId="77777777" w:rsidR="00E374F0" w:rsidRPr="000A7FFD" w:rsidRDefault="00E374F0" w:rsidP="00A7711D">
            <w:pPr>
              <w:pStyle w:val="In-tableHeading"/>
              <w:ind w:left="720" w:hanging="720"/>
              <w:rPr>
                <w:color w:val="000000" w:themeColor="text1"/>
                <w:szCs w:val="20"/>
              </w:rPr>
            </w:pPr>
            <w:r w:rsidRPr="000A7FFD">
              <w:rPr>
                <w:color w:val="000000" w:themeColor="text1"/>
                <w:szCs w:val="20"/>
              </w:rPr>
              <w:t xml:space="preserve">Net financial implications </w:t>
            </w:r>
          </w:p>
        </w:tc>
      </w:tr>
      <w:tr w:rsidR="00E374F0" w:rsidRPr="00BD1F00" w14:paraId="4390AF87" w14:textId="77777777" w:rsidTr="00E20505">
        <w:tc>
          <w:tcPr>
            <w:tcW w:w="1118" w:type="pct"/>
            <w:shd w:val="clear" w:color="auto" w:fill="auto"/>
            <w:vAlign w:val="center"/>
          </w:tcPr>
          <w:p w14:paraId="56179F1E" w14:textId="3D0AD45C" w:rsidR="00E374F0" w:rsidRPr="00A604AC" w:rsidRDefault="00E374F0" w:rsidP="00A7711D">
            <w:pPr>
              <w:pStyle w:val="In-tableHeading"/>
              <w:ind w:left="720" w:hanging="720"/>
              <w:rPr>
                <w:b w:val="0"/>
                <w:color w:val="000000" w:themeColor="text1"/>
                <w:szCs w:val="20"/>
              </w:rPr>
            </w:pPr>
            <w:r w:rsidRPr="0062263F">
              <w:rPr>
                <w:b w:val="0"/>
                <w:color w:val="000000" w:themeColor="text1"/>
                <w:szCs w:val="20"/>
              </w:rPr>
              <w:t>Net cost to PBS/RPBS</w:t>
            </w:r>
            <w:r w:rsidR="00781A32">
              <w:rPr>
                <w:b w:val="0"/>
                <w:color w:val="000000" w:themeColor="text1"/>
                <w:szCs w:val="20"/>
              </w:rPr>
              <w:t xml:space="preserve"> </w:t>
            </w:r>
            <w:r w:rsidR="00781A32" w:rsidRPr="00253996">
              <w:rPr>
                <w:b w:val="0"/>
                <w:bCs/>
                <w:color w:val="000000" w:themeColor="text1"/>
                <w:szCs w:val="20"/>
              </w:rPr>
              <w:t>($)</w:t>
            </w:r>
          </w:p>
        </w:tc>
        <w:tc>
          <w:tcPr>
            <w:tcW w:w="647" w:type="pct"/>
            <w:shd w:val="clear" w:color="auto" w:fill="auto"/>
          </w:tcPr>
          <w:p w14:paraId="63402C25" w14:textId="62B7F6D7" w:rsidR="00E374F0" w:rsidRPr="000A7FFD" w:rsidRDefault="00E374F0" w:rsidP="00A7711D">
            <w:pPr>
              <w:pStyle w:val="In-tableHeading"/>
              <w:ind w:left="720" w:hanging="720"/>
              <w:jc w:val="right"/>
              <w:rPr>
                <w:b w:val="0"/>
                <w:color w:val="000000" w:themeColor="text1"/>
                <w:szCs w:val="20"/>
              </w:rPr>
            </w:pPr>
            <w:r w:rsidRPr="000A7FFD">
              <w:rPr>
                <w:b w:val="0"/>
                <w:color w:val="000000" w:themeColor="text1"/>
                <w:szCs w:val="20"/>
              </w:rPr>
              <w:t>-</w:t>
            </w:r>
            <w:r w:rsidR="00432AD2">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bCs/>
                <w:color w:val="000000" w:themeColor="text1"/>
                <w:szCs w:val="20"/>
                <w:vertAlign w:val="superscript"/>
              </w:rPr>
              <w:t>2</w:t>
            </w:r>
          </w:p>
        </w:tc>
        <w:tc>
          <w:tcPr>
            <w:tcW w:w="647" w:type="pct"/>
            <w:shd w:val="clear" w:color="auto" w:fill="auto"/>
          </w:tcPr>
          <w:p w14:paraId="2FEA7703" w14:textId="7514526C"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50E47353" w14:textId="3393CD77"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67290AB2" w14:textId="4BD93D5B"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2C8C3CCF" w14:textId="3F939503"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1B05AB7E" w14:textId="1DE1037C"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r>
      <w:tr w:rsidR="00E374F0" w:rsidRPr="00BD1F00" w14:paraId="6F859369" w14:textId="77777777" w:rsidTr="00E20505">
        <w:tc>
          <w:tcPr>
            <w:tcW w:w="1118" w:type="pct"/>
            <w:shd w:val="clear" w:color="auto" w:fill="auto"/>
            <w:vAlign w:val="center"/>
          </w:tcPr>
          <w:p w14:paraId="20AAB512" w14:textId="1A0AA6A6" w:rsidR="00E374F0" w:rsidRPr="00A604AC" w:rsidRDefault="00E374F0" w:rsidP="00A7711D">
            <w:pPr>
              <w:pStyle w:val="In-tableHeading"/>
              <w:ind w:left="720" w:hanging="720"/>
              <w:rPr>
                <w:b w:val="0"/>
                <w:color w:val="000000" w:themeColor="text1"/>
                <w:szCs w:val="20"/>
              </w:rPr>
            </w:pPr>
            <w:r w:rsidRPr="0062263F">
              <w:rPr>
                <w:b w:val="0"/>
                <w:color w:val="000000" w:themeColor="text1"/>
                <w:szCs w:val="20"/>
              </w:rPr>
              <w:t>Net cost to MBS</w:t>
            </w:r>
            <w:r w:rsidR="00781A32">
              <w:rPr>
                <w:b w:val="0"/>
                <w:color w:val="000000" w:themeColor="text1"/>
                <w:szCs w:val="20"/>
              </w:rPr>
              <w:t xml:space="preserve"> </w:t>
            </w:r>
            <w:r w:rsidR="00781A32" w:rsidRPr="0078736D">
              <w:rPr>
                <w:b w:val="0"/>
                <w:bCs/>
                <w:color w:val="000000" w:themeColor="text1"/>
                <w:szCs w:val="20"/>
              </w:rPr>
              <w:t>($)</w:t>
            </w:r>
          </w:p>
        </w:tc>
        <w:tc>
          <w:tcPr>
            <w:tcW w:w="647" w:type="pct"/>
            <w:shd w:val="clear" w:color="auto" w:fill="auto"/>
            <w:vAlign w:val="center"/>
          </w:tcPr>
          <w:p w14:paraId="4FF14403" w14:textId="1F81F116"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bCs/>
                <w:color w:val="000000" w:themeColor="text1"/>
                <w:szCs w:val="20"/>
                <w:vertAlign w:val="superscript"/>
              </w:rPr>
              <w:t>2</w:t>
            </w:r>
          </w:p>
        </w:tc>
        <w:tc>
          <w:tcPr>
            <w:tcW w:w="647" w:type="pct"/>
            <w:shd w:val="clear" w:color="auto" w:fill="auto"/>
          </w:tcPr>
          <w:p w14:paraId="75CB0413" w14:textId="536D307D"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086836B4" w14:textId="0304BA3E"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21075D27" w14:textId="7D4B0564"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328D58C4" w14:textId="44F8142F"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7393287F" w14:textId="240C0075" w:rsidR="00E374F0" w:rsidRPr="0078736D" w:rsidRDefault="0078736D" w:rsidP="00A7711D">
            <w:pPr>
              <w:pStyle w:val="In-tableHeading"/>
              <w:ind w:left="720" w:hanging="720"/>
              <w:jc w:val="right"/>
              <w:rPr>
                <w:b w:val="0"/>
                <w:color w:val="000000" w:themeColor="text1"/>
                <w:szCs w:val="20"/>
                <w:highlight w:val="yellow"/>
              </w:rPr>
            </w:pPr>
            <w:r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r>
      <w:tr w:rsidR="00E374F0" w:rsidRPr="00BD1F00" w14:paraId="2B0D240F" w14:textId="77777777" w:rsidTr="00E20505">
        <w:tc>
          <w:tcPr>
            <w:tcW w:w="1118" w:type="pct"/>
            <w:shd w:val="clear" w:color="auto" w:fill="auto"/>
            <w:vAlign w:val="center"/>
          </w:tcPr>
          <w:p w14:paraId="727505F9" w14:textId="1E62D9B4" w:rsidR="00E374F0" w:rsidRPr="00A604AC" w:rsidRDefault="00E374F0" w:rsidP="00A7711D">
            <w:pPr>
              <w:pStyle w:val="In-tableHeading"/>
              <w:ind w:left="720" w:hanging="720"/>
              <w:rPr>
                <w:b w:val="0"/>
                <w:color w:val="000000" w:themeColor="text1"/>
                <w:szCs w:val="20"/>
              </w:rPr>
            </w:pPr>
            <w:r w:rsidRPr="0062263F">
              <w:rPr>
                <w:b w:val="0"/>
                <w:color w:val="000000" w:themeColor="text1"/>
                <w:szCs w:val="20"/>
              </w:rPr>
              <w:t>Net cost to Government</w:t>
            </w:r>
            <w:r w:rsidR="00781A32">
              <w:rPr>
                <w:b w:val="0"/>
                <w:color w:val="000000" w:themeColor="text1"/>
                <w:szCs w:val="20"/>
              </w:rPr>
              <w:t xml:space="preserve"> </w:t>
            </w:r>
            <w:r w:rsidR="00781A32" w:rsidRPr="0078736D">
              <w:rPr>
                <w:b w:val="0"/>
                <w:bCs/>
                <w:color w:val="000000" w:themeColor="text1"/>
                <w:szCs w:val="20"/>
              </w:rPr>
              <w:t>($)</w:t>
            </w:r>
          </w:p>
        </w:tc>
        <w:tc>
          <w:tcPr>
            <w:tcW w:w="647" w:type="pct"/>
            <w:shd w:val="clear" w:color="auto" w:fill="auto"/>
          </w:tcPr>
          <w:p w14:paraId="0E7311C7" w14:textId="09D449DE" w:rsidR="00E374F0" w:rsidRPr="000A7FFD" w:rsidRDefault="00E374F0" w:rsidP="00A7711D">
            <w:pPr>
              <w:pStyle w:val="In-tableHeading"/>
              <w:ind w:left="720" w:hanging="720"/>
              <w:jc w:val="right"/>
              <w:rPr>
                <w:b w:val="0"/>
                <w:color w:val="000000" w:themeColor="text1"/>
                <w:szCs w:val="20"/>
              </w:rPr>
            </w:pPr>
            <w:r w:rsidRPr="000A7FFD">
              <w:rPr>
                <w:b w:val="0"/>
                <w:color w:val="000000" w:themeColor="text1"/>
                <w:szCs w:val="20"/>
              </w:rPr>
              <w:t>-</w:t>
            </w:r>
            <w:r w:rsidR="00432AD2">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bCs/>
                <w:color w:val="000000" w:themeColor="text1"/>
                <w:szCs w:val="20"/>
                <w:vertAlign w:val="superscript"/>
              </w:rPr>
              <w:t>2</w:t>
            </w:r>
          </w:p>
        </w:tc>
        <w:tc>
          <w:tcPr>
            <w:tcW w:w="647" w:type="pct"/>
            <w:shd w:val="clear" w:color="auto" w:fill="auto"/>
          </w:tcPr>
          <w:p w14:paraId="6F7DBD8E" w14:textId="082228C2"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45DDEE9E" w14:textId="41CB792B"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6E17EAF4" w14:textId="7DE04E04"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269D7E64" w14:textId="200744CE"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c>
          <w:tcPr>
            <w:tcW w:w="647" w:type="pct"/>
            <w:shd w:val="clear" w:color="auto" w:fill="auto"/>
          </w:tcPr>
          <w:p w14:paraId="03067D9A" w14:textId="0A1A15E8" w:rsidR="00E374F0" w:rsidRPr="00B62173" w:rsidRDefault="00E374F0" w:rsidP="00A7711D">
            <w:pPr>
              <w:pStyle w:val="In-tableHeading"/>
              <w:ind w:left="720" w:hanging="720"/>
              <w:jc w:val="right"/>
              <w:rPr>
                <w:b w:val="0"/>
                <w:color w:val="000000" w:themeColor="text1"/>
                <w:szCs w:val="20"/>
              </w:rPr>
            </w:pPr>
            <w:r w:rsidRPr="00B62173">
              <w:rPr>
                <w:b w:val="0"/>
                <w:color w:val="000000" w:themeColor="text1"/>
                <w:szCs w:val="20"/>
              </w:rPr>
              <w:t>-</w:t>
            </w:r>
            <w:r w:rsidR="00432AD2" w:rsidRPr="00B62173">
              <w:rPr>
                <w:b w:val="0"/>
                <w:color w:val="000000" w:themeColor="text1"/>
                <w:szCs w:val="20"/>
              </w:rPr>
              <w:t xml:space="preserve"> </w:t>
            </w:r>
            <w:r w:rsidR="0078736D" w:rsidRPr="0078736D">
              <w:rPr>
                <w:b w:val="0"/>
                <w:color w:val="000000" w:themeColor="text1"/>
                <w:szCs w:val="20"/>
                <w:shd w:val="solid" w:color="000000" w:fill="000000"/>
                <w14:textFill>
                  <w14:solidFill>
                    <w14:schemeClr w14:val="tx1">
                      <w14:alpha w14:val="100000"/>
                    </w14:schemeClr>
                  </w14:solidFill>
                </w14:textFill>
              </w:rPr>
              <w:t>|</w:t>
            </w:r>
            <w:r w:rsidR="008A7811" w:rsidRPr="0078736D">
              <w:rPr>
                <w:b w:val="0"/>
                <w:color w:val="000000" w:themeColor="text1"/>
                <w:szCs w:val="20"/>
                <w:vertAlign w:val="superscript"/>
              </w:rPr>
              <w:t>2</w:t>
            </w:r>
          </w:p>
        </w:tc>
      </w:tr>
    </w:tbl>
    <w:p w14:paraId="322D2640" w14:textId="77777777" w:rsidR="00E374F0" w:rsidRPr="0062263F" w:rsidRDefault="00E374F0" w:rsidP="005041F3">
      <w:pPr>
        <w:rPr>
          <w:rStyle w:val="CommentReference"/>
          <w:b w:val="0"/>
          <w:color w:val="000000" w:themeColor="text1"/>
          <w:sz w:val="18"/>
          <w:szCs w:val="18"/>
        </w:rPr>
      </w:pPr>
      <w:r w:rsidRPr="0062263F">
        <w:rPr>
          <w:rFonts w:ascii="Arial Narrow" w:hAnsi="Arial Narrow"/>
          <w:color w:val="000000" w:themeColor="text1"/>
          <w:sz w:val="18"/>
          <w:szCs w:val="18"/>
        </w:rPr>
        <w:t>Abbreviations: BEC = beclometasone dipropionate; BUD = budesonide; FF = fluticasone fumarate; FOR = formoterol fumarate; FP = fluticasone propionate; MBS = Medicare Benefits Schedule; MF = mometasone fumarate; PBS = Pharmaceutical Benefits Scheme; RPBS = Repatriation Pharmaceutical Benefits Scheme; SAL = salmeterol; VI = vilanterol</w:t>
      </w:r>
    </w:p>
    <w:p w14:paraId="092124B8" w14:textId="2650AD04" w:rsidR="00E374F0" w:rsidRPr="0062263F" w:rsidRDefault="00E374F0" w:rsidP="00A7711D">
      <w:pPr>
        <w:ind w:left="720" w:hanging="720"/>
        <w:rPr>
          <w:rFonts w:ascii="Arial Narrow" w:hAnsi="Arial Narrow"/>
          <w:color w:val="000000" w:themeColor="text1"/>
          <w:sz w:val="18"/>
          <w:szCs w:val="18"/>
        </w:rPr>
      </w:pPr>
      <w:proofErr w:type="spellStart"/>
      <w:r w:rsidRPr="0062263F">
        <w:rPr>
          <w:rFonts w:ascii="Arial Narrow" w:hAnsi="Arial Narrow"/>
          <w:color w:val="000000" w:themeColor="text1"/>
          <w:sz w:val="18"/>
          <w:szCs w:val="18"/>
          <w:vertAlign w:val="superscript"/>
        </w:rPr>
        <w:t>a</w:t>
      </w:r>
      <w:proofErr w:type="spellEnd"/>
      <w:r w:rsidRPr="0062263F">
        <w:rPr>
          <w:rFonts w:ascii="Arial Narrow" w:hAnsi="Arial Narrow"/>
          <w:color w:val="000000" w:themeColor="text1"/>
          <w:sz w:val="18"/>
          <w:szCs w:val="18"/>
        </w:rPr>
        <w:t xml:space="preserve"> Assuming </w:t>
      </w:r>
      <w:r w:rsidR="006228AF" w:rsidRPr="009A3986">
        <w:rPr>
          <w:rFonts w:ascii="Arial Narrow" w:hAnsi="Arial Narrow"/>
          <w:color w:val="000000" w:themeColor="text1"/>
          <w:spacing w:val="22"/>
          <w:sz w:val="18"/>
          <w:szCs w:val="18"/>
          <w:shd w:val="solid" w:color="000000" w:fill="000000"/>
          <w:fitText w:val="350" w:id="-1497651711"/>
          <w14:textFill>
            <w14:solidFill>
              <w14:schemeClr w14:val="tx1">
                <w14:alpha w14:val="100000"/>
              </w14:schemeClr>
            </w14:solidFill>
          </w14:textFill>
        </w:rPr>
        <w:t>|</w:t>
      </w:r>
      <w:proofErr w:type="gramStart"/>
      <w:r w:rsidR="006228AF" w:rsidRPr="009A3986">
        <w:rPr>
          <w:rFonts w:ascii="Arial Narrow" w:hAnsi="Arial Narrow"/>
          <w:color w:val="000000" w:themeColor="text1"/>
          <w:spacing w:val="22"/>
          <w:sz w:val="18"/>
          <w:szCs w:val="18"/>
          <w:shd w:val="solid" w:color="000000" w:fill="000000"/>
          <w:fitText w:val="350" w:id="-1497651711"/>
          <w14:textFill>
            <w14:solidFill>
              <w14:schemeClr w14:val="tx1">
                <w14:alpha w14:val="100000"/>
              </w14:schemeClr>
            </w14:solidFill>
          </w14:textFill>
        </w:rPr>
        <w:t>|  |</w:t>
      </w:r>
      <w:proofErr w:type="gramEnd"/>
      <w:r w:rsidR="006228AF" w:rsidRPr="009A3986">
        <w:rPr>
          <w:rFonts w:ascii="Arial Narrow" w:hAnsi="Arial Narrow"/>
          <w:color w:val="000000" w:themeColor="text1"/>
          <w:spacing w:val="5"/>
          <w:sz w:val="18"/>
          <w:szCs w:val="18"/>
          <w:shd w:val="solid" w:color="000000" w:fill="000000"/>
          <w:fitText w:val="350" w:id="-1497651711"/>
          <w14:textFill>
            <w14:solidFill>
              <w14:schemeClr w14:val="tx1">
                <w14:alpha w14:val="100000"/>
              </w14:schemeClr>
            </w14:solidFill>
          </w14:textFill>
        </w:rPr>
        <w:t>|</w:t>
      </w:r>
      <w:r w:rsidR="006228AF">
        <w:rPr>
          <w:rFonts w:ascii="Arial Narrow" w:hAnsi="Arial Narrow"/>
          <w:color w:val="000000" w:themeColor="text1"/>
          <w:sz w:val="18"/>
          <w:szCs w:val="18"/>
        </w:rPr>
        <w:t xml:space="preserve"> </w:t>
      </w:r>
      <w:r w:rsidRPr="0062263F">
        <w:rPr>
          <w:rFonts w:ascii="Arial Narrow" w:hAnsi="Arial Narrow"/>
          <w:color w:val="000000" w:themeColor="text1"/>
          <w:sz w:val="18"/>
          <w:szCs w:val="18"/>
        </w:rPr>
        <w:t>packs per year as estimated by the submission.</w:t>
      </w:r>
    </w:p>
    <w:p w14:paraId="578A548D" w14:textId="16A14DF0" w:rsidR="00E374F0" w:rsidRPr="000A7FFD" w:rsidRDefault="00E374F0" w:rsidP="005041F3">
      <w:pPr>
        <w:rPr>
          <w:rFonts w:ascii="Arial Narrow" w:hAnsi="Arial Narrow"/>
          <w:color w:val="000000" w:themeColor="text1"/>
          <w:sz w:val="18"/>
          <w:szCs w:val="18"/>
        </w:rPr>
      </w:pPr>
      <w:proofErr w:type="spellStart"/>
      <w:r w:rsidRPr="000A7FFD">
        <w:rPr>
          <w:rFonts w:ascii="Arial Narrow" w:hAnsi="Arial Narrow"/>
          <w:color w:val="000000" w:themeColor="text1"/>
          <w:sz w:val="18"/>
          <w:szCs w:val="18"/>
          <w:vertAlign w:val="superscript"/>
        </w:rPr>
        <w:t>b</w:t>
      </w:r>
      <w:r w:rsidRPr="000A7FFD">
        <w:rPr>
          <w:rFonts w:ascii="Arial Narrow" w:hAnsi="Arial Narrow"/>
          <w:color w:val="000000" w:themeColor="text1"/>
          <w:sz w:val="18"/>
          <w:szCs w:val="18"/>
        </w:rPr>
        <w:t>The</w:t>
      </w:r>
      <w:proofErr w:type="spellEnd"/>
      <w:r w:rsidRPr="000A7FFD">
        <w:rPr>
          <w:rFonts w:ascii="Arial Narrow" w:hAnsi="Arial Narrow"/>
          <w:color w:val="000000" w:themeColor="text1"/>
          <w:sz w:val="18"/>
          <w:szCs w:val="18"/>
        </w:rPr>
        <w:t xml:space="preserve"> dispensed price for maximum quantity (DPMQ) =$</w:t>
      </w:r>
      <w:proofErr w:type="gramStart"/>
      <w:r w:rsidR="00EA40DF" w:rsidRPr="009A3986">
        <w:rPr>
          <w:rFonts w:ascii="Arial Narrow" w:hAnsi="Arial Narrow"/>
          <w:color w:val="000000" w:themeColor="text1"/>
          <w:spacing w:val="37"/>
          <w:sz w:val="18"/>
          <w:szCs w:val="18"/>
          <w:shd w:val="solid" w:color="000000" w:fill="000000"/>
          <w:fitText w:val="272" w:id="-1498140926"/>
          <w14:textFill>
            <w14:solidFill>
              <w14:schemeClr w14:val="tx1">
                <w14:alpha w14:val="100000"/>
              </w14:schemeClr>
            </w14:solidFill>
          </w14:textFill>
        </w:rPr>
        <w:t xml:space="preserve">|  </w:t>
      </w:r>
      <w:r w:rsidR="00EA40DF" w:rsidRPr="009A3986">
        <w:rPr>
          <w:rFonts w:ascii="Arial Narrow" w:hAnsi="Arial Narrow"/>
          <w:color w:val="000000" w:themeColor="text1"/>
          <w:spacing w:val="3"/>
          <w:sz w:val="18"/>
          <w:szCs w:val="18"/>
          <w:shd w:val="solid" w:color="000000" w:fill="000000"/>
          <w:fitText w:val="272" w:id="-1498140926"/>
          <w14:textFill>
            <w14:solidFill>
              <w14:schemeClr w14:val="tx1">
                <w14:alpha w14:val="100000"/>
              </w14:schemeClr>
            </w14:solidFill>
          </w14:textFill>
        </w:rPr>
        <w:t>|</w:t>
      </w:r>
      <w:proofErr w:type="gramEnd"/>
      <w:r w:rsidRPr="000A7FFD">
        <w:rPr>
          <w:rFonts w:ascii="Arial Narrow" w:hAnsi="Arial Narrow"/>
          <w:color w:val="000000" w:themeColor="text1"/>
          <w:sz w:val="18"/>
          <w:szCs w:val="18"/>
        </w:rPr>
        <w:t>, which equates to indication specific price (AEMP of $</w:t>
      </w:r>
      <w:r w:rsidR="0078736D" w:rsidRPr="009A3986">
        <w:rPr>
          <w:rFonts w:ascii="Arial Narrow" w:hAnsi="Arial Narrow"/>
          <w:color w:val="000000" w:themeColor="text1"/>
          <w:spacing w:val="40"/>
          <w:sz w:val="18"/>
          <w:szCs w:val="18"/>
          <w:shd w:val="solid" w:color="000000" w:fill="000000"/>
          <w:fitText w:val="280" w:id="-1500861184"/>
          <w14:textFill>
            <w14:solidFill>
              <w14:schemeClr w14:val="tx1">
                <w14:alpha w14:val="100000"/>
              </w14:schemeClr>
            </w14:solidFill>
          </w14:textFill>
        </w:rPr>
        <w:t xml:space="preserve">|  </w:t>
      </w:r>
      <w:r w:rsidR="0078736D" w:rsidRPr="009A3986">
        <w:rPr>
          <w:rFonts w:ascii="Arial Narrow" w:hAnsi="Arial Narrow"/>
          <w:color w:val="000000" w:themeColor="text1"/>
          <w:spacing w:val="2"/>
          <w:sz w:val="18"/>
          <w:szCs w:val="18"/>
          <w:shd w:val="solid" w:color="000000" w:fill="000000"/>
          <w:fitText w:val="280" w:id="-1500861184"/>
          <w14:textFill>
            <w14:solidFill>
              <w14:schemeClr w14:val="tx1">
                <w14:alpha w14:val="100000"/>
              </w14:schemeClr>
            </w14:solidFill>
          </w14:textFill>
        </w:rPr>
        <w:t>|</w:t>
      </w:r>
      <w:r w:rsidR="00D6484A" w:rsidRPr="000A7FFD">
        <w:rPr>
          <w:rFonts w:ascii="Arial Narrow" w:hAnsi="Arial Narrow"/>
          <w:color w:val="000000" w:themeColor="text1"/>
          <w:sz w:val="18"/>
          <w:szCs w:val="18"/>
        </w:rPr>
        <w:t>)</w:t>
      </w:r>
      <w:r w:rsidRPr="000A7FFD">
        <w:rPr>
          <w:rFonts w:ascii="Arial Narrow" w:hAnsi="Arial Narrow"/>
          <w:color w:val="000000" w:themeColor="text1"/>
          <w:sz w:val="18"/>
          <w:szCs w:val="18"/>
        </w:rPr>
        <w:t>.</w:t>
      </w:r>
    </w:p>
    <w:p w14:paraId="70DA776B" w14:textId="03182FB5" w:rsidR="00E374F0" w:rsidRPr="000A7FFD" w:rsidRDefault="00E374F0" w:rsidP="005041F3">
      <w:pPr>
        <w:rPr>
          <w:rFonts w:ascii="Arial Narrow" w:hAnsi="Arial Narrow"/>
          <w:color w:val="000000" w:themeColor="text1"/>
          <w:sz w:val="18"/>
          <w:szCs w:val="18"/>
        </w:rPr>
      </w:pPr>
      <w:r w:rsidRPr="000A7FFD">
        <w:rPr>
          <w:rFonts w:ascii="Arial Narrow" w:hAnsi="Arial Narrow"/>
          <w:color w:val="000000" w:themeColor="text1"/>
          <w:sz w:val="18"/>
          <w:szCs w:val="18"/>
          <w:vertAlign w:val="superscript"/>
        </w:rPr>
        <w:t>c</w:t>
      </w:r>
      <w:r w:rsidRPr="000A7FFD">
        <w:rPr>
          <w:rFonts w:ascii="Arial Narrow" w:hAnsi="Arial Narrow"/>
          <w:color w:val="000000" w:themeColor="text1"/>
          <w:sz w:val="18"/>
          <w:szCs w:val="18"/>
        </w:rPr>
        <w:t xml:space="preserve"> For this calculation the dispensed price for maximum quantity (DPMQ) =$</w:t>
      </w:r>
      <w:proofErr w:type="gramStart"/>
      <w:r w:rsidR="00EA40DF" w:rsidRPr="009A3986">
        <w:rPr>
          <w:rFonts w:ascii="Arial Narrow" w:hAnsi="Arial Narrow"/>
          <w:color w:val="000000" w:themeColor="text1"/>
          <w:spacing w:val="35"/>
          <w:sz w:val="18"/>
          <w:szCs w:val="18"/>
          <w:shd w:val="solid" w:color="000000" w:fill="000000"/>
          <w:fitText w:val="265" w:id="-1498140925"/>
          <w14:textFill>
            <w14:solidFill>
              <w14:schemeClr w14:val="tx1">
                <w14:alpha w14:val="100000"/>
              </w14:schemeClr>
            </w14:solidFill>
          </w14:textFill>
        </w:rPr>
        <w:t xml:space="preserve">|  </w:t>
      </w:r>
      <w:r w:rsidR="00EA40DF" w:rsidRPr="009A3986">
        <w:rPr>
          <w:rFonts w:ascii="Arial Narrow" w:hAnsi="Arial Narrow"/>
          <w:color w:val="000000" w:themeColor="text1"/>
          <w:spacing w:val="2"/>
          <w:sz w:val="18"/>
          <w:szCs w:val="18"/>
          <w:shd w:val="solid" w:color="000000" w:fill="000000"/>
          <w:fitText w:val="265" w:id="-1498140925"/>
          <w14:textFill>
            <w14:solidFill>
              <w14:schemeClr w14:val="tx1">
                <w14:alpha w14:val="100000"/>
              </w14:schemeClr>
            </w14:solidFill>
          </w14:textFill>
        </w:rPr>
        <w:t>|</w:t>
      </w:r>
      <w:proofErr w:type="gramEnd"/>
      <w:r w:rsidRPr="000A7FFD">
        <w:rPr>
          <w:rFonts w:ascii="Arial Narrow" w:hAnsi="Arial Narrow"/>
          <w:color w:val="000000" w:themeColor="text1"/>
          <w:sz w:val="18"/>
          <w:szCs w:val="18"/>
        </w:rPr>
        <w:t xml:space="preserve">, which equates </w:t>
      </w:r>
      <w:r w:rsidR="000F4E9A" w:rsidRPr="000A7FFD">
        <w:rPr>
          <w:rFonts w:ascii="Arial Narrow" w:hAnsi="Arial Narrow"/>
          <w:color w:val="000000" w:themeColor="text1"/>
          <w:sz w:val="18"/>
          <w:szCs w:val="18"/>
        </w:rPr>
        <w:t>to that</w:t>
      </w:r>
      <w:r w:rsidRPr="000A7FFD">
        <w:rPr>
          <w:rFonts w:ascii="Arial Narrow" w:hAnsi="Arial Narrow"/>
          <w:color w:val="000000" w:themeColor="text1"/>
          <w:sz w:val="18"/>
          <w:szCs w:val="18"/>
        </w:rPr>
        <w:t xml:space="preserve"> of BUD/FOR (Symbicort </w:t>
      </w:r>
      <w:proofErr w:type="spellStart"/>
      <w:r w:rsidRPr="000A7FFD">
        <w:rPr>
          <w:rFonts w:ascii="Arial Narrow" w:hAnsi="Arial Narrow"/>
          <w:color w:val="000000" w:themeColor="text1"/>
          <w:sz w:val="18"/>
          <w:szCs w:val="18"/>
        </w:rPr>
        <w:t>Turbuhaler</w:t>
      </w:r>
      <w:proofErr w:type="spellEnd"/>
      <w:r w:rsidRPr="000A7FFD">
        <w:rPr>
          <w:rFonts w:ascii="Arial Narrow" w:hAnsi="Arial Narrow"/>
          <w:color w:val="000000" w:themeColor="text1"/>
          <w:sz w:val="18"/>
          <w:szCs w:val="18"/>
        </w:rPr>
        <w:t xml:space="preserve"> 400/12) and BUD/FOR (</w:t>
      </w:r>
      <w:proofErr w:type="spellStart"/>
      <w:r w:rsidRPr="000A7FFD">
        <w:rPr>
          <w:rFonts w:ascii="Arial Narrow" w:hAnsi="Arial Narrow"/>
          <w:color w:val="000000" w:themeColor="text1"/>
          <w:sz w:val="18"/>
          <w:szCs w:val="18"/>
        </w:rPr>
        <w:t>DuoResp</w:t>
      </w:r>
      <w:proofErr w:type="spellEnd"/>
      <w:r w:rsidRPr="000A7FFD">
        <w:rPr>
          <w:rFonts w:ascii="Arial Narrow" w:hAnsi="Arial Narrow"/>
          <w:color w:val="000000" w:themeColor="text1"/>
          <w:sz w:val="18"/>
          <w:szCs w:val="18"/>
        </w:rPr>
        <w:t xml:space="preserve"> </w:t>
      </w:r>
      <w:proofErr w:type="spellStart"/>
      <w:r w:rsidRPr="000A7FFD">
        <w:rPr>
          <w:rFonts w:ascii="Arial Narrow" w:hAnsi="Arial Narrow"/>
          <w:color w:val="000000" w:themeColor="text1"/>
          <w:sz w:val="18"/>
          <w:szCs w:val="18"/>
        </w:rPr>
        <w:t>Spiromax</w:t>
      </w:r>
      <w:proofErr w:type="spellEnd"/>
      <w:r w:rsidRPr="000A7FFD">
        <w:rPr>
          <w:rFonts w:ascii="Arial Narrow" w:hAnsi="Arial Narrow"/>
          <w:color w:val="000000" w:themeColor="text1"/>
          <w:sz w:val="18"/>
          <w:szCs w:val="18"/>
        </w:rPr>
        <w:t xml:space="preserve"> 400/12). </w:t>
      </w:r>
    </w:p>
    <w:p w14:paraId="4A4C635F" w14:textId="21C0CE8D" w:rsidR="00D6484A" w:rsidRDefault="00E374F0" w:rsidP="0078736D">
      <w:pPr>
        <w:pStyle w:val="3-BodyText"/>
        <w:numPr>
          <w:ilvl w:val="0"/>
          <w:numId w:val="0"/>
        </w:numPr>
        <w:spacing w:after="0"/>
        <w:ind w:left="720" w:hanging="720"/>
        <w:rPr>
          <w:rFonts w:ascii="Arial Narrow" w:hAnsi="Arial Narrow"/>
          <w:color w:val="000000" w:themeColor="text1"/>
          <w:sz w:val="18"/>
          <w:szCs w:val="18"/>
        </w:rPr>
      </w:pPr>
      <w:r w:rsidRPr="0062263F">
        <w:rPr>
          <w:rFonts w:ascii="Arial Narrow" w:hAnsi="Arial Narrow"/>
          <w:color w:val="000000" w:themeColor="text1"/>
          <w:sz w:val="18"/>
          <w:szCs w:val="18"/>
        </w:rPr>
        <w:t>Source: Table 79 and 86 of the submission.</w:t>
      </w:r>
      <w:bookmarkStart w:id="60" w:name="_Hlk90019373"/>
    </w:p>
    <w:p w14:paraId="1D7203D5" w14:textId="77777777" w:rsidR="008A7811" w:rsidRPr="009A6D58" w:rsidRDefault="008A7811" w:rsidP="008A7811">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A09BB40" w14:textId="7A8287FA" w:rsidR="008A7811" w:rsidRPr="009A6D58" w:rsidRDefault="008A7811" w:rsidP="008A7811">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w:t>
      </w:r>
      <w:r w:rsidRPr="008A7811">
        <w:rPr>
          <w:rFonts w:ascii="Arial Narrow" w:hAnsi="Arial Narrow"/>
          <w:i/>
          <w:sz w:val="18"/>
          <w:szCs w:val="18"/>
        </w:rPr>
        <w:t>10,000 to &lt; 20,000</w:t>
      </w:r>
    </w:p>
    <w:p w14:paraId="22615AEC" w14:textId="36093029" w:rsidR="008A7811" w:rsidRPr="009A6D58" w:rsidRDefault="008A7811" w:rsidP="008A7811">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8A7811">
        <w:rPr>
          <w:rFonts w:ascii="Arial Narrow" w:hAnsi="Arial Narrow"/>
          <w:i/>
          <w:sz w:val="18"/>
          <w:szCs w:val="18"/>
        </w:rPr>
        <w:t>$0 to &lt; $10 million</w:t>
      </w:r>
    </w:p>
    <w:p w14:paraId="0BE9CCF4" w14:textId="1406FB2A" w:rsidR="008A7811" w:rsidRDefault="008A7811" w:rsidP="008A7811">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8A7811">
        <w:rPr>
          <w:rFonts w:ascii="Arial Narrow" w:hAnsi="Arial Narrow"/>
          <w:i/>
          <w:sz w:val="18"/>
          <w:szCs w:val="18"/>
        </w:rPr>
        <w:t>30,000 to &lt; 40,000</w:t>
      </w:r>
    </w:p>
    <w:p w14:paraId="23686F7B" w14:textId="041660B5" w:rsidR="008A7811" w:rsidRDefault="008A7811" w:rsidP="00C54E70">
      <w:pPr>
        <w:spacing w:after="120"/>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w:t>
      </w:r>
      <w:r w:rsidRPr="008A7811">
        <w:rPr>
          <w:rFonts w:ascii="Arial Narrow" w:hAnsi="Arial Narrow"/>
          <w:i/>
          <w:sz w:val="18"/>
          <w:szCs w:val="18"/>
        </w:rPr>
        <w:t>40,000 to &lt; 50,000</w:t>
      </w:r>
    </w:p>
    <w:p w14:paraId="677E423A" w14:textId="66CB0936" w:rsidR="00E374F0" w:rsidRPr="00347389" w:rsidRDefault="00E374F0" w:rsidP="00A7711D">
      <w:pPr>
        <w:pStyle w:val="3-BodyText"/>
        <w:rPr>
          <w:rFonts w:cstheme="minorHAnsi"/>
          <w:color w:val="000000" w:themeColor="text1"/>
        </w:rPr>
      </w:pPr>
      <w:r w:rsidRPr="00347389">
        <w:rPr>
          <w:rFonts w:cstheme="minorHAnsi"/>
          <w:color w:val="000000" w:themeColor="text1"/>
        </w:rPr>
        <w:t xml:space="preserve">The total cost to the PBS/RPBS of listing BEC/FOR was estimated to be </w:t>
      </w:r>
      <w:r w:rsidR="00A72461" w:rsidRPr="00347389">
        <w:rPr>
          <w:rFonts w:cstheme="minorHAnsi"/>
          <w:color w:val="000000" w:themeColor="text1"/>
        </w:rPr>
        <w:t>$0 to &lt; $10 million</w:t>
      </w:r>
      <w:r w:rsidR="00A72461" w:rsidRPr="00347389" w:rsidDel="00A72461">
        <w:rPr>
          <w:rFonts w:cstheme="minorHAnsi"/>
          <w:color w:val="000000" w:themeColor="text1"/>
        </w:rPr>
        <w:t xml:space="preserve"> </w:t>
      </w:r>
      <w:r w:rsidRPr="00347389">
        <w:rPr>
          <w:rFonts w:cstheme="minorHAnsi"/>
          <w:color w:val="000000" w:themeColor="text1"/>
        </w:rPr>
        <w:t xml:space="preserve">in year 1, </w:t>
      </w:r>
      <w:r w:rsidR="00A72461" w:rsidRPr="00347389">
        <w:rPr>
          <w:rFonts w:cstheme="minorHAnsi"/>
          <w:color w:val="000000" w:themeColor="text1"/>
        </w:rPr>
        <w:t>$0 to &lt; $10 million</w:t>
      </w:r>
      <w:r w:rsidR="00A72461" w:rsidRPr="00347389" w:rsidDel="00A72461">
        <w:rPr>
          <w:rFonts w:cstheme="minorHAnsi"/>
          <w:color w:val="000000" w:themeColor="text1"/>
        </w:rPr>
        <w:t xml:space="preserve"> </w:t>
      </w:r>
      <w:r w:rsidRPr="00347389">
        <w:rPr>
          <w:rFonts w:cstheme="minorHAnsi"/>
          <w:color w:val="000000" w:themeColor="text1"/>
        </w:rPr>
        <w:t xml:space="preserve">in Year 6, and a total of </w:t>
      </w:r>
      <w:r w:rsidR="00A72461" w:rsidRPr="00347389">
        <w:rPr>
          <w:rFonts w:cstheme="minorHAnsi"/>
          <w:color w:val="000000" w:themeColor="text1"/>
        </w:rPr>
        <w:lastRenderedPageBreak/>
        <w:t>$0 to &lt; $10 million</w:t>
      </w:r>
      <w:r w:rsidR="00A72461" w:rsidRPr="00347389" w:rsidDel="00A72461">
        <w:rPr>
          <w:rFonts w:cstheme="minorHAnsi"/>
          <w:color w:val="000000" w:themeColor="text1"/>
        </w:rPr>
        <w:t xml:space="preserve"> </w:t>
      </w:r>
      <w:r w:rsidRPr="00347389">
        <w:rPr>
          <w:rFonts w:cstheme="minorHAnsi"/>
          <w:color w:val="000000" w:themeColor="text1"/>
        </w:rPr>
        <w:t xml:space="preserve">in the first 6 years of listing using </w:t>
      </w:r>
      <w:r w:rsidR="00603218" w:rsidRPr="00347389">
        <w:rPr>
          <w:rFonts w:cstheme="minorHAnsi"/>
          <w:color w:val="000000" w:themeColor="text1"/>
        </w:rPr>
        <w:t xml:space="preserve">a </w:t>
      </w:r>
      <w:r w:rsidRPr="00347389">
        <w:rPr>
          <w:rFonts w:cstheme="minorHAnsi"/>
          <w:color w:val="000000" w:themeColor="text1"/>
        </w:rPr>
        <w:t>weighted average DPMQ</w:t>
      </w:r>
      <w:r w:rsidR="00806AEC" w:rsidRPr="0078736D">
        <w:rPr>
          <w:rFonts w:cstheme="minorHAnsi"/>
          <w:snapToGrid/>
          <w:color w:val="000000" w:themeColor="text1"/>
        </w:rPr>
        <w:t xml:space="preserve"> of $</w:t>
      </w:r>
      <w:proofErr w:type="gramStart"/>
      <w:r w:rsidR="0078736D" w:rsidRPr="009A3986">
        <w:rPr>
          <w:rFonts w:cstheme="minorHAnsi"/>
          <w:snapToGrid/>
          <w:color w:val="000000" w:themeColor="text1"/>
          <w:w w:val="15"/>
          <w:shd w:val="solid" w:color="000000" w:fill="000000"/>
          <w:fitText w:val="-20" w:id="-1500861183"/>
          <w14:textFill>
            <w14:solidFill>
              <w14:schemeClr w14:val="tx1">
                <w14:alpha w14:val="100000"/>
              </w14:schemeClr>
            </w14:solidFill>
          </w14:textFill>
        </w:rPr>
        <w:t xml:space="preserve">|  </w:t>
      </w:r>
      <w:r w:rsidR="0078736D" w:rsidRPr="009A3986">
        <w:rPr>
          <w:rFonts w:cstheme="minorHAnsi"/>
          <w:snapToGrid/>
          <w:color w:val="000000" w:themeColor="text1"/>
          <w:spacing w:val="-69"/>
          <w:w w:val="15"/>
          <w:shd w:val="solid" w:color="000000" w:fill="000000"/>
          <w:fitText w:val="-20" w:id="-1500861183"/>
          <w14:textFill>
            <w14:solidFill>
              <w14:schemeClr w14:val="tx1">
                <w14:alpha w14:val="100000"/>
              </w14:schemeClr>
            </w14:solidFill>
          </w14:textFill>
        </w:rPr>
        <w:t>|</w:t>
      </w:r>
      <w:proofErr w:type="gramEnd"/>
      <w:r w:rsidR="00806AEC" w:rsidRPr="0078736D">
        <w:rPr>
          <w:rFonts w:cstheme="minorHAnsi"/>
          <w:snapToGrid/>
          <w:color w:val="000000" w:themeColor="text1"/>
        </w:rPr>
        <w:t xml:space="preserve">. The net saving of listing BEC/FOR over the first 6 years was estimated as </w:t>
      </w:r>
      <w:r w:rsidR="00A72461" w:rsidRPr="00B62173">
        <w:rPr>
          <w:rFonts w:cstheme="minorHAnsi"/>
          <w:color w:val="333333"/>
        </w:rPr>
        <w:t>$0 to &lt; $10 million</w:t>
      </w:r>
      <w:r w:rsidR="00806AEC" w:rsidRPr="0078736D">
        <w:rPr>
          <w:rFonts w:cstheme="minorHAnsi"/>
          <w:snapToGrid/>
          <w:color w:val="000000" w:themeColor="text1"/>
        </w:rPr>
        <w:t xml:space="preserve">. Assuming the proposed weighted average price applies to the asthma indication, the submission predicted an additional cost of </w:t>
      </w:r>
      <w:r w:rsidR="00A72461" w:rsidRPr="0078736D">
        <w:rPr>
          <w:rFonts w:cstheme="minorHAnsi"/>
          <w:color w:val="333333"/>
        </w:rPr>
        <w:t>$0 to &lt; $10 million</w:t>
      </w:r>
      <w:r w:rsidR="00A72461" w:rsidRPr="0078736D" w:rsidDel="00A72461">
        <w:rPr>
          <w:rFonts w:cstheme="minorHAnsi"/>
          <w:snapToGrid/>
          <w:color w:val="000000" w:themeColor="text1"/>
        </w:rPr>
        <w:t xml:space="preserve"> </w:t>
      </w:r>
      <w:r w:rsidR="00806AEC" w:rsidRPr="0078736D">
        <w:rPr>
          <w:rFonts w:cstheme="minorHAnsi"/>
          <w:snapToGrid/>
          <w:color w:val="000000" w:themeColor="text1"/>
        </w:rPr>
        <w:t>over 6 years in the asthma indication</w:t>
      </w:r>
      <w:r w:rsidR="00B910C8" w:rsidRPr="0078736D">
        <w:rPr>
          <w:rFonts w:cstheme="minorHAnsi"/>
          <w:snapToGrid/>
          <w:color w:val="000000" w:themeColor="text1"/>
        </w:rPr>
        <w:t>.</w:t>
      </w:r>
    </w:p>
    <w:p w14:paraId="71BFAB45" w14:textId="272A9B7D" w:rsidR="00E374F0" w:rsidRPr="00B62173" w:rsidRDefault="00D6484A" w:rsidP="0006412A">
      <w:pPr>
        <w:pStyle w:val="3-BodyText"/>
        <w:rPr>
          <w:iCs/>
          <w:color w:val="000000" w:themeColor="text1"/>
        </w:rPr>
      </w:pPr>
      <w:r w:rsidRPr="00B62173">
        <w:rPr>
          <w:iCs/>
          <w:color w:val="000000" w:themeColor="text1"/>
        </w:rPr>
        <w:t>When the indication specific price (DPMQ $62.38) is used the</w:t>
      </w:r>
      <w:r w:rsidR="00E374F0" w:rsidRPr="00B62173">
        <w:rPr>
          <w:iCs/>
          <w:color w:val="000000" w:themeColor="text1"/>
        </w:rPr>
        <w:t xml:space="preserve"> </w:t>
      </w:r>
      <w:r w:rsidRPr="00B62173">
        <w:rPr>
          <w:iCs/>
          <w:color w:val="000000" w:themeColor="text1"/>
        </w:rPr>
        <w:t xml:space="preserve">total cost to the PBS/RPBS of listing BEC/FOR was estimated to be </w:t>
      </w:r>
      <w:r w:rsidR="00A72461" w:rsidRPr="00B62173">
        <w:rPr>
          <w:rFonts w:cstheme="minorHAnsi"/>
          <w:color w:val="333333"/>
        </w:rPr>
        <w:t>$0 to &lt; $10 million</w:t>
      </w:r>
      <w:r w:rsidR="00A72461" w:rsidRPr="00B62173" w:rsidDel="00A72461">
        <w:rPr>
          <w:rFonts w:cstheme="minorHAnsi"/>
          <w:snapToGrid/>
          <w:color w:val="000000" w:themeColor="text1"/>
        </w:rPr>
        <w:t xml:space="preserve"> </w:t>
      </w:r>
      <w:r w:rsidRPr="00B62173">
        <w:rPr>
          <w:iCs/>
          <w:color w:val="000000" w:themeColor="text1"/>
        </w:rPr>
        <w:t xml:space="preserve">in year 1 and </w:t>
      </w:r>
      <w:r w:rsidR="00A72461" w:rsidRPr="00B62173">
        <w:rPr>
          <w:rFonts w:cstheme="minorHAnsi"/>
          <w:color w:val="333333"/>
        </w:rPr>
        <w:t>$0 to &lt; $10 million</w:t>
      </w:r>
      <w:r w:rsidRPr="00B62173">
        <w:rPr>
          <w:iCs/>
          <w:color w:val="000000" w:themeColor="text1"/>
        </w:rPr>
        <w:t xml:space="preserve"> in year 6, with a </w:t>
      </w:r>
      <w:r w:rsidR="000E315F" w:rsidRPr="00B62173">
        <w:rPr>
          <w:iCs/>
          <w:color w:val="000000" w:themeColor="text1"/>
        </w:rPr>
        <w:t xml:space="preserve">total of </w:t>
      </w:r>
      <w:r w:rsidR="00A72461" w:rsidRPr="00B62173">
        <w:rPr>
          <w:iCs/>
          <w:color w:val="000000" w:themeColor="text1"/>
        </w:rPr>
        <w:t>$10 million to &lt; $20 million</w:t>
      </w:r>
      <w:r w:rsidR="00A72461">
        <w:rPr>
          <w:iCs/>
          <w:color w:val="000000" w:themeColor="text1"/>
        </w:rPr>
        <w:t xml:space="preserve"> </w:t>
      </w:r>
      <w:r w:rsidR="000E315F" w:rsidRPr="00B62173">
        <w:rPr>
          <w:iCs/>
          <w:color w:val="000000" w:themeColor="text1"/>
        </w:rPr>
        <w:t xml:space="preserve">in the first 6 years of listing. </w:t>
      </w:r>
      <w:r w:rsidR="00E374F0" w:rsidRPr="00B62173">
        <w:rPr>
          <w:iCs/>
          <w:color w:val="000000" w:themeColor="text1"/>
        </w:rPr>
        <w:t xml:space="preserve">The expected total net additional cost to the government over the first six years of the listing is </w:t>
      </w:r>
      <w:r w:rsidR="00A72461" w:rsidRPr="00253996">
        <w:rPr>
          <w:rFonts w:cstheme="minorHAnsi"/>
          <w:color w:val="333333"/>
        </w:rPr>
        <w:t>$0 to &lt; $10 million</w:t>
      </w:r>
      <w:r w:rsidR="00E374F0" w:rsidRPr="00B62173">
        <w:rPr>
          <w:iCs/>
          <w:color w:val="000000" w:themeColor="text1"/>
        </w:rPr>
        <w:t>.</w:t>
      </w:r>
    </w:p>
    <w:p w14:paraId="4DFEB4FC" w14:textId="0FC32327" w:rsidR="00E374F0" w:rsidRPr="006A50B1" w:rsidRDefault="000E315F" w:rsidP="00A7711D">
      <w:pPr>
        <w:pStyle w:val="3-BodyText"/>
        <w:rPr>
          <w:iCs/>
          <w:color w:val="000000" w:themeColor="text1"/>
        </w:rPr>
      </w:pPr>
      <w:r w:rsidRPr="006A50B1">
        <w:rPr>
          <w:iCs/>
          <w:color w:val="000000" w:themeColor="text1"/>
        </w:rPr>
        <w:t xml:space="preserve">When </w:t>
      </w:r>
      <w:r w:rsidR="00840A9F">
        <w:rPr>
          <w:iCs/>
          <w:color w:val="000000" w:themeColor="text1"/>
        </w:rPr>
        <w:t>pricing for the least costly alternative</w:t>
      </w:r>
      <w:r w:rsidRPr="006A50B1">
        <w:rPr>
          <w:iCs/>
          <w:color w:val="000000" w:themeColor="text1"/>
        </w:rPr>
        <w:t xml:space="preserve"> (DPMQ $32.33) is used</w:t>
      </w:r>
      <w:r w:rsidR="00840A9F">
        <w:rPr>
          <w:iCs/>
          <w:color w:val="000000" w:themeColor="text1"/>
        </w:rPr>
        <w:t>,</w:t>
      </w:r>
      <w:r w:rsidRPr="006A50B1">
        <w:rPr>
          <w:iCs/>
          <w:color w:val="000000" w:themeColor="text1"/>
        </w:rPr>
        <w:t xml:space="preserve"> the total</w:t>
      </w:r>
      <w:r w:rsidR="00C037E6" w:rsidRPr="006A50B1">
        <w:rPr>
          <w:iCs/>
          <w:color w:val="000000" w:themeColor="text1"/>
        </w:rPr>
        <w:t xml:space="preserve"> cost to the PBS/RPBS of listing </w:t>
      </w:r>
      <w:r w:rsidR="00E374F0" w:rsidRPr="006A50B1">
        <w:rPr>
          <w:iCs/>
          <w:color w:val="000000" w:themeColor="text1"/>
        </w:rPr>
        <w:t xml:space="preserve">BEC/FOR </w:t>
      </w:r>
      <w:r w:rsidR="00C037E6" w:rsidRPr="006A50B1">
        <w:rPr>
          <w:iCs/>
          <w:color w:val="000000" w:themeColor="text1"/>
        </w:rPr>
        <w:t xml:space="preserve">was estimated to be </w:t>
      </w:r>
      <w:r w:rsidR="00A72461" w:rsidRPr="00253996">
        <w:rPr>
          <w:rFonts w:cstheme="minorHAnsi"/>
          <w:color w:val="333333"/>
        </w:rPr>
        <w:t>$0 to &lt; $10 million</w:t>
      </w:r>
      <w:r w:rsidR="00A72461" w:rsidRPr="006A50B1" w:rsidDel="00A72461">
        <w:rPr>
          <w:iCs/>
          <w:color w:val="000000" w:themeColor="text1"/>
        </w:rPr>
        <w:t xml:space="preserve"> </w:t>
      </w:r>
      <w:r w:rsidR="00E374F0" w:rsidRPr="006A50B1">
        <w:rPr>
          <w:iCs/>
          <w:color w:val="000000" w:themeColor="text1"/>
        </w:rPr>
        <w:t xml:space="preserve">in </w:t>
      </w:r>
      <w:r w:rsidR="00C037E6" w:rsidRPr="006A50B1">
        <w:rPr>
          <w:iCs/>
          <w:color w:val="000000" w:themeColor="text1"/>
        </w:rPr>
        <w:t>year 1</w:t>
      </w:r>
      <w:r w:rsidR="00E374F0" w:rsidRPr="006A50B1">
        <w:rPr>
          <w:iCs/>
          <w:color w:val="000000" w:themeColor="text1"/>
        </w:rPr>
        <w:t xml:space="preserve"> and </w:t>
      </w:r>
      <w:r w:rsidR="00A72461" w:rsidRPr="00253996">
        <w:rPr>
          <w:rFonts w:cstheme="minorHAnsi"/>
          <w:color w:val="333333"/>
        </w:rPr>
        <w:t>$0 to &lt; $10 million</w:t>
      </w:r>
      <w:r w:rsidR="00A72461" w:rsidRPr="006A50B1" w:rsidDel="00A72461">
        <w:rPr>
          <w:iCs/>
          <w:color w:val="000000" w:themeColor="text1"/>
        </w:rPr>
        <w:t xml:space="preserve"> </w:t>
      </w:r>
      <w:r w:rsidR="00E374F0" w:rsidRPr="006A50B1">
        <w:rPr>
          <w:iCs/>
          <w:color w:val="000000" w:themeColor="text1"/>
        </w:rPr>
        <w:t xml:space="preserve">in </w:t>
      </w:r>
      <w:r w:rsidR="00C037E6" w:rsidRPr="006A50B1">
        <w:rPr>
          <w:iCs/>
          <w:color w:val="000000" w:themeColor="text1"/>
        </w:rPr>
        <w:t xml:space="preserve">year 6, with a total of </w:t>
      </w:r>
      <w:r w:rsidR="00A72461" w:rsidRPr="00253996">
        <w:rPr>
          <w:rFonts w:cstheme="minorHAnsi"/>
          <w:color w:val="333333"/>
        </w:rPr>
        <w:t>$0 to &lt; $10 million</w:t>
      </w:r>
      <w:r w:rsidR="00A72461" w:rsidRPr="006A50B1" w:rsidDel="00A72461">
        <w:rPr>
          <w:iCs/>
          <w:color w:val="000000" w:themeColor="text1"/>
        </w:rPr>
        <w:t xml:space="preserve"> </w:t>
      </w:r>
      <w:r w:rsidR="00C037E6" w:rsidRPr="006A50B1">
        <w:rPr>
          <w:iCs/>
          <w:color w:val="000000" w:themeColor="text1"/>
        </w:rPr>
        <w:t xml:space="preserve">over the first 6 years of listing. </w:t>
      </w:r>
      <w:r w:rsidR="00C037E6" w:rsidRPr="00B62173">
        <w:rPr>
          <w:iCs/>
          <w:color w:val="000000" w:themeColor="text1"/>
        </w:rPr>
        <w:t xml:space="preserve">The expected total net savings over the first six years was estimated as </w:t>
      </w:r>
      <w:r w:rsidR="00A72461" w:rsidRPr="00B62173">
        <w:rPr>
          <w:rFonts w:cstheme="minorHAnsi"/>
          <w:color w:val="333333"/>
        </w:rPr>
        <w:t>$0 to &lt; $10 million</w:t>
      </w:r>
      <w:r w:rsidR="00C037E6" w:rsidRPr="00B62173">
        <w:rPr>
          <w:iCs/>
          <w:color w:val="000000" w:themeColor="text1"/>
        </w:rPr>
        <w:t>.</w:t>
      </w:r>
    </w:p>
    <w:p w14:paraId="3E5059F6" w14:textId="77777777" w:rsidR="00E374F0" w:rsidRPr="0062263F" w:rsidRDefault="00E374F0" w:rsidP="00A7711D">
      <w:pPr>
        <w:pStyle w:val="4-SubsectionHeading"/>
        <w:ind w:left="720" w:hanging="720"/>
        <w:rPr>
          <w:color w:val="000000" w:themeColor="text1"/>
        </w:rPr>
      </w:pPr>
      <w:bookmarkStart w:id="61" w:name="_Toc22897648"/>
      <w:bookmarkStart w:id="62" w:name="_Toc22898860"/>
      <w:bookmarkStart w:id="63" w:name="_Toc93506459"/>
      <w:bookmarkEnd w:id="60"/>
      <w:r w:rsidRPr="0062263F">
        <w:rPr>
          <w:color w:val="000000" w:themeColor="text1"/>
        </w:rPr>
        <w:t>Quality Use of Medicines</w:t>
      </w:r>
      <w:bookmarkEnd w:id="61"/>
      <w:bookmarkEnd w:id="62"/>
      <w:bookmarkEnd w:id="63"/>
    </w:p>
    <w:p w14:paraId="2B980BC2" w14:textId="314D6755" w:rsidR="00E374F0" w:rsidRPr="006A50B1" w:rsidRDefault="00E374F0" w:rsidP="00A7711D">
      <w:pPr>
        <w:pStyle w:val="3-BodyText"/>
        <w:rPr>
          <w:color w:val="000000" w:themeColor="text1"/>
        </w:rPr>
      </w:pPr>
      <w:bookmarkStart w:id="64" w:name="_Toc22897649"/>
      <w:bookmarkStart w:id="65" w:name="_Toc22898861"/>
      <w:r w:rsidRPr="00A604AC">
        <w:rPr>
          <w:color w:val="000000" w:themeColor="text1"/>
        </w:rPr>
        <w:t xml:space="preserve">The submission claimed that listing of BEC/FOR </w:t>
      </w:r>
      <w:proofErr w:type="spellStart"/>
      <w:r w:rsidRPr="00A604AC">
        <w:rPr>
          <w:color w:val="000000" w:themeColor="text1"/>
        </w:rPr>
        <w:t>for</w:t>
      </w:r>
      <w:proofErr w:type="spellEnd"/>
      <w:r w:rsidRPr="00A604AC">
        <w:rPr>
          <w:color w:val="000000" w:themeColor="text1"/>
        </w:rPr>
        <w:t xml:space="preserve"> COPD will not require any alterations to the treatment algorithm and will put BEC/FOR at Step 3 of the </w:t>
      </w:r>
      <w:r w:rsidR="00730748" w:rsidRPr="00A604AC">
        <w:rPr>
          <w:color w:val="000000" w:themeColor="text1"/>
        </w:rPr>
        <w:t xml:space="preserve">COPD </w:t>
      </w:r>
      <w:r w:rsidRPr="00A604AC">
        <w:rPr>
          <w:color w:val="000000" w:themeColor="text1"/>
        </w:rPr>
        <w:t xml:space="preserve">management plan as an alternative to other ICS/LABA therapies. </w:t>
      </w:r>
      <w:r w:rsidRPr="006A50B1">
        <w:rPr>
          <w:color w:val="000000" w:themeColor="text1"/>
        </w:rPr>
        <w:t xml:space="preserve">Given the number and complexity of respiratory devices currently available in Australia, there is a risk </w:t>
      </w:r>
      <w:r w:rsidR="007A6D77" w:rsidRPr="006A50B1">
        <w:rPr>
          <w:color w:val="000000" w:themeColor="text1"/>
        </w:rPr>
        <w:t>for</w:t>
      </w:r>
      <w:r w:rsidRPr="006A50B1">
        <w:rPr>
          <w:color w:val="000000" w:themeColor="text1"/>
        </w:rPr>
        <w:t xml:space="preserve"> consumers in terms of confusion regarding </w:t>
      </w:r>
      <w:r w:rsidR="007A6D77" w:rsidRPr="006A50B1">
        <w:rPr>
          <w:color w:val="000000" w:themeColor="text1"/>
        </w:rPr>
        <w:t xml:space="preserve">correct </w:t>
      </w:r>
      <w:r w:rsidRPr="006A50B1">
        <w:rPr>
          <w:color w:val="000000" w:themeColor="text1"/>
        </w:rPr>
        <w:t xml:space="preserve">inhalers use. </w:t>
      </w:r>
    </w:p>
    <w:p w14:paraId="0307DFB5" w14:textId="0C11A3FC" w:rsidR="00E374F0" w:rsidRPr="0062263F" w:rsidRDefault="00E374F0" w:rsidP="00E374F0">
      <w:pPr>
        <w:pStyle w:val="4-SubsectionHeading"/>
        <w:rPr>
          <w:color w:val="000000" w:themeColor="text1"/>
        </w:rPr>
      </w:pPr>
      <w:bookmarkStart w:id="66" w:name="_Toc93506460"/>
      <w:r w:rsidRPr="0062263F">
        <w:rPr>
          <w:color w:val="000000" w:themeColor="text1"/>
        </w:rPr>
        <w:t>Financial Management – Risk Sharing Arrangements</w:t>
      </w:r>
      <w:bookmarkEnd w:id="64"/>
      <w:bookmarkEnd w:id="65"/>
      <w:bookmarkEnd w:id="66"/>
    </w:p>
    <w:p w14:paraId="3ED92BB5" w14:textId="520C8E07" w:rsidR="00FA4692" w:rsidRPr="00650D10" w:rsidRDefault="00E374F0" w:rsidP="00FA4692">
      <w:pPr>
        <w:pStyle w:val="ListParagraph"/>
        <w:numPr>
          <w:ilvl w:val="1"/>
          <w:numId w:val="1"/>
        </w:numPr>
        <w:rPr>
          <w:color w:val="000000" w:themeColor="text1"/>
        </w:rPr>
      </w:pPr>
      <w:r w:rsidRPr="0062263F">
        <w:rPr>
          <w:color w:val="000000" w:themeColor="text1"/>
        </w:rPr>
        <w:t>The submission did not propose a risk-sharing arrangement.</w:t>
      </w:r>
      <w:bookmarkEnd w:id="3"/>
    </w:p>
    <w:p w14:paraId="0D453CE5" w14:textId="0FCABD35" w:rsidR="00E040B8" w:rsidRPr="00650D10" w:rsidRDefault="00650D10" w:rsidP="00650D10">
      <w:pPr>
        <w:pStyle w:val="3-BodyText"/>
        <w:numPr>
          <w:ilvl w:val="0"/>
          <w:numId w:val="0"/>
        </w:numPr>
        <w:ind w:left="720"/>
        <w:rPr>
          <w:i/>
          <w:iCs/>
          <w:color w:val="000000" w:themeColor="text1"/>
        </w:rPr>
      </w:pPr>
      <w:r w:rsidRPr="00650D10">
        <w:rPr>
          <w:i/>
          <w:iCs/>
          <w:color w:val="000000" w:themeColor="text1"/>
        </w:rPr>
        <w:t>For more detail on PBAC’s view, see section 7 PBAC outcome.</w:t>
      </w:r>
    </w:p>
    <w:p w14:paraId="19043ED0" w14:textId="77777777" w:rsidR="00650D10" w:rsidRPr="0090150D" w:rsidRDefault="00650D10" w:rsidP="009A3986">
      <w:pPr>
        <w:pStyle w:val="2-SectionHeading"/>
        <w:jc w:val="left"/>
      </w:pPr>
      <w:bookmarkStart w:id="67" w:name="_Hlk76381249"/>
      <w:bookmarkStart w:id="68" w:name="_Hlk76377955"/>
      <w:r w:rsidRPr="0090150D">
        <w:t xml:space="preserve">PBAC </w:t>
      </w:r>
      <w:r w:rsidRPr="009A3986">
        <w:rPr>
          <w:color w:val="000000" w:themeColor="text1"/>
        </w:rPr>
        <w:t>Outcome</w:t>
      </w:r>
    </w:p>
    <w:p w14:paraId="78CE7EB6" w14:textId="77777777" w:rsidR="005E05CE" w:rsidRDefault="002B65B0" w:rsidP="00650D1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recommended the Authority Required (STREAMLINED) listing of the </w:t>
      </w:r>
      <w:r w:rsidR="00D15858">
        <w:rPr>
          <w:rFonts w:asciiTheme="minorHAnsi" w:hAnsiTheme="minorHAnsi"/>
          <w:snapToGrid w:val="0"/>
          <w:lang w:val="en-GB"/>
        </w:rPr>
        <w:t xml:space="preserve">fixed-dose </w:t>
      </w:r>
      <w:r>
        <w:rPr>
          <w:rFonts w:asciiTheme="minorHAnsi" w:hAnsiTheme="minorHAnsi"/>
          <w:snapToGrid w:val="0"/>
          <w:lang w:val="en-GB"/>
        </w:rPr>
        <w:t>combination</w:t>
      </w:r>
      <w:r w:rsidR="00D15858">
        <w:rPr>
          <w:rFonts w:asciiTheme="minorHAnsi" w:hAnsiTheme="minorHAnsi"/>
          <w:snapToGrid w:val="0"/>
          <w:lang w:val="en-GB"/>
        </w:rPr>
        <w:t xml:space="preserve"> (FDC) of </w:t>
      </w:r>
      <w:r>
        <w:rPr>
          <w:rFonts w:asciiTheme="minorHAnsi" w:hAnsiTheme="minorHAnsi"/>
          <w:snapToGrid w:val="0"/>
          <w:lang w:val="en-GB"/>
        </w:rPr>
        <w:t>beclomethasone</w:t>
      </w:r>
      <w:r w:rsidR="00D15858">
        <w:rPr>
          <w:rFonts w:asciiTheme="minorHAnsi" w:hAnsiTheme="minorHAnsi"/>
          <w:snapToGrid w:val="0"/>
          <w:lang w:val="en-GB"/>
        </w:rPr>
        <w:t xml:space="preserve"> (BEC)</w:t>
      </w:r>
      <w:r>
        <w:rPr>
          <w:rFonts w:asciiTheme="minorHAnsi" w:hAnsiTheme="minorHAnsi"/>
          <w:snapToGrid w:val="0"/>
          <w:lang w:val="en-GB"/>
        </w:rPr>
        <w:t xml:space="preserve"> with formoterol (FOR) for the treatment of </w:t>
      </w:r>
      <w:r w:rsidR="009844C1">
        <w:rPr>
          <w:rFonts w:asciiTheme="minorHAnsi" w:hAnsiTheme="minorHAnsi"/>
          <w:snapToGrid w:val="0"/>
          <w:lang w:val="en-GB"/>
        </w:rPr>
        <w:t>chronic obstructive pulmonary disease (COPD)</w:t>
      </w:r>
      <w:r w:rsidR="00F909C6">
        <w:rPr>
          <w:rFonts w:asciiTheme="minorHAnsi" w:hAnsiTheme="minorHAnsi"/>
          <w:snapToGrid w:val="0"/>
          <w:lang w:val="en-GB"/>
        </w:rPr>
        <w:t>.</w:t>
      </w:r>
      <w:r w:rsidR="00D15858">
        <w:rPr>
          <w:rFonts w:asciiTheme="minorHAnsi" w:hAnsiTheme="minorHAnsi"/>
          <w:snapToGrid w:val="0"/>
          <w:lang w:val="en-GB"/>
        </w:rPr>
        <w:t xml:space="preserve"> </w:t>
      </w:r>
    </w:p>
    <w:p w14:paraId="563BD0EC" w14:textId="171D7DE1" w:rsidR="005E05CE" w:rsidRPr="005E05CE" w:rsidRDefault="00D15858" w:rsidP="00650D1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w:t>
      </w:r>
      <w:r w:rsidR="005E05CE">
        <w:rPr>
          <w:rFonts w:asciiTheme="minorHAnsi" w:hAnsiTheme="minorHAnsi"/>
          <w:snapToGrid w:val="0"/>
          <w:lang w:val="en-GB"/>
        </w:rPr>
        <w:t xml:space="preserve">PBAC considered the claim of non-inferior effectiveness and safety to the FDC of fluticasone propionate (FP) 250 </w:t>
      </w:r>
      <w:r w:rsidR="005E05CE" w:rsidRPr="00906719">
        <w:rPr>
          <w:color w:val="000000" w:themeColor="text1"/>
        </w:rPr>
        <w:t>µg</w:t>
      </w:r>
      <w:r w:rsidR="005E05CE">
        <w:rPr>
          <w:rFonts w:asciiTheme="minorHAnsi" w:hAnsiTheme="minorHAnsi"/>
          <w:snapToGrid w:val="0"/>
          <w:lang w:val="en-GB"/>
        </w:rPr>
        <w:t xml:space="preserve"> with salmeterol (SAL) </w:t>
      </w:r>
      <w:r w:rsidR="00B62173">
        <w:rPr>
          <w:rFonts w:asciiTheme="minorHAnsi" w:hAnsiTheme="minorHAnsi"/>
          <w:snapToGrid w:val="0"/>
          <w:lang w:val="en-GB"/>
        </w:rPr>
        <w:t>25 </w:t>
      </w:r>
      <w:r w:rsidR="005E05CE" w:rsidRPr="00906719">
        <w:rPr>
          <w:color w:val="000000" w:themeColor="text1"/>
        </w:rPr>
        <w:t>µg</w:t>
      </w:r>
      <w:r w:rsidR="005E05CE">
        <w:rPr>
          <w:color w:val="000000" w:themeColor="text1"/>
        </w:rPr>
        <w:t xml:space="preserve"> was reasonable. </w:t>
      </w:r>
      <w:r w:rsidR="005E05CE">
        <w:rPr>
          <w:iCs/>
        </w:rPr>
        <w:t xml:space="preserve">However, the PBAC considered for </w:t>
      </w:r>
      <w:r w:rsidR="005E05CE" w:rsidRPr="00797B35">
        <w:rPr>
          <w:bCs/>
        </w:rPr>
        <w:t xml:space="preserve">purposes of satisfying Section 101(3B) of the </w:t>
      </w:r>
      <w:r w:rsidR="005E05CE" w:rsidRPr="00797B35">
        <w:rPr>
          <w:bCs/>
          <w:i/>
        </w:rPr>
        <w:t>National Health Act 1953</w:t>
      </w:r>
      <w:r w:rsidR="005E05CE" w:rsidRPr="00797B35">
        <w:rPr>
          <w:bCs/>
        </w:rPr>
        <w:t>,</w:t>
      </w:r>
      <w:r w:rsidR="005E05CE">
        <w:rPr>
          <w:bCs/>
        </w:rPr>
        <w:t xml:space="preserve"> any </w:t>
      </w:r>
      <w:r w:rsidR="005E05CE" w:rsidRPr="001808B1">
        <w:t xml:space="preserve">high dose </w:t>
      </w:r>
      <w:r w:rsidR="005E05CE" w:rsidRPr="00797B35">
        <w:rPr>
          <w:rFonts w:eastAsia="Calibri" w:cstheme="minorHAnsi"/>
          <w:lang w:eastAsia="en-US"/>
        </w:rPr>
        <w:t xml:space="preserve">inhaled corticosteroid (ICS) with </w:t>
      </w:r>
      <w:r w:rsidR="005E05CE" w:rsidRPr="00797B35">
        <w:rPr>
          <w:rFonts w:cstheme="minorHAnsi"/>
          <w:bCs/>
        </w:rPr>
        <w:t>long-acting beta2-agonist (</w:t>
      </w:r>
      <w:r w:rsidR="005E05CE">
        <w:rPr>
          <w:rFonts w:eastAsia="Calibri" w:cstheme="minorHAnsi"/>
          <w:lang w:eastAsia="en-US"/>
        </w:rPr>
        <w:t>LABA) FDC are relevant alternative therapies. The PBAC’s recommendation was therefore, among other matters, based on its assessment that the cost of BEC/FOR should be no greater than the lowest price combination of the PBS listed components of ICS/LABA therapy that are available for COPD at comparable doses, irrespective of</w:t>
      </w:r>
      <w:r w:rsidR="002A5391">
        <w:rPr>
          <w:rFonts w:eastAsia="Calibri" w:cstheme="minorHAnsi"/>
          <w:lang w:eastAsia="en-US"/>
        </w:rPr>
        <w:t xml:space="preserve"> the</w:t>
      </w:r>
      <w:r w:rsidR="005E05CE">
        <w:rPr>
          <w:rFonts w:eastAsia="Calibri" w:cstheme="minorHAnsi"/>
          <w:lang w:eastAsia="en-US"/>
        </w:rPr>
        <w:t xml:space="preserve"> days of treatment provided. </w:t>
      </w:r>
    </w:p>
    <w:p w14:paraId="0963DF35" w14:textId="69FDEB4E" w:rsidR="000E6816" w:rsidRPr="005E05CE" w:rsidRDefault="000E6816" w:rsidP="005E05CE">
      <w:pPr>
        <w:widowControl w:val="0"/>
        <w:numPr>
          <w:ilvl w:val="1"/>
          <w:numId w:val="1"/>
        </w:numPr>
        <w:spacing w:after="120"/>
        <w:rPr>
          <w:rFonts w:asciiTheme="minorHAnsi" w:hAnsiTheme="minorHAnsi"/>
          <w:snapToGrid w:val="0"/>
          <w:lang w:val="en-GB"/>
        </w:rPr>
      </w:pPr>
      <w:r w:rsidRPr="005E05CE">
        <w:rPr>
          <w:snapToGrid w:val="0"/>
          <w:lang w:val="en-GB"/>
        </w:rPr>
        <w:t xml:space="preserve">The PBAC noted the input from </w:t>
      </w:r>
      <w:r>
        <w:rPr>
          <w:snapToGrid w:val="0"/>
        </w:rPr>
        <w:t xml:space="preserve">the Lung Foundation of Australia, which supported the </w:t>
      </w:r>
      <w:r>
        <w:rPr>
          <w:snapToGrid w:val="0"/>
        </w:rPr>
        <w:lastRenderedPageBreak/>
        <w:t>listing of BEC/FOR in COPD.</w:t>
      </w:r>
    </w:p>
    <w:p w14:paraId="14F094C3" w14:textId="0D1055FC" w:rsidR="000E6816" w:rsidRDefault="000E6816" w:rsidP="00650D10">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w:t>
      </w:r>
      <w:r w:rsidR="00663655">
        <w:rPr>
          <w:rFonts w:asciiTheme="minorHAnsi" w:hAnsiTheme="minorHAnsi"/>
          <w:snapToGrid w:val="0"/>
          <w:lang w:val="en-GB"/>
        </w:rPr>
        <w:t>considered</w:t>
      </w:r>
      <w:r>
        <w:rPr>
          <w:rFonts w:asciiTheme="minorHAnsi" w:hAnsiTheme="minorHAnsi"/>
          <w:snapToGrid w:val="0"/>
          <w:lang w:val="en-GB"/>
        </w:rPr>
        <w:t xml:space="preserve"> </w:t>
      </w:r>
      <w:bookmarkStart w:id="69" w:name="_Hlk98425755"/>
      <w:r>
        <w:rPr>
          <w:rFonts w:asciiTheme="minorHAnsi" w:hAnsiTheme="minorHAnsi"/>
          <w:snapToGrid w:val="0"/>
          <w:lang w:val="en-GB"/>
        </w:rPr>
        <w:t>FP</w:t>
      </w:r>
      <w:r w:rsidR="005E05CE">
        <w:rPr>
          <w:rFonts w:asciiTheme="minorHAnsi" w:hAnsiTheme="minorHAnsi"/>
          <w:snapToGrid w:val="0"/>
          <w:lang w:val="en-GB"/>
        </w:rPr>
        <w:t>/</w:t>
      </w:r>
      <w:r>
        <w:rPr>
          <w:rFonts w:asciiTheme="minorHAnsi" w:hAnsiTheme="minorHAnsi"/>
          <w:snapToGrid w:val="0"/>
          <w:lang w:val="en-GB"/>
        </w:rPr>
        <w:t xml:space="preserve">SAL </w:t>
      </w:r>
      <w:bookmarkEnd w:id="69"/>
      <w:r w:rsidR="00663655">
        <w:rPr>
          <w:rFonts w:asciiTheme="minorHAnsi" w:hAnsiTheme="minorHAnsi"/>
          <w:snapToGrid w:val="0"/>
          <w:lang w:val="en-GB"/>
        </w:rPr>
        <w:t>250/</w:t>
      </w:r>
      <w:r w:rsidR="00B62173">
        <w:rPr>
          <w:rFonts w:asciiTheme="minorHAnsi" w:hAnsiTheme="minorHAnsi"/>
          <w:snapToGrid w:val="0"/>
          <w:lang w:val="en-GB"/>
        </w:rPr>
        <w:t>25</w:t>
      </w:r>
      <w:r w:rsidR="00B62173">
        <w:rPr>
          <w:color w:val="000000" w:themeColor="text1"/>
        </w:rPr>
        <w:t> </w:t>
      </w:r>
      <w:r w:rsidR="00663655" w:rsidRPr="00906719">
        <w:rPr>
          <w:color w:val="000000" w:themeColor="text1"/>
        </w:rPr>
        <w:t>µg</w:t>
      </w:r>
      <w:r w:rsidR="00663655">
        <w:rPr>
          <w:rFonts w:asciiTheme="minorHAnsi" w:hAnsiTheme="minorHAnsi"/>
          <w:snapToGrid w:val="0"/>
          <w:lang w:val="en-GB"/>
        </w:rPr>
        <w:t xml:space="preserve"> </w:t>
      </w:r>
      <w:r>
        <w:rPr>
          <w:rFonts w:asciiTheme="minorHAnsi" w:hAnsiTheme="minorHAnsi"/>
          <w:snapToGrid w:val="0"/>
          <w:lang w:val="en-GB"/>
        </w:rPr>
        <w:t xml:space="preserve">FDC </w:t>
      </w:r>
      <w:r w:rsidR="00663655">
        <w:rPr>
          <w:rFonts w:asciiTheme="minorHAnsi" w:hAnsiTheme="minorHAnsi"/>
          <w:snapToGrid w:val="0"/>
          <w:lang w:val="en-GB"/>
        </w:rPr>
        <w:t>to be an appropriate</w:t>
      </w:r>
      <w:r>
        <w:rPr>
          <w:rFonts w:asciiTheme="minorHAnsi" w:hAnsiTheme="minorHAnsi"/>
          <w:snapToGrid w:val="0"/>
          <w:lang w:val="en-GB"/>
        </w:rPr>
        <w:t xml:space="preserve"> comparator. </w:t>
      </w:r>
      <w:r w:rsidR="00663655">
        <w:rPr>
          <w:rFonts w:asciiTheme="minorHAnsi" w:hAnsiTheme="minorHAnsi"/>
          <w:snapToGrid w:val="0"/>
          <w:lang w:val="en-GB"/>
        </w:rPr>
        <w:t xml:space="preserve">In addition, the PBAC also </w:t>
      </w:r>
      <w:r w:rsidR="00FC1524">
        <w:rPr>
          <w:rFonts w:asciiTheme="minorHAnsi" w:hAnsiTheme="minorHAnsi"/>
          <w:snapToGrid w:val="0"/>
          <w:lang w:val="en-GB"/>
        </w:rPr>
        <w:t xml:space="preserve">considered </w:t>
      </w:r>
      <w:r>
        <w:rPr>
          <w:rFonts w:asciiTheme="minorHAnsi" w:hAnsiTheme="minorHAnsi"/>
          <w:snapToGrid w:val="0"/>
          <w:lang w:val="en-GB"/>
        </w:rPr>
        <w:t xml:space="preserve">all ICS/LABA FDCs listed for COPD at comparable doses </w:t>
      </w:r>
      <w:r w:rsidR="00663655">
        <w:rPr>
          <w:rFonts w:asciiTheme="minorHAnsi" w:hAnsiTheme="minorHAnsi"/>
          <w:snapToGrid w:val="0"/>
          <w:lang w:val="en-GB"/>
        </w:rPr>
        <w:t>were appropriate alternative therapies</w:t>
      </w:r>
      <w:r>
        <w:rPr>
          <w:rFonts w:asciiTheme="minorHAnsi" w:hAnsiTheme="minorHAnsi"/>
          <w:snapToGrid w:val="0"/>
          <w:lang w:val="en-GB"/>
        </w:rPr>
        <w:t xml:space="preserve"> (see paragraph </w:t>
      </w:r>
      <w:r>
        <w:rPr>
          <w:rFonts w:asciiTheme="minorHAnsi" w:hAnsiTheme="minorHAnsi"/>
          <w:snapToGrid w:val="0"/>
          <w:lang w:val="en-GB"/>
        </w:rPr>
        <w:fldChar w:fldCharType="begin"/>
      </w:r>
      <w:r>
        <w:rPr>
          <w:rFonts w:asciiTheme="minorHAnsi" w:hAnsiTheme="minorHAnsi"/>
          <w:snapToGrid w:val="0"/>
          <w:lang w:val="en-GB"/>
        </w:rPr>
        <w:instrText xml:space="preserve"> REF _Ref98425350 \r \h </w:instrText>
      </w:r>
      <w:r>
        <w:rPr>
          <w:rFonts w:asciiTheme="minorHAnsi" w:hAnsiTheme="minorHAnsi"/>
          <w:snapToGrid w:val="0"/>
          <w:lang w:val="en-GB"/>
        </w:rPr>
      </w:r>
      <w:r>
        <w:rPr>
          <w:rFonts w:asciiTheme="minorHAnsi" w:hAnsiTheme="minorHAnsi"/>
          <w:snapToGrid w:val="0"/>
          <w:lang w:val="en-GB"/>
        </w:rPr>
        <w:fldChar w:fldCharType="separate"/>
      </w:r>
      <w:r w:rsidR="000A781E">
        <w:rPr>
          <w:rFonts w:asciiTheme="minorHAnsi" w:hAnsiTheme="minorHAnsi"/>
          <w:snapToGrid w:val="0"/>
          <w:lang w:val="en-GB"/>
        </w:rPr>
        <w:t>5.3</w:t>
      </w:r>
      <w:r>
        <w:rPr>
          <w:rFonts w:asciiTheme="minorHAnsi" w:hAnsiTheme="minorHAnsi"/>
          <w:snapToGrid w:val="0"/>
          <w:lang w:val="en-GB"/>
        </w:rPr>
        <w:fldChar w:fldCharType="end"/>
      </w:r>
      <w:r>
        <w:rPr>
          <w:rFonts w:asciiTheme="minorHAnsi" w:hAnsiTheme="minorHAnsi"/>
          <w:snapToGrid w:val="0"/>
          <w:lang w:val="en-GB"/>
        </w:rPr>
        <w:t>).</w:t>
      </w:r>
    </w:p>
    <w:p w14:paraId="35542F11" w14:textId="065962AA" w:rsidR="000A57D8" w:rsidRDefault="00C03E52" w:rsidP="000A57D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The PBAC considered the claim of non-inferior effectiveness was supported by the Transition Dyspnoea Index (TDI) results of the FUTURE trial. T</w:t>
      </w:r>
      <w:r w:rsidR="009B2A21">
        <w:rPr>
          <w:rFonts w:asciiTheme="minorHAnsi" w:hAnsiTheme="minorHAnsi"/>
          <w:snapToGrid w:val="0"/>
          <w:lang w:val="en-GB"/>
        </w:rPr>
        <w:t xml:space="preserve">he </w:t>
      </w:r>
      <w:r>
        <w:rPr>
          <w:rFonts w:asciiTheme="minorHAnsi" w:hAnsiTheme="minorHAnsi"/>
          <w:snapToGrid w:val="0"/>
          <w:lang w:val="en-GB"/>
        </w:rPr>
        <w:t xml:space="preserve">claim was also supported by the change in pre-dose morning FEV1 from baseline to 48 weeks reported in the </w:t>
      </w:r>
      <w:proofErr w:type="spellStart"/>
      <w:r>
        <w:rPr>
          <w:rFonts w:asciiTheme="minorHAnsi" w:hAnsiTheme="minorHAnsi"/>
          <w:snapToGrid w:val="0"/>
          <w:lang w:val="en-GB"/>
        </w:rPr>
        <w:t>Calverly</w:t>
      </w:r>
      <w:proofErr w:type="spellEnd"/>
      <w:r>
        <w:rPr>
          <w:rFonts w:asciiTheme="minorHAnsi" w:hAnsiTheme="minorHAnsi"/>
          <w:snapToGrid w:val="0"/>
          <w:lang w:val="en-GB"/>
        </w:rPr>
        <w:t xml:space="preserve"> et al. (2010) trial for BEC/FOR versus budesonide (BUD) with FOR. </w:t>
      </w:r>
      <w:r w:rsidR="000A57D8" w:rsidRPr="000A57D8">
        <w:rPr>
          <w:rFonts w:asciiTheme="minorHAnsi" w:hAnsiTheme="minorHAnsi"/>
          <w:snapToGrid w:val="0"/>
          <w:lang w:val="en-GB"/>
        </w:rPr>
        <w:t>The PBAC considered th</w:t>
      </w:r>
      <w:r w:rsidR="006745A9">
        <w:rPr>
          <w:rFonts w:asciiTheme="minorHAnsi" w:hAnsiTheme="minorHAnsi"/>
          <w:snapToGrid w:val="0"/>
          <w:lang w:val="en-GB"/>
        </w:rPr>
        <w:t>at the upper 95% confidence interval for the</w:t>
      </w:r>
      <w:r w:rsidR="000A57D8" w:rsidRPr="000A57D8">
        <w:rPr>
          <w:rFonts w:asciiTheme="minorHAnsi" w:hAnsiTheme="minorHAnsi"/>
          <w:snapToGrid w:val="0"/>
          <w:lang w:val="en-GB"/>
        </w:rPr>
        <w:t xml:space="preserve"> mean rate of COPD exacerbations in the </w:t>
      </w:r>
      <w:proofErr w:type="spellStart"/>
      <w:r w:rsidR="000A57D8" w:rsidRPr="000A57D8">
        <w:rPr>
          <w:rFonts w:asciiTheme="minorHAnsi" w:hAnsiTheme="minorHAnsi"/>
          <w:snapToGrid w:val="0"/>
          <w:lang w:val="en-GB"/>
        </w:rPr>
        <w:t>Calverly</w:t>
      </w:r>
      <w:proofErr w:type="spellEnd"/>
      <w:r w:rsidR="000A57D8" w:rsidRPr="000A57D8">
        <w:rPr>
          <w:rFonts w:asciiTheme="minorHAnsi" w:hAnsiTheme="minorHAnsi"/>
          <w:snapToGrid w:val="0"/>
          <w:lang w:val="en-GB"/>
        </w:rPr>
        <w:t xml:space="preserve"> et al. (2010) trial</w:t>
      </w:r>
      <w:r w:rsidR="006745A9">
        <w:rPr>
          <w:rFonts w:asciiTheme="minorHAnsi" w:hAnsiTheme="minorHAnsi"/>
          <w:snapToGrid w:val="0"/>
          <w:lang w:val="en-GB"/>
        </w:rPr>
        <w:t xml:space="preserve"> was high,</w:t>
      </w:r>
      <w:r w:rsidR="000A57D8" w:rsidRPr="000A57D8">
        <w:rPr>
          <w:rFonts w:asciiTheme="minorHAnsi" w:hAnsiTheme="minorHAnsi"/>
          <w:snapToGrid w:val="0"/>
          <w:lang w:val="en-GB"/>
        </w:rPr>
        <w:t xml:space="preserve"> at 1.33 </w:t>
      </w:r>
      <w:r w:rsidR="006745A9">
        <w:rPr>
          <w:rFonts w:asciiTheme="minorHAnsi" w:hAnsiTheme="minorHAnsi"/>
          <w:snapToGrid w:val="0"/>
          <w:lang w:val="en-GB"/>
        </w:rPr>
        <w:t xml:space="preserve">but acknowledged that </w:t>
      </w:r>
      <w:r w:rsidR="000A57D8" w:rsidRPr="000A57D8">
        <w:rPr>
          <w:rFonts w:asciiTheme="minorHAnsi" w:hAnsiTheme="minorHAnsi"/>
          <w:snapToGrid w:val="0"/>
          <w:lang w:val="en-GB"/>
        </w:rPr>
        <w:t xml:space="preserve">the study was likely underpowered for this outcome. </w:t>
      </w:r>
      <w:r w:rsidR="000A57D8">
        <w:rPr>
          <w:rFonts w:asciiTheme="minorHAnsi" w:hAnsiTheme="minorHAnsi"/>
          <w:snapToGrid w:val="0"/>
          <w:lang w:val="en-GB"/>
        </w:rPr>
        <w:t xml:space="preserve">Overall, the PBAC considered </w:t>
      </w:r>
      <w:r w:rsidR="009B2A21">
        <w:rPr>
          <w:rFonts w:asciiTheme="minorHAnsi" w:hAnsiTheme="minorHAnsi"/>
          <w:snapToGrid w:val="0"/>
          <w:lang w:val="en-GB"/>
        </w:rPr>
        <w:t xml:space="preserve">the claim of non-inferior effectiveness was reasonable. </w:t>
      </w:r>
    </w:p>
    <w:p w14:paraId="527453DF" w14:textId="4F205C1E" w:rsidR="009B2A21" w:rsidRPr="00E23C38" w:rsidRDefault="009B2A21" w:rsidP="009B2A21">
      <w:pPr>
        <w:pStyle w:val="3-BodyText"/>
      </w:pPr>
      <w:r w:rsidRPr="00E23C38">
        <w:t xml:space="preserve">The PBAC considered that the </w:t>
      </w:r>
      <w:r>
        <w:t xml:space="preserve">evidence presented in the submission supported the </w:t>
      </w:r>
      <w:r w:rsidRPr="00E23C38">
        <w:t>claim of non-inferior comparative safety.</w:t>
      </w:r>
    </w:p>
    <w:p w14:paraId="21587CA6" w14:textId="46BF5507" w:rsidR="009B2A21" w:rsidRPr="002A5391" w:rsidRDefault="009B2A21" w:rsidP="000A57D8">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that the submission </w:t>
      </w:r>
      <w:r w:rsidR="00FC1524">
        <w:rPr>
          <w:rFonts w:asciiTheme="minorHAnsi" w:hAnsiTheme="minorHAnsi"/>
          <w:snapToGrid w:val="0"/>
          <w:lang w:val="en-GB"/>
        </w:rPr>
        <w:t xml:space="preserve">presented a cost-minimisation analysis between BEC/FOR and FP/SAL. </w:t>
      </w:r>
      <w:r w:rsidR="004E694C">
        <w:rPr>
          <w:rFonts w:asciiTheme="minorHAnsi" w:hAnsiTheme="minorHAnsi"/>
          <w:snapToGrid w:val="0"/>
          <w:lang w:val="en-GB"/>
        </w:rPr>
        <w:t xml:space="preserve">The PBAC accepted the equi-effective doses outlined in </w:t>
      </w:r>
      <w:r w:rsidR="004E694C">
        <w:rPr>
          <w:rFonts w:asciiTheme="minorHAnsi" w:hAnsiTheme="minorHAnsi"/>
          <w:snapToGrid w:val="0"/>
          <w:lang w:val="en-GB"/>
        </w:rPr>
        <w:fldChar w:fldCharType="begin"/>
      </w:r>
      <w:r w:rsidR="004E694C">
        <w:rPr>
          <w:rFonts w:asciiTheme="minorHAnsi" w:hAnsiTheme="minorHAnsi"/>
          <w:snapToGrid w:val="0"/>
          <w:lang w:val="en-GB"/>
        </w:rPr>
        <w:instrText xml:space="preserve"> REF _Ref98431535 \h  \* MERGEFORMAT </w:instrText>
      </w:r>
      <w:r w:rsidR="004E694C">
        <w:rPr>
          <w:rFonts w:asciiTheme="minorHAnsi" w:hAnsiTheme="minorHAnsi"/>
          <w:snapToGrid w:val="0"/>
          <w:lang w:val="en-GB"/>
        </w:rPr>
      </w:r>
      <w:r w:rsidR="004E694C">
        <w:rPr>
          <w:rFonts w:asciiTheme="minorHAnsi" w:hAnsiTheme="minorHAnsi"/>
          <w:snapToGrid w:val="0"/>
          <w:lang w:val="en-GB"/>
        </w:rPr>
        <w:fldChar w:fldCharType="separate"/>
      </w:r>
      <w:r w:rsidR="002A5391" w:rsidRPr="002A5391">
        <w:rPr>
          <w:rFonts w:asciiTheme="minorHAnsi" w:hAnsiTheme="minorHAnsi"/>
          <w:snapToGrid w:val="0"/>
          <w:lang w:val="en-GB"/>
        </w:rPr>
        <w:t>Table 8</w:t>
      </w:r>
      <w:r w:rsidR="004E694C">
        <w:rPr>
          <w:rFonts w:asciiTheme="minorHAnsi" w:hAnsiTheme="minorHAnsi"/>
          <w:snapToGrid w:val="0"/>
          <w:lang w:val="en-GB"/>
        </w:rPr>
        <w:fldChar w:fldCharType="end"/>
      </w:r>
      <w:r w:rsidR="004E694C">
        <w:rPr>
          <w:rFonts w:asciiTheme="minorHAnsi" w:hAnsiTheme="minorHAnsi"/>
          <w:snapToGrid w:val="0"/>
          <w:lang w:val="en-GB"/>
        </w:rPr>
        <w:t xml:space="preserve"> as the basis for the analysis. However, </w:t>
      </w:r>
      <w:r w:rsidR="00AE2FAC">
        <w:rPr>
          <w:rFonts w:asciiTheme="minorHAnsi" w:hAnsiTheme="minorHAnsi"/>
          <w:snapToGrid w:val="0"/>
          <w:lang w:val="en-GB"/>
        </w:rPr>
        <w:t xml:space="preserve">the PBAC considered the </w:t>
      </w:r>
      <w:r w:rsidR="004E694C">
        <w:rPr>
          <w:rFonts w:eastAsia="Calibri" w:cstheme="minorHAnsi"/>
          <w:lang w:eastAsia="en-US"/>
        </w:rPr>
        <w:t xml:space="preserve">cost of BEC/FOR should be no greater than the lowest price combination of the PBS listed components of ICS/LABA therapy that are available for COPD at </w:t>
      </w:r>
      <w:r w:rsidR="00AE2FAC">
        <w:rPr>
          <w:rFonts w:eastAsia="Calibri" w:cstheme="minorHAnsi"/>
          <w:lang w:eastAsia="en-US"/>
        </w:rPr>
        <w:t xml:space="preserve">the </w:t>
      </w:r>
      <w:r w:rsidR="004E694C">
        <w:rPr>
          <w:rFonts w:eastAsia="Calibri" w:cstheme="minorHAnsi"/>
          <w:lang w:eastAsia="en-US"/>
        </w:rPr>
        <w:t>comparable doses</w:t>
      </w:r>
      <w:r w:rsidR="00AE2FAC">
        <w:rPr>
          <w:rFonts w:eastAsia="Calibri" w:cstheme="minorHAnsi"/>
          <w:lang w:eastAsia="en-US"/>
        </w:rPr>
        <w:t xml:space="preserve"> outlined in </w:t>
      </w:r>
      <w:r w:rsidR="00AE2FAC">
        <w:rPr>
          <w:rFonts w:eastAsia="Calibri" w:cstheme="minorHAnsi"/>
          <w:lang w:eastAsia="en-US"/>
        </w:rPr>
        <w:fldChar w:fldCharType="begin"/>
      </w:r>
      <w:r w:rsidR="00AE2FAC">
        <w:rPr>
          <w:rFonts w:eastAsia="Calibri" w:cstheme="minorHAnsi"/>
          <w:lang w:eastAsia="en-US"/>
        </w:rPr>
        <w:instrText xml:space="preserve"> REF _Ref92356095 \h  \* MERGEFORMAT </w:instrText>
      </w:r>
      <w:r w:rsidR="00AE2FAC">
        <w:rPr>
          <w:rFonts w:eastAsia="Calibri" w:cstheme="minorHAnsi"/>
          <w:lang w:eastAsia="en-US"/>
        </w:rPr>
      </w:r>
      <w:r w:rsidR="00AE2FAC">
        <w:rPr>
          <w:rFonts w:eastAsia="Calibri" w:cstheme="minorHAnsi"/>
          <w:lang w:eastAsia="en-US"/>
        </w:rPr>
        <w:fldChar w:fldCharType="separate"/>
      </w:r>
      <w:r w:rsidR="002A5391" w:rsidRPr="002A5391">
        <w:rPr>
          <w:rFonts w:eastAsia="Calibri" w:cstheme="minorHAnsi"/>
          <w:lang w:eastAsia="en-US"/>
        </w:rPr>
        <w:t>Table 11</w:t>
      </w:r>
      <w:r w:rsidR="00AE2FAC">
        <w:rPr>
          <w:rFonts w:eastAsia="Calibri" w:cstheme="minorHAnsi"/>
          <w:lang w:eastAsia="en-US"/>
        </w:rPr>
        <w:fldChar w:fldCharType="end"/>
      </w:r>
      <w:r w:rsidR="004E694C">
        <w:rPr>
          <w:rFonts w:eastAsia="Calibri" w:cstheme="minorHAnsi"/>
          <w:lang w:eastAsia="en-US"/>
        </w:rPr>
        <w:t xml:space="preserve">, irrespective of </w:t>
      </w:r>
      <w:r w:rsidR="002A5391">
        <w:rPr>
          <w:rFonts w:eastAsia="Calibri" w:cstheme="minorHAnsi"/>
          <w:lang w:eastAsia="en-US"/>
        </w:rPr>
        <w:t xml:space="preserve">the </w:t>
      </w:r>
      <w:r w:rsidR="004E694C">
        <w:rPr>
          <w:rFonts w:eastAsia="Calibri" w:cstheme="minorHAnsi"/>
          <w:lang w:eastAsia="en-US"/>
        </w:rPr>
        <w:t>days of treatment provided</w:t>
      </w:r>
      <w:r w:rsidR="006745A9">
        <w:rPr>
          <w:rFonts w:eastAsia="Calibri" w:cstheme="minorHAnsi"/>
          <w:lang w:eastAsia="en-US"/>
        </w:rPr>
        <w:t xml:space="preserve"> (see paragraph </w:t>
      </w:r>
      <w:r w:rsidR="009E4B2F">
        <w:rPr>
          <w:rFonts w:eastAsia="Calibri" w:cstheme="minorHAnsi"/>
          <w:lang w:eastAsia="en-US"/>
        </w:rPr>
        <w:fldChar w:fldCharType="begin"/>
      </w:r>
      <w:r w:rsidR="009E4B2F">
        <w:rPr>
          <w:rFonts w:eastAsia="Calibri" w:cstheme="minorHAnsi"/>
          <w:lang w:eastAsia="en-US"/>
        </w:rPr>
        <w:instrText xml:space="preserve"> REF _Ref99038894 \r \h </w:instrText>
      </w:r>
      <w:r w:rsidR="009E4B2F">
        <w:rPr>
          <w:rFonts w:eastAsia="Calibri" w:cstheme="minorHAnsi"/>
          <w:lang w:eastAsia="en-US"/>
        </w:rPr>
      </w:r>
      <w:r w:rsidR="009E4B2F">
        <w:rPr>
          <w:rFonts w:eastAsia="Calibri" w:cstheme="minorHAnsi"/>
          <w:lang w:eastAsia="en-US"/>
        </w:rPr>
        <w:fldChar w:fldCharType="separate"/>
      </w:r>
      <w:r w:rsidR="009E4B2F">
        <w:rPr>
          <w:rFonts w:eastAsia="Calibri" w:cstheme="minorHAnsi"/>
          <w:lang w:eastAsia="en-US"/>
        </w:rPr>
        <w:t>6.46</w:t>
      </w:r>
      <w:r w:rsidR="009E4B2F">
        <w:rPr>
          <w:rFonts w:eastAsia="Calibri" w:cstheme="minorHAnsi"/>
          <w:lang w:eastAsia="en-US"/>
        </w:rPr>
        <w:fldChar w:fldCharType="end"/>
      </w:r>
      <w:r w:rsidR="009E4B2F">
        <w:rPr>
          <w:rFonts w:eastAsia="Calibri" w:cstheme="minorHAnsi"/>
          <w:lang w:eastAsia="en-US"/>
        </w:rPr>
        <w:t>)</w:t>
      </w:r>
      <w:r w:rsidR="004E694C">
        <w:rPr>
          <w:rFonts w:eastAsia="Calibri" w:cstheme="minorHAnsi"/>
          <w:lang w:eastAsia="en-US"/>
        </w:rPr>
        <w:t>.</w:t>
      </w:r>
    </w:p>
    <w:p w14:paraId="0D7FEBAC" w14:textId="0C277045" w:rsidR="0062067A" w:rsidRDefault="00AE2FAC" w:rsidP="0062067A">
      <w:pPr>
        <w:widowControl w:val="0"/>
        <w:numPr>
          <w:ilvl w:val="1"/>
          <w:numId w:val="1"/>
        </w:numPr>
        <w:spacing w:after="120"/>
        <w:rPr>
          <w:rFonts w:asciiTheme="minorHAnsi" w:hAnsiTheme="minorHAnsi"/>
          <w:snapToGrid w:val="0"/>
          <w:lang w:val="en-GB"/>
        </w:rPr>
      </w:pPr>
      <w:r>
        <w:rPr>
          <w:rFonts w:asciiTheme="minorHAnsi" w:hAnsiTheme="minorHAnsi"/>
          <w:snapToGrid w:val="0"/>
          <w:lang w:val="en-GB"/>
        </w:rPr>
        <w:t xml:space="preserve">The PBAC noted the estimated financial implications for listing based on </w:t>
      </w:r>
      <w:r w:rsidR="00FD0A77">
        <w:rPr>
          <w:rFonts w:asciiTheme="minorHAnsi" w:hAnsiTheme="minorHAnsi"/>
          <w:snapToGrid w:val="0"/>
          <w:lang w:val="en-GB"/>
        </w:rPr>
        <w:t xml:space="preserve">three separate DPMQs for BEC/FOR: weighted average value; indication-specific value; and least-cost alternative value (see </w:t>
      </w:r>
      <w:r w:rsidR="00FD0A77">
        <w:rPr>
          <w:rFonts w:asciiTheme="minorHAnsi" w:hAnsiTheme="minorHAnsi"/>
          <w:snapToGrid w:val="0"/>
          <w:lang w:val="en-GB"/>
        </w:rPr>
        <w:fldChar w:fldCharType="begin"/>
      </w:r>
      <w:r w:rsidR="00FD0A77">
        <w:rPr>
          <w:rFonts w:asciiTheme="minorHAnsi" w:hAnsiTheme="minorHAnsi"/>
          <w:snapToGrid w:val="0"/>
          <w:lang w:val="en-GB"/>
        </w:rPr>
        <w:instrText xml:space="preserve"> REF _Ref98432413 \h  \* MERGEFORMAT </w:instrText>
      </w:r>
      <w:r w:rsidR="00FD0A77">
        <w:rPr>
          <w:rFonts w:asciiTheme="minorHAnsi" w:hAnsiTheme="minorHAnsi"/>
          <w:snapToGrid w:val="0"/>
          <w:lang w:val="en-GB"/>
        </w:rPr>
      </w:r>
      <w:r w:rsidR="00FD0A77">
        <w:rPr>
          <w:rFonts w:asciiTheme="minorHAnsi" w:hAnsiTheme="minorHAnsi"/>
          <w:snapToGrid w:val="0"/>
          <w:lang w:val="en-GB"/>
        </w:rPr>
        <w:fldChar w:fldCharType="separate"/>
      </w:r>
      <w:r w:rsidR="002A5391" w:rsidRPr="002A5391">
        <w:rPr>
          <w:rFonts w:asciiTheme="minorHAnsi" w:hAnsiTheme="minorHAnsi"/>
          <w:snapToGrid w:val="0"/>
          <w:lang w:val="en-GB"/>
        </w:rPr>
        <w:t>Table 13</w:t>
      </w:r>
      <w:r w:rsidR="00FD0A77">
        <w:rPr>
          <w:rFonts w:asciiTheme="minorHAnsi" w:hAnsiTheme="minorHAnsi"/>
          <w:snapToGrid w:val="0"/>
          <w:lang w:val="en-GB"/>
        </w:rPr>
        <w:fldChar w:fldCharType="end"/>
      </w:r>
      <w:r w:rsidR="00FD0A77">
        <w:rPr>
          <w:rFonts w:asciiTheme="minorHAnsi" w:hAnsiTheme="minorHAnsi"/>
          <w:snapToGrid w:val="0"/>
          <w:lang w:val="en-GB"/>
        </w:rPr>
        <w:t xml:space="preserve">). </w:t>
      </w:r>
      <w:r w:rsidR="0062067A">
        <w:rPr>
          <w:rFonts w:asciiTheme="minorHAnsi" w:hAnsiTheme="minorHAnsi"/>
          <w:snapToGrid w:val="0"/>
          <w:lang w:val="en-GB"/>
        </w:rPr>
        <w:t xml:space="preserve">The PBAC considered that concerns regarding the appropriate DPMQ for use in the financial estimates were addressed by the Committee’s recommendation that BEC/FOR be listed on a cost-minimisation basis against the least costly ICS/LABA FDC as outlined in paragraph 7.7. </w:t>
      </w:r>
    </w:p>
    <w:p w14:paraId="4D0842B9" w14:textId="36243520" w:rsidR="0062067A" w:rsidRPr="00342A54" w:rsidRDefault="00342A54" w:rsidP="0062067A">
      <w:pPr>
        <w:widowControl w:val="0"/>
        <w:numPr>
          <w:ilvl w:val="1"/>
          <w:numId w:val="1"/>
        </w:numPr>
        <w:spacing w:after="120"/>
        <w:rPr>
          <w:rFonts w:asciiTheme="minorHAnsi" w:hAnsiTheme="minorHAnsi"/>
          <w:snapToGrid w:val="0"/>
          <w:lang w:val="en-GB"/>
        </w:rPr>
      </w:pPr>
      <w:r w:rsidRPr="00342A54">
        <w:rPr>
          <w:rFonts w:asciiTheme="minorHAnsi" w:hAnsiTheme="minorHAnsi"/>
          <w:snapToGrid w:val="0"/>
          <w:lang w:val="en-GB"/>
        </w:rPr>
        <w:t>The PBAC noted the following flow-on restriction changes to the current BEC/FOR listing for asthma (12183F):</w:t>
      </w:r>
    </w:p>
    <w:p w14:paraId="3B6B9816" w14:textId="77777777" w:rsidR="0062067A" w:rsidRPr="00342A54" w:rsidRDefault="0062067A" w:rsidP="0062067A">
      <w:pPr>
        <w:pStyle w:val="ListParagraph"/>
        <w:numPr>
          <w:ilvl w:val="0"/>
          <w:numId w:val="15"/>
        </w:numPr>
        <w:spacing w:after="160" w:line="259" w:lineRule="auto"/>
        <w:contextualSpacing/>
        <w:jc w:val="left"/>
        <w:rPr>
          <w:lang w:val="en-GB"/>
        </w:rPr>
      </w:pPr>
      <w:r w:rsidRPr="00342A54">
        <w:rPr>
          <w:lang w:val="en-GB"/>
        </w:rPr>
        <w:t xml:space="preserve">Remove administrative advice ‘This drug is not PBS-subsidised for the treatment of chronic obstructive pulmonary disease (COPD)’. </w:t>
      </w:r>
    </w:p>
    <w:p w14:paraId="167C5B58" w14:textId="63F39818" w:rsidR="0062067A" w:rsidRPr="00342A54" w:rsidRDefault="0062067A" w:rsidP="00342A54">
      <w:pPr>
        <w:pStyle w:val="ListParagraph"/>
        <w:numPr>
          <w:ilvl w:val="0"/>
          <w:numId w:val="15"/>
        </w:numPr>
        <w:spacing w:after="160" w:line="259" w:lineRule="auto"/>
        <w:contextualSpacing/>
        <w:jc w:val="left"/>
        <w:rPr>
          <w:lang w:val="en-GB"/>
        </w:rPr>
      </w:pPr>
      <w:r w:rsidRPr="00342A54">
        <w:rPr>
          <w:lang w:val="en-GB"/>
        </w:rPr>
        <w:t>Move all administration advice from the PR level to the indication level.</w:t>
      </w:r>
    </w:p>
    <w:p w14:paraId="5533029E" w14:textId="10D07CF3" w:rsidR="0062067A" w:rsidRPr="00EE11C8" w:rsidRDefault="0062067A" w:rsidP="0062067A">
      <w:pPr>
        <w:pStyle w:val="3-BodyText"/>
        <w:rPr>
          <w:rFonts w:cstheme="minorHAnsi"/>
          <w:bCs/>
          <w:snapToGrid/>
        </w:rPr>
      </w:pPr>
      <w:r w:rsidRPr="00EE11C8">
        <w:rPr>
          <w:rFonts w:cstheme="minorHAnsi"/>
          <w:bCs/>
          <w:snapToGrid/>
        </w:rPr>
        <w:t xml:space="preserve">The PBAC advised that under Section 101(3BA) of the </w:t>
      </w:r>
      <w:r w:rsidRPr="00EC651B">
        <w:rPr>
          <w:rFonts w:cstheme="minorHAnsi"/>
          <w:bCs/>
          <w:i/>
          <w:snapToGrid/>
        </w:rPr>
        <w:t>National Health Act 1953</w:t>
      </w:r>
      <w:r w:rsidRPr="00EE11C8">
        <w:rPr>
          <w:rFonts w:cstheme="minorHAnsi"/>
          <w:bCs/>
          <w:snapToGrid/>
        </w:rPr>
        <w:t xml:space="preserve"> </w:t>
      </w:r>
      <w:r>
        <w:rPr>
          <w:rFonts w:cstheme="minorHAnsi"/>
          <w:bCs/>
          <w:snapToGrid/>
        </w:rPr>
        <w:t>BEC/FOR</w:t>
      </w:r>
      <w:r w:rsidRPr="00EE11C8">
        <w:rPr>
          <w:rFonts w:cstheme="minorHAnsi"/>
          <w:bCs/>
          <w:snapToGrid/>
        </w:rPr>
        <w:t xml:space="preserve"> should be treated as interchangeable </w:t>
      </w:r>
      <w:r>
        <w:rPr>
          <w:rFonts w:cstheme="minorHAnsi"/>
          <w:bCs/>
          <w:snapToGrid/>
        </w:rPr>
        <w:t xml:space="preserve">on an individual basis </w:t>
      </w:r>
      <w:r w:rsidRPr="00EE11C8">
        <w:rPr>
          <w:rFonts w:cstheme="minorHAnsi"/>
          <w:bCs/>
          <w:snapToGrid/>
        </w:rPr>
        <w:t xml:space="preserve">with </w:t>
      </w:r>
      <w:r>
        <w:rPr>
          <w:rFonts w:cstheme="minorHAnsi"/>
          <w:bCs/>
          <w:snapToGrid/>
        </w:rPr>
        <w:t>other appropriate ICS/LABA FDC products on the PBS</w:t>
      </w:r>
      <w:r w:rsidRPr="00EE11C8">
        <w:rPr>
          <w:rFonts w:cstheme="minorHAnsi"/>
          <w:bCs/>
          <w:snapToGrid/>
        </w:rPr>
        <w:t xml:space="preserve">. </w:t>
      </w:r>
    </w:p>
    <w:p w14:paraId="20F839F9" w14:textId="0B52F7F0" w:rsidR="0062067A" w:rsidRPr="00EE11C8" w:rsidRDefault="0062067A" w:rsidP="0062067A">
      <w:pPr>
        <w:pStyle w:val="3-BodyText"/>
        <w:rPr>
          <w:rFonts w:cstheme="minorHAnsi"/>
          <w:bCs/>
          <w:snapToGrid/>
        </w:rPr>
      </w:pPr>
      <w:r w:rsidRPr="00EE11C8">
        <w:rPr>
          <w:rFonts w:cstheme="minorHAnsi"/>
          <w:bCs/>
          <w:snapToGrid/>
        </w:rPr>
        <w:t xml:space="preserve">The PBAC advised that </w:t>
      </w:r>
      <w:r>
        <w:rPr>
          <w:rFonts w:cstheme="minorHAnsi"/>
          <w:bCs/>
          <w:snapToGrid/>
        </w:rPr>
        <w:t>BEC/FOR</w:t>
      </w:r>
      <w:r w:rsidRPr="00EE11C8">
        <w:rPr>
          <w:rFonts w:cstheme="minorHAnsi"/>
          <w:bCs/>
          <w:snapToGrid/>
        </w:rPr>
        <w:t xml:space="preserve"> is suitable for prescribing by nurse practitioners.</w:t>
      </w:r>
    </w:p>
    <w:p w14:paraId="6DD4BF60" w14:textId="77777777" w:rsidR="0062067A" w:rsidRPr="00EE11C8" w:rsidRDefault="0062067A" w:rsidP="0062067A">
      <w:pPr>
        <w:pStyle w:val="3-BodyText"/>
        <w:rPr>
          <w:rFonts w:cstheme="minorHAnsi"/>
          <w:bCs/>
          <w:snapToGrid/>
        </w:rPr>
      </w:pPr>
      <w:r w:rsidRPr="00EE11C8">
        <w:rPr>
          <w:rFonts w:cstheme="minorHAnsi"/>
          <w:bCs/>
          <w:snapToGrid/>
        </w:rPr>
        <w:t xml:space="preserve">The PBAC recommended that the Early Supply Rule should not apply. </w:t>
      </w:r>
    </w:p>
    <w:p w14:paraId="15BEAF60" w14:textId="43A83380" w:rsidR="0062067A" w:rsidRPr="00EE11C8" w:rsidRDefault="0062067A" w:rsidP="0062067A">
      <w:pPr>
        <w:pStyle w:val="3-BodyText"/>
        <w:rPr>
          <w:rFonts w:cstheme="minorHAnsi"/>
          <w:bCs/>
        </w:rPr>
      </w:pPr>
      <w:r w:rsidRPr="00EE11C8">
        <w:rPr>
          <w:rFonts w:cstheme="minorHAnsi"/>
          <w:bCs/>
        </w:rPr>
        <w:t>The PBAC noted that its recommendation was on a cost-minimisation basis and advised that, because</w:t>
      </w:r>
      <w:r w:rsidRPr="00EE11C8">
        <w:rPr>
          <w:rFonts w:cstheme="minorHAnsi"/>
          <w:bCs/>
          <w:snapToGrid/>
        </w:rPr>
        <w:t xml:space="preserve"> </w:t>
      </w:r>
      <w:r>
        <w:rPr>
          <w:rFonts w:cstheme="minorHAnsi"/>
          <w:bCs/>
        </w:rPr>
        <w:t>BEC/FOR</w:t>
      </w:r>
      <w:r w:rsidRPr="00EE11C8">
        <w:rPr>
          <w:rFonts w:cstheme="minorHAnsi"/>
          <w:bCs/>
        </w:rPr>
        <w:t xml:space="preserve"> is not expected to provide a substantial and clinically </w:t>
      </w:r>
      <w:r w:rsidRPr="00EE11C8">
        <w:rPr>
          <w:rFonts w:cstheme="minorHAnsi"/>
          <w:bCs/>
        </w:rPr>
        <w:lastRenderedPageBreak/>
        <w:t xml:space="preserve">relevant improvement in efficacy, or reduction of toxicity, over FP/SAL, or not expected to address a high and urgent unmet clinical need given the presence of an alternative therapy, the criteria prescribed by the </w:t>
      </w:r>
      <w:r w:rsidRPr="00EE11C8">
        <w:rPr>
          <w:rFonts w:cstheme="minorHAnsi"/>
          <w:bCs/>
          <w:i/>
        </w:rPr>
        <w:t>National Health (Pharmaceuticals and Vaccines – Cost Recovery) Regulations 2009</w:t>
      </w:r>
      <w:r w:rsidRPr="00EE11C8">
        <w:rPr>
          <w:rFonts w:cstheme="minorHAnsi"/>
          <w:bCs/>
        </w:rPr>
        <w:t xml:space="preserve"> for Pricing Pathway A were not met.</w:t>
      </w:r>
    </w:p>
    <w:p w14:paraId="3CCDA442" w14:textId="49EA850F" w:rsidR="00F909C6" w:rsidRPr="00635F66" w:rsidRDefault="0062067A" w:rsidP="00F909C6">
      <w:pPr>
        <w:pStyle w:val="3-BodyText"/>
        <w:rPr>
          <w:rFonts w:cstheme="minorHAnsi"/>
          <w:bCs/>
        </w:rPr>
      </w:pPr>
      <w:r w:rsidRPr="00EE11C8">
        <w:rPr>
          <w:rFonts w:cstheme="minorHAnsi"/>
          <w:bCs/>
        </w:rPr>
        <w:t>The PBAC noted that this submission is not eligible for an Independent Review, as it received a positive recommendation.</w:t>
      </w:r>
    </w:p>
    <w:p w14:paraId="4B975030" w14:textId="77777777" w:rsidR="00650D10" w:rsidRPr="00525B39" w:rsidRDefault="00650D10" w:rsidP="00650D10">
      <w:pPr>
        <w:spacing w:before="240"/>
        <w:rPr>
          <w:rFonts w:asciiTheme="minorHAnsi" w:hAnsiTheme="minorHAnsi"/>
          <w:b/>
          <w:bCs/>
          <w:snapToGrid w:val="0"/>
          <w:lang w:val="en-GB"/>
        </w:rPr>
      </w:pPr>
      <w:r w:rsidRPr="00525B39">
        <w:rPr>
          <w:rFonts w:asciiTheme="minorHAnsi" w:hAnsiTheme="minorHAnsi"/>
          <w:b/>
          <w:bCs/>
          <w:snapToGrid w:val="0"/>
          <w:lang w:val="en-GB"/>
        </w:rPr>
        <w:t>Outcome:</w:t>
      </w:r>
    </w:p>
    <w:p w14:paraId="06EC0EC4" w14:textId="07BDF0E1" w:rsidR="00650D10" w:rsidRPr="00525B39" w:rsidRDefault="00650D10" w:rsidP="00650D10">
      <w:pPr>
        <w:rPr>
          <w:rFonts w:asciiTheme="minorHAnsi" w:hAnsiTheme="minorHAnsi"/>
          <w:bCs/>
          <w:snapToGrid w:val="0"/>
          <w:lang w:val="en-GB"/>
        </w:rPr>
      </w:pPr>
      <w:r w:rsidRPr="00525B39">
        <w:rPr>
          <w:rFonts w:asciiTheme="minorHAnsi" w:hAnsiTheme="minorHAnsi"/>
          <w:bCs/>
          <w:snapToGrid w:val="0"/>
          <w:lang w:val="en-GB"/>
        </w:rPr>
        <w:t>Recommended</w:t>
      </w:r>
    </w:p>
    <w:bookmarkEnd w:id="67"/>
    <w:p w14:paraId="4B307DAC" w14:textId="77777777" w:rsidR="00650D10" w:rsidRPr="00F237A4" w:rsidRDefault="00650D10" w:rsidP="009A3986">
      <w:pPr>
        <w:pStyle w:val="2-SectionHeading"/>
        <w:jc w:val="left"/>
        <w:rPr>
          <w:b w:val="0"/>
          <w:bCs/>
          <w:iCs/>
          <w:lang w:val="en-GB"/>
        </w:rPr>
      </w:pPr>
      <w:r w:rsidRPr="009A3986">
        <w:t>Recommended</w:t>
      </w:r>
      <w:r w:rsidRPr="00525B39">
        <w:rPr>
          <w:bCs/>
          <w:lang w:val="en-GB"/>
        </w:rPr>
        <w:t xml:space="preserve"> listing</w:t>
      </w:r>
    </w:p>
    <w:p w14:paraId="4EE0EF57" w14:textId="46504AB6" w:rsidR="00650D10" w:rsidRPr="007C3A1A" w:rsidRDefault="00650D10" w:rsidP="007C3A1A">
      <w:pPr>
        <w:widowControl w:val="0"/>
        <w:numPr>
          <w:ilvl w:val="1"/>
          <w:numId w:val="1"/>
        </w:numPr>
        <w:spacing w:after="120"/>
        <w:contextualSpacing/>
        <w:rPr>
          <w:rFonts w:asciiTheme="minorHAnsi" w:hAnsiTheme="minorHAnsi"/>
          <w:b/>
          <w:bCs/>
          <w:snapToGrid w:val="0"/>
        </w:rPr>
      </w:pPr>
      <w:r w:rsidRPr="007C3A1A">
        <w:rPr>
          <w:rFonts w:asciiTheme="minorHAnsi" w:hAnsiTheme="minorHAnsi"/>
          <w:bCs/>
          <w:snapToGrid w:val="0"/>
        </w:rPr>
        <w:t>A</w:t>
      </w:r>
      <w:r w:rsidR="007C3A1A">
        <w:rPr>
          <w:rFonts w:asciiTheme="minorHAnsi" w:hAnsiTheme="minorHAnsi"/>
          <w:bCs/>
          <w:snapToGrid w:val="0"/>
        </w:rPr>
        <w:t xml:space="preserve">dd new indication to BEC/FOR </w:t>
      </w:r>
      <w:proofErr w:type="spellStart"/>
      <w:r w:rsidR="007C3A1A">
        <w:rPr>
          <w:rFonts w:asciiTheme="minorHAnsi" w:hAnsiTheme="minorHAnsi"/>
          <w:bCs/>
          <w:snapToGrid w:val="0"/>
        </w:rPr>
        <w:t>for</w:t>
      </w:r>
      <w:proofErr w:type="spellEnd"/>
      <w:r w:rsidR="007C3A1A">
        <w:rPr>
          <w:rFonts w:asciiTheme="minorHAnsi" w:hAnsiTheme="minorHAnsi"/>
          <w:bCs/>
          <w:snapToGrid w:val="0"/>
        </w:rPr>
        <w:t xml:space="preserve"> ‘COPD’ as follows</w:t>
      </w:r>
      <w:r w:rsidRPr="007C3A1A">
        <w:rPr>
          <w:rFonts w:asciiTheme="minorHAnsi" w:hAnsiTheme="minorHAnsi"/>
          <w:bCs/>
          <w:snapToGrid w:val="0"/>
        </w:rPr>
        <w:t>:</w:t>
      </w:r>
    </w:p>
    <w:p w14:paraId="4D92D041" w14:textId="0EB9E1A1" w:rsidR="009733E2" w:rsidRDefault="009733E2" w:rsidP="00650D10">
      <w:pPr>
        <w:widowControl w:val="0"/>
        <w:ind w:firstLine="709"/>
        <w:rPr>
          <w:rFonts w:asciiTheme="minorHAnsi" w:hAnsiTheme="minorHAnsi"/>
          <w:bCs/>
          <w:snapToGrid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7"/>
        <w:gridCol w:w="1289"/>
        <w:gridCol w:w="860"/>
        <w:gridCol w:w="858"/>
        <w:gridCol w:w="716"/>
        <w:gridCol w:w="1145"/>
        <w:gridCol w:w="1432"/>
      </w:tblGrid>
      <w:tr w:rsidR="009733E2" w:rsidRPr="00C54E70" w14:paraId="30C62B43" w14:textId="77777777" w:rsidTr="007E7ECA">
        <w:trPr>
          <w:cantSplit/>
          <w:trHeight w:val="471"/>
        </w:trPr>
        <w:tc>
          <w:tcPr>
            <w:tcW w:w="1506" w:type="pct"/>
          </w:tcPr>
          <w:p w14:paraId="1AF88E20" w14:textId="77777777" w:rsidR="009733E2" w:rsidRPr="00C54E70" w:rsidRDefault="009733E2" w:rsidP="007E7ECA">
            <w:pPr>
              <w:keepNext/>
              <w:ind w:left="-108"/>
              <w:rPr>
                <w:rFonts w:ascii="Arial Narrow" w:hAnsi="Arial Narrow"/>
                <w:b/>
                <w:sz w:val="20"/>
                <w:szCs w:val="20"/>
              </w:rPr>
            </w:pPr>
            <w:r w:rsidRPr="00C54E70">
              <w:rPr>
                <w:rFonts w:ascii="Arial Narrow" w:hAnsi="Arial Narrow"/>
                <w:b/>
                <w:sz w:val="20"/>
                <w:szCs w:val="20"/>
              </w:rPr>
              <w:t>Name, Restriction,</w:t>
            </w:r>
          </w:p>
          <w:p w14:paraId="4C712E20" w14:textId="77777777" w:rsidR="009733E2" w:rsidRPr="00C54E70" w:rsidRDefault="009733E2" w:rsidP="007E7ECA">
            <w:pPr>
              <w:keepNext/>
              <w:ind w:left="-108"/>
              <w:rPr>
                <w:rFonts w:ascii="Arial Narrow" w:hAnsi="Arial Narrow"/>
                <w:b/>
                <w:sz w:val="20"/>
                <w:szCs w:val="20"/>
              </w:rPr>
            </w:pPr>
            <w:r w:rsidRPr="00C54E70">
              <w:rPr>
                <w:rFonts w:ascii="Arial Narrow" w:hAnsi="Arial Narrow"/>
                <w:b/>
                <w:sz w:val="20"/>
                <w:szCs w:val="20"/>
              </w:rPr>
              <w:t>Manner of administration and form</w:t>
            </w:r>
          </w:p>
        </w:tc>
        <w:tc>
          <w:tcPr>
            <w:tcW w:w="714" w:type="pct"/>
          </w:tcPr>
          <w:p w14:paraId="2D036CEC" w14:textId="77777777" w:rsidR="009733E2" w:rsidRPr="00C54E70" w:rsidRDefault="009733E2" w:rsidP="007E7ECA">
            <w:pPr>
              <w:keepNext/>
              <w:ind w:left="-108"/>
              <w:jc w:val="center"/>
              <w:rPr>
                <w:rFonts w:ascii="Arial Narrow" w:hAnsi="Arial Narrow"/>
                <w:b/>
                <w:sz w:val="20"/>
                <w:szCs w:val="20"/>
              </w:rPr>
            </w:pPr>
            <w:r w:rsidRPr="00C54E70">
              <w:rPr>
                <w:rFonts w:ascii="Arial Narrow" w:hAnsi="Arial Narrow"/>
                <w:b/>
                <w:sz w:val="20"/>
                <w:szCs w:val="20"/>
              </w:rPr>
              <w:t>PBS item code</w:t>
            </w:r>
          </w:p>
        </w:tc>
        <w:tc>
          <w:tcPr>
            <w:tcW w:w="477" w:type="pct"/>
          </w:tcPr>
          <w:p w14:paraId="777677C4" w14:textId="77777777" w:rsidR="009733E2" w:rsidRPr="00C54E70" w:rsidRDefault="009733E2" w:rsidP="007E7ECA">
            <w:pPr>
              <w:keepNext/>
              <w:ind w:left="-108"/>
              <w:jc w:val="center"/>
              <w:rPr>
                <w:rFonts w:ascii="Arial Narrow" w:hAnsi="Arial Narrow"/>
                <w:b/>
                <w:sz w:val="20"/>
                <w:szCs w:val="20"/>
              </w:rPr>
            </w:pPr>
            <w:r w:rsidRPr="00C54E70">
              <w:rPr>
                <w:rFonts w:ascii="Arial Narrow" w:hAnsi="Arial Narrow"/>
                <w:b/>
                <w:sz w:val="20"/>
                <w:szCs w:val="20"/>
              </w:rPr>
              <w:t>Max. qty packs</w:t>
            </w:r>
          </w:p>
        </w:tc>
        <w:tc>
          <w:tcPr>
            <w:tcW w:w="476" w:type="pct"/>
          </w:tcPr>
          <w:p w14:paraId="16DD98D6" w14:textId="77777777" w:rsidR="009733E2" w:rsidRPr="00C54E70" w:rsidRDefault="009733E2" w:rsidP="007E7ECA">
            <w:pPr>
              <w:keepNext/>
              <w:ind w:left="-108"/>
              <w:jc w:val="center"/>
              <w:rPr>
                <w:rFonts w:ascii="Arial Narrow" w:hAnsi="Arial Narrow"/>
                <w:b/>
                <w:sz w:val="20"/>
                <w:szCs w:val="20"/>
              </w:rPr>
            </w:pPr>
            <w:r w:rsidRPr="00C54E70">
              <w:rPr>
                <w:rFonts w:ascii="Arial Narrow" w:hAnsi="Arial Narrow"/>
                <w:b/>
                <w:sz w:val="20"/>
                <w:szCs w:val="20"/>
              </w:rPr>
              <w:t>Max. qty units</w:t>
            </w:r>
          </w:p>
        </w:tc>
        <w:tc>
          <w:tcPr>
            <w:tcW w:w="397" w:type="pct"/>
          </w:tcPr>
          <w:p w14:paraId="4E3CFC51" w14:textId="77777777" w:rsidR="009733E2" w:rsidRPr="00C54E70" w:rsidRDefault="009733E2" w:rsidP="007E7ECA">
            <w:pPr>
              <w:keepNext/>
              <w:ind w:left="-108"/>
              <w:jc w:val="center"/>
              <w:rPr>
                <w:rFonts w:ascii="Arial Narrow" w:hAnsi="Arial Narrow"/>
                <w:b/>
                <w:sz w:val="20"/>
                <w:szCs w:val="20"/>
              </w:rPr>
            </w:pPr>
            <w:proofErr w:type="gramStart"/>
            <w:r w:rsidRPr="00C54E70">
              <w:rPr>
                <w:rFonts w:ascii="Arial Narrow" w:hAnsi="Arial Narrow"/>
                <w:b/>
                <w:sz w:val="20"/>
                <w:szCs w:val="20"/>
              </w:rPr>
              <w:t>№.of</w:t>
            </w:r>
            <w:proofErr w:type="gramEnd"/>
          </w:p>
          <w:p w14:paraId="14A8A092" w14:textId="77777777" w:rsidR="009733E2" w:rsidRPr="00C54E70" w:rsidRDefault="009733E2" w:rsidP="007E7ECA">
            <w:pPr>
              <w:keepNext/>
              <w:ind w:left="-108"/>
              <w:jc w:val="center"/>
              <w:rPr>
                <w:rFonts w:ascii="Arial Narrow" w:hAnsi="Arial Narrow"/>
                <w:b/>
                <w:sz w:val="20"/>
                <w:szCs w:val="20"/>
              </w:rPr>
            </w:pPr>
            <w:proofErr w:type="spellStart"/>
            <w:r w:rsidRPr="00C54E70">
              <w:rPr>
                <w:rFonts w:ascii="Arial Narrow" w:hAnsi="Arial Narrow"/>
                <w:b/>
                <w:sz w:val="20"/>
                <w:szCs w:val="20"/>
              </w:rPr>
              <w:t>Rpts</w:t>
            </w:r>
            <w:proofErr w:type="spellEnd"/>
          </w:p>
        </w:tc>
        <w:tc>
          <w:tcPr>
            <w:tcW w:w="1429" w:type="pct"/>
            <w:gridSpan w:val="2"/>
          </w:tcPr>
          <w:p w14:paraId="2424BF28" w14:textId="77777777" w:rsidR="009733E2" w:rsidRPr="00C54E70" w:rsidRDefault="009733E2" w:rsidP="007E7ECA">
            <w:pPr>
              <w:keepNext/>
              <w:rPr>
                <w:rFonts w:ascii="Arial Narrow" w:hAnsi="Arial Narrow"/>
                <w:b/>
                <w:sz w:val="20"/>
                <w:szCs w:val="20"/>
                <w:lang w:val="fr-FR"/>
              </w:rPr>
            </w:pPr>
            <w:r w:rsidRPr="00C54E70">
              <w:rPr>
                <w:rFonts w:ascii="Arial Narrow" w:hAnsi="Arial Narrow"/>
                <w:b/>
                <w:sz w:val="20"/>
                <w:szCs w:val="20"/>
              </w:rPr>
              <w:t>Proprietary Name and Manufacturer</w:t>
            </w:r>
          </w:p>
        </w:tc>
      </w:tr>
      <w:tr w:rsidR="009733E2" w:rsidRPr="00C54E70" w14:paraId="292EE20E" w14:textId="77777777" w:rsidTr="007E7ECA">
        <w:trPr>
          <w:cantSplit/>
          <w:trHeight w:val="761"/>
        </w:trPr>
        <w:tc>
          <w:tcPr>
            <w:tcW w:w="1506" w:type="pct"/>
          </w:tcPr>
          <w:p w14:paraId="3D7678FD" w14:textId="77777777" w:rsidR="009733E2" w:rsidRPr="00C54E70" w:rsidRDefault="009733E2" w:rsidP="007E7ECA">
            <w:pPr>
              <w:keepNext/>
              <w:ind w:left="-108"/>
              <w:rPr>
                <w:rFonts w:ascii="Arial Narrow" w:hAnsi="Arial Narrow"/>
                <w:sz w:val="20"/>
                <w:szCs w:val="20"/>
              </w:rPr>
            </w:pPr>
            <w:r w:rsidRPr="00C54E70">
              <w:rPr>
                <w:rFonts w:ascii="Arial Narrow" w:hAnsi="Arial Narrow"/>
                <w:sz w:val="20"/>
                <w:szCs w:val="20"/>
              </w:rPr>
              <w:t>BECLOMETASONE with FORMOTEROL</w:t>
            </w:r>
          </w:p>
          <w:p w14:paraId="050C5EFA" w14:textId="77777777" w:rsidR="009733E2" w:rsidRPr="00C54E70" w:rsidRDefault="009733E2" w:rsidP="007E7ECA">
            <w:pPr>
              <w:keepNext/>
              <w:ind w:left="-108"/>
              <w:rPr>
                <w:rFonts w:ascii="Arial Narrow" w:hAnsi="Arial Narrow"/>
                <w:sz w:val="20"/>
                <w:szCs w:val="20"/>
              </w:rPr>
            </w:pPr>
          </w:p>
          <w:p w14:paraId="46A440DC" w14:textId="77777777" w:rsidR="009733E2" w:rsidRPr="00C54E70" w:rsidRDefault="009733E2" w:rsidP="007E7ECA">
            <w:pPr>
              <w:keepNext/>
              <w:ind w:left="-108"/>
              <w:rPr>
                <w:rFonts w:ascii="Arial Narrow" w:hAnsi="Arial Narrow"/>
                <w:sz w:val="20"/>
                <w:szCs w:val="20"/>
              </w:rPr>
            </w:pPr>
            <w:r w:rsidRPr="00C54E70">
              <w:rPr>
                <w:rFonts w:ascii="Arial Narrow" w:hAnsi="Arial Narrow"/>
                <w:sz w:val="20"/>
                <w:szCs w:val="20"/>
              </w:rPr>
              <w:t>beclometasone dipropionate 100 microgram/actuation + formoterol (eformoterol) fumarate dihydrate 6 microgram/actuation inhalation, 120 actuations</w:t>
            </w:r>
          </w:p>
        </w:tc>
        <w:tc>
          <w:tcPr>
            <w:tcW w:w="714" w:type="pct"/>
          </w:tcPr>
          <w:p w14:paraId="26591FED" w14:textId="77777777" w:rsidR="009733E2" w:rsidRPr="00C54E70" w:rsidRDefault="009733E2" w:rsidP="007E7ECA">
            <w:pPr>
              <w:keepNext/>
              <w:ind w:left="-108"/>
              <w:jc w:val="center"/>
              <w:rPr>
                <w:rFonts w:ascii="Arial Narrow" w:hAnsi="Arial Narrow"/>
                <w:sz w:val="20"/>
                <w:szCs w:val="20"/>
              </w:rPr>
            </w:pPr>
          </w:p>
          <w:p w14:paraId="7D31DF8B" w14:textId="77777777" w:rsidR="007C3A1A" w:rsidRPr="00C54E70" w:rsidRDefault="007C3A1A" w:rsidP="007E7ECA">
            <w:pPr>
              <w:keepNext/>
              <w:ind w:left="-108"/>
              <w:jc w:val="center"/>
              <w:rPr>
                <w:rFonts w:ascii="Arial Narrow" w:hAnsi="Arial Narrow"/>
                <w:sz w:val="20"/>
                <w:szCs w:val="20"/>
              </w:rPr>
            </w:pPr>
          </w:p>
          <w:p w14:paraId="442A7F12" w14:textId="1A99111A" w:rsidR="009733E2" w:rsidRPr="00C54E70" w:rsidRDefault="009733E2" w:rsidP="007E7ECA">
            <w:pPr>
              <w:keepNext/>
              <w:ind w:left="-108"/>
              <w:jc w:val="center"/>
              <w:rPr>
                <w:rFonts w:ascii="Arial Narrow" w:hAnsi="Arial Narrow"/>
                <w:sz w:val="20"/>
                <w:szCs w:val="20"/>
              </w:rPr>
            </w:pPr>
            <w:r w:rsidRPr="00C54E70">
              <w:rPr>
                <w:rFonts w:ascii="Arial Narrow" w:hAnsi="Arial Narrow"/>
                <w:sz w:val="20"/>
                <w:szCs w:val="20"/>
              </w:rPr>
              <w:t xml:space="preserve"> 12183F</w:t>
            </w:r>
          </w:p>
        </w:tc>
        <w:tc>
          <w:tcPr>
            <w:tcW w:w="477" w:type="pct"/>
          </w:tcPr>
          <w:p w14:paraId="2D59A351" w14:textId="77777777" w:rsidR="009733E2" w:rsidRPr="00C54E70" w:rsidRDefault="009733E2" w:rsidP="007E7ECA">
            <w:pPr>
              <w:keepNext/>
              <w:jc w:val="center"/>
              <w:rPr>
                <w:rFonts w:ascii="Arial Narrow" w:hAnsi="Arial Narrow"/>
                <w:sz w:val="20"/>
                <w:szCs w:val="20"/>
              </w:rPr>
            </w:pPr>
          </w:p>
          <w:p w14:paraId="62DB22BB" w14:textId="77777777" w:rsidR="009733E2" w:rsidRPr="00C54E70" w:rsidRDefault="009733E2" w:rsidP="007E7ECA">
            <w:pPr>
              <w:keepNext/>
              <w:ind w:left="-108"/>
              <w:jc w:val="center"/>
              <w:rPr>
                <w:rFonts w:ascii="Arial Narrow" w:hAnsi="Arial Narrow"/>
                <w:sz w:val="20"/>
                <w:szCs w:val="20"/>
              </w:rPr>
            </w:pPr>
          </w:p>
          <w:p w14:paraId="0BD044A4" w14:textId="77777777" w:rsidR="009733E2" w:rsidRPr="00C54E70" w:rsidRDefault="009733E2" w:rsidP="007E7ECA">
            <w:pPr>
              <w:keepNext/>
              <w:jc w:val="center"/>
              <w:rPr>
                <w:rFonts w:ascii="Arial Narrow" w:hAnsi="Arial Narrow"/>
                <w:sz w:val="20"/>
                <w:szCs w:val="20"/>
              </w:rPr>
            </w:pPr>
            <w:r w:rsidRPr="00C54E70">
              <w:rPr>
                <w:rFonts w:ascii="Arial Narrow" w:hAnsi="Arial Narrow"/>
                <w:sz w:val="20"/>
                <w:szCs w:val="20"/>
              </w:rPr>
              <w:t>1</w:t>
            </w:r>
          </w:p>
        </w:tc>
        <w:tc>
          <w:tcPr>
            <w:tcW w:w="476" w:type="pct"/>
          </w:tcPr>
          <w:p w14:paraId="4FE5FFD9" w14:textId="77777777" w:rsidR="009733E2" w:rsidRPr="00C54E70" w:rsidRDefault="009733E2" w:rsidP="007E7ECA">
            <w:pPr>
              <w:keepNext/>
              <w:ind w:left="-108"/>
              <w:jc w:val="center"/>
              <w:rPr>
                <w:rFonts w:ascii="Arial Narrow" w:hAnsi="Arial Narrow"/>
                <w:sz w:val="20"/>
                <w:szCs w:val="20"/>
              </w:rPr>
            </w:pPr>
          </w:p>
          <w:p w14:paraId="4595117B" w14:textId="77777777" w:rsidR="009733E2" w:rsidRPr="00C54E70" w:rsidRDefault="009733E2" w:rsidP="007E7ECA">
            <w:pPr>
              <w:keepNext/>
              <w:rPr>
                <w:rFonts w:ascii="Arial Narrow" w:hAnsi="Arial Narrow"/>
                <w:sz w:val="20"/>
                <w:szCs w:val="20"/>
              </w:rPr>
            </w:pPr>
          </w:p>
          <w:p w14:paraId="02CC79DF" w14:textId="77777777" w:rsidR="009733E2" w:rsidRPr="00C54E70" w:rsidRDefault="009733E2" w:rsidP="007E7ECA">
            <w:pPr>
              <w:keepNext/>
              <w:ind w:left="-108"/>
              <w:jc w:val="center"/>
              <w:rPr>
                <w:rFonts w:ascii="Arial Narrow" w:hAnsi="Arial Narrow"/>
                <w:sz w:val="20"/>
                <w:szCs w:val="20"/>
              </w:rPr>
            </w:pPr>
            <w:r w:rsidRPr="00C54E70">
              <w:rPr>
                <w:rFonts w:ascii="Arial Narrow" w:hAnsi="Arial Narrow"/>
                <w:sz w:val="20"/>
                <w:szCs w:val="20"/>
              </w:rPr>
              <w:t>1</w:t>
            </w:r>
          </w:p>
        </w:tc>
        <w:tc>
          <w:tcPr>
            <w:tcW w:w="397" w:type="pct"/>
          </w:tcPr>
          <w:p w14:paraId="796C1FD9" w14:textId="77777777" w:rsidR="009733E2" w:rsidRPr="00C54E70" w:rsidRDefault="009733E2" w:rsidP="007E7ECA">
            <w:pPr>
              <w:keepNext/>
              <w:ind w:left="-108"/>
              <w:jc w:val="center"/>
              <w:rPr>
                <w:rFonts w:ascii="Arial Narrow" w:hAnsi="Arial Narrow"/>
                <w:sz w:val="20"/>
                <w:szCs w:val="20"/>
              </w:rPr>
            </w:pPr>
          </w:p>
          <w:p w14:paraId="440EBEBF" w14:textId="77777777" w:rsidR="009733E2" w:rsidRPr="00C54E70" w:rsidRDefault="009733E2" w:rsidP="007E7ECA">
            <w:pPr>
              <w:keepNext/>
              <w:ind w:left="-108"/>
              <w:jc w:val="center"/>
              <w:rPr>
                <w:rFonts w:ascii="Arial Narrow" w:hAnsi="Arial Narrow"/>
                <w:sz w:val="20"/>
                <w:szCs w:val="20"/>
              </w:rPr>
            </w:pPr>
          </w:p>
          <w:p w14:paraId="04B879FC" w14:textId="77777777" w:rsidR="009733E2" w:rsidRPr="00C54E70" w:rsidRDefault="009733E2" w:rsidP="007E7ECA">
            <w:pPr>
              <w:keepNext/>
              <w:ind w:left="-108"/>
              <w:jc w:val="center"/>
              <w:rPr>
                <w:rFonts w:ascii="Arial Narrow" w:hAnsi="Arial Narrow"/>
                <w:sz w:val="20"/>
                <w:szCs w:val="20"/>
              </w:rPr>
            </w:pPr>
            <w:r w:rsidRPr="00C54E70">
              <w:rPr>
                <w:rFonts w:ascii="Arial Narrow" w:hAnsi="Arial Narrow"/>
                <w:sz w:val="20"/>
                <w:szCs w:val="20"/>
              </w:rPr>
              <w:t>5</w:t>
            </w:r>
          </w:p>
          <w:p w14:paraId="342C6ECC" w14:textId="77777777" w:rsidR="009733E2" w:rsidRPr="00C54E70" w:rsidRDefault="009733E2" w:rsidP="007E7ECA">
            <w:pPr>
              <w:keepNext/>
              <w:rPr>
                <w:rFonts w:ascii="Arial Narrow" w:hAnsi="Arial Narrow"/>
                <w:sz w:val="20"/>
                <w:szCs w:val="20"/>
              </w:rPr>
            </w:pPr>
          </w:p>
        </w:tc>
        <w:tc>
          <w:tcPr>
            <w:tcW w:w="635" w:type="pct"/>
          </w:tcPr>
          <w:p w14:paraId="27A34F11" w14:textId="77777777" w:rsidR="009733E2" w:rsidRPr="00C54E70" w:rsidRDefault="009733E2" w:rsidP="007E7ECA">
            <w:pPr>
              <w:keepNext/>
              <w:rPr>
                <w:rFonts w:ascii="Arial Narrow" w:hAnsi="Arial Narrow"/>
                <w:sz w:val="20"/>
                <w:szCs w:val="20"/>
              </w:rPr>
            </w:pPr>
          </w:p>
          <w:p w14:paraId="3F1D198A" w14:textId="77777777" w:rsidR="009733E2" w:rsidRPr="00C54E70" w:rsidRDefault="009733E2" w:rsidP="007E7ECA">
            <w:pPr>
              <w:keepNext/>
              <w:rPr>
                <w:rFonts w:ascii="Arial Narrow" w:hAnsi="Arial Narrow"/>
                <w:sz w:val="20"/>
                <w:szCs w:val="20"/>
              </w:rPr>
            </w:pPr>
          </w:p>
          <w:p w14:paraId="5A699F38" w14:textId="77777777" w:rsidR="009733E2" w:rsidRPr="00C54E70" w:rsidRDefault="009733E2" w:rsidP="007E7ECA">
            <w:pPr>
              <w:keepNext/>
              <w:rPr>
                <w:rFonts w:ascii="Arial Narrow" w:hAnsi="Arial Narrow"/>
                <w:sz w:val="20"/>
                <w:szCs w:val="20"/>
              </w:rPr>
            </w:pPr>
            <w:r w:rsidRPr="00C54E70">
              <w:rPr>
                <w:rFonts w:ascii="Arial Narrow" w:hAnsi="Arial Narrow"/>
                <w:sz w:val="20"/>
                <w:szCs w:val="20"/>
              </w:rPr>
              <w:t>Fostair</w:t>
            </w:r>
            <w:r w:rsidRPr="00C54E70">
              <w:rPr>
                <w:rFonts w:ascii="Arial Narrow" w:hAnsi="Arial Narrow"/>
                <w:sz w:val="20"/>
                <w:szCs w:val="20"/>
                <w:vertAlign w:val="superscript"/>
              </w:rPr>
              <w:t>®</w:t>
            </w:r>
          </w:p>
        </w:tc>
        <w:tc>
          <w:tcPr>
            <w:tcW w:w="794" w:type="pct"/>
          </w:tcPr>
          <w:p w14:paraId="210E0A40" w14:textId="77777777" w:rsidR="009733E2" w:rsidRPr="00C54E70" w:rsidRDefault="009733E2" w:rsidP="007E7ECA">
            <w:pPr>
              <w:keepNext/>
              <w:rPr>
                <w:rFonts w:ascii="Arial Narrow" w:hAnsi="Arial Narrow"/>
                <w:sz w:val="20"/>
                <w:szCs w:val="20"/>
              </w:rPr>
            </w:pPr>
          </w:p>
          <w:p w14:paraId="32AC0A19" w14:textId="77777777" w:rsidR="009733E2" w:rsidRPr="00C54E70" w:rsidRDefault="009733E2" w:rsidP="007E7ECA">
            <w:pPr>
              <w:keepNext/>
              <w:rPr>
                <w:rFonts w:ascii="Arial Narrow" w:hAnsi="Arial Narrow"/>
                <w:sz w:val="20"/>
                <w:szCs w:val="20"/>
              </w:rPr>
            </w:pPr>
          </w:p>
          <w:p w14:paraId="0D0C3A8D" w14:textId="77777777" w:rsidR="009733E2" w:rsidRPr="00C54E70" w:rsidRDefault="009733E2" w:rsidP="007E7ECA">
            <w:pPr>
              <w:keepNext/>
              <w:rPr>
                <w:rFonts w:ascii="Arial Narrow" w:hAnsi="Arial Narrow"/>
                <w:sz w:val="20"/>
                <w:szCs w:val="20"/>
              </w:rPr>
            </w:pPr>
            <w:proofErr w:type="spellStart"/>
            <w:r w:rsidRPr="00C54E70">
              <w:rPr>
                <w:rFonts w:ascii="Arial Narrow" w:hAnsi="Arial Narrow"/>
                <w:sz w:val="20"/>
                <w:szCs w:val="20"/>
              </w:rPr>
              <w:t>Chiesi</w:t>
            </w:r>
            <w:proofErr w:type="spellEnd"/>
            <w:r w:rsidRPr="00C54E70">
              <w:rPr>
                <w:rFonts w:ascii="Arial Narrow" w:hAnsi="Arial Narrow"/>
                <w:sz w:val="20"/>
                <w:szCs w:val="20"/>
              </w:rPr>
              <w:t xml:space="preserve"> Australia Pty Ltd</w:t>
            </w:r>
          </w:p>
        </w:tc>
      </w:tr>
    </w:tbl>
    <w:p w14:paraId="06A2FAB9" w14:textId="77777777" w:rsidR="009733E2" w:rsidRPr="00C54E70" w:rsidRDefault="009733E2" w:rsidP="009733E2">
      <w:pPr>
        <w:rPr>
          <w:sz w:val="20"/>
          <w:szCs w:val="20"/>
        </w:rPr>
      </w:pPr>
    </w:p>
    <w:p w14:paraId="35793132" w14:textId="05B41B9C" w:rsidR="009733E2" w:rsidRPr="00C54E70" w:rsidRDefault="009733E2" w:rsidP="009733E2">
      <w:pPr>
        <w:rPr>
          <w:rFonts w:ascii="Arial Narrow" w:hAnsi="Arial Narrow"/>
          <w:b/>
          <w:sz w:val="20"/>
          <w:szCs w:val="20"/>
          <w:lang w:val="en-GB"/>
        </w:rPr>
      </w:pPr>
      <w:r w:rsidRPr="00C54E70">
        <w:rPr>
          <w:rFonts w:ascii="Arial Narrow" w:hAnsi="Arial Narrow"/>
          <w:b/>
          <w:sz w:val="20"/>
          <w:szCs w:val="20"/>
          <w:lang w:val="en-GB"/>
        </w:rPr>
        <w:t xml:space="preserve">Restriction Summary / Treatment of Concept: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9733E2" w:rsidRPr="00C54E70" w14:paraId="7CD17625" w14:textId="77777777" w:rsidTr="007E7ECA">
        <w:tc>
          <w:tcPr>
            <w:tcW w:w="553" w:type="pct"/>
            <w:tcBorders>
              <w:top w:val="single" w:sz="4" w:space="0" w:color="auto"/>
              <w:left w:val="single" w:sz="4" w:space="0" w:color="auto"/>
              <w:bottom w:val="single" w:sz="4" w:space="0" w:color="auto"/>
              <w:right w:val="single" w:sz="4" w:space="0" w:color="auto"/>
            </w:tcBorders>
          </w:tcPr>
          <w:p w14:paraId="05612887" w14:textId="6993EED6" w:rsidR="009733E2" w:rsidRPr="00C54E70" w:rsidRDefault="009733E2" w:rsidP="007E7ECA">
            <w:pPr>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B5C82F4" w14:textId="77777777" w:rsidR="009733E2" w:rsidRPr="00C54E70" w:rsidRDefault="009733E2" w:rsidP="007E7ECA">
            <w:pPr>
              <w:rPr>
                <w:rFonts w:ascii="Arial Narrow" w:hAnsi="Arial Narrow"/>
                <w:sz w:val="20"/>
                <w:szCs w:val="20"/>
              </w:rPr>
            </w:pPr>
            <w:r w:rsidRPr="00C54E70">
              <w:rPr>
                <w:rFonts w:ascii="Arial Narrow" w:hAnsi="Arial Narrow"/>
                <w:b/>
                <w:sz w:val="20"/>
                <w:szCs w:val="20"/>
              </w:rPr>
              <w:t xml:space="preserve">Category / Program:   </w:t>
            </w:r>
          </w:p>
          <w:p w14:paraId="2718C886" w14:textId="77777777" w:rsidR="009733E2" w:rsidRPr="00C54E70" w:rsidRDefault="009733E2" w:rsidP="007E7ECA">
            <w:pPr>
              <w:rPr>
                <w:rFonts w:ascii="Arial Narrow" w:hAnsi="Arial Narrow"/>
                <w:sz w:val="20"/>
                <w:szCs w:val="20"/>
              </w:rPr>
            </w:pPr>
            <w:r w:rsidRPr="00C54E70">
              <w:rPr>
                <w:rFonts w:ascii="Arial Narrow" w:hAnsi="Arial Narrow"/>
                <w:sz w:val="20"/>
                <w:szCs w:val="20"/>
              </w:rPr>
              <w:t>GENERAL – General Schedule (Code GE)</w:t>
            </w:r>
          </w:p>
        </w:tc>
      </w:tr>
      <w:tr w:rsidR="009733E2" w:rsidRPr="00C54E70" w14:paraId="3EBA7C58" w14:textId="77777777" w:rsidTr="007E7ECA">
        <w:trPr>
          <w:trHeight w:val="366"/>
        </w:trPr>
        <w:tc>
          <w:tcPr>
            <w:tcW w:w="553" w:type="pct"/>
            <w:tcBorders>
              <w:top w:val="single" w:sz="4" w:space="0" w:color="auto"/>
              <w:left w:val="single" w:sz="4" w:space="0" w:color="auto"/>
              <w:bottom w:val="single" w:sz="4" w:space="0" w:color="auto"/>
              <w:right w:val="single" w:sz="4" w:space="0" w:color="auto"/>
            </w:tcBorders>
          </w:tcPr>
          <w:p w14:paraId="0AAE75DC" w14:textId="77777777" w:rsidR="009733E2" w:rsidRPr="00C54E70" w:rsidRDefault="009733E2" w:rsidP="007E7ECA">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61EC3BAE" w14:textId="77777777" w:rsidR="009733E2" w:rsidRPr="00C54E70" w:rsidRDefault="009733E2" w:rsidP="007E7ECA">
            <w:pPr>
              <w:rPr>
                <w:rFonts w:ascii="Arial Narrow" w:hAnsi="Arial Narrow"/>
                <w:sz w:val="20"/>
                <w:szCs w:val="20"/>
              </w:rPr>
            </w:pPr>
            <w:r w:rsidRPr="00C54E70">
              <w:rPr>
                <w:rFonts w:ascii="Arial Narrow" w:hAnsi="Arial Narrow"/>
                <w:b/>
                <w:sz w:val="20"/>
                <w:szCs w:val="20"/>
              </w:rPr>
              <w:t xml:space="preserve">Prescriber type:  </w:t>
            </w: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Medical Practitioners  </w:t>
            </w:r>
            <w:r w:rsidRPr="00C54E70">
              <w:rPr>
                <w:rFonts w:ascii="Arial Narrow" w:hAnsi="Arial Narrow"/>
                <w:sz w:val="20"/>
                <w:szCs w:val="20"/>
              </w:rPr>
              <w:fldChar w:fldCharType="begin">
                <w:ffData>
                  <w:name w:val="Check3"/>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Nurse practitioners </w:t>
            </w:r>
          </w:p>
        </w:tc>
      </w:tr>
      <w:tr w:rsidR="009733E2" w:rsidRPr="00C54E70" w14:paraId="0D7D5DB8" w14:textId="77777777" w:rsidTr="007E7ECA">
        <w:tc>
          <w:tcPr>
            <w:tcW w:w="553" w:type="pct"/>
            <w:tcBorders>
              <w:top w:val="single" w:sz="4" w:space="0" w:color="auto"/>
              <w:left w:val="single" w:sz="4" w:space="0" w:color="auto"/>
              <w:bottom w:val="single" w:sz="4" w:space="0" w:color="auto"/>
              <w:right w:val="single" w:sz="4" w:space="0" w:color="auto"/>
            </w:tcBorders>
          </w:tcPr>
          <w:p w14:paraId="435BB2F5" w14:textId="77777777" w:rsidR="009733E2" w:rsidRPr="00C54E70" w:rsidRDefault="009733E2" w:rsidP="007E7ECA">
            <w:pPr>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FED373F" w14:textId="77777777" w:rsidR="009733E2" w:rsidRPr="00C54E70" w:rsidRDefault="009733E2" w:rsidP="007E7ECA">
            <w:pPr>
              <w:rPr>
                <w:rFonts w:ascii="Arial Narrow" w:hAnsi="Arial Narrow"/>
                <w:b/>
                <w:sz w:val="20"/>
                <w:szCs w:val="20"/>
              </w:rPr>
            </w:pPr>
            <w:r w:rsidRPr="00C54E70">
              <w:rPr>
                <w:rFonts w:ascii="Arial Narrow" w:hAnsi="Arial Narrow"/>
                <w:b/>
                <w:sz w:val="20"/>
                <w:szCs w:val="20"/>
              </w:rPr>
              <w:t>Restriction Level / Method:</w:t>
            </w:r>
          </w:p>
          <w:p w14:paraId="3A6D4859" w14:textId="77777777" w:rsidR="009733E2" w:rsidRPr="00C54E70" w:rsidRDefault="009733E2" w:rsidP="007E7ECA">
            <w:pPr>
              <w:rPr>
                <w:rFonts w:ascii="Arial Narrow" w:hAnsi="Arial Narrow"/>
                <w:sz w:val="20"/>
                <w:szCs w:val="20"/>
              </w:rPr>
            </w:pP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Authority Required - Streamlined</w:t>
            </w:r>
          </w:p>
        </w:tc>
      </w:tr>
      <w:tr w:rsidR="009733E2" w:rsidRPr="00C54E70" w14:paraId="36D58377" w14:textId="77777777" w:rsidTr="007E7ECA">
        <w:tc>
          <w:tcPr>
            <w:tcW w:w="553" w:type="pct"/>
            <w:vAlign w:val="center"/>
          </w:tcPr>
          <w:p w14:paraId="1D811817" w14:textId="77777777" w:rsidR="009733E2" w:rsidRPr="00C54E70" w:rsidRDefault="009733E2" w:rsidP="007E7ECA">
            <w:pPr>
              <w:jc w:val="center"/>
              <w:rPr>
                <w:rFonts w:ascii="Arial Narrow" w:hAnsi="Arial Narrow"/>
                <w:color w:val="333333"/>
                <w:sz w:val="20"/>
                <w:szCs w:val="20"/>
              </w:rPr>
            </w:pPr>
          </w:p>
        </w:tc>
        <w:tc>
          <w:tcPr>
            <w:tcW w:w="4447" w:type="pct"/>
            <w:vAlign w:val="center"/>
          </w:tcPr>
          <w:p w14:paraId="7C85DF54" w14:textId="77777777" w:rsidR="009733E2" w:rsidRPr="00C54E70" w:rsidRDefault="009733E2" w:rsidP="007E7ECA">
            <w:pPr>
              <w:rPr>
                <w:rFonts w:ascii="Arial Narrow" w:hAnsi="Arial Narrow"/>
                <w:b/>
                <w:bCs/>
                <w:color w:val="333333"/>
                <w:sz w:val="20"/>
                <w:szCs w:val="20"/>
              </w:rPr>
            </w:pPr>
            <w:r w:rsidRPr="00C54E70">
              <w:rPr>
                <w:rFonts w:ascii="Arial Narrow" w:hAnsi="Arial Narrow"/>
                <w:b/>
                <w:bCs/>
                <w:color w:val="333333"/>
                <w:sz w:val="20"/>
                <w:szCs w:val="20"/>
              </w:rPr>
              <w:t xml:space="preserve">Condition: </w:t>
            </w:r>
            <w:r w:rsidRPr="00C54E70">
              <w:rPr>
                <w:rFonts w:ascii="Arial Narrow" w:hAnsi="Arial Narrow"/>
                <w:bCs/>
                <w:color w:val="333333"/>
                <w:sz w:val="20"/>
                <w:szCs w:val="20"/>
              </w:rPr>
              <w:t>Chronic obstructive pulmonary disease (COPD)</w:t>
            </w:r>
          </w:p>
        </w:tc>
      </w:tr>
      <w:tr w:rsidR="009733E2" w:rsidRPr="00C54E70" w14:paraId="241CC3C1" w14:textId="77777777" w:rsidTr="0078736D">
        <w:tc>
          <w:tcPr>
            <w:tcW w:w="553" w:type="pct"/>
            <w:vAlign w:val="center"/>
          </w:tcPr>
          <w:p w14:paraId="38214013" w14:textId="6B3E664D" w:rsidR="009733E2" w:rsidRPr="00C54E70" w:rsidRDefault="009733E2" w:rsidP="007E7ECA">
            <w:pPr>
              <w:jc w:val="center"/>
              <w:rPr>
                <w:rFonts w:ascii="Arial Narrow" w:hAnsi="Arial Narrow"/>
                <w:color w:val="333333"/>
                <w:sz w:val="20"/>
                <w:szCs w:val="20"/>
              </w:rPr>
            </w:pPr>
          </w:p>
        </w:tc>
        <w:tc>
          <w:tcPr>
            <w:tcW w:w="4447" w:type="pct"/>
            <w:vAlign w:val="center"/>
            <w:hideMark/>
          </w:tcPr>
          <w:p w14:paraId="6EA3FC8E" w14:textId="77777777" w:rsidR="009733E2" w:rsidRPr="00C54E70" w:rsidRDefault="009733E2" w:rsidP="007E7ECA">
            <w:pPr>
              <w:rPr>
                <w:rFonts w:ascii="Arial Narrow" w:hAnsi="Arial Narrow"/>
                <w:color w:val="333333"/>
                <w:sz w:val="20"/>
                <w:szCs w:val="20"/>
              </w:rPr>
            </w:pPr>
            <w:r w:rsidRPr="00C54E70">
              <w:rPr>
                <w:rFonts w:ascii="Arial Narrow" w:hAnsi="Arial Narrow"/>
                <w:b/>
                <w:bCs/>
                <w:color w:val="333333"/>
                <w:sz w:val="20"/>
                <w:szCs w:val="20"/>
              </w:rPr>
              <w:t>Indication:</w:t>
            </w:r>
            <w:r w:rsidRPr="00C54E70">
              <w:rPr>
                <w:rFonts w:ascii="Arial Narrow" w:hAnsi="Arial Narrow"/>
                <w:color w:val="333333"/>
                <w:sz w:val="20"/>
                <w:szCs w:val="20"/>
              </w:rPr>
              <w:t xml:space="preserve"> Chronic obstructive pulmonary disease (COPD)</w:t>
            </w:r>
          </w:p>
        </w:tc>
      </w:tr>
      <w:tr w:rsidR="009733E2" w:rsidRPr="00C54E70" w14:paraId="03B778E7" w14:textId="77777777" w:rsidTr="0078736D">
        <w:tc>
          <w:tcPr>
            <w:tcW w:w="553" w:type="pct"/>
            <w:vAlign w:val="center"/>
          </w:tcPr>
          <w:p w14:paraId="7C2BC3D9" w14:textId="10033743" w:rsidR="009733E2" w:rsidRPr="00C54E70" w:rsidRDefault="009733E2" w:rsidP="007E7ECA">
            <w:pPr>
              <w:jc w:val="center"/>
              <w:rPr>
                <w:rFonts w:ascii="Arial Narrow" w:hAnsi="Arial Narrow"/>
                <w:i/>
                <w:iCs/>
                <w:color w:val="333333"/>
                <w:sz w:val="20"/>
                <w:szCs w:val="20"/>
              </w:rPr>
            </w:pPr>
          </w:p>
        </w:tc>
        <w:tc>
          <w:tcPr>
            <w:tcW w:w="4447" w:type="pct"/>
            <w:vAlign w:val="center"/>
            <w:hideMark/>
          </w:tcPr>
          <w:p w14:paraId="36054867" w14:textId="77777777" w:rsidR="009733E2" w:rsidRPr="00C54E70" w:rsidRDefault="009733E2" w:rsidP="007E7ECA">
            <w:pPr>
              <w:rPr>
                <w:rFonts w:ascii="Arial Narrow" w:hAnsi="Arial Narrow"/>
                <w:color w:val="333333"/>
                <w:sz w:val="20"/>
                <w:szCs w:val="20"/>
              </w:rPr>
            </w:pPr>
            <w:r w:rsidRPr="00C54E70">
              <w:rPr>
                <w:rFonts w:ascii="Arial Narrow" w:hAnsi="Arial Narrow"/>
                <w:b/>
                <w:bCs/>
                <w:color w:val="333333"/>
                <w:sz w:val="20"/>
                <w:szCs w:val="20"/>
              </w:rPr>
              <w:t>Clinical criteria:</w:t>
            </w:r>
          </w:p>
        </w:tc>
      </w:tr>
      <w:tr w:rsidR="009733E2" w:rsidRPr="00C54E70" w14:paraId="7B0BF691" w14:textId="77777777" w:rsidTr="0078736D">
        <w:tc>
          <w:tcPr>
            <w:tcW w:w="553" w:type="pct"/>
            <w:vAlign w:val="center"/>
          </w:tcPr>
          <w:p w14:paraId="30A5F575" w14:textId="53E77AA7" w:rsidR="009733E2" w:rsidRPr="00C54E70" w:rsidRDefault="009733E2" w:rsidP="007E7ECA">
            <w:pPr>
              <w:jc w:val="center"/>
              <w:rPr>
                <w:rFonts w:ascii="Arial Narrow" w:hAnsi="Arial Narrow"/>
                <w:i/>
                <w:iCs/>
                <w:color w:val="333333"/>
                <w:sz w:val="20"/>
                <w:szCs w:val="20"/>
              </w:rPr>
            </w:pPr>
          </w:p>
        </w:tc>
        <w:tc>
          <w:tcPr>
            <w:tcW w:w="4447" w:type="pct"/>
            <w:vAlign w:val="center"/>
            <w:hideMark/>
          </w:tcPr>
          <w:p w14:paraId="69C6648A" w14:textId="32BE049D" w:rsidR="009733E2" w:rsidRPr="00C54E70" w:rsidRDefault="009733E2" w:rsidP="007E7ECA">
            <w:pPr>
              <w:rPr>
                <w:rFonts w:ascii="Arial Narrow" w:hAnsi="Arial Narrow"/>
                <w:color w:val="333333"/>
                <w:sz w:val="20"/>
                <w:szCs w:val="20"/>
              </w:rPr>
            </w:pPr>
            <w:r w:rsidRPr="00C54E70">
              <w:rPr>
                <w:rFonts w:ascii="Arial Narrow" w:hAnsi="Arial Narrow"/>
                <w:color w:val="333333"/>
                <w:sz w:val="20"/>
                <w:szCs w:val="20"/>
              </w:rPr>
              <w:t>Patient must have significant symptoms despite regular long-acting bronchodilator therapy</w:t>
            </w:r>
          </w:p>
        </w:tc>
      </w:tr>
      <w:tr w:rsidR="009733E2" w:rsidRPr="00C54E70" w14:paraId="0E542752" w14:textId="77777777" w:rsidTr="0078736D">
        <w:tc>
          <w:tcPr>
            <w:tcW w:w="553" w:type="pct"/>
            <w:vAlign w:val="center"/>
          </w:tcPr>
          <w:p w14:paraId="14FF2339" w14:textId="77777777" w:rsidR="009733E2" w:rsidRPr="00C54E70" w:rsidRDefault="009733E2" w:rsidP="007E7ECA">
            <w:pPr>
              <w:jc w:val="center"/>
              <w:rPr>
                <w:rFonts w:ascii="Arial Narrow" w:hAnsi="Arial Narrow"/>
                <w:color w:val="333333"/>
                <w:sz w:val="20"/>
                <w:szCs w:val="20"/>
              </w:rPr>
            </w:pPr>
          </w:p>
        </w:tc>
        <w:tc>
          <w:tcPr>
            <w:tcW w:w="4447" w:type="pct"/>
            <w:vAlign w:val="center"/>
            <w:hideMark/>
          </w:tcPr>
          <w:p w14:paraId="1AF6EFA4" w14:textId="77777777" w:rsidR="009733E2" w:rsidRPr="00C54E70" w:rsidRDefault="009733E2" w:rsidP="007E7ECA">
            <w:pPr>
              <w:rPr>
                <w:rFonts w:ascii="Arial Narrow" w:hAnsi="Arial Narrow"/>
                <w:color w:val="333333"/>
                <w:sz w:val="20"/>
                <w:szCs w:val="20"/>
              </w:rPr>
            </w:pPr>
            <w:r w:rsidRPr="00C54E70">
              <w:rPr>
                <w:rFonts w:ascii="Arial Narrow" w:hAnsi="Arial Narrow"/>
                <w:b/>
                <w:bCs/>
                <w:color w:val="333333"/>
                <w:sz w:val="20"/>
                <w:szCs w:val="20"/>
              </w:rPr>
              <w:t>AND</w:t>
            </w:r>
          </w:p>
        </w:tc>
      </w:tr>
      <w:tr w:rsidR="009733E2" w:rsidRPr="00C54E70" w14:paraId="3B7A21C4" w14:textId="77777777" w:rsidTr="007E7ECA">
        <w:tc>
          <w:tcPr>
            <w:tcW w:w="553" w:type="pct"/>
            <w:vAlign w:val="center"/>
          </w:tcPr>
          <w:p w14:paraId="4D7525DE" w14:textId="72593B0C" w:rsidR="009733E2" w:rsidRPr="00C54E70" w:rsidRDefault="009733E2" w:rsidP="007E7ECA">
            <w:pPr>
              <w:jc w:val="center"/>
              <w:rPr>
                <w:rFonts w:ascii="Arial Narrow" w:hAnsi="Arial Narrow"/>
                <w:color w:val="333333"/>
                <w:sz w:val="20"/>
                <w:szCs w:val="20"/>
              </w:rPr>
            </w:pPr>
          </w:p>
        </w:tc>
        <w:tc>
          <w:tcPr>
            <w:tcW w:w="4447" w:type="pct"/>
            <w:vAlign w:val="center"/>
            <w:hideMark/>
          </w:tcPr>
          <w:p w14:paraId="223A8E84" w14:textId="77777777" w:rsidR="009733E2" w:rsidRPr="00C54E70" w:rsidRDefault="009733E2" w:rsidP="007E7ECA">
            <w:pPr>
              <w:rPr>
                <w:rFonts w:ascii="Arial Narrow" w:hAnsi="Arial Narrow"/>
                <w:color w:val="333333"/>
                <w:sz w:val="20"/>
                <w:szCs w:val="20"/>
              </w:rPr>
            </w:pPr>
            <w:r w:rsidRPr="00C54E70">
              <w:rPr>
                <w:rFonts w:ascii="Arial Narrow" w:hAnsi="Arial Narrow"/>
                <w:b/>
                <w:bCs/>
                <w:color w:val="333333"/>
                <w:sz w:val="20"/>
                <w:szCs w:val="20"/>
              </w:rPr>
              <w:t>Clinical criteria:</w:t>
            </w:r>
          </w:p>
        </w:tc>
      </w:tr>
      <w:tr w:rsidR="009733E2" w:rsidRPr="00C54E70" w14:paraId="0003D973" w14:textId="77777777" w:rsidTr="007E7ECA">
        <w:tc>
          <w:tcPr>
            <w:tcW w:w="553" w:type="pct"/>
            <w:vAlign w:val="center"/>
          </w:tcPr>
          <w:p w14:paraId="36929E68" w14:textId="192BAA4F" w:rsidR="009733E2" w:rsidRPr="00C54E70" w:rsidRDefault="009733E2" w:rsidP="007E7ECA">
            <w:pPr>
              <w:jc w:val="center"/>
              <w:rPr>
                <w:rFonts w:ascii="Arial Narrow" w:hAnsi="Arial Narrow"/>
                <w:color w:val="333333"/>
                <w:sz w:val="20"/>
                <w:szCs w:val="20"/>
              </w:rPr>
            </w:pPr>
          </w:p>
        </w:tc>
        <w:tc>
          <w:tcPr>
            <w:tcW w:w="4447" w:type="pct"/>
            <w:vAlign w:val="center"/>
            <w:hideMark/>
          </w:tcPr>
          <w:p w14:paraId="31D3CEF4" w14:textId="0BC70E5C" w:rsidR="009733E2" w:rsidRPr="00C54E70" w:rsidRDefault="009733E2" w:rsidP="007E7ECA">
            <w:pPr>
              <w:rPr>
                <w:rFonts w:ascii="Arial Narrow" w:hAnsi="Arial Narrow" w:cs="Calibri"/>
                <w:color w:val="333333"/>
                <w:sz w:val="20"/>
                <w:szCs w:val="20"/>
              </w:rPr>
            </w:pPr>
            <w:r w:rsidRPr="00C54E70">
              <w:rPr>
                <w:rFonts w:ascii="Arial Narrow" w:hAnsi="Arial Narrow"/>
                <w:color w:val="333333"/>
                <w:sz w:val="20"/>
                <w:szCs w:val="20"/>
              </w:rPr>
              <w:t xml:space="preserve">Patient must have experienced at least one severe exacerbation, which required hospitalisation, or two or more moderate exacerbations in the </w:t>
            </w:r>
            <w:r w:rsidR="00230BCC" w:rsidRPr="00C54E70">
              <w:rPr>
                <w:rFonts w:ascii="Arial Narrow" w:hAnsi="Arial Narrow"/>
                <w:color w:val="333333"/>
                <w:sz w:val="20"/>
                <w:szCs w:val="20"/>
              </w:rPr>
              <w:t>1</w:t>
            </w:r>
            <w:r w:rsidRPr="00C54E70">
              <w:rPr>
                <w:rFonts w:ascii="Arial Narrow" w:hAnsi="Arial Narrow"/>
                <w:color w:val="333333"/>
                <w:sz w:val="20"/>
                <w:szCs w:val="20"/>
              </w:rPr>
              <w:t>2 months prior to commencing treatment for COPD</w:t>
            </w:r>
          </w:p>
          <w:p w14:paraId="25B731F2" w14:textId="77777777" w:rsidR="009733E2" w:rsidRPr="00C54E70" w:rsidRDefault="009733E2" w:rsidP="007E7ECA">
            <w:pPr>
              <w:rPr>
                <w:rFonts w:ascii="Arial Narrow" w:hAnsi="Arial Narrow"/>
                <w:color w:val="333333"/>
                <w:sz w:val="20"/>
                <w:szCs w:val="20"/>
              </w:rPr>
            </w:pPr>
          </w:p>
        </w:tc>
      </w:tr>
      <w:tr w:rsidR="009733E2" w:rsidRPr="00C54E70" w14:paraId="7708F73B" w14:textId="77777777" w:rsidTr="0078736D">
        <w:tc>
          <w:tcPr>
            <w:tcW w:w="553" w:type="pct"/>
            <w:vAlign w:val="center"/>
          </w:tcPr>
          <w:p w14:paraId="2EB9BDA9" w14:textId="72827F40" w:rsidR="009733E2" w:rsidRPr="00C54E70" w:rsidRDefault="009733E2" w:rsidP="007E7ECA">
            <w:pPr>
              <w:jc w:val="center"/>
              <w:rPr>
                <w:rFonts w:ascii="Arial Narrow" w:hAnsi="Arial Narrow"/>
                <w:color w:val="333333"/>
                <w:sz w:val="20"/>
                <w:szCs w:val="20"/>
              </w:rPr>
            </w:pPr>
          </w:p>
        </w:tc>
        <w:tc>
          <w:tcPr>
            <w:tcW w:w="4447" w:type="pct"/>
            <w:vAlign w:val="center"/>
            <w:hideMark/>
          </w:tcPr>
          <w:p w14:paraId="26ADCEAB" w14:textId="77777777" w:rsidR="009733E2" w:rsidRPr="00C54E70" w:rsidRDefault="009733E2" w:rsidP="007E7ECA">
            <w:pPr>
              <w:rPr>
                <w:rFonts w:ascii="Arial Narrow" w:hAnsi="Arial Narrow"/>
                <w:bCs/>
                <w:color w:val="333333"/>
                <w:sz w:val="20"/>
                <w:szCs w:val="20"/>
              </w:rPr>
            </w:pPr>
            <w:r w:rsidRPr="00C54E70">
              <w:rPr>
                <w:rFonts w:ascii="Arial Narrow" w:hAnsi="Arial Narrow"/>
                <w:b/>
                <w:bCs/>
                <w:color w:val="333333"/>
                <w:sz w:val="20"/>
                <w:szCs w:val="20"/>
              </w:rPr>
              <w:t>Administrative Advice:</w:t>
            </w:r>
            <w:r w:rsidRPr="00C54E70">
              <w:rPr>
                <w:rFonts w:ascii="Arial Narrow" w:hAnsi="Arial Narrow"/>
                <w:bCs/>
                <w:color w:val="333333"/>
                <w:sz w:val="20"/>
                <w:szCs w:val="20"/>
              </w:rPr>
              <w:t xml:space="preserve"> </w:t>
            </w:r>
          </w:p>
          <w:p w14:paraId="74DE485A" w14:textId="77777777" w:rsidR="009733E2" w:rsidRPr="00C54E70" w:rsidRDefault="009733E2" w:rsidP="007E7ECA">
            <w:pPr>
              <w:rPr>
                <w:rFonts w:ascii="Arial Narrow" w:hAnsi="Arial Narrow"/>
                <w:color w:val="333333"/>
                <w:sz w:val="20"/>
                <w:szCs w:val="20"/>
              </w:rPr>
            </w:pPr>
            <w:r w:rsidRPr="00C54E70">
              <w:rPr>
                <w:rFonts w:ascii="Arial Narrow" w:hAnsi="Arial Narrow"/>
                <w:color w:val="333333"/>
                <w:sz w:val="20"/>
                <w:szCs w:val="20"/>
              </w:rPr>
              <w:t>This product is not indicated for the initiation of bronchodilator therapy in COPD.</w:t>
            </w:r>
          </w:p>
          <w:p w14:paraId="0E8A9F2B" w14:textId="77777777" w:rsidR="009733E2" w:rsidRPr="00C54E70" w:rsidRDefault="009733E2" w:rsidP="007E7ECA">
            <w:pPr>
              <w:rPr>
                <w:rFonts w:ascii="Arial Narrow" w:hAnsi="Arial Narrow"/>
                <w:color w:val="333333"/>
                <w:sz w:val="20"/>
                <w:szCs w:val="20"/>
              </w:rPr>
            </w:pPr>
          </w:p>
        </w:tc>
      </w:tr>
      <w:tr w:rsidR="009733E2" w:rsidRPr="00C54E70" w14:paraId="55BBFB40" w14:textId="77777777" w:rsidTr="0078736D">
        <w:tc>
          <w:tcPr>
            <w:tcW w:w="553" w:type="pct"/>
            <w:vAlign w:val="center"/>
          </w:tcPr>
          <w:p w14:paraId="2E017EA2" w14:textId="1358C0E6" w:rsidR="009733E2" w:rsidRPr="00C54E70" w:rsidRDefault="009733E2" w:rsidP="007E7ECA">
            <w:pPr>
              <w:jc w:val="center"/>
              <w:rPr>
                <w:rFonts w:ascii="Arial Narrow" w:hAnsi="Arial Narrow"/>
                <w:color w:val="333333"/>
                <w:sz w:val="20"/>
                <w:szCs w:val="20"/>
              </w:rPr>
            </w:pPr>
          </w:p>
        </w:tc>
        <w:tc>
          <w:tcPr>
            <w:tcW w:w="4447" w:type="pct"/>
            <w:vAlign w:val="center"/>
            <w:hideMark/>
          </w:tcPr>
          <w:p w14:paraId="0A63CB6C" w14:textId="77777777" w:rsidR="009733E2" w:rsidRPr="00C54E70" w:rsidRDefault="009733E2" w:rsidP="007E7ECA">
            <w:pPr>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317F950C" w14:textId="77777777" w:rsidR="009733E2" w:rsidRPr="00C54E70" w:rsidRDefault="009733E2" w:rsidP="007E7ECA">
            <w:pPr>
              <w:rPr>
                <w:rFonts w:ascii="Arial Narrow" w:hAnsi="Arial Narrow"/>
                <w:color w:val="333333"/>
                <w:sz w:val="20"/>
                <w:szCs w:val="20"/>
              </w:rPr>
            </w:pPr>
            <w:r w:rsidRPr="00C54E70">
              <w:rPr>
                <w:rFonts w:ascii="Arial Narrow" w:hAnsi="Arial Narrow"/>
                <w:color w:val="333333"/>
                <w:sz w:val="20"/>
                <w:szCs w:val="20"/>
              </w:rPr>
              <w:t>The treatment must not be used in combination with LABA monotherapy or LAMA/LABA combination therapy.</w:t>
            </w:r>
          </w:p>
          <w:p w14:paraId="0685CAA6" w14:textId="77777777" w:rsidR="009733E2" w:rsidRPr="00C54E70" w:rsidRDefault="009733E2" w:rsidP="007E7ECA">
            <w:pPr>
              <w:rPr>
                <w:rFonts w:ascii="Arial Narrow" w:hAnsi="Arial Narrow"/>
                <w:color w:val="333333"/>
                <w:sz w:val="20"/>
                <w:szCs w:val="20"/>
              </w:rPr>
            </w:pPr>
          </w:p>
        </w:tc>
      </w:tr>
      <w:tr w:rsidR="009733E2" w:rsidRPr="00C54E70" w14:paraId="7F88D8EA" w14:textId="77777777" w:rsidTr="007E7ECA">
        <w:tc>
          <w:tcPr>
            <w:tcW w:w="553" w:type="pct"/>
            <w:vAlign w:val="center"/>
          </w:tcPr>
          <w:p w14:paraId="27A2A1E4" w14:textId="4EECFAC4" w:rsidR="009733E2" w:rsidRPr="00C54E70" w:rsidRDefault="009733E2" w:rsidP="007E7ECA">
            <w:pPr>
              <w:jc w:val="center"/>
              <w:rPr>
                <w:rFonts w:ascii="Arial Narrow" w:hAnsi="Arial Narrow"/>
                <w:color w:val="333333"/>
                <w:sz w:val="20"/>
                <w:szCs w:val="20"/>
              </w:rPr>
            </w:pPr>
          </w:p>
        </w:tc>
        <w:tc>
          <w:tcPr>
            <w:tcW w:w="4447" w:type="pct"/>
            <w:vAlign w:val="center"/>
          </w:tcPr>
          <w:p w14:paraId="252960ED" w14:textId="77777777" w:rsidR="009733E2" w:rsidRPr="00C54E70" w:rsidRDefault="009733E2" w:rsidP="007E7ECA">
            <w:pPr>
              <w:jc w:val="left"/>
              <w:rPr>
                <w:rFonts w:ascii="Arial Narrow" w:hAnsi="Arial Narrow"/>
                <w:color w:val="333333"/>
                <w:sz w:val="20"/>
                <w:szCs w:val="20"/>
              </w:rPr>
            </w:pPr>
            <w:r w:rsidRPr="00C54E70">
              <w:rPr>
                <w:rFonts w:ascii="Arial Narrow" w:hAnsi="Arial Narrow"/>
                <w:b/>
                <w:bCs/>
                <w:color w:val="333333"/>
                <w:sz w:val="20"/>
                <w:szCs w:val="20"/>
              </w:rPr>
              <w:t xml:space="preserve">Administrative Advice: </w:t>
            </w:r>
          </w:p>
          <w:p w14:paraId="3F78274F" w14:textId="77777777" w:rsidR="009733E2" w:rsidRPr="00C54E70" w:rsidRDefault="009733E2" w:rsidP="007E7ECA">
            <w:pPr>
              <w:jc w:val="left"/>
              <w:rPr>
                <w:rFonts w:ascii="Arial Narrow" w:hAnsi="Arial Narrow"/>
                <w:color w:val="333333"/>
                <w:sz w:val="20"/>
                <w:szCs w:val="20"/>
              </w:rPr>
            </w:pPr>
            <w:r w:rsidRPr="00C54E70">
              <w:rPr>
                <w:rFonts w:ascii="Arial Narrow" w:hAnsi="Arial Narrow"/>
                <w:color w:val="333333"/>
                <w:sz w:val="20"/>
                <w:szCs w:val="20"/>
              </w:rPr>
              <w:lastRenderedPageBreak/>
              <w:t xml:space="preserve">A LAMA/LABA includes aclidinium/formoterol, </w:t>
            </w:r>
            <w:proofErr w:type="spellStart"/>
            <w:r w:rsidRPr="00C54E70">
              <w:rPr>
                <w:rFonts w:ascii="Arial Narrow" w:hAnsi="Arial Narrow"/>
                <w:color w:val="333333"/>
                <w:sz w:val="20"/>
                <w:szCs w:val="20"/>
              </w:rPr>
              <w:t>glycopyrronium</w:t>
            </w:r>
            <w:proofErr w:type="spellEnd"/>
            <w:r w:rsidRPr="00C54E70">
              <w:rPr>
                <w:rFonts w:ascii="Arial Narrow" w:hAnsi="Arial Narrow"/>
                <w:color w:val="333333"/>
                <w:sz w:val="20"/>
                <w:szCs w:val="20"/>
              </w:rPr>
              <w:t>/indacaterol, tiotropium/</w:t>
            </w:r>
            <w:proofErr w:type="spellStart"/>
            <w:r w:rsidRPr="00C54E70">
              <w:rPr>
                <w:rFonts w:ascii="Arial Narrow" w:hAnsi="Arial Narrow"/>
                <w:color w:val="333333"/>
                <w:sz w:val="20"/>
                <w:szCs w:val="20"/>
              </w:rPr>
              <w:t>olodaterol</w:t>
            </w:r>
            <w:proofErr w:type="spellEnd"/>
            <w:r w:rsidRPr="00C54E70">
              <w:rPr>
                <w:rFonts w:ascii="Arial Narrow" w:hAnsi="Arial Narrow"/>
                <w:color w:val="333333"/>
                <w:sz w:val="20"/>
                <w:szCs w:val="20"/>
              </w:rPr>
              <w:t>, or umeclidinium/vilanterol.</w:t>
            </w:r>
          </w:p>
        </w:tc>
      </w:tr>
      <w:tr w:rsidR="009733E2" w:rsidRPr="00C54E70" w14:paraId="7BED087C" w14:textId="77777777" w:rsidTr="007E7ECA">
        <w:tc>
          <w:tcPr>
            <w:tcW w:w="553" w:type="pct"/>
            <w:vAlign w:val="center"/>
          </w:tcPr>
          <w:p w14:paraId="3FF67355" w14:textId="745D086B" w:rsidR="009733E2" w:rsidRPr="00C54E70" w:rsidRDefault="009733E2" w:rsidP="007E7ECA">
            <w:pPr>
              <w:jc w:val="center"/>
              <w:rPr>
                <w:rFonts w:ascii="Arial Narrow" w:hAnsi="Arial Narrow"/>
                <w:color w:val="333333"/>
                <w:sz w:val="20"/>
                <w:szCs w:val="20"/>
              </w:rPr>
            </w:pPr>
          </w:p>
        </w:tc>
        <w:tc>
          <w:tcPr>
            <w:tcW w:w="4447" w:type="pct"/>
            <w:vAlign w:val="center"/>
          </w:tcPr>
          <w:p w14:paraId="6CB35420" w14:textId="77777777" w:rsidR="009733E2" w:rsidRPr="00C54E70" w:rsidRDefault="009733E2" w:rsidP="007E7ECA">
            <w:pPr>
              <w:jc w:val="left"/>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36AF3E12" w14:textId="77777777" w:rsidR="009733E2" w:rsidRPr="00C54E70" w:rsidRDefault="009733E2" w:rsidP="007E7ECA">
            <w:pPr>
              <w:jc w:val="left"/>
              <w:rPr>
                <w:rFonts w:ascii="Arial Narrow" w:hAnsi="Arial Narrow"/>
                <w:color w:val="333333"/>
                <w:sz w:val="20"/>
                <w:szCs w:val="20"/>
              </w:rPr>
            </w:pPr>
            <w:r w:rsidRPr="00C54E70">
              <w:rPr>
                <w:rFonts w:ascii="Arial Narrow" w:hAnsi="Arial Narrow"/>
                <w:color w:val="333333"/>
                <w:sz w:val="20"/>
                <w:szCs w:val="20"/>
              </w:rPr>
              <w:t>Diagnosis of COPD should include measurement of airflow obstruction using spirometry, with confirmation of post-bronchodilator airflow obstruction.</w:t>
            </w:r>
          </w:p>
        </w:tc>
      </w:tr>
    </w:tbl>
    <w:p w14:paraId="4F6B75FB" w14:textId="33E06E6F" w:rsidR="009733E2" w:rsidRDefault="009733E2" w:rsidP="009733E2"/>
    <w:p w14:paraId="0142B765" w14:textId="77777777" w:rsidR="007C3A1A" w:rsidRPr="007C3A1A" w:rsidRDefault="007C3A1A" w:rsidP="007C3A1A">
      <w:pPr>
        <w:widowControl w:val="0"/>
        <w:numPr>
          <w:ilvl w:val="1"/>
          <w:numId w:val="1"/>
        </w:numPr>
        <w:spacing w:after="120"/>
        <w:contextualSpacing/>
        <w:rPr>
          <w:rFonts w:asciiTheme="minorHAnsi" w:hAnsiTheme="minorHAnsi" w:cstheme="minorHAnsi"/>
        </w:rPr>
      </w:pPr>
      <w:r w:rsidRPr="007C3A1A">
        <w:rPr>
          <w:rFonts w:asciiTheme="minorHAnsi" w:hAnsiTheme="minorHAnsi" w:cstheme="minorHAnsi"/>
        </w:rPr>
        <w:t xml:space="preserve">Flow-on changes to the current PBS listing for asthma (12183F): </w:t>
      </w:r>
    </w:p>
    <w:p w14:paraId="77824866" w14:textId="77777777" w:rsidR="007C3A1A" w:rsidRPr="007C3A1A" w:rsidRDefault="007C3A1A" w:rsidP="007C3A1A">
      <w:pPr>
        <w:pStyle w:val="ListParagraph"/>
        <w:numPr>
          <w:ilvl w:val="0"/>
          <w:numId w:val="15"/>
        </w:numPr>
        <w:spacing w:after="160" w:line="259" w:lineRule="auto"/>
        <w:contextualSpacing/>
        <w:jc w:val="left"/>
        <w:rPr>
          <w:rFonts w:cstheme="minorHAnsi"/>
        </w:rPr>
      </w:pPr>
      <w:r w:rsidRPr="007C3A1A">
        <w:rPr>
          <w:rFonts w:cstheme="minorHAnsi"/>
        </w:rPr>
        <w:t xml:space="preserve">Remove administrative advice ‘This drug is not PBS-subsidised for the treatment of chronic obstructive pulmonary disease (COPD)’. </w:t>
      </w:r>
    </w:p>
    <w:p w14:paraId="1A35A18B" w14:textId="2346CF1B" w:rsidR="007C3A1A" w:rsidRPr="00C54E70" w:rsidRDefault="007C3A1A" w:rsidP="009733E2">
      <w:pPr>
        <w:pStyle w:val="ListParagraph"/>
        <w:numPr>
          <w:ilvl w:val="0"/>
          <w:numId w:val="15"/>
        </w:numPr>
        <w:spacing w:after="160" w:line="259" w:lineRule="auto"/>
        <w:contextualSpacing/>
        <w:jc w:val="left"/>
        <w:rPr>
          <w:rFonts w:cstheme="minorHAnsi"/>
        </w:rPr>
      </w:pPr>
      <w:r w:rsidRPr="007C3A1A">
        <w:rPr>
          <w:rFonts w:cstheme="minorHAnsi"/>
        </w:rPr>
        <w:t>Move all administration advice from the PR level to the indication level.</w:t>
      </w:r>
    </w:p>
    <w:p w14:paraId="6899FE9D" w14:textId="7743F396" w:rsidR="009733E2" w:rsidRPr="00C54E70" w:rsidRDefault="009733E2" w:rsidP="009733E2">
      <w:pPr>
        <w:keepNext/>
        <w:keepLines/>
        <w:rPr>
          <w:rFonts w:ascii="Arial Narrow" w:hAnsi="Arial Narrow"/>
          <w:b/>
          <w:sz w:val="20"/>
          <w:szCs w:val="20"/>
          <w:lang w:val="en-GB"/>
        </w:rPr>
      </w:pPr>
      <w:r w:rsidRPr="00C54E70">
        <w:rPr>
          <w:rFonts w:ascii="Arial Narrow" w:hAnsi="Arial Narrow"/>
          <w:b/>
          <w:sz w:val="20"/>
          <w:szCs w:val="20"/>
          <w:lang w:val="en-GB"/>
        </w:rPr>
        <w:t xml:space="preserve">Restriction Summary / Treatment of Concept: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97"/>
        <w:gridCol w:w="8020"/>
      </w:tblGrid>
      <w:tr w:rsidR="009733E2" w:rsidRPr="00C54E70" w14:paraId="53DF1DF0" w14:textId="77777777" w:rsidTr="007E7ECA">
        <w:tc>
          <w:tcPr>
            <w:tcW w:w="553" w:type="pct"/>
            <w:tcBorders>
              <w:top w:val="single" w:sz="4" w:space="0" w:color="auto"/>
              <w:left w:val="single" w:sz="4" w:space="0" w:color="auto"/>
              <w:bottom w:val="single" w:sz="4" w:space="0" w:color="auto"/>
              <w:right w:val="single" w:sz="4" w:space="0" w:color="auto"/>
            </w:tcBorders>
          </w:tcPr>
          <w:p w14:paraId="76C9C478" w14:textId="04E4B7A8" w:rsidR="009733E2" w:rsidRPr="00C54E70" w:rsidRDefault="009733E2" w:rsidP="007E7ECA">
            <w:pPr>
              <w:keepNext/>
              <w:keepLines/>
              <w:jc w:val="center"/>
              <w:rPr>
                <w:rFonts w:ascii="Arial Narrow" w:hAnsi="Arial Narrow"/>
                <w:b/>
                <w:sz w:val="20"/>
                <w:szCs w:val="20"/>
              </w:rPr>
            </w:pPr>
          </w:p>
        </w:tc>
        <w:tc>
          <w:tcPr>
            <w:tcW w:w="4447" w:type="pct"/>
            <w:tcBorders>
              <w:top w:val="single" w:sz="4" w:space="0" w:color="auto"/>
              <w:left w:val="single" w:sz="4" w:space="0" w:color="auto"/>
              <w:bottom w:val="single" w:sz="4" w:space="0" w:color="auto"/>
              <w:right w:val="single" w:sz="4" w:space="0" w:color="auto"/>
            </w:tcBorders>
          </w:tcPr>
          <w:p w14:paraId="35831DF7" w14:textId="77777777" w:rsidR="009733E2" w:rsidRPr="00C54E70" w:rsidRDefault="009733E2" w:rsidP="007E7ECA">
            <w:pPr>
              <w:keepNext/>
              <w:keepLines/>
              <w:rPr>
                <w:rFonts w:ascii="Arial Narrow" w:hAnsi="Arial Narrow"/>
                <w:sz w:val="20"/>
                <w:szCs w:val="20"/>
              </w:rPr>
            </w:pPr>
            <w:r w:rsidRPr="00C54E70">
              <w:rPr>
                <w:rFonts w:ascii="Arial Narrow" w:hAnsi="Arial Narrow"/>
                <w:b/>
                <w:sz w:val="20"/>
                <w:szCs w:val="20"/>
              </w:rPr>
              <w:t xml:space="preserve">Category / Program:   </w:t>
            </w:r>
          </w:p>
          <w:p w14:paraId="022155A4" w14:textId="77777777" w:rsidR="009733E2" w:rsidRPr="00C54E70" w:rsidRDefault="009733E2" w:rsidP="007E7ECA">
            <w:pPr>
              <w:keepNext/>
              <w:keepLines/>
              <w:rPr>
                <w:rFonts w:ascii="Arial Narrow" w:hAnsi="Arial Narrow"/>
                <w:sz w:val="20"/>
                <w:szCs w:val="20"/>
              </w:rPr>
            </w:pPr>
            <w:r w:rsidRPr="00C54E70">
              <w:rPr>
                <w:rFonts w:ascii="Arial Narrow" w:hAnsi="Arial Narrow"/>
                <w:sz w:val="20"/>
                <w:szCs w:val="20"/>
              </w:rPr>
              <w:t>GENERAL – General Schedule (Code GE)</w:t>
            </w:r>
          </w:p>
        </w:tc>
      </w:tr>
      <w:tr w:rsidR="009733E2" w:rsidRPr="00C54E70" w14:paraId="429220CC" w14:textId="77777777" w:rsidTr="007E7ECA">
        <w:trPr>
          <w:trHeight w:val="366"/>
        </w:trPr>
        <w:tc>
          <w:tcPr>
            <w:tcW w:w="553" w:type="pct"/>
            <w:tcBorders>
              <w:top w:val="single" w:sz="4" w:space="0" w:color="auto"/>
              <w:left w:val="single" w:sz="4" w:space="0" w:color="auto"/>
              <w:bottom w:val="single" w:sz="4" w:space="0" w:color="auto"/>
              <w:right w:val="single" w:sz="4" w:space="0" w:color="auto"/>
            </w:tcBorders>
          </w:tcPr>
          <w:p w14:paraId="318C6438" w14:textId="77777777" w:rsidR="009733E2" w:rsidRPr="00C54E70" w:rsidRDefault="009733E2" w:rsidP="007E7ECA">
            <w:pPr>
              <w:keepNext/>
              <w:keepLines/>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71ED95A0" w14:textId="77777777" w:rsidR="009733E2" w:rsidRPr="00C54E70" w:rsidRDefault="009733E2" w:rsidP="007E7ECA">
            <w:pPr>
              <w:keepNext/>
              <w:keepLines/>
              <w:rPr>
                <w:rFonts w:ascii="Arial Narrow" w:hAnsi="Arial Narrow"/>
                <w:sz w:val="20"/>
                <w:szCs w:val="20"/>
              </w:rPr>
            </w:pPr>
            <w:r w:rsidRPr="00C54E70">
              <w:rPr>
                <w:rFonts w:ascii="Arial Narrow" w:hAnsi="Arial Narrow"/>
                <w:b/>
                <w:sz w:val="20"/>
                <w:szCs w:val="20"/>
              </w:rPr>
              <w:t xml:space="preserve">Prescriber type:  </w:t>
            </w: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Medical Practitioners  </w:t>
            </w:r>
            <w:r w:rsidRPr="00C54E70">
              <w:rPr>
                <w:rFonts w:ascii="Arial Narrow" w:hAnsi="Arial Narrow"/>
                <w:sz w:val="20"/>
                <w:szCs w:val="20"/>
              </w:rPr>
              <w:fldChar w:fldCharType="begin">
                <w:ffData>
                  <w:name w:val="Check3"/>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 xml:space="preserve">Nurse practitioners </w:t>
            </w:r>
          </w:p>
        </w:tc>
      </w:tr>
      <w:tr w:rsidR="009733E2" w:rsidRPr="00C54E70" w14:paraId="3381B998" w14:textId="77777777" w:rsidTr="007E7ECA">
        <w:tc>
          <w:tcPr>
            <w:tcW w:w="553" w:type="pct"/>
            <w:tcBorders>
              <w:top w:val="single" w:sz="4" w:space="0" w:color="auto"/>
              <w:left w:val="single" w:sz="4" w:space="0" w:color="auto"/>
              <w:bottom w:val="single" w:sz="4" w:space="0" w:color="auto"/>
              <w:right w:val="single" w:sz="4" w:space="0" w:color="auto"/>
            </w:tcBorders>
          </w:tcPr>
          <w:p w14:paraId="727937D8" w14:textId="77777777" w:rsidR="009733E2" w:rsidRPr="00C54E70" w:rsidRDefault="009733E2" w:rsidP="007E7ECA">
            <w:pPr>
              <w:keepNext/>
              <w:keepLines/>
              <w:rPr>
                <w:rFonts w:ascii="Arial Narrow" w:hAnsi="Arial Narrow"/>
                <w:sz w:val="20"/>
                <w:szCs w:val="20"/>
              </w:rPr>
            </w:pPr>
          </w:p>
        </w:tc>
        <w:tc>
          <w:tcPr>
            <w:tcW w:w="4447" w:type="pct"/>
            <w:tcBorders>
              <w:top w:val="single" w:sz="4" w:space="0" w:color="auto"/>
              <w:left w:val="single" w:sz="4" w:space="0" w:color="auto"/>
              <w:bottom w:val="single" w:sz="4" w:space="0" w:color="auto"/>
              <w:right w:val="single" w:sz="4" w:space="0" w:color="auto"/>
            </w:tcBorders>
          </w:tcPr>
          <w:p w14:paraId="2F604332" w14:textId="77777777" w:rsidR="009733E2" w:rsidRPr="00C54E70" w:rsidRDefault="009733E2" w:rsidP="007E7ECA">
            <w:pPr>
              <w:keepNext/>
              <w:keepLines/>
              <w:rPr>
                <w:rFonts w:ascii="Arial Narrow" w:hAnsi="Arial Narrow"/>
                <w:b/>
                <w:sz w:val="20"/>
                <w:szCs w:val="20"/>
              </w:rPr>
            </w:pPr>
            <w:r w:rsidRPr="00C54E70">
              <w:rPr>
                <w:rFonts w:ascii="Arial Narrow" w:hAnsi="Arial Narrow"/>
                <w:b/>
                <w:sz w:val="20"/>
                <w:szCs w:val="20"/>
              </w:rPr>
              <w:t>Restriction Level / Method:</w:t>
            </w:r>
          </w:p>
          <w:p w14:paraId="1AFE9408" w14:textId="77777777" w:rsidR="009733E2" w:rsidRPr="00C54E70" w:rsidRDefault="009733E2" w:rsidP="007E7ECA">
            <w:pPr>
              <w:keepNext/>
              <w:keepLines/>
              <w:rPr>
                <w:rFonts w:ascii="Arial Narrow" w:hAnsi="Arial Narrow"/>
                <w:sz w:val="20"/>
                <w:szCs w:val="20"/>
              </w:rPr>
            </w:pPr>
            <w:r w:rsidRPr="00C54E70">
              <w:rPr>
                <w:rFonts w:ascii="Arial Narrow" w:hAnsi="Arial Narrow"/>
                <w:sz w:val="20"/>
                <w:szCs w:val="20"/>
              </w:rPr>
              <w:fldChar w:fldCharType="begin">
                <w:ffData>
                  <w:name w:val=""/>
                  <w:enabled/>
                  <w:calcOnExit w:val="0"/>
                  <w:checkBox>
                    <w:sizeAuto/>
                    <w:default w:val="1"/>
                  </w:checkBox>
                </w:ffData>
              </w:fldChar>
            </w:r>
            <w:r w:rsidRPr="00C54E70">
              <w:rPr>
                <w:rFonts w:ascii="Arial Narrow" w:hAnsi="Arial Narrow"/>
                <w:sz w:val="20"/>
                <w:szCs w:val="20"/>
              </w:rPr>
              <w:instrText xml:space="preserve"> FORMCHECKBOX </w:instrText>
            </w:r>
            <w:r w:rsidR="009A3986" w:rsidRPr="00C54E70">
              <w:rPr>
                <w:rFonts w:ascii="Arial Narrow" w:hAnsi="Arial Narrow"/>
                <w:sz w:val="20"/>
                <w:szCs w:val="20"/>
              </w:rPr>
            </w:r>
            <w:r w:rsidR="009A3986" w:rsidRPr="00C54E70">
              <w:rPr>
                <w:rFonts w:ascii="Arial Narrow" w:hAnsi="Arial Narrow"/>
                <w:sz w:val="20"/>
                <w:szCs w:val="20"/>
              </w:rPr>
              <w:fldChar w:fldCharType="separate"/>
            </w:r>
            <w:r w:rsidRPr="00C54E70">
              <w:rPr>
                <w:rFonts w:ascii="Arial Narrow" w:hAnsi="Arial Narrow"/>
                <w:sz w:val="20"/>
                <w:szCs w:val="20"/>
              </w:rPr>
              <w:fldChar w:fldCharType="end"/>
            </w:r>
            <w:r w:rsidRPr="00C54E70">
              <w:rPr>
                <w:rFonts w:ascii="Arial Narrow" w:hAnsi="Arial Narrow"/>
                <w:sz w:val="20"/>
                <w:szCs w:val="20"/>
              </w:rPr>
              <w:t>Authority Required - Streamlined</w:t>
            </w:r>
          </w:p>
        </w:tc>
      </w:tr>
      <w:tr w:rsidR="009733E2" w:rsidRPr="00C54E70" w14:paraId="491BB8AD" w14:textId="77777777" w:rsidTr="007E7ECA">
        <w:tc>
          <w:tcPr>
            <w:tcW w:w="553" w:type="pct"/>
            <w:vAlign w:val="center"/>
          </w:tcPr>
          <w:p w14:paraId="12B9C906" w14:textId="77777777"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7C61A59F" w14:textId="77777777" w:rsidR="009733E2" w:rsidRPr="00C54E70" w:rsidRDefault="009733E2" w:rsidP="007E7ECA">
            <w:pPr>
              <w:keepNext/>
              <w:keepLines/>
              <w:rPr>
                <w:rFonts w:ascii="Arial Narrow" w:hAnsi="Arial Narrow"/>
                <w:b/>
                <w:bCs/>
                <w:color w:val="333333"/>
                <w:sz w:val="20"/>
                <w:szCs w:val="20"/>
              </w:rPr>
            </w:pPr>
            <w:r w:rsidRPr="00C54E70">
              <w:rPr>
                <w:rFonts w:ascii="Arial Narrow" w:hAnsi="Arial Narrow"/>
                <w:b/>
                <w:bCs/>
                <w:color w:val="333333"/>
                <w:sz w:val="20"/>
                <w:szCs w:val="20"/>
              </w:rPr>
              <w:t xml:space="preserve">Condition: </w:t>
            </w:r>
            <w:r w:rsidRPr="00C54E70">
              <w:rPr>
                <w:rFonts w:ascii="Arial Narrow" w:hAnsi="Arial Narrow"/>
                <w:bCs/>
                <w:color w:val="333333"/>
                <w:sz w:val="20"/>
                <w:szCs w:val="20"/>
              </w:rPr>
              <w:t>Asthma</w:t>
            </w:r>
          </w:p>
        </w:tc>
      </w:tr>
      <w:tr w:rsidR="009733E2" w:rsidRPr="00C54E70" w14:paraId="32911510" w14:textId="77777777" w:rsidTr="0078736D">
        <w:tc>
          <w:tcPr>
            <w:tcW w:w="553" w:type="pct"/>
            <w:vAlign w:val="center"/>
          </w:tcPr>
          <w:p w14:paraId="47889EB0" w14:textId="55666CBD"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5F3C979C"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b/>
                <w:bCs/>
                <w:color w:val="333333"/>
                <w:sz w:val="20"/>
                <w:szCs w:val="20"/>
              </w:rPr>
              <w:t>Indication:</w:t>
            </w:r>
            <w:r w:rsidRPr="00C54E70">
              <w:rPr>
                <w:rFonts w:ascii="Arial Narrow" w:hAnsi="Arial Narrow"/>
                <w:color w:val="333333"/>
                <w:sz w:val="20"/>
                <w:szCs w:val="20"/>
              </w:rPr>
              <w:t xml:space="preserve"> Asthma</w:t>
            </w:r>
          </w:p>
        </w:tc>
      </w:tr>
      <w:tr w:rsidR="009733E2" w:rsidRPr="00C54E70" w14:paraId="77001DF1" w14:textId="77777777" w:rsidTr="0078736D">
        <w:tc>
          <w:tcPr>
            <w:tcW w:w="553" w:type="pct"/>
            <w:vAlign w:val="center"/>
          </w:tcPr>
          <w:p w14:paraId="02E1D50B" w14:textId="55667E27"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2CB6AC63"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b/>
                <w:bCs/>
                <w:color w:val="333333"/>
                <w:sz w:val="20"/>
                <w:szCs w:val="20"/>
              </w:rPr>
              <w:t>Clinical criteria:</w:t>
            </w:r>
          </w:p>
        </w:tc>
      </w:tr>
      <w:tr w:rsidR="009733E2" w:rsidRPr="00C54E70" w14:paraId="6A7C0D8B" w14:textId="77777777" w:rsidTr="0078736D">
        <w:tc>
          <w:tcPr>
            <w:tcW w:w="553" w:type="pct"/>
            <w:vAlign w:val="center"/>
          </w:tcPr>
          <w:p w14:paraId="5A899E6F" w14:textId="580282CC"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6C8FFA23"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 xml:space="preserve">Patient must have previously had frequent episodes of asthma while receiving treatment with oral corticosteroids or optimal doses of inhaled corticosteroids </w:t>
            </w:r>
          </w:p>
        </w:tc>
      </w:tr>
      <w:tr w:rsidR="009733E2" w:rsidRPr="00C54E70" w14:paraId="15A4E2DA" w14:textId="77777777" w:rsidTr="0078736D">
        <w:tc>
          <w:tcPr>
            <w:tcW w:w="553" w:type="pct"/>
            <w:vAlign w:val="center"/>
          </w:tcPr>
          <w:p w14:paraId="34207F03" w14:textId="77777777"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5DB5770C"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b/>
                <w:bCs/>
                <w:color w:val="333333"/>
                <w:sz w:val="20"/>
                <w:szCs w:val="20"/>
              </w:rPr>
              <w:t>AND</w:t>
            </w:r>
          </w:p>
        </w:tc>
      </w:tr>
      <w:tr w:rsidR="009733E2" w:rsidRPr="00C54E70" w14:paraId="5BED5E21" w14:textId="77777777" w:rsidTr="007E7ECA">
        <w:tc>
          <w:tcPr>
            <w:tcW w:w="553" w:type="pct"/>
            <w:vAlign w:val="center"/>
          </w:tcPr>
          <w:p w14:paraId="719F705A" w14:textId="7360A3C6"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0CA61E84"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b/>
                <w:bCs/>
                <w:color w:val="333333"/>
                <w:sz w:val="20"/>
                <w:szCs w:val="20"/>
              </w:rPr>
              <w:t>Population Criteria</w:t>
            </w:r>
          </w:p>
        </w:tc>
      </w:tr>
      <w:tr w:rsidR="009733E2" w:rsidRPr="00C54E70" w14:paraId="7A7A49D3" w14:textId="77777777" w:rsidTr="007E7ECA">
        <w:tc>
          <w:tcPr>
            <w:tcW w:w="553" w:type="pct"/>
            <w:vAlign w:val="center"/>
          </w:tcPr>
          <w:p w14:paraId="3C411053" w14:textId="5D77D0B3"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271C0F0E"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Patient must be aged 18 years or older</w:t>
            </w:r>
          </w:p>
        </w:tc>
      </w:tr>
      <w:tr w:rsidR="009733E2" w:rsidRPr="00C54E70" w14:paraId="0D1CB735" w14:textId="77777777" w:rsidTr="0078736D">
        <w:tc>
          <w:tcPr>
            <w:tcW w:w="553" w:type="pct"/>
            <w:vAlign w:val="center"/>
          </w:tcPr>
          <w:p w14:paraId="406F1744" w14:textId="588E40E9"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00DC7009"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Administrative Advice:</w:t>
            </w:r>
            <w:r w:rsidRPr="00C54E70">
              <w:rPr>
                <w:rFonts w:ascii="Arial Narrow" w:hAnsi="Arial Narrow"/>
                <w:bCs/>
                <w:color w:val="333333"/>
                <w:sz w:val="20"/>
                <w:szCs w:val="20"/>
              </w:rPr>
              <w:t xml:space="preserve"> </w:t>
            </w:r>
          </w:p>
          <w:p w14:paraId="23C2C510"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This product is not indicated for the initiation of treatment in asthma</w:t>
            </w:r>
          </w:p>
          <w:p w14:paraId="020ECEB5" w14:textId="77777777" w:rsidR="009733E2" w:rsidRPr="00C54E70" w:rsidRDefault="009733E2" w:rsidP="007E7ECA">
            <w:pPr>
              <w:keepNext/>
              <w:keepLines/>
              <w:rPr>
                <w:rFonts w:ascii="Arial Narrow" w:hAnsi="Arial Narrow"/>
                <w:color w:val="333333"/>
                <w:sz w:val="20"/>
                <w:szCs w:val="20"/>
              </w:rPr>
            </w:pPr>
          </w:p>
        </w:tc>
      </w:tr>
      <w:tr w:rsidR="009733E2" w:rsidRPr="00C54E70" w14:paraId="39DC3133" w14:textId="77777777" w:rsidTr="0078736D">
        <w:tc>
          <w:tcPr>
            <w:tcW w:w="553" w:type="pct"/>
            <w:vAlign w:val="center"/>
          </w:tcPr>
          <w:p w14:paraId="0A9736CE" w14:textId="62EE9346" w:rsidR="009733E2" w:rsidRPr="00C54E70" w:rsidRDefault="009733E2" w:rsidP="007E7ECA">
            <w:pPr>
              <w:keepNext/>
              <w:keepLines/>
              <w:jc w:val="center"/>
              <w:rPr>
                <w:rFonts w:ascii="Arial Narrow" w:hAnsi="Arial Narrow"/>
                <w:color w:val="333333"/>
                <w:sz w:val="20"/>
                <w:szCs w:val="20"/>
              </w:rPr>
            </w:pPr>
          </w:p>
        </w:tc>
        <w:tc>
          <w:tcPr>
            <w:tcW w:w="4447" w:type="pct"/>
            <w:vAlign w:val="center"/>
            <w:hideMark/>
          </w:tcPr>
          <w:p w14:paraId="661E2BE4"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2E86A65E" w14:textId="77777777" w:rsidR="009733E2" w:rsidRPr="00C54E70" w:rsidRDefault="009733E2" w:rsidP="007E7ECA">
            <w:pPr>
              <w:keepNext/>
              <w:keepLines/>
              <w:rPr>
                <w:rFonts w:ascii="Arial Narrow" w:hAnsi="Arial Narrow"/>
                <w:strike/>
                <w:color w:val="333333"/>
                <w:sz w:val="20"/>
                <w:szCs w:val="20"/>
              </w:rPr>
            </w:pPr>
            <w:r w:rsidRPr="00C54E70">
              <w:rPr>
                <w:rFonts w:ascii="Arial Narrow" w:hAnsi="Arial Narrow"/>
                <w:strike/>
                <w:color w:val="333333"/>
                <w:sz w:val="20"/>
                <w:szCs w:val="20"/>
              </w:rPr>
              <w:t>This drug is not PBS-subsidised for the treatment for chronic obstructive disease (COPD).</w:t>
            </w:r>
          </w:p>
          <w:p w14:paraId="7EA92422" w14:textId="77777777" w:rsidR="009733E2" w:rsidRPr="00C54E70" w:rsidRDefault="009733E2" w:rsidP="007E7ECA">
            <w:pPr>
              <w:keepNext/>
              <w:keepLines/>
              <w:rPr>
                <w:rFonts w:ascii="Arial Narrow" w:hAnsi="Arial Narrow"/>
                <w:color w:val="333333"/>
                <w:sz w:val="20"/>
                <w:szCs w:val="20"/>
              </w:rPr>
            </w:pPr>
          </w:p>
        </w:tc>
      </w:tr>
      <w:tr w:rsidR="009733E2" w:rsidRPr="00C54E70" w14:paraId="3A0249B5" w14:textId="77777777" w:rsidTr="007E7ECA">
        <w:tc>
          <w:tcPr>
            <w:tcW w:w="553" w:type="pct"/>
            <w:vAlign w:val="center"/>
          </w:tcPr>
          <w:p w14:paraId="4F584D50" w14:textId="7594C6E2"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099AE376"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b/>
                <w:bCs/>
                <w:color w:val="333333"/>
                <w:sz w:val="20"/>
                <w:szCs w:val="20"/>
              </w:rPr>
              <w:t xml:space="preserve">Administrative Advice: </w:t>
            </w:r>
          </w:p>
          <w:p w14:paraId="1614E0D7"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The patient must not be on a concomitant single agent long-acting-beta-2-agonist (LABA)</w:t>
            </w:r>
          </w:p>
        </w:tc>
      </w:tr>
      <w:tr w:rsidR="009733E2" w:rsidRPr="00C54E70" w14:paraId="7807EE1D" w14:textId="77777777" w:rsidTr="007E7ECA">
        <w:tc>
          <w:tcPr>
            <w:tcW w:w="553" w:type="pct"/>
            <w:vAlign w:val="center"/>
          </w:tcPr>
          <w:p w14:paraId="04D2880A" w14:textId="679EBFDD"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1BB98E99"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38A04871"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 xml:space="preserve">A LABA includes </w:t>
            </w:r>
            <w:proofErr w:type="spellStart"/>
            <w:r w:rsidRPr="00C54E70">
              <w:rPr>
                <w:rFonts w:ascii="Arial Narrow" w:hAnsi="Arial Narrow"/>
                <w:color w:val="333333"/>
                <w:sz w:val="20"/>
                <w:szCs w:val="20"/>
              </w:rPr>
              <w:t>olodaterol</w:t>
            </w:r>
            <w:proofErr w:type="spellEnd"/>
            <w:r w:rsidRPr="00C54E70">
              <w:rPr>
                <w:rFonts w:ascii="Arial Narrow" w:hAnsi="Arial Narrow"/>
                <w:color w:val="333333"/>
                <w:sz w:val="20"/>
                <w:szCs w:val="20"/>
              </w:rPr>
              <w:t>, indacaterol, salmeterol, formoterol or vilanterol.</w:t>
            </w:r>
          </w:p>
        </w:tc>
      </w:tr>
      <w:tr w:rsidR="009733E2" w:rsidRPr="00C54E70" w14:paraId="3842FE14" w14:textId="77777777" w:rsidTr="007E7ECA">
        <w:tc>
          <w:tcPr>
            <w:tcW w:w="553" w:type="pct"/>
            <w:vAlign w:val="center"/>
          </w:tcPr>
          <w:p w14:paraId="6346D148" w14:textId="5033738D"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2ED7B603"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246E586C"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Adherence to current treatment and device (inhaler) technique should be reviewed at each clinical visit and before “stepping up” a patient’s medication regimen,</w:t>
            </w:r>
          </w:p>
        </w:tc>
      </w:tr>
      <w:tr w:rsidR="009733E2" w:rsidRPr="00C54E70" w14:paraId="6F380D65" w14:textId="77777777" w:rsidTr="007E7ECA">
        <w:tc>
          <w:tcPr>
            <w:tcW w:w="553" w:type="pct"/>
            <w:vAlign w:val="center"/>
          </w:tcPr>
          <w:p w14:paraId="7D1A0CBE" w14:textId="60E4C223"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6B67E02A"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0B0F90F0"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This product is not PBS-subsidised for use as ‘maintenance and reliever’ therapy.</w:t>
            </w:r>
          </w:p>
        </w:tc>
      </w:tr>
      <w:tr w:rsidR="009733E2" w:rsidRPr="00C54E70" w14:paraId="0634ABBD" w14:textId="77777777" w:rsidTr="007E7ECA">
        <w:tc>
          <w:tcPr>
            <w:tcW w:w="553" w:type="pct"/>
            <w:vAlign w:val="center"/>
          </w:tcPr>
          <w:p w14:paraId="5466BD19" w14:textId="42F8915B" w:rsidR="009733E2" w:rsidRPr="00C54E70" w:rsidRDefault="009733E2" w:rsidP="007E7ECA">
            <w:pPr>
              <w:keepNext/>
              <w:keepLines/>
              <w:jc w:val="center"/>
              <w:rPr>
                <w:rFonts w:ascii="Arial Narrow" w:hAnsi="Arial Narrow"/>
                <w:color w:val="333333"/>
                <w:sz w:val="20"/>
                <w:szCs w:val="20"/>
              </w:rPr>
            </w:pPr>
          </w:p>
        </w:tc>
        <w:tc>
          <w:tcPr>
            <w:tcW w:w="4447" w:type="pct"/>
            <w:vAlign w:val="center"/>
          </w:tcPr>
          <w:p w14:paraId="04714705" w14:textId="77777777" w:rsidR="009733E2" w:rsidRPr="00C54E70" w:rsidRDefault="009733E2" w:rsidP="007E7ECA">
            <w:pPr>
              <w:keepNext/>
              <w:keepLines/>
              <w:rPr>
                <w:rFonts w:ascii="Arial Narrow" w:hAnsi="Arial Narrow"/>
                <w:bCs/>
                <w:color w:val="333333"/>
                <w:sz w:val="20"/>
                <w:szCs w:val="20"/>
              </w:rPr>
            </w:pPr>
            <w:r w:rsidRPr="00C54E70">
              <w:rPr>
                <w:rFonts w:ascii="Arial Narrow" w:hAnsi="Arial Narrow"/>
                <w:b/>
                <w:bCs/>
                <w:color w:val="333333"/>
                <w:sz w:val="20"/>
                <w:szCs w:val="20"/>
              </w:rPr>
              <w:t xml:space="preserve">Administrative Advice: </w:t>
            </w:r>
          </w:p>
          <w:p w14:paraId="08BE439E" w14:textId="77777777" w:rsidR="009733E2" w:rsidRPr="00C54E70" w:rsidRDefault="009733E2" w:rsidP="007E7ECA">
            <w:pPr>
              <w:keepNext/>
              <w:keepLines/>
              <w:rPr>
                <w:rFonts w:ascii="Arial Narrow" w:hAnsi="Arial Narrow"/>
                <w:color w:val="333333"/>
                <w:sz w:val="20"/>
                <w:szCs w:val="20"/>
              </w:rPr>
            </w:pPr>
            <w:r w:rsidRPr="00C54E70">
              <w:rPr>
                <w:rFonts w:ascii="Arial Narrow" w:hAnsi="Arial Narrow"/>
                <w:color w:val="333333"/>
                <w:sz w:val="20"/>
                <w:szCs w:val="20"/>
              </w:rPr>
              <w:t>This product is not PBS-subsidised for use as ‘anti-inflammatory reliever’ therapy for mild asthma</w:t>
            </w:r>
          </w:p>
        </w:tc>
      </w:tr>
    </w:tbl>
    <w:p w14:paraId="0C119E74" w14:textId="77777777" w:rsidR="009733E2" w:rsidRPr="00525B39" w:rsidRDefault="009733E2" w:rsidP="00650D10">
      <w:pPr>
        <w:widowControl w:val="0"/>
        <w:ind w:firstLine="709"/>
        <w:rPr>
          <w:rFonts w:asciiTheme="minorHAnsi" w:hAnsiTheme="minorHAnsi"/>
          <w:bCs/>
          <w:snapToGrid w:val="0"/>
        </w:rPr>
      </w:pPr>
    </w:p>
    <w:bookmarkEnd w:id="68"/>
    <w:p w14:paraId="09128081" w14:textId="767C5B8A" w:rsidR="007C3A1A" w:rsidRDefault="007C3A1A" w:rsidP="007C3A1A">
      <w:pPr>
        <w:ind w:left="11" w:hanging="11"/>
        <w:jc w:val="left"/>
        <w:rPr>
          <w:b/>
          <w:bCs/>
          <w:i/>
          <w:iCs/>
          <w:sz w:val="23"/>
          <w:szCs w:val="23"/>
        </w:rPr>
      </w:pPr>
      <w:r w:rsidRPr="00E209B2">
        <w:rPr>
          <w:b/>
          <w:bCs/>
          <w:i/>
          <w:iCs/>
          <w:sz w:val="23"/>
          <w:szCs w:val="23"/>
        </w:rPr>
        <w:t>This restriction may be subject to further review. Should there be any changes made to the restriction the Sponsor will be informed.</w:t>
      </w:r>
    </w:p>
    <w:p w14:paraId="1BD0A330" w14:textId="2E112B33" w:rsidR="00B62173" w:rsidRDefault="00B62173" w:rsidP="007C3A1A">
      <w:pPr>
        <w:ind w:left="11" w:hanging="11"/>
        <w:jc w:val="left"/>
        <w:rPr>
          <w:b/>
          <w:bCs/>
          <w:i/>
          <w:iCs/>
          <w:sz w:val="23"/>
          <w:szCs w:val="23"/>
        </w:rPr>
      </w:pPr>
    </w:p>
    <w:p w14:paraId="68919B4B" w14:textId="4A232AF6" w:rsidR="00B62173" w:rsidRDefault="00B62173" w:rsidP="0078736D">
      <w:pPr>
        <w:pStyle w:val="2-SectionHeading"/>
        <w:rPr>
          <w:bCs/>
          <w:lang w:val="en-GB"/>
        </w:rPr>
      </w:pPr>
      <w:r w:rsidRPr="00C07617">
        <w:lastRenderedPageBreak/>
        <w:t>Context for Decision</w:t>
      </w:r>
    </w:p>
    <w:p w14:paraId="34FF8089" w14:textId="77777777" w:rsidR="00B62173" w:rsidRPr="007129F2" w:rsidRDefault="00B62173" w:rsidP="0078736D">
      <w:pPr>
        <w:pStyle w:val="3-BodyText"/>
        <w:numPr>
          <w:ilvl w:val="0"/>
          <w:numId w:val="0"/>
        </w:numPr>
        <w:ind w:left="720"/>
        <w:rPr>
          <w:lang w:val="en-GB"/>
        </w:rPr>
      </w:pPr>
      <w:r w:rsidRPr="007129F2">
        <w:rPr>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48F2DE03" w14:textId="7756F284" w:rsidR="00B62173" w:rsidRPr="00C07617" w:rsidRDefault="00B62173" w:rsidP="0078736D">
      <w:pPr>
        <w:pStyle w:val="2-SectionHeading"/>
      </w:pPr>
      <w:r>
        <w:t>Sponsor’s Comment</w:t>
      </w:r>
    </w:p>
    <w:p w14:paraId="63B3174C" w14:textId="6E83F13C" w:rsidR="00B62173" w:rsidRPr="00C54E70" w:rsidRDefault="00B62173" w:rsidP="00C54E70">
      <w:pPr>
        <w:pStyle w:val="3-BodyText"/>
        <w:numPr>
          <w:ilvl w:val="0"/>
          <w:numId w:val="0"/>
        </w:numPr>
        <w:ind w:left="720"/>
      </w:pPr>
      <w:r w:rsidRPr="00C07617">
        <w:t>The sponsor had no comment.</w:t>
      </w:r>
    </w:p>
    <w:sectPr w:rsidR="00B62173" w:rsidRPr="00C54E70" w:rsidSect="006A50B1">
      <w:headerReference w:type="default" r:id="rId8"/>
      <w:footerReference w:type="default" r:id="rId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943C63" w14:textId="77777777" w:rsidR="006B4DC9" w:rsidRDefault="006B4DC9" w:rsidP="00FA4692">
      <w:r>
        <w:separator/>
      </w:r>
    </w:p>
  </w:endnote>
  <w:endnote w:type="continuationSeparator" w:id="0">
    <w:p w14:paraId="3079044B" w14:textId="77777777" w:rsidR="006B4DC9" w:rsidRDefault="006B4DC9" w:rsidP="00FA4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桀頺ȷ"/>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wvrshAdvTT86d47313">
    <w:altName w:val="Cambria"/>
    <w:panose1 w:val="00000000000000000000"/>
    <w:charset w:val="00"/>
    <w:family w:val="roman"/>
    <w:notTrueType/>
    <w:pitch w:val="default"/>
  </w:font>
  <w:font w:name="Sabon">
    <w:altName w:val="Constantia"/>
    <w:charset w:val="00"/>
    <w:family w:val="roman"/>
    <w:pitch w:val="variable"/>
    <w:sig w:usb0="00000287" w:usb1="00000000" w:usb2="00000000" w:usb3="00000000" w:csb0="0000009F" w:csb1="00000000"/>
  </w:font>
  <w:font w:name="AdvTrebu-R">
    <w:altName w:val="Calibri"/>
    <w:panose1 w:val="00000000000000000000"/>
    <w:charset w:val="00"/>
    <w:family w:val="swiss"/>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
    <w:altName w:val="Yu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61DC" w14:textId="77777777" w:rsidR="007E179A" w:rsidRDefault="007E179A">
    <w:pPr>
      <w:pStyle w:val="Footer"/>
      <w:jc w:val="center"/>
    </w:pPr>
  </w:p>
  <w:sdt>
    <w:sdtPr>
      <w:id w:val="-35205166"/>
      <w:docPartObj>
        <w:docPartGallery w:val="Page Numbers (Bottom of Page)"/>
        <w:docPartUnique/>
      </w:docPartObj>
    </w:sdtPr>
    <w:sdtEndPr>
      <w:rPr>
        <w:b/>
        <w:bCs/>
        <w:noProof/>
      </w:rPr>
    </w:sdtEndPr>
    <w:sdtContent>
      <w:p w14:paraId="7079D105" w14:textId="0106EA18" w:rsidR="007E179A" w:rsidRPr="00650D10" w:rsidRDefault="007E179A" w:rsidP="00650D10">
        <w:pPr>
          <w:pStyle w:val="Footer"/>
          <w:jc w:val="center"/>
          <w:rPr>
            <w:b/>
            <w:bCs/>
          </w:rPr>
        </w:pPr>
        <w:r w:rsidRPr="00650D10">
          <w:rPr>
            <w:b/>
            <w:bCs/>
          </w:rPr>
          <w:fldChar w:fldCharType="begin"/>
        </w:r>
        <w:r w:rsidRPr="00650D10">
          <w:rPr>
            <w:b/>
            <w:bCs/>
          </w:rPr>
          <w:instrText xml:space="preserve"> PAGE   \* MERGEFORMAT </w:instrText>
        </w:r>
        <w:r w:rsidRPr="00650D10">
          <w:rPr>
            <w:b/>
            <w:bCs/>
          </w:rPr>
          <w:fldChar w:fldCharType="separate"/>
        </w:r>
        <w:r w:rsidRPr="00650D10">
          <w:rPr>
            <w:b/>
            <w:bCs/>
            <w:noProof/>
          </w:rPr>
          <w:t>2</w:t>
        </w:r>
        <w:r w:rsidRPr="00650D10">
          <w:rPr>
            <w:b/>
            <w:bCs/>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23338" w14:textId="77777777" w:rsidR="006B4DC9" w:rsidRDefault="006B4DC9" w:rsidP="00FA4692">
      <w:r>
        <w:separator/>
      </w:r>
    </w:p>
  </w:footnote>
  <w:footnote w:type="continuationSeparator" w:id="0">
    <w:p w14:paraId="4897ED6B" w14:textId="77777777" w:rsidR="006B4DC9" w:rsidRDefault="006B4DC9" w:rsidP="00FA4692">
      <w:r>
        <w:continuationSeparator/>
      </w:r>
    </w:p>
  </w:footnote>
  <w:footnote w:id="1">
    <w:p w14:paraId="252B9799" w14:textId="77777777" w:rsidR="007E179A" w:rsidRPr="00D20FE2" w:rsidRDefault="007E179A" w:rsidP="00E374F0">
      <w:pPr>
        <w:pStyle w:val="FootnoteText"/>
        <w:rPr>
          <w:rFonts w:asciiTheme="minorHAnsi" w:hAnsiTheme="minorHAnsi"/>
          <w:lang w:val="en-US"/>
        </w:rPr>
      </w:pPr>
      <w:r>
        <w:rPr>
          <w:rStyle w:val="FootnoteReference"/>
          <w:rFonts w:eastAsiaTheme="majorEastAsia"/>
        </w:rPr>
        <w:footnoteRef/>
      </w:r>
      <w:r>
        <w:t xml:space="preserve"> </w:t>
      </w:r>
      <w:hyperlink r:id="rId1" w:history="1">
        <w:r w:rsidRPr="009C04FE">
          <w:rPr>
            <w:rStyle w:val="Hyperlink"/>
            <w:rFonts w:asciiTheme="minorHAnsi" w:hAnsiTheme="minorHAnsi"/>
            <w:color w:val="000000" w:themeColor="text1"/>
            <w:u w:val="none"/>
          </w:rPr>
          <w:t>https://www.aihw.gov.au/reports/asthma-other-chronic-respiratory-conditions/copd-chronic-obstructive-pulmonary-disease/contents/deaths</w:t>
        </w:r>
      </w:hyperlink>
    </w:p>
  </w:footnote>
  <w:footnote w:id="2">
    <w:p w14:paraId="5304A524" w14:textId="76E2873F" w:rsidR="007E179A" w:rsidRPr="000C5B63" w:rsidRDefault="007E179A">
      <w:pPr>
        <w:pStyle w:val="FootnoteText"/>
        <w:rPr>
          <w:lang w:val="en-US"/>
        </w:rPr>
      </w:pPr>
      <w:r>
        <w:rPr>
          <w:rStyle w:val="FootnoteReference"/>
        </w:rPr>
        <w:footnoteRef/>
      </w:r>
      <w:r>
        <w:t xml:space="preserve"> </w:t>
      </w:r>
      <w:r w:rsidRPr="000C5B63">
        <w:rPr>
          <w:rFonts w:ascii="Arial" w:hAnsi="Arial"/>
          <w:color w:val="222222"/>
          <w:sz w:val="16"/>
          <w:szCs w:val="16"/>
          <w:shd w:val="clear" w:color="auto" w:fill="FFFFFF"/>
        </w:rPr>
        <w:t>Montserrat-</w:t>
      </w:r>
      <w:proofErr w:type="spellStart"/>
      <w:r w:rsidRPr="000C5B63">
        <w:rPr>
          <w:rFonts w:ascii="Arial" w:hAnsi="Arial"/>
          <w:color w:val="222222"/>
          <w:sz w:val="16"/>
          <w:szCs w:val="16"/>
          <w:shd w:val="clear" w:color="auto" w:fill="FFFFFF"/>
        </w:rPr>
        <w:t>Capdevila</w:t>
      </w:r>
      <w:proofErr w:type="spellEnd"/>
      <w:r w:rsidRPr="000C5B63">
        <w:rPr>
          <w:rFonts w:ascii="Arial" w:hAnsi="Arial"/>
          <w:color w:val="222222"/>
          <w:sz w:val="16"/>
          <w:szCs w:val="16"/>
          <w:shd w:val="clear" w:color="auto" w:fill="FFFFFF"/>
        </w:rPr>
        <w:t xml:space="preserve">, J., Godoy, P., Marsal, J.R. and </w:t>
      </w:r>
      <w:proofErr w:type="spellStart"/>
      <w:r w:rsidRPr="000C5B63">
        <w:rPr>
          <w:rFonts w:ascii="Arial" w:hAnsi="Arial"/>
          <w:color w:val="222222"/>
          <w:sz w:val="16"/>
          <w:szCs w:val="16"/>
          <w:shd w:val="clear" w:color="auto" w:fill="FFFFFF"/>
        </w:rPr>
        <w:t>Barbé</w:t>
      </w:r>
      <w:proofErr w:type="spellEnd"/>
      <w:r w:rsidRPr="000C5B63">
        <w:rPr>
          <w:rFonts w:ascii="Arial" w:hAnsi="Arial"/>
          <w:color w:val="222222"/>
          <w:sz w:val="16"/>
          <w:szCs w:val="16"/>
          <w:shd w:val="clear" w:color="auto" w:fill="FFFFFF"/>
        </w:rPr>
        <w:t>, F., 2015. Predictive model of hospital admission for COPD exacerbation. </w:t>
      </w:r>
      <w:r w:rsidRPr="000C5B63">
        <w:rPr>
          <w:rFonts w:ascii="Arial" w:hAnsi="Arial"/>
          <w:i/>
          <w:iCs/>
          <w:color w:val="222222"/>
          <w:sz w:val="16"/>
          <w:szCs w:val="16"/>
          <w:shd w:val="clear" w:color="auto" w:fill="FFFFFF"/>
        </w:rPr>
        <w:t>Respiratory care</w:t>
      </w:r>
      <w:r w:rsidRPr="000C5B63">
        <w:rPr>
          <w:rFonts w:ascii="Arial" w:hAnsi="Arial"/>
          <w:color w:val="222222"/>
          <w:sz w:val="16"/>
          <w:szCs w:val="16"/>
          <w:shd w:val="clear" w:color="auto" w:fill="FFFFFF"/>
        </w:rPr>
        <w:t>, </w:t>
      </w:r>
      <w:r w:rsidRPr="000C5B63">
        <w:rPr>
          <w:rFonts w:ascii="Arial" w:hAnsi="Arial"/>
          <w:i/>
          <w:iCs/>
          <w:color w:val="222222"/>
          <w:sz w:val="16"/>
          <w:szCs w:val="16"/>
          <w:shd w:val="clear" w:color="auto" w:fill="FFFFFF"/>
        </w:rPr>
        <w:t>60</w:t>
      </w:r>
      <w:r w:rsidRPr="000C5B63">
        <w:rPr>
          <w:rFonts w:ascii="Arial" w:hAnsi="Arial"/>
          <w:color w:val="222222"/>
          <w:sz w:val="16"/>
          <w:szCs w:val="16"/>
          <w:shd w:val="clear" w:color="auto" w:fill="FFFFFF"/>
        </w:rPr>
        <w:t>(9), pp.1288-1294</w:t>
      </w:r>
    </w:p>
  </w:footnote>
  <w:footnote w:id="3">
    <w:p w14:paraId="48BA9030" w14:textId="77777777" w:rsidR="007E179A" w:rsidRPr="00A10308" w:rsidRDefault="007E179A" w:rsidP="00E374F0">
      <w:pPr>
        <w:pStyle w:val="FootnoteText"/>
        <w:rPr>
          <w:lang w:val="en-US"/>
        </w:rPr>
      </w:pPr>
      <w:r>
        <w:rPr>
          <w:rStyle w:val="FootnoteReference"/>
          <w:rFonts w:eastAsiaTheme="majorEastAsia"/>
        </w:rPr>
        <w:footnoteRef/>
      </w:r>
      <w:r>
        <w:t xml:space="preserve"> </w:t>
      </w:r>
      <w:r w:rsidRPr="00A10308">
        <w:t>https://www.pbs.gov.au/info/industry/pricing/price-disclosure-spd/price-disclosure-reductions-for-2022-april-cycle</w:t>
      </w:r>
    </w:p>
  </w:footnote>
  <w:footnote w:id="4">
    <w:p w14:paraId="0ECFFF5E" w14:textId="4D2DA973" w:rsidR="007E179A" w:rsidRDefault="007E179A">
      <w:pPr>
        <w:pStyle w:val="FootnoteText"/>
      </w:pPr>
      <w:r>
        <w:rPr>
          <w:rStyle w:val="FootnoteReference"/>
        </w:rPr>
        <w:footnoteRef/>
      </w:r>
      <w:r>
        <w:t xml:space="preserve"> Corrected quote. PSCR quote </w:t>
      </w:r>
      <w:r w:rsidRPr="00AC6FB3">
        <w:t>“a reasonable comparator given one script provides for 60 days of treatment at the equi-effective dose (2x120 actuations per script), rather than 30 days of treatment for BEC/FOR (120 actuations per script).”</w:t>
      </w:r>
      <w:r>
        <w:t xml:space="preserve">  </w:t>
      </w:r>
    </w:p>
  </w:footnote>
  <w:footnote w:id="5">
    <w:p w14:paraId="78F67D55" w14:textId="5B3B485D" w:rsidR="007E179A" w:rsidRDefault="007E179A">
      <w:pPr>
        <w:pStyle w:val="FootnoteText"/>
      </w:pPr>
      <w:r>
        <w:rPr>
          <w:rStyle w:val="FootnoteReference"/>
        </w:rPr>
        <w:footnoteRef/>
      </w:r>
      <w:r>
        <w:t xml:space="preserve"> </w:t>
      </w:r>
      <w:hyperlink r:id="rId2" w:history="1">
        <w:r>
          <w:rPr>
            <w:rStyle w:val="Hyperlink"/>
          </w:rPr>
          <w:t xml:space="preserve">Pharmaceutical Benefits Scheme (PBS) | Budesonide with eformoterol fumarate dihydrate, powder for oral inhalation, fixed dose combination, 400 micrograms-12 micrograms per dose, Symbicort </w:t>
        </w:r>
        <w:proofErr w:type="spellStart"/>
        <w:r>
          <w:rPr>
            <w:rStyle w:val="Hyperlink"/>
          </w:rPr>
          <w:t>Turbuhaler</w:t>
        </w:r>
        <w:proofErr w:type="spellEnd"/>
        <w:r>
          <w:rPr>
            <w:rStyle w:val="Hyperlink"/>
          </w:rPr>
          <w:t xml:space="preserve"> 400/12®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BF12D" w14:textId="36B92E5B" w:rsidR="007E179A" w:rsidRPr="00056684" w:rsidRDefault="007E179A" w:rsidP="00650D10">
    <w:pPr>
      <w:pStyle w:val="Header"/>
      <w:ind w:left="360"/>
      <w:rPr>
        <w:rFonts w:asciiTheme="minorHAnsi" w:hAnsiTheme="minorHAnsi"/>
        <w:i/>
        <w:color w:val="808080"/>
      </w:rPr>
    </w:pPr>
    <w:r>
      <w:rPr>
        <w:rFonts w:asciiTheme="minorHAnsi" w:hAnsiTheme="minorHAnsi"/>
        <w:i/>
        <w:color w:val="808080"/>
      </w:rPr>
      <w:t>Public Summary Document</w:t>
    </w:r>
    <w:r w:rsidRPr="00056684">
      <w:rPr>
        <w:rFonts w:asciiTheme="minorHAnsi" w:hAnsiTheme="minorHAnsi"/>
        <w:i/>
        <w:color w:val="808080"/>
      </w:rPr>
      <w:t xml:space="preserve"> – </w:t>
    </w:r>
    <w:r>
      <w:rPr>
        <w:rFonts w:asciiTheme="minorHAnsi" w:hAnsiTheme="minorHAnsi"/>
        <w:i/>
        <w:color w:val="808080"/>
      </w:rPr>
      <w:t>March 2022</w:t>
    </w:r>
    <w:r w:rsidRPr="00056684">
      <w:rPr>
        <w:rFonts w:asciiTheme="minorHAnsi" w:hAnsiTheme="minorHAnsi"/>
        <w:i/>
        <w:color w:val="808080"/>
      </w:rPr>
      <w:t xml:space="preserve"> PBAC Meeting</w:t>
    </w:r>
  </w:p>
  <w:p w14:paraId="3AB8C707" w14:textId="77777777" w:rsidR="007E179A" w:rsidRPr="008C7ECB" w:rsidRDefault="007E179A" w:rsidP="00650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73E8A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FFF556F"/>
    <w:multiLevelType w:val="hybridMultilevel"/>
    <w:tmpl w:val="A68A65F0"/>
    <w:lvl w:ilvl="0" w:tplc="FB942214">
      <w:start w:val="1"/>
      <w:numFmt w:val="bullet"/>
      <w:pStyle w:val="Bullet"/>
      <w:lvlText w:val=""/>
      <w:lvlJc w:val="left"/>
      <w:pPr>
        <w:ind w:left="720" w:hanging="360"/>
      </w:pPr>
      <w:rPr>
        <w:rFonts w:ascii="Symbol" w:hAnsi="Symbol" w:hint="default"/>
      </w:rPr>
    </w:lvl>
    <w:lvl w:ilvl="1" w:tplc="0C090001">
      <w:start w:val="1"/>
      <w:numFmt w:val="bullet"/>
      <w:pStyle w:val="TOCEntry"/>
      <w:lvlText w:val=""/>
      <w:lvlJc w:val="left"/>
      <w:pPr>
        <w:ind w:left="360" w:hanging="360"/>
      </w:pPr>
      <w:rPr>
        <w:rFonts w:ascii="Symbol" w:hAnsi="Symbol" w:hint="default"/>
      </w:rPr>
    </w:lvl>
    <w:lvl w:ilvl="2" w:tplc="0C090005">
      <w:start w:val="1"/>
      <w:numFmt w:val="bullet"/>
      <w:pStyle w:val="Style4"/>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597DD0"/>
    <w:multiLevelType w:val="hybridMultilevel"/>
    <w:tmpl w:val="AE5C8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383609"/>
    <w:multiLevelType w:val="hybridMultilevel"/>
    <w:tmpl w:val="794A73F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FA208F"/>
    <w:multiLevelType w:val="multilevel"/>
    <w:tmpl w:val="AEE40CE8"/>
    <w:styleLink w:val="Style1"/>
    <w:lvl w:ilvl="0">
      <w:start w:val="2"/>
      <w:numFmt w:val="upperLetter"/>
      <w:lvlText w:val="%1(i)."/>
      <w:lvlJc w:val="left"/>
      <w:pPr>
        <w:ind w:left="360" w:hanging="360"/>
      </w:pPr>
      <w:rPr>
        <w:rFonts w:ascii="Arial" w:hAnsi="Arial" w:hint="default"/>
        <w:b/>
        <w:sz w:val="22"/>
      </w:rPr>
    </w:lvl>
    <w:lvl w:ilvl="1">
      <w:start w:val="1"/>
      <w:numFmt w:val="decimal"/>
      <w:lvlText w:val="%1(i).%2."/>
      <w:lvlJc w:val="left"/>
      <w:pPr>
        <w:ind w:left="432" w:hanging="432"/>
      </w:pPr>
      <w:rPr>
        <w:rFonts w:ascii="Arial" w:hAnsi="Arial" w:hint="default"/>
        <w:b/>
        <w:sz w:val="22"/>
      </w:rPr>
    </w:lvl>
    <w:lvl w:ilvl="2">
      <w:start w:val="1"/>
      <w:numFmt w:val="decimal"/>
      <w:lvlText w:val="%1(i).%2.%3."/>
      <w:lvlJc w:val="left"/>
      <w:pPr>
        <w:ind w:left="504" w:hanging="504"/>
      </w:pPr>
      <w:rPr>
        <w:rFonts w:ascii="Arial" w:hAnsi="Arial" w:hint="default"/>
        <w:b/>
        <w:sz w:val="22"/>
      </w:rPr>
    </w:lvl>
    <w:lvl w:ilvl="3">
      <w:start w:val="1"/>
      <w:numFmt w:val="decimal"/>
      <w:lvlText w:val="%1(i).%2.%3.%4."/>
      <w:lvlJc w:val="left"/>
      <w:pPr>
        <w:ind w:left="648" w:hanging="648"/>
      </w:pPr>
      <w:rPr>
        <w:rFonts w:ascii="Arial" w:hAnsi="Arial" w:hint="default"/>
        <w:b/>
        <w:sz w:val="22"/>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7"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3B6274A"/>
    <w:multiLevelType w:val="hybridMultilevel"/>
    <w:tmpl w:val="942CF9C0"/>
    <w:lvl w:ilvl="0" w:tplc="C7D6D026">
      <w:start w:val="1"/>
      <w:numFmt w:val="decimal"/>
      <w:lvlText w:val="%1."/>
      <w:lvlJc w:val="left"/>
      <w:pPr>
        <w:ind w:left="1778" w:hanging="360"/>
      </w:pPr>
      <w:rPr>
        <w:rFonts w:hint="default"/>
        <w:b w:val="0"/>
        <w:bCs/>
        <w:i w:val="0"/>
        <w:iCs/>
        <w:color w:val="auto"/>
        <w:sz w:val="24"/>
        <w:szCs w:val="28"/>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02506"/>
    <w:multiLevelType w:val="hybridMultilevel"/>
    <w:tmpl w:val="F10AC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849B3"/>
    <w:multiLevelType w:val="hybridMultilevel"/>
    <w:tmpl w:val="1848C96C"/>
    <w:lvl w:ilvl="0" w:tplc="0C090001">
      <w:start w:val="1"/>
      <w:numFmt w:val="bullet"/>
      <w:pStyle w:val="ListBullet-Bullet"/>
      <w:lvlText w:val=""/>
      <w:lvlJc w:val="left"/>
      <w:pPr>
        <w:ind w:left="720" w:hanging="360"/>
      </w:pPr>
      <w:rPr>
        <w:rFonts w:ascii="Symbol" w:hAnsi="Symbol" w:hint="default"/>
        <w:color w:val="00529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5" w15:restartNumberingAfterBreak="0">
    <w:nsid w:val="54F91280"/>
    <w:multiLevelType w:val="hybridMultilevel"/>
    <w:tmpl w:val="B6FC842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9C242D0"/>
    <w:multiLevelType w:val="hybridMultilevel"/>
    <w:tmpl w:val="B7082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FA4976"/>
    <w:multiLevelType w:val="hybridMultilevel"/>
    <w:tmpl w:val="B32407CA"/>
    <w:lvl w:ilvl="0" w:tplc="0C090019">
      <w:start w:val="2"/>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9" w15:restartNumberingAfterBreak="0">
    <w:nsid w:val="69B877FF"/>
    <w:multiLevelType w:val="multilevel"/>
    <w:tmpl w:val="BE42665A"/>
    <w:lvl w:ilvl="0">
      <w:start w:val="1"/>
      <w:numFmt w:val="bullet"/>
      <w:pStyle w:val="C-Bullet"/>
      <w:lvlText w:val=""/>
      <w:lvlJc w:val="left"/>
      <w:pPr>
        <w:tabs>
          <w:tab w:val="num" w:pos="1080"/>
        </w:tabs>
        <w:ind w:left="1080" w:hanging="360"/>
      </w:pPr>
      <w:rPr>
        <w:rFonts w:ascii="Symbol" w:hAnsi="Symbol" w:hint="default"/>
        <w:sz w:val="24"/>
      </w:rPr>
    </w:lvl>
    <w:lvl w:ilvl="1">
      <w:start w:val="1"/>
      <w:numFmt w:val="bullet"/>
      <w:pStyle w:val="C-BulletIndented"/>
      <w:lvlText w:val=""/>
      <w:lvlJc w:val="left"/>
      <w:pPr>
        <w:tabs>
          <w:tab w:val="num" w:pos="1440"/>
        </w:tabs>
        <w:ind w:left="1440" w:hanging="360"/>
      </w:pPr>
      <w:rPr>
        <w:rFonts w:ascii="Symbol" w:hAnsi="Symbol" w:hint="default"/>
      </w:rPr>
    </w:lvl>
    <w:lvl w:ilvl="2">
      <w:start w:val="1"/>
      <w:numFmt w:val="bullet"/>
      <w:lvlText w:val=""/>
      <w:lvlJc w:val="left"/>
      <w:pPr>
        <w:ind w:left="1080" w:firstLine="0"/>
      </w:pPr>
      <w:rPr>
        <w:rFonts w:ascii="Symbol" w:hAnsi="Symbol" w:hint="default"/>
      </w:rPr>
    </w:lvl>
    <w:lvl w:ilvl="3">
      <w:start w:val="1"/>
      <w:numFmt w:val="bullet"/>
      <w:lvlText w:val=""/>
      <w:lvlJc w:val="left"/>
      <w:pPr>
        <w:ind w:left="1080" w:firstLine="0"/>
      </w:pPr>
      <w:rPr>
        <w:rFonts w:ascii="Symbol" w:hAnsi="Symbol" w:hint="default"/>
      </w:rPr>
    </w:lvl>
    <w:lvl w:ilvl="4">
      <w:start w:val="1"/>
      <w:numFmt w:val="bullet"/>
      <w:lvlText w:val=""/>
      <w:lvlJc w:val="left"/>
      <w:pPr>
        <w:ind w:left="1080" w:firstLine="0"/>
      </w:pPr>
      <w:rPr>
        <w:rFonts w:ascii="Symbol" w:hAnsi="Symbol" w:hint="default"/>
      </w:rPr>
    </w:lvl>
    <w:lvl w:ilvl="5">
      <w:start w:val="1"/>
      <w:numFmt w:val="bullet"/>
      <w:lvlText w:val=""/>
      <w:lvlJc w:val="left"/>
      <w:pPr>
        <w:ind w:left="1080" w:firstLine="0"/>
      </w:pPr>
      <w:rPr>
        <w:rFonts w:ascii="Symbol" w:hAnsi="Symbol" w:hint="default"/>
      </w:rPr>
    </w:lvl>
    <w:lvl w:ilvl="6">
      <w:start w:val="1"/>
      <w:numFmt w:val="bullet"/>
      <w:lvlText w:val=""/>
      <w:lvlJc w:val="left"/>
      <w:pPr>
        <w:ind w:left="1080" w:firstLine="0"/>
      </w:pPr>
      <w:rPr>
        <w:rFonts w:ascii="Symbol" w:hAnsi="Symbol" w:hint="default"/>
      </w:rPr>
    </w:lvl>
    <w:lvl w:ilvl="7">
      <w:start w:val="1"/>
      <w:numFmt w:val="bullet"/>
      <w:lvlText w:val=""/>
      <w:lvlJc w:val="left"/>
      <w:pPr>
        <w:ind w:left="1080" w:firstLine="0"/>
      </w:pPr>
      <w:rPr>
        <w:rFonts w:ascii="Symbol" w:hAnsi="Symbol" w:hint="default"/>
      </w:rPr>
    </w:lvl>
    <w:lvl w:ilvl="8">
      <w:start w:val="1"/>
      <w:numFmt w:val="bullet"/>
      <w:lvlText w:val=""/>
      <w:lvlJc w:val="left"/>
      <w:pPr>
        <w:ind w:left="1080" w:firstLine="0"/>
      </w:pPr>
      <w:rPr>
        <w:rFonts w:ascii="Symbol" w:hAnsi="Symbol" w:hint="default"/>
      </w:rPr>
    </w:lvl>
  </w:abstractNum>
  <w:abstractNum w:abstractNumId="20" w15:restartNumberingAfterBreak="0">
    <w:nsid w:val="6CE84D02"/>
    <w:multiLevelType w:val="hybridMultilevel"/>
    <w:tmpl w:val="FC2CC5E0"/>
    <w:lvl w:ilvl="0" w:tplc="07025B8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D290883"/>
    <w:multiLevelType w:val="hybridMultilevel"/>
    <w:tmpl w:val="5B66B9CA"/>
    <w:styleLink w:val="Style11"/>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5D538F"/>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EC272B"/>
    <w:multiLevelType w:val="hybridMultilevel"/>
    <w:tmpl w:val="72F0D2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ED87830"/>
    <w:multiLevelType w:val="hybridMultilevel"/>
    <w:tmpl w:val="24FC5C9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23"/>
  </w:num>
  <w:num w:numId="2">
    <w:abstractNumId w:val="12"/>
  </w:num>
  <w:num w:numId="3">
    <w:abstractNumId w:val="0"/>
  </w:num>
  <w:num w:numId="4">
    <w:abstractNumId w:val="21"/>
  </w:num>
  <w:num w:numId="5">
    <w:abstractNumId w:val="11"/>
  </w:num>
  <w:num w:numId="6">
    <w:abstractNumId w:val="6"/>
  </w:num>
  <w:num w:numId="7">
    <w:abstractNumId w:val="5"/>
  </w:num>
  <w:num w:numId="8">
    <w:abstractNumId w:val="19"/>
  </w:num>
  <w:num w:numId="9">
    <w:abstractNumId w:val="13"/>
  </w:num>
  <w:num w:numId="10">
    <w:abstractNumId w:val="3"/>
  </w:num>
  <w:num w:numId="11">
    <w:abstractNumId w:val="24"/>
  </w:num>
  <w:num w:numId="12">
    <w:abstractNumId w:val="4"/>
  </w:num>
  <w:num w:numId="13">
    <w:abstractNumId w:val="17"/>
  </w:num>
  <w:num w:numId="14">
    <w:abstractNumId w:val="8"/>
  </w:num>
  <w:num w:numId="15">
    <w:abstractNumId w:val="15"/>
  </w:num>
  <w:num w:numId="16">
    <w:abstractNumId w:val="25"/>
  </w:num>
  <w:num w:numId="17">
    <w:abstractNumId w:val="14"/>
  </w:num>
  <w:num w:numId="18">
    <w:abstractNumId w:val="16"/>
  </w:num>
  <w:num w:numId="19">
    <w:abstractNumId w:val="2"/>
  </w:num>
  <w:num w:numId="20">
    <w:abstractNumId w:val="1"/>
  </w:num>
  <w:num w:numId="21">
    <w:abstractNumId w:val="9"/>
  </w:num>
  <w:num w:numId="22">
    <w:abstractNumId w:val="10"/>
  </w:num>
  <w:num w:numId="23">
    <w:abstractNumId w:val="7"/>
  </w:num>
  <w:num w:numId="24">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num>
  <w:num w:numId="26">
    <w:abstractNumId w:val="23"/>
  </w:num>
  <w:num w:numId="27">
    <w:abstractNumId w:val="23"/>
  </w:num>
  <w:num w:numId="28">
    <w:abstractNumId w:val="23"/>
  </w:num>
  <w:num w:numId="29">
    <w:abstractNumId w:val="20"/>
  </w:num>
  <w:num w:numId="30">
    <w:abstractNumId w:val="23"/>
  </w:num>
  <w:num w:numId="31">
    <w:abstractNumId w:val="23"/>
  </w:num>
  <w:num w:numId="32">
    <w:abstractNumId w:val="23"/>
  </w:num>
  <w:num w:numId="33">
    <w:abstractNumId w:val="2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LMwNzA0NTCxNLQ0MDNQ0lEKTi0uzszPAykwqgUAKh3AyiwAAAA="/>
  </w:docVars>
  <w:rsids>
    <w:rsidRoot w:val="00565EC2"/>
    <w:rsid w:val="00004805"/>
    <w:rsid w:val="00007C7B"/>
    <w:rsid w:val="00015FF3"/>
    <w:rsid w:val="000165D0"/>
    <w:rsid w:val="000173A5"/>
    <w:rsid w:val="000241F6"/>
    <w:rsid w:val="0003293F"/>
    <w:rsid w:val="000452BF"/>
    <w:rsid w:val="000466DE"/>
    <w:rsid w:val="00047738"/>
    <w:rsid w:val="00047C53"/>
    <w:rsid w:val="00056015"/>
    <w:rsid w:val="0005778A"/>
    <w:rsid w:val="00066327"/>
    <w:rsid w:val="00067DC8"/>
    <w:rsid w:val="00072336"/>
    <w:rsid w:val="0007340F"/>
    <w:rsid w:val="00074AD7"/>
    <w:rsid w:val="000803B6"/>
    <w:rsid w:val="0008085B"/>
    <w:rsid w:val="00080CFD"/>
    <w:rsid w:val="00082D9D"/>
    <w:rsid w:val="00082E2C"/>
    <w:rsid w:val="000858CB"/>
    <w:rsid w:val="00086633"/>
    <w:rsid w:val="0008763E"/>
    <w:rsid w:val="00087C31"/>
    <w:rsid w:val="00090940"/>
    <w:rsid w:val="000A1D99"/>
    <w:rsid w:val="000A3EB4"/>
    <w:rsid w:val="000A57D8"/>
    <w:rsid w:val="000A781E"/>
    <w:rsid w:val="000A7FFD"/>
    <w:rsid w:val="000B730E"/>
    <w:rsid w:val="000C12E4"/>
    <w:rsid w:val="000C523A"/>
    <w:rsid w:val="000C5B63"/>
    <w:rsid w:val="000D04AA"/>
    <w:rsid w:val="000D4E8A"/>
    <w:rsid w:val="000D65DB"/>
    <w:rsid w:val="000D7EFA"/>
    <w:rsid w:val="000E315F"/>
    <w:rsid w:val="000E6816"/>
    <w:rsid w:val="000E6A10"/>
    <w:rsid w:val="000F131C"/>
    <w:rsid w:val="000F27B5"/>
    <w:rsid w:val="000F3207"/>
    <w:rsid w:val="000F34D0"/>
    <w:rsid w:val="000F38CF"/>
    <w:rsid w:val="000F470D"/>
    <w:rsid w:val="000F4E9A"/>
    <w:rsid w:val="000F5519"/>
    <w:rsid w:val="000F5B19"/>
    <w:rsid w:val="00101011"/>
    <w:rsid w:val="001011A3"/>
    <w:rsid w:val="00101753"/>
    <w:rsid w:val="00104CFB"/>
    <w:rsid w:val="0010503C"/>
    <w:rsid w:val="00105511"/>
    <w:rsid w:val="00110C10"/>
    <w:rsid w:val="00112CB9"/>
    <w:rsid w:val="00113C79"/>
    <w:rsid w:val="0011434A"/>
    <w:rsid w:val="00114FE4"/>
    <w:rsid w:val="001170F9"/>
    <w:rsid w:val="00124ABC"/>
    <w:rsid w:val="00126206"/>
    <w:rsid w:val="00131ED0"/>
    <w:rsid w:val="0013384A"/>
    <w:rsid w:val="001406A4"/>
    <w:rsid w:val="00142B3D"/>
    <w:rsid w:val="00142E36"/>
    <w:rsid w:val="0014608E"/>
    <w:rsid w:val="00146200"/>
    <w:rsid w:val="00150F3F"/>
    <w:rsid w:val="0015324A"/>
    <w:rsid w:val="00160932"/>
    <w:rsid w:val="00160952"/>
    <w:rsid w:val="0017231B"/>
    <w:rsid w:val="00176F8B"/>
    <w:rsid w:val="00177F7F"/>
    <w:rsid w:val="00182A87"/>
    <w:rsid w:val="00182EA2"/>
    <w:rsid w:val="00192E7A"/>
    <w:rsid w:val="001930CD"/>
    <w:rsid w:val="00195307"/>
    <w:rsid w:val="001A0570"/>
    <w:rsid w:val="001A66F7"/>
    <w:rsid w:val="001B1F2B"/>
    <w:rsid w:val="001B2966"/>
    <w:rsid w:val="001C11EB"/>
    <w:rsid w:val="001D0713"/>
    <w:rsid w:val="001D7675"/>
    <w:rsid w:val="001D7A22"/>
    <w:rsid w:val="001E3E17"/>
    <w:rsid w:val="001E5446"/>
    <w:rsid w:val="001E54D6"/>
    <w:rsid w:val="001F4EE8"/>
    <w:rsid w:val="0020144C"/>
    <w:rsid w:val="002070FC"/>
    <w:rsid w:val="002102C4"/>
    <w:rsid w:val="00212AD9"/>
    <w:rsid w:val="00214678"/>
    <w:rsid w:val="00221829"/>
    <w:rsid w:val="00230BCC"/>
    <w:rsid w:val="00231B69"/>
    <w:rsid w:val="0024189B"/>
    <w:rsid w:val="00243B79"/>
    <w:rsid w:val="0024696C"/>
    <w:rsid w:val="00251425"/>
    <w:rsid w:val="00251ACF"/>
    <w:rsid w:val="00252B7F"/>
    <w:rsid w:val="002556C1"/>
    <w:rsid w:val="00264E52"/>
    <w:rsid w:val="0027664A"/>
    <w:rsid w:val="00283E87"/>
    <w:rsid w:val="002867BA"/>
    <w:rsid w:val="00292344"/>
    <w:rsid w:val="002943AE"/>
    <w:rsid w:val="002959B5"/>
    <w:rsid w:val="00297C4C"/>
    <w:rsid w:val="002A2D47"/>
    <w:rsid w:val="002A5391"/>
    <w:rsid w:val="002A7016"/>
    <w:rsid w:val="002A7F76"/>
    <w:rsid w:val="002B118F"/>
    <w:rsid w:val="002B565A"/>
    <w:rsid w:val="002B65B0"/>
    <w:rsid w:val="002B71EA"/>
    <w:rsid w:val="002C2046"/>
    <w:rsid w:val="002C53C6"/>
    <w:rsid w:val="002C5A14"/>
    <w:rsid w:val="002D18B6"/>
    <w:rsid w:val="002D4AAE"/>
    <w:rsid w:val="002E1D4B"/>
    <w:rsid w:val="002E675B"/>
    <w:rsid w:val="002F022A"/>
    <w:rsid w:val="002F1F2E"/>
    <w:rsid w:val="002F21F3"/>
    <w:rsid w:val="00310750"/>
    <w:rsid w:val="0031252E"/>
    <w:rsid w:val="00322B10"/>
    <w:rsid w:val="00324DC4"/>
    <w:rsid w:val="0033178F"/>
    <w:rsid w:val="00341763"/>
    <w:rsid w:val="00342A54"/>
    <w:rsid w:val="00347389"/>
    <w:rsid w:val="00347C4C"/>
    <w:rsid w:val="00351F2F"/>
    <w:rsid w:val="00357033"/>
    <w:rsid w:val="003613B0"/>
    <w:rsid w:val="00363019"/>
    <w:rsid w:val="003652B7"/>
    <w:rsid w:val="00374376"/>
    <w:rsid w:val="00377915"/>
    <w:rsid w:val="003811C1"/>
    <w:rsid w:val="00390D87"/>
    <w:rsid w:val="00392D8A"/>
    <w:rsid w:val="00393FC3"/>
    <w:rsid w:val="003963B7"/>
    <w:rsid w:val="003A4A5E"/>
    <w:rsid w:val="003A5217"/>
    <w:rsid w:val="003A6444"/>
    <w:rsid w:val="003B1353"/>
    <w:rsid w:val="003B3240"/>
    <w:rsid w:val="003B6367"/>
    <w:rsid w:val="003B66DB"/>
    <w:rsid w:val="003B76EC"/>
    <w:rsid w:val="003C21BF"/>
    <w:rsid w:val="003C2442"/>
    <w:rsid w:val="003C46C0"/>
    <w:rsid w:val="003C5125"/>
    <w:rsid w:val="003C5EB7"/>
    <w:rsid w:val="003D4F7D"/>
    <w:rsid w:val="003E176C"/>
    <w:rsid w:val="003E6ECE"/>
    <w:rsid w:val="003F20C1"/>
    <w:rsid w:val="003F2C43"/>
    <w:rsid w:val="003F3E01"/>
    <w:rsid w:val="003F7966"/>
    <w:rsid w:val="00405F7B"/>
    <w:rsid w:val="00410512"/>
    <w:rsid w:val="004118AA"/>
    <w:rsid w:val="00420770"/>
    <w:rsid w:val="004236D9"/>
    <w:rsid w:val="0042743C"/>
    <w:rsid w:val="00432AD2"/>
    <w:rsid w:val="00440689"/>
    <w:rsid w:val="00443D47"/>
    <w:rsid w:val="0044424F"/>
    <w:rsid w:val="004465BD"/>
    <w:rsid w:val="004471E9"/>
    <w:rsid w:val="00456841"/>
    <w:rsid w:val="0046691F"/>
    <w:rsid w:val="00470EB7"/>
    <w:rsid w:val="00471C14"/>
    <w:rsid w:val="0047204F"/>
    <w:rsid w:val="0047789C"/>
    <w:rsid w:val="00480B18"/>
    <w:rsid w:val="004828F8"/>
    <w:rsid w:val="00485309"/>
    <w:rsid w:val="00495EFB"/>
    <w:rsid w:val="004A0BA3"/>
    <w:rsid w:val="004A5F03"/>
    <w:rsid w:val="004B0000"/>
    <w:rsid w:val="004B2B5D"/>
    <w:rsid w:val="004B40D4"/>
    <w:rsid w:val="004B503E"/>
    <w:rsid w:val="004B7151"/>
    <w:rsid w:val="004B7971"/>
    <w:rsid w:val="004C1289"/>
    <w:rsid w:val="004C3D78"/>
    <w:rsid w:val="004D21BE"/>
    <w:rsid w:val="004E3DF0"/>
    <w:rsid w:val="004E5507"/>
    <w:rsid w:val="004E60B5"/>
    <w:rsid w:val="004E694C"/>
    <w:rsid w:val="004E69AD"/>
    <w:rsid w:val="004E726B"/>
    <w:rsid w:val="004F17B0"/>
    <w:rsid w:val="00500540"/>
    <w:rsid w:val="005041F3"/>
    <w:rsid w:val="00510A10"/>
    <w:rsid w:val="00514D5C"/>
    <w:rsid w:val="00520AE2"/>
    <w:rsid w:val="00522ECC"/>
    <w:rsid w:val="00526EE1"/>
    <w:rsid w:val="0052736D"/>
    <w:rsid w:val="00530B3B"/>
    <w:rsid w:val="005425BC"/>
    <w:rsid w:val="00547421"/>
    <w:rsid w:val="00550A1E"/>
    <w:rsid w:val="00551316"/>
    <w:rsid w:val="00554B51"/>
    <w:rsid w:val="00561F9E"/>
    <w:rsid w:val="00563FD4"/>
    <w:rsid w:val="00565EC2"/>
    <w:rsid w:val="00573259"/>
    <w:rsid w:val="005777C4"/>
    <w:rsid w:val="00586BE7"/>
    <w:rsid w:val="005924BE"/>
    <w:rsid w:val="00592902"/>
    <w:rsid w:val="005A03E8"/>
    <w:rsid w:val="005A049C"/>
    <w:rsid w:val="005A2DFB"/>
    <w:rsid w:val="005A44CC"/>
    <w:rsid w:val="005A4B7A"/>
    <w:rsid w:val="005B2AE9"/>
    <w:rsid w:val="005B4F5B"/>
    <w:rsid w:val="005C1634"/>
    <w:rsid w:val="005C5A83"/>
    <w:rsid w:val="005C6F21"/>
    <w:rsid w:val="005E05CE"/>
    <w:rsid w:val="005E4007"/>
    <w:rsid w:val="005E449E"/>
    <w:rsid w:val="005F0932"/>
    <w:rsid w:val="00601FEC"/>
    <w:rsid w:val="00603218"/>
    <w:rsid w:val="006046E3"/>
    <w:rsid w:val="0060662E"/>
    <w:rsid w:val="00612B4E"/>
    <w:rsid w:val="0062067A"/>
    <w:rsid w:val="0062263F"/>
    <w:rsid w:val="006228AF"/>
    <w:rsid w:val="00625BD3"/>
    <w:rsid w:val="006263EA"/>
    <w:rsid w:val="00630FD7"/>
    <w:rsid w:val="00632E78"/>
    <w:rsid w:val="00635F66"/>
    <w:rsid w:val="00642373"/>
    <w:rsid w:val="006430D2"/>
    <w:rsid w:val="00644FC1"/>
    <w:rsid w:val="00650D10"/>
    <w:rsid w:val="00651119"/>
    <w:rsid w:val="0065529A"/>
    <w:rsid w:val="00662BA4"/>
    <w:rsid w:val="00663655"/>
    <w:rsid w:val="00667BB7"/>
    <w:rsid w:val="006745A9"/>
    <w:rsid w:val="00674AEB"/>
    <w:rsid w:val="006817D5"/>
    <w:rsid w:val="006912F6"/>
    <w:rsid w:val="00693B24"/>
    <w:rsid w:val="0069428E"/>
    <w:rsid w:val="00694CDB"/>
    <w:rsid w:val="00696FB7"/>
    <w:rsid w:val="006A50B1"/>
    <w:rsid w:val="006B4DC9"/>
    <w:rsid w:val="006B7F35"/>
    <w:rsid w:val="006C196D"/>
    <w:rsid w:val="006C28D2"/>
    <w:rsid w:val="006C477E"/>
    <w:rsid w:val="006C59ED"/>
    <w:rsid w:val="006C6D8B"/>
    <w:rsid w:val="006D1351"/>
    <w:rsid w:val="006D140E"/>
    <w:rsid w:val="006D187D"/>
    <w:rsid w:val="006D3878"/>
    <w:rsid w:val="006D3B30"/>
    <w:rsid w:val="006D6CF4"/>
    <w:rsid w:val="006E04FD"/>
    <w:rsid w:val="006E220D"/>
    <w:rsid w:val="006E3319"/>
    <w:rsid w:val="006F666D"/>
    <w:rsid w:val="006F7502"/>
    <w:rsid w:val="007023E6"/>
    <w:rsid w:val="007107FB"/>
    <w:rsid w:val="007140D2"/>
    <w:rsid w:val="00716F13"/>
    <w:rsid w:val="007177B0"/>
    <w:rsid w:val="00717B19"/>
    <w:rsid w:val="00730748"/>
    <w:rsid w:val="00731C10"/>
    <w:rsid w:val="0073580D"/>
    <w:rsid w:val="0074388B"/>
    <w:rsid w:val="00745007"/>
    <w:rsid w:val="00752D53"/>
    <w:rsid w:val="0075452A"/>
    <w:rsid w:val="007617B4"/>
    <w:rsid w:val="00762A76"/>
    <w:rsid w:val="007663AB"/>
    <w:rsid w:val="00771A42"/>
    <w:rsid w:val="00775745"/>
    <w:rsid w:val="00780025"/>
    <w:rsid w:val="00781A32"/>
    <w:rsid w:val="007824EF"/>
    <w:rsid w:val="0078736D"/>
    <w:rsid w:val="00791559"/>
    <w:rsid w:val="007937D7"/>
    <w:rsid w:val="00793825"/>
    <w:rsid w:val="0079777F"/>
    <w:rsid w:val="007A1351"/>
    <w:rsid w:val="007A5954"/>
    <w:rsid w:val="007A6D77"/>
    <w:rsid w:val="007C130C"/>
    <w:rsid w:val="007C3A1A"/>
    <w:rsid w:val="007D32E6"/>
    <w:rsid w:val="007E1514"/>
    <w:rsid w:val="007E179A"/>
    <w:rsid w:val="007E1C2D"/>
    <w:rsid w:val="007E7757"/>
    <w:rsid w:val="007E7ECA"/>
    <w:rsid w:val="007F0D3E"/>
    <w:rsid w:val="007F7F57"/>
    <w:rsid w:val="00806AEC"/>
    <w:rsid w:val="00807303"/>
    <w:rsid w:val="00821976"/>
    <w:rsid w:val="00833AC6"/>
    <w:rsid w:val="00834DBF"/>
    <w:rsid w:val="00837952"/>
    <w:rsid w:val="00840A9F"/>
    <w:rsid w:val="00842A9B"/>
    <w:rsid w:val="0084416F"/>
    <w:rsid w:val="008441EF"/>
    <w:rsid w:val="0084543F"/>
    <w:rsid w:val="00854D0F"/>
    <w:rsid w:val="00861A60"/>
    <w:rsid w:val="00870879"/>
    <w:rsid w:val="00874CD4"/>
    <w:rsid w:val="00881F30"/>
    <w:rsid w:val="00884146"/>
    <w:rsid w:val="00886DBE"/>
    <w:rsid w:val="008911DB"/>
    <w:rsid w:val="00893778"/>
    <w:rsid w:val="008949FE"/>
    <w:rsid w:val="008A0D10"/>
    <w:rsid w:val="008A7811"/>
    <w:rsid w:val="008B5030"/>
    <w:rsid w:val="008B58D3"/>
    <w:rsid w:val="008B5FCC"/>
    <w:rsid w:val="008B670A"/>
    <w:rsid w:val="008C106D"/>
    <w:rsid w:val="008C3542"/>
    <w:rsid w:val="008C47C5"/>
    <w:rsid w:val="008D0A50"/>
    <w:rsid w:val="008D18A0"/>
    <w:rsid w:val="008D49DC"/>
    <w:rsid w:val="008D658A"/>
    <w:rsid w:val="008D6937"/>
    <w:rsid w:val="008D6CC0"/>
    <w:rsid w:val="008E2B80"/>
    <w:rsid w:val="008E447D"/>
    <w:rsid w:val="008F3D1D"/>
    <w:rsid w:val="0090388F"/>
    <w:rsid w:val="00905267"/>
    <w:rsid w:val="00906719"/>
    <w:rsid w:val="00906943"/>
    <w:rsid w:val="00906BD5"/>
    <w:rsid w:val="00917728"/>
    <w:rsid w:val="00921074"/>
    <w:rsid w:val="00930FD6"/>
    <w:rsid w:val="00933745"/>
    <w:rsid w:val="00933BB6"/>
    <w:rsid w:val="00933CE5"/>
    <w:rsid w:val="00940C38"/>
    <w:rsid w:val="009414CD"/>
    <w:rsid w:val="0094578A"/>
    <w:rsid w:val="00954E73"/>
    <w:rsid w:val="00962126"/>
    <w:rsid w:val="00967C84"/>
    <w:rsid w:val="0097319A"/>
    <w:rsid w:val="009733E2"/>
    <w:rsid w:val="009844C1"/>
    <w:rsid w:val="009A234B"/>
    <w:rsid w:val="009A3986"/>
    <w:rsid w:val="009A4286"/>
    <w:rsid w:val="009A69F0"/>
    <w:rsid w:val="009B1DE6"/>
    <w:rsid w:val="009B2A21"/>
    <w:rsid w:val="009B31E0"/>
    <w:rsid w:val="009B3E51"/>
    <w:rsid w:val="009B598B"/>
    <w:rsid w:val="009D1175"/>
    <w:rsid w:val="009D5891"/>
    <w:rsid w:val="009E4B2F"/>
    <w:rsid w:val="00A024D7"/>
    <w:rsid w:val="00A029B9"/>
    <w:rsid w:val="00A05E3A"/>
    <w:rsid w:val="00A12F84"/>
    <w:rsid w:val="00A139A2"/>
    <w:rsid w:val="00A16A82"/>
    <w:rsid w:val="00A16AB5"/>
    <w:rsid w:val="00A22899"/>
    <w:rsid w:val="00A228C3"/>
    <w:rsid w:val="00A23307"/>
    <w:rsid w:val="00A240FE"/>
    <w:rsid w:val="00A25A7D"/>
    <w:rsid w:val="00A26378"/>
    <w:rsid w:val="00A31326"/>
    <w:rsid w:val="00A40B6A"/>
    <w:rsid w:val="00A46442"/>
    <w:rsid w:val="00A56962"/>
    <w:rsid w:val="00A57BE4"/>
    <w:rsid w:val="00A600BC"/>
    <w:rsid w:val="00A604AC"/>
    <w:rsid w:val="00A64836"/>
    <w:rsid w:val="00A66F5F"/>
    <w:rsid w:val="00A72461"/>
    <w:rsid w:val="00A74174"/>
    <w:rsid w:val="00A75D12"/>
    <w:rsid w:val="00A7711D"/>
    <w:rsid w:val="00A86245"/>
    <w:rsid w:val="00A93C8D"/>
    <w:rsid w:val="00A941E8"/>
    <w:rsid w:val="00A976DF"/>
    <w:rsid w:val="00AA66FB"/>
    <w:rsid w:val="00AB3A2F"/>
    <w:rsid w:val="00AB7900"/>
    <w:rsid w:val="00AC41C2"/>
    <w:rsid w:val="00AD7FDC"/>
    <w:rsid w:val="00AE2ACE"/>
    <w:rsid w:val="00AE2FAC"/>
    <w:rsid w:val="00AE35A6"/>
    <w:rsid w:val="00AF3396"/>
    <w:rsid w:val="00B061B1"/>
    <w:rsid w:val="00B11C87"/>
    <w:rsid w:val="00B16942"/>
    <w:rsid w:val="00B27AA7"/>
    <w:rsid w:val="00B32155"/>
    <w:rsid w:val="00B41DED"/>
    <w:rsid w:val="00B45542"/>
    <w:rsid w:val="00B50FD5"/>
    <w:rsid w:val="00B51312"/>
    <w:rsid w:val="00B5252B"/>
    <w:rsid w:val="00B56CD1"/>
    <w:rsid w:val="00B5788C"/>
    <w:rsid w:val="00B62173"/>
    <w:rsid w:val="00B651FB"/>
    <w:rsid w:val="00B67728"/>
    <w:rsid w:val="00B70AF1"/>
    <w:rsid w:val="00B71CE8"/>
    <w:rsid w:val="00B753D5"/>
    <w:rsid w:val="00B75FEA"/>
    <w:rsid w:val="00B81482"/>
    <w:rsid w:val="00B82B09"/>
    <w:rsid w:val="00B910C8"/>
    <w:rsid w:val="00BA5BCE"/>
    <w:rsid w:val="00BA6251"/>
    <w:rsid w:val="00BB092E"/>
    <w:rsid w:val="00BB2CA8"/>
    <w:rsid w:val="00BB3F71"/>
    <w:rsid w:val="00BB6B45"/>
    <w:rsid w:val="00BB769F"/>
    <w:rsid w:val="00BC1203"/>
    <w:rsid w:val="00BC648C"/>
    <w:rsid w:val="00BD1F00"/>
    <w:rsid w:val="00BE1B3B"/>
    <w:rsid w:val="00BE66C8"/>
    <w:rsid w:val="00BF0846"/>
    <w:rsid w:val="00C00322"/>
    <w:rsid w:val="00C034A4"/>
    <w:rsid w:val="00C037E6"/>
    <w:rsid w:val="00C03E52"/>
    <w:rsid w:val="00C2424B"/>
    <w:rsid w:val="00C25BF6"/>
    <w:rsid w:val="00C378B3"/>
    <w:rsid w:val="00C42E03"/>
    <w:rsid w:val="00C43F57"/>
    <w:rsid w:val="00C5191A"/>
    <w:rsid w:val="00C524D2"/>
    <w:rsid w:val="00C54E70"/>
    <w:rsid w:val="00C601F2"/>
    <w:rsid w:val="00C661C5"/>
    <w:rsid w:val="00C74101"/>
    <w:rsid w:val="00C74D0D"/>
    <w:rsid w:val="00C756E1"/>
    <w:rsid w:val="00C82C26"/>
    <w:rsid w:val="00C8473E"/>
    <w:rsid w:val="00C9450D"/>
    <w:rsid w:val="00CA270F"/>
    <w:rsid w:val="00CB0A37"/>
    <w:rsid w:val="00CB29FA"/>
    <w:rsid w:val="00CB7235"/>
    <w:rsid w:val="00CC0DC2"/>
    <w:rsid w:val="00CC2C67"/>
    <w:rsid w:val="00CC4A74"/>
    <w:rsid w:val="00CC51B3"/>
    <w:rsid w:val="00CC531A"/>
    <w:rsid w:val="00CC5B79"/>
    <w:rsid w:val="00CF1A44"/>
    <w:rsid w:val="00D00BC4"/>
    <w:rsid w:val="00D05606"/>
    <w:rsid w:val="00D10062"/>
    <w:rsid w:val="00D10CC0"/>
    <w:rsid w:val="00D12F3D"/>
    <w:rsid w:val="00D15858"/>
    <w:rsid w:val="00D22774"/>
    <w:rsid w:val="00D22C6F"/>
    <w:rsid w:val="00D26010"/>
    <w:rsid w:val="00D26BE4"/>
    <w:rsid w:val="00D40DD8"/>
    <w:rsid w:val="00D45E40"/>
    <w:rsid w:val="00D46905"/>
    <w:rsid w:val="00D6111F"/>
    <w:rsid w:val="00D61502"/>
    <w:rsid w:val="00D6484A"/>
    <w:rsid w:val="00D67254"/>
    <w:rsid w:val="00D67DC5"/>
    <w:rsid w:val="00D701C5"/>
    <w:rsid w:val="00D75D68"/>
    <w:rsid w:val="00D77324"/>
    <w:rsid w:val="00D938F4"/>
    <w:rsid w:val="00D973C7"/>
    <w:rsid w:val="00D97544"/>
    <w:rsid w:val="00DA156A"/>
    <w:rsid w:val="00DA6F58"/>
    <w:rsid w:val="00DA700F"/>
    <w:rsid w:val="00DB0591"/>
    <w:rsid w:val="00DC3521"/>
    <w:rsid w:val="00DC46A4"/>
    <w:rsid w:val="00DC587C"/>
    <w:rsid w:val="00DC7730"/>
    <w:rsid w:val="00DE0A4A"/>
    <w:rsid w:val="00DE26F7"/>
    <w:rsid w:val="00DE6101"/>
    <w:rsid w:val="00E007F6"/>
    <w:rsid w:val="00E02DC0"/>
    <w:rsid w:val="00E040B8"/>
    <w:rsid w:val="00E112F9"/>
    <w:rsid w:val="00E12CF0"/>
    <w:rsid w:val="00E20505"/>
    <w:rsid w:val="00E20CFF"/>
    <w:rsid w:val="00E2173D"/>
    <w:rsid w:val="00E21B5B"/>
    <w:rsid w:val="00E225AC"/>
    <w:rsid w:val="00E30554"/>
    <w:rsid w:val="00E31A10"/>
    <w:rsid w:val="00E32148"/>
    <w:rsid w:val="00E36B82"/>
    <w:rsid w:val="00E374F0"/>
    <w:rsid w:val="00E40C33"/>
    <w:rsid w:val="00E4245E"/>
    <w:rsid w:val="00E42510"/>
    <w:rsid w:val="00E442B6"/>
    <w:rsid w:val="00E47D8D"/>
    <w:rsid w:val="00E54395"/>
    <w:rsid w:val="00E60532"/>
    <w:rsid w:val="00E66B1C"/>
    <w:rsid w:val="00E74040"/>
    <w:rsid w:val="00E83078"/>
    <w:rsid w:val="00E86824"/>
    <w:rsid w:val="00EA37E2"/>
    <w:rsid w:val="00EA39A0"/>
    <w:rsid w:val="00EA40DF"/>
    <w:rsid w:val="00EB1F52"/>
    <w:rsid w:val="00EB54B4"/>
    <w:rsid w:val="00EB6574"/>
    <w:rsid w:val="00EC4169"/>
    <w:rsid w:val="00EC698A"/>
    <w:rsid w:val="00ED2B48"/>
    <w:rsid w:val="00EE62BA"/>
    <w:rsid w:val="00EF0710"/>
    <w:rsid w:val="00EF6B74"/>
    <w:rsid w:val="00F0216E"/>
    <w:rsid w:val="00F0295C"/>
    <w:rsid w:val="00F07C3E"/>
    <w:rsid w:val="00F07C3F"/>
    <w:rsid w:val="00F120F7"/>
    <w:rsid w:val="00F34117"/>
    <w:rsid w:val="00F36C02"/>
    <w:rsid w:val="00F36EDD"/>
    <w:rsid w:val="00F40DA1"/>
    <w:rsid w:val="00F41C06"/>
    <w:rsid w:val="00F43232"/>
    <w:rsid w:val="00F46E6C"/>
    <w:rsid w:val="00F502E6"/>
    <w:rsid w:val="00F64B01"/>
    <w:rsid w:val="00F66A3A"/>
    <w:rsid w:val="00F66E98"/>
    <w:rsid w:val="00F71735"/>
    <w:rsid w:val="00F7480D"/>
    <w:rsid w:val="00F748DF"/>
    <w:rsid w:val="00F76E89"/>
    <w:rsid w:val="00F8273D"/>
    <w:rsid w:val="00F834F7"/>
    <w:rsid w:val="00F85022"/>
    <w:rsid w:val="00F909C6"/>
    <w:rsid w:val="00F95B61"/>
    <w:rsid w:val="00F962C3"/>
    <w:rsid w:val="00FA0EBD"/>
    <w:rsid w:val="00FA4692"/>
    <w:rsid w:val="00FB39A0"/>
    <w:rsid w:val="00FB4964"/>
    <w:rsid w:val="00FB5136"/>
    <w:rsid w:val="00FB5C78"/>
    <w:rsid w:val="00FB7A9F"/>
    <w:rsid w:val="00FC1524"/>
    <w:rsid w:val="00FC5A4A"/>
    <w:rsid w:val="00FD0A77"/>
    <w:rsid w:val="00FD1F3E"/>
    <w:rsid w:val="00FD728E"/>
    <w:rsid w:val="00FD7374"/>
    <w:rsid w:val="00FE044B"/>
    <w:rsid w:val="00FE19B9"/>
    <w:rsid w:val="00FE1A6F"/>
    <w:rsid w:val="00FE3B70"/>
    <w:rsid w:val="00FE54E9"/>
    <w:rsid w:val="00F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106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692"/>
    <w:pPr>
      <w:spacing w:after="0" w:line="240" w:lineRule="auto"/>
      <w:jc w:val="both"/>
    </w:pPr>
    <w:rPr>
      <w:rFonts w:ascii="Calibri" w:eastAsia="Times New Roman" w:hAnsi="Calibri" w:cs="Arial"/>
      <w:sz w:val="24"/>
      <w:szCs w:val="24"/>
      <w:lang w:val="en-AU" w:eastAsia="en-AU"/>
    </w:rPr>
  </w:style>
  <w:style w:type="paragraph" w:styleId="Heading1">
    <w:name w:val="heading 1"/>
    <w:basedOn w:val="Normal"/>
    <w:next w:val="Normal"/>
    <w:link w:val="Heading1Char"/>
    <w:uiPriority w:val="1"/>
    <w:rsid w:val="00FA4692"/>
    <w:pPr>
      <w:ind w:left="720" w:hanging="720"/>
      <w:outlineLvl w:val="0"/>
    </w:pPr>
    <w:rPr>
      <w:b/>
      <w:caps/>
      <w:sz w:val="32"/>
    </w:rPr>
  </w:style>
  <w:style w:type="paragraph" w:styleId="Heading2">
    <w:name w:val="heading 2"/>
    <w:basedOn w:val="Normal"/>
    <w:next w:val="Normal"/>
    <w:link w:val="Heading2Char"/>
    <w:rsid w:val="00FA4692"/>
    <w:pPr>
      <w:outlineLvl w:val="1"/>
    </w:pPr>
    <w:rPr>
      <w:b/>
      <w:i/>
      <w:sz w:val="28"/>
    </w:rPr>
  </w:style>
  <w:style w:type="paragraph" w:styleId="Heading3">
    <w:name w:val="heading 3"/>
    <w:basedOn w:val="Normal"/>
    <w:next w:val="Normal"/>
    <w:link w:val="Heading3Char"/>
    <w:rsid w:val="00FA4692"/>
    <w:pPr>
      <w:outlineLvl w:val="2"/>
    </w:pPr>
    <w:rPr>
      <w:u w:val="single"/>
    </w:rPr>
  </w:style>
  <w:style w:type="paragraph" w:styleId="Heading4">
    <w:name w:val="heading 4"/>
    <w:basedOn w:val="Normal"/>
    <w:next w:val="Normal"/>
    <w:link w:val="Heading4Char"/>
    <w:rsid w:val="00FA4692"/>
    <w:pPr>
      <w:keepNext/>
      <w:spacing w:before="240" w:after="60"/>
      <w:outlineLvl w:val="3"/>
    </w:pPr>
    <w:rPr>
      <w:b/>
      <w:bCs/>
      <w:i/>
      <w:sz w:val="26"/>
      <w:szCs w:val="28"/>
    </w:rPr>
  </w:style>
  <w:style w:type="paragraph" w:styleId="Heading5">
    <w:name w:val="heading 5"/>
    <w:basedOn w:val="Normal"/>
    <w:next w:val="Normal"/>
    <w:link w:val="Heading5Char"/>
    <w:rsid w:val="00FA4692"/>
    <w:pPr>
      <w:spacing w:before="240" w:after="60"/>
      <w:outlineLvl w:val="4"/>
    </w:pPr>
    <w:rPr>
      <w:b/>
      <w:bCs/>
      <w:iCs/>
      <w:sz w:val="26"/>
      <w:szCs w:val="26"/>
    </w:rPr>
  </w:style>
  <w:style w:type="paragraph" w:styleId="Heading6">
    <w:name w:val="heading 6"/>
    <w:basedOn w:val="Normal"/>
    <w:next w:val="Normal"/>
    <w:link w:val="Heading6Char"/>
    <w:rsid w:val="00FA4692"/>
    <w:pPr>
      <w:spacing w:before="240" w:after="60"/>
      <w:outlineLvl w:val="5"/>
    </w:pPr>
    <w:rPr>
      <w:b/>
      <w:bCs/>
      <w:i/>
    </w:rPr>
  </w:style>
  <w:style w:type="paragraph" w:styleId="Heading7">
    <w:name w:val="heading 7"/>
    <w:basedOn w:val="Normal"/>
    <w:next w:val="Normal"/>
    <w:link w:val="Heading7Char"/>
    <w:rsid w:val="00FA4692"/>
    <w:pPr>
      <w:keepNext/>
      <w:jc w:val="center"/>
      <w:outlineLvl w:val="6"/>
    </w:pPr>
    <w:rPr>
      <w:b/>
      <w:sz w:val="20"/>
    </w:rPr>
  </w:style>
  <w:style w:type="paragraph" w:styleId="Heading8">
    <w:name w:val="heading 8"/>
    <w:basedOn w:val="Normal"/>
    <w:next w:val="Normal"/>
    <w:link w:val="Heading8Char"/>
    <w:uiPriority w:val="7"/>
    <w:rsid w:val="00FA4692"/>
    <w:pPr>
      <w:keepNext/>
      <w:jc w:val="right"/>
      <w:outlineLvl w:val="7"/>
    </w:pPr>
    <w:rPr>
      <w:b/>
    </w:rPr>
  </w:style>
  <w:style w:type="paragraph" w:styleId="Heading9">
    <w:name w:val="heading 9"/>
    <w:basedOn w:val="Normal"/>
    <w:next w:val="Normal"/>
    <w:link w:val="Heading9Char"/>
    <w:rsid w:val="00FA4692"/>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4692"/>
    <w:rPr>
      <w:rFonts w:ascii="Calibri" w:eastAsia="Times New Roman" w:hAnsi="Calibri" w:cs="Arial"/>
      <w:b/>
      <w:caps/>
      <w:sz w:val="32"/>
      <w:szCs w:val="24"/>
      <w:lang w:val="en-AU" w:eastAsia="en-AU"/>
    </w:rPr>
  </w:style>
  <w:style w:type="character" w:customStyle="1" w:styleId="Heading2Char">
    <w:name w:val="Heading 2 Char"/>
    <w:basedOn w:val="DefaultParagraphFont"/>
    <w:link w:val="Heading2"/>
    <w:rsid w:val="00FA4692"/>
    <w:rPr>
      <w:rFonts w:ascii="Calibri" w:eastAsia="Times New Roman" w:hAnsi="Calibri" w:cs="Arial"/>
      <w:b/>
      <w:i/>
      <w:sz w:val="28"/>
      <w:szCs w:val="24"/>
      <w:lang w:val="en-AU" w:eastAsia="en-AU"/>
    </w:rPr>
  </w:style>
  <w:style w:type="character" w:customStyle="1" w:styleId="Heading3Char">
    <w:name w:val="Heading 3 Char"/>
    <w:basedOn w:val="DefaultParagraphFont"/>
    <w:link w:val="Heading3"/>
    <w:rsid w:val="00FA4692"/>
    <w:rPr>
      <w:rFonts w:ascii="Calibri" w:eastAsia="Times New Roman" w:hAnsi="Calibri" w:cs="Arial"/>
      <w:sz w:val="24"/>
      <w:szCs w:val="24"/>
      <w:u w:val="single"/>
      <w:lang w:val="en-AU" w:eastAsia="en-AU"/>
    </w:rPr>
  </w:style>
  <w:style w:type="character" w:customStyle="1" w:styleId="Heading4Char">
    <w:name w:val="Heading 4 Char"/>
    <w:basedOn w:val="DefaultParagraphFont"/>
    <w:link w:val="Heading4"/>
    <w:rsid w:val="00FA4692"/>
    <w:rPr>
      <w:rFonts w:ascii="Calibri" w:eastAsia="Times New Roman" w:hAnsi="Calibri" w:cs="Arial"/>
      <w:b/>
      <w:bCs/>
      <w:i/>
      <w:sz w:val="26"/>
      <w:szCs w:val="28"/>
      <w:lang w:val="en-AU" w:eastAsia="en-AU"/>
    </w:rPr>
  </w:style>
  <w:style w:type="character" w:customStyle="1" w:styleId="Heading5Char">
    <w:name w:val="Heading 5 Char"/>
    <w:basedOn w:val="DefaultParagraphFont"/>
    <w:link w:val="Heading5"/>
    <w:rsid w:val="00FA4692"/>
    <w:rPr>
      <w:rFonts w:ascii="Calibri" w:eastAsia="Times New Roman" w:hAnsi="Calibri" w:cs="Arial"/>
      <w:b/>
      <w:bCs/>
      <w:iCs/>
      <w:sz w:val="26"/>
      <w:szCs w:val="26"/>
      <w:lang w:val="en-AU" w:eastAsia="en-AU"/>
    </w:rPr>
  </w:style>
  <w:style w:type="character" w:customStyle="1" w:styleId="Heading6Char">
    <w:name w:val="Heading 6 Char"/>
    <w:basedOn w:val="DefaultParagraphFont"/>
    <w:link w:val="Heading6"/>
    <w:rsid w:val="00FA4692"/>
    <w:rPr>
      <w:rFonts w:ascii="Calibri" w:eastAsia="Times New Roman" w:hAnsi="Calibri" w:cs="Arial"/>
      <w:b/>
      <w:bCs/>
      <w:i/>
      <w:sz w:val="24"/>
      <w:szCs w:val="24"/>
      <w:lang w:val="en-AU" w:eastAsia="en-AU"/>
    </w:rPr>
  </w:style>
  <w:style w:type="character" w:customStyle="1" w:styleId="Heading7Char">
    <w:name w:val="Heading 7 Char"/>
    <w:basedOn w:val="DefaultParagraphFont"/>
    <w:link w:val="Heading7"/>
    <w:rsid w:val="00FA4692"/>
    <w:rPr>
      <w:rFonts w:ascii="Calibri" w:eastAsia="Times New Roman" w:hAnsi="Calibri" w:cs="Arial"/>
      <w:b/>
      <w:sz w:val="20"/>
      <w:szCs w:val="24"/>
      <w:lang w:val="en-AU" w:eastAsia="en-AU"/>
    </w:rPr>
  </w:style>
  <w:style w:type="character" w:customStyle="1" w:styleId="Heading8Char">
    <w:name w:val="Heading 8 Char"/>
    <w:basedOn w:val="DefaultParagraphFont"/>
    <w:link w:val="Heading8"/>
    <w:uiPriority w:val="7"/>
    <w:rsid w:val="00FA4692"/>
    <w:rPr>
      <w:rFonts w:ascii="Calibri" w:eastAsia="Times New Roman" w:hAnsi="Calibri" w:cs="Arial"/>
      <w:b/>
      <w:sz w:val="24"/>
      <w:szCs w:val="24"/>
      <w:lang w:val="en-AU" w:eastAsia="en-AU"/>
    </w:rPr>
  </w:style>
  <w:style w:type="character" w:customStyle="1" w:styleId="Heading9Char">
    <w:name w:val="Heading 9 Char"/>
    <w:basedOn w:val="DefaultParagraphFont"/>
    <w:link w:val="Heading9"/>
    <w:rsid w:val="00FA4692"/>
    <w:rPr>
      <w:rFonts w:ascii="Calibri" w:eastAsia="Times New Roman" w:hAnsi="Calibri" w:cs="Arial"/>
      <w:b/>
      <w:color w:val="000000"/>
      <w:sz w:val="20"/>
      <w:szCs w:val="24"/>
      <w:lang w:val="en-AU" w:eastAsia="en-AU"/>
    </w:rPr>
  </w:style>
  <w:style w:type="paragraph" w:customStyle="1" w:styleId="TableFooter">
    <w:name w:val="Table Footer"/>
    <w:basedOn w:val="Normal"/>
    <w:link w:val="TableFooterChar"/>
    <w:rsid w:val="00FA4692"/>
    <w:rPr>
      <w:rFonts w:ascii="Arial Narrow" w:hAnsi="Arial Narrow"/>
      <w:sz w:val="18"/>
    </w:rPr>
  </w:style>
  <w:style w:type="character" w:customStyle="1" w:styleId="TableFooterChar">
    <w:name w:val="Table Footer Char"/>
    <w:link w:val="TableFooter"/>
    <w:rsid w:val="00FA4692"/>
    <w:rPr>
      <w:rFonts w:ascii="Arial Narrow" w:eastAsia="Times New Roman" w:hAnsi="Arial Narrow" w:cs="Arial"/>
      <w:sz w:val="18"/>
      <w:szCs w:val="24"/>
      <w:lang w:val="en-AU" w:eastAsia="en-AU"/>
    </w:rPr>
  </w:style>
  <w:style w:type="paragraph" w:customStyle="1" w:styleId="TableHeader">
    <w:name w:val="Table Header"/>
    <w:basedOn w:val="Normal"/>
    <w:uiPriority w:val="3"/>
    <w:rsid w:val="00FA4692"/>
    <w:rPr>
      <w:b/>
      <w:sz w:val="20"/>
    </w:rPr>
  </w:style>
  <w:style w:type="paragraph" w:styleId="Caption">
    <w:name w:val="caption"/>
    <w:aliases w:val="Table Heading 1,Bayer Caption,IB Caption,Medical Caption,Bayer Caption1,IB Caption1,Medical Caption1,Bayer Caption2,IB Caption2,Medical Caption2,Bayer Caption3,IB Caption3,Medical Caption3,Bayer Caption4,IB Caption4,Medical Caption4"/>
    <w:basedOn w:val="Normal"/>
    <w:next w:val="Normal"/>
    <w:link w:val="CaptionChar"/>
    <w:unhideWhenUsed/>
    <w:qFormat/>
    <w:rsid w:val="00FA4692"/>
    <w:pPr>
      <w:spacing w:after="200"/>
    </w:pPr>
    <w:rPr>
      <w:b/>
      <w:bCs/>
      <w:color w:val="5B9BD5" w:themeColor="accent1"/>
      <w:sz w:val="18"/>
      <w:szCs w:val="18"/>
    </w:rPr>
  </w:style>
  <w:style w:type="character" w:customStyle="1" w:styleId="CaptionChar">
    <w:name w:val="Caption Char"/>
    <w:aliases w:val="Table Heading 1 Char,Bayer Caption Char,IB Caption Char,Medical Caption Char,Bayer Caption1 Char,IB Caption1 Char,Medical Caption1 Char,Bayer Caption2 Char,IB Caption2 Char,Medical Caption2 Char,Bayer Caption3 Char,IB Caption3 Char"/>
    <w:link w:val="Caption"/>
    <w:rsid w:val="00FA4692"/>
    <w:rPr>
      <w:rFonts w:ascii="Calibri" w:eastAsia="Times New Roman" w:hAnsi="Calibri" w:cs="Arial"/>
      <w:b/>
      <w:bCs/>
      <w:color w:val="5B9BD5" w:themeColor="accent1"/>
      <w:sz w:val="18"/>
      <w:szCs w:val="18"/>
      <w:lang w:val="en-AU" w:eastAsia="en-AU"/>
    </w:rPr>
  </w:style>
  <w:style w:type="paragraph" w:styleId="Title">
    <w:name w:val="Title"/>
    <w:basedOn w:val="Normal"/>
    <w:next w:val="Normal"/>
    <w:link w:val="TitleChar"/>
    <w:rsid w:val="00FA4692"/>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FA4692"/>
    <w:rPr>
      <w:rFonts w:ascii="Cambria" w:eastAsia="Times New Roman" w:hAnsi="Cambria" w:cs="Arial"/>
      <w:b/>
      <w:bCs/>
      <w:kern w:val="28"/>
      <w:sz w:val="32"/>
      <w:szCs w:val="32"/>
      <w:lang w:val="en-AU" w:eastAsia="en-AU"/>
    </w:rPr>
  </w:style>
  <w:style w:type="paragraph" w:styleId="BodyText">
    <w:name w:val="Body Text"/>
    <w:basedOn w:val="Normal"/>
    <w:link w:val="BodyTextChar"/>
    <w:rsid w:val="00FA4692"/>
    <w:pPr>
      <w:jc w:val="left"/>
    </w:pPr>
  </w:style>
  <w:style w:type="character" w:customStyle="1" w:styleId="BodyTextChar">
    <w:name w:val="Body Text Char"/>
    <w:basedOn w:val="DefaultParagraphFont"/>
    <w:link w:val="BodyText"/>
    <w:rsid w:val="00FA4692"/>
    <w:rPr>
      <w:rFonts w:ascii="Calibri" w:eastAsia="Times New Roman" w:hAnsi="Calibri" w:cs="Arial"/>
      <w:sz w:val="24"/>
      <w:szCs w:val="24"/>
      <w:lang w:val="en-AU" w:eastAsia="en-AU"/>
    </w:rPr>
  </w:style>
  <w:style w:type="paragraph" w:styleId="ListParagraph">
    <w:name w:val="List Paragraph"/>
    <w:aliases w:val="Body Text Bullet Points,Numbered para,BulletPoints,List Paragraph1,Bullet point,List Paragraph11,Recommendation,Section heading,Footnote,Styl moj,Akapit z listą1,Akapit z listą11,Bullet List,Bullets Points,Bullet1,ES Paragraph,L,Bullet 1"/>
    <w:next w:val="ListBullet"/>
    <w:link w:val="ListParagraphChar"/>
    <w:uiPriority w:val="34"/>
    <w:qFormat/>
    <w:rsid w:val="00FA4692"/>
    <w:pPr>
      <w:spacing w:after="120" w:line="240" w:lineRule="auto"/>
      <w:jc w:val="both"/>
    </w:pPr>
    <w:rPr>
      <w:rFonts w:eastAsia="Times New Roman" w:cs="Arial"/>
      <w:snapToGrid w:val="0"/>
      <w:sz w:val="24"/>
      <w:szCs w:val="24"/>
      <w:lang w:val="en-AU"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Styl moj Char,Akapit z listą1 Char,Bullet List Char"/>
    <w:basedOn w:val="DefaultParagraphFont"/>
    <w:link w:val="ListParagraph"/>
    <w:uiPriority w:val="34"/>
    <w:qFormat/>
    <w:locked/>
    <w:rsid w:val="00FA4692"/>
    <w:rPr>
      <w:rFonts w:eastAsia="Times New Roman" w:cs="Arial"/>
      <w:snapToGrid w:val="0"/>
      <w:sz w:val="24"/>
      <w:szCs w:val="24"/>
      <w:lang w:val="en-AU" w:eastAsia="en-AU"/>
    </w:rPr>
  </w:style>
  <w:style w:type="paragraph" w:customStyle="1" w:styleId="RegularText">
    <w:name w:val="Regular Text"/>
    <w:basedOn w:val="BodyText"/>
    <w:link w:val="RegularTextChar"/>
    <w:rsid w:val="00FA4692"/>
    <w:rPr>
      <w:b/>
    </w:rPr>
  </w:style>
  <w:style w:type="character" w:customStyle="1" w:styleId="RegularTextChar">
    <w:name w:val="Regular Text Char"/>
    <w:basedOn w:val="BodyTextChar"/>
    <w:link w:val="RegularText"/>
    <w:rsid w:val="00FA4692"/>
    <w:rPr>
      <w:rFonts w:ascii="Calibri" w:eastAsia="Times New Roman" w:hAnsi="Calibri" w:cs="Arial"/>
      <w:b/>
      <w:sz w:val="24"/>
      <w:szCs w:val="24"/>
      <w:lang w:val="en-AU" w:eastAsia="en-AU"/>
    </w:rPr>
  </w:style>
  <w:style w:type="paragraph" w:styleId="NoSpacing">
    <w:name w:val="No Spacing"/>
    <w:aliases w:val="Main text,Title Page text"/>
    <w:link w:val="NoSpacingChar"/>
    <w:uiPriority w:val="1"/>
    <w:qFormat/>
    <w:rsid w:val="00FA4692"/>
    <w:pPr>
      <w:widowControl w:val="0"/>
      <w:spacing w:after="0" w:line="240" w:lineRule="auto"/>
      <w:jc w:val="both"/>
    </w:pPr>
    <w:rPr>
      <w:rFonts w:ascii="Arial" w:eastAsia="Times New Roman" w:hAnsi="Arial" w:cs="Arial"/>
      <w:snapToGrid w:val="0"/>
      <w:szCs w:val="20"/>
      <w:lang w:val="en-AU"/>
    </w:rPr>
  </w:style>
  <w:style w:type="paragraph" w:styleId="Header">
    <w:name w:val="header"/>
    <w:aliases w:val="Page Header,Header title,he=header,cntr/bld"/>
    <w:basedOn w:val="Normal"/>
    <w:link w:val="HeaderChar"/>
    <w:uiPriority w:val="99"/>
    <w:qFormat/>
    <w:rsid w:val="00FA4692"/>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uiPriority w:val="99"/>
    <w:rsid w:val="00FA4692"/>
    <w:rPr>
      <w:rFonts w:ascii="Calibri" w:eastAsia="Times New Roman" w:hAnsi="Calibri" w:cs="Arial"/>
      <w:sz w:val="24"/>
      <w:szCs w:val="24"/>
      <w:lang w:val="en-AU" w:eastAsia="en-AU"/>
    </w:rPr>
  </w:style>
  <w:style w:type="paragraph" w:styleId="Footer">
    <w:name w:val="footer"/>
    <w:basedOn w:val="Normal"/>
    <w:link w:val="FooterChar"/>
    <w:uiPriority w:val="99"/>
    <w:rsid w:val="00FA4692"/>
    <w:pPr>
      <w:tabs>
        <w:tab w:val="center" w:pos="4513"/>
        <w:tab w:val="right" w:pos="9026"/>
      </w:tabs>
    </w:pPr>
  </w:style>
  <w:style w:type="character" w:customStyle="1" w:styleId="FooterChar">
    <w:name w:val="Footer Char"/>
    <w:basedOn w:val="DefaultParagraphFont"/>
    <w:link w:val="Footer"/>
    <w:uiPriority w:val="99"/>
    <w:rsid w:val="00FA4692"/>
    <w:rPr>
      <w:rFonts w:ascii="Calibri" w:eastAsia="Times New Roman" w:hAnsi="Calibri" w:cs="Arial"/>
      <w:sz w:val="24"/>
      <w:szCs w:val="24"/>
      <w:lang w:val="en-AU" w:eastAsia="en-AU"/>
    </w:rPr>
  </w:style>
  <w:style w:type="table" w:styleId="TableGrid">
    <w:name w:val="Table Grid"/>
    <w:aliases w:val="Summary box,Table Gridbeth,CMA Table Template,ASD Table,HTAtableplain,Dossier table,Summary Table,Source table_"/>
    <w:basedOn w:val="TableNormal"/>
    <w:uiPriority w:val="39"/>
    <w:rsid w:val="00FA4692"/>
    <w:pPr>
      <w:spacing w:after="0" w:line="240" w:lineRule="auto"/>
      <w:jc w:val="both"/>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FA4692"/>
    <w:rPr>
      <w:rFonts w:ascii="Arial Narrow" w:hAnsi="Arial Narrow"/>
      <w:b/>
      <w:sz w:val="20"/>
      <w:szCs w:val="16"/>
    </w:rPr>
  </w:style>
  <w:style w:type="paragraph" w:customStyle="1" w:styleId="Tabletext">
    <w:name w:val="Table text"/>
    <w:basedOn w:val="Normal"/>
    <w:link w:val="TabletextChar"/>
    <w:qFormat/>
    <w:rsid w:val="00FA4692"/>
    <w:pPr>
      <w:jc w:val="left"/>
    </w:pPr>
    <w:rPr>
      <w:rFonts w:ascii="Arial Narrow" w:hAnsi="Arial Narrow" w:cs="Times New Roman"/>
      <w:snapToGrid w:val="0"/>
      <w:sz w:val="20"/>
    </w:rPr>
  </w:style>
  <w:style w:type="character" w:customStyle="1" w:styleId="TabletextChar">
    <w:name w:val="Table text Char"/>
    <w:link w:val="Tabletext"/>
    <w:rsid w:val="00FA4692"/>
    <w:rPr>
      <w:rFonts w:ascii="Arial Narrow" w:eastAsia="Times New Roman" w:hAnsi="Arial Narrow" w:cs="Times New Roman"/>
      <w:snapToGrid w:val="0"/>
      <w:sz w:val="20"/>
      <w:szCs w:val="24"/>
      <w:lang w:val="en-AU" w:eastAsia="en-AU"/>
    </w:rPr>
  </w:style>
  <w:style w:type="paragraph" w:customStyle="1" w:styleId="TableHeading">
    <w:name w:val="TableHeading"/>
    <w:basedOn w:val="Normal"/>
    <w:link w:val="TableHeadingChar"/>
    <w:qFormat/>
    <w:rsid w:val="00FA4692"/>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FA4692"/>
    <w:pPr>
      <w:jc w:val="both"/>
    </w:pPr>
    <w:rPr>
      <w:rFonts w:ascii="Times" w:hAnsi="Times" w:cs="Times New Roman"/>
      <w:snapToGrid w:val="0"/>
      <w:lang w:val="en-US"/>
    </w:rPr>
  </w:style>
  <w:style w:type="paragraph" w:styleId="NormalWeb">
    <w:name w:val="Normal (Web)"/>
    <w:basedOn w:val="Normal"/>
    <w:uiPriority w:val="99"/>
    <w:rsid w:val="00FA4692"/>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FA4692"/>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FA4692"/>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FA4692"/>
    <w:rPr>
      <w:color w:val="0563C1" w:themeColor="hyperlink"/>
      <w:u w:val="single"/>
    </w:rPr>
  </w:style>
  <w:style w:type="paragraph" w:styleId="TOCHeading">
    <w:name w:val="TOC Heading"/>
    <w:basedOn w:val="Heading1"/>
    <w:next w:val="Normal"/>
    <w:uiPriority w:val="39"/>
    <w:unhideWhenUsed/>
    <w:qFormat/>
    <w:rsid w:val="00FA4692"/>
    <w:pPr>
      <w:keepNext/>
      <w:keepLines/>
      <w:spacing w:before="480" w:line="276" w:lineRule="auto"/>
      <w:ind w:left="0" w:firstLine="0"/>
      <w:jc w:val="left"/>
      <w:outlineLvl w:val="9"/>
    </w:pPr>
    <w:rPr>
      <w:rFonts w:asciiTheme="majorHAnsi" w:eastAsiaTheme="majorEastAsia" w:hAnsiTheme="majorHAnsi" w:cstheme="majorBidi"/>
      <w:bCs/>
      <w:snapToGrid w:val="0"/>
      <w:color w:val="2E74B5" w:themeColor="accent1" w:themeShade="BF"/>
      <w:sz w:val="28"/>
      <w:szCs w:val="28"/>
      <w:lang w:val="en-US" w:eastAsia="ja-JP"/>
    </w:rPr>
  </w:style>
  <w:style w:type="paragraph" w:styleId="TOC3">
    <w:name w:val="toc 3"/>
    <w:basedOn w:val="Normal"/>
    <w:next w:val="Normal"/>
    <w:autoRedefine/>
    <w:uiPriority w:val="39"/>
    <w:unhideWhenUsed/>
    <w:qFormat/>
    <w:rsid w:val="00FA4692"/>
    <w:pPr>
      <w:ind w:left="440"/>
      <w:jc w:val="left"/>
    </w:pPr>
    <w:rPr>
      <w:rFonts w:asciiTheme="minorHAnsi" w:hAnsiTheme="minorHAnsi"/>
      <w:sz w:val="20"/>
    </w:rPr>
  </w:style>
  <w:style w:type="paragraph" w:styleId="TOC4">
    <w:name w:val="toc 4"/>
    <w:basedOn w:val="Normal"/>
    <w:next w:val="Normal"/>
    <w:autoRedefine/>
    <w:rsid w:val="00FA4692"/>
    <w:pPr>
      <w:ind w:left="660"/>
      <w:jc w:val="left"/>
    </w:pPr>
    <w:rPr>
      <w:rFonts w:asciiTheme="minorHAnsi" w:hAnsiTheme="minorHAnsi"/>
      <w:sz w:val="20"/>
    </w:rPr>
  </w:style>
  <w:style w:type="paragraph" w:styleId="TOC5">
    <w:name w:val="toc 5"/>
    <w:basedOn w:val="Normal"/>
    <w:next w:val="Normal"/>
    <w:autoRedefine/>
    <w:rsid w:val="00FA4692"/>
    <w:pPr>
      <w:ind w:left="880"/>
      <w:jc w:val="left"/>
    </w:pPr>
    <w:rPr>
      <w:rFonts w:asciiTheme="minorHAnsi" w:hAnsiTheme="minorHAnsi"/>
      <w:sz w:val="20"/>
    </w:rPr>
  </w:style>
  <w:style w:type="paragraph" w:styleId="TOC6">
    <w:name w:val="toc 6"/>
    <w:basedOn w:val="Normal"/>
    <w:next w:val="Normal"/>
    <w:autoRedefine/>
    <w:rsid w:val="00FA4692"/>
    <w:pPr>
      <w:ind w:left="1100"/>
      <w:jc w:val="left"/>
    </w:pPr>
    <w:rPr>
      <w:rFonts w:asciiTheme="minorHAnsi" w:hAnsiTheme="minorHAnsi"/>
      <w:sz w:val="20"/>
    </w:rPr>
  </w:style>
  <w:style w:type="paragraph" w:styleId="TOC7">
    <w:name w:val="toc 7"/>
    <w:basedOn w:val="Normal"/>
    <w:next w:val="Normal"/>
    <w:autoRedefine/>
    <w:rsid w:val="00FA4692"/>
    <w:pPr>
      <w:ind w:left="1320"/>
      <w:jc w:val="left"/>
    </w:pPr>
    <w:rPr>
      <w:rFonts w:asciiTheme="minorHAnsi" w:hAnsiTheme="minorHAnsi"/>
      <w:sz w:val="20"/>
    </w:rPr>
  </w:style>
  <w:style w:type="paragraph" w:styleId="TOC8">
    <w:name w:val="toc 8"/>
    <w:basedOn w:val="Normal"/>
    <w:next w:val="Normal"/>
    <w:autoRedefine/>
    <w:rsid w:val="00FA4692"/>
    <w:pPr>
      <w:ind w:left="1540"/>
      <w:jc w:val="left"/>
    </w:pPr>
    <w:rPr>
      <w:rFonts w:asciiTheme="minorHAnsi" w:hAnsiTheme="minorHAnsi"/>
      <w:sz w:val="20"/>
    </w:rPr>
  </w:style>
  <w:style w:type="paragraph" w:styleId="TOC9">
    <w:name w:val="toc 9"/>
    <w:basedOn w:val="Normal"/>
    <w:next w:val="Normal"/>
    <w:autoRedefine/>
    <w:rsid w:val="00FA4692"/>
    <w:pPr>
      <w:ind w:left="1760"/>
      <w:jc w:val="left"/>
    </w:pPr>
    <w:rPr>
      <w:rFonts w:asciiTheme="minorHAnsi" w:hAnsiTheme="minorHAnsi"/>
      <w:sz w:val="20"/>
    </w:rPr>
  </w:style>
  <w:style w:type="paragraph" w:styleId="CommentText">
    <w:name w:val="annotation text"/>
    <w:aliases w:val="Comment Text Char Char Char,Comment Text Char Char"/>
    <w:basedOn w:val="Normal"/>
    <w:link w:val="CommentTextChar"/>
    <w:uiPriority w:val="99"/>
    <w:qFormat/>
    <w:rsid w:val="00FA4692"/>
    <w:rPr>
      <w:rFonts w:ascii="Times New Roman" w:hAnsi="Times New Roman" w:cs="Times New Roman"/>
      <w:sz w:val="20"/>
    </w:rPr>
  </w:style>
  <w:style w:type="character" w:customStyle="1" w:styleId="CommentTextChar">
    <w:name w:val="Comment Text Char"/>
    <w:aliases w:val="Comment Text Char Char Char Char,Comment Text Char Char Char1"/>
    <w:basedOn w:val="DefaultParagraphFont"/>
    <w:link w:val="CommentText"/>
    <w:uiPriority w:val="99"/>
    <w:rsid w:val="00FA4692"/>
    <w:rPr>
      <w:rFonts w:ascii="Times New Roman" w:eastAsia="Times New Roman" w:hAnsi="Times New Roman" w:cs="Times New Roman"/>
      <w:sz w:val="20"/>
      <w:szCs w:val="24"/>
      <w:lang w:val="en-AU" w:eastAsia="en-AU"/>
    </w:rPr>
  </w:style>
  <w:style w:type="paragraph" w:customStyle="1" w:styleId="Bulletpoints">
    <w:name w:val="Bullet points"/>
    <w:basedOn w:val="ListParagraph"/>
    <w:rsid w:val="00FA4692"/>
    <w:pPr>
      <w:numPr>
        <w:numId w:val="2"/>
      </w:numPr>
      <w:contextualSpacing/>
    </w:pPr>
  </w:style>
  <w:style w:type="paragraph" w:customStyle="1" w:styleId="TableName">
    <w:name w:val="TableName"/>
    <w:basedOn w:val="Normal"/>
    <w:qFormat/>
    <w:rsid w:val="00FA4692"/>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FA4692"/>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FA4692"/>
    <w:pPr>
      <w:keepNext/>
      <w:spacing w:after="0"/>
    </w:pPr>
  </w:style>
  <w:style w:type="paragraph" w:styleId="CommentSubject">
    <w:name w:val="annotation subject"/>
    <w:basedOn w:val="CommentText"/>
    <w:next w:val="CommentText"/>
    <w:link w:val="CommentSubjectChar"/>
    <w:rsid w:val="00FA4692"/>
    <w:rPr>
      <w:rFonts w:ascii="Arial" w:hAnsi="Arial" w:cs="Arial"/>
      <w:b/>
      <w:bCs/>
    </w:rPr>
  </w:style>
  <w:style w:type="character" w:customStyle="1" w:styleId="CommentSubjectChar">
    <w:name w:val="Comment Subject Char"/>
    <w:basedOn w:val="CommentTextChar"/>
    <w:link w:val="CommentSubject"/>
    <w:rsid w:val="00FA4692"/>
    <w:rPr>
      <w:rFonts w:ascii="Arial" w:eastAsia="Times New Roman" w:hAnsi="Arial" w:cs="Arial"/>
      <w:b/>
      <w:bCs/>
      <w:sz w:val="20"/>
      <w:szCs w:val="24"/>
      <w:lang w:val="en-AU" w:eastAsia="en-AU"/>
    </w:rPr>
  </w:style>
  <w:style w:type="paragraph" w:styleId="Revision">
    <w:name w:val="Revision"/>
    <w:hidden/>
    <w:uiPriority w:val="99"/>
    <w:semiHidden/>
    <w:rsid w:val="00FA4692"/>
    <w:pPr>
      <w:spacing w:after="0" w:line="240" w:lineRule="auto"/>
      <w:jc w:val="both"/>
    </w:pPr>
    <w:rPr>
      <w:rFonts w:ascii="Arial" w:eastAsia="Times New Roman" w:hAnsi="Arial" w:cs="Arial"/>
      <w:snapToGrid w:val="0"/>
      <w:szCs w:val="20"/>
      <w:lang w:val="en-AU"/>
    </w:rPr>
  </w:style>
  <w:style w:type="paragraph" w:styleId="BodyTextIndent">
    <w:name w:val="Body Text Indent"/>
    <w:basedOn w:val="Normal"/>
    <w:link w:val="BodyTextIndentChar"/>
    <w:rsid w:val="00FA4692"/>
    <w:pPr>
      <w:spacing w:after="120"/>
      <w:ind w:left="283"/>
    </w:pPr>
  </w:style>
  <w:style w:type="character" w:customStyle="1" w:styleId="BodyTextIndentChar">
    <w:name w:val="Body Text Indent Char"/>
    <w:basedOn w:val="DefaultParagraphFont"/>
    <w:link w:val="BodyTextIndent"/>
    <w:rsid w:val="00FA4692"/>
    <w:rPr>
      <w:rFonts w:ascii="Calibri" w:eastAsia="Times New Roman" w:hAnsi="Calibri" w:cs="Arial"/>
      <w:sz w:val="24"/>
      <w:szCs w:val="24"/>
      <w:lang w:val="en-AU" w:eastAsia="en-AU"/>
    </w:rPr>
  </w:style>
  <w:style w:type="paragraph" w:customStyle="1" w:styleId="Char1CharCharChar">
    <w:name w:val="Char1 Char Char Char"/>
    <w:basedOn w:val="Normal"/>
    <w:rsid w:val="00FA4692"/>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FA4692"/>
  </w:style>
  <w:style w:type="paragraph" w:styleId="Subtitle">
    <w:name w:val="Subtitle"/>
    <w:basedOn w:val="Normal"/>
    <w:link w:val="SubtitleChar"/>
    <w:rsid w:val="00FA4692"/>
    <w:rPr>
      <w:rFonts w:asciiTheme="minorHAnsi" w:eastAsiaTheme="minorHAnsi" w:hAnsiTheme="minorHAnsi" w:cstheme="minorBidi"/>
      <w:sz w:val="22"/>
      <w:szCs w:val="22"/>
      <w:lang w:val="en-US" w:eastAsia="en-US"/>
    </w:rPr>
  </w:style>
  <w:style w:type="character" w:customStyle="1" w:styleId="SubtitleChar1">
    <w:name w:val="Subtitle Char1"/>
    <w:basedOn w:val="DefaultParagraphFont"/>
    <w:rsid w:val="00FA4692"/>
    <w:rPr>
      <w:rFonts w:eastAsiaTheme="minorEastAsia"/>
      <w:color w:val="5A5A5A" w:themeColor="text1" w:themeTint="A5"/>
      <w:spacing w:val="15"/>
      <w:lang w:val="en-AU" w:eastAsia="en-AU"/>
    </w:rPr>
  </w:style>
  <w:style w:type="paragraph" w:customStyle="1" w:styleId="PBACHeading1">
    <w:name w:val="PBAC Heading 1"/>
    <w:qFormat/>
    <w:rsid w:val="00FA4692"/>
    <w:pPr>
      <w:spacing w:after="0" w:line="240" w:lineRule="auto"/>
      <w:jc w:val="both"/>
      <w:outlineLvl w:val="0"/>
    </w:pPr>
    <w:rPr>
      <w:rFonts w:ascii="Calibri" w:eastAsia="Times New Roman" w:hAnsi="Calibri" w:cs="Arial"/>
      <w:b/>
      <w:snapToGrid w:val="0"/>
      <w:sz w:val="32"/>
      <w:lang w:val="en-AU"/>
    </w:rPr>
  </w:style>
  <w:style w:type="table" w:customStyle="1" w:styleId="PlainTable21">
    <w:name w:val="Plain Table 21"/>
    <w:basedOn w:val="TableNormal"/>
    <w:uiPriority w:val="42"/>
    <w:rsid w:val="00FA4692"/>
    <w:pPr>
      <w:spacing w:after="0" w:line="240" w:lineRule="auto"/>
      <w:jc w:val="both"/>
    </w:pPr>
    <w:rPr>
      <w:lang w:val="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FA4692"/>
    <w:rPr>
      <w:color w:val="954F72" w:themeColor="followedHyperlink"/>
      <w:u w:val="single"/>
    </w:rPr>
  </w:style>
  <w:style w:type="character" w:styleId="PageNumber">
    <w:name w:val="page number"/>
    <w:basedOn w:val="DefaultParagraphFont"/>
    <w:semiHidden/>
    <w:unhideWhenUsed/>
    <w:rsid w:val="00FA4692"/>
  </w:style>
  <w:style w:type="paragraph" w:customStyle="1" w:styleId="Commentitalics">
    <w:name w:val="Comment (italics)"/>
    <w:basedOn w:val="Normal"/>
    <w:next w:val="Normal"/>
    <w:rsid w:val="00FA4692"/>
    <w:rPr>
      <w:i/>
    </w:rPr>
  </w:style>
  <w:style w:type="paragraph" w:styleId="BalloonText">
    <w:name w:val="Balloon Text"/>
    <w:basedOn w:val="Normal"/>
    <w:link w:val="BalloonTextChar"/>
    <w:unhideWhenUsed/>
    <w:rsid w:val="00FA4692"/>
    <w:rPr>
      <w:rFonts w:ascii="Tahoma" w:hAnsi="Tahoma" w:cs="Tahoma"/>
      <w:sz w:val="16"/>
      <w:szCs w:val="16"/>
    </w:rPr>
  </w:style>
  <w:style w:type="character" w:customStyle="1" w:styleId="BalloonTextChar">
    <w:name w:val="Balloon Text Char"/>
    <w:basedOn w:val="DefaultParagraphFont"/>
    <w:link w:val="BalloonText"/>
    <w:rsid w:val="00FA4692"/>
    <w:rPr>
      <w:rFonts w:ascii="Tahoma" w:eastAsia="Times New Roman" w:hAnsi="Tahoma" w:cs="Tahoma"/>
      <w:sz w:val="16"/>
      <w:szCs w:val="16"/>
      <w:lang w:val="en-AU" w:eastAsia="en-AU"/>
    </w:rPr>
  </w:style>
  <w:style w:type="paragraph" w:customStyle="1" w:styleId="TableText0">
    <w:name w:val="Table Text"/>
    <w:link w:val="TableTextChar0"/>
    <w:qFormat/>
    <w:rsid w:val="00FA4692"/>
    <w:pPr>
      <w:keepNext/>
      <w:spacing w:after="0" w:line="240" w:lineRule="auto"/>
      <w:jc w:val="both"/>
    </w:pPr>
    <w:rPr>
      <w:rFonts w:ascii="Arial Narrow" w:eastAsiaTheme="majorEastAsia" w:hAnsi="Arial Narrow" w:cstheme="majorBidi"/>
      <w:bCs/>
      <w:sz w:val="20"/>
      <w:szCs w:val="24"/>
      <w:lang w:val="en-AU" w:eastAsia="en-AU"/>
    </w:rPr>
  </w:style>
  <w:style w:type="paragraph" w:customStyle="1" w:styleId="V50Tablename">
    <w:name w:val="V5.0 Table name"/>
    <w:basedOn w:val="Normal"/>
    <w:link w:val="V50TablenameChar"/>
    <w:rsid w:val="00FA4692"/>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FA4692"/>
    <w:rPr>
      <w:b/>
      <w:snapToGrid w:val="0"/>
      <w:sz w:val="20"/>
      <w:szCs w:val="24"/>
      <w:lang w:eastAsia="en-AU"/>
    </w:rPr>
  </w:style>
  <w:style w:type="paragraph" w:customStyle="1" w:styleId="GeneralHeading">
    <w:name w:val="General Heading"/>
    <w:qFormat/>
    <w:rsid w:val="00FA4692"/>
    <w:pPr>
      <w:keepNext/>
      <w:spacing w:before="120" w:after="120" w:line="240" w:lineRule="auto"/>
      <w:ind w:left="720" w:hanging="720"/>
      <w:jc w:val="both"/>
      <w:outlineLvl w:val="0"/>
    </w:pPr>
    <w:rPr>
      <w:rFonts w:ascii="Calibri" w:eastAsia="Times New Roman" w:hAnsi="Calibri" w:cs="Arial"/>
      <w:b/>
      <w:snapToGrid w:val="0"/>
      <w:sz w:val="28"/>
      <w:lang w:val="en-AU" w:eastAsia="en-AU"/>
    </w:rPr>
  </w:style>
  <w:style w:type="paragraph" w:customStyle="1" w:styleId="In-tableHeading">
    <w:name w:val="In-table Heading"/>
    <w:qFormat/>
    <w:rsid w:val="00FA4692"/>
    <w:pPr>
      <w:keepNext/>
      <w:spacing w:after="0" w:line="240" w:lineRule="auto"/>
      <w:jc w:val="both"/>
    </w:pPr>
    <w:rPr>
      <w:rFonts w:ascii="Arial Narrow" w:eastAsiaTheme="majorEastAsia" w:hAnsi="Arial Narrow" w:cs="Times New Roman"/>
      <w:b/>
      <w:sz w:val="20"/>
      <w:szCs w:val="24"/>
      <w:lang w:eastAsia="en-AU"/>
    </w:rPr>
  </w:style>
  <w:style w:type="paragraph" w:customStyle="1" w:styleId="2-SectionHeading">
    <w:name w:val="2-Section Heading"/>
    <w:qFormat/>
    <w:rsid w:val="00FA4692"/>
    <w:pPr>
      <w:keepNext/>
      <w:numPr>
        <w:numId w:val="1"/>
      </w:numPr>
      <w:spacing w:before="240" w:after="120" w:line="240" w:lineRule="auto"/>
      <w:jc w:val="both"/>
      <w:outlineLvl w:val="0"/>
    </w:pPr>
    <w:rPr>
      <w:rFonts w:eastAsia="Times New Roman" w:cs="Arial"/>
      <w:b/>
      <w:snapToGrid w:val="0"/>
      <w:sz w:val="32"/>
      <w:szCs w:val="32"/>
      <w:lang w:val="en-AU" w:eastAsia="en-AU"/>
    </w:rPr>
  </w:style>
  <w:style w:type="paragraph" w:customStyle="1" w:styleId="1-MainHeading">
    <w:name w:val="1-Main Heading"/>
    <w:link w:val="1-MainHeadingChar"/>
    <w:qFormat/>
    <w:rsid w:val="00FA4692"/>
    <w:pPr>
      <w:keepNext/>
      <w:spacing w:before="120" w:line="240" w:lineRule="auto"/>
      <w:ind w:left="720" w:hanging="720"/>
      <w:jc w:val="both"/>
      <w:outlineLvl w:val="0"/>
    </w:pPr>
    <w:rPr>
      <w:rFonts w:eastAsiaTheme="majorEastAsia" w:cstheme="majorBidi"/>
      <w:b/>
      <w:spacing w:val="5"/>
      <w:kern w:val="28"/>
      <w:sz w:val="36"/>
      <w:szCs w:val="36"/>
      <w:lang w:val="en-AU" w:eastAsia="en-AU"/>
    </w:rPr>
  </w:style>
  <w:style w:type="character" w:customStyle="1" w:styleId="1-MainHeadingChar">
    <w:name w:val="1-Main Heading Char"/>
    <w:basedOn w:val="DefaultParagraphFont"/>
    <w:link w:val="1-MainHeading"/>
    <w:rsid w:val="00FA4692"/>
    <w:rPr>
      <w:rFonts w:eastAsiaTheme="majorEastAsia" w:cstheme="majorBidi"/>
      <w:b/>
      <w:spacing w:val="5"/>
      <w:kern w:val="28"/>
      <w:sz w:val="36"/>
      <w:szCs w:val="36"/>
      <w:lang w:val="en-AU" w:eastAsia="en-AU"/>
    </w:rPr>
  </w:style>
  <w:style w:type="paragraph" w:customStyle="1" w:styleId="TableFigureHeading">
    <w:name w:val="Table/Figure Heading"/>
    <w:next w:val="In-tableHeading"/>
    <w:link w:val="TableFigureHeadingChar"/>
    <w:qFormat/>
    <w:rsid w:val="00FA4692"/>
    <w:pPr>
      <w:keepNext/>
      <w:spacing w:after="0" w:line="240" w:lineRule="auto"/>
      <w:jc w:val="both"/>
    </w:pPr>
    <w:rPr>
      <w:rFonts w:ascii="Arial Narrow" w:eastAsiaTheme="majorEastAsia" w:hAnsi="Arial Narrow" w:cstheme="majorBidi"/>
      <w:b/>
      <w:bCs/>
      <w:sz w:val="20"/>
      <w:szCs w:val="24"/>
      <w:lang w:val="en-AU" w:eastAsia="en-AU"/>
    </w:rPr>
  </w:style>
  <w:style w:type="character" w:customStyle="1" w:styleId="TableFigureHeadingChar">
    <w:name w:val="Table/Figure Heading Char"/>
    <w:basedOn w:val="DefaultParagraphFont"/>
    <w:link w:val="TableFigureHeading"/>
    <w:rsid w:val="00FA4692"/>
    <w:rPr>
      <w:rFonts w:ascii="Arial Narrow" w:eastAsiaTheme="majorEastAsia" w:hAnsi="Arial Narrow" w:cstheme="majorBidi"/>
      <w:b/>
      <w:bCs/>
      <w:sz w:val="20"/>
      <w:szCs w:val="24"/>
      <w:lang w:val="en-AU" w:eastAsia="en-AU"/>
    </w:rPr>
  </w:style>
  <w:style w:type="paragraph" w:customStyle="1" w:styleId="3-BodyText">
    <w:name w:val="3-Body Text"/>
    <w:basedOn w:val="ListParagraph"/>
    <w:link w:val="3-BodyTextChar"/>
    <w:qFormat/>
    <w:rsid w:val="00FA4692"/>
    <w:pPr>
      <w:numPr>
        <w:ilvl w:val="1"/>
        <w:numId w:val="1"/>
      </w:numPr>
    </w:pPr>
  </w:style>
  <w:style w:type="character" w:customStyle="1" w:styleId="3-BodyTextChar">
    <w:name w:val="3-Body Text Char"/>
    <w:basedOn w:val="ListParagraphChar"/>
    <w:link w:val="3-BodyText"/>
    <w:rsid w:val="00FA4692"/>
    <w:rPr>
      <w:rFonts w:eastAsia="Times New Roman" w:cs="Arial"/>
      <w:snapToGrid w:val="0"/>
      <w:sz w:val="24"/>
      <w:szCs w:val="24"/>
      <w:lang w:val="en-AU" w:eastAsia="en-AU"/>
    </w:rPr>
  </w:style>
  <w:style w:type="paragraph" w:customStyle="1" w:styleId="PageFooter">
    <w:name w:val="Page Footer"/>
    <w:basedOn w:val="Normal"/>
    <w:link w:val="PageFooterChar"/>
    <w:qFormat/>
    <w:rsid w:val="00FA4692"/>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FA4692"/>
    <w:rPr>
      <w:rFonts w:ascii="Calibri" w:eastAsia="Times New Roman" w:hAnsi="Calibri" w:cs="Arial"/>
      <w:b/>
      <w:sz w:val="24"/>
      <w:szCs w:val="24"/>
      <w:lang w:val="en-AU" w:eastAsia="en-AU"/>
    </w:rPr>
  </w:style>
  <w:style w:type="paragraph" w:customStyle="1" w:styleId="TableFigureFooter">
    <w:name w:val="Table/Figure Footer"/>
    <w:basedOn w:val="Normal"/>
    <w:link w:val="TableFigureFooterChar"/>
    <w:qFormat/>
    <w:rsid w:val="00FA4692"/>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FA4692"/>
    <w:rPr>
      <w:rFonts w:ascii="Arial Narrow" w:eastAsia="Times New Roman" w:hAnsi="Arial Narrow" w:cs="Arial"/>
      <w:snapToGrid w:val="0"/>
      <w:sz w:val="18"/>
      <w:lang w:val="en-AU" w:eastAsia="en-AU"/>
    </w:rPr>
  </w:style>
  <w:style w:type="paragraph" w:customStyle="1" w:styleId="4-SubsectionHeading">
    <w:name w:val="4-Subsection Heading"/>
    <w:basedOn w:val="Heading2"/>
    <w:next w:val="3-BodyText"/>
    <w:link w:val="4-SubsectionHeadingChar"/>
    <w:qFormat/>
    <w:rsid w:val="00FA4692"/>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FA4692"/>
    <w:rPr>
      <w:rFonts w:ascii="Calibri" w:eastAsiaTheme="majorEastAsia" w:hAnsi="Calibri" w:cstheme="majorBidi"/>
      <w:b/>
      <w:i/>
      <w:spacing w:val="5"/>
      <w:kern w:val="28"/>
      <w:sz w:val="28"/>
      <w:szCs w:val="36"/>
      <w:lang w:val="en-AU" w:eastAsia="en-AU"/>
    </w:rPr>
  </w:style>
  <w:style w:type="paragraph" w:customStyle="1" w:styleId="5-SubsectionSubheading">
    <w:name w:val="5-Subsection Subheading"/>
    <w:basedOn w:val="Heading3"/>
    <w:next w:val="3-BodyText"/>
    <w:link w:val="5-SubsectionSubheadingChar"/>
    <w:qFormat/>
    <w:rsid w:val="00FA4692"/>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FA4692"/>
    <w:rPr>
      <w:rFonts w:eastAsiaTheme="majorEastAsia" w:cstheme="majorBidi"/>
      <w:b/>
      <w:color w:val="000000" w:themeColor="text1"/>
      <w:sz w:val="24"/>
      <w:szCs w:val="24"/>
      <w:lang w:val="en-AU" w:eastAsia="en-AU"/>
    </w:rPr>
  </w:style>
  <w:style w:type="paragraph" w:styleId="ListBullet">
    <w:name w:val="List Bullet"/>
    <w:basedOn w:val="Normal"/>
    <w:unhideWhenUsed/>
    <w:rsid w:val="00FA4692"/>
    <w:pPr>
      <w:numPr>
        <w:numId w:val="3"/>
      </w:numPr>
      <w:contextualSpacing/>
    </w:pPr>
  </w:style>
  <w:style w:type="character" w:customStyle="1" w:styleId="TableTextChar0">
    <w:name w:val="Table Text Char"/>
    <w:basedOn w:val="DefaultParagraphFont"/>
    <w:link w:val="TableText0"/>
    <w:rsid w:val="00FA4692"/>
    <w:rPr>
      <w:rFonts w:ascii="Arial Narrow" w:eastAsiaTheme="majorEastAsia" w:hAnsi="Arial Narrow" w:cstheme="majorBidi"/>
      <w:bCs/>
      <w:sz w:val="20"/>
      <w:szCs w:val="24"/>
      <w:lang w:val="en-AU" w:eastAsia="en-AU"/>
    </w:rPr>
  </w:style>
  <w:style w:type="character" w:customStyle="1" w:styleId="UnresolvedMention1">
    <w:name w:val="Unresolved Mention1"/>
    <w:basedOn w:val="DefaultParagraphFont"/>
    <w:uiPriority w:val="99"/>
    <w:semiHidden/>
    <w:unhideWhenUsed/>
    <w:rsid w:val="00FA4692"/>
    <w:rPr>
      <w:color w:val="605E5C"/>
      <w:shd w:val="clear" w:color="auto" w:fill="E1DFDD"/>
    </w:rPr>
  </w:style>
  <w:style w:type="paragraph" w:customStyle="1" w:styleId="TableFigHeading">
    <w:name w:val="Table&amp;Fig Heading"/>
    <w:qFormat/>
    <w:rsid w:val="00FA4692"/>
    <w:pPr>
      <w:spacing w:after="60" w:line="240" w:lineRule="auto"/>
      <w:jc w:val="both"/>
    </w:pPr>
    <w:rPr>
      <w:rFonts w:ascii="Garamond" w:hAnsi="Garamond"/>
      <w:b/>
      <w:lang w:val="en-AU"/>
    </w:rPr>
  </w:style>
  <w:style w:type="character" w:customStyle="1" w:styleId="NoSpacingChar">
    <w:name w:val="No Spacing Char"/>
    <w:aliases w:val="Main text Char,Title Page text Char"/>
    <w:basedOn w:val="DefaultParagraphFont"/>
    <w:link w:val="NoSpacing"/>
    <w:uiPriority w:val="1"/>
    <w:rsid w:val="00FA4692"/>
    <w:rPr>
      <w:rFonts w:ascii="Arial" w:eastAsia="Times New Roman" w:hAnsi="Arial" w:cs="Arial"/>
      <w:snapToGrid w:val="0"/>
      <w:szCs w:val="20"/>
      <w:lang w:val="en-AU"/>
    </w:rPr>
  </w:style>
  <w:style w:type="character" w:customStyle="1" w:styleId="fontstyle01">
    <w:name w:val="fontstyle01"/>
    <w:basedOn w:val="DefaultParagraphFont"/>
    <w:rsid w:val="00FA4692"/>
    <w:rPr>
      <w:rFonts w:ascii="LwvrshAdvTT86d47313" w:hAnsi="LwvrshAdvTT86d47313" w:hint="default"/>
      <w:b w:val="0"/>
      <w:bCs w:val="0"/>
      <w:i w:val="0"/>
      <w:iCs w:val="0"/>
      <w:color w:val="242021"/>
      <w:sz w:val="20"/>
      <w:szCs w:val="20"/>
    </w:rPr>
  </w:style>
  <w:style w:type="character" w:customStyle="1" w:styleId="Small">
    <w:name w:val="Small"/>
    <w:basedOn w:val="DefaultParagraphFont"/>
    <w:uiPriority w:val="4"/>
    <w:qFormat/>
    <w:rsid w:val="00FA4692"/>
    <w:rPr>
      <w:rFonts w:ascii="Calibri" w:hAnsi="Calibri"/>
      <w:sz w:val="20"/>
    </w:rPr>
  </w:style>
  <w:style w:type="paragraph" w:customStyle="1" w:styleId="TableLeft">
    <w:name w:val="Table Left"/>
    <w:basedOn w:val="Normal"/>
    <w:link w:val="TableLeftChar"/>
    <w:uiPriority w:val="99"/>
    <w:qFormat/>
    <w:rsid w:val="00FA4692"/>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FA4692"/>
    <w:rPr>
      <w:rFonts w:ascii="Calibri" w:eastAsiaTheme="majorEastAsia" w:hAnsi="Calibri" w:cstheme="majorBidi"/>
      <w:sz w:val="18"/>
      <w:lang w:val="en-AU" w:bidi="en-US"/>
    </w:rPr>
  </w:style>
  <w:style w:type="table" w:customStyle="1" w:styleId="TableGrid28">
    <w:name w:val="Table Grid28"/>
    <w:basedOn w:val="TableNormal"/>
    <w:next w:val="TableGrid"/>
    <w:uiPriority w:val="59"/>
    <w:rsid w:val="00FA4692"/>
    <w:pPr>
      <w:spacing w:after="0" w:line="240" w:lineRule="auto"/>
      <w:jc w:val="both"/>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1">
    <w:name w:val="Section Bi1"/>
    <w:uiPriority w:val="99"/>
    <w:rsid w:val="00FA4692"/>
  </w:style>
  <w:style w:type="paragraph" w:styleId="FootnoteText">
    <w:name w:val="footnote text"/>
    <w:basedOn w:val="Normal"/>
    <w:link w:val="FootnoteTextChar"/>
    <w:uiPriority w:val="99"/>
    <w:unhideWhenUsed/>
    <w:rsid w:val="00FA4692"/>
    <w:rPr>
      <w:sz w:val="20"/>
      <w:szCs w:val="20"/>
    </w:rPr>
  </w:style>
  <w:style w:type="character" w:customStyle="1" w:styleId="FootnoteTextChar">
    <w:name w:val="Footnote Text Char"/>
    <w:basedOn w:val="DefaultParagraphFont"/>
    <w:link w:val="FootnoteText"/>
    <w:uiPriority w:val="99"/>
    <w:rsid w:val="00FA4692"/>
    <w:rPr>
      <w:rFonts w:ascii="Calibri" w:eastAsia="Times New Roman" w:hAnsi="Calibri" w:cs="Arial"/>
      <w:sz w:val="20"/>
      <w:szCs w:val="20"/>
      <w:lang w:val="en-AU" w:eastAsia="en-AU"/>
    </w:rPr>
  </w:style>
  <w:style w:type="character" w:styleId="FootnoteReference">
    <w:name w:val="footnote reference"/>
    <w:basedOn w:val="DefaultParagraphFont"/>
    <w:uiPriority w:val="99"/>
    <w:unhideWhenUsed/>
    <w:rsid w:val="00FA4692"/>
    <w:rPr>
      <w:vertAlign w:val="superscript"/>
    </w:rPr>
  </w:style>
  <w:style w:type="paragraph" w:customStyle="1" w:styleId="EndNoteBibliography">
    <w:name w:val="EndNote Bibliography"/>
    <w:basedOn w:val="Normal"/>
    <w:link w:val="EndNoteBibliographyChar"/>
    <w:rsid w:val="00FA4692"/>
    <w:pPr>
      <w:spacing w:after="240"/>
      <w:jc w:val="left"/>
    </w:pPr>
    <w:rPr>
      <w:rFonts w:ascii="Garamond" w:eastAsiaTheme="minorHAnsi" w:hAnsi="Garamond" w:cs="Times New Roman"/>
      <w:noProof/>
      <w:sz w:val="22"/>
      <w:szCs w:val="20"/>
      <w:lang w:val="en-US" w:eastAsia="en-US"/>
    </w:rPr>
  </w:style>
  <w:style w:type="character" w:customStyle="1" w:styleId="EndNoteBibliographyChar">
    <w:name w:val="EndNote Bibliography Char"/>
    <w:basedOn w:val="DefaultParagraphFont"/>
    <w:link w:val="EndNoteBibliography"/>
    <w:rsid w:val="00FA4692"/>
    <w:rPr>
      <w:rFonts w:ascii="Garamond" w:hAnsi="Garamond" w:cs="Times New Roman"/>
      <w:noProof/>
      <w:szCs w:val="20"/>
    </w:rPr>
  </w:style>
  <w:style w:type="numbering" w:customStyle="1" w:styleId="Style1">
    <w:name w:val="Style1"/>
    <w:uiPriority w:val="99"/>
    <w:rsid w:val="00FA4692"/>
    <w:pPr>
      <w:numPr>
        <w:numId w:val="6"/>
      </w:numPr>
    </w:pPr>
  </w:style>
  <w:style w:type="paragraph" w:customStyle="1" w:styleId="TableBullet">
    <w:name w:val="Table Bullet"/>
    <w:basedOn w:val="TableText0"/>
    <w:qFormat/>
    <w:rsid w:val="00FA4692"/>
    <w:pPr>
      <w:keepNext w:val="0"/>
      <w:numPr>
        <w:numId w:val="7"/>
      </w:numPr>
      <w:tabs>
        <w:tab w:val="num" w:pos="360"/>
      </w:tabs>
      <w:spacing w:before="40" w:after="40"/>
      <w:ind w:left="0" w:firstLine="0"/>
    </w:pPr>
    <w:rPr>
      <w:rFonts w:eastAsiaTheme="minorHAnsi" w:cstheme="minorBidi"/>
      <w:bCs w:val="0"/>
      <w:szCs w:val="22"/>
      <w:lang w:val="en-US" w:eastAsia="en-US"/>
    </w:rPr>
  </w:style>
  <w:style w:type="table" w:customStyle="1" w:styleId="TableGrid5">
    <w:name w:val="Table Grid5"/>
    <w:basedOn w:val="TableNormal"/>
    <w:next w:val="TableGrid"/>
    <w:rsid w:val="00FA4692"/>
    <w:pPr>
      <w:tabs>
        <w:tab w:val="left" w:pos="416"/>
        <w:tab w:val="left" w:pos="582"/>
      </w:tabs>
      <w:spacing w:after="0" w:line="360" w:lineRule="auto"/>
      <w:jc w:val="both"/>
    </w:pPr>
    <w:rPr>
      <w:rFonts w:ascii="Times" w:eastAsia="Times New Roman" w:hAnsi="Times" w:cs="Times New Roman"/>
      <w:sz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link w:val="TableChar"/>
    <w:qFormat/>
    <w:rsid w:val="00FA4692"/>
    <w:pPr>
      <w:tabs>
        <w:tab w:val="left" w:pos="113"/>
        <w:tab w:val="center" w:pos="142"/>
        <w:tab w:val="center" w:pos="284"/>
        <w:tab w:val="center" w:pos="425"/>
      </w:tabs>
      <w:spacing w:after="0" w:line="240" w:lineRule="auto"/>
      <w:jc w:val="both"/>
    </w:pPr>
    <w:rPr>
      <w:rFonts w:ascii="Sabon" w:eastAsia="Times New Roman" w:hAnsi="Sabon" w:cs="Times New Roman"/>
      <w:lang w:val="en-GB"/>
    </w:rPr>
  </w:style>
  <w:style w:type="character" w:customStyle="1" w:styleId="TableChar">
    <w:name w:val="Table Char"/>
    <w:link w:val="Table"/>
    <w:rsid w:val="00FA4692"/>
    <w:rPr>
      <w:rFonts w:ascii="Sabon" w:eastAsia="Times New Roman" w:hAnsi="Sabon" w:cs="Times New Roman"/>
      <w:lang w:val="en-GB"/>
    </w:rPr>
  </w:style>
  <w:style w:type="character" w:customStyle="1" w:styleId="fontstyle11">
    <w:name w:val="fontstyle11"/>
    <w:basedOn w:val="DefaultParagraphFont"/>
    <w:rsid w:val="00FA4692"/>
    <w:rPr>
      <w:rFonts w:ascii="AdvTrebu-R" w:hAnsi="AdvTrebu-R" w:hint="default"/>
      <w:b w:val="0"/>
      <w:bCs w:val="0"/>
      <w:i w:val="0"/>
      <w:iCs w:val="0"/>
      <w:color w:val="000000"/>
      <w:sz w:val="18"/>
      <w:szCs w:val="18"/>
    </w:rPr>
  </w:style>
  <w:style w:type="paragraph" w:customStyle="1" w:styleId="MainBodyText4">
    <w:name w:val="Main Body Text 4"/>
    <w:basedOn w:val="Normal"/>
    <w:qFormat/>
    <w:rsid w:val="00FA4692"/>
    <w:pPr>
      <w:spacing w:line="360" w:lineRule="auto"/>
    </w:pPr>
    <w:rPr>
      <w:rFonts w:ascii="Garamond" w:eastAsiaTheme="minorHAnsi" w:hAnsi="Garamond" w:cs="Times New Roman"/>
      <w:sz w:val="22"/>
      <w:szCs w:val="21"/>
    </w:rPr>
  </w:style>
  <w:style w:type="paragraph" w:customStyle="1" w:styleId="TableHeading0">
    <w:name w:val="Table Heading"/>
    <w:basedOn w:val="TableText0"/>
    <w:link w:val="TableHeadingChar0"/>
    <w:qFormat/>
    <w:rsid w:val="00FA4692"/>
    <w:pPr>
      <w:keepLines/>
      <w:spacing w:before="20" w:after="20" w:line="276" w:lineRule="auto"/>
    </w:pPr>
    <w:rPr>
      <w:rFonts w:cs="Arial"/>
      <w:b/>
      <w:bCs w:val="0"/>
      <w:szCs w:val="20"/>
      <w:lang w:bidi="en-US"/>
    </w:rPr>
  </w:style>
  <w:style w:type="character" w:customStyle="1" w:styleId="TableHeadingChar0">
    <w:name w:val="Table Heading Char"/>
    <w:link w:val="TableHeading0"/>
    <w:locked/>
    <w:rsid w:val="00FA4692"/>
    <w:rPr>
      <w:rFonts w:ascii="Arial Narrow" w:eastAsiaTheme="majorEastAsia" w:hAnsi="Arial Narrow" w:cs="Arial"/>
      <w:b/>
      <w:sz w:val="20"/>
      <w:szCs w:val="20"/>
      <w:lang w:val="en-AU" w:eastAsia="en-AU" w:bidi="en-US"/>
    </w:rPr>
  </w:style>
  <w:style w:type="table" w:customStyle="1" w:styleId="TableGrid4">
    <w:name w:val="Table Grid4"/>
    <w:basedOn w:val="TableNormal"/>
    <w:next w:val="TableGrid"/>
    <w:uiPriority w:val="59"/>
    <w:rsid w:val="00FA4692"/>
    <w:pPr>
      <w:spacing w:after="0" w:line="240" w:lineRule="auto"/>
      <w:jc w:val="both"/>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A4692"/>
    <w:pPr>
      <w:autoSpaceDE w:val="0"/>
      <w:autoSpaceDN w:val="0"/>
      <w:adjustRightInd w:val="0"/>
      <w:spacing w:after="0" w:line="240" w:lineRule="auto"/>
      <w:jc w:val="both"/>
    </w:pPr>
    <w:rPr>
      <w:rFonts w:ascii="Verdana" w:eastAsia="Times New Roman" w:hAnsi="Verdana" w:cs="Verdana"/>
      <w:color w:val="000000"/>
      <w:sz w:val="24"/>
      <w:szCs w:val="24"/>
      <w:lang w:eastAsia="en-AU"/>
    </w:rPr>
  </w:style>
  <w:style w:type="character" w:customStyle="1" w:styleId="UnresolvedMention2">
    <w:name w:val="Unresolved Mention2"/>
    <w:basedOn w:val="DefaultParagraphFont"/>
    <w:uiPriority w:val="99"/>
    <w:semiHidden/>
    <w:unhideWhenUsed/>
    <w:rsid w:val="00FA4692"/>
    <w:rPr>
      <w:color w:val="605E5C"/>
      <w:shd w:val="clear" w:color="auto" w:fill="E1DFDD"/>
    </w:rPr>
  </w:style>
  <w:style w:type="character" w:styleId="Emphasis">
    <w:name w:val="Emphasis"/>
    <w:basedOn w:val="DefaultParagraphFont"/>
    <w:uiPriority w:val="20"/>
    <w:qFormat/>
    <w:rsid w:val="00FA4692"/>
    <w:rPr>
      <w:i/>
      <w:iCs/>
    </w:rPr>
  </w:style>
  <w:style w:type="character" w:styleId="Strong">
    <w:name w:val="Strong"/>
    <w:basedOn w:val="DefaultParagraphFont"/>
    <w:uiPriority w:val="22"/>
    <w:qFormat/>
    <w:rsid w:val="00FA4692"/>
    <w:rPr>
      <w:b/>
      <w:bCs/>
    </w:rPr>
  </w:style>
  <w:style w:type="character" w:customStyle="1" w:styleId="UnresolvedMention3">
    <w:name w:val="Unresolved Mention3"/>
    <w:basedOn w:val="DefaultParagraphFont"/>
    <w:uiPriority w:val="99"/>
    <w:semiHidden/>
    <w:unhideWhenUsed/>
    <w:rsid w:val="00FA4692"/>
    <w:rPr>
      <w:color w:val="605E5C"/>
      <w:shd w:val="clear" w:color="auto" w:fill="E1DFDD"/>
    </w:rPr>
  </w:style>
  <w:style w:type="character" w:customStyle="1" w:styleId="BodyText1Char">
    <w:name w:val="Body Text1 Char"/>
    <w:link w:val="BodyText1"/>
    <w:locked/>
    <w:rsid w:val="00FA4692"/>
    <w:rPr>
      <w:rFonts w:ascii="Arial" w:hAnsi="Arial"/>
    </w:rPr>
  </w:style>
  <w:style w:type="paragraph" w:customStyle="1" w:styleId="BodyText1">
    <w:name w:val="Body Text1"/>
    <w:basedOn w:val="Normal"/>
    <w:link w:val="BodyText1Char"/>
    <w:autoRedefine/>
    <w:qFormat/>
    <w:rsid w:val="00FA4692"/>
    <w:pPr>
      <w:spacing w:before="240" w:after="120" w:line="360" w:lineRule="auto"/>
    </w:pPr>
    <w:rPr>
      <w:rFonts w:ascii="Arial" w:eastAsiaTheme="minorHAnsi" w:hAnsi="Arial" w:cstheme="minorBidi"/>
      <w:sz w:val="22"/>
      <w:szCs w:val="22"/>
      <w:lang w:val="en-US" w:eastAsia="en-US"/>
    </w:rPr>
  </w:style>
  <w:style w:type="character" w:customStyle="1" w:styleId="TableBold">
    <w:name w:val="Table Bold"/>
    <w:uiPriority w:val="4"/>
    <w:qFormat/>
    <w:rsid w:val="00FA4692"/>
    <w:rPr>
      <w:rFonts w:ascii="Arial Narrow" w:hAnsi="Arial Narrow" w:cs="Times New Roman"/>
      <w:b/>
      <w:sz w:val="20"/>
      <w:lang w:val="en-AU"/>
    </w:rPr>
  </w:style>
  <w:style w:type="character" w:customStyle="1" w:styleId="MainBodyTextEmphasiswithBold">
    <w:name w:val="Main Body Text Emphasis with Bold"/>
    <w:qFormat/>
    <w:rsid w:val="00E225AC"/>
    <w:rPr>
      <w:b/>
    </w:rPr>
  </w:style>
  <w:style w:type="paragraph" w:customStyle="1" w:styleId="C-Bullet">
    <w:name w:val="C-Bullet"/>
    <w:uiPriority w:val="99"/>
    <w:rsid w:val="00E225AC"/>
    <w:pPr>
      <w:numPr>
        <w:numId w:val="8"/>
      </w:numPr>
      <w:spacing w:before="120" w:after="120" w:line="280" w:lineRule="atLeast"/>
    </w:pPr>
    <w:rPr>
      <w:rFonts w:ascii="Times New Roman" w:eastAsia="Times New Roman" w:hAnsi="Times New Roman" w:cs="Times New Roman"/>
    </w:rPr>
  </w:style>
  <w:style w:type="paragraph" w:customStyle="1" w:styleId="C-BulletIndented">
    <w:name w:val="C-Bullet Indented"/>
    <w:uiPriority w:val="99"/>
    <w:rsid w:val="00E225AC"/>
    <w:pPr>
      <w:numPr>
        <w:ilvl w:val="1"/>
        <w:numId w:val="8"/>
      </w:numPr>
      <w:spacing w:before="120" w:after="120" w:line="280" w:lineRule="atLeast"/>
    </w:pPr>
    <w:rPr>
      <w:rFonts w:ascii="Times New Roman" w:eastAsia="Times New Roman" w:hAnsi="Times New Roman" w:cs="Arial"/>
    </w:rPr>
  </w:style>
  <w:style w:type="paragraph" w:customStyle="1" w:styleId="ListBullet-Bullet">
    <w:name w:val="List Bullet - Bullet"/>
    <w:basedOn w:val="Normal"/>
    <w:rsid w:val="00E225AC"/>
    <w:pPr>
      <w:keepLines/>
      <w:widowControl w:val="0"/>
      <w:numPr>
        <w:numId w:val="9"/>
      </w:numPr>
      <w:spacing w:before="240" w:after="120"/>
      <w:jc w:val="left"/>
    </w:pPr>
    <w:rPr>
      <w:rFonts w:ascii="Tahoma" w:eastAsiaTheme="minorHAnsi" w:hAnsi="Tahoma" w:cs="Times New Roman"/>
      <w:noProof/>
      <w:sz w:val="20"/>
      <w:szCs w:val="22"/>
      <w:lang w:val="en-GB" w:eastAsia="en-US"/>
    </w:rPr>
  </w:style>
  <w:style w:type="paragraph" w:customStyle="1" w:styleId="TableFigNoteLast">
    <w:name w:val="TableFigNote Last"/>
    <w:basedOn w:val="Normal"/>
    <w:autoRedefine/>
    <w:qFormat/>
    <w:rsid w:val="00E225AC"/>
    <w:pPr>
      <w:spacing w:after="360"/>
      <w:contextualSpacing/>
    </w:pPr>
    <w:rPr>
      <w:rFonts w:ascii="Garamond" w:eastAsiaTheme="minorHAnsi" w:hAnsi="Garamond" w:cstheme="minorBidi"/>
      <w:sz w:val="16"/>
      <w:szCs w:val="16"/>
      <w:lang w:eastAsia="en-US"/>
    </w:rPr>
  </w:style>
  <w:style w:type="character" w:customStyle="1" w:styleId="hitinf">
    <w:name w:val="hit_inf"/>
    <w:basedOn w:val="DefaultParagraphFont"/>
    <w:rsid w:val="00E225AC"/>
  </w:style>
  <w:style w:type="paragraph" w:customStyle="1" w:styleId="Bullet">
    <w:name w:val="Bullet"/>
    <w:basedOn w:val="Normal"/>
    <w:qFormat/>
    <w:rsid w:val="00E225AC"/>
    <w:pPr>
      <w:numPr>
        <w:numId w:val="10"/>
      </w:numPr>
      <w:spacing w:after="120"/>
      <w:jc w:val="left"/>
    </w:pPr>
    <w:rPr>
      <w:rFonts w:asciiTheme="minorHAnsi" w:eastAsiaTheme="minorHAnsi" w:hAnsiTheme="minorHAnsi" w:cstheme="minorBidi"/>
      <w:sz w:val="22"/>
      <w:szCs w:val="22"/>
      <w:lang w:val="en-US" w:eastAsia="en-US"/>
    </w:rPr>
  </w:style>
  <w:style w:type="paragraph" w:customStyle="1" w:styleId="TOCEntry">
    <w:name w:val="TOC Entry"/>
    <w:basedOn w:val="Heading2"/>
    <w:next w:val="Normal"/>
    <w:rsid w:val="00E225AC"/>
    <w:pPr>
      <w:keepNext/>
      <w:keepLines/>
      <w:numPr>
        <w:ilvl w:val="1"/>
        <w:numId w:val="10"/>
      </w:numPr>
      <w:spacing w:before="240"/>
      <w:ind w:left="1134" w:hanging="1134"/>
      <w:jc w:val="left"/>
    </w:pPr>
    <w:rPr>
      <w:rFonts w:ascii="Arial" w:hAnsi="Arial" w:cs="Times New Roman"/>
      <w:i w:val="0"/>
      <w:smallCaps/>
      <w:sz w:val="26"/>
      <w:szCs w:val="28"/>
      <w:lang w:val="en-US" w:eastAsia="en-US"/>
    </w:rPr>
  </w:style>
  <w:style w:type="paragraph" w:customStyle="1" w:styleId="Style4">
    <w:name w:val="Style4"/>
    <w:basedOn w:val="Heading3"/>
    <w:rsid w:val="00E225AC"/>
    <w:pPr>
      <w:keepLines/>
      <w:widowControl w:val="0"/>
      <w:numPr>
        <w:ilvl w:val="2"/>
        <w:numId w:val="10"/>
      </w:numPr>
      <w:spacing w:after="240"/>
      <w:ind w:hanging="1134"/>
    </w:pPr>
    <w:rPr>
      <w:rFonts w:ascii="Arial" w:hAnsi="Arial" w:cstheme="majorBidi"/>
      <w:b/>
      <w:bCs/>
      <w:kern w:val="32"/>
      <w:sz w:val="22"/>
      <w:szCs w:val="22"/>
      <w:u w:val="none"/>
      <w:lang w:val="en-US" w:eastAsia="en-US"/>
    </w:rPr>
  </w:style>
  <w:style w:type="table" w:customStyle="1" w:styleId="Sourcetable1">
    <w:name w:val="Source table_1"/>
    <w:basedOn w:val="TableNormal"/>
    <w:next w:val="TableGrid"/>
    <w:uiPriority w:val="39"/>
    <w:rsid w:val="00E225AC"/>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ourcetable2">
    <w:name w:val="Source table_2"/>
    <w:basedOn w:val="TableNormal"/>
    <w:next w:val="TableGrid"/>
    <w:uiPriority w:val="39"/>
    <w:rsid w:val="00E225AC"/>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E225AC"/>
  </w:style>
  <w:style w:type="table" w:customStyle="1" w:styleId="Sourcetable3">
    <w:name w:val="Source table_3"/>
    <w:basedOn w:val="TableNormal"/>
    <w:next w:val="TableGrid"/>
    <w:uiPriority w:val="39"/>
    <w:rsid w:val="00E225AC"/>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uiPriority w:val="42"/>
    <w:rsid w:val="00E225AC"/>
    <w:pPr>
      <w:spacing w:after="0" w:line="240" w:lineRule="auto"/>
    </w:pPr>
    <w:rPr>
      <w:lang w:val="en-AU"/>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281">
    <w:name w:val="Table Grid281"/>
    <w:basedOn w:val="TableNormal"/>
    <w:next w:val="TableGrid"/>
    <w:uiPriority w:val="59"/>
    <w:rsid w:val="00E225A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ctionBi11">
    <w:name w:val="Section Bi11"/>
    <w:uiPriority w:val="99"/>
    <w:rsid w:val="00E225AC"/>
  </w:style>
  <w:style w:type="numbering" w:customStyle="1" w:styleId="Style11">
    <w:name w:val="Style11"/>
    <w:uiPriority w:val="99"/>
    <w:rsid w:val="00E225AC"/>
    <w:pPr>
      <w:numPr>
        <w:numId w:val="4"/>
      </w:numPr>
    </w:pPr>
  </w:style>
  <w:style w:type="table" w:customStyle="1" w:styleId="TableGrid51">
    <w:name w:val="Table Grid51"/>
    <w:basedOn w:val="TableNormal"/>
    <w:next w:val="TableGrid"/>
    <w:rsid w:val="00E225AC"/>
    <w:pPr>
      <w:tabs>
        <w:tab w:val="left" w:pos="416"/>
        <w:tab w:val="left" w:pos="582"/>
      </w:tabs>
      <w:spacing w:after="0" w:line="360" w:lineRule="auto"/>
      <w:jc w:val="both"/>
    </w:pPr>
    <w:rPr>
      <w:rFonts w:ascii="Times" w:eastAsia="Times New Roman" w:hAnsi="Times" w:cs="Times New Roman"/>
      <w:sz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225AC"/>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ingChar">
    <w:name w:val="TableHeading Char"/>
    <w:link w:val="TableHeading"/>
    <w:rsid w:val="00E225AC"/>
    <w:rPr>
      <w:rFonts w:ascii="Arial Narrow" w:eastAsia="Times New Roman" w:hAnsi="Arial Narrow" w:cs="Arial Narrow"/>
      <w:b/>
      <w:bCs/>
      <w:snapToGrid w:val="0"/>
      <w:sz w:val="20"/>
      <w:szCs w:val="24"/>
      <w:lang w:val="en-AU" w:eastAsia="en-AU"/>
    </w:rPr>
  </w:style>
  <w:style w:type="paragraph" w:styleId="TableofFigures">
    <w:name w:val="table of figures"/>
    <w:basedOn w:val="Normal"/>
    <w:next w:val="Normal"/>
    <w:uiPriority w:val="99"/>
    <w:unhideWhenUsed/>
    <w:rsid w:val="00921074"/>
  </w:style>
  <w:style w:type="paragraph" w:customStyle="1" w:styleId="TableText1">
    <w:name w:val="TableText"/>
    <w:basedOn w:val="Normal"/>
    <w:link w:val="TableTextChar1"/>
    <w:qFormat/>
    <w:rsid w:val="00E374F0"/>
    <w:pPr>
      <w:keepNext/>
      <w:spacing w:before="40" w:after="40"/>
      <w:jc w:val="left"/>
    </w:pPr>
    <w:rPr>
      <w:rFonts w:ascii="Arial Narrow" w:eastAsiaTheme="minorHAnsi" w:hAnsi="Arial Narrow" w:cs="Times New Roman"/>
      <w:sz w:val="20"/>
      <w:szCs w:val="20"/>
      <w:lang w:eastAsia="en-US"/>
    </w:rPr>
  </w:style>
  <w:style w:type="character" w:customStyle="1" w:styleId="TableTextChar1">
    <w:name w:val="TableText Char"/>
    <w:link w:val="TableText1"/>
    <w:rsid w:val="00E374F0"/>
    <w:rPr>
      <w:rFonts w:ascii="Arial Narrow" w:hAnsi="Arial Narrow" w:cs="Times New Roman"/>
      <w:sz w:val="20"/>
      <w:szCs w:val="20"/>
      <w:lang w:val="en-AU"/>
    </w:rPr>
  </w:style>
  <w:style w:type="table" w:customStyle="1" w:styleId="Summarybox1">
    <w:name w:val="Summary box1"/>
    <w:basedOn w:val="TableNormal"/>
    <w:next w:val="TableGrid"/>
    <w:uiPriority w:val="39"/>
    <w:rsid w:val="00E374F0"/>
    <w:pPr>
      <w:spacing w:after="0" w:line="240" w:lineRule="auto"/>
    </w:pPr>
    <w:rPr>
      <w:rFonts w:ascii="Garamond" w:hAnsi="Garamond" w:cs="Times New Roman"/>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650D10"/>
    <w:pPr>
      <w:keepNext/>
      <w:spacing w:before="120" w:after="120"/>
      <w:outlineLvl w:val="9"/>
    </w:pPr>
    <w:rPr>
      <w:rFonts w:eastAsiaTheme="majorEastAsia" w:cstheme="majorBidi"/>
      <w:spacing w:val="5"/>
      <w:kern w:val="28"/>
      <w:szCs w:val="36"/>
    </w:rPr>
  </w:style>
  <w:style w:type="character" w:customStyle="1" w:styleId="3-SubsectionHeadingChar">
    <w:name w:val="3-Subsection Heading Char"/>
    <w:basedOn w:val="Heading2Char"/>
    <w:link w:val="3-SubsectionHeading"/>
    <w:rsid w:val="00650D10"/>
    <w:rPr>
      <w:rFonts w:ascii="Calibri" w:eastAsiaTheme="majorEastAsia" w:hAnsi="Calibri" w:cstheme="majorBidi"/>
      <w:b/>
      <w:i/>
      <w:spacing w:val="5"/>
      <w:kern w:val="28"/>
      <w:sz w:val="28"/>
      <w:szCs w:val="3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7484790">
      <w:bodyDiv w:val="1"/>
      <w:marLeft w:val="0"/>
      <w:marRight w:val="0"/>
      <w:marTop w:val="0"/>
      <w:marBottom w:val="0"/>
      <w:divBdr>
        <w:top w:val="none" w:sz="0" w:space="0" w:color="auto"/>
        <w:left w:val="none" w:sz="0" w:space="0" w:color="auto"/>
        <w:bottom w:val="none" w:sz="0" w:space="0" w:color="auto"/>
        <w:right w:val="none" w:sz="0" w:space="0" w:color="auto"/>
      </w:divBdr>
    </w:div>
    <w:div w:id="1787843388">
      <w:bodyDiv w:val="1"/>
      <w:marLeft w:val="0"/>
      <w:marRight w:val="0"/>
      <w:marTop w:val="0"/>
      <w:marBottom w:val="0"/>
      <w:divBdr>
        <w:top w:val="none" w:sz="0" w:space="0" w:color="auto"/>
        <w:left w:val="none" w:sz="0" w:space="0" w:color="auto"/>
        <w:bottom w:val="none" w:sz="0" w:space="0" w:color="auto"/>
        <w:right w:val="none" w:sz="0" w:space="0" w:color="auto"/>
      </w:divBdr>
    </w:div>
    <w:div w:id="21445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pbs.gov.au/info/industry/listing/elements/pbac-meetings/psd/2010-11/pbac-psd-budesonide-nov10" TargetMode="External"/><Relationship Id="rId1" Type="http://schemas.openxmlformats.org/officeDocument/2006/relationships/hyperlink" Target="https://www.aihw.gov.au/reports/asthma-other-chronic-respiratory-conditions/copd-chronic-obstructive-pulmonary-disease/contents/death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280FC38D-F325-4FB4-B0C0-FDBD7096B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8821</Words>
  <Characters>50284</Characters>
  <Application>Microsoft Office Word</Application>
  <DocSecurity>0</DocSecurity>
  <Lines>419</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2022-06-24T05:17:00Z</dcterms:created>
  <dcterms:modified xsi:type="dcterms:W3CDTF">2022-06-24T05:34:00Z</dcterms:modified>
</cp:coreProperties>
</file>