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E434" w14:textId="07B08B14" w:rsidR="006019F9" w:rsidRPr="00F86890" w:rsidRDefault="006019F9" w:rsidP="006019F9">
      <w:pPr>
        <w:pStyle w:val="1MainTitle"/>
        <w:jc w:val="left"/>
      </w:pPr>
      <w:r>
        <w:t>7.13</w:t>
      </w:r>
      <w:r w:rsidRPr="00F86890">
        <w:tab/>
      </w:r>
      <w:r>
        <w:t>DAPAGLIFLOZIN</w:t>
      </w:r>
      <w:r w:rsidRPr="00F86890">
        <w:t>,</w:t>
      </w:r>
      <w:r w:rsidRPr="00F86890">
        <w:br/>
      </w:r>
      <w:r>
        <w:t>Tablet 10 mg</w:t>
      </w:r>
      <w:r w:rsidRPr="00F86890">
        <w:t>,</w:t>
      </w:r>
      <w:r w:rsidRPr="00F86890">
        <w:br/>
      </w:r>
      <w:proofErr w:type="spellStart"/>
      <w:r>
        <w:t>Forxiga</w:t>
      </w:r>
      <w:proofErr w:type="spellEnd"/>
      <w:r w:rsidRPr="00F86890">
        <w:t>®,</w:t>
      </w:r>
      <w:r w:rsidRPr="00F86890">
        <w:br/>
        <w:t>A</w:t>
      </w:r>
      <w:r>
        <w:t>straZeneca</w:t>
      </w:r>
      <w:r w:rsidRPr="00F86890">
        <w:t xml:space="preserve"> Pty Ltd</w:t>
      </w:r>
    </w:p>
    <w:p w14:paraId="0B907A70" w14:textId="41D07438" w:rsidR="002A0C1A" w:rsidRPr="006019F9" w:rsidRDefault="002A0C1A" w:rsidP="004257C2">
      <w:pPr>
        <w:pStyle w:val="2-SectionHeading"/>
        <w:numPr>
          <w:ilvl w:val="0"/>
          <w:numId w:val="41"/>
        </w:numPr>
        <w:ind w:left="709" w:hanging="709"/>
      </w:pPr>
      <w:r w:rsidRPr="0033263D">
        <w:t xml:space="preserve">Purpose of </w:t>
      </w:r>
      <w:r>
        <w:t xml:space="preserve">Submission </w:t>
      </w:r>
    </w:p>
    <w:p w14:paraId="76EDD74C" w14:textId="0B8A0157" w:rsidR="00A63CF2" w:rsidRPr="00FE4061" w:rsidRDefault="00A63CF2" w:rsidP="004257C2">
      <w:pPr>
        <w:numPr>
          <w:ilvl w:val="0"/>
          <w:numId w:val="35"/>
        </w:numPr>
        <w:spacing w:after="120"/>
        <w:ind w:left="720" w:hanging="720"/>
      </w:pPr>
      <w:r w:rsidRPr="001224B2">
        <w:rPr>
          <w:rFonts w:eastAsiaTheme="minorHAnsi" w:cstheme="minorHAnsi"/>
        </w:rPr>
        <w:t xml:space="preserve">The </w:t>
      </w:r>
      <w:r>
        <w:rPr>
          <w:rFonts w:eastAsiaTheme="minorHAnsi" w:cstheme="minorHAnsi"/>
        </w:rPr>
        <w:t>Early Re-Entry</w:t>
      </w:r>
      <w:r w:rsidRPr="001224B2">
        <w:rPr>
          <w:rFonts w:eastAsiaTheme="minorHAnsi" w:cstheme="minorHAnsi"/>
        </w:rPr>
        <w:t xml:space="preserve"> submission</w:t>
      </w:r>
      <w:r>
        <w:rPr>
          <w:rFonts w:eastAsiaTheme="minorHAnsi" w:cstheme="minorHAnsi"/>
        </w:rPr>
        <w:t xml:space="preserve"> requested</w:t>
      </w:r>
      <w:r w:rsidRPr="001224B2">
        <w:rPr>
          <w:rFonts w:eastAsiaTheme="minorHAnsi" w:cstheme="minorHAnsi"/>
        </w:rPr>
        <w:t xml:space="preserve"> an Authority Required (STREAMLINED)</w:t>
      </w:r>
      <w:r>
        <w:t xml:space="preserve"> general schedule </w:t>
      </w:r>
      <w:r w:rsidRPr="004E18E9">
        <w:t xml:space="preserve">listing for </w:t>
      </w:r>
      <w:r>
        <w:t>dapagliflozin</w:t>
      </w:r>
      <w:r w:rsidRPr="004E18E9">
        <w:t xml:space="preserve"> for the </w:t>
      </w:r>
      <w:r>
        <w:t>treatment of chronic kidney disease (CKD)</w:t>
      </w:r>
      <w:r w:rsidRPr="00FE4061">
        <w:rPr>
          <w:rFonts w:eastAsiaTheme="minorHAnsi" w:cstheme="minorHAnsi"/>
        </w:rPr>
        <w:t>.</w:t>
      </w:r>
    </w:p>
    <w:p w14:paraId="0B29332B" w14:textId="152F27BB" w:rsidR="009C4662" w:rsidRPr="009C4662" w:rsidRDefault="00CA5562" w:rsidP="004257C2">
      <w:pPr>
        <w:pStyle w:val="2-SectionHeading"/>
        <w:numPr>
          <w:ilvl w:val="0"/>
          <w:numId w:val="41"/>
        </w:numPr>
        <w:ind w:left="709" w:hanging="709"/>
      </w:pPr>
      <w:r>
        <w:tab/>
      </w:r>
      <w:r w:rsidR="002A0C1A" w:rsidRPr="009E2E8E">
        <w:t>Background</w:t>
      </w:r>
      <w:r w:rsidR="002A0C1A">
        <w:t xml:space="preserve"> </w:t>
      </w:r>
    </w:p>
    <w:p w14:paraId="16F6F240" w14:textId="409016EC" w:rsidR="000C4F6F" w:rsidRPr="00F010F3" w:rsidRDefault="000C4F6F" w:rsidP="000C4F6F">
      <w:pPr>
        <w:pStyle w:val="4-SubsectionHeading"/>
      </w:pPr>
      <w:r w:rsidRPr="00F010F3">
        <w:t>Registration status</w:t>
      </w:r>
    </w:p>
    <w:p w14:paraId="76503E39" w14:textId="477FE5BA" w:rsidR="00175195" w:rsidRPr="004257C2" w:rsidRDefault="00175195" w:rsidP="004257C2">
      <w:pPr>
        <w:widowControl w:val="0"/>
        <w:numPr>
          <w:ilvl w:val="1"/>
          <w:numId w:val="41"/>
        </w:numPr>
        <w:spacing w:after="120"/>
        <w:ind w:hanging="720"/>
        <w:contextualSpacing/>
        <w:rPr>
          <w:rFonts w:eastAsiaTheme="minorHAnsi"/>
        </w:rPr>
      </w:pPr>
      <w:r w:rsidRPr="004257C2">
        <w:rPr>
          <w:rFonts w:eastAsiaTheme="minorHAnsi"/>
        </w:rPr>
        <w:t>Dapagliflozin (</w:t>
      </w:r>
      <w:proofErr w:type="spellStart"/>
      <w:r w:rsidRPr="004257C2">
        <w:rPr>
          <w:rFonts w:eastAsiaTheme="minorHAnsi"/>
        </w:rPr>
        <w:t>Forxiga</w:t>
      </w:r>
      <w:proofErr w:type="spellEnd"/>
      <w:r w:rsidRPr="004257C2">
        <w:rPr>
          <w:rFonts w:eastAsiaTheme="minorHAnsi"/>
        </w:rPr>
        <w:t xml:space="preserve">) is registered on the Australian Register of Therapeutic Goods (ARTG) </w:t>
      </w:r>
      <w:r w:rsidR="001266FB" w:rsidRPr="004257C2">
        <w:rPr>
          <w:rFonts w:eastAsiaTheme="minorHAnsi"/>
        </w:rPr>
        <w:t>for c</w:t>
      </w:r>
      <w:r w:rsidRPr="004257C2">
        <w:rPr>
          <w:rFonts w:eastAsiaTheme="minorHAnsi"/>
        </w:rPr>
        <w:t xml:space="preserve">hronic kidney disease, indicated to reduce the risk of progressive decline in kidney function in adults with </w:t>
      </w:r>
      <w:proofErr w:type="spellStart"/>
      <w:r w:rsidRPr="004257C2">
        <w:rPr>
          <w:rFonts w:eastAsiaTheme="minorHAnsi"/>
        </w:rPr>
        <w:t>proteinuric</w:t>
      </w:r>
      <w:proofErr w:type="spellEnd"/>
      <w:r w:rsidRPr="004257C2">
        <w:rPr>
          <w:rFonts w:eastAsiaTheme="minorHAnsi"/>
        </w:rPr>
        <w:t xml:space="preserve"> chronic kidney disease (CKD Stage 2,</w:t>
      </w:r>
      <w:r w:rsidR="001A5680">
        <w:rPr>
          <w:rFonts w:eastAsiaTheme="minorHAnsi"/>
        </w:rPr>
        <w:t xml:space="preserve"> </w:t>
      </w:r>
      <w:r w:rsidRPr="004257C2">
        <w:rPr>
          <w:rFonts w:eastAsiaTheme="minorHAnsi"/>
        </w:rPr>
        <w:t>3 or 4 and urine ACR greater than or equal to 30</w:t>
      </w:r>
      <w:r w:rsidR="00CE5105">
        <w:rPr>
          <w:rFonts w:eastAsiaTheme="minorHAnsi"/>
        </w:rPr>
        <w:t> </w:t>
      </w:r>
      <w:r w:rsidRPr="004257C2">
        <w:rPr>
          <w:rFonts w:eastAsiaTheme="minorHAnsi"/>
        </w:rPr>
        <w:t>mg/g).</w:t>
      </w:r>
    </w:p>
    <w:p w14:paraId="7DA95377" w14:textId="3BF84CE0" w:rsidR="00FD07CA" w:rsidRDefault="00FD07CA" w:rsidP="00FD07CA">
      <w:pPr>
        <w:pStyle w:val="4-SubsectionHeading"/>
      </w:pPr>
      <w:r w:rsidRPr="00F010F3">
        <w:t xml:space="preserve">Previous PBAC consideration </w:t>
      </w:r>
    </w:p>
    <w:p w14:paraId="3FAA14A0" w14:textId="0B0CC828" w:rsidR="00FD0DC8" w:rsidRPr="00FD0DC8" w:rsidRDefault="00FD0DC8" w:rsidP="004257C2">
      <w:pPr>
        <w:widowControl w:val="0"/>
        <w:numPr>
          <w:ilvl w:val="1"/>
          <w:numId w:val="41"/>
        </w:numPr>
        <w:spacing w:after="120"/>
        <w:ind w:hanging="720"/>
        <w:contextualSpacing/>
      </w:pPr>
      <w:r w:rsidRPr="00095B5B">
        <w:t>This is the f</w:t>
      </w:r>
      <w:r>
        <w:t>ourth</w:t>
      </w:r>
      <w:r w:rsidRPr="00095B5B">
        <w:t xml:space="preserve"> submission to the PBAC for </w:t>
      </w:r>
      <w:r>
        <w:t xml:space="preserve">CKD. </w:t>
      </w:r>
      <w:r>
        <w:rPr>
          <w:snapToGrid w:val="0"/>
        </w:rPr>
        <w:t xml:space="preserve">Prior submissions were considered by PBAC in July 2021, September </w:t>
      </w:r>
      <w:proofErr w:type="gramStart"/>
      <w:r>
        <w:rPr>
          <w:snapToGrid w:val="0"/>
        </w:rPr>
        <w:t>2021</w:t>
      </w:r>
      <w:proofErr w:type="gramEnd"/>
      <w:r>
        <w:rPr>
          <w:snapToGrid w:val="0"/>
        </w:rPr>
        <w:t xml:space="preserve"> and November 2021. </w:t>
      </w:r>
      <w:r w:rsidRPr="00BE6070">
        <w:rPr>
          <w:snapToGrid w:val="0"/>
        </w:rPr>
        <w:t xml:space="preserve">At its November 2021 meeting, the PBAC considered that the listing would be cost-effective at the price proposed in the pre-PBAC response from July 2021 (the </w:t>
      </w:r>
      <w:r w:rsidR="007B602D">
        <w:rPr>
          <w:snapToGrid w:val="0"/>
          <w:color w:val="000000"/>
          <w:shd w:val="solid" w:color="000000" w:fill="000000"/>
          <w14:textFill>
            <w14:solidFill>
              <w14:srgbClr w14:val="000000">
                <w14:alpha w14:val="100000"/>
              </w14:srgbClr>
            </w14:solidFill>
          </w14:textFill>
        </w:rPr>
        <w:t xml:space="preserve">    </w:t>
      </w:r>
      <w:r w:rsidR="007B602D" w:rsidRPr="008A3930">
        <w:rPr>
          <w:snapToGrid w:val="0"/>
          <w:color w:val="000000"/>
          <w:w w:val="15"/>
          <w:shd w:val="solid" w:color="000000" w:fill="000000"/>
          <w:fitText w:val="-20" w:id="-1505484800"/>
          <w14:textFill>
            <w14:solidFill>
              <w14:srgbClr w14:val="000000">
                <w14:alpha w14:val="100000"/>
              </w14:srgbClr>
            </w14:solidFill>
          </w14:textFill>
        </w:rPr>
        <w:t xml:space="preserve">  </w:t>
      </w:r>
      <w:r w:rsidR="007B602D" w:rsidRPr="008A3930">
        <w:rPr>
          <w:snapToGrid w:val="0"/>
          <w:color w:val="000000"/>
          <w:spacing w:val="-52"/>
          <w:w w:val="15"/>
          <w:shd w:val="solid" w:color="000000" w:fill="000000"/>
          <w:fitText w:val="-20" w:id="-1505484800"/>
          <w14:textFill>
            <w14:solidFill>
              <w14:srgbClr w14:val="000000">
                <w14:alpha w14:val="100000"/>
              </w14:srgbClr>
            </w14:solidFill>
          </w14:textFill>
        </w:rPr>
        <w:t>|</w:t>
      </w:r>
      <w:r w:rsidRPr="00CE5105">
        <w:rPr>
          <w:snapToGrid w:val="0"/>
        </w:rPr>
        <w:t xml:space="preserve"> PBS</w:t>
      </w:r>
      <w:r w:rsidRPr="00BE6070">
        <w:rPr>
          <w:snapToGrid w:val="0"/>
        </w:rPr>
        <w:t xml:space="preserve"> price for dapagliflozin for </w:t>
      </w:r>
      <w:r w:rsidR="007B602D">
        <w:rPr>
          <w:snapToGrid w:val="0"/>
          <w:color w:val="000000"/>
          <w:shd w:val="solid" w:color="000000" w:fill="000000"/>
          <w14:textFill>
            <w14:solidFill>
              <w14:srgbClr w14:val="000000">
                <w14:alpha w14:val="100000"/>
              </w14:srgbClr>
            </w14:solidFill>
          </w14:textFill>
        </w:rPr>
        <w:t xml:space="preserve">       </w:t>
      </w:r>
      <w:r w:rsidR="007B602D" w:rsidRPr="008A3930">
        <w:rPr>
          <w:snapToGrid w:val="0"/>
          <w:color w:val="000000"/>
          <w:w w:val="15"/>
          <w:shd w:val="solid" w:color="000000" w:fill="000000"/>
          <w:fitText w:val="-20" w:id="-1505484544"/>
          <w14:textFill>
            <w14:solidFill>
              <w14:srgbClr w14:val="000000">
                <w14:alpha w14:val="100000"/>
              </w14:srgbClr>
            </w14:solidFill>
          </w14:textFill>
        </w:rPr>
        <w:t xml:space="preserve">  </w:t>
      </w:r>
      <w:r w:rsidR="007B602D" w:rsidRPr="008A3930">
        <w:rPr>
          <w:snapToGrid w:val="0"/>
          <w:color w:val="000000"/>
          <w:spacing w:val="-52"/>
          <w:w w:val="15"/>
          <w:shd w:val="solid" w:color="000000" w:fill="000000"/>
          <w:fitText w:val="-20" w:id="-1505484544"/>
          <w14:textFill>
            <w14:solidFill>
              <w14:srgbClr w14:val="000000">
                <w14:alpha w14:val="100000"/>
              </w14:srgbClr>
            </w14:solidFill>
          </w14:textFill>
        </w:rPr>
        <w:t>|</w:t>
      </w:r>
      <w:r>
        <w:rPr>
          <w:snapToGrid w:val="0"/>
        </w:rPr>
        <w:t>)</w:t>
      </w:r>
      <w:r w:rsidRPr="00BE6070">
        <w:rPr>
          <w:snapToGrid w:val="0"/>
        </w:rPr>
        <w:t xml:space="preserve">. However, </w:t>
      </w:r>
      <w:r w:rsidR="007B7174">
        <w:rPr>
          <w:snapToGrid w:val="0"/>
        </w:rPr>
        <w:t xml:space="preserve">PBAC considered that </w:t>
      </w:r>
      <w:r w:rsidRPr="00BE6070">
        <w:rPr>
          <w:snapToGrid w:val="0"/>
        </w:rPr>
        <w:t xml:space="preserve">the revised financial estimates </w:t>
      </w:r>
      <w:r>
        <w:rPr>
          <w:snapToGrid w:val="0"/>
        </w:rPr>
        <w:t xml:space="preserve">were </w:t>
      </w:r>
      <w:r w:rsidRPr="00BE6070">
        <w:rPr>
          <w:snapToGrid w:val="0"/>
        </w:rPr>
        <w:t xml:space="preserve">high and </w:t>
      </w:r>
      <w:proofErr w:type="gramStart"/>
      <w:r w:rsidRPr="00BE6070">
        <w:rPr>
          <w:snapToGrid w:val="0"/>
        </w:rPr>
        <w:t>uncertain, and</w:t>
      </w:r>
      <w:proofErr w:type="gramEnd"/>
      <w:r w:rsidRPr="00BE6070">
        <w:rPr>
          <w:snapToGrid w:val="0"/>
        </w:rPr>
        <w:t xml:space="preserve"> did not form a reliable basis for a risk</w:t>
      </w:r>
      <w:r w:rsidR="00253005">
        <w:rPr>
          <w:snapToGrid w:val="0"/>
        </w:rPr>
        <w:t xml:space="preserve"> </w:t>
      </w:r>
      <w:r w:rsidRPr="00BE6070">
        <w:rPr>
          <w:snapToGrid w:val="0"/>
        </w:rPr>
        <w:t>sharing arrangement (RSA) with the Australian Government</w:t>
      </w:r>
      <w:r>
        <w:rPr>
          <w:snapToGrid w:val="0"/>
        </w:rPr>
        <w:t xml:space="preserve">. </w:t>
      </w:r>
    </w:p>
    <w:p w14:paraId="5C0C4829" w14:textId="6566430C" w:rsidR="002A0C1A" w:rsidRDefault="002A0C1A" w:rsidP="004257C2">
      <w:pPr>
        <w:pStyle w:val="2-SectionHeading"/>
        <w:numPr>
          <w:ilvl w:val="0"/>
          <w:numId w:val="41"/>
        </w:numPr>
        <w:ind w:left="709" w:hanging="709"/>
      </w:pPr>
      <w:r w:rsidRPr="009D507A">
        <w:t xml:space="preserve">Requested listing </w:t>
      </w:r>
    </w:p>
    <w:p w14:paraId="52E27DF8" w14:textId="30C23C62" w:rsidR="009B7C17" w:rsidRPr="00A06AB7" w:rsidRDefault="009B7C17" w:rsidP="004257C2">
      <w:pPr>
        <w:widowControl w:val="0"/>
        <w:numPr>
          <w:ilvl w:val="1"/>
          <w:numId w:val="41"/>
        </w:numPr>
        <w:spacing w:after="120"/>
        <w:ind w:hanging="720"/>
        <w:contextualSpacing/>
      </w:pPr>
      <w:r w:rsidRPr="009B7C17">
        <w:t>An Authority Required (STREAMLINED)</w:t>
      </w:r>
      <w:r>
        <w:t xml:space="preserve"> general schedule </w:t>
      </w:r>
      <w:r w:rsidRPr="004E18E9">
        <w:t xml:space="preserve">listing for </w:t>
      </w:r>
      <w:r>
        <w:t>dapagliflozin</w:t>
      </w:r>
      <w:r w:rsidRPr="004E18E9">
        <w:t xml:space="preserve"> for the </w:t>
      </w:r>
      <w:r>
        <w:t>treatment of chronic kidney disease</w:t>
      </w:r>
      <w:r w:rsidRPr="009B7C17">
        <w:t>.</w:t>
      </w:r>
    </w:p>
    <w:p w14:paraId="6B728875" w14:textId="77777777" w:rsidR="00324759" w:rsidRPr="004B1FF6" w:rsidRDefault="00324759" w:rsidP="00324759">
      <w:pPr>
        <w:rPr>
          <w:rFonts w:cs="Calibr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2207"/>
        <w:gridCol w:w="1354"/>
        <w:gridCol w:w="1424"/>
        <w:gridCol w:w="1296"/>
        <w:gridCol w:w="1783"/>
      </w:tblGrid>
      <w:tr w:rsidR="00324759" w:rsidRPr="00644691" w14:paraId="0F3DFB04" w14:textId="77777777" w:rsidTr="000A55FF">
        <w:trPr>
          <w:trHeight w:val="20"/>
        </w:trPr>
        <w:tc>
          <w:tcPr>
            <w:tcW w:w="3159" w:type="dxa"/>
            <w:gridSpan w:val="2"/>
            <w:vAlign w:val="center"/>
          </w:tcPr>
          <w:p w14:paraId="23E9DA61" w14:textId="77777777" w:rsidR="00324759" w:rsidRPr="00644691" w:rsidRDefault="00324759" w:rsidP="000A55FF">
            <w:pPr>
              <w:keepNext/>
              <w:ind w:left="-57"/>
              <w:rPr>
                <w:rFonts w:ascii="Arial Narrow" w:hAnsi="Arial Narrow"/>
                <w:b/>
                <w:bCs/>
                <w:sz w:val="20"/>
                <w:szCs w:val="20"/>
              </w:rPr>
            </w:pPr>
            <w:r w:rsidRPr="00644691">
              <w:rPr>
                <w:rFonts w:ascii="Arial Narrow" w:hAnsi="Arial Narrow"/>
                <w:b/>
                <w:bCs/>
                <w:sz w:val="20"/>
                <w:szCs w:val="20"/>
              </w:rPr>
              <w:t>MEDICINAL PRODUCT</w:t>
            </w:r>
          </w:p>
          <w:p w14:paraId="5D6B880A" w14:textId="77777777" w:rsidR="00324759" w:rsidRPr="00644691" w:rsidRDefault="00324759" w:rsidP="000A55FF">
            <w:pPr>
              <w:keepNext/>
              <w:ind w:left="-57"/>
              <w:rPr>
                <w:rFonts w:ascii="Arial Narrow" w:hAnsi="Arial Narrow"/>
                <w:b/>
                <w:sz w:val="20"/>
                <w:szCs w:val="20"/>
              </w:rPr>
            </w:pPr>
            <w:r w:rsidRPr="00644691">
              <w:rPr>
                <w:rFonts w:ascii="Arial Narrow" w:hAnsi="Arial Narrow"/>
                <w:b/>
                <w:bCs/>
                <w:sz w:val="20"/>
                <w:szCs w:val="20"/>
              </w:rPr>
              <w:t>medicinal product pack</w:t>
            </w:r>
          </w:p>
        </w:tc>
        <w:tc>
          <w:tcPr>
            <w:tcW w:w="1354" w:type="dxa"/>
            <w:vAlign w:val="center"/>
          </w:tcPr>
          <w:p w14:paraId="014EC872" w14:textId="77777777" w:rsidR="00324759" w:rsidRPr="00644691" w:rsidRDefault="00324759" w:rsidP="000A55FF">
            <w:pPr>
              <w:keepNext/>
              <w:jc w:val="center"/>
              <w:rPr>
                <w:rFonts w:ascii="Arial Narrow" w:hAnsi="Arial Narrow"/>
                <w:b/>
                <w:sz w:val="20"/>
                <w:szCs w:val="20"/>
              </w:rPr>
            </w:pPr>
            <w:r w:rsidRPr="00644691">
              <w:rPr>
                <w:rFonts w:ascii="Arial Narrow" w:hAnsi="Arial Narrow"/>
                <w:b/>
                <w:sz w:val="20"/>
                <w:szCs w:val="20"/>
              </w:rPr>
              <w:t>Max. qty packs</w:t>
            </w:r>
          </w:p>
        </w:tc>
        <w:tc>
          <w:tcPr>
            <w:tcW w:w="1424" w:type="dxa"/>
            <w:vAlign w:val="center"/>
          </w:tcPr>
          <w:p w14:paraId="466C649A" w14:textId="77777777" w:rsidR="00324759" w:rsidRPr="00644691" w:rsidRDefault="00324759" w:rsidP="000A55FF">
            <w:pPr>
              <w:keepNext/>
              <w:jc w:val="center"/>
              <w:rPr>
                <w:rFonts w:ascii="Arial Narrow" w:hAnsi="Arial Narrow"/>
                <w:b/>
                <w:sz w:val="20"/>
                <w:szCs w:val="20"/>
              </w:rPr>
            </w:pPr>
            <w:r w:rsidRPr="00644691">
              <w:rPr>
                <w:rFonts w:ascii="Arial Narrow" w:hAnsi="Arial Narrow"/>
                <w:b/>
                <w:sz w:val="20"/>
                <w:szCs w:val="20"/>
              </w:rPr>
              <w:t>Max. qty units</w:t>
            </w:r>
          </w:p>
        </w:tc>
        <w:tc>
          <w:tcPr>
            <w:tcW w:w="1296" w:type="dxa"/>
            <w:vAlign w:val="center"/>
          </w:tcPr>
          <w:p w14:paraId="475C41B6" w14:textId="77777777" w:rsidR="00324759" w:rsidRPr="00644691" w:rsidRDefault="00324759" w:rsidP="000A55FF">
            <w:pPr>
              <w:keepNext/>
              <w:jc w:val="center"/>
              <w:rPr>
                <w:rFonts w:ascii="Arial Narrow" w:hAnsi="Arial Narrow"/>
                <w:b/>
                <w:sz w:val="20"/>
                <w:szCs w:val="20"/>
              </w:rPr>
            </w:pPr>
            <w:proofErr w:type="gramStart"/>
            <w:r w:rsidRPr="00644691">
              <w:rPr>
                <w:rFonts w:ascii="Arial Narrow" w:hAnsi="Arial Narrow"/>
                <w:b/>
                <w:sz w:val="20"/>
                <w:szCs w:val="20"/>
              </w:rPr>
              <w:t>№.of</w:t>
            </w:r>
            <w:proofErr w:type="gramEnd"/>
            <w:r w:rsidRPr="00644691">
              <w:rPr>
                <w:rFonts w:ascii="Arial Narrow" w:hAnsi="Arial Narrow"/>
                <w:b/>
                <w:sz w:val="20"/>
                <w:szCs w:val="20"/>
              </w:rPr>
              <w:t xml:space="preserve"> </w:t>
            </w:r>
            <w:proofErr w:type="spellStart"/>
            <w:r w:rsidRPr="00644691">
              <w:rPr>
                <w:rFonts w:ascii="Arial Narrow" w:hAnsi="Arial Narrow"/>
                <w:b/>
                <w:sz w:val="20"/>
                <w:szCs w:val="20"/>
              </w:rPr>
              <w:t>Rpts</w:t>
            </w:r>
            <w:proofErr w:type="spellEnd"/>
          </w:p>
        </w:tc>
        <w:tc>
          <w:tcPr>
            <w:tcW w:w="1783" w:type="dxa"/>
            <w:vAlign w:val="center"/>
          </w:tcPr>
          <w:p w14:paraId="3951B949" w14:textId="77777777" w:rsidR="00324759" w:rsidRPr="00644691" w:rsidRDefault="00324759" w:rsidP="000A55FF">
            <w:pPr>
              <w:keepNext/>
              <w:jc w:val="center"/>
              <w:rPr>
                <w:rFonts w:ascii="Arial Narrow" w:hAnsi="Arial Narrow"/>
                <w:b/>
                <w:sz w:val="20"/>
                <w:szCs w:val="20"/>
              </w:rPr>
            </w:pPr>
            <w:r w:rsidRPr="00644691">
              <w:rPr>
                <w:rFonts w:ascii="Arial Narrow" w:hAnsi="Arial Narrow"/>
                <w:b/>
                <w:sz w:val="20"/>
                <w:szCs w:val="20"/>
              </w:rPr>
              <w:t>Available brands</w:t>
            </w:r>
          </w:p>
        </w:tc>
      </w:tr>
      <w:tr w:rsidR="00324759" w:rsidRPr="00644691" w14:paraId="68B8FA73" w14:textId="77777777" w:rsidTr="000A55FF">
        <w:trPr>
          <w:trHeight w:val="20"/>
        </w:trPr>
        <w:tc>
          <w:tcPr>
            <w:tcW w:w="9016" w:type="dxa"/>
            <w:gridSpan w:val="6"/>
          </w:tcPr>
          <w:p w14:paraId="57D38598" w14:textId="77777777" w:rsidR="00324759" w:rsidRPr="00644691" w:rsidRDefault="00324759" w:rsidP="000A55FF">
            <w:pPr>
              <w:keepNext/>
              <w:ind w:left="-57"/>
              <w:rPr>
                <w:rFonts w:ascii="Arial Narrow" w:hAnsi="Arial Narrow"/>
                <w:sz w:val="20"/>
                <w:szCs w:val="20"/>
              </w:rPr>
            </w:pPr>
            <w:r w:rsidRPr="00644691">
              <w:rPr>
                <w:rFonts w:ascii="Arial Narrow" w:hAnsi="Arial Narrow"/>
                <w:sz w:val="20"/>
                <w:szCs w:val="20"/>
              </w:rPr>
              <w:t>DAPAGLIFLOZIN</w:t>
            </w:r>
          </w:p>
        </w:tc>
      </w:tr>
      <w:tr w:rsidR="00324759" w:rsidRPr="00644691" w14:paraId="396DED03" w14:textId="77777777" w:rsidTr="000A55FF">
        <w:trPr>
          <w:trHeight w:val="20"/>
        </w:trPr>
        <w:tc>
          <w:tcPr>
            <w:tcW w:w="3159" w:type="dxa"/>
            <w:gridSpan w:val="2"/>
          </w:tcPr>
          <w:p w14:paraId="1B6CECA4" w14:textId="77777777" w:rsidR="00324759" w:rsidRPr="00644691" w:rsidRDefault="00324759" w:rsidP="000A55FF">
            <w:pPr>
              <w:keepNext/>
              <w:ind w:left="-57"/>
              <w:rPr>
                <w:rFonts w:ascii="Arial Narrow" w:hAnsi="Arial Narrow"/>
                <w:sz w:val="20"/>
                <w:szCs w:val="20"/>
              </w:rPr>
            </w:pPr>
            <w:r w:rsidRPr="00644691">
              <w:rPr>
                <w:rFonts w:ascii="Arial Narrow" w:hAnsi="Arial Narrow"/>
                <w:sz w:val="20"/>
                <w:szCs w:val="20"/>
              </w:rPr>
              <w:t xml:space="preserve">dapagliflozin 10 mg tablet, 28 </w:t>
            </w:r>
          </w:p>
        </w:tc>
        <w:tc>
          <w:tcPr>
            <w:tcW w:w="1354" w:type="dxa"/>
          </w:tcPr>
          <w:p w14:paraId="3CBF0168" w14:textId="77777777" w:rsidR="00324759" w:rsidRPr="00644691" w:rsidRDefault="00324759" w:rsidP="000A55FF">
            <w:pPr>
              <w:keepNext/>
              <w:jc w:val="center"/>
              <w:rPr>
                <w:rFonts w:ascii="Arial Narrow" w:hAnsi="Arial Narrow"/>
                <w:sz w:val="20"/>
                <w:szCs w:val="20"/>
              </w:rPr>
            </w:pPr>
            <w:r w:rsidRPr="00644691">
              <w:rPr>
                <w:rFonts w:ascii="Arial Narrow" w:hAnsi="Arial Narrow"/>
                <w:sz w:val="20"/>
                <w:szCs w:val="20"/>
              </w:rPr>
              <w:t>1</w:t>
            </w:r>
          </w:p>
        </w:tc>
        <w:tc>
          <w:tcPr>
            <w:tcW w:w="1424" w:type="dxa"/>
          </w:tcPr>
          <w:p w14:paraId="06A5C49B" w14:textId="77777777" w:rsidR="00324759" w:rsidRPr="00644691" w:rsidRDefault="00324759" w:rsidP="000A55FF">
            <w:pPr>
              <w:keepNext/>
              <w:jc w:val="center"/>
              <w:rPr>
                <w:rFonts w:ascii="Arial Narrow" w:hAnsi="Arial Narrow"/>
                <w:sz w:val="20"/>
                <w:szCs w:val="20"/>
              </w:rPr>
            </w:pPr>
            <w:r w:rsidRPr="00644691">
              <w:rPr>
                <w:rFonts w:ascii="Arial Narrow" w:hAnsi="Arial Narrow"/>
                <w:sz w:val="20"/>
                <w:szCs w:val="20"/>
              </w:rPr>
              <w:t>28</w:t>
            </w:r>
          </w:p>
        </w:tc>
        <w:tc>
          <w:tcPr>
            <w:tcW w:w="1296" w:type="dxa"/>
          </w:tcPr>
          <w:p w14:paraId="20742F46" w14:textId="77777777" w:rsidR="00324759" w:rsidRPr="00644691" w:rsidRDefault="00324759" w:rsidP="000A55FF">
            <w:pPr>
              <w:keepNext/>
              <w:jc w:val="center"/>
              <w:rPr>
                <w:rFonts w:ascii="Arial Narrow" w:hAnsi="Arial Narrow"/>
                <w:sz w:val="20"/>
                <w:szCs w:val="20"/>
              </w:rPr>
            </w:pPr>
            <w:r w:rsidRPr="00644691">
              <w:rPr>
                <w:rFonts w:ascii="Arial Narrow" w:hAnsi="Arial Narrow"/>
                <w:sz w:val="20"/>
                <w:szCs w:val="20"/>
              </w:rPr>
              <w:t>5</w:t>
            </w:r>
          </w:p>
        </w:tc>
        <w:tc>
          <w:tcPr>
            <w:tcW w:w="1783" w:type="dxa"/>
          </w:tcPr>
          <w:p w14:paraId="2446566A" w14:textId="77777777" w:rsidR="00324759" w:rsidRPr="00644691" w:rsidRDefault="00324759" w:rsidP="000A55FF">
            <w:pPr>
              <w:keepNext/>
              <w:jc w:val="center"/>
              <w:rPr>
                <w:rFonts w:ascii="Arial Narrow" w:hAnsi="Arial Narrow"/>
                <w:sz w:val="20"/>
                <w:szCs w:val="20"/>
              </w:rPr>
            </w:pPr>
            <w:proofErr w:type="spellStart"/>
            <w:r w:rsidRPr="00644691">
              <w:rPr>
                <w:rFonts w:ascii="Arial Narrow" w:hAnsi="Arial Narrow"/>
                <w:sz w:val="20"/>
                <w:szCs w:val="20"/>
              </w:rPr>
              <w:t>Forxiga</w:t>
            </w:r>
            <w:proofErr w:type="spellEnd"/>
          </w:p>
        </w:tc>
      </w:tr>
      <w:tr w:rsidR="00324759" w:rsidRPr="00121962" w14:paraId="77733136" w14:textId="77777777" w:rsidTr="000A55FF">
        <w:tblPrEx>
          <w:tblCellMar>
            <w:top w:w="15" w:type="dxa"/>
            <w:left w:w="15" w:type="dxa"/>
            <w:bottom w:w="15" w:type="dxa"/>
            <w:right w:w="15" w:type="dxa"/>
          </w:tblCellMar>
          <w:tblLook w:val="04A0" w:firstRow="1" w:lastRow="0" w:firstColumn="1" w:lastColumn="0" w:noHBand="0" w:noVBand="1"/>
        </w:tblPrEx>
        <w:tc>
          <w:tcPr>
            <w:tcW w:w="9016" w:type="dxa"/>
            <w:gridSpan w:val="6"/>
            <w:tcBorders>
              <w:top w:val="single" w:sz="4" w:space="0" w:color="auto"/>
              <w:left w:val="single" w:sz="4" w:space="0" w:color="auto"/>
              <w:right w:val="single" w:sz="4" w:space="0" w:color="auto"/>
            </w:tcBorders>
          </w:tcPr>
          <w:p w14:paraId="492A5106" w14:textId="77777777" w:rsidR="00324759" w:rsidRPr="00121962" w:rsidRDefault="00324759" w:rsidP="000A55FF">
            <w:pPr>
              <w:rPr>
                <w:rFonts w:ascii="Arial Narrow" w:hAnsi="Arial Narrow"/>
                <w:sz w:val="20"/>
                <w:szCs w:val="20"/>
              </w:rPr>
            </w:pPr>
          </w:p>
        </w:tc>
      </w:tr>
      <w:tr w:rsidR="00324759" w:rsidRPr="00121962" w14:paraId="76A1C0D3" w14:textId="77777777" w:rsidTr="000A55FF">
        <w:tblPrEx>
          <w:tblCellMar>
            <w:top w:w="15" w:type="dxa"/>
            <w:left w:w="15" w:type="dxa"/>
            <w:bottom w:w="15" w:type="dxa"/>
            <w:right w:w="15" w:type="dxa"/>
          </w:tblCellMar>
          <w:tblLook w:val="04A0" w:firstRow="1" w:lastRow="0" w:firstColumn="1" w:lastColumn="0" w:noHBand="0" w:noVBand="1"/>
        </w:tblPrEx>
        <w:tc>
          <w:tcPr>
            <w:tcW w:w="9016" w:type="dxa"/>
            <w:gridSpan w:val="6"/>
            <w:tcBorders>
              <w:top w:val="single" w:sz="4" w:space="0" w:color="auto"/>
              <w:left w:val="single" w:sz="4" w:space="0" w:color="auto"/>
              <w:right w:val="single" w:sz="4" w:space="0" w:color="auto"/>
            </w:tcBorders>
          </w:tcPr>
          <w:p w14:paraId="1933E340" w14:textId="77777777" w:rsidR="00324759" w:rsidRPr="00121962" w:rsidRDefault="00324759" w:rsidP="000A55FF">
            <w:pPr>
              <w:rPr>
                <w:rFonts w:ascii="Arial Narrow" w:hAnsi="Arial Narrow"/>
                <w:b/>
                <w:sz w:val="20"/>
                <w:szCs w:val="20"/>
              </w:rPr>
            </w:pPr>
            <w:r w:rsidRPr="00121962">
              <w:rPr>
                <w:rFonts w:ascii="Arial Narrow" w:hAnsi="Arial Narrow"/>
                <w:b/>
                <w:sz w:val="20"/>
                <w:szCs w:val="20"/>
              </w:rPr>
              <w:t xml:space="preserve">Restriction Summary [new] / Treatment of Concept: [new] </w:t>
            </w:r>
          </w:p>
        </w:tc>
      </w:tr>
      <w:tr w:rsidR="00324759" w:rsidRPr="00121962" w14:paraId="209808E8" w14:textId="77777777" w:rsidTr="000A55FF">
        <w:tblPrEx>
          <w:tblCellMar>
            <w:top w:w="15" w:type="dxa"/>
            <w:left w:w="15" w:type="dxa"/>
            <w:bottom w:w="15" w:type="dxa"/>
            <w:right w:w="15" w:type="dxa"/>
          </w:tblCellMar>
          <w:tblLook w:val="04A0" w:firstRow="1" w:lastRow="0" w:firstColumn="1" w:lastColumn="0" w:noHBand="0" w:noVBand="1"/>
        </w:tblPrEx>
        <w:tc>
          <w:tcPr>
            <w:tcW w:w="952" w:type="dxa"/>
            <w:vMerge w:val="restart"/>
            <w:tcBorders>
              <w:top w:val="single" w:sz="4" w:space="0" w:color="auto"/>
              <w:left w:val="single" w:sz="4" w:space="0" w:color="auto"/>
              <w:right w:val="single" w:sz="4" w:space="0" w:color="auto"/>
            </w:tcBorders>
          </w:tcPr>
          <w:p w14:paraId="6755035F" w14:textId="5F505668" w:rsidR="00324759" w:rsidRPr="00121962" w:rsidRDefault="00324759" w:rsidP="000A55FF">
            <w:pPr>
              <w:jc w:val="center"/>
              <w:rPr>
                <w:rFonts w:ascii="Arial Narrow" w:hAnsi="Arial Narrow"/>
                <w:b/>
                <w:sz w:val="20"/>
                <w:szCs w:val="20"/>
              </w:rPr>
            </w:pPr>
          </w:p>
        </w:tc>
        <w:tc>
          <w:tcPr>
            <w:tcW w:w="8064" w:type="dxa"/>
            <w:gridSpan w:val="5"/>
            <w:tcBorders>
              <w:top w:val="single" w:sz="4" w:space="0" w:color="auto"/>
              <w:left w:val="single" w:sz="4" w:space="0" w:color="auto"/>
              <w:bottom w:val="single" w:sz="4" w:space="0" w:color="auto"/>
              <w:right w:val="single" w:sz="4" w:space="0" w:color="auto"/>
            </w:tcBorders>
          </w:tcPr>
          <w:p w14:paraId="436F518B" w14:textId="77777777" w:rsidR="00324759" w:rsidRPr="00121962" w:rsidRDefault="00324759" w:rsidP="000A55FF">
            <w:pPr>
              <w:rPr>
                <w:rFonts w:ascii="Arial Narrow" w:hAnsi="Arial Narrow"/>
                <w:sz w:val="20"/>
                <w:szCs w:val="20"/>
              </w:rPr>
            </w:pPr>
            <w:r w:rsidRPr="00121962">
              <w:rPr>
                <w:rFonts w:ascii="Arial Narrow" w:hAnsi="Arial Narrow"/>
                <w:b/>
                <w:sz w:val="20"/>
                <w:szCs w:val="20"/>
              </w:rPr>
              <w:t xml:space="preserve">Category / Program: </w:t>
            </w:r>
            <w:r w:rsidRPr="00121962">
              <w:rPr>
                <w:rFonts w:ascii="Arial Narrow" w:hAnsi="Arial Narrow"/>
                <w:sz w:val="20"/>
                <w:szCs w:val="20"/>
              </w:rPr>
              <w:t xml:space="preserve">GENERAL – General Schedule (Code GE) </w:t>
            </w:r>
          </w:p>
        </w:tc>
      </w:tr>
      <w:tr w:rsidR="00324759" w:rsidRPr="00121962" w14:paraId="330DE267" w14:textId="77777777" w:rsidTr="000A55FF">
        <w:tblPrEx>
          <w:tblCellMar>
            <w:top w:w="15" w:type="dxa"/>
            <w:left w:w="15" w:type="dxa"/>
            <w:bottom w:w="15" w:type="dxa"/>
            <w:right w:w="15" w:type="dxa"/>
          </w:tblCellMar>
          <w:tblLook w:val="04A0" w:firstRow="1" w:lastRow="0" w:firstColumn="1" w:lastColumn="0" w:noHBand="0" w:noVBand="1"/>
        </w:tblPrEx>
        <w:trPr>
          <w:trHeight w:val="240"/>
        </w:trPr>
        <w:tc>
          <w:tcPr>
            <w:tcW w:w="952" w:type="dxa"/>
            <w:vMerge/>
            <w:tcBorders>
              <w:left w:val="single" w:sz="4" w:space="0" w:color="auto"/>
              <w:right w:val="single" w:sz="4" w:space="0" w:color="auto"/>
            </w:tcBorders>
          </w:tcPr>
          <w:p w14:paraId="039A63BB" w14:textId="77777777" w:rsidR="00324759" w:rsidRPr="00121962" w:rsidRDefault="00324759" w:rsidP="000A55FF">
            <w:pPr>
              <w:rPr>
                <w:rFonts w:ascii="Arial Narrow" w:hAnsi="Arial Narrow"/>
                <w:sz w:val="20"/>
                <w:szCs w:val="20"/>
              </w:rPr>
            </w:pPr>
          </w:p>
        </w:tc>
        <w:tc>
          <w:tcPr>
            <w:tcW w:w="8064" w:type="dxa"/>
            <w:gridSpan w:val="5"/>
            <w:tcBorders>
              <w:top w:val="single" w:sz="4" w:space="0" w:color="auto"/>
              <w:left w:val="single" w:sz="4" w:space="0" w:color="auto"/>
              <w:bottom w:val="single" w:sz="4" w:space="0" w:color="auto"/>
              <w:right w:val="single" w:sz="4" w:space="0" w:color="auto"/>
            </w:tcBorders>
          </w:tcPr>
          <w:p w14:paraId="54F0C04B" w14:textId="77777777" w:rsidR="00324759" w:rsidRPr="00121962" w:rsidRDefault="00324759" w:rsidP="000A55FF">
            <w:pPr>
              <w:rPr>
                <w:rFonts w:ascii="Arial Narrow" w:hAnsi="Arial Narrow"/>
                <w:b/>
                <w:sz w:val="20"/>
                <w:szCs w:val="20"/>
              </w:rPr>
            </w:pPr>
            <w:r w:rsidRPr="00121962">
              <w:rPr>
                <w:rFonts w:ascii="Arial Narrow" w:hAnsi="Arial Narrow"/>
                <w:b/>
                <w:sz w:val="20"/>
                <w:szCs w:val="20"/>
              </w:rPr>
              <w:t xml:space="preserve">Prescriber type: </w:t>
            </w:r>
            <w:r w:rsidRPr="00121962">
              <w:rPr>
                <w:rFonts w:ascii="Arial Narrow" w:hAnsi="Arial Narrow"/>
                <w:sz w:val="20"/>
                <w:szCs w:val="20"/>
              </w:rPr>
              <w:fldChar w:fldCharType="begin">
                <w:ffData>
                  <w:name w:val=""/>
                  <w:enabled/>
                  <w:calcOnExit w:val="0"/>
                  <w:checkBox>
                    <w:sizeAuto/>
                    <w:default w:val="1"/>
                  </w:checkBox>
                </w:ffData>
              </w:fldChar>
            </w:r>
            <w:r w:rsidRPr="00121962">
              <w:rPr>
                <w:rFonts w:ascii="Arial Narrow" w:hAnsi="Arial Narrow"/>
                <w:sz w:val="20"/>
                <w:szCs w:val="20"/>
              </w:rPr>
              <w:instrText xml:space="preserve"> FORMCHECKBOX </w:instrText>
            </w:r>
            <w:r w:rsidR="008A3930">
              <w:rPr>
                <w:rFonts w:ascii="Arial Narrow" w:hAnsi="Arial Narrow"/>
                <w:sz w:val="20"/>
                <w:szCs w:val="20"/>
              </w:rPr>
            </w:r>
            <w:r w:rsidR="008A3930">
              <w:rPr>
                <w:rFonts w:ascii="Arial Narrow" w:hAnsi="Arial Narrow"/>
                <w:sz w:val="20"/>
                <w:szCs w:val="20"/>
              </w:rPr>
              <w:fldChar w:fldCharType="separate"/>
            </w:r>
            <w:r w:rsidRPr="00121962">
              <w:rPr>
                <w:rFonts w:ascii="Arial Narrow" w:hAnsi="Arial Narrow"/>
                <w:sz w:val="20"/>
                <w:szCs w:val="20"/>
              </w:rPr>
              <w:fldChar w:fldCharType="end"/>
            </w:r>
            <w:r w:rsidRPr="00121962">
              <w:rPr>
                <w:rFonts w:ascii="Arial Narrow" w:hAnsi="Arial Narrow"/>
                <w:sz w:val="20"/>
                <w:szCs w:val="20"/>
              </w:rPr>
              <w:t xml:space="preserve">Medical Practitioners </w:t>
            </w:r>
            <w:r w:rsidRPr="00121962">
              <w:rPr>
                <w:rFonts w:ascii="Arial Narrow" w:hAnsi="Arial Narrow"/>
                <w:sz w:val="20"/>
                <w:szCs w:val="20"/>
              </w:rPr>
              <w:fldChar w:fldCharType="begin">
                <w:ffData>
                  <w:name w:val="Check3"/>
                  <w:enabled/>
                  <w:calcOnExit w:val="0"/>
                  <w:checkBox>
                    <w:sizeAuto/>
                    <w:default w:val="1"/>
                  </w:checkBox>
                </w:ffData>
              </w:fldChar>
            </w:r>
            <w:r w:rsidRPr="00121962">
              <w:rPr>
                <w:rFonts w:ascii="Arial Narrow" w:hAnsi="Arial Narrow"/>
                <w:sz w:val="20"/>
                <w:szCs w:val="20"/>
              </w:rPr>
              <w:instrText xml:space="preserve"> FORMCHECKBOX </w:instrText>
            </w:r>
            <w:r w:rsidR="008A3930">
              <w:rPr>
                <w:rFonts w:ascii="Arial Narrow" w:hAnsi="Arial Narrow"/>
                <w:sz w:val="20"/>
                <w:szCs w:val="20"/>
              </w:rPr>
            </w:r>
            <w:r w:rsidR="008A3930">
              <w:rPr>
                <w:rFonts w:ascii="Arial Narrow" w:hAnsi="Arial Narrow"/>
                <w:sz w:val="20"/>
                <w:szCs w:val="20"/>
              </w:rPr>
              <w:fldChar w:fldCharType="separate"/>
            </w:r>
            <w:r w:rsidRPr="00121962">
              <w:rPr>
                <w:rFonts w:ascii="Arial Narrow" w:hAnsi="Arial Narrow"/>
                <w:sz w:val="20"/>
                <w:szCs w:val="20"/>
              </w:rPr>
              <w:fldChar w:fldCharType="end"/>
            </w:r>
            <w:r w:rsidRPr="00121962">
              <w:rPr>
                <w:rFonts w:ascii="Arial Narrow" w:hAnsi="Arial Narrow"/>
                <w:sz w:val="20"/>
                <w:szCs w:val="20"/>
              </w:rPr>
              <w:t>Nurse practitioners</w:t>
            </w:r>
          </w:p>
        </w:tc>
      </w:tr>
      <w:tr w:rsidR="00324759" w:rsidRPr="00121962" w14:paraId="66A0EDA5" w14:textId="77777777" w:rsidTr="000A55FF">
        <w:tblPrEx>
          <w:tblCellMar>
            <w:top w:w="15" w:type="dxa"/>
            <w:left w:w="15" w:type="dxa"/>
            <w:bottom w:w="15" w:type="dxa"/>
            <w:right w:w="15" w:type="dxa"/>
          </w:tblCellMar>
          <w:tblLook w:val="04A0" w:firstRow="1" w:lastRow="0" w:firstColumn="1" w:lastColumn="0" w:noHBand="0" w:noVBand="1"/>
        </w:tblPrEx>
        <w:tc>
          <w:tcPr>
            <w:tcW w:w="952" w:type="dxa"/>
            <w:vMerge/>
            <w:tcBorders>
              <w:left w:val="single" w:sz="4" w:space="0" w:color="auto"/>
              <w:bottom w:val="single" w:sz="4" w:space="0" w:color="auto"/>
              <w:right w:val="single" w:sz="4" w:space="0" w:color="auto"/>
            </w:tcBorders>
          </w:tcPr>
          <w:p w14:paraId="36B34523" w14:textId="77777777" w:rsidR="00324759" w:rsidRPr="00121962" w:rsidRDefault="00324759" w:rsidP="000A55FF">
            <w:pPr>
              <w:rPr>
                <w:rFonts w:ascii="Arial Narrow" w:hAnsi="Arial Narrow"/>
                <w:sz w:val="20"/>
                <w:szCs w:val="20"/>
              </w:rPr>
            </w:pPr>
          </w:p>
        </w:tc>
        <w:tc>
          <w:tcPr>
            <w:tcW w:w="8064" w:type="dxa"/>
            <w:gridSpan w:val="5"/>
            <w:tcBorders>
              <w:top w:val="single" w:sz="4" w:space="0" w:color="auto"/>
              <w:left w:val="single" w:sz="4" w:space="0" w:color="auto"/>
              <w:bottom w:val="single" w:sz="4" w:space="0" w:color="auto"/>
              <w:right w:val="single" w:sz="4" w:space="0" w:color="auto"/>
            </w:tcBorders>
          </w:tcPr>
          <w:p w14:paraId="167020A4" w14:textId="77777777" w:rsidR="00324759" w:rsidRPr="00121962" w:rsidRDefault="00324759" w:rsidP="000A55FF">
            <w:pPr>
              <w:rPr>
                <w:rFonts w:ascii="Arial Narrow" w:eastAsia="Calibri" w:hAnsi="Arial Narrow"/>
                <w:sz w:val="20"/>
                <w:szCs w:val="20"/>
              </w:rPr>
            </w:pPr>
            <w:r w:rsidRPr="00121962">
              <w:rPr>
                <w:rFonts w:ascii="Arial Narrow" w:hAnsi="Arial Narrow"/>
                <w:b/>
                <w:sz w:val="20"/>
                <w:szCs w:val="20"/>
              </w:rPr>
              <w:t xml:space="preserve">Restriction type: </w:t>
            </w:r>
            <w:r w:rsidRPr="00121962">
              <w:rPr>
                <w:rFonts w:ascii="Arial Narrow" w:eastAsia="Calibri" w:hAnsi="Arial Narrow"/>
                <w:sz w:val="20"/>
                <w:szCs w:val="20"/>
              </w:rPr>
              <w:fldChar w:fldCharType="begin">
                <w:ffData>
                  <w:name w:val=""/>
                  <w:enabled/>
                  <w:calcOnExit w:val="0"/>
                  <w:checkBox>
                    <w:sizeAuto/>
                    <w:default w:val="1"/>
                  </w:checkBox>
                </w:ffData>
              </w:fldChar>
            </w:r>
            <w:r w:rsidRPr="00121962">
              <w:rPr>
                <w:rFonts w:ascii="Arial Narrow" w:eastAsia="Calibri" w:hAnsi="Arial Narrow"/>
                <w:sz w:val="20"/>
                <w:szCs w:val="20"/>
              </w:rPr>
              <w:instrText xml:space="preserve"> FORMCHECKBOX </w:instrText>
            </w:r>
            <w:r w:rsidR="008A3930">
              <w:rPr>
                <w:rFonts w:ascii="Arial Narrow" w:eastAsia="Calibri" w:hAnsi="Arial Narrow"/>
                <w:sz w:val="20"/>
                <w:szCs w:val="20"/>
              </w:rPr>
            </w:r>
            <w:r w:rsidR="008A3930">
              <w:rPr>
                <w:rFonts w:ascii="Arial Narrow" w:eastAsia="Calibri" w:hAnsi="Arial Narrow"/>
                <w:sz w:val="20"/>
                <w:szCs w:val="20"/>
              </w:rPr>
              <w:fldChar w:fldCharType="separate"/>
            </w:r>
            <w:r w:rsidRPr="00121962">
              <w:rPr>
                <w:rFonts w:ascii="Arial Narrow" w:eastAsia="Calibri" w:hAnsi="Arial Narrow"/>
                <w:sz w:val="20"/>
                <w:szCs w:val="20"/>
              </w:rPr>
              <w:fldChar w:fldCharType="end"/>
            </w:r>
            <w:r w:rsidRPr="00121962">
              <w:rPr>
                <w:rFonts w:ascii="Arial Narrow" w:eastAsia="Calibri" w:hAnsi="Arial Narrow"/>
                <w:sz w:val="20"/>
                <w:szCs w:val="20"/>
              </w:rPr>
              <w:t>Authority Required – Streamlined [new code]</w:t>
            </w:r>
          </w:p>
        </w:tc>
      </w:tr>
      <w:tr w:rsidR="00324759" w:rsidRPr="00121962" w14:paraId="469A40B8" w14:textId="77777777" w:rsidTr="00763A39">
        <w:tblPrEx>
          <w:tblCellMar>
            <w:top w:w="15" w:type="dxa"/>
            <w:left w:w="15" w:type="dxa"/>
            <w:bottom w:w="15" w:type="dxa"/>
            <w:right w:w="15" w:type="dxa"/>
          </w:tblCellMar>
          <w:tblLook w:val="04A0" w:firstRow="1" w:lastRow="0" w:firstColumn="1" w:lastColumn="0" w:noHBand="0" w:noVBand="1"/>
        </w:tblPrEx>
        <w:tc>
          <w:tcPr>
            <w:tcW w:w="952" w:type="dxa"/>
            <w:vAlign w:val="center"/>
          </w:tcPr>
          <w:p w14:paraId="46C9CA61" w14:textId="280FB39E" w:rsidR="00324759" w:rsidRPr="00121962" w:rsidRDefault="00324759" w:rsidP="000A55FF">
            <w:pPr>
              <w:jc w:val="center"/>
              <w:rPr>
                <w:rFonts w:ascii="Arial Narrow" w:hAnsi="Arial Narrow"/>
                <w:sz w:val="20"/>
                <w:szCs w:val="20"/>
              </w:rPr>
            </w:pPr>
          </w:p>
        </w:tc>
        <w:tc>
          <w:tcPr>
            <w:tcW w:w="8064" w:type="dxa"/>
            <w:gridSpan w:val="5"/>
            <w:vAlign w:val="center"/>
            <w:hideMark/>
          </w:tcPr>
          <w:p w14:paraId="4665B33F" w14:textId="77777777" w:rsidR="00324759" w:rsidRPr="00FD6677" w:rsidRDefault="00324759" w:rsidP="000A55FF">
            <w:pPr>
              <w:rPr>
                <w:rFonts w:ascii="Arial Narrow" w:hAnsi="Arial Narrow"/>
                <w:sz w:val="20"/>
                <w:szCs w:val="20"/>
              </w:rPr>
            </w:pPr>
            <w:r w:rsidRPr="00FD6677">
              <w:rPr>
                <w:rFonts w:ascii="Arial Narrow" w:hAnsi="Arial Narrow"/>
                <w:b/>
                <w:bCs/>
                <w:sz w:val="20"/>
                <w:szCs w:val="20"/>
              </w:rPr>
              <w:t>Indication:</w:t>
            </w:r>
            <w:r w:rsidRPr="00FD6677">
              <w:rPr>
                <w:rFonts w:ascii="Arial Narrow" w:hAnsi="Arial Narrow"/>
                <w:sz w:val="20"/>
                <w:szCs w:val="20"/>
              </w:rPr>
              <w:t xml:space="preserve"> Chronic kidney disease</w:t>
            </w:r>
          </w:p>
        </w:tc>
      </w:tr>
      <w:tr w:rsidR="00324759" w:rsidRPr="00121962" w14:paraId="6EAD0634" w14:textId="77777777" w:rsidTr="00763A39">
        <w:tblPrEx>
          <w:tblCellMar>
            <w:top w:w="15" w:type="dxa"/>
            <w:left w:w="15" w:type="dxa"/>
            <w:bottom w:w="15" w:type="dxa"/>
            <w:right w:w="15" w:type="dxa"/>
          </w:tblCellMar>
          <w:tblLook w:val="04A0" w:firstRow="1" w:lastRow="0" w:firstColumn="1" w:lastColumn="0" w:noHBand="0" w:noVBand="1"/>
        </w:tblPrEx>
        <w:tc>
          <w:tcPr>
            <w:tcW w:w="952" w:type="dxa"/>
            <w:vAlign w:val="center"/>
          </w:tcPr>
          <w:p w14:paraId="26B19B9A" w14:textId="77777777" w:rsidR="00324759" w:rsidRPr="00121962" w:rsidRDefault="00324759" w:rsidP="000A55FF">
            <w:pPr>
              <w:jc w:val="center"/>
              <w:rPr>
                <w:rFonts w:ascii="Arial Narrow" w:hAnsi="Arial Narrow"/>
                <w:sz w:val="20"/>
                <w:szCs w:val="20"/>
              </w:rPr>
            </w:pPr>
          </w:p>
        </w:tc>
        <w:tc>
          <w:tcPr>
            <w:tcW w:w="8064" w:type="dxa"/>
            <w:gridSpan w:val="5"/>
            <w:vAlign w:val="center"/>
            <w:hideMark/>
          </w:tcPr>
          <w:p w14:paraId="06AB24BC" w14:textId="77777777" w:rsidR="00324759" w:rsidRPr="00FD6677" w:rsidRDefault="00324759" w:rsidP="000A55FF">
            <w:pPr>
              <w:rPr>
                <w:rFonts w:ascii="Arial Narrow" w:hAnsi="Arial Narrow"/>
                <w:sz w:val="20"/>
                <w:szCs w:val="20"/>
              </w:rPr>
            </w:pPr>
            <w:r w:rsidRPr="00FD6677">
              <w:rPr>
                <w:rFonts w:ascii="Arial Narrow" w:hAnsi="Arial Narrow"/>
                <w:b/>
                <w:bCs/>
                <w:sz w:val="20"/>
                <w:szCs w:val="20"/>
              </w:rPr>
              <w:t xml:space="preserve">Clinical criteria: </w:t>
            </w:r>
          </w:p>
        </w:tc>
      </w:tr>
      <w:tr w:rsidR="00324759" w:rsidRPr="00121962" w14:paraId="7D87C06B" w14:textId="77777777" w:rsidTr="00763A39">
        <w:tblPrEx>
          <w:tblCellMar>
            <w:top w:w="15" w:type="dxa"/>
            <w:left w:w="15" w:type="dxa"/>
            <w:bottom w:w="15" w:type="dxa"/>
            <w:right w:w="15" w:type="dxa"/>
          </w:tblCellMar>
          <w:tblLook w:val="04A0" w:firstRow="1" w:lastRow="0" w:firstColumn="1" w:lastColumn="0" w:noHBand="0" w:noVBand="1"/>
        </w:tblPrEx>
        <w:tc>
          <w:tcPr>
            <w:tcW w:w="952" w:type="dxa"/>
            <w:vAlign w:val="center"/>
          </w:tcPr>
          <w:p w14:paraId="7ED3E4C9" w14:textId="7D6A7416" w:rsidR="00324759" w:rsidRPr="00121962" w:rsidRDefault="00324759" w:rsidP="000A55FF">
            <w:pPr>
              <w:jc w:val="center"/>
              <w:rPr>
                <w:rFonts w:ascii="Arial Narrow" w:hAnsi="Arial Narrow"/>
                <w:sz w:val="20"/>
                <w:szCs w:val="20"/>
              </w:rPr>
            </w:pPr>
          </w:p>
        </w:tc>
        <w:tc>
          <w:tcPr>
            <w:tcW w:w="8064" w:type="dxa"/>
            <w:gridSpan w:val="5"/>
            <w:vAlign w:val="center"/>
            <w:hideMark/>
          </w:tcPr>
          <w:p w14:paraId="21FCE271" w14:textId="77777777" w:rsidR="00324759" w:rsidRPr="00FD6677" w:rsidRDefault="00324759" w:rsidP="000A55FF">
            <w:pPr>
              <w:rPr>
                <w:rFonts w:ascii="Arial Narrow" w:hAnsi="Arial Narrow"/>
                <w:sz w:val="20"/>
                <w:szCs w:val="20"/>
              </w:rPr>
            </w:pPr>
            <w:r w:rsidRPr="00FD6677">
              <w:rPr>
                <w:rFonts w:ascii="Arial Narrow" w:hAnsi="Arial Narrow"/>
                <w:sz w:val="20"/>
                <w:szCs w:val="20"/>
              </w:rPr>
              <w:t>Patient must have an estimated glomerular filtration rate of between 25 and 75 mL/min/1.73 m</w:t>
            </w:r>
            <w:r w:rsidRPr="00FD6677">
              <w:rPr>
                <w:rFonts w:ascii="Arial Narrow" w:hAnsi="Arial Narrow"/>
                <w:sz w:val="20"/>
                <w:szCs w:val="20"/>
                <w:vertAlign w:val="superscript"/>
              </w:rPr>
              <w:t xml:space="preserve">2 </w:t>
            </w:r>
            <w:r w:rsidRPr="00FD6677">
              <w:rPr>
                <w:rFonts w:ascii="Arial Narrow" w:hAnsi="Arial Narrow"/>
                <w:sz w:val="20"/>
                <w:szCs w:val="20"/>
              </w:rPr>
              <w:t>inclusive, to substantiate the diagnosis of kidney disease, prior to initiating treatment with this drug,</w:t>
            </w:r>
          </w:p>
        </w:tc>
      </w:tr>
      <w:tr w:rsidR="00324759" w:rsidRPr="00121962" w14:paraId="37E86C86" w14:textId="77777777" w:rsidTr="00763A39">
        <w:tblPrEx>
          <w:tblCellMar>
            <w:top w:w="15" w:type="dxa"/>
            <w:left w:w="15" w:type="dxa"/>
            <w:bottom w:w="15" w:type="dxa"/>
            <w:right w:w="15" w:type="dxa"/>
          </w:tblCellMar>
          <w:tblLook w:val="04A0" w:firstRow="1" w:lastRow="0" w:firstColumn="1" w:lastColumn="0" w:noHBand="0" w:noVBand="1"/>
        </w:tblPrEx>
        <w:tc>
          <w:tcPr>
            <w:tcW w:w="952" w:type="dxa"/>
            <w:vAlign w:val="center"/>
          </w:tcPr>
          <w:p w14:paraId="5BEDD1FD" w14:textId="77777777" w:rsidR="00324759" w:rsidRPr="00121962" w:rsidRDefault="00324759" w:rsidP="000A55FF">
            <w:pPr>
              <w:jc w:val="center"/>
              <w:rPr>
                <w:rFonts w:ascii="Arial Narrow" w:hAnsi="Arial Narrow"/>
                <w:sz w:val="20"/>
                <w:szCs w:val="20"/>
              </w:rPr>
            </w:pPr>
          </w:p>
        </w:tc>
        <w:tc>
          <w:tcPr>
            <w:tcW w:w="8064" w:type="dxa"/>
            <w:gridSpan w:val="5"/>
            <w:vAlign w:val="center"/>
            <w:hideMark/>
          </w:tcPr>
          <w:p w14:paraId="4D9DC055" w14:textId="77777777" w:rsidR="00324759" w:rsidRPr="00FD6677" w:rsidRDefault="00324759" w:rsidP="000A55FF">
            <w:pPr>
              <w:rPr>
                <w:rFonts w:ascii="Arial Narrow" w:hAnsi="Arial Narrow"/>
                <w:sz w:val="20"/>
                <w:szCs w:val="20"/>
              </w:rPr>
            </w:pPr>
            <w:r w:rsidRPr="00FD6677">
              <w:rPr>
                <w:rFonts w:ascii="Arial Narrow" w:hAnsi="Arial Narrow"/>
                <w:b/>
                <w:bCs/>
                <w:sz w:val="20"/>
                <w:szCs w:val="20"/>
              </w:rPr>
              <w:t>AND</w:t>
            </w:r>
          </w:p>
        </w:tc>
      </w:tr>
      <w:tr w:rsidR="00324759" w:rsidRPr="00121962" w14:paraId="4ADDD833" w14:textId="77777777" w:rsidTr="000A55FF">
        <w:tblPrEx>
          <w:tblCellMar>
            <w:top w:w="15" w:type="dxa"/>
            <w:left w:w="15" w:type="dxa"/>
            <w:bottom w:w="15" w:type="dxa"/>
            <w:right w:w="15" w:type="dxa"/>
          </w:tblCellMar>
          <w:tblLook w:val="04A0" w:firstRow="1" w:lastRow="0" w:firstColumn="1" w:lastColumn="0" w:noHBand="0" w:noVBand="1"/>
        </w:tblPrEx>
        <w:tc>
          <w:tcPr>
            <w:tcW w:w="952" w:type="dxa"/>
            <w:vAlign w:val="center"/>
          </w:tcPr>
          <w:p w14:paraId="6A981CE1" w14:textId="77777777" w:rsidR="00324759" w:rsidRPr="00121962" w:rsidRDefault="00324759" w:rsidP="000A55FF">
            <w:pPr>
              <w:jc w:val="center"/>
              <w:rPr>
                <w:rFonts w:ascii="Arial Narrow" w:hAnsi="Arial Narrow"/>
                <w:sz w:val="20"/>
                <w:szCs w:val="20"/>
              </w:rPr>
            </w:pPr>
          </w:p>
        </w:tc>
        <w:tc>
          <w:tcPr>
            <w:tcW w:w="8064" w:type="dxa"/>
            <w:gridSpan w:val="5"/>
            <w:vAlign w:val="center"/>
            <w:hideMark/>
          </w:tcPr>
          <w:p w14:paraId="6898D986" w14:textId="77777777" w:rsidR="00324759" w:rsidRPr="00FD6677" w:rsidRDefault="00324759" w:rsidP="000A55FF">
            <w:pPr>
              <w:rPr>
                <w:rFonts w:ascii="Arial Narrow" w:hAnsi="Arial Narrow"/>
                <w:sz w:val="20"/>
                <w:szCs w:val="20"/>
              </w:rPr>
            </w:pPr>
            <w:r w:rsidRPr="00FD6677">
              <w:rPr>
                <w:rFonts w:ascii="Arial Narrow" w:hAnsi="Arial Narrow"/>
                <w:b/>
                <w:bCs/>
                <w:sz w:val="20"/>
                <w:szCs w:val="20"/>
              </w:rPr>
              <w:t>Clinical criteria:</w:t>
            </w:r>
          </w:p>
        </w:tc>
      </w:tr>
      <w:tr w:rsidR="00324759" w:rsidRPr="00121962" w14:paraId="7E276D28" w14:textId="77777777" w:rsidTr="000A55FF">
        <w:tblPrEx>
          <w:tblCellMar>
            <w:top w:w="15" w:type="dxa"/>
            <w:left w:w="15" w:type="dxa"/>
            <w:bottom w:w="15" w:type="dxa"/>
            <w:right w:w="15" w:type="dxa"/>
          </w:tblCellMar>
          <w:tblLook w:val="04A0" w:firstRow="1" w:lastRow="0" w:firstColumn="1" w:lastColumn="0" w:noHBand="0" w:noVBand="1"/>
        </w:tblPrEx>
        <w:tc>
          <w:tcPr>
            <w:tcW w:w="952" w:type="dxa"/>
            <w:vAlign w:val="center"/>
          </w:tcPr>
          <w:p w14:paraId="3BBBF34B" w14:textId="77F458F7" w:rsidR="00324759" w:rsidRPr="00121962" w:rsidRDefault="00324759" w:rsidP="000A55FF">
            <w:pPr>
              <w:jc w:val="center"/>
              <w:rPr>
                <w:rFonts w:ascii="Arial Narrow" w:hAnsi="Arial Narrow"/>
                <w:sz w:val="20"/>
                <w:szCs w:val="20"/>
              </w:rPr>
            </w:pPr>
          </w:p>
        </w:tc>
        <w:tc>
          <w:tcPr>
            <w:tcW w:w="8064" w:type="dxa"/>
            <w:gridSpan w:val="5"/>
            <w:vAlign w:val="center"/>
            <w:hideMark/>
          </w:tcPr>
          <w:p w14:paraId="34716B20" w14:textId="77777777" w:rsidR="00324759" w:rsidRPr="00FD6677" w:rsidRDefault="00324759" w:rsidP="000A55FF">
            <w:pPr>
              <w:rPr>
                <w:rFonts w:ascii="Arial Narrow" w:hAnsi="Arial Narrow"/>
                <w:sz w:val="20"/>
                <w:szCs w:val="20"/>
              </w:rPr>
            </w:pPr>
            <w:r w:rsidRPr="00FD6677">
              <w:rPr>
                <w:rFonts w:ascii="Arial Narrow" w:hAnsi="Arial Narrow"/>
                <w:sz w:val="20"/>
                <w:szCs w:val="20"/>
              </w:rPr>
              <w:t>Patient must have a urinary albumin to creatinine ratio of between 200 and 5000 mg/g inclusive, to substantiate the diagnosis of kidney disease, prior to initiating treatment with this drug,</w:t>
            </w:r>
          </w:p>
        </w:tc>
      </w:tr>
      <w:tr w:rsidR="00324759" w:rsidRPr="00121962" w14:paraId="6CD23ABB" w14:textId="77777777" w:rsidTr="000A55FF">
        <w:tblPrEx>
          <w:tblCellMar>
            <w:top w:w="15" w:type="dxa"/>
            <w:left w:w="15" w:type="dxa"/>
            <w:bottom w:w="15" w:type="dxa"/>
            <w:right w:w="15" w:type="dxa"/>
          </w:tblCellMar>
          <w:tblLook w:val="04A0" w:firstRow="1" w:lastRow="0" w:firstColumn="1" w:lastColumn="0" w:noHBand="0" w:noVBand="1"/>
        </w:tblPrEx>
        <w:tc>
          <w:tcPr>
            <w:tcW w:w="952" w:type="dxa"/>
            <w:vAlign w:val="center"/>
          </w:tcPr>
          <w:p w14:paraId="4993A31F" w14:textId="77777777" w:rsidR="00324759" w:rsidRPr="00121962" w:rsidRDefault="00324759" w:rsidP="000A55FF">
            <w:pPr>
              <w:jc w:val="center"/>
              <w:rPr>
                <w:rFonts w:ascii="Arial Narrow" w:hAnsi="Arial Narrow"/>
                <w:sz w:val="20"/>
                <w:szCs w:val="20"/>
              </w:rPr>
            </w:pPr>
          </w:p>
        </w:tc>
        <w:tc>
          <w:tcPr>
            <w:tcW w:w="8064" w:type="dxa"/>
            <w:gridSpan w:val="5"/>
            <w:vAlign w:val="center"/>
          </w:tcPr>
          <w:p w14:paraId="3FE5C563" w14:textId="77777777" w:rsidR="00324759" w:rsidRPr="00FD6677" w:rsidRDefault="00324759" w:rsidP="000A55FF">
            <w:pPr>
              <w:rPr>
                <w:rFonts w:ascii="Arial Narrow" w:hAnsi="Arial Narrow"/>
                <w:sz w:val="20"/>
                <w:szCs w:val="20"/>
              </w:rPr>
            </w:pPr>
            <w:r w:rsidRPr="00FD6677">
              <w:rPr>
                <w:rFonts w:ascii="Arial Narrow" w:hAnsi="Arial Narrow"/>
                <w:b/>
                <w:bCs/>
                <w:sz w:val="20"/>
                <w:szCs w:val="20"/>
              </w:rPr>
              <w:t>AND</w:t>
            </w:r>
          </w:p>
        </w:tc>
      </w:tr>
      <w:tr w:rsidR="00324759" w:rsidRPr="00121962" w14:paraId="3F90EF12" w14:textId="77777777" w:rsidTr="000A55FF">
        <w:tblPrEx>
          <w:tblCellMar>
            <w:top w:w="15" w:type="dxa"/>
            <w:left w:w="15" w:type="dxa"/>
            <w:bottom w:w="15" w:type="dxa"/>
            <w:right w:w="15" w:type="dxa"/>
          </w:tblCellMar>
          <w:tblLook w:val="04A0" w:firstRow="1" w:lastRow="0" w:firstColumn="1" w:lastColumn="0" w:noHBand="0" w:noVBand="1"/>
        </w:tblPrEx>
        <w:tc>
          <w:tcPr>
            <w:tcW w:w="952" w:type="dxa"/>
            <w:vAlign w:val="center"/>
          </w:tcPr>
          <w:p w14:paraId="58241AFB" w14:textId="77777777" w:rsidR="00324759" w:rsidRPr="00121962" w:rsidRDefault="00324759" w:rsidP="000A55FF">
            <w:pPr>
              <w:jc w:val="center"/>
              <w:rPr>
                <w:rFonts w:ascii="Arial Narrow" w:hAnsi="Arial Narrow"/>
                <w:sz w:val="20"/>
                <w:szCs w:val="20"/>
              </w:rPr>
            </w:pPr>
          </w:p>
        </w:tc>
        <w:tc>
          <w:tcPr>
            <w:tcW w:w="8064" w:type="dxa"/>
            <w:gridSpan w:val="5"/>
            <w:vAlign w:val="center"/>
          </w:tcPr>
          <w:p w14:paraId="7C2C038B" w14:textId="77777777" w:rsidR="00324759" w:rsidRPr="00FD6677" w:rsidRDefault="00324759" w:rsidP="000A55FF">
            <w:pPr>
              <w:rPr>
                <w:rFonts w:ascii="Arial Narrow" w:hAnsi="Arial Narrow"/>
                <w:sz w:val="20"/>
                <w:szCs w:val="20"/>
              </w:rPr>
            </w:pPr>
            <w:r w:rsidRPr="00FD6677">
              <w:rPr>
                <w:rFonts w:ascii="Arial Narrow" w:hAnsi="Arial Narrow"/>
                <w:b/>
                <w:bCs/>
                <w:sz w:val="20"/>
                <w:szCs w:val="20"/>
              </w:rPr>
              <w:t>Clinical criteria:</w:t>
            </w:r>
          </w:p>
        </w:tc>
      </w:tr>
      <w:tr w:rsidR="00324759" w:rsidRPr="00121962" w14:paraId="0918C739" w14:textId="77777777" w:rsidTr="000A55FF">
        <w:tblPrEx>
          <w:tblCellMar>
            <w:top w:w="15" w:type="dxa"/>
            <w:left w:w="15" w:type="dxa"/>
            <w:bottom w:w="15" w:type="dxa"/>
            <w:right w:w="15" w:type="dxa"/>
          </w:tblCellMar>
          <w:tblLook w:val="04A0" w:firstRow="1" w:lastRow="0" w:firstColumn="1" w:lastColumn="0" w:noHBand="0" w:noVBand="1"/>
        </w:tblPrEx>
        <w:trPr>
          <w:trHeight w:val="40"/>
        </w:trPr>
        <w:tc>
          <w:tcPr>
            <w:tcW w:w="952" w:type="dxa"/>
            <w:vAlign w:val="center"/>
          </w:tcPr>
          <w:p w14:paraId="36305DE1" w14:textId="7405E800" w:rsidR="00324759" w:rsidRPr="00121962" w:rsidRDefault="00324759" w:rsidP="000A55FF">
            <w:pPr>
              <w:jc w:val="center"/>
              <w:rPr>
                <w:rFonts w:ascii="Arial Narrow" w:hAnsi="Arial Narrow"/>
                <w:sz w:val="20"/>
                <w:szCs w:val="20"/>
              </w:rPr>
            </w:pPr>
          </w:p>
        </w:tc>
        <w:tc>
          <w:tcPr>
            <w:tcW w:w="8064" w:type="dxa"/>
            <w:gridSpan w:val="5"/>
            <w:vAlign w:val="center"/>
          </w:tcPr>
          <w:p w14:paraId="788E607E" w14:textId="77777777" w:rsidR="00324759" w:rsidRPr="00FD6677" w:rsidRDefault="00324759" w:rsidP="000A55FF">
            <w:pPr>
              <w:rPr>
                <w:rFonts w:ascii="Arial Narrow" w:hAnsi="Arial Narrow"/>
                <w:sz w:val="20"/>
                <w:szCs w:val="20"/>
              </w:rPr>
            </w:pPr>
            <w:r w:rsidRPr="00FD6677">
              <w:rPr>
                <w:rFonts w:ascii="Arial Narrow" w:hAnsi="Arial Narrow"/>
                <w:sz w:val="20"/>
                <w:szCs w:val="20"/>
              </w:rPr>
              <w:t>Patient must not progress to end-stage renal disease defined as an estimated glomerular filtration rate (eGFR) of less than 15 mL/min/1.73 m</w:t>
            </w:r>
            <w:r w:rsidRPr="00FD6677">
              <w:rPr>
                <w:rFonts w:ascii="Arial Narrow" w:hAnsi="Arial Narrow"/>
                <w:sz w:val="20"/>
                <w:szCs w:val="20"/>
                <w:vertAlign w:val="superscript"/>
              </w:rPr>
              <w:t>2</w:t>
            </w:r>
            <w:r w:rsidRPr="00FD6677">
              <w:rPr>
                <w:rFonts w:ascii="Arial Narrow" w:hAnsi="Arial Narrow"/>
                <w:sz w:val="20"/>
                <w:szCs w:val="20"/>
              </w:rPr>
              <w:t xml:space="preserve"> while on this drug.</w:t>
            </w:r>
          </w:p>
        </w:tc>
      </w:tr>
      <w:tr w:rsidR="00324759" w:rsidRPr="00121962" w14:paraId="4966AD91" w14:textId="77777777" w:rsidTr="000A55FF">
        <w:tblPrEx>
          <w:tblCellMar>
            <w:top w:w="15" w:type="dxa"/>
            <w:left w:w="15" w:type="dxa"/>
            <w:bottom w:w="15" w:type="dxa"/>
            <w:right w:w="15" w:type="dxa"/>
          </w:tblCellMar>
          <w:tblLook w:val="04A0" w:firstRow="1" w:lastRow="0" w:firstColumn="1" w:lastColumn="0" w:noHBand="0" w:noVBand="1"/>
        </w:tblPrEx>
        <w:tc>
          <w:tcPr>
            <w:tcW w:w="952" w:type="dxa"/>
            <w:vAlign w:val="center"/>
          </w:tcPr>
          <w:p w14:paraId="169F9C84" w14:textId="77777777" w:rsidR="00324759" w:rsidRPr="00121962" w:rsidRDefault="00324759" w:rsidP="000A55FF">
            <w:pPr>
              <w:jc w:val="center"/>
              <w:rPr>
                <w:rFonts w:ascii="Arial Narrow" w:hAnsi="Arial Narrow"/>
                <w:sz w:val="20"/>
                <w:szCs w:val="20"/>
              </w:rPr>
            </w:pPr>
          </w:p>
        </w:tc>
        <w:tc>
          <w:tcPr>
            <w:tcW w:w="8064" w:type="dxa"/>
            <w:gridSpan w:val="5"/>
            <w:vAlign w:val="center"/>
          </w:tcPr>
          <w:p w14:paraId="04444062" w14:textId="77777777" w:rsidR="00324759" w:rsidRPr="00FD6677" w:rsidRDefault="00324759" w:rsidP="000A55FF">
            <w:pPr>
              <w:rPr>
                <w:rFonts w:ascii="Arial Narrow" w:hAnsi="Arial Narrow"/>
                <w:b/>
                <w:sz w:val="20"/>
                <w:szCs w:val="20"/>
              </w:rPr>
            </w:pPr>
            <w:r w:rsidRPr="00FD6677">
              <w:rPr>
                <w:rFonts w:ascii="Arial Narrow" w:hAnsi="Arial Narrow"/>
                <w:b/>
                <w:sz w:val="20"/>
                <w:szCs w:val="20"/>
              </w:rPr>
              <w:t>AND</w:t>
            </w:r>
          </w:p>
        </w:tc>
      </w:tr>
      <w:tr w:rsidR="00324759" w:rsidRPr="00121962" w14:paraId="1BCDE762" w14:textId="77777777" w:rsidTr="000A55FF">
        <w:tblPrEx>
          <w:tblCellMar>
            <w:top w:w="15" w:type="dxa"/>
            <w:left w:w="15" w:type="dxa"/>
            <w:bottom w:w="15" w:type="dxa"/>
            <w:right w:w="15" w:type="dxa"/>
          </w:tblCellMar>
          <w:tblLook w:val="04A0" w:firstRow="1" w:lastRow="0" w:firstColumn="1" w:lastColumn="0" w:noHBand="0" w:noVBand="1"/>
        </w:tblPrEx>
        <w:tc>
          <w:tcPr>
            <w:tcW w:w="952" w:type="dxa"/>
            <w:vAlign w:val="center"/>
          </w:tcPr>
          <w:p w14:paraId="031D75D6" w14:textId="77777777" w:rsidR="00324759" w:rsidRPr="00121962" w:rsidRDefault="00324759" w:rsidP="000A55FF">
            <w:pPr>
              <w:jc w:val="center"/>
              <w:rPr>
                <w:rFonts w:ascii="Arial Narrow" w:hAnsi="Arial Narrow"/>
                <w:sz w:val="20"/>
                <w:szCs w:val="20"/>
              </w:rPr>
            </w:pPr>
          </w:p>
        </w:tc>
        <w:tc>
          <w:tcPr>
            <w:tcW w:w="8064" w:type="dxa"/>
            <w:gridSpan w:val="5"/>
            <w:vAlign w:val="center"/>
            <w:hideMark/>
          </w:tcPr>
          <w:p w14:paraId="1C3E4446" w14:textId="77777777" w:rsidR="00324759" w:rsidRPr="00FD6677" w:rsidRDefault="00324759" w:rsidP="000A55FF">
            <w:pPr>
              <w:rPr>
                <w:rFonts w:ascii="Arial Narrow" w:hAnsi="Arial Narrow"/>
                <w:sz w:val="20"/>
                <w:szCs w:val="20"/>
              </w:rPr>
            </w:pPr>
            <w:r w:rsidRPr="00FD6677">
              <w:rPr>
                <w:rFonts w:ascii="Arial Narrow" w:hAnsi="Arial Narrow"/>
                <w:b/>
                <w:bCs/>
                <w:sz w:val="20"/>
                <w:szCs w:val="20"/>
              </w:rPr>
              <w:t>Clinical criteria:</w:t>
            </w:r>
          </w:p>
        </w:tc>
      </w:tr>
      <w:tr w:rsidR="00324759" w:rsidRPr="00121962" w14:paraId="72874741" w14:textId="77777777" w:rsidTr="000A55FF">
        <w:tblPrEx>
          <w:tblCellMar>
            <w:top w:w="15" w:type="dxa"/>
            <w:left w:w="15" w:type="dxa"/>
            <w:bottom w:w="15" w:type="dxa"/>
            <w:right w:w="15" w:type="dxa"/>
          </w:tblCellMar>
          <w:tblLook w:val="04A0" w:firstRow="1" w:lastRow="0" w:firstColumn="1" w:lastColumn="0" w:noHBand="0" w:noVBand="1"/>
        </w:tblPrEx>
        <w:tc>
          <w:tcPr>
            <w:tcW w:w="952" w:type="dxa"/>
            <w:vAlign w:val="center"/>
          </w:tcPr>
          <w:p w14:paraId="45325CB0" w14:textId="21A233F9" w:rsidR="00324759" w:rsidRPr="00121962" w:rsidRDefault="00324759" w:rsidP="000A55FF">
            <w:pPr>
              <w:jc w:val="center"/>
              <w:rPr>
                <w:rFonts w:ascii="Arial Narrow" w:hAnsi="Arial Narrow"/>
                <w:strike/>
                <w:sz w:val="20"/>
                <w:szCs w:val="20"/>
              </w:rPr>
            </w:pPr>
          </w:p>
        </w:tc>
        <w:tc>
          <w:tcPr>
            <w:tcW w:w="8064" w:type="dxa"/>
            <w:gridSpan w:val="5"/>
            <w:vAlign w:val="center"/>
            <w:hideMark/>
          </w:tcPr>
          <w:p w14:paraId="381AADB8" w14:textId="77777777" w:rsidR="00324759" w:rsidRPr="00FD6677" w:rsidRDefault="00324759" w:rsidP="000A55FF">
            <w:pPr>
              <w:rPr>
                <w:rFonts w:ascii="Arial Narrow" w:hAnsi="Arial Narrow"/>
                <w:strike/>
                <w:sz w:val="20"/>
                <w:szCs w:val="20"/>
              </w:rPr>
            </w:pPr>
            <w:r w:rsidRPr="00FD6677">
              <w:rPr>
                <w:rFonts w:ascii="Arial Narrow" w:hAnsi="Arial Narrow"/>
                <w:sz w:val="20"/>
                <w:szCs w:val="20"/>
              </w:rPr>
              <w:t>Patient must receive treatment in combination with the maximum tolerated dose of an ACE inhibitor; or</w:t>
            </w:r>
          </w:p>
        </w:tc>
      </w:tr>
      <w:tr w:rsidR="00324759" w:rsidRPr="00121962" w14:paraId="29C4C426" w14:textId="77777777" w:rsidTr="000A55FF">
        <w:tblPrEx>
          <w:tblCellMar>
            <w:top w:w="15" w:type="dxa"/>
            <w:left w:w="15" w:type="dxa"/>
            <w:bottom w:w="15" w:type="dxa"/>
            <w:right w:w="15" w:type="dxa"/>
          </w:tblCellMar>
          <w:tblLook w:val="04A0" w:firstRow="1" w:lastRow="0" w:firstColumn="1" w:lastColumn="0" w:noHBand="0" w:noVBand="1"/>
        </w:tblPrEx>
        <w:tc>
          <w:tcPr>
            <w:tcW w:w="952" w:type="dxa"/>
            <w:vAlign w:val="center"/>
          </w:tcPr>
          <w:p w14:paraId="4AC57988" w14:textId="77777777" w:rsidR="00324759" w:rsidRPr="00121962" w:rsidDel="00527D13" w:rsidRDefault="00324759" w:rsidP="000A55FF">
            <w:pPr>
              <w:jc w:val="center"/>
              <w:rPr>
                <w:rFonts w:ascii="Arial Narrow" w:hAnsi="Arial Narrow"/>
                <w:strike/>
                <w:sz w:val="20"/>
                <w:szCs w:val="20"/>
              </w:rPr>
            </w:pPr>
          </w:p>
        </w:tc>
        <w:tc>
          <w:tcPr>
            <w:tcW w:w="8064" w:type="dxa"/>
            <w:gridSpan w:val="5"/>
            <w:vAlign w:val="center"/>
          </w:tcPr>
          <w:p w14:paraId="14D4260F" w14:textId="77777777" w:rsidR="00324759" w:rsidRPr="00FD6677" w:rsidRDefault="00324759" w:rsidP="000A55FF">
            <w:pPr>
              <w:rPr>
                <w:rFonts w:ascii="Arial Narrow" w:hAnsi="Arial Narrow"/>
                <w:strike/>
                <w:sz w:val="20"/>
                <w:szCs w:val="20"/>
              </w:rPr>
            </w:pPr>
            <w:r w:rsidRPr="00FD6677">
              <w:rPr>
                <w:rFonts w:ascii="Arial Narrow" w:hAnsi="Arial Narrow"/>
                <w:sz w:val="20"/>
                <w:szCs w:val="20"/>
              </w:rPr>
              <w:t>Patient must receive treatment in combination with the maximum tolerated dose of an angiotensin II antagonist</w:t>
            </w:r>
          </w:p>
        </w:tc>
      </w:tr>
      <w:tr w:rsidR="00324759" w:rsidRPr="00121962" w14:paraId="0AE6A0F4" w14:textId="77777777" w:rsidTr="000A55FF">
        <w:tblPrEx>
          <w:tblCellMar>
            <w:top w:w="15" w:type="dxa"/>
            <w:left w:w="15" w:type="dxa"/>
            <w:bottom w:w="15" w:type="dxa"/>
            <w:right w:w="15" w:type="dxa"/>
          </w:tblCellMar>
          <w:tblLook w:val="04A0" w:firstRow="1" w:lastRow="0" w:firstColumn="1" w:lastColumn="0" w:noHBand="0" w:noVBand="1"/>
        </w:tblPrEx>
        <w:tc>
          <w:tcPr>
            <w:tcW w:w="952" w:type="dxa"/>
            <w:vAlign w:val="center"/>
          </w:tcPr>
          <w:p w14:paraId="7CA5B035" w14:textId="77777777" w:rsidR="00324759" w:rsidRPr="00121962" w:rsidRDefault="00324759" w:rsidP="000A55FF">
            <w:pPr>
              <w:jc w:val="center"/>
              <w:rPr>
                <w:rFonts w:ascii="Arial Narrow" w:hAnsi="Arial Narrow"/>
                <w:sz w:val="20"/>
                <w:szCs w:val="20"/>
              </w:rPr>
            </w:pPr>
          </w:p>
        </w:tc>
        <w:tc>
          <w:tcPr>
            <w:tcW w:w="8064" w:type="dxa"/>
            <w:gridSpan w:val="5"/>
            <w:vAlign w:val="center"/>
            <w:hideMark/>
          </w:tcPr>
          <w:p w14:paraId="7B65C940" w14:textId="77777777" w:rsidR="00324759" w:rsidRPr="00FD6677" w:rsidRDefault="00324759" w:rsidP="000A55FF">
            <w:pPr>
              <w:rPr>
                <w:rFonts w:ascii="Arial Narrow" w:hAnsi="Arial Narrow"/>
                <w:sz w:val="20"/>
                <w:szCs w:val="20"/>
              </w:rPr>
            </w:pPr>
            <w:r w:rsidRPr="00FD6677">
              <w:rPr>
                <w:rFonts w:ascii="Arial Narrow" w:hAnsi="Arial Narrow"/>
                <w:b/>
                <w:bCs/>
                <w:sz w:val="20"/>
                <w:szCs w:val="20"/>
              </w:rPr>
              <w:t>AND</w:t>
            </w:r>
          </w:p>
        </w:tc>
      </w:tr>
      <w:tr w:rsidR="00324759" w:rsidRPr="00121962" w14:paraId="4EAE1FEC" w14:textId="77777777" w:rsidTr="000A55FF">
        <w:tblPrEx>
          <w:tblCellMar>
            <w:top w:w="15" w:type="dxa"/>
            <w:left w:w="15" w:type="dxa"/>
            <w:bottom w:w="15" w:type="dxa"/>
            <w:right w:w="15" w:type="dxa"/>
          </w:tblCellMar>
          <w:tblLook w:val="04A0" w:firstRow="1" w:lastRow="0" w:firstColumn="1" w:lastColumn="0" w:noHBand="0" w:noVBand="1"/>
        </w:tblPrEx>
        <w:tc>
          <w:tcPr>
            <w:tcW w:w="952" w:type="dxa"/>
            <w:vAlign w:val="center"/>
          </w:tcPr>
          <w:p w14:paraId="4CB95821" w14:textId="66B0A78E" w:rsidR="00324759" w:rsidRPr="00121962" w:rsidRDefault="00324759" w:rsidP="000A55FF">
            <w:pPr>
              <w:jc w:val="center"/>
              <w:rPr>
                <w:rFonts w:ascii="Arial Narrow" w:hAnsi="Arial Narrow"/>
                <w:sz w:val="20"/>
                <w:szCs w:val="20"/>
              </w:rPr>
            </w:pPr>
          </w:p>
        </w:tc>
        <w:tc>
          <w:tcPr>
            <w:tcW w:w="8064" w:type="dxa"/>
            <w:gridSpan w:val="5"/>
            <w:vAlign w:val="center"/>
            <w:hideMark/>
          </w:tcPr>
          <w:p w14:paraId="7D76B942" w14:textId="77777777" w:rsidR="00324759" w:rsidRPr="00FD6677" w:rsidRDefault="00324759" w:rsidP="000A55FF">
            <w:pPr>
              <w:rPr>
                <w:rFonts w:ascii="Arial Narrow" w:hAnsi="Arial Narrow"/>
                <w:sz w:val="20"/>
                <w:szCs w:val="20"/>
              </w:rPr>
            </w:pPr>
            <w:r w:rsidRPr="00FD6677">
              <w:rPr>
                <w:rFonts w:ascii="Arial Narrow" w:hAnsi="Arial Narrow"/>
                <w:b/>
                <w:bCs/>
                <w:sz w:val="20"/>
                <w:szCs w:val="20"/>
              </w:rPr>
              <w:t>Clinical criteria:</w:t>
            </w:r>
          </w:p>
        </w:tc>
      </w:tr>
      <w:tr w:rsidR="00324759" w:rsidRPr="00121962" w14:paraId="634445A3" w14:textId="77777777" w:rsidTr="000A55FF">
        <w:tblPrEx>
          <w:tblCellMar>
            <w:top w:w="15" w:type="dxa"/>
            <w:left w:w="15" w:type="dxa"/>
            <w:bottom w:w="15" w:type="dxa"/>
            <w:right w:w="15" w:type="dxa"/>
          </w:tblCellMar>
          <w:tblLook w:val="04A0" w:firstRow="1" w:lastRow="0" w:firstColumn="1" w:lastColumn="0" w:noHBand="0" w:noVBand="1"/>
        </w:tblPrEx>
        <w:tc>
          <w:tcPr>
            <w:tcW w:w="952" w:type="dxa"/>
            <w:vAlign w:val="center"/>
          </w:tcPr>
          <w:p w14:paraId="090B7FD2" w14:textId="77777777" w:rsidR="00324759" w:rsidRPr="00121962" w:rsidRDefault="00324759" w:rsidP="000A55FF">
            <w:pPr>
              <w:jc w:val="center"/>
              <w:rPr>
                <w:rFonts w:ascii="Arial Narrow" w:hAnsi="Arial Narrow"/>
                <w:strike/>
                <w:sz w:val="20"/>
                <w:szCs w:val="20"/>
              </w:rPr>
            </w:pPr>
          </w:p>
        </w:tc>
        <w:tc>
          <w:tcPr>
            <w:tcW w:w="8064" w:type="dxa"/>
            <w:gridSpan w:val="5"/>
            <w:vAlign w:val="center"/>
            <w:hideMark/>
          </w:tcPr>
          <w:p w14:paraId="19336206" w14:textId="77777777" w:rsidR="00324759" w:rsidRPr="00FD6677" w:rsidRDefault="00324759" w:rsidP="000A55FF">
            <w:pPr>
              <w:rPr>
                <w:rFonts w:ascii="Arial Narrow" w:hAnsi="Arial Narrow"/>
                <w:sz w:val="20"/>
                <w:szCs w:val="20"/>
              </w:rPr>
            </w:pPr>
            <w:r w:rsidRPr="00FD6677">
              <w:rPr>
                <w:rFonts w:ascii="Arial Narrow" w:hAnsi="Arial Narrow"/>
                <w:sz w:val="20"/>
                <w:szCs w:val="20"/>
              </w:rPr>
              <w:t>Patient must not be receiving treatment with another sodium</w:t>
            </w:r>
            <w:r w:rsidRPr="00FD6677">
              <w:rPr>
                <w:rFonts w:ascii="Arial Narrow" w:hAnsi="Arial Narrow"/>
                <w:sz w:val="20"/>
                <w:szCs w:val="20"/>
              </w:rPr>
              <w:noBreakHyphen/>
              <w:t>glucose co</w:t>
            </w:r>
            <w:r w:rsidRPr="00FD6677">
              <w:rPr>
                <w:rFonts w:ascii="Arial Narrow" w:hAnsi="Arial Narrow"/>
                <w:sz w:val="20"/>
                <w:szCs w:val="20"/>
              </w:rPr>
              <w:noBreakHyphen/>
              <w:t xml:space="preserve">transporter 2 (SGLT2) </w:t>
            </w:r>
            <w:proofErr w:type="gramStart"/>
            <w:r w:rsidRPr="00FD6677">
              <w:rPr>
                <w:rFonts w:ascii="Arial Narrow" w:hAnsi="Arial Narrow"/>
                <w:sz w:val="20"/>
                <w:szCs w:val="20"/>
              </w:rPr>
              <w:t>inhibitor</w:t>
            </w:r>
            <w:proofErr w:type="gramEnd"/>
            <w:r w:rsidRPr="00FD6677">
              <w:rPr>
                <w:rFonts w:ascii="Arial Narrow" w:hAnsi="Arial Narrow"/>
                <w:sz w:val="20"/>
                <w:szCs w:val="20"/>
              </w:rPr>
              <w:t>.</w:t>
            </w:r>
          </w:p>
        </w:tc>
      </w:tr>
      <w:tr w:rsidR="00324759" w:rsidRPr="00121962" w14:paraId="5B94FB69" w14:textId="77777777" w:rsidTr="000A55FF">
        <w:tblPrEx>
          <w:tblCellMar>
            <w:top w:w="15" w:type="dxa"/>
            <w:left w:w="15" w:type="dxa"/>
            <w:bottom w:w="15" w:type="dxa"/>
            <w:right w:w="15" w:type="dxa"/>
          </w:tblCellMar>
          <w:tblLook w:val="04A0" w:firstRow="1" w:lastRow="0" w:firstColumn="1" w:lastColumn="0" w:noHBand="0" w:noVBand="1"/>
        </w:tblPrEx>
        <w:trPr>
          <w:trHeight w:val="20"/>
        </w:trPr>
        <w:tc>
          <w:tcPr>
            <w:tcW w:w="952" w:type="dxa"/>
            <w:vAlign w:val="center"/>
          </w:tcPr>
          <w:p w14:paraId="4D3066AA" w14:textId="2218D319" w:rsidR="00324759" w:rsidRPr="00121962" w:rsidRDefault="00324759" w:rsidP="000A55FF">
            <w:pPr>
              <w:jc w:val="center"/>
              <w:rPr>
                <w:rFonts w:ascii="Arial Narrow" w:hAnsi="Arial Narrow"/>
                <w:sz w:val="20"/>
                <w:szCs w:val="20"/>
              </w:rPr>
            </w:pPr>
          </w:p>
        </w:tc>
        <w:tc>
          <w:tcPr>
            <w:tcW w:w="8064" w:type="dxa"/>
            <w:gridSpan w:val="5"/>
            <w:vAlign w:val="center"/>
          </w:tcPr>
          <w:p w14:paraId="54DF698A" w14:textId="77777777" w:rsidR="00324759" w:rsidRPr="00FD6677" w:rsidRDefault="00324759" w:rsidP="000A55FF">
            <w:pPr>
              <w:rPr>
                <w:rFonts w:ascii="Arial Narrow" w:hAnsi="Arial Narrow"/>
                <w:b/>
                <w:bCs/>
                <w:sz w:val="20"/>
                <w:szCs w:val="20"/>
              </w:rPr>
            </w:pPr>
            <w:r w:rsidRPr="00FD6677">
              <w:rPr>
                <w:rFonts w:ascii="Arial Narrow" w:hAnsi="Arial Narrow"/>
                <w:b/>
                <w:bCs/>
                <w:sz w:val="20"/>
                <w:szCs w:val="20"/>
              </w:rPr>
              <w:t>Prescribing Instructions:</w:t>
            </w:r>
          </w:p>
          <w:p w14:paraId="19E0AE8C" w14:textId="77777777" w:rsidR="00324759" w:rsidRPr="00FD6677" w:rsidRDefault="00324759" w:rsidP="000A55FF">
            <w:pPr>
              <w:rPr>
                <w:rFonts w:ascii="Arial Narrow" w:hAnsi="Arial Narrow"/>
                <w:sz w:val="20"/>
                <w:szCs w:val="20"/>
              </w:rPr>
            </w:pPr>
            <w:r w:rsidRPr="00FD6677">
              <w:rPr>
                <w:rFonts w:ascii="Arial Narrow" w:hAnsi="Arial Narrow"/>
                <w:sz w:val="20"/>
                <w:szCs w:val="20"/>
              </w:rPr>
              <w:t>Patient must be stabilised on either (</w:t>
            </w:r>
            <w:proofErr w:type="spellStart"/>
            <w:r w:rsidRPr="00FD6677">
              <w:rPr>
                <w:rFonts w:ascii="Arial Narrow" w:hAnsi="Arial Narrow"/>
                <w:sz w:val="20"/>
                <w:szCs w:val="20"/>
              </w:rPr>
              <w:t>i</w:t>
            </w:r>
            <w:proofErr w:type="spellEnd"/>
            <w:r w:rsidRPr="00FD6677">
              <w:rPr>
                <w:rFonts w:ascii="Arial Narrow" w:hAnsi="Arial Narrow"/>
                <w:sz w:val="20"/>
                <w:szCs w:val="20"/>
              </w:rPr>
              <w:t>) an ACE inhibitor or (ii) an angiotensin II antagonist for a period of 4 weeks prior to initiation of combination therapy with this drug.</w:t>
            </w:r>
          </w:p>
        </w:tc>
      </w:tr>
      <w:tr w:rsidR="00324759" w:rsidRPr="00121962" w14:paraId="57D4B46B" w14:textId="77777777" w:rsidTr="00763A39">
        <w:tblPrEx>
          <w:tblCellMar>
            <w:top w:w="15" w:type="dxa"/>
            <w:left w:w="15" w:type="dxa"/>
            <w:bottom w:w="15" w:type="dxa"/>
            <w:right w:w="15" w:type="dxa"/>
          </w:tblCellMar>
          <w:tblLook w:val="04A0" w:firstRow="1" w:lastRow="0" w:firstColumn="1" w:lastColumn="0" w:noHBand="0" w:noVBand="1"/>
        </w:tblPrEx>
        <w:tc>
          <w:tcPr>
            <w:tcW w:w="952" w:type="dxa"/>
            <w:vAlign w:val="center"/>
          </w:tcPr>
          <w:p w14:paraId="6130B8B8" w14:textId="77777777" w:rsidR="00324759" w:rsidRPr="00121962" w:rsidRDefault="00324759" w:rsidP="000A55FF">
            <w:pPr>
              <w:jc w:val="center"/>
              <w:rPr>
                <w:rFonts w:ascii="Arial Narrow" w:hAnsi="Arial Narrow"/>
                <w:sz w:val="20"/>
                <w:szCs w:val="20"/>
              </w:rPr>
            </w:pPr>
          </w:p>
        </w:tc>
        <w:tc>
          <w:tcPr>
            <w:tcW w:w="8064" w:type="dxa"/>
            <w:gridSpan w:val="5"/>
            <w:vAlign w:val="center"/>
            <w:hideMark/>
          </w:tcPr>
          <w:p w14:paraId="252B5FCF" w14:textId="77777777" w:rsidR="00324759" w:rsidRPr="00FD6677" w:rsidRDefault="00324759" w:rsidP="000A55FF">
            <w:pPr>
              <w:rPr>
                <w:rFonts w:ascii="Arial Narrow" w:hAnsi="Arial Narrow"/>
                <w:sz w:val="20"/>
                <w:szCs w:val="20"/>
              </w:rPr>
            </w:pPr>
            <w:r w:rsidRPr="00FD6677">
              <w:rPr>
                <w:rFonts w:ascii="Arial Narrow" w:hAnsi="Arial Narrow"/>
                <w:b/>
                <w:bCs/>
                <w:sz w:val="20"/>
                <w:szCs w:val="20"/>
              </w:rPr>
              <w:t>Administrative Advice:</w:t>
            </w:r>
          </w:p>
          <w:p w14:paraId="0C07506F" w14:textId="77777777" w:rsidR="00324759" w:rsidRPr="00FD6677" w:rsidRDefault="00324759" w:rsidP="000A55FF">
            <w:pPr>
              <w:rPr>
                <w:rFonts w:ascii="Arial Narrow" w:hAnsi="Arial Narrow"/>
                <w:sz w:val="20"/>
                <w:szCs w:val="20"/>
              </w:rPr>
            </w:pPr>
            <w:r w:rsidRPr="00FD6677">
              <w:rPr>
                <w:rFonts w:ascii="Arial Narrow" w:hAnsi="Arial Narrow"/>
                <w:bCs/>
                <w:sz w:val="20"/>
                <w:szCs w:val="20"/>
              </w:rPr>
              <w:t>Continuing Therapy Only:</w:t>
            </w:r>
          </w:p>
          <w:p w14:paraId="0FA569B3" w14:textId="77777777" w:rsidR="00324759" w:rsidRPr="00FD6677" w:rsidRDefault="00324759" w:rsidP="000A55FF">
            <w:pPr>
              <w:rPr>
                <w:rFonts w:ascii="Arial Narrow" w:hAnsi="Arial Narrow"/>
                <w:sz w:val="20"/>
                <w:szCs w:val="20"/>
              </w:rPr>
            </w:pPr>
            <w:r w:rsidRPr="00FD6677">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49D780BC" w14:textId="07311D33" w:rsidR="00324759" w:rsidRDefault="00324759" w:rsidP="00324759">
      <w:pPr>
        <w:pStyle w:val="3Bodytext"/>
        <w:rPr>
          <w:i/>
          <w:iCs/>
        </w:rPr>
      </w:pPr>
    </w:p>
    <w:p w14:paraId="0239E38E" w14:textId="7F77B8EE" w:rsidR="00D45321" w:rsidRPr="00D45321" w:rsidRDefault="00D45321" w:rsidP="004257C2">
      <w:pPr>
        <w:widowControl w:val="0"/>
        <w:numPr>
          <w:ilvl w:val="1"/>
          <w:numId w:val="41"/>
        </w:numPr>
        <w:spacing w:after="120"/>
        <w:ind w:hanging="720"/>
        <w:contextualSpacing/>
      </w:pPr>
      <w:r>
        <w:t xml:space="preserve">For the July 2021 submission the PBAC was asked to consider </w:t>
      </w:r>
      <w:r w:rsidRPr="00121962">
        <w:t>whether ACEI/ARB-intolerant or contraindicated patients should still be eligible for dapagliflozin</w:t>
      </w:r>
      <w:r>
        <w:t xml:space="preserve">. </w:t>
      </w:r>
      <w:r w:rsidRPr="00121962">
        <w:t>The Secretariat had suggested removing elements of the proposed criteria that permitted use of dapagliflozin where ACEI/ARB use was “medically contraindicated”.</w:t>
      </w:r>
      <w:r>
        <w:t xml:space="preserve"> </w:t>
      </w:r>
    </w:p>
    <w:p w14:paraId="496C1A46" w14:textId="456E92C5" w:rsidR="009C7665" w:rsidRPr="007F37D6" w:rsidRDefault="009C7665" w:rsidP="0042369B">
      <w:pPr>
        <w:pStyle w:val="3Bodytext"/>
        <w:rPr>
          <w:i/>
          <w:iCs/>
        </w:rPr>
      </w:pPr>
      <w:r w:rsidRPr="000C4686">
        <w:rPr>
          <w:i/>
          <w:iCs/>
        </w:rPr>
        <w:t xml:space="preserve">For more detail on PBAC’s view, see section </w:t>
      </w:r>
      <w:r w:rsidR="00B972D3">
        <w:rPr>
          <w:i/>
          <w:iCs/>
        </w:rPr>
        <w:t>6</w:t>
      </w:r>
      <w:r w:rsidR="0042369B">
        <w:rPr>
          <w:i/>
          <w:iCs/>
        </w:rPr>
        <w:t xml:space="preserve"> </w:t>
      </w:r>
      <w:r w:rsidRPr="000C4686">
        <w:rPr>
          <w:i/>
          <w:iCs/>
        </w:rPr>
        <w:t>PBAC outcome.</w:t>
      </w:r>
    </w:p>
    <w:p w14:paraId="1A0D913B" w14:textId="3890483E" w:rsidR="002A0C1A" w:rsidRPr="00520CB5" w:rsidRDefault="002A0C1A" w:rsidP="004257C2">
      <w:pPr>
        <w:pStyle w:val="2-SectionHeading"/>
        <w:numPr>
          <w:ilvl w:val="0"/>
          <w:numId w:val="41"/>
        </w:numPr>
        <w:ind w:left="709" w:hanging="709"/>
        <w:rPr>
          <w:color w:val="000000" w:themeColor="text1"/>
        </w:rPr>
      </w:pPr>
      <w:r w:rsidRPr="00520CB5">
        <w:rPr>
          <w:color w:val="000000" w:themeColor="text1"/>
        </w:rPr>
        <w:t xml:space="preserve">Comparator </w:t>
      </w:r>
    </w:p>
    <w:p w14:paraId="57102E22" w14:textId="12F2676F" w:rsidR="0042369B" w:rsidRPr="000B44C3" w:rsidRDefault="0042369B" w:rsidP="004257C2">
      <w:pPr>
        <w:widowControl w:val="0"/>
        <w:numPr>
          <w:ilvl w:val="1"/>
          <w:numId w:val="41"/>
        </w:numPr>
        <w:spacing w:after="120"/>
        <w:ind w:hanging="720"/>
        <w:contextualSpacing/>
        <w:rPr>
          <w:i/>
        </w:rPr>
      </w:pPr>
      <w:r>
        <w:rPr>
          <w:iCs/>
        </w:rPr>
        <w:t xml:space="preserve">Unchanged from standard care as the main comparator. </w:t>
      </w:r>
      <w:r w:rsidRPr="00B77E54">
        <w:t>This was previously considered to be appropriate (</w:t>
      </w:r>
      <w:r w:rsidR="00A83616">
        <w:t>Public Summary Document [PSD]</w:t>
      </w:r>
      <w:r w:rsidRPr="00B77E54">
        <w:t xml:space="preserve"> item 6.03, July 2021 PBAC, paragraph 7.1).</w:t>
      </w:r>
      <w:r w:rsidRPr="00B77E54">
        <w:rPr>
          <w:color w:val="FF0000"/>
        </w:rPr>
        <w:t xml:space="preserve"> </w:t>
      </w:r>
    </w:p>
    <w:p w14:paraId="4AB8697B" w14:textId="1343340B" w:rsidR="009C7665" w:rsidRPr="007F37D6" w:rsidRDefault="009C7665" w:rsidP="0042369B">
      <w:pPr>
        <w:pStyle w:val="3Bodytext"/>
        <w:jc w:val="both"/>
        <w:rPr>
          <w:i/>
          <w:iCs/>
        </w:rPr>
      </w:pPr>
      <w:r w:rsidRPr="007F37D6">
        <w:rPr>
          <w:i/>
          <w:iCs/>
        </w:rPr>
        <w:t xml:space="preserve">For more details on PBAC’s view, see section </w:t>
      </w:r>
      <w:r w:rsidR="00B972D3">
        <w:rPr>
          <w:i/>
          <w:iCs/>
        </w:rPr>
        <w:t>6</w:t>
      </w:r>
      <w:r w:rsidRPr="007F37D6">
        <w:rPr>
          <w:i/>
          <w:iCs/>
        </w:rPr>
        <w:t xml:space="preserve"> PBAC outcome. </w:t>
      </w:r>
    </w:p>
    <w:p w14:paraId="4A244347" w14:textId="632251B4" w:rsidR="009C7665" w:rsidRDefault="002A0C1A" w:rsidP="004257C2">
      <w:pPr>
        <w:pStyle w:val="2-SectionHeading"/>
        <w:numPr>
          <w:ilvl w:val="0"/>
          <w:numId w:val="41"/>
        </w:numPr>
        <w:ind w:left="709" w:hanging="709"/>
      </w:pPr>
      <w:r w:rsidRPr="003C2FB5">
        <w:t>Consideration of the evidence</w:t>
      </w:r>
    </w:p>
    <w:p w14:paraId="29F83D7A" w14:textId="77777777" w:rsidR="001B7067" w:rsidRPr="00F04A75" w:rsidRDefault="001B7067" w:rsidP="001B7067">
      <w:pPr>
        <w:pStyle w:val="4-SubsectionHeading"/>
      </w:pPr>
      <w:r w:rsidRPr="00F04A75">
        <w:t>Consumer comments</w:t>
      </w:r>
    </w:p>
    <w:p w14:paraId="5EAB324A" w14:textId="196387A8" w:rsidR="001B7067" w:rsidRPr="001B7067" w:rsidRDefault="001B7067" w:rsidP="004257C2">
      <w:pPr>
        <w:widowControl w:val="0"/>
        <w:numPr>
          <w:ilvl w:val="1"/>
          <w:numId w:val="41"/>
        </w:numPr>
        <w:spacing w:after="120"/>
        <w:ind w:hanging="720"/>
        <w:rPr>
          <w:rFonts w:cstheme="minorBidi"/>
          <w:b/>
          <w:i/>
          <w:iCs/>
          <w:szCs w:val="22"/>
        </w:rPr>
      </w:pPr>
      <w:r w:rsidRPr="004257C2">
        <w:t>The</w:t>
      </w:r>
      <w:r w:rsidRPr="001B7067">
        <w:rPr>
          <w:rFonts w:cstheme="minorBidi"/>
          <w:iCs/>
          <w:szCs w:val="22"/>
        </w:rPr>
        <w:t xml:space="preserve"> PBAC noted and welcomed the input from organisations (</w:t>
      </w:r>
      <w:r>
        <w:rPr>
          <w:rFonts w:cstheme="minorBidi"/>
          <w:iCs/>
          <w:szCs w:val="22"/>
        </w:rPr>
        <w:t>2</w:t>
      </w:r>
      <w:r w:rsidRPr="001B7067">
        <w:rPr>
          <w:rFonts w:cstheme="minorBidi"/>
          <w:iCs/>
          <w:szCs w:val="22"/>
        </w:rPr>
        <w:t xml:space="preserve">) via the Consumer </w:t>
      </w:r>
      <w:r w:rsidRPr="001B7067">
        <w:rPr>
          <w:rFonts w:cstheme="minorBidi"/>
          <w:iCs/>
          <w:szCs w:val="22"/>
        </w:rPr>
        <w:lastRenderedPageBreak/>
        <w:t>Comments facility on the PBS website.</w:t>
      </w:r>
      <w:r>
        <w:rPr>
          <w:rFonts w:cstheme="minorBidi"/>
          <w:iCs/>
          <w:szCs w:val="22"/>
        </w:rPr>
        <w:t xml:space="preserve"> The PBAC noted the comments from Kidney Health Australia which considered that the listing would be of significant benefit for people living with CKD. The PBAC noted the comments from Diabetes Australia </w:t>
      </w:r>
      <w:r w:rsidR="00141C8A">
        <w:rPr>
          <w:rFonts w:cstheme="minorBidi"/>
          <w:iCs/>
          <w:szCs w:val="22"/>
        </w:rPr>
        <w:t>supporting the listing of dapagliflozin for CKD and highlighting the importance of treating diabetes-related complications such as CKD.</w:t>
      </w:r>
    </w:p>
    <w:p w14:paraId="36A53EF5" w14:textId="3DAA2118" w:rsidR="00662854" w:rsidRPr="00662854" w:rsidRDefault="00662854" w:rsidP="004257C2">
      <w:pPr>
        <w:pStyle w:val="4-SubsectionHeading"/>
        <w:spacing w:before="0"/>
        <w:rPr>
          <w:lang w:eastAsia="en-US"/>
        </w:rPr>
      </w:pPr>
      <w:r w:rsidRPr="003C2FB5">
        <w:rPr>
          <w:lang w:eastAsia="en-US"/>
        </w:rPr>
        <w:t>Clinical claim</w:t>
      </w:r>
    </w:p>
    <w:p w14:paraId="0C12CF21" w14:textId="5253737F" w:rsidR="00CA5562" w:rsidRDefault="00F6315B" w:rsidP="004257C2">
      <w:pPr>
        <w:widowControl w:val="0"/>
        <w:numPr>
          <w:ilvl w:val="1"/>
          <w:numId w:val="41"/>
        </w:numPr>
        <w:spacing w:after="120"/>
        <w:ind w:hanging="720"/>
        <w:rPr>
          <w:rFonts w:cstheme="minorBidi"/>
          <w:b/>
          <w:i/>
          <w:iCs/>
          <w:szCs w:val="22"/>
        </w:rPr>
      </w:pPr>
      <w:r w:rsidRPr="00F6315B">
        <w:rPr>
          <w:rFonts w:cstheme="minorBidi"/>
          <w:iCs/>
          <w:szCs w:val="22"/>
        </w:rPr>
        <w:t>The Early Re-Entry submission did not present new clinical evidence. The PBAC was previously satisfied that dapagliflozin added to standard care and provides, for some patients, a significant improvement in efficacy over standard care alone (</w:t>
      </w:r>
      <w:r w:rsidR="001977B2">
        <w:rPr>
          <w:rFonts w:cstheme="minorBidi"/>
          <w:iCs/>
          <w:szCs w:val="22"/>
        </w:rPr>
        <w:t xml:space="preserve">PSD for </w:t>
      </w:r>
      <w:r w:rsidRPr="00F6315B">
        <w:rPr>
          <w:rFonts w:cstheme="minorBidi"/>
          <w:iCs/>
          <w:szCs w:val="22"/>
        </w:rPr>
        <w:t>item 6.03, July 2021 PBAC, paragraph 7.1).</w:t>
      </w:r>
    </w:p>
    <w:p w14:paraId="2B649BDE" w14:textId="77777777" w:rsidR="00966364" w:rsidRPr="00D70349" w:rsidRDefault="00966364" w:rsidP="004257C2">
      <w:pPr>
        <w:pStyle w:val="4-SubsectionHeading"/>
        <w:spacing w:before="0"/>
        <w:rPr>
          <w:lang w:eastAsia="en-US"/>
        </w:rPr>
      </w:pPr>
      <w:r w:rsidRPr="00D70349">
        <w:rPr>
          <w:lang w:eastAsia="en-US"/>
        </w:rPr>
        <w:t>Pricing</w:t>
      </w:r>
    </w:p>
    <w:p w14:paraId="6FE04BC5" w14:textId="4ED5FEA0" w:rsidR="00966364" w:rsidRPr="00EC0514" w:rsidRDefault="00966364" w:rsidP="004257C2">
      <w:pPr>
        <w:widowControl w:val="0"/>
        <w:numPr>
          <w:ilvl w:val="1"/>
          <w:numId w:val="41"/>
        </w:numPr>
        <w:spacing w:after="120"/>
        <w:ind w:hanging="720"/>
        <w:rPr>
          <w:rFonts w:cstheme="minorHAnsi"/>
        </w:rPr>
      </w:pPr>
      <w:r>
        <w:t xml:space="preserve">The Early Re-Entry submission did not propose a new price. </w:t>
      </w:r>
      <w:r w:rsidRPr="00966364">
        <w:t>The PBAC previously considered</w:t>
      </w:r>
      <w:r w:rsidRPr="00966364">
        <w:rPr>
          <w:lang w:eastAsia="en-US"/>
        </w:rPr>
        <w:t xml:space="preserve"> that the listing would be cost effective at the </w:t>
      </w:r>
      <w:r w:rsidR="007B602D">
        <w:rPr>
          <w:color w:val="000000"/>
          <w:shd w:val="solid" w:color="000000" w:fill="000000"/>
          <w:lang w:eastAsia="en-US"/>
          <w14:textFill>
            <w14:solidFill>
              <w14:srgbClr w14:val="000000">
                <w14:alpha w14:val="100000"/>
              </w14:srgbClr>
            </w14:solidFill>
          </w14:textFill>
        </w:rPr>
        <w:t xml:space="preserve">    </w:t>
      </w:r>
      <w:r w:rsidR="007B602D" w:rsidRPr="008A3930">
        <w:rPr>
          <w:color w:val="000000"/>
          <w:w w:val="15"/>
          <w:shd w:val="solid" w:color="000000" w:fill="000000"/>
          <w:fitText w:val="-20" w:id="-1505484543"/>
          <w:lang w:eastAsia="en-US"/>
          <w14:textFill>
            <w14:solidFill>
              <w14:srgbClr w14:val="000000">
                <w14:alpha w14:val="100000"/>
              </w14:srgbClr>
            </w14:solidFill>
          </w14:textFill>
        </w:rPr>
        <w:t xml:space="preserve">  </w:t>
      </w:r>
      <w:r w:rsidR="007B602D" w:rsidRPr="008A3930">
        <w:rPr>
          <w:color w:val="000000"/>
          <w:spacing w:val="-52"/>
          <w:w w:val="15"/>
          <w:shd w:val="solid" w:color="000000" w:fill="000000"/>
          <w:fitText w:val="-20" w:id="-1505484543"/>
          <w:lang w:eastAsia="en-US"/>
          <w14:textFill>
            <w14:solidFill>
              <w14:srgbClr w14:val="000000">
                <w14:alpha w14:val="100000"/>
              </w14:srgbClr>
            </w14:solidFill>
          </w14:textFill>
        </w:rPr>
        <w:t>|</w:t>
      </w:r>
      <w:r w:rsidRPr="00966364">
        <w:rPr>
          <w:lang w:eastAsia="en-US"/>
        </w:rPr>
        <w:t xml:space="preserve"> PBS price for dapagliflozin for </w:t>
      </w:r>
      <w:r w:rsidR="007B602D">
        <w:rPr>
          <w:color w:val="000000"/>
          <w:shd w:val="solid" w:color="000000" w:fill="000000"/>
          <w:lang w:eastAsia="en-US"/>
          <w14:textFill>
            <w14:solidFill>
              <w14:srgbClr w14:val="000000">
                <w14:alpha w14:val="100000"/>
              </w14:srgbClr>
            </w14:solidFill>
          </w14:textFill>
        </w:rPr>
        <w:t xml:space="preserve">            </w:t>
      </w:r>
      <w:r w:rsidR="007B602D" w:rsidRPr="008A3930">
        <w:rPr>
          <w:color w:val="000000"/>
          <w:w w:val="15"/>
          <w:shd w:val="solid" w:color="000000" w:fill="000000"/>
          <w:fitText w:val="-20" w:id="-1505484542"/>
          <w:lang w:eastAsia="en-US"/>
          <w14:textFill>
            <w14:solidFill>
              <w14:srgbClr w14:val="000000">
                <w14:alpha w14:val="100000"/>
              </w14:srgbClr>
            </w14:solidFill>
          </w14:textFill>
        </w:rPr>
        <w:t xml:space="preserve">  </w:t>
      </w:r>
      <w:r w:rsidR="007B602D" w:rsidRPr="008A3930">
        <w:rPr>
          <w:color w:val="000000"/>
          <w:spacing w:val="-52"/>
          <w:w w:val="15"/>
          <w:shd w:val="solid" w:color="000000" w:fill="000000"/>
          <w:fitText w:val="-20" w:id="-1505484542"/>
          <w:lang w:eastAsia="en-US"/>
          <w14:textFill>
            <w14:solidFill>
              <w14:srgbClr w14:val="000000">
                <w14:alpha w14:val="100000"/>
              </w14:srgbClr>
            </w14:solidFill>
          </w14:textFill>
        </w:rPr>
        <w:t>|</w:t>
      </w:r>
      <w:r w:rsidRPr="00966364">
        <w:rPr>
          <w:lang w:eastAsia="en-US"/>
        </w:rPr>
        <w:t xml:space="preserve"> </w:t>
      </w:r>
      <w:r w:rsidRPr="00966364">
        <w:t>(</w:t>
      </w:r>
      <w:r w:rsidR="001977B2">
        <w:t>PSD</w:t>
      </w:r>
      <w:r w:rsidRPr="00966364">
        <w:t>, July 2021 PBAC, paragraph 7.1).</w:t>
      </w:r>
    </w:p>
    <w:p w14:paraId="21C42B72" w14:textId="77777777" w:rsidR="00EC0514" w:rsidRDefault="00EC0514" w:rsidP="004257C2">
      <w:pPr>
        <w:pStyle w:val="4-SubsectionHeading"/>
        <w:spacing w:before="0"/>
        <w:rPr>
          <w:lang w:eastAsia="en-US"/>
        </w:rPr>
      </w:pPr>
      <w:r w:rsidRPr="009D507A">
        <w:rPr>
          <w:lang w:eastAsia="en-US"/>
        </w:rPr>
        <w:t>Estimated PBS utilisation and financial implications</w:t>
      </w:r>
    </w:p>
    <w:p w14:paraId="7DC36E68" w14:textId="7733B34B" w:rsidR="00EC0514" w:rsidRPr="00EC0514" w:rsidRDefault="00EC0514" w:rsidP="004257C2">
      <w:pPr>
        <w:widowControl w:val="0"/>
        <w:numPr>
          <w:ilvl w:val="1"/>
          <w:numId w:val="41"/>
        </w:numPr>
        <w:spacing w:after="120"/>
        <w:ind w:hanging="720"/>
      </w:pPr>
      <w:r w:rsidRPr="00EC0514">
        <w:t xml:space="preserve">As an Early Re-Entry submission, the financial estimates analysis and </w:t>
      </w:r>
      <w:r w:rsidR="00A83616">
        <w:t>Risk Shar</w:t>
      </w:r>
      <w:r w:rsidR="00D843E4">
        <w:t>ing Arrangement (</w:t>
      </w:r>
      <w:r w:rsidR="00C2504E">
        <w:t>RSA</w:t>
      </w:r>
      <w:r w:rsidR="00D843E4">
        <w:t>)</w:t>
      </w:r>
      <w:r w:rsidR="00C2504E">
        <w:t xml:space="preserve"> </w:t>
      </w:r>
      <w:r w:rsidRPr="00EC0514">
        <w:t xml:space="preserve">proposal </w:t>
      </w:r>
      <w:r w:rsidR="00F569F5">
        <w:t>have</w:t>
      </w:r>
      <w:r w:rsidRPr="00EC0514">
        <w:t xml:space="preserve"> not been independently evaluated.</w:t>
      </w:r>
    </w:p>
    <w:p w14:paraId="48FE6F74" w14:textId="43CEA7E0" w:rsidR="00EC0514" w:rsidRDefault="00EC0514" w:rsidP="004257C2">
      <w:pPr>
        <w:widowControl w:val="0"/>
        <w:numPr>
          <w:ilvl w:val="1"/>
          <w:numId w:val="41"/>
        </w:numPr>
        <w:spacing w:after="120"/>
        <w:ind w:hanging="720"/>
      </w:pPr>
      <w:r>
        <w:t xml:space="preserve">The Early Re-Entry submission </w:t>
      </w:r>
      <w:r w:rsidR="00D536E7">
        <w:t>presented</w:t>
      </w:r>
      <w:r>
        <w:t xml:space="preserve"> revised financial estimates for CKD with inputs and assumptions as recommended by PBAC in November 2021</w:t>
      </w:r>
      <w:r w:rsidR="00B609A5">
        <w:t xml:space="preserve">. </w:t>
      </w:r>
      <w:r w:rsidR="005051D3">
        <w:t>The PBAC noted that the revised financial estimates were validated by the Drug Utilisation Sub-Committee (DUSC) Secretariat.</w:t>
      </w:r>
    </w:p>
    <w:p w14:paraId="6A0B0E32" w14:textId="79255911" w:rsidR="009706C7" w:rsidRDefault="009706C7" w:rsidP="004257C2">
      <w:pPr>
        <w:pStyle w:val="4-SubsectionHeading"/>
        <w:spacing w:before="0"/>
      </w:pPr>
      <w:bookmarkStart w:id="0" w:name="_Toc82426517"/>
      <w:r w:rsidRPr="00D379EA">
        <w:t>Financial Management – Risk Sharing Arrangements</w:t>
      </w:r>
      <w:bookmarkEnd w:id="0"/>
    </w:p>
    <w:p w14:paraId="4850CFFB" w14:textId="25105A8D" w:rsidR="009706C7" w:rsidRPr="004F2B98" w:rsidRDefault="009706C7" w:rsidP="004257C2">
      <w:pPr>
        <w:widowControl w:val="0"/>
        <w:numPr>
          <w:ilvl w:val="1"/>
          <w:numId w:val="41"/>
        </w:numPr>
        <w:spacing w:after="120"/>
        <w:ind w:hanging="720"/>
      </w:pPr>
      <w:r w:rsidRPr="00BC4761">
        <w:t xml:space="preserve">An RSA </w:t>
      </w:r>
      <w:r>
        <w:t>wa</w:t>
      </w:r>
      <w:r w:rsidRPr="00BC4761">
        <w:t xml:space="preserve">s proposed </w:t>
      </w:r>
      <w:r>
        <w:t xml:space="preserve">by the sponsor </w:t>
      </w:r>
      <w:r w:rsidRPr="00BC4761">
        <w:t xml:space="preserve">in the context of the CKD population, combined with the agreed-upon utilisation caps for </w:t>
      </w:r>
      <w:r w:rsidRPr="00B858D6">
        <w:rPr>
          <w:bCs/>
          <w:lang w:val="en-GB"/>
        </w:rPr>
        <w:t xml:space="preserve">heart failure with reduced ejection fraction </w:t>
      </w:r>
      <w:r>
        <w:rPr>
          <w:bCs/>
          <w:lang w:val="en-GB"/>
        </w:rPr>
        <w:t>(</w:t>
      </w:r>
      <w:proofErr w:type="spellStart"/>
      <w:r w:rsidRPr="00BC4761">
        <w:t>HFrEF</w:t>
      </w:r>
      <w:proofErr w:type="spellEnd"/>
      <w:r>
        <w:t>)</w:t>
      </w:r>
      <w:r w:rsidRPr="00BC4761">
        <w:t xml:space="preserve"> and incorporating estimated utilisation for the currently listed T2DM indication. A </w:t>
      </w:r>
      <w:r w:rsidR="000962EC">
        <w:rPr>
          <w:color w:val="000000"/>
          <w:shd w:val="solid" w:color="000000" w:fill="000000"/>
          <w14:textFill>
            <w14:solidFill>
              <w14:srgbClr w14:val="000000">
                <w14:alpha w14:val="100000"/>
              </w14:srgbClr>
            </w14:solidFill>
          </w14:textFill>
        </w:rPr>
        <w:t xml:space="preserve">   </w:t>
      </w:r>
      <w:r w:rsidR="000962EC" w:rsidRPr="008A3930">
        <w:rPr>
          <w:color w:val="000000"/>
          <w:w w:val="15"/>
          <w:shd w:val="solid" w:color="000000" w:fill="000000"/>
          <w:fitText w:val="-20" w:id="-1505484288"/>
          <w14:textFill>
            <w14:solidFill>
              <w14:srgbClr w14:val="000000">
                <w14:alpha w14:val="100000"/>
              </w14:srgbClr>
            </w14:solidFill>
          </w14:textFill>
        </w:rPr>
        <w:t xml:space="preserve">  </w:t>
      </w:r>
      <w:r w:rsidR="000962EC" w:rsidRPr="008A3930">
        <w:rPr>
          <w:color w:val="000000"/>
          <w:spacing w:val="-52"/>
          <w:w w:val="15"/>
          <w:shd w:val="solid" w:color="000000" w:fill="000000"/>
          <w:fitText w:val="-20" w:id="-1505484288"/>
          <w14:textFill>
            <w14:solidFill>
              <w14:srgbClr w14:val="000000">
                <w14:alpha w14:val="100000"/>
              </w14:srgbClr>
            </w14:solidFill>
          </w14:textFill>
        </w:rPr>
        <w:t>|</w:t>
      </w:r>
      <w:r w:rsidRPr="00BC4761">
        <w:t>% rebate of expenditure exceeding the cap</w:t>
      </w:r>
      <w:r>
        <w:t xml:space="preserve"> was proposed</w:t>
      </w:r>
      <w:r w:rsidRPr="00BC4761">
        <w:t xml:space="preserve"> by the sponsor.</w:t>
      </w:r>
    </w:p>
    <w:p w14:paraId="64068490" w14:textId="17C1007C" w:rsidR="00D843E4" w:rsidRDefault="00EC0514" w:rsidP="004257C2">
      <w:pPr>
        <w:widowControl w:val="0"/>
        <w:numPr>
          <w:ilvl w:val="1"/>
          <w:numId w:val="41"/>
        </w:numPr>
        <w:spacing w:after="120"/>
        <w:ind w:hanging="720"/>
      </w:pPr>
      <w:r w:rsidRPr="004B6118">
        <w:t xml:space="preserve">The T2DM estimates </w:t>
      </w:r>
      <w:r w:rsidR="00AE1933">
        <w:t>were</w:t>
      </w:r>
      <w:r w:rsidRPr="004B6118">
        <w:t xml:space="preserve"> revised since the previous submission (</w:t>
      </w:r>
      <w:r>
        <w:t>September 2021). The T2DM component of the base-case combined estimates include</w:t>
      </w:r>
      <w:r w:rsidR="00C72593">
        <w:t>d</w:t>
      </w:r>
      <w:r>
        <w:t xml:space="preserve"> dapagliflozin and other SGLT2-Is.</w:t>
      </w:r>
    </w:p>
    <w:p w14:paraId="623C5EB3" w14:textId="77777777" w:rsidR="00D843E4" w:rsidRDefault="00D843E4">
      <w:pPr>
        <w:spacing w:after="160" w:line="259" w:lineRule="auto"/>
        <w:jc w:val="left"/>
      </w:pPr>
      <w:r>
        <w:br w:type="page"/>
      </w:r>
    </w:p>
    <w:p w14:paraId="691876D4" w14:textId="77777777" w:rsidR="00EC0514" w:rsidRPr="009E592B" w:rsidRDefault="00EC0514" w:rsidP="004257C2">
      <w:pPr>
        <w:pStyle w:val="Caption"/>
        <w:spacing w:after="0"/>
        <w:rPr>
          <w:rFonts w:ascii="Arial Narrow" w:hAnsi="Arial Narrow"/>
          <w:b/>
          <w:bCs/>
          <w:i w:val="0"/>
          <w:iCs w:val="0"/>
          <w:color w:val="auto"/>
          <w:sz w:val="20"/>
          <w:szCs w:val="20"/>
        </w:rPr>
      </w:pPr>
      <w:bookmarkStart w:id="1" w:name="_Ref91080429"/>
      <w:r w:rsidRPr="009E592B">
        <w:rPr>
          <w:rFonts w:ascii="Arial Narrow" w:hAnsi="Arial Narrow"/>
          <w:b/>
          <w:bCs/>
          <w:i w:val="0"/>
          <w:iCs w:val="0"/>
          <w:sz w:val="20"/>
          <w:szCs w:val="20"/>
        </w:rPr>
        <w:lastRenderedPageBreak/>
        <w:t xml:space="preserve">Table </w:t>
      </w:r>
      <w:bookmarkEnd w:id="1"/>
      <w:r w:rsidRPr="009E592B">
        <w:rPr>
          <w:rFonts w:ascii="Arial Narrow" w:hAnsi="Arial Narrow"/>
          <w:b/>
          <w:bCs/>
          <w:i w:val="0"/>
          <w:iCs w:val="0"/>
          <w:sz w:val="20"/>
          <w:szCs w:val="20"/>
        </w:rPr>
        <w:t>1:</w:t>
      </w:r>
      <w:r w:rsidRPr="009E592B">
        <w:rPr>
          <w:rFonts w:ascii="Arial Narrow" w:hAnsi="Arial Narrow"/>
          <w:b/>
          <w:bCs/>
          <w:i w:val="0"/>
          <w:iCs w:val="0"/>
          <w:color w:val="auto"/>
          <w:sz w:val="20"/>
          <w:szCs w:val="20"/>
        </w:rPr>
        <w:tab/>
        <w:t xml:space="preserve">Base-case combined estimates across CKD + </w:t>
      </w:r>
      <w:proofErr w:type="spellStart"/>
      <w:r w:rsidRPr="009E592B">
        <w:rPr>
          <w:rFonts w:ascii="Arial Narrow" w:hAnsi="Arial Narrow"/>
          <w:b/>
          <w:bCs/>
          <w:i w:val="0"/>
          <w:iCs w:val="0"/>
          <w:color w:val="auto"/>
          <w:sz w:val="20"/>
          <w:szCs w:val="20"/>
        </w:rPr>
        <w:t>HFrEF</w:t>
      </w:r>
      <w:proofErr w:type="spellEnd"/>
      <w:r w:rsidRPr="009E592B">
        <w:rPr>
          <w:rFonts w:ascii="Arial Narrow" w:hAnsi="Arial Narrow"/>
          <w:b/>
          <w:bCs/>
          <w:i w:val="0"/>
          <w:iCs w:val="0"/>
          <w:color w:val="auto"/>
          <w:sz w:val="20"/>
          <w:szCs w:val="20"/>
        </w:rPr>
        <w:t xml:space="preserve"> + T2DM current listing for the total SGLT2-I market</w:t>
      </w:r>
    </w:p>
    <w:tbl>
      <w:tblPr>
        <w:tblStyle w:val="TableGrid"/>
        <w:tblW w:w="5000" w:type="pct"/>
        <w:tblLook w:val="04A0" w:firstRow="1" w:lastRow="0" w:firstColumn="1" w:lastColumn="0" w:noHBand="0" w:noVBand="1"/>
      </w:tblPr>
      <w:tblGrid>
        <w:gridCol w:w="2358"/>
        <w:gridCol w:w="1137"/>
        <w:gridCol w:w="1077"/>
        <w:gridCol w:w="1077"/>
        <w:gridCol w:w="1077"/>
        <w:gridCol w:w="1089"/>
        <w:gridCol w:w="1201"/>
      </w:tblGrid>
      <w:tr w:rsidR="00EC0514" w:rsidRPr="009E592B" w14:paraId="35E82727" w14:textId="77777777" w:rsidTr="002B1181">
        <w:trPr>
          <w:tblHeader/>
        </w:trPr>
        <w:tc>
          <w:tcPr>
            <w:tcW w:w="1308" w:type="pct"/>
          </w:tcPr>
          <w:p w14:paraId="6A93A025" w14:textId="77777777" w:rsidR="00EC0514" w:rsidRPr="00C72593" w:rsidRDefault="00EC0514" w:rsidP="000A55FF">
            <w:pPr>
              <w:pStyle w:val="Tabletext0"/>
              <w:rPr>
                <w:rFonts w:ascii="Arial Narrow" w:hAnsi="Arial Narrow"/>
                <w:b/>
                <w:bCs/>
                <w:sz w:val="18"/>
                <w:szCs w:val="18"/>
              </w:rPr>
            </w:pPr>
          </w:p>
        </w:tc>
        <w:tc>
          <w:tcPr>
            <w:tcW w:w="631" w:type="pct"/>
            <w:shd w:val="clear" w:color="auto" w:fill="auto"/>
            <w:vAlign w:val="center"/>
          </w:tcPr>
          <w:p w14:paraId="3C739252" w14:textId="77777777" w:rsidR="00EC0514" w:rsidRPr="00C72593" w:rsidRDefault="00EC0514" w:rsidP="000A55FF">
            <w:pPr>
              <w:pStyle w:val="Tabletext0"/>
              <w:jc w:val="center"/>
              <w:rPr>
                <w:rFonts w:ascii="Arial Narrow" w:hAnsi="Arial Narrow"/>
                <w:b/>
                <w:bCs/>
                <w:sz w:val="18"/>
                <w:szCs w:val="18"/>
              </w:rPr>
            </w:pPr>
            <w:r w:rsidRPr="00C72593">
              <w:rPr>
                <w:rFonts w:ascii="Arial Narrow" w:hAnsi="Arial Narrow"/>
                <w:b/>
                <w:bCs/>
                <w:sz w:val="18"/>
                <w:szCs w:val="18"/>
              </w:rPr>
              <w:t>2022</w:t>
            </w:r>
          </w:p>
        </w:tc>
        <w:tc>
          <w:tcPr>
            <w:tcW w:w="597" w:type="pct"/>
            <w:shd w:val="clear" w:color="auto" w:fill="auto"/>
            <w:vAlign w:val="center"/>
          </w:tcPr>
          <w:p w14:paraId="38C11653" w14:textId="77777777" w:rsidR="00EC0514" w:rsidRPr="00C72593" w:rsidRDefault="00EC0514" w:rsidP="000A55FF">
            <w:pPr>
              <w:pStyle w:val="Tabletext0"/>
              <w:jc w:val="center"/>
              <w:rPr>
                <w:rFonts w:ascii="Arial Narrow" w:hAnsi="Arial Narrow"/>
                <w:b/>
                <w:bCs/>
                <w:sz w:val="18"/>
                <w:szCs w:val="18"/>
              </w:rPr>
            </w:pPr>
            <w:r w:rsidRPr="00C72593">
              <w:rPr>
                <w:rFonts w:ascii="Arial Narrow" w:hAnsi="Arial Narrow"/>
                <w:b/>
                <w:bCs/>
                <w:sz w:val="18"/>
                <w:szCs w:val="18"/>
              </w:rPr>
              <w:t>2023</w:t>
            </w:r>
          </w:p>
        </w:tc>
        <w:tc>
          <w:tcPr>
            <w:tcW w:w="597" w:type="pct"/>
            <w:shd w:val="clear" w:color="auto" w:fill="auto"/>
            <w:vAlign w:val="center"/>
          </w:tcPr>
          <w:p w14:paraId="62825361" w14:textId="77777777" w:rsidR="00EC0514" w:rsidRPr="00C72593" w:rsidRDefault="00EC0514" w:rsidP="000A55FF">
            <w:pPr>
              <w:pStyle w:val="Tabletext0"/>
              <w:jc w:val="center"/>
              <w:rPr>
                <w:rFonts w:ascii="Arial Narrow" w:hAnsi="Arial Narrow"/>
                <w:b/>
                <w:bCs/>
                <w:sz w:val="18"/>
                <w:szCs w:val="18"/>
              </w:rPr>
            </w:pPr>
            <w:r w:rsidRPr="00C72593">
              <w:rPr>
                <w:rFonts w:ascii="Arial Narrow" w:hAnsi="Arial Narrow"/>
                <w:b/>
                <w:bCs/>
                <w:sz w:val="18"/>
                <w:szCs w:val="18"/>
              </w:rPr>
              <w:t>2024</w:t>
            </w:r>
          </w:p>
        </w:tc>
        <w:tc>
          <w:tcPr>
            <w:tcW w:w="597" w:type="pct"/>
            <w:shd w:val="clear" w:color="auto" w:fill="auto"/>
            <w:vAlign w:val="center"/>
          </w:tcPr>
          <w:p w14:paraId="3CC5994A" w14:textId="77777777" w:rsidR="00EC0514" w:rsidRPr="00C72593" w:rsidRDefault="00EC0514" w:rsidP="000A55FF">
            <w:pPr>
              <w:pStyle w:val="Tabletext0"/>
              <w:jc w:val="center"/>
              <w:rPr>
                <w:rFonts w:ascii="Arial Narrow" w:hAnsi="Arial Narrow"/>
                <w:b/>
                <w:bCs/>
                <w:sz w:val="18"/>
                <w:szCs w:val="18"/>
              </w:rPr>
            </w:pPr>
            <w:r w:rsidRPr="00C72593">
              <w:rPr>
                <w:rFonts w:ascii="Arial Narrow" w:hAnsi="Arial Narrow"/>
                <w:b/>
                <w:bCs/>
                <w:sz w:val="18"/>
                <w:szCs w:val="18"/>
              </w:rPr>
              <w:t>2025</w:t>
            </w:r>
          </w:p>
        </w:tc>
        <w:tc>
          <w:tcPr>
            <w:tcW w:w="604" w:type="pct"/>
            <w:shd w:val="clear" w:color="auto" w:fill="auto"/>
            <w:vAlign w:val="center"/>
          </w:tcPr>
          <w:p w14:paraId="039678B0" w14:textId="77777777" w:rsidR="00EC0514" w:rsidRPr="00C72593" w:rsidRDefault="00EC0514" w:rsidP="000A55FF">
            <w:pPr>
              <w:pStyle w:val="Tabletext0"/>
              <w:jc w:val="center"/>
              <w:rPr>
                <w:rFonts w:ascii="Arial Narrow" w:hAnsi="Arial Narrow"/>
                <w:b/>
                <w:bCs/>
                <w:sz w:val="18"/>
                <w:szCs w:val="18"/>
              </w:rPr>
            </w:pPr>
            <w:r w:rsidRPr="00C72593">
              <w:rPr>
                <w:rFonts w:ascii="Arial Narrow" w:hAnsi="Arial Narrow"/>
                <w:b/>
                <w:bCs/>
                <w:sz w:val="18"/>
                <w:szCs w:val="18"/>
              </w:rPr>
              <w:t>2026</w:t>
            </w:r>
          </w:p>
        </w:tc>
        <w:tc>
          <w:tcPr>
            <w:tcW w:w="665" w:type="pct"/>
            <w:shd w:val="clear" w:color="auto" w:fill="auto"/>
            <w:vAlign w:val="center"/>
          </w:tcPr>
          <w:p w14:paraId="3EA0B262" w14:textId="77777777" w:rsidR="00EC0514" w:rsidRPr="00C72593" w:rsidRDefault="00EC0514" w:rsidP="000A55FF">
            <w:pPr>
              <w:pStyle w:val="Tabletext0"/>
              <w:jc w:val="center"/>
              <w:rPr>
                <w:rFonts w:ascii="Arial Narrow" w:hAnsi="Arial Narrow"/>
                <w:b/>
                <w:bCs/>
                <w:sz w:val="18"/>
                <w:szCs w:val="18"/>
              </w:rPr>
            </w:pPr>
            <w:r w:rsidRPr="00C72593">
              <w:rPr>
                <w:rFonts w:ascii="Arial Narrow" w:hAnsi="Arial Narrow"/>
                <w:b/>
                <w:bCs/>
                <w:sz w:val="18"/>
                <w:szCs w:val="18"/>
              </w:rPr>
              <w:t>2027</w:t>
            </w:r>
          </w:p>
        </w:tc>
      </w:tr>
      <w:tr w:rsidR="00EC0514" w:rsidRPr="009E592B" w14:paraId="36403FA6" w14:textId="77777777" w:rsidTr="002B1181">
        <w:tc>
          <w:tcPr>
            <w:tcW w:w="1308" w:type="pct"/>
          </w:tcPr>
          <w:p w14:paraId="2632DCEF" w14:textId="3EF01479" w:rsidR="00EC0514" w:rsidRPr="00C72593" w:rsidRDefault="00EC0514" w:rsidP="000A55FF">
            <w:pPr>
              <w:pStyle w:val="Tabletext0"/>
              <w:rPr>
                <w:rFonts w:ascii="Arial Narrow" w:hAnsi="Arial Narrow"/>
                <w:b/>
                <w:bCs/>
                <w:sz w:val="18"/>
                <w:szCs w:val="18"/>
              </w:rPr>
            </w:pPr>
            <w:r w:rsidRPr="00C72593">
              <w:rPr>
                <w:rFonts w:ascii="Arial Narrow" w:hAnsi="Arial Narrow"/>
                <w:b/>
                <w:bCs/>
                <w:sz w:val="18"/>
                <w:szCs w:val="18"/>
              </w:rPr>
              <w:t>CKD: Net cost to R/PBS</w:t>
            </w:r>
            <w:r w:rsidR="00D843E4">
              <w:rPr>
                <w:rFonts w:ascii="Arial Narrow" w:hAnsi="Arial Narrow"/>
                <w:b/>
                <w:bCs/>
                <w:sz w:val="18"/>
                <w:szCs w:val="18"/>
              </w:rPr>
              <w:t xml:space="preserve">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8528788" w14:textId="6323931C" w:rsidR="00EC0514" w:rsidRPr="00AC4669" w:rsidRDefault="000962EC" w:rsidP="000A55FF">
            <w:pPr>
              <w:pStyle w:val="Tabletext0"/>
              <w:jc w:val="center"/>
              <w:rPr>
                <w:rFonts w:ascii="Arial Narrow" w:hAnsi="Arial Narrow"/>
                <w:sz w:val="18"/>
                <w:szCs w:val="18"/>
                <w:highlight w:val="yellow"/>
                <w:vertAlign w:val="superscript"/>
              </w:rPr>
            </w:pPr>
            <w:r w:rsidRPr="000962EC">
              <w:rPr>
                <w:rFonts w:ascii="Arial Narrow" w:hAnsi="Arial Narrow" w:cs="Calibri" w:hint="eastAsia"/>
                <w:color w:val="000000"/>
                <w:w w:val="16"/>
                <w:sz w:val="18"/>
                <w:szCs w:val="18"/>
                <w:shd w:val="solid" w:color="000000" w:fill="000000"/>
                <w:fitText w:val="66" w:id="-1505484287"/>
                <w14:textFill>
                  <w14:solidFill>
                    <w14:srgbClr w14:val="000000">
                      <w14:alpha w14:val="100000"/>
                    </w14:srgbClr>
                  </w14:solidFill>
                </w14:textFill>
              </w:rPr>
              <w:t xml:space="preserve">　</w:t>
            </w:r>
            <w:r w:rsidRPr="000962EC">
              <w:rPr>
                <w:rFonts w:ascii="Arial Narrow" w:hAnsi="Arial Narrow" w:cs="Calibri"/>
                <w:color w:val="000000"/>
                <w:w w:val="16"/>
                <w:sz w:val="18"/>
                <w:szCs w:val="18"/>
                <w:shd w:val="solid" w:color="000000" w:fill="000000"/>
                <w:fitText w:val="66" w:id="-1505484287"/>
                <w14:textFill>
                  <w14:solidFill>
                    <w14:srgbClr w14:val="000000">
                      <w14:alpha w14:val="100000"/>
                    </w14:srgbClr>
                  </w14:solidFill>
                </w14:textFill>
              </w:rPr>
              <w:t>|</w:t>
            </w:r>
            <w:r w:rsidRPr="000962EC">
              <w:rPr>
                <w:rFonts w:ascii="Arial Narrow" w:hAnsi="Arial Narrow" w:cs="Calibri" w:hint="eastAsia"/>
                <w:color w:val="000000"/>
                <w:w w:val="16"/>
                <w:sz w:val="18"/>
                <w:szCs w:val="18"/>
                <w:shd w:val="solid" w:color="000000" w:fill="000000"/>
                <w:fitText w:val="66" w:id="-1505484287"/>
                <w14:textFill>
                  <w14:solidFill>
                    <w14:srgbClr w14:val="000000">
                      <w14:alpha w14:val="100000"/>
                    </w14:srgbClr>
                  </w14:solidFill>
                </w14:textFill>
              </w:rPr>
              <w:t xml:space="preserve">　</w:t>
            </w:r>
            <w:r w:rsidR="00924F36" w:rsidRPr="00AC4669">
              <w:rPr>
                <w:rFonts w:ascii="Arial Narrow" w:hAnsi="Arial Narrow" w:cs="Calibri"/>
                <w:sz w:val="18"/>
                <w:szCs w:val="18"/>
                <w:vertAlign w:val="superscript"/>
              </w:rPr>
              <w:t>1</w:t>
            </w:r>
          </w:p>
        </w:tc>
        <w:tc>
          <w:tcPr>
            <w:tcW w:w="597" w:type="pct"/>
            <w:tcBorders>
              <w:top w:val="single" w:sz="4" w:space="0" w:color="auto"/>
              <w:left w:val="nil"/>
              <w:bottom w:val="single" w:sz="4" w:space="0" w:color="auto"/>
              <w:right w:val="single" w:sz="4" w:space="0" w:color="auto"/>
            </w:tcBorders>
            <w:shd w:val="clear" w:color="auto" w:fill="auto"/>
            <w:vAlign w:val="center"/>
          </w:tcPr>
          <w:p w14:paraId="6126238D" w14:textId="3F4AD528"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1"/>
                <w:sz w:val="18"/>
                <w:szCs w:val="18"/>
                <w:shd w:val="solid" w:color="000000" w:fill="000000"/>
                <w:fitText w:val="87" w:id="-1505484286"/>
                <w14:textFill>
                  <w14:solidFill>
                    <w14:srgbClr w14:val="000000">
                      <w14:alpha w14:val="100000"/>
                    </w14:srgbClr>
                  </w14:solidFill>
                </w14:textFill>
              </w:rPr>
              <w:t xml:space="preserve">　</w:t>
            </w:r>
            <w:r w:rsidRPr="000962EC">
              <w:rPr>
                <w:rFonts w:ascii="Arial Narrow" w:hAnsi="Arial Narrow" w:cs="Calibri"/>
                <w:color w:val="000000"/>
                <w:w w:val="21"/>
                <w:sz w:val="18"/>
                <w:szCs w:val="18"/>
                <w:shd w:val="solid" w:color="000000" w:fill="000000"/>
                <w:fitText w:val="87" w:id="-1505484286"/>
                <w14:textFill>
                  <w14:solidFill>
                    <w14:srgbClr w14:val="000000">
                      <w14:alpha w14:val="100000"/>
                    </w14:srgbClr>
                  </w14:solidFill>
                </w14:textFill>
              </w:rPr>
              <w:t>|</w:t>
            </w:r>
            <w:r w:rsidRPr="000962EC">
              <w:rPr>
                <w:rFonts w:ascii="Arial Narrow" w:hAnsi="Arial Narrow" w:cs="Calibri" w:hint="eastAsia"/>
                <w:color w:val="000000"/>
                <w:spacing w:val="5"/>
                <w:w w:val="21"/>
                <w:sz w:val="18"/>
                <w:szCs w:val="18"/>
                <w:shd w:val="solid" w:color="000000" w:fill="000000"/>
                <w:fitText w:val="87" w:id="-1505484286"/>
                <w14:textFill>
                  <w14:solidFill>
                    <w14:srgbClr w14:val="000000">
                      <w14:alpha w14:val="100000"/>
                    </w14:srgbClr>
                  </w14:solidFill>
                </w14:textFill>
              </w:rPr>
              <w:t xml:space="preserve">　</w:t>
            </w:r>
            <w:r w:rsidR="00924F36" w:rsidRPr="008C6AE2">
              <w:rPr>
                <w:rFonts w:ascii="Arial Narrow" w:hAnsi="Arial Narrow" w:cs="Calibri"/>
                <w:sz w:val="18"/>
                <w:szCs w:val="18"/>
                <w:vertAlign w:val="superscript"/>
              </w:rPr>
              <w:t>1</w:t>
            </w:r>
          </w:p>
        </w:tc>
        <w:tc>
          <w:tcPr>
            <w:tcW w:w="597" w:type="pct"/>
            <w:tcBorders>
              <w:top w:val="single" w:sz="4" w:space="0" w:color="auto"/>
              <w:left w:val="nil"/>
              <w:bottom w:val="single" w:sz="4" w:space="0" w:color="auto"/>
              <w:right w:val="single" w:sz="4" w:space="0" w:color="auto"/>
            </w:tcBorders>
            <w:shd w:val="clear" w:color="auto" w:fill="auto"/>
            <w:vAlign w:val="center"/>
          </w:tcPr>
          <w:p w14:paraId="0F2ECC71" w14:textId="23216A39"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1"/>
                <w:sz w:val="18"/>
                <w:szCs w:val="18"/>
                <w:shd w:val="solid" w:color="000000" w:fill="000000"/>
                <w:fitText w:val="87" w:id="-1505484285"/>
                <w14:textFill>
                  <w14:solidFill>
                    <w14:srgbClr w14:val="000000">
                      <w14:alpha w14:val="100000"/>
                    </w14:srgbClr>
                  </w14:solidFill>
                </w14:textFill>
              </w:rPr>
              <w:t xml:space="preserve">　</w:t>
            </w:r>
            <w:r w:rsidRPr="000962EC">
              <w:rPr>
                <w:rFonts w:ascii="Arial Narrow" w:hAnsi="Arial Narrow" w:cs="Calibri"/>
                <w:color w:val="000000"/>
                <w:w w:val="21"/>
                <w:sz w:val="18"/>
                <w:szCs w:val="18"/>
                <w:shd w:val="solid" w:color="000000" w:fill="000000"/>
                <w:fitText w:val="87" w:id="-1505484285"/>
                <w14:textFill>
                  <w14:solidFill>
                    <w14:srgbClr w14:val="000000">
                      <w14:alpha w14:val="100000"/>
                    </w14:srgbClr>
                  </w14:solidFill>
                </w14:textFill>
              </w:rPr>
              <w:t>|</w:t>
            </w:r>
            <w:r w:rsidRPr="000962EC">
              <w:rPr>
                <w:rFonts w:ascii="Arial Narrow" w:hAnsi="Arial Narrow" w:cs="Calibri" w:hint="eastAsia"/>
                <w:color w:val="000000"/>
                <w:spacing w:val="5"/>
                <w:w w:val="21"/>
                <w:sz w:val="18"/>
                <w:szCs w:val="18"/>
                <w:shd w:val="solid" w:color="000000" w:fill="000000"/>
                <w:fitText w:val="87" w:id="-1505484285"/>
                <w14:textFill>
                  <w14:solidFill>
                    <w14:srgbClr w14:val="000000">
                      <w14:alpha w14:val="100000"/>
                    </w14:srgbClr>
                  </w14:solidFill>
                </w14:textFill>
              </w:rPr>
              <w:t xml:space="preserve">　</w:t>
            </w:r>
            <w:r w:rsidR="00924F36" w:rsidRPr="008C6AE2">
              <w:rPr>
                <w:rFonts w:ascii="Arial Narrow" w:hAnsi="Arial Narrow" w:cs="Calibri"/>
                <w:sz w:val="18"/>
                <w:szCs w:val="18"/>
                <w:vertAlign w:val="superscript"/>
              </w:rPr>
              <w:t>1</w:t>
            </w:r>
          </w:p>
        </w:tc>
        <w:tc>
          <w:tcPr>
            <w:tcW w:w="597" w:type="pct"/>
            <w:tcBorders>
              <w:top w:val="single" w:sz="4" w:space="0" w:color="auto"/>
              <w:left w:val="nil"/>
              <w:bottom w:val="single" w:sz="4" w:space="0" w:color="auto"/>
              <w:right w:val="single" w:sz="4" w:space="0" w:color="auto"/>
            </w:tcBorders>
            <w:shd w:val="clear" w:color="auto" w:fill="auto"/>
            <w:vAlign w:val="center"/>
          </w:tcPr>
          <w:p w14:paraId="1165B3F7" w14:textId="7F92A379"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1"/>
                <w:sz w:val="18"/>
                <w:szCs w:val="18"/>
                <w:shd w:val="solid" w:color="000000" w:fill="000000"/>
                <w:fitText w:val="87" w:id="-1505484284"/>
                <w14:textFill>
                  <w14:solidFill>
                    <w14:srgbClr w14:val="000000">
                      <w14:alpha w14:val="100000"/>
                    </w14:srgbClr>
                  </w14:solidFill>
                </w14:textFill>
              </w:rPr>
              <w:t xml:space="preserve">　</w:t>
            </w:r>
            <w:r w:rsidRPr="000962EC">
              <w:rPr>
                <w:rFonts w:ascii="Arial Narrow" w:hAnsi="Arial Narrow" w:cs="Calibri"/>
                <w:color w:val="000000"/>
                <w:w w:val="21"/>
                <w:sz w:val="18"/>
                <w:szCs w:val="18"/>
                <w:shd w:val="solid" w:color="000000" w:fill="000000"/>
                <w:fitText w:val="87" w:id="-1505484284"/>
                <w14:textFill>
                  <w14:solidFill>
                    <w14:srgbClr w14:val="000000">
                      <w14:alpha w14:val="100000"/>
                    </w14:srgbClr>
                  </w14:solidFill>
                </w14:textFill>
              </w:rPr>
              <w:t>|</w:t>
            </w:r>
            <w:r w:rsidRPr="000962EC">
              <w:rPr>
                <w:rFonts w:ascii="Arial Narrow" w:hAnsi="Arial Narrow" w:cs="Calibri" w:hint="eastAsia"/>
                <w:color w:val="000000"/>
                <w:spacing w:val="5"/>
                <w:w w:val="21"/>
                <w:sz w:val="18"/>
                <w:szCs w:val="18"/>
                <w:shd w:val="solid" w:color="000000" w:fill="000000"/>
                <w:fitText w:val="87" w:id="-1505484284"/>
                <w14:textFill>
                  <w14:solidFill>
                    <w14:srgbClr w14:val="000000">
                      <w14:alpha w14:val="100000"/>
                    </w14:srgbClr>
                  </w14:solidFill>
                </w14:textFill>
              </w:rPr>
              <w:t xml:space="preserve">　</w:t>
            </w:r>
            <w:r w:rsidR="00924F36" w:rsidRPr="008C6AE2">
              <w:rPr>
                <w:rFonts w:ascii="Arial Narrow" w:hAnsi="Arial Narrow" w:cs="Calibri"/>
                <w:sz w:val="18"/>
                <w:szCs w:val="18"/>
                <w:vertAlign w:val="superscript"/>
              </w:rPr>
              <w:t>1</w:t>
            </w:r>
          </w:p>
        </w:tc>
        <w:tc>
          <w:tcPr>
            <w:tcW w:w="604" w:type="pct"/>
            <w:tcBorders>
              <w:top w:val="single" w:sz="4" w:space="0" w:color="auto"/>
              <w:left w:val="nil"/>
              <w:bottom w:val="single" w:sz="4" w:space="0" w:color="auto"/>
              <w:right w:val="single" w:sz="4" w:space="0" w:color="auto"/>
            </w:tcBorders>
            <w:shd w:val="clear" w:color="auto" w:fill="auto"/>
            <w:vAlign w:val="center"/>
          </w:tcPr>
          <w:p w14:paraId="05B5C4F4" w14:textId="61F670BF"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0"/>
                <w:sz w:val="18"/>
                <w:szCs w:val="18"/>
                <w:shd w:val="solid" w:color="000000" w:fill="000000"/>
                <w:fitText w:val="80" w:id="-1505484283"/>
                <w14:textFill>
                  <w14:solidFill>
                    <w14:srgbClr w14:val="000000">
                      <w14:alpha w14:val="100000"/>
                    </w14:srgbClr>
                  </w14:solidFill>
                </w14:textFill>
              </w:rPr>
              <w:t xml:space="preserve">　</w:t>
            </w:r>
            <w:r w:rsidRPr="000962EC">
              <w:rPr>
                <w:rFonts w:ascii="Arial Narrow" w:hAnsi="Arial Narrow" w:cs="Calibri"/>
                <w:color w:val="000000"/>
                <w:w w:val="20"/>
                <w:sz w:val="18"/>
                <w:szCs w:val="18"/>
                <w:shd w:val="solid" w:color="000000" w:fill="000000"/>
                <w:fitText w:val="80" w:id="-1505484283"/>
                <w14:textFill>
                  <w14:solidFill>
                    <w14:srgbClr w14:val="000000">
                      <w14:alpha w14:val="100000"/>
                    </w14:srgbClr>
                  </w14:solidFill>
                </w14:textFill>
              </w:rPr>
              <w:t>|</w:t>
            </w:r>
            <w:r w:rsidRPr="000962EC">
              <w:rPr>
                <w:rFonts w:ascii="Arial Narrow" w:hAnsi="Arial Narrow" w:cs="Calibri" w:hint="eastAsia"/>
                <w:color w:val="000000"/>
                <w:spacing w:val="2"/>
                <w:w w:val="20"/>
                <w:sz w:val="18"/>
                <w:szCs w:val="18"/>
                <w:shd w:val="solid" w:color="000000" w:fill="000000"/>
                <w:fitText w:val="80" w:id="-1505484283"/>
                <w14:textFill>
                  <w14:solidFill>
                    <w14:srgbClr w14:val="000000">
                      <w14:alpha w14:val="100000"/>
                    </w14:srgbClr>
                  </w14:solidFill>
                </w14:textFill>
              </w:rPr>
              <w:t xml:space="preserve">　</w:t>
            </w:r>
            <w:r w:rsidR="00924F36" w:rsidRPr="008C6AE2">
              <w:rPr>
                <w:rFonts w:ascii="Arial Narrow" w:hAnsi="Arial Narrow" w:cs="Calibri"/>
                <w:sz w:val="18"/>
                <w:szCs w:val="18"/>
                <w:vertAlign w:val="superscript"/>
              </w:rPr>
              <w:t>1</w:t>
            </w:r>
          </w:p>
        </w:tc>
        <w:tc>
          <w:tcPr>
            <w:tcW w:w="665" w:type="pct"/>
            <w:tcBorders>
              <w:top w:val="single" w:sz="4" w:space="0" w:color="auto"/>
              <w:left w:val="nil"/>
              <w:bottom w:val="single" w:sz="4" w:space="0" w:color="auto"/>
              <w:right w:val="single" w:sz="4" w:space="0" w:color="auto"/>
            </w:tcBorders>
            <w:shd w:val="clear" w:color="auto" w:fill="auto"/>
            <w:vAlign w:val="center"/>
          </w:tcPr>
          <w:p w14:paraId="29517D4A" w14:textId="4AD9823E"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15"/>
                <w:sz w:val="18"/>
                <w:szCs w:val="18"/>
                <w:shd w:val="solid" w:color="000000" w:fill="000000"/>
                <w:fitText w:val="27" w:id="-1505484282"/>
                <w14:textFill>
                  <w14:solidFill>
                    <w14:srgbClr w14:val="000000">
                      <w14:alpha w14:val="100000"/>
                    </w14:srgbClr>
                  </w14:solidFill>
                </w14:textFill>
              </w:rPr>
              <w:t xml:space="preserve">　</w:t>
            </w:r>
            <w:r w:rsidRPr="000962EC">
              <w:rPr>
                <w:rFonts w:ascii="Arial Narrow" w:hAnsi="Arial Narrow" w:cs="Calibri"/>
                <w:color w:val="000000"/>
                <w:w w:val="15"/>
                <w:sz w:val="18"/>
                <w:szCs w:val="18"/>
                <w:shd w:val="solid" w:color="000000" w:fill="000000"/>
                <w:fitText w:val="27" w:id="-1505484282"/>
                <w14:textFill>
                  <w14:solidFill>
                    <w14:srgbClr w14:val="000000">
                      <w14:alpha w14:val="100000"/>
                    </w14:srgbClr>
                  </w14:solidFill>
                </w14:textFill>
              </w:rPr>
              <w:t>|</w:t>
            </w:r>
            <w:r w:rsidRPr="000962EC">
              <w:rPr>
                <w:rFonts w:ascii="Arial Narrow" w:hAnsi="Arial Narrow" w:cs="Calibri" w:hint="eastAsia"/>
                <w:color w:val="000000"/>
                <w:spacing w:val="-32"/>
                <w:w w:val="15"/>
                <w:sz w:val="18"/>
                <w:szCs w:val="18"/>
                <w:shd w:val="solid" w:color="000000" w:fill="000000"/>
                <w:fitText w:val="27" w:id="-1505484282"/>
                <w14:textFill>
                  <w14:solidFill>
                    <w14:srgbClr w14:val="000000">
                      <w14:alpha w14:val="100000"/>
                    </w14:srgbClr>
                  </w14:solidFill>
                </w14:textFill>
              </w:rPr>
              <w:t xml:space="preserve">　</w:t>
            </w:r>
            <w:r w:rsidR="00924F36">
              <w:rPr>
                <w:rFonts w:ascii="Arial Narrow" w:hAnsi="Arial Narrow" w:cs="Calibri"/>
                <w:sz w:val="18"/>
                <w:szCs w:val="18"/>
                <w:vertAlign w:val="superscript"/>
              </w:rPr>
              <w:t>4</w:t>
            </w:r>
          </w:p>
        </w:tc>
      </w:tr>
      <w:tr w:rsidR="00EC0514" w:rsidRPr="009E592B" w14:paraId="523FE820" w14:textId="77777777" w:rsidTr="002B1181">
        <w:tc>
          <w:tcPr>
            <w:tcW w:w="1308" w:type="pct"/>
          </w:tcPr>
          <w:p w14:paraId="59D68CE2" w14:textId="2595F3E7" w:rsidR="00EC0514" w:rsidRPr="00C72593" w:rsidRDefault="00EC0514" w:rsidP="000A55FF">
            <w:pPr>
              <w:pStyle w:val="Tabletext0"/>
              <w:rPr>
                <w:rFonts w:ascii="Arial Narrow" w:hAnsi="Arial Narrow"/>
                <w:b/>
                <w:bCs/>
                <w:sz w:val="18"/>
                <w:szCs w:val="18"/>
              </w:rPr>
            </w:pPr>
            <w:proofErr w:type="spellStart"/>
            <w:r w:rsidRPr="00C72593">
              <w:rPr>
                <w:rFonts w:ascii="Arial Narrow" w:hAnsi="Arial Narrow"/>
                <w:b/>
                <w:bCs/>
                <w:sz w:val="18"/>
                <w:szCs w:val="18"/>
              </w:rPr>
              <w:t>HFrEF</w:t>
            </w:r>
            <w:proofErr w:type="spellEnd"/>
            <w:r w:rsidRPr="00C72593">
              <w:rPr>
                <w:rFonts w:ascii="Arial Narrow" w:hAnsi="Arial Narrow"/>
                <w:b/>
                <w:bCs/>
                <w:sz w:val="18"/>
                <w:szCs w:val="18"/>
              </w:rPr>
              <w:t>: Net cost to R/PBS</w:t>
            </w:r>
            <w:r w:rsidR="00D843E4">
              <w:rPr>
                <w:rFonts w:ascii="Arial Narrow" w:hAnsi="Arial Narrow"/>
                <w:b/>
                <w:bCs/>
                <w:sz w:val="18"/>
                <w:szCs w:val="18"/>
              </w:rPr>
              <w:t xml:space="preserve">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6E7A22E" w14:textId="2F261FBF"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16"/>
                <w:sz w:val="18"/>
                <w:szCs w:val="18"/>
                <w:shd w:val="solid" w:color="000000" w:fill="000000"/>
                <w:fitText w:val="66" w:id="-1505484281"/>
                <w14:textFill>
                  <w14:solidFill>
                    <w14:srgbClr w14:val="000000">
                      <w14:alpha w14:val="100000"/>
                    </w14:srgbClr>
                  </w14:solidFill>
                </w14:textFill>
              </w:rPr>
              <w:t xml:space="preserve">　</w:t>
            </w:r>
            <w:r w:rsidRPr="000962EC">
              <w:rPr>
                <w:rFonts w:ascii="Arial Narrow" w:hAnsi="Arial Narrow" w:cs="Calibri"/>
                <w:color w:val="000000"/>
                <w:w w:val="16"/>
                <w:sz w:val="18"/>
                <w:szCs w:val="18"/>
                <w:shd w:val="solid" w:color="000000" w:fill="000000"/>
                <w:fitText w:val="66" w:id="-1505484281"/>
                <w14:textFill>
                  <w14:solidFill>
                    <w14:srgbClr w14:val="000000">
                      <w14:alpha w14:val="100000"/>
                    </w14:srgbClr>
                  </w14:solidFill>
                </w14:textFill>
              </w:rPr>
              <w:t>|</w:t>
            </w:r>
            <w:r w:rsidRPr="000962EC">
              <w:rPr>
                <w:rFonts w:ascii="Arial Narrow" w:hAnsi="Arial Narrow" w:cs="Calibri" w:hint="eastAsia"/>
                <w:color w:val="000000"/>
                <w:w w:val="16"/>
                <w:sz w:val="18"/>
                <w:szCs w:val="18"/>
                <w:shd w:val="solid" w:color="000000" w:fill="000000"/>
                <w:fitText w:val="66" w:id="-1505484281"/>
                <w14:textFill>
                  <w14:solidFill>
                    <w14:srgbClr w14:val="000000">
                      <w14:alpha w14:val="100000"/>
                    </w14:srgbClr>
                  </w14:solidFill>
                </w14:textFill>
              </w:rPr>
              <w:t xml:space="preserve">　</w:t>
            </w:r>
            <w:r w:rsidR="00924F36" w:rsidRPr="008C6AE2">
              <w:rPr>
                <w:rFonts w:ascii="Arial Narrow" w:hAnsi="Arial Narrow" w:cs="Calibri"/>
                <w:sz w:val="18"/>
                <w:szCs w:val="18"/>
                <w:vertAlign w:val="superscript"/>
              </w:rPr>
              <w:t>1</w:t>
            </w:r>
          </w:p>
        </w:tc>
        <w:tc>
          <w:tcPr>
            <w:tcW w:w="597" w:type="pct"/>
            <w:tcBorders>
              <w:top w:val="single" w:sz="4" w:space="0" w:color="auto"/>
              <w:left w:val="nil"/>
              <w:bottom w:val="single" w:sz="4" w:space="0" w:color="auto"/>
              <w:right w:val="single" w:sz="4" w:space="0" w:color="auto"/>
            </w:tcBorders>
            <w:shd w:val="clear" w:color="auto" w:fill="auto"/>
            <w:vAlign w:val="center"/>
          </w:tcPr>
          <w:p w14:paraId="4F457DA6" w14:textId="7972C7D7"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1"/>
                <w:sz w:val="18"/>
                <w:szCs w:val="18"/>
                <w:shd w:val="solid" w:color="000000" w:fill="000000"/>
                <w:fitText w:val="87" w:id="-1505484280"/>
                <w14:textFill>
                  <w14:solidFill>
                    <w14:srgbClr w14:val="000000">
                      <w14:alpha w14:val="100000"/>
                    </w14:srgbClr>
                  </w14:solidFill>
                </w14:textFill>
              </w:rPr>
              <w:t xml:space="preserve">　</w:t>
            </w:r>
            <w:r w:rsidRPr="000962EC">
              <w:rPr>
                <w:rFonts w:ascii="Arial Narrow" w:hAnsi="Arial Narrow" w:cs="Calibri"/>
                <w:color w:val="000000"/>
                <w:w w:val="21"/>
                <w:sz w:val="18"/>
                <w:szCs w:val="18"/>
                <w:shd w:val="solid" w:color="000000" w:fill="000000"/>
                <w:fitText w:val="87" w:id="-1505484280"/>
                <w14:textFill>
                  <w14:solidFill>
                    <w14:srgbClr w14:val="000000">
                      <w14:alpha w14:val="100000"/>
                    </w14:srgbClr>
                  </w14:solidFill>
                </w14:textFill>
              </w:rPr>
              <w:t>|</w:t>
            </w:r>
            <w:r w:rsidRPr="000962EC">
              <w:rPr>
                <w:rFonts w:ascii="Arial Narrow" w:hAnsi="Arial Narrow" w:cs="Calibri" w:hint="eastAsia"/>
                <w:color w:val="000000"/>
                <w:spacing w:val="5"/>
                <w:w w:val="21"/>
                <w:sz w:val="18"/>
                <w:szCs w:val="18"/>
                <w:shd w:val="solid" w:color="000000" w:fill="000000"/>
                <w:fitText w:val="87" w:id="-1505484280"/>
                <w14:textFill>
                  <w14:solidFill>
                    <w14:srgbClr w14:val="000000">
                      <w14:alpha w14:val="100000"/>
                    </w14:srgbClr>
                  </w14:solidFill>
                </w14:textFill>
              </w:rPr>
              <w:t xml:space="preserve">　</w:t>
            </w:r>
            <w:r w:rsidR="00924F36">
              <w:rPr>
                <w:rFonts w:ascii="Arial Narrow" w:hAnsi="Arial Narrow" w:cs="Calibri"/>
                <w:sz w:val="18"/>
                <w:szCs w:val="18"/>
                <w:vertAlign w:val="superscript"/>
              </w:rPr>
              <w:t>4</w:t>
            </w:r>
          </w:p>
        </w:tc>
        <w:tc>
          <w:tcPr>
            <w:tcW w:w="597" w:type="pct"/>
            <w:tcBorders>
              <w:top w:val="single" w:sz="4" w:space="0" w:color="auto"/>
              <w:left w:val="nil"/>
              <w:bottom w:val="single" w:sz="4" w:space="0" w:color="auto"/>
              <w:right w:val="single" w:sz="4" w:space="0" w:color="auto"/>
            </w:tcBorders>
            <w:shd w:val="clear" w:color="auto" w:fill="auto"/>
            <w:vAlign w:val="center"/>
          </w:tcPr>
          <w:p w14:paraId="37F23953" w14:textId="0B6D97BB"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1"/>
                <w:sz w:val="18"/>
                <w:szCs w:val="18"/>
                <w:shd w:val="solid" w:color="000000" w:fill="000000"/>
                <w:fitText w:val="87" w:id="-1505484279"/>
                <w14:textFill>
                  <w14:solidFill>
                    <w14:srgbClr w14:val="000000">
                      <w14:alpha w14:val="100000"/>
                    </w14:srgbClr>
                  </w14:solidFill>
                </w14:textFill>
              </w:rPr>
              <w:t xml:space="preserve">　</w:t>
            </w:r>
            <w:r w:rsidRPr="000962EC">
              <w:rPr>
                <w:rFonts w:ascii="Arial Narrow" w:hAnsi="Arial Narrow" w:cs="Calibri"/>
                <w:color w:val="000000"/>
                <w:w w:val="21"/>
                <w:sz w:val="18"/>
                <w:szCs w:val="18"/>
                <w:shd w:val="solid" w:color="000000" w:fill="000000"/>
                <w:fitText w:val="87" w:id="-1505484279"/>
                <w14:textFill>
                  <w14:solidFill>
                    <w14:srgbClr w14:val="000000">
                      <w14:alpha w14:val="100000"/>
                    </w14:srgbClr>
                  </w14:solidFill>
                </w14:textFill>
              </w:rPr>
              <w:t>|</w:t>
            </w:r>
            <w:r w:rsidRPr="000962EC">
              <w:rPr>
                <w:rFonts w:ascii="Arial Narrow" w:hAnsi="Arial Narrow" w:cs="Calibri" w:hint="eastAsia"/>
                <w:color w:val="000000"/>
                <w:spacing w:val="5"/>
                <w:w w:val="21"/>
                <w:sz w:val="18"/>
                <w:szCs w:val="18"/>
                <w:shd w:val="solid" w:color="000000" w:fill="000000"/>
                <w:fitText w:val="87" w:id="-1505484279"/>
                <w14:textFill>
                  <w14:solidFill>
                    <w14:srgbClr w14:val="000000">
                      <w14:alpha w14:val="100000"/>
                    </w14:srgbClr>
                  </w14:solidFill>
                </w14:textFill>
              </w:rPr>
              <w:t xml:space="preserve">　</w:t>
            </w:r>
            <w:r w:rsidR="00924F36">
              <w:rPr>
                <w:rFonts w:ascii="Arial Narrow" w:hAnsi="Arial Narrow" w:cs="Calibri"/>
                <w:sz w:val="18"/>
                <w:szCs w:val="18"/>
                <w:vertAlign w:val="superscript"/>
              </w:rPr>
              <w:t>6</w:t>
            </w:r>
          </w:p>
        </w:tc>
        <w:tc>
          <w:tcPr>
            <w:tcW w:w="597" w:type="pct"/>
            <w:tcBorders>
              <w:top w:val="single" w:sz="4" w:space="0" w:color="auto"/>
              <w:left w:val="nil"/>
              <w:bottom w:val="single" w:sz="4" w:space="0" w:color="auto"/>
              <w:right w:val="single" w:sz="4" w:space="0" w:color="auto"/>
            </w:tcBorders>
            <w:shd w:val="clear" w:color="auto" w:fill="auto"/>
            <w:vAlign w:val="center"/>
          </w:tcPr>
          <w:p w14:paraId="628DEDD5" w14:textId="2AAB51A2"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1"/>
                <w:sz w:val="18"/>
                <w:szCs w:val="18"/>
                <w:shd w:val="solid" w:color="000000" w:fill="000000"/>
                <w:fitText w:val="87" w:id="-1505484278"/>
                <w14:textFill>
                  <w14:solidFill>
                    <w14:srgbClr w14:val="000000">
                      <w14:alpha w14:val="100000"/>
                    </w14:srgbClr>
                  </w14:solidFill>
                </w14:textFill>
              </w:rPr>
              <w:t xml:space="preserve">　</w:t>
            </w:r>
            <w:r w:rsidRPr="000962EC">
              <w:rPr>
                <w:rFonts w:ascii="Arial Narrow" w:hAnsi="Arial Narrow" w:cs="Calibri"/>
                <w:color w:val="000000"/>
                <w:w w:val="21"/>
                <w:sz w:val="18"/>
                <w:szCs w:val="18"/>
                <w:shd w:val="solid" w:color="000000" w:fill="000000"/>
                <w:fitText w:val="87" w:id="-1505484278"/>
                <w14:textFill>
                  <w14:solidFill>
                    <w14:srgbClr w14:val="000000">
                      <w14:alpha w14:val="100000"/>
                    </w14:srgbClr>
                  </w14:solidFill>
                </w14:textFill>
              </w:rPr>
              <w:t>|</w:t>
            </w:r>
            <w:r w:rsidRPr="000962EC">
              <w:rPr>
                <w:rFonts w:ascii="Arial Narrow" w:hAnsi="Arial Narrow" w:cs="Calibri" w:hint="eastAsia"/>
                <w:color w:val="000000"/>
                <w:spacing w:val="5"/>
                <w:w w:val="21"/>
                <w:sz w:val="18"/>
                <w:szCs w:val="18"/>
                <w:shd w:val="solid" w:color="000000" w:fill="000000"/>
                <w:fitText w:val="87" w:id="-1505484278"/>
                <w14:textFill>
                  <w14:solidFill>
                    <w14:srgbClr w14:val="000000">
                      <w14:alpha w14:val="100000"/>
                    </w14:srgbClr>
                  </w14:solidFill>
                </w14:textFill>
              </w:rPr>
              <w:t xml:space="preserve">　</w:t>
            </w:r>
            <w:r w:rsidR="00A33F64">
              <w:rPr>
                <w:rFonts w:ascii="Arial Narrow" w:hAnsi="Arial Narrow" w:cs="Calibri"/>
                <w:sz w:val="18"/>
                <w:szCs w:val="18"/>
                <w:vertAlign w:val="superscript"/>
              </w:rPr>
              <w:t>7</w:t>
            </w:r>
          </w:p>
        </w:tc>
        <w:tc>
          <w:tcPr>
            <w:tcW w:w="604" w:type="pct"/>
            <w:tcBorders>
              <w:top w:val="single" w:sz="4" w:space="0" w:color="auto"/>
              <w:left w:val="nil"/>
              <w:bottom w:val="single" w:sz="4" w:space="0" w:color="auto"/>
              <w:right w:val="single" w:sz="4" w:space="0" w:color="auto"/>
            </w:tcBorders>
            <w:shd w:val="clear" w:color="auto" w:fill="auto"/>
            <w:vAlign w:val="center"/>
          </w:tcPr>
          <w:p w14:paraId="79E9E58F" w14:textId="519D8B4E"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0"/>
                <w:sz w:val="18"/>
                <w:szCs w:val="18"/>
                <w:shd w:val="solid" w:color="000000" w:fill="000000"/>
                <w:fitText w:val="80" w:id="-1505484277"/>
                <w14:textFill>
                  <w14:solidFill>
                    <w14:srgbClr w14:val="000000">
                      <w14:alpha w14:val="100000"/>
                    </w14:srgbClr>
                  </w14:solidFill>
                </w14:textFill>
              </w:rPr>
              <w:t xml:space="preserve">　</w:t>
            </w:r>
            <w:r w:rsidRPr="000962EC">
              <w:rPr>
                <w:rFonts w:ascii="Arial Narrow" w:hAnsi="Arial Narrow" w:cs="Calibri"/>
                <w:color w:val="000000"/>
                <w:w w:val="20"/>
                <w:sz w:val="18"/>
                <w:szCs w:val="18"/>
                <w:shd w:val="solid" w:color="000000" w:fill="000000"/>
                <w:fitText w:val="80" w:id="-1505484277"/>
                <w14:textFill>
                  <w14:solidFill>
                    <w14:srgbClr w14:val="000000">
                      <w14:alpha w14:val="100000"/>
                    </w14:srgbClr>
                  </w14:solidFill>
                </w14:textFill>
              </w:rPr>
              <w:t>|</w:t>
            </w:r>
            <w:r w:rsidRPr="000962EC">
              <w:rPr>
                <w:rFonts w:ascii="Arial Narrow" w:hAnsi="Arial Narrow" w:cs="Calibri" w:hint="eastAsia"/>
                <w:color w:val="000000"/>
                <w:spacing w:val="2"/>
                <w:w w:val="20"/>
                <w:sz w:val="18"/>
                <w:szCs w:val="18"/>
                <w:shd w:val="solid" w:color="000000" w:fill="000000"/>
                <w:fitText w:val="80" w:id="-1505484277"/>
                <w14:textFill>
                  <w14:solidFill>
                    <w14:srgbClr w14:val="000000">
                      <w14:alpha w14:val="100000"/>
                    </w14:srgbClr>
                  </w14:solidFill>
                </w14:textFill>
              </w:rPr>
              <w:t xml:space="preserve">　</w:t>
            </w:r>
            <w:r w:rsidR="00A33F64">
              <w:rPr>
                <w:rFonts w:ascii="Arial Narrow" w:hAnsi="Arial Narrow" w:cs="Calibri"/>
                <w:sz w:val="18"/>
                <w:szCs w:val="18"/>
                <w:vertAlign w:val="superscript"/>
              </w:rPr>
              <w:t>9</w:t>
            </w:r>
          </w:p>
        </w:tc>
        <w:tc>
          <w:tcPr>
            <w:tcW w:w="665" w:type="pct"/>
            <w:tcBorders>
              <w:top w:val="single" w:sz="4" w:space="0" w:color="auto"/>
              <w:left w:val="nil"/>
              <w:bottom w:val="single" w:sz="4" w:space="0" w:color="auto"/>
              <w:right w:val="single" w:sz="4" w:space="0" w:color="auto"/>
            </w:tcBorders>
            <w:shd w:val="clear" w:color="auto" w:fill="auto"/>
            <w:vAlign w:val="center"/>
          </w:tcPr>
          <w:p w14:paraId="1D188F58" w14:textId="1EC2187C"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0"/>
                <w:sz w:val="18"/>
                <w:szCs w:val="18"/>
                <w:shd w:val="solid" w:color="000000" w:fill="000000"/>
                <w:fitText w:val="80" w:id="-1505484276"/>
                <w14:textFill>
                  <w14:solidFill>
                    <w14:srgbClr w14:val="000000">
                      <w14:alpha w14:val="100000"/>
                    </w14:srgbClr>
                  </w14:solidFill>
                </w14:textFill>
              </w:rPr>
              <w:t xml:space="preserve">　</w:t>
            </w:r>
            <w:r w:rsidRPr="000962EC">
              <w:rPr>
                <w:rFonts w:ascii="Arial Narrow" w:hAnsi="Arial Narrow" w:cs="Calibri"/>
                <w:color w:val="000000"/>
                <w:w w:val="20"/>
                <w:sz w:val="18"/>
                <w:szCs w:val="18"/>
                <w:shd w:val="solid" w:color="000000" w:fill="000000"/>
                <w:fitText w:val="80" w:id="-1505484276"/>
                <w14:textFill>
                  <w14:solidFill>
                    <w14:srgbClr w14:val="000000">
                      <w14:alpha w14:val="100000"/>
                    </w14:srgbClr>
                  </w14:solidFill>
                </w14:textFill>
              </w:rPr>
              <w:t>|</w:t>
            </w:r>
            <w:r w:rsidRPr="000962EC">
              <w:rPr>
                <w:rFonts w:ascii="Arial Narrow" w:hAnsi="Arial Narrow" w:cs="Calibri" w:hint="eastAsia"/>
                <w:color w:val="000000"/>
                <w:spacing w:val="2"/>
                <w:w w:val="20"/>
                <w:sz w:val="18"/>
                <w:szCs w:val="18"/>
                <w:shd w:val="solid" w:color="000000" w:fill="000000"/>
                <w:fitText w:val="80" w:id="-1505484276"/>
                <w14:textFill>
                  <w14:solidFill>
                    <w14:srgbClr w14:val="000000">
                      <w14:alpha w14:val="100000"/>
                    </w14:srgbClr>
                  </w14:solidFill>
                </w14:textFill>
              </w:rPr>
              <w:t xml:space="preserve">　</w:t>
            </w:r>
            <w:r w:rsidR="00EC0514" w:rsidRPr="00BD5D8B">
              <w:rPr>
                <w:rFonts w:ascii="Arial Narrow" w:hAnsi="Arial Narrow" w:cs="Calibri"/>
                <w:sz w:val="18"/>
                <w:szCs w:val="18"/>
              </w:rPr>
              <w:t>*</w:t>
            </w:r>
            <w:r w:rsidR="00A33F64" w:rsidRPr="00AC4669">
              <w:rPr>
                <w:rFonts w:ascii="Arial Narrow" w:hAnsi="Arial Narrow" w:cs="Calibri"/>
                <w:sz w:val="18"/>
                <w:szCs w:val="18"/>
                <w:vertAlign w:val="superscript"/>
              </w:rPr>
              <w:t>11</w:t>
            </w:r>
          </w:p>
        </w:tc>
      </w:tr>
      <w:tr w:rsidR="00EC0514" w:rsidRPr="009E592B" w14:paraId="28BA14E3" w14:textId="77777777" w:rsidTr="002B1181">
        <w:tc>
          <w:tcPr>
            <w:tcW w:w="1308" w:type="pct"/>
          </w:tcPr>
          <w:p w14:paraId="78B90690" w14:textId="07359831" w:rsidR="00EC0514" w:rsidRPr="00C72593" w:rsidRDefault="00EC0514" w:rsidP="000A55FF">
            <w:pPr>
              <w:pStyle w:val="Tabletext0"/>
              <w:rPr>
                <w:rFonts w:ascii="Arial Narrow" w:hAnsi="Arial Narrow"/>
                <w:b/>
                <w:bCs/>
                <w:sz w:val="18"/>
                <w:szCs w:val="18"/>
              </w:rPr>
            </w:pPr>
            <w:r w:rsidRPr="00C72593">
              <w:rPr>
                <w:rFonts w:ascii="Arial Narrow" w:hAnsi="Arial Narrow"/>
                <w:b/>
                <w:bCs/>
                <w:sz w:val="18"/>
                <w:szCs w:val="18"/>
              </w:rPr>
              <w:t xml:space="preserve">T2DM: Net cost to R/PBS </w:t>
            </w:r>
            <w:r w:rsidR="00D843E4">
              <w:rPr>
                <w:rFonts w:ascii="Arial Narrow" w:hAnsi="Arial Narrow"/>
                <w:b/>
                <w:bCs/>
                <w:sz w:val="18"/>
                <w:szCs w:val="18"/>
              </w:rPr>
              <w: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D3DB493" w14:textId="248B539E"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16"/>
                <w:sz w:val="18"/>
                <w:szCs w:val="18"/>
                <w:shd w:val="solid" w:color="000000" w:fill="000000"/>
                <w:fitText w:val="66" w:id="-1505484275"/>
                <w14:textFill>
                  <w14:solidFill>
                    <w14:srgbClr w14:val="000000">
                      <w14:alpha w14:val="100000"/>
                    </w14:srgbClr>
                  </w14:solidFill>
                </w14:textFill>
              </w:rPr>
              <w:t xml:space="preserve">　</w:t>
            </w:r>
            <w:r w:rsidRPr="000962EC">
              <w:rPr>
                <w:rFonts w:ascii="Arial Narrow" w:hAnsi="Arial Narrow" w:cs="Calibri"/>
                <w:color w:val="000000"/>
                <w:w w:val="16"/>
                <w:sz w:val="18"/>
                <w:szCs w:val="18"/>
                <w:shd w:val="solid" w:color="000000" w:fill="000000"/>
                <w:fitText w:val="66" w:id="-1505484275"/>
                <w14:textFill>
                  <w14:solidFill>
                    <w14:srgbClr w14:val="000000">
                      <w14:alpha w14:val="100000"/>
                    </w14:srgbClr>
                  </w14:solidFill>
                </w14:textFill>
              </w:rPr>
              <w:t>|</w:t>
            </w:r>
            <w:r w:rsidRPr="000962EC">
              <w:rPr>
                <w:rFonts w:ascii="Arial Narrow" w:hAnsi="Arial Narrow" w:cs="Calibri" w:hint="eastAsia"/>
                <w:color w:val="000000"/>
                <w:w w:val="16"/>
                <w:sz w:val="18"/>
                <w:szCs w:val="18"/>
                <w:shd w:val="solid" w:color="000000" w:fill="000000"/>
                <w:fitText w:val="66" w:id="-1505484275"/>
                <w14:textFill>
                  <w14:solidFill>
                    <w14:srgbClr w14:val="000000">
                      <w14:alpha w14:val="100000"/>
                    </w14:srgbClr>
                  </w14:solidFill>
                </w14:textFill>
              </w:rPr>
              <w:t xml:space="preserve">　</w:t>
            </w:r>
            <w:r w:rsidR="00924F36">
              <w:rPr>
                <w:rFonts w:ascii="Arial Narrow" w:hAnsi="Arial Narrow" w:cs="Calibri"/>
                <w:sz w:val="18"/>
                <w:szCs w:val="18"/>
                <w:vertAlign w:val="superscript"/>
              </w:rPr>
              <w:t>2</w:t>
            </w:r>
          </w:p>
        </w:tc>
        <w:tc>
          <w:tcPr>
            <w:tcW w:w="597" w:type="pct"/>
            <w:tcBorders>
              <w:top w:val="single" w:sz="4" w:space="0" w:color="auto"/>
              <w:left w:val="nil"/>
              <w:bottom w:val="single" w:sz="4" w:space="0" w:color="auto"/>
              <w:right w:val="single" w:sz="4" w:space="0" w:color="auto"/>
            </w:tcBorders>
            <w:shd w:val="clear" w:color="auto" w:fill="auto"/>
            <w:vAlign w:val="center"/>
          </w:tcPr>
          <w:p w14:paraId="73456BC0" w14:textId="426E298D"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1"/>
                <w:sz w:val="18"/>
                <w:szCs w:val="18"/>
                <w:shd w:val="solid" w:color="000000" w:fill="000000"/>
                <w:fitText w:val="87" w:id="-1505484274"/>
                <w14:textFill>
                  <w14:solidFill>
                    <w14:srgbClr w14:val="000000">
                      <w14:alpha w14:val="100000"/>
                    </w14:srgbClr>
                  </w14:solidFill>
                </w14:textFill>
              </w:rPr>
              <w:t xml:space="preserve">　</w:t>
            </w:r>
            <w:r w:rsidRPr="000962EC">
              <w:rPr>
                <w:rFonts w:ascii="Arial Narrow" w:hAnsi="Arial Narrow" w:cs="Calibri"/>
                <w:color w:val="000000"/>
                <w:w w:val="21"/>
                <w:sz w:val="18"/>
                <w:szCs w:val="18"/>
                <w:shd w:val="solid" w:color="000000" w:fill="000000"/>
                <w:fitText w:val="87" w:id="-1505484274"/>
                <w14:textFill>
                  <w14:solidFill>
                    <w14:srgbClr w14:val="000000">
                      <w14:alpha w14:val="100000"/>
                    </w14:srgbClr>
                  </w14:solidFill>
                </w14:textFill>
              </w:rPr>
              <w:t>|</w:t>
            </w:r>
            <w:r w:rsidRPr="000962EC">
              <w:rPr>
                <w:rFonts w:ascii="Arial Narrow" w:hAnsi="Arial Narrow" w:cs="Calibri" w:hint="eastAsia"/>
                <w:color w:val="000000"/>
                <w:spacing w:val="5"/>
                <w:w w:val="21"/>
                <w:sz w:val="18"/>
                <w:szCs w:val="18"/>
                <w:shd w:val="solid" w:color="000000" w:fill="000000"/>
                <w:fitText w:val="87" w:id="-1505484274"/>
                <w14:textFill>
                  <w14:solidFill>
                    <w14:srgbClr w14:val="000000">
                      <w14:alpha w14:val="100000"/>
                    </w14:srgbClr>
                  </w14:solidFill>
                </w14:textFill>
              </w:rPr>
              <w:t xml:space="preserve">　</w:t>
            </w:r>
            <w:r w:rsidR="00924F36">
              <w:rPr>
                <w:rFonts w:ascii="Arial Narrow" w:hAnsi="Arial Narrow" w:cs="Calibri"/>
                <w:sz w:val="18"/>
                <w:szCs w:val="18"/>
                <w:vertAlign w:val="superscript"/>
              </w:rPr>
              <w:t>2</w:t>
            </w:r>
          </w:p>
        </w:tc>
        <w:tc>
          <w:tcPr>
            <w:tcW w:w="597" w:type="pct"/>
            <w:tcBorders>
              <w:top w:val="single" w:sz="4" w:space="0" w:color="auto"/>
              <w:left w:val="nil"/>
              <w:bottom w:val="single" w:sz="4" w:space="0" w:color="auto"/>
              <w:right w:val="single" w:sz="4" w:space="0" w:color="auto"/>
            </w:tcBorders>
            <w:shd w:val="clear" w:color="auto" w:fill="auto"/>
            <w:vAlign w:val="center"/>
          </w:tcPr>
          <w:p w14:paraId="4943AACC" w14:textId="616A555D"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1"/>
                <w:sz w:val="18"/>
                <w:szCs w:val="18"/>
                <w:shd w:val="solid" w:color="000000" w:fill="000000"/>
                <w:fitText w:val="87" w:id="-1505484273"/>
                <w14:textFill>
                  <w14:solidFill>
                    <w14:srgbClr w14:val="000000">
                      <w14:alpha w14:val="100000"/>
                    </w14:srgbClr>
                  </w14:solidFill>
                </w14:textFill>
              </w:rPr>
              <w:t xml:space="preserve">　</w:t>
            </w:r>
            <w:r w:rsidRPr="000962EC">
              <w:rPr>
                <w:rFonts w:ascii="Arial Narrow" w:hAnsi="Arial Narrow" w:cs="Calibri"/>
                <w:color w:val="000000"/>
                <w:w w:val="21"/>
                <w:sz w:val="18"/>
                <w:szCs w:val="18"/>
                <w:shd w:val="solid" w:color="000000" w:fill="000000"/>
                <w:fitText w:val="87" w:id="-1505484273"/>
                <w14:textFill>
                  <w14:solidFill>
                    <w14:srgbClr w14:val="000000">
                      <w14:alpha w14:val="100000"/>
                    </w14:srgbClr>
                  </w14:solidFill>
                </w14:textFill>
              </w:rPr>
              <w:t>|</w:t>
            </w:r>
            <w:r w:rsidRPr="000962EC">
              <w:rPr>
                <w:rFonts w:ascii="Arial Narrow" w:hAnsi="Arial Narrow" w:cs="Calibri" w:hint="eastAsia"/>
                <w:color w:val="000000"/>
                <w:spacing w:val="5"/>
                <w:w w:val="21"/>
                <w:sz w:val="18"/>
                <w:szCs w:val="18"/>
                <w:shd w:val="solid" w:color="000000" w:fill="000000"/>
                <w:fitText w:val="87" w:id="-1505484273"/>
                <w14:textFill>
                  <w14:solidFill>
                    <w14:srgbClr w14:val="000000">
                      <w14:alpha w14:val="100000"/>
                    </w14:srgbClr>
                  </w14:solidFill>
                </w14:textFill>
              </w:rPr>
              <w:t xml:space="preserve">　</w:t>
            </w:r>
            <w:r w:rsidR="00924F36">
              <w:rPr>
                <w:rFonts w:ascii="Arial Narrow" w:hAnsi="Arial Narrow" w:cs="Calibri"/>
                <w:sz w:val="18"/>
                <w:szCs w:val="18"/>
                <w:vertAlign w:val="superscript"/>
              </w:rPr>
              <w:t>5</w:t>
            </w:r>
          </w:p>
        </w:tc>
        <w:tc>
          <w:tcPr>
            <w:tcW w:w="597" w:type="pct"/>
            <w:tcBorders>
              <w:top w:val="single" w:sz="4" w:space="0" w:color="auto"/>
              <w:left w:val="nil"/>
              <w:bottom w:val="single" w:sz="4" w:space="0" w:color="auto"/>
              <w:right w:val="single" w:sz="4" w:space="0" w:color="auto"/>
            </w:tcBorders>
            <w:shd w:val="clear" w:color="auto" w:fill="auto"/>
            <w:vAlign w:val="center"/>
          </w:tcPr>
          <w:p w14:paraId="43FC2C4D" w14:textId="1CAD62D8"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1"/>
                <w:sz w:val="18"/>
                <w:szCs w:val="18"/>
                <w:shd w:val="solid" w:color="000000" w:fill="000000"/>
                <w:fitText w:val="87" w:id="-1505484272"/>
                <w14:textFill>
                  <w14:solidFill>
                    <w14:srgbClr w14:val="000000">
                      <w14:alpha w14:val="100000"/>
                    </w14:srgbClr>
                  </w14:solidFill>
                </w14:textFill>
              </w:rPr>
              <w:t xml:space="preserve">　</w:t>
            </w:r>
            <w:r w:rsidRPr="000962EC">
              <w:rPr>
                <w:rFonts w:ascii="Arial Narrow" w:hAnsi="Arial Narrow" w:cs="Calibri"/>
                <w:color w:val="000000"/>
                <w:w w:val="21"/>
                <w:sz w:val="18"/>
                <w:szCs w:val="18"/>
                <w:shd w:val="solid" w:color="000000" w:fill="000000"/>
                <w:fitText w:val="87" w:id="-1505484272"/>
                <w14:textFill>
                  <w14:solidFill>
                    <w14:srgbClr w14:val="000000">
                      <w14:alpha w14:val="100000"/>
                    </w14:srgbClr>
                  </w14:solidFill>
                </w14:textFill>
              </w:rPr>
              <w:t>|</w:t>
            </w:r>
            <w:r w:rsidRPr="000962EC">
              <w:rPr>
                <w:rFonts w:ascii="Arial Narrow" w:hAnsi="Arial Narrow" w:cs="Calibri" w:hint="eastAsia"/>
                <w:color w:val="000000"/>
                <w:spacing w:val="5"/>
                <w:w w:val="21"/>
                <w:sz w:val="18"/>
                <w:szCs w:val="18"/>
                <w:shd w:val="solid" w:color="000000" w:fill="000000"/>
                <w:fitText w:val="87" w:id="-1505484272"/>
                <w14:textFill>
                  <w14:solidFill>
                    <w14:srgbClr w14:val="000000">
                      <w14:alpha w14:val="100000"/>
                    </w14:srgbClr>
                  </w14:solidFill>
                </w14:textFill>
              </w:rPr>
              <w:t xml:space="preserve">　</w:t>
            </w:r>
            <w:r w:rsidR="00924F36">
              <w:rPr>
                <w:rFonts w:ascii="Arial Narrow" w:hAnsi="Arial Narrow" w:cs="Calibri"/>
                <w:sz w:val="18"/>
                <w:szCs w:val="18"/>
                <w:vertAlign w:val="superscript"/>
              </w:rPr>
              <w:t>5</w:t>
            </w:r>
          </w:p>
        </w:tc>
        <w:tc>
          <w:tcPr>
            <w:tcW w:w="604" w:type="pct"/>
            <w:tcBorders>
              <w:top w:val="single" w:sz="4" w:space="0" w:color="auto"/>
              <w:left w:val="nil"/>
              <w:bottom w:val="single" w:sz="4" w:space="0" w:color="auto"/>
              <w:right w:val="single" w:sz="4" w:space="0" w:color="auto"/>
            </w:tcBorders>
            <w:shd w:val="clear" w:color="auto" w:fill="auto"/>
            <w:vAlign w:val="center"/>
          </w:tcPr>
          <w:p w14:paraId="3C3C57CB" w14:textId="77DCF8B9"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20"/>
                <w:sz w:val="18"/>
                <w:szCs w:val="18"/>
                <w:shd w:val="solid" w:color="000000" w:fill="000000"/>
                <w:fitText w:val="80" w:id="-1505484288"/>
                <w14:textFill>
                  <w14:solidFill>
                    <w14:srgbClr w14:val="000000">
                      <w14:alpha w14:val="100000"/>
                    </w14:srgbClr>
                  </w14:solidFill>
                </w14:textFill>
              </w:rPr>
              <w:t xml:space="preserve">　</w:t>
            </w:r>
            <w:r w:rsidRPr="000962EC">
              <w:rPr>
                <w:rFonts w:ascii="Arial Narrow" w:hAnsi="Arial Narrow" w:cs="Calibri"/>
                <w:color w:val="000000"/>
                <w:w w:val="20"/>
                <w:sz w:val="18"/>
                <w:szCs w:val="18"/>
                <w:shd w:val="solid" w:color="000000" w:fill="000000"/>
                <w:fitText w:val="80" w:id="-1505484288"/>
                <w14:textFill>
                  <w14:solidFill>
                    <w14:srgbClr w14:val="000000">
                      <w14:alpha w14:val="100000"/>
                    </w14:srgbClr>
                  </w14:solidFill>
                </w14:textFill>
              </w:rPr>
              <w:t>|</w:t>
            </w:r>
            <w:r w:rsidRPr="000962EC">
              <w:rPr>
                <w:rFonts w:ascii="Arial Narrow" w:hAnsi="Arial Narrow" w:cs="Calibri" w:hint="eastAsia"/>
                <w:color w:val="000000"/>
                <w:spacing w:val="2"/>
                <w:w w:val="20"/>
                <w:sz w:val="18"/>
                <w:szCs w:val="18"/>
                <w:shd w:val="solid" w:color="000000" w:fill="000000"/>
                <w:fitText w:val="80" w:id="-1505484288"/>
                <w14:textFill>
                  <w14:solidFill>
                    <w14:srgbClr w14:val="000000">
                      <w14:alpha w14:val="100000"/>
                    </w14:srgbClr>
                  </w14:solidFill>
                </w14:textFill>
              </w:rPr>
              <w:t xml:space="preserve">　</w:t>
            </w:r>
            <w:r w:rsidR="00A33F64">
              <w:rPr>
                <w:rFonts w:ascii="Arial Narrow" w:hAnsi="Arial Narrow" w:cs="Calibri"/>
                <w:sz w:val="18"/>
                <w:szCs w:val="18"/>
                <w:vertAlign w:val="superscript"/>
              </w:rPr>
              <w:t>8</w:t>
            </w:r>
          </w:p>
        </w:tc>
        <w:tc>
          <w:tcPr>
            <w:tcW w:w="665" w:type="pct"/>
            <w:tcBorders>
              <w:top w:val="single" w:sz="4" w:space="0" w:color="auto"/>
              <w:left w:val="nil"/>
              <w:bottom w:val="single" w:sz="4" w:space="0" w:color="auto"/>
              <w:right w:val="single" w:sz="4" w:space="0" w:color="auto"/>
            </w:tcBorders>
            <w:shd w:val="clear" w:color="auto" w:fill="auto"/>
            <w:vAlign w:val="center"/>
          </w:tcPr>
          <w:p w14:paraId="7200EE12" w14:textId="50B69162" w:rsidR="00EC0514" w:rsidRPr="00AC4669" w:rsidRDefault="000962EC" w:rsidP="000A55FF">
            <w:pPr>
              <w:pStyle w:val="Tabletext0"/>
              <w:jc w:val="center"/>
              <w:rPr>
                <w:rFonts w:ascii="Arial Narrow" w:hAnsi="Arial Narrow"/>
                <w:sz w:val="18"/>
                <w:szCs w:val="18"/>
                <w:highlight w:val="yellow"/>
              </w:rPr>
            </w:pPr>
            <w:r w:rsidRPr="000962EC">
              <w:rPr>
                <w:rFonts w:ascii="Arial Narrow" w:hAnsi="Arial Narrow" w:cs="Calibri" w:hint="eastAsia"/>
                <w:color w:val="000000"/>
                <w:w w:val="15"/>
                <w:sz w:val="18"/>
                <w:szCs w:val="18"/>
                <w:shd w:val="solid" w:color="000000" w:fill="000000"/>
                <w:fitText w:val="54" w:id="-1505484287"/>
                <w14:textFill>
                  <w14:solidFill>
                    <w14:srgbClr w14:val="000000">
                      <w14:alpha w14:val="100000"/>
                    </w14:srgbClr>
                  </w14:solidFill>
                </w14:textFill>
              </w:rPr>
              <w:t xml:space="preserve">　</w:t>
            </w:r>
            <w:r w:rsidRPr="000962EC">
              <w:rPr>
                <w:rFonts w:ascii="Arial Narrow" w:hAnsi="Arial Narrow" w:cs="Calibri"/>
                <w:color w:val="000000"/>
                <w:w w:val="15"/>
                <w:sz w:val="18"/>
                <w:szCs w:val="18"/>
                <w:shd w:val="solid" w:color="000000" w:fill="000000"/>
                <w:fitText w:val="54" w:id="-1505484287"/>
                <w14:textFill>
                  <w14:solidFill>
                    <w14:srgbClr w14:val="000000">
                      <w14:alpha w14:val="100000"/>
                    </w14:srgbClr>
                  </w14:solidFill>
                </w14:textFill>
              </w:rPr>
              <w:t>|</w:t>
            </w:r>
            <w:r w:rsidRPr="000962EC">
              <w:rPr>
                <w:rFonts w:ascii="Arial Narrow" w:hAnsi="Arial Narrow" w:cs="Calibri" w:hint="eastAsia"/>
                <w:color w:val="000000"/>
                <w:w w:val="15"/>
                <w:sz w:val="18"/>
                <w:szCs w:val="18"/>
                <w:shd w:val="solid" w:color="000000" w:fill="000000"/>
                <w:fitText w:val="54" w:id="-1505484287"/>
                <w14:textFill>
                  <w14:solidFill>
                    <w14:srgbClr w14:val="000000">
                      <w14:alpha w14:val="100000"/>
                    </w14:srgbClr>
                  </w14:solidFill>
                </w14:textFill>
              </w:rPr>
              <w:t xml:space="preserve">　</w:t>
            </w:r>
            <w:r w:rsidR="00A33F64">
              <w:rPr>
                <w:rFonts w:ascii="Arial Narrow" w:hAnsi="Arial Narrow" w:cs="Calibri"/>
                <w:sz w:val="18"/>
                <w:szCs w:val="18"/>
                <w:vertAlign w:val="superscript"/>
              </w:rPr>
              <w:t>10</w:t>
            </w:r>
          </w:p>
        </w:tc>
      </w:tr>
      <w:tr w:rsidR="00EC0514" w:rsidRPr="009E592B" w14:paraId="0F97769D" w14:textId="77777777" w:rsidTr="002B1181">
        <w:tc>
          <w:tcPr>
            <w:tcW w:w="1308" w:type="pct"/>
          </w:tcPr>
          <w:p w14:paraId="05C0151F" w14:textId="0EA0FD35" w:rsidR="00EC0514" w:rsidRPr="00C72593" w:rsidRDefault="00EC0514" w:rsidP="000A55FF">
            <w:pPr>
              <w:pStyle w:val="Tabletext0"/>
              <w:rPr>
                <w:rFonts w:ascii="Arial Narrow" w:hAnsi="Arial Narrow"/>
                <w:b/>
                <w:bCs/>
                <w:sz w:val="18"/>
                <w:szCs w:val="18"/>
              </w:rPr>
            </w:pPr>
            <w:r w:rsidRPr="00C72593">
              <w:rPr>
                <w:rFonts w:ascii="Arial Narrow" w:hAnsi="Arial Narrow"/>
                <w:b/>
                <w:bCs/>
                <w:sz w:val="18"/>
                <w:szCs w:val="18"/>
              </w:rPr>
              <w:t>Combined: Net cost to R/</w:t>
            </w:r>
            <w:proofErr w:type="gramStart"/>
            <w:r w:rsidRPr="00C72593">
              <w:rPr>
                <w:rFonts w:ascii="Arial Narrow" w:hAnsi="Arial Narrow"/>
                <w:b/>
                <w:bCs/>
                <w:sz w:val="18"/>
                <w:szCs w:val="18"/>
              </w:rPr>
              <w:t>PBS</w:t>
            </w:r>
            <w:r w:rsidR="00D843E4">
              <w:rPr>
                <w:rFonts w:ascii="Arial Narrow" w:hAnsi="Arial Narrow"/>
                <w:b/>
                <w:bCs/>
                <w:sz w:val="18"/>
                <w:szCs w:val="18"/>
              </w:rPr>
              <w:t xml:space="preserve">  (</w:t>
            </w:r>
            <w:proofErr w:type="gramEnd"/>
            <w:r w:rsidR="00D843E4">
              <w:rPr>
                <w:rFonts w:ascii="Arial Narrow" w:hAnsi="Arial Narrow"/>
                <w:b/>
                <w:bCs/>
                <w:sz w:val="18"/>
                <w:szCs w:val="18"/>
              </w:rPr>
              <w:t>$)</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4F6F2C5" w14:textId="111CA550" w:rsidR="00EC0514" w:rsidRPr="00AC4669" w:rsidRDefault="000962EC" w:rsidP="000A55FF">
            <w:pPr>
              <w:pStyle w:val="Tabletext0"/>
              <w:jc w:val="center"/>
              <w:rPr>
                <w:rFonts w:ascii="Arial Narrow" w:hAnsi="Arial Narrow"/>
                <w:b/>
                <w:bCs/>
                <w:sz w:val="18"/>
                <w:szCs w:val="18"/>
                <w:highlight w:val="yellow"/>
              </w:rPr>
            </w:pPr>
            <w:r w:rsidRPr="000962EC">
              <w:rPr>
                <w:rFonts w:ascii="Arial Narrow" w:hAnsi="Arial Narrow" w:cs="Calibri" w:hint="eastAsia"/>
                <w:b/>
                <w:bCs/>
                <w:color w:val="000000"/>
                <w:w w:val="24"/>
                <w:sz w:val="18"/>
                <w:szCs w:val="18"/>
                <w:shd w:val="solid" w:color="000000" w:fill="000000"/>
                <w:fitText w:val="100" w:id="-1505484286"/>
                <w14:textFill>
                  <w14:solidFill>
                    <w14:srgbClr w14:val="000000">
                      <w14:alpha w14:val="100000"/>
                    </w14:srgbClr>
                  </w14:solidFill>
                </w14:textFill>
              </w:rPr>
              <w:t xml:space="preserve">　</w:t>
            </w:r>
            <w:r w:rsidRPr="000962EC">
              <w:rPr>
                <w:rFonts w:ascii="Arial Narrow" w:hAnsi="Arial Narrow" w:cs="Calibri"/>
                <w:b/>
                <w:bCs/>
                <w:color w:val="000000"/>
                <w:w w:val="24"/>
                <w:sz w:val="18"/>
                <w:szCs w:val="18"/>
                <w:shd w:val="solid" w:color="000000" w:fill="000000"/>
                <w:fitText w:val="100" w:id="-1505484286"/>
                <w14:textFill>
                  <w14:solidFill>
                    <w14:srgbClr w14:val="000000">
                      <w14:alpha w14:val="100000"/>
                    </w14:srgbClr>
                  </w14:solidFill>
                </w14:textFill>
              </w:rPr>
              <w:t>|</w:t>
            </w:r>
            <w:r w:rsidRPr="000962EC">
              <w:rPr>
                <w:rFonts w:ascii="Arial Narrow" w:hAnsi="Arial Narrow" w:cs="Calibri" w:hint="eastAsia"/>
                <w:b/>
                <w:bCs/>
                <w:color w:val="000000"/>
                <w:w w:val="24"/>
                <w:sz w:val="18"/>
                <w:szCs w:val="18"/>
                <w:shd w:val="solid" w:color="000000" w:fill="000000"/>
                <w:fitText w:val="100" w:id="-1505484286"/>
                <w14:textFill>
                  <w14:solidFill>
                    <w14:srgbClr w14:val="000000">
                      <w14:alpha w14:val="100000"/>
                    </w14:srgbClr>
                  </w14:solidFill>
                </w14:textFill>
              </w:rPr>
              <w:t xml:space="preserve">　</w:t>
            </w:r>
            <w:r w:rsidR="00924F36">
              <w:rPr>
                <w:rFonts w:ascii="Arial Narrow" w:hAnsi="Arial Narrow" w:cs="Calibri"/>
                <w:sz w:val="18"/>
                <w:szCs w:val="18"/>
                <w:vertAlign w:val="superscript"/>
              </w:rPr>
              <w:t>2</w:t>
            </w:r>
          </w:p>
        </w:tc>
        <w:tc>
          <w:tcPr>
            <w:tcW w:w="597" w:type="pct"/>
            <w:tcBorders>
              <w:top w:val="single" w:sz="4" w:space="0" w:color="auto"/>
              <w:left w:val="nil"/>
              <w:bottom w:val="single" w:sz="4" w:space="0" w:color="auto"/>
              <w:right w:val="single" w:sz="4" w:space="0" w:color="auto"/>
            </w:tcBorders>
            <w:shd w:val="clear" w:color="auto" w:fill="auto"/>
            <w:vAlign w:val="center"/>
          </w:tcPr>
          <w:p w14:paraId="00CC455D" w14:textId="245A19A0" w:rsidR="00EC0514" w:rsidRPr="00AC4669" w:rsidRDefault="000962EC" w:rsidP="000A55FF">
            <w:pPr>
              <w:pStyle w:val="Tabletext0"/>
              <w:jc w:val="center"/>
              <w:rPr>
                <w:rFonts w:ascii="Arial Narrow" w:hAnsi="Arial Narrow"/>
                <w:b/>
                <w:bCs/>
                <w:sz w:val="18"/>
                <w:szCs w:val="18"/>
                <w:highlight w:val="yellow"/>
              </w:rPr>
            </w:pPr>
            <w:r w:rsidRPr="000962EC">
              <w:rPr>
                <w:rFonts w:ascii="Arial Narrow" w:hAnsi="Arial Narrow" w:cs="Calibri" w:hint="eastAsia"/>
                <w:b/>
                <w:bCs/>
                <w:color w:val="000000"/>
                <w:w w:val="31"/>
                <w:sz w:val="18"/>
                <w:szCs w:val="18"/>
                <w:shd w:val="solid" w:color="000000" w:fill="000000"/>
                <w:fitText w:val="126" w:id="-1505484285"/>
                <w14:textFill>
                  <w14:solidFill>
                    <w14:srgbClr w14:val="000000">
                      <w14:alpha w14:val="100000"/>
                    </w14:srgbClr>
                  </w14:solidFill>
                </w14:textFill>
              </w:rPr>
              <w:t xml:space="preserve">　</w:t>
            </w:r>
            <w:r w:rsidRPr="000962EC">
              <w:rPr>
                <w:rFonts w:ascii="Arial Narrow" w:hAnsi="Arial Narrow" w:cs="Calibri"/>
                <w:b/>
                <w:bCs/>
                <w:color w:val="000000"/>
                <w:w w:val="31"/>
                <w:sz w:val="18"/>
                <w:szCs w:val="18"/>
                <w:shd w:val="solid" w:color="000000" w:fill="000000"/>
                <w:fitText w:val="126" w:id="-1505484285"/>
                <w14:textFill>
                  <w14:solidFill>
                    <w14:srgbClr w14:val="000000">
                      <w14:alpha w14:val="100000"/>
                    </w14:srgbClr>
                  </w14:solidFill>
                </w14:textFill>
              </w:rPr>
              <w:t>|</w:t>
            </w:r>
            <w:r w:rsidRPr="000962EC">
              <w:rPr>
                <w:rFonts w:ascii="Arial Narrow" w:hAnsi="Arial Narrow" w:cs="Calibri" w:hint="eastAsia"/>
                <w:b/>
                <w:bCs/>
                <w:color w:val="000000"/>
                <w:spacing w:val="3"/>
                <w:w w:val="31"/>
                <w:sz w:val="18"/>
                <w:szCs w:val="18"/>
                <w:shd w:val="solid" w:color="000000" w:fill="000000"/>
                <w:fitText w:val="126" w:id="-1505484285"/>
                <w14:textFill>
                  <w14:solidFill>
                    <w14:srgbClr w14:val="000000">
                      <w14:alpha w14:val="100000"/>
                    </w14:srgbClr>
                  </w14:solidFill>
                </w14:textFill>
              </w:rPr>
              <w:t xml:space="preserve">　</w:t>
            </w:r>
            <w:r w:rsidR="00924F36">
              <w:rPr>
                <w:rFonts w:ascii="Arial Narrow" w:hAnsi="Arial Narrow" w:cs="Calibri"/>
                <w:sz w:val="18"/>
                <w:szCs w:val="18"/>
                <w:vertAlign w:val="superscript"/>
              </w:rPr>
              <w:t>5</w:t>
            </w:r>
          </w:p>
        </w:tc>
        <w:tc>
          <w:tcPr>
            <w:tcW w:w="597" w:type="pct"/>
            <w:tcBorders>
              <w:top w:val="single" w:sz="4" w:space="0" w:color="auto"/>
              <w:left w:val="nil"/>
              <w:bottom w:val="single" w:sz="4" w:space="0" w:color="auto"/>
              <w:right w:val="single" w:sz="4" w:space="0" w:color="auto"/>
            </w:tcBorders>
            <w:shd w:val="clear" w:color="auto" w:fill="auto"/>
            <w:vAlign w:val="center"/>
          </w:tcPr>
          <w:p w14:paraId="378DB370" w14:textId="2347416F" w:rsidR="00EC0514" w:rsidRPr="00AC4669" w:rsidRDefault="000962EC" w:rsidP="000A55FF">
            <w:pPr>
              <w:pStyle w:val="Tabletext0"/>
              <w:jc w:val="center"/>
              <w:rPr>
                <w:rFonts w:ascii="Arial Narrow" w:hAnsi="Arial Narrow"/>
                <w:b/>
                <w:bCs/>
                <w:sz w:val="18"/>
                <w:szCs w:val="18"/>
                <w:highlight w:val="yellow"/>
              </w:rPr>
            </w:pPr>
            <w:r w:rsidRPr="000962EC">
              <w:rPr>
                <w:rFonts w:ascii="Arial Narrow" w:hAnsi="Arial Narrow" w:cs="Calibri" w:hint="eastAsia"/>
                <w:b/>
                <w:bCs/>
                <w:color w:val="000000"/>
                <w:w w:val="31"/>
                <w:sz w:val="18"/>
                <w:szCs w:val="18"/>
                <w:shd w:val="solid" w:color="000000" w:fill="000000"/>
                <w:fitText w:val="126" w:id="-1505484284"/>
                <w14:textFill>
                  <w14:solidFill>
                    <w14:srgbClr w14:val="000000">
                      <w14:alpha w14:val="100000"/>
                    </w14:srgbClr>
                  </w14:solidFill>
                </w14:textFill>
              </w:rPr>
              <w:t xml:space="preserve">　</w:t>
            </w:r>
            <w:r w:rsidRPr="000962EC">
              <w:rPr>
                <w:rFonts w:ascii="Arial Narrow" w:hAnsi="Arial Narrow" w:cs="Calibri"/>
                <w:b/>
                <w:bCs/>
                <w:color w:val="000000"/>
                <w:w w:val="31"/>
                <w:sz w:val="18"/>
                <w:szCs w:val="18"/>
                <w:shd w:val="solid" w:color="000000" w:fill="000000"/>
                <w:fitText w:val="126" w:id="-1505484284"/>
                <w14:textFill>
                  <w14:solidFill>
                    <w14:srgbClr w14:val="000000">
                      <w14:alpha w14:val="100000"/>
                    </w14:srgbClr>
                  </w14:solidFill>
                </w14:textFill>
              </w:rPr>
              <w:t>|</w:t>
            </w:r>
            <w:r w:rsidRPr="000962EC">
              <w:rPr>
                <w:rFonts w:ascii="Arial Narrow" w:hAnsi="Arial Narrow" w:cs="Calibri" w:hint="eastAsia"/>
                <w:b/>
                <w:bCs/>
                <w:color w:val="000000"/>
                <w:spacing w:val="3"/>
                <w:w w:val="31"/>
                <w:sz w:val="18"/>
                <w:szCs w:val="18"/>
                <w:shd w:val="solid" w:color="000000" w:fill="000000"/>
                <w:fitText w:val="126" w:id="-1505484284"/>
                <w14:textFill>
                  <w14:solidFill>
                    <w14:srgbClr w14:val="000000">
                      <w14:alpha w14:val="100000"/>
                    </w14:srgbClr>
                  </w14:solidFill>
                </w14:textFill>
              </w:rPr>
              <w:t xml:space="preserve">　</w:t>
            </w:r>
            <w:r w:rsidR="00924F36">
              <w:rPr>
                <w:rFonts w:ascii="Arial Narrow" w:hAnsi="Arial Narrow" w:cs="Calibri"/>
                <w:sz w:val="18"/>
                <w:szCs w:val="18"/>
                <w:vertAlign w:val="superscript"/>
              </w:rPr>
              <w:t>5</w:t>
            </w:r>
          </w:p>
        </w:tc>
        <w:tc>
          <w:tcPr>
            <w:tcW w:w="597" w:type="pct"/>
            <w:tcBorders>
              <w:top w:val="single" w:sz="4" w:space="0" w:color="auto"/>
              <w:left w:val="nil"/>
              <w:bottom w:val="single" w:sz="4" w:space="0" w:color="auto"/>
              <w:right w:val="single" w:sz="4" w:space="0" w:color="auto"/>
            </w:tcBorders>
            <w:shd w:val="clear" w:color="auto" w:fill="auto"/>
            <w:vAlign w:val="center"/>
          </w:tcPr>
          <w:p w14:paraId="5229A16F" w14:textId="36E84DBC" w:rsidR="00EC0514" w:rsidRPr="00AC4669" w:rsidRDefault="000962EC" w:rsidP="000A55FF">
            <w:pPr>
              <w:pStyle w:val="Tabletext0"/>
              <w:jc w:val="center"/>
              <w:rPr>
                <w:rFonts w:ascii="Arial Narrow" w:hAnsi="Arial Narrow"/>
                <w:b/>
                <w:bCs/>
                <w:sz w:val="18"/>
                <w:szCs w:val="18"/>
                <w:highlight w:val="yellow"/>
              </w:rPr>
            </w:pPr>
            <w:r w:rsidRPr="000962EC">
              <w:rPr>
                <w:rFonts w:ascii="Arial Narrow" w:hAnsi="Arial Narrow" w:cs="Calibri" w:hint="eastAsia"/>
                <w:b/>
                <w:bCs/>
                <w:color w:val="000000"/>
                <w:w w:val="31"/>
                <w:sz w:val="18"/>
                <w:szCs w:val="18"/>
                <w:shd w:val="solid" w:color="000000" w:fill="000000"/>
                <w:fitText w:val="127" w:id="-1505484283"/>
                <w14:textFill>
                  <w14:solidFill>
                    <w14:srgbClr w14:val="000000">
                      <w14:alpha w14:val="100000"/>
                    </w14:srgbClr>
                  </w14:solidFill>
                </w14:textFill>
              </w:rPr>
              <w:t xml:space="preserve">　</w:t>
            </w:r>
            <w:r w:rsidRPr="000962EC">
              <w:rPr>
                <w:rFonts w:ascii="Arial Narrow" w:hAnsi="Arial Narrow" w:cs="Calibri"/>
                <w:b/>
                <w:bCs/>
                <w:color w:val="000000"/>
                <w:w w:val="31"/>
                <w:sz w:val="18"/>
                <w:szCs w:val="18"/>
                <w:shd w:val="solid" w:color="000000" w:fill="000000"/>
                <w:fitText w:val="127" w:id="-1505484283"/>
                <w14:textFill>
                  <w14:solidFill>
                    <w14:srgbClr w14:val="000000">
                      <w14:alpha w14:val="100000"/>
                    </w14:srgbClr>
                  </w14:solidFill>
                </w14:textFill>
              </w:rPr>
              <w:t>|</w:t>
            </w:r>
            <w:r w:rsidRPr="000962EC">
              <w:rPr>
                <w:rFonts w:ascii="Arial Narrow" w:hAnsi="Arial Narrow" w:cs="Calibri" w:hint="eastAsia"/>
                <w:b/>
                <w:bCs/>
                <w:color w:val="000000"/>
                <w:spacing w:val="4"/>
                <w:w w:val="31"/>
                <w:sz w:val="18"/>
                <w:szCs w:val="18"/>
                <w:shd w:val="solid" w:color="000000" w:fill="000000"/>
                <w:fitText w:val="127" w:id="-1505484283"/>
                <w14:textFill>
                  <w14:solidFill>
                    <w14:srgbClr w14:val="000000">
                      <w14:alpha w14:val="100000"/>
                    </w14:srgbClr>
                  </w14:solidFill>
                </w14:textFill>
              </w:rPr>
              <w:t xml:space="preserve">　</w:t>
            </w:r>
            <w:r w:rsidR="00A33F64">
              <w:rPr>
                <w:rFonts w:ascii="Arial Narrow" w:hAnsi="Arial Narrow" w:cs="Calibri"/>
                <w:sz w:val="18"/>
                <w:szCs w:val="18"/>
                <w:vertAlign w:val="superscript"/>
              </w:rPr>
              <w:t>8</w:t>
            </w:r>
          </w:p>
        </w:tc>
        <w:tc>
          <w:tcPr>
            <w:tcW w:w="604" w:type="pct"/>
            <w:tcBorders>
              <w:top w:val="single" w:sz="4" w:space="0" w:color="auto"/>
              <w:left w:val="nil"/>
              <w:bottom w:val="single" w:sz="4" w:space="0" w:color="auto"/>
              <w:right w:val="single" w:sz="4" w:space="0" w:color="auto"/>
            </w:tcBorders>
            <w:shd w:val="clear" w:color="auto" w:fill="auto"/>
            <w:vAlign w:val="center"/>
          </w:tcPr>
          <w:p w14:paraId="22230B26" w14:textId="17305FFE" w:rsidR="00EC0514" w:rsidRPr="00AC4669" w:rsidRDefault="000962EC" w:rsidP="000A55FF">
            <w:pPr>
              <w:pStyle w:val="Tabletext0"/>
              <w:jc w:val="center"/>
              <w:rPr>
                <w:rFonts w:ascii="Arial Narrow" w:hAnsi="Arial Narrow"/>
                <w:b/>
                <w:bCs/>
                <w:sz w:val="18"/>
                <w:szCs w:val="18"/>
                <w:highlight w:val="yellow"/>
              </w:rPr>
            </w:pPr>
            <w:r w:rsidRPr="000962EC">
              <w:rPr>
                <w:rFonts w:ascii="Arial Narrow" w:hAnsi="Arial Narrow" w:cs="Calibri"/>
                <w:b/>
                <w:bCs/>
                <w:color w:val="000000"/>
                <w:spacing w:val="70"/>
                <w:sz w:val="18"/>
                <w:szCs w:val="18"/>
                <w:shd w:val="solid" w:color="000000" w:fill="000000"/>
                <w:fitText w:val="153" w:id="-1505484282"/>
                <w14:textFill>
                  <w14:solidFill>
                    <w14:srgbClr w14:val="000000">
                      <w14:alpha w14:val="100000"/>
                    </w14:srgbClr>
                  </w14:solidFill>
                </w14:textFill>
              </w:rPr>
              <w:t>|</w:t>
            </w:r>
            <w:r w:rsidRPr="000962EC">
              <w:rPr>
                <w:rFonts w:ascii="Arial Narrow" w:hAnsi="Arial Narrow" w:cs="Calibri"/>
                <w:b/>
                <w:bCs/>
                <w:color w:val="000000"/>
                <w:sz w:val="18"/>
                <w:szCs w:val="18"/>
                <w:shd w:val="solid" w:color="000000" w:fill="000000"/>
                <w:fitText w:val="153" w:id="-1505484282"/>
                <w14:textFill>
                  <w14:solidFill>
                    <w14:srgbClr w14:val="000000">
                      <w14:alpha w14:val="100000"/>
                    </w14:srgbClr>
                  </w14:solidFill>
                </w14:textFill>
              </w:rPr>
              <w:t>|</w:t>
            </w:r>
            <w:r w:rsidR="00A33F64">
              <w:rPr>
                <w:rFonts w:ascii="Arial Narrow" w:hAnsi="Arial Narrow" w:cs="Calibri"/>
                <w:sz w:val="18"/>
                <w:szCs w:val="18"/>
                <w:vertAlign w:val="superscript"/>
              </w:rPr>
              <w:t>10</w:t>
            </w:r>
          </w:p>
        </w:tc>
        <w:tc>
          <w:tcPr>
            <w:tcW w:w="665" w:type="pct"/>
            <w:tcBorders>
              <w:top w:val="single" w:sz="4" w:space="0" w:color="auto"/>
              <w:left w:val="nil"/>
              <w:bottom w:val="single" w:sz="4" w:space="0" w:color="auto"/>
              <w:right w:val="single" w:sz="4" w:space="0" w:color="auto"/>
            </w:tcBorders>
            <w:shd w:val="clear" w:color="auto" w:fill="auto"/>
            <w:vAlign w:val="center"/>
          </w:tcPr>
          <w:p w14:paraId="356F72E4" w14:textId="72D23D00" w:rsidR="00EC0514" w:rsidRPr="00AC4669" w:rsidRDefault="000962EC" w:rsidP="000A55FF">
            <w:pPr>
              <w:pStyle w:val="Tabletext0"/>
              <w:jc w:val="center"/>
              <w:rPr>
                <w:rFonts w:ascii="Arial Narrow" w:hAnsi="Arial Narrow"/>
                <w:b/>
                <w:bCs/>
                <w:sz w:val="18"/>
                <w:szCs w:val="18"/>
                <w:highlight w:val="yellow"/>
              </w:rPr>
            </w:pPr>
            <w:r w:rsidRPr="000962EC">
              <w:rPr>
                <w:rFonts w:ascii="Arial Narrow" w:hAnsi="Arial Narrow" w:cs="Calibri" w:hint="eastAsia"/>
                <w:b/>
                <w:bCs/>
                <w:color w:val="000000"/>
                <w:w w:val="23"/>
                <w:sz w:val="18"/>
                <w:szCs w:val="18"/>
                <w:shd w:val="solid" w:color="000000" w:fill="000000"/>
                <w:fitText w:val="93" w:id="-1505484281"/>
                <w14:textFill>
                  <w14:solidFill>
                    <w14:srgbClr w14:val="000000">
                      <w14:alpha w14:val="100000"/>
                    </w14:srgbClr>
                  </w14:solidFill>
                </w14:textFill>
              </w:rPr>
              <w:t xml:space="preserve">　</w:t>
            </w:r>
            <w:r w:rsidRPr="000962EC">
              <w:rPr>
                <w:rFonts w:ascii="Arial Narrow" w:hAnsi="Arial Narrow" w:cs="Calibri"/>
                <w:b/>
                <w:bCs/>
                <w:color w:val="000000"/>
                <w:w w:val="23"/>
                <w:sz w:val="18"/>
                <w:szCs w:val="18"/>
                <w:shd w:val="solid" w:color="000000" w:fill="000000"/>
                <w:fitText w:val="93" w:id="-1505484281"/>
                <w14:textFill>
                  <w14:solidFill>
                    <w14:srgbClr w14:val="000000">
                      <w14:alpha w14:val="100000"/>
                    </w14:srgbClr>
                  </w14:solidFill>
                </w14:textFill>
              </w:rPr>
              <w:t>|</w:t>
            </w:r>
            <w:r w:rsidRPr="000962EC">
              <w:rPr>
                <w:rFonts w:ascii="Arial Narrow" w:hAnsi="Arial Narrow" w:cs="Calibri" w:hint="eastAsia"/>
                <w:b/>
                <w:bCs/>
                <w:color w:val="000000"/>
                <w:w w:val="23"/>
                <w:sz w:val="18"/>
                <w:szCs w:val="18"/>
                <w:shd w:val="solid" w:color="000000" w:fill="000000"/>
                <w:fitText w:val="93" w:id="-1505484281"/>
                <w14:textFill>
                  <w14:solidFill>
                    <w14:srgbClr w14:val="000000">
                      <w14:alpha w14:val="100000"/>
                    </w14:srgbClr>
                  </w14:solidFill>
                </w14:textFill>
              </w:rPr>
              <w:t xml:space="preserve">　</w:t>
            </w:r>
            <w:r w:rsidR="00A33F64">
              <w:rPr>
                <w:rFonts w:ascii="Arial Narrow" w:hAnsi="Arial Narrow" w:cs="Calibri"/>
                <w:sz w:val="18"/>
                <w:szCs w:val="18"/>
                <w:vertAlign w:val="superscript"/>
              </w:rPr>
              <w:t>10</w:t>
            </w:r>
          </w:p>
        </w:tc>
      </w:tr>
      <w:tr w:rsidR="00EC0514" w:rsidRPr="009E592B" w14:paraId="722B888B" w14:textId="77777777" w:rsidTr="002B1181">
        <w:tc>
          <w:tcPr>
            <w:tcW w:w="5000" w:type="pct"/>
            <w:gridSpan w:val="7"/>
            <w:tcBorders>
              <w:right w:val="single" w:sz="4" w:space="0" w:color="auto"/>
            </w:tcBorders>
          </w:tcPr>
          <w:p w14:paraId="40AE1A16" w14:textId="77777777" w:rsidR="00EC0514" w:rsidRPr="00C72593" w:rsidRDefault="00EC0514" w:rsidP="000A55FF">
            <w:pPr>
              <w:pStyle w:val="Tabletext0"/>
              <w:jc w:val="left"/>
              <w:rPr>
                <w:rFonts w:ascii="Arial Narrow" w:hAnsi="Arial Narrow" w:cs="Calibri"/>
                <w:color w:val="000000"/>
                <w:sz w:val="18"/>
                <w:szCs w:val="18"/>
              </w:rPr>
            </w:pPr>
            <w:r w:rsidRPr="00C72593">
              <w:rPr>
                <w:rFonts w:ascii="Arial Narrow" w:hAnsi="Arial Narrow"/>
                <w:b/>
                <w:bCs/>
                <w:i/>
                <w:iCs/>
                <w:sz w:val="18"/>
                <w:szCs w:val="18"/>
              </w:rPr>
              <w:t>Comparison with November 2021 estimates</w:t>
            </w:r>
          </w:p>
        </w:tc>
      </w:tr>
      <w:tr w:rsidR="00EC0514" w:rsidRPr="009E592B" w14:paraId="23C05AEF" w14:textId="77777777" w:rsidTr="002B1181">
        <w:tc>
          <w:tcPr>
            <w:tcW w:w="1308" w:type="pct"/>
          </w:tcPr>
          <w:p w14:paraId="0B223270" w14:textId="3418DBB9" w:rsidR="00EC0514" w:rsidRPr="00C72593" w:rsidRDefault="00EC0514" w:rsidP="000A55FF">
            <w:pPr>
              <w:pStyle w:val="Tabletext0"/>
              <w:rPr>
                <w:rFonts w:ascii="Arial Narrow" w:hAnsi="Arial Narrow"/>
                <w:b/>
                <w:bCs/>
                <w:sz w:val="18"/>
                <w:szCs w:val="18"/>
              </w:rPr>
            </w:pPr>
            <w:r w:rsidRPr="00C72593">
              <w:rPr>
                <w:rFonts w:ascii="Arial Narrow" w:hAnsi="Arial Narrow"/>
                <w:b/>
                <w:bCs/>
                <w:sz w:val="18"/>
                <w:szCs w:val="18"/>
              </w:rPr>
              <w:t>Combined: Net cost to R/PBS</w:t>
            </w:r>
            <w:r w:rsidR="00D843E4">
              <w:rPr>
                <w:rFonts w:ascii="Arial Narrow" w:hAnsi="Arial Narrow"/>
                <w:b/>
                <w:bCs/>
                <w:sz w:val="18"/>
                <w:szCs w:val="18"/>
              </w:rPr>
              <w:t xml:space="preserve">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bottom"/>
          </w:tcPr>
          <w:p w14:paraId="39F5A291" w14:textId="14E30F7C" w:rsidR="00EC0514" w:rsidRPr="00AC4669" w:rsidRDefault="000962EC" w:rsidP="000A55FF">
            <w:pPr>
              <w:pStyle w:val="Tabletext0"/>
              <w:jc w:val="center"/>
              <w:rPr>
                <w:rFonts w:ascii="Arial Narrow" w:hAnsi="Arial Narrow" w:cs="Calibri"/>
                <w:color w:val="000000" w:themeColor="text1"/>
                <w:sz w:val="18"/>
                <w:szCs w:val="18"/>
                <w:highlight w:val="yellow"/>
              </w:rPr>
            </w:pPr>
            <w:r w:rsidRPr="000962EC">
              <w:rPr>
                <w:rFonts w:ascii="Arial Narrow" w:hAnsi="Arial Narrow" w:cs="Calibri" w:hint="eastAsia"/>
                <w:color w:val="000000" w:themeColor="text1"/>
                <w:w w:val="16"/>
                <w:sz w:val="18"/>
                <w:szCs w:val="18"/>
                <w:shd w:val="solid" w:color="000000" w:fill="000000"/>
                <w:fitText w:val="66" w:id="-1505484280"/>
                <w14:textFill>
                  <w14:solidFill>
                    <w14:schemeClr w14:val="tx1">
                      <w14:alpha w14:val="100000"/>
                    </w14:schemeClr>
                  </w14:solidFill>
                </w14:textFill>
              </w:rPr>
              <w:t xml:space="preserve">　</w:t>
            </w:r>
            <w:r w:rsidRPr="000962EC">
              <w:rPr>
                <w:rFonts w:ascii="Arial Narrow" w:hAnsi="Arial Narrow" w:cs="Calibri"/>
                <w:color w:val="000000" w:themeColor="text1"/>
                <w:w w:val="16"/>
                <w:sz w:val="18"/>
                <w:szCs w:val="18"/>
                <w:shd w:val="solid" w:color="000000" w:fill="000000"/>
                <w:fitText w:val="66" w:id="-1505484280"/>
                <w14:textFill>
                  <w14:solidFill>
                    <w14:schemeClr w14:val="tx1">
                      <w14:alpha w14:val="100000"/>
                    </w14:schemeClr>
                  </w14:solidFill>
                </w14:textFill>
              </w:rPr>
              <w:t>|</w:t>
            </w:r>
            <w:r w:rsidRPr="000962EC">
              <w:rPr>
                <w:rFonts w:ascii="Arial Narrow" w:hAnsi="Arial Narrow" w:cs="Calibri" w:hint="eastAsia"/>
                <w:color w:val="000000" w:themeColor="text1"/>
                <w:w w:val="16"/>
                <w:sz w:val="18"/>
                <w:szCs w:val="18"/>
                <w:shd w:val="solid" w:color="000000" w:fill="000000"/>
                <w:fitText w:val="66" w:id="-1505484280"/>
                <w14:textFill>
                  <w14:solidFill>
                    <w14:schemeClr w14:val="tx1">
                      <w14:alpha w14:val="100000"/>
                    </w14:schemeClr>
                  </w14:solidFill>
                </w14:textFill>
              </w:rPr>
              <w:t xml:space="preserve">　</w:t>
            </w:r>
            <w:r w:rsidR="00924F36">
              <w:rPr>
                <w:rFonts w:ascii="Arial Narrow" w:hAnsi="Arial Narrow" w:cs="Calibri"/>
                <w:sz w:val="18"/>
                <w:szCs w:val="18"/>
                <w:vertAlign w:val="superscript"/>
              </w:rPr>
              <w:t>2</w:t>
            </w:r>
          </w:p>
        </w:tc>
        <w:tc>
          <w:tcPr>
            <w:tcW w:w="597" w:type="pct"/>
            <w:tcBorders>
              <w:top w:val="single" w:sz="4" w:space="0" w:color="auto"/>
              <w:left w:val="nil"/>
              <w:bottom w:val="single" w:sz="4" w:space="0" w:color="auto"/>
              <w:right w:val="single" w:sz="4" w:space="0" w:color="auto"/>
            </w:tcBorders>
            <w:shd w:val="clear" w:color="auto" w:fill="auto"/>
            <w:vAlign w:val="bottom"/>
          </w:tcPr>
          <w:p w14:paraId="1F6A7124" w14:textId="0D434BE3" w:rsidR="00EC0514" w:rsidRPr="00AC4669" w:rsidRDefault="000962EC" w:rsidP="000A55FF">
            <w:pPr>
              <w:pStyle w:val="Tabletext0"/>
              <w:jc w:val="center"/>
              <w:rPr>
                <w:rFonts w:ascii="Arial Narrow" w:hAnsi="Arial Narrow" w:cs="Calibri"/>
                <w:color w:val="000000" w:themeColor="text1"/>
                <w:sz w:val="18"/>
                <w:szCs w:val="18"/>
                <w:highlight w:val="yellow"/>
              </w:rPr>
            </w:pPr>
            <w:r w:rsidRPr="000962EC">
              <w:rPr>
                <w:rFonts w:ascii="Arial Narrow" w:hAnsi="Arial Narrow" w:cs="Calibri" w:hint="eastAsia"/>
                <w:color w:val="000000" w:themeColor="text1"/>
                <w:w w:val="21"/>
                <w:sz w:val="18"/>
                <w:szCs w:val="18"/>
                <w:shd w:val="solid" w:color="000000" w:fill="000000"/>
                <w:fitText w:val="87" w:id="-1505484279"/>
                <w14:textFill>
                  <w14:solidFill>
                    <w14:schemeClr w14:val="tx1">
                      <w14:alpha w14:val="100000"/>
                    </w14:schemeClr>
                  </w14:solidFill>
                </w14:textFill>
              </w:rPr>
              <w:t xml:space="preserve">　</w:t>
            </w:r>
            <w:r w:rsidRPr="000962EC">
              <w:rPr>
                <w:rFonts w:ascii="Arial Narrow" w:hAnsi="Arial Narrow" w:cs="Calibri"/>
                <w:color w:val="000000" w:themeColor="text1"/>
                <w:w w:val="21"/>
                <w:sz w:val="18"/>
                <w:szCs w:val="18"/>
                <w:shd w:val="solid" w:color="000000" w:fill="000000"/>
                <w:fitText w:val="87" w:id="-1505484279"/>
                <w14:textFill>
                  <w14:solidFill>
                    <w14:schemeClr w14:val="tx1">
                      <w14:alpha w14:val="100000"/>
                    </w14:schemeClr>
                  </w14:solidFill>
                </w14:textFill>
              </w:rPr>
              <w:t>|</w:t>
            </w:r>
            <w:r w:rsidRPr="000962EC">
              <w:rPr>
                <w:rFonts w:ascii="Arial Narrow" w:hAnsi="Arial Narrow" w:cs="Calibri" w:hint="eastAsia"/>
                <w:color w:val="000000" w:themeColor="text1"/>
                <w:spacing w:val="5"/>
                <w:w w:val="21"/>
                <w:sz w:val="18"/>
                <w:szCs w:val="18"/>
                <w:shd w:val="solid" w:color="000000" w:fill="000000"/>
                <w:fitText w:val="87" w:id="-1505484279"/>
                <w14:textFill>
                  <w14:solidFill>
                    <w14:schemeClr w14:val="tx1">
                      <w14:alpha w14:val="100000"/>
                    </w14:schemeClr>
                  </w14:solidFill>
                </w14:textFill>
              </w:rPr>
              <w:t xml:space="preserve">　</w:t>
            </w:r>
            <w:r w:rsidR="00924F36">
              <w:rPr>
                <w:rFonts w:ascii="Arial Narrow" w:hAnsi="Arial Narrow" w:cs="Calibri"/>
                <w:sz w:val="18"/>
                <w:szCs w:val="18"/>
                <w:vertAlign w:val="superscript"/>
              </w:rPr>
              <w:t>5</w:t>
            </w:r>
          </w:p>
        </w:tc>
        <w:tc>
          <w:tcPr>
            <w:tcW w:w="597" w:type="pct"/>
            <w:tcBorders>
              <w:top w:val="single" w:sz="4" w:space="0" w:color="auto"/>
              <w:left w:val="nil"/>
              <w:bottom w:val="single" w:sz="4" w:space="0" w:color="auto"/>
              <w:right w:val="single" w:sz="4" w:space="0" w:color="auto"/>
            </w:tcBorders>
            <w:shd w:val="clear" w:color="auto" w:fill="auto"/>
            <w:vAlign w:val="bottom"/>
          </w:tcPr>
          <w:p w14:paraId="51832B19" w14:textId="4CCD08A4" w:rsidR="00EC0514" w:rsidRPr="00AC4669" w:rsidRDefault="000962EC" w:rsidP="000A55FF">
            <w:pPr>
              <w:pStyle w:val="Tabletext0"/>
              <w:jc w:val="center"/>
              <w:rPr>
                <w:rFonts w:ascii="Arial Narrow" w:hAnsi="Arial Narrow" w:cs="Calibri"/>
                <w:color w:val="000000" w:themeColor="text1"/>
                <w:sz w:val="18"/>
                <w:szCs w:val="18"/>
                <w:highlight w:val="yellow"/>
              </w:rPr>
            </w:pPr>
            <w:r w:rsidRPr="000962EC">
              <w:rPr>
                <w:rFonts w:ascii="Arial Narrow" w:hAnsi="Arial Narrow" w:cs="Calibri" w:hint="eastAsia"/>
                <w:color w:val="000000" w:themeColor="text1"/>
                <w:w w:val="21"/>
                <w:sz w:val="18"/>
                <w:szCs w:val="18"/>
                <w:shd w:val="solid" w:color="000000" w:fill="000000"/>
                <w:fitText w:val="87" w:id="-1505484278"/>
                <w14:textFill>
                  <w14:solidFill>
                    <w14:schemeClr w14:val="tx1">
                      <w14:alpha w14:val="100000"/>
                    </w14:schemeClr>
                  </w14:solidFill>
                </w14:textFill>
              </w:rPr>
              <w:t xml:space="preserve">　</w:t>
            </w:r>
            <w:r w:rsidRPr="000962EC">
              <w:rPr>
                <w:rFonts w:ascii="Arial Narrow" w:hAnsi="Arial Narrow" w:cs="Calibri"/>
                <w:color w:val="000000" w:themeColor="text1"/>
                <w:w w:val="21"/>
                <w:sz w:val="18"/>
                <w:szCs w:val="18"/>
                <w:shd w:val="solid" w:color="000000" w:fill="000000"/>
                <w:fitText w:val="87" w:id="-1505484278"/>
                <w14:textFill>
                  <w14:solidFill>
                    <w14:schemeClr w14:val="tx1">
                      <w14:alpha w14:val="100000"/>
                    </w14:schemeClr>
                  </w14:solidFill>
                </w14:textFill>
              </w:rPr>
              <w:t>|</w:t>
            </w:r>
            <w:r w:rsidRPr="000962EC">
              <w:rPr>
                <w:rFonts w:ascii="Arial Narrow" w:hAnsi="Arial Narrow" w:cs="Calibri" w:hint="eastAsia"/>
                <w:color w:val="000000" w:themeColor="text1"/>
                <w:spacing w:val="5"/>
                <w:w w:val="21"/>
                <w:sz w:val="18"/>
                <w:szCs w:val="18"/>
                <w:shd w:val="solid" w:color="000000" w:fill="000000"/>
                <w:fitText w:val="87" w:id="-1505484278"/>
                <w14:textFill>
                  <w14:solidFill>
                    <w14:schemeClr w14:val="tx1">
                      <w14:alpha w14:val="100000"/>
                    </w14:schemeClr>
                  </w14:solidFill>
                </w14:textFill>
              </w:rPr>
              <w:t xml:space="preserve">　</w:t>
            </w:r>
            <w:r w:rsidR="00924F36">
              <w:rPr>
                <w:rFonts w:ascii="Arial Narrow" w:hAnsi="Arial Narrow" w:cs="Calibri"/>
                <w:sz w:val="18"/>
                <w:szCs w:val="18"/>
                <w:vertAlign w:val="superscript"/>
              </w:rPr>
              <w:t>5</w:t>
            </w:r>
          </w:p>
        </w:tc>
        <w:tc>
          <w:tcPr>
            <w:tcW w:w="597" w:type="pct"/>
            <w:tcBorders>
              <w:top w:val="single" w:sz="4" w:space="0" w:color="auto"/>
              <w:left w:val="nil"/>
              <w:bottom w:val="single" w:sz="4" w:space="0" w:color="auto"/>
              <w:right w:val="single" w:sz="4" w:space="0" w:color="auto"/>
            </w:tcBorders>
            <w:shd w:val="clear" w:color="auto" w:fill="auto"/>
            <w:vAlign w:val="bottom"/>
          </w:tcPr>
          <w:p w14:paraId="301940B0" w14:textId="19FBB67C" w:rsidR="00EC0514" w:rsidRPr="00AC4669" w:rsidRDefault="000962EC" w:rsidP="000A55FF">
            <w:pPr>
              <w:pStyle w:val="Tabletext0"/>
              <w:jc w:val="center"/>
              <w:rPr>
                <w:rFonts w:ascii="Arial Narrow" w:hAnsi="Arial Narrow" w:cs="Calibri"/>
                <w:color w:val="000000" w:themeColor="text1"/>
                <w:sz w:val="18"/>
                <w:szCs w:val="18"/>
                <w:highlight w:val="yellow"/>
              </w:rPr>
            </w:pPr>
            <w:r w:rsidRPr="000962EC">
              <w:rPr>
                <w:rFonts w:ascii="Arial Narrow" w:hAnsi="Arial Narrow" w:cs="Calibri" w:hint="eastAsia"/>
                <w:color w:val="000000" w:themeColor="text1"/>
                <w:w w:val="21"/>
                <w:sz w:val="18"/>
                <w:szCs w:val="18"/>
                <w:shd w:val="solid" w:color="000000" w:fill="000000"/>
                <w:fitText w:val="87" w:id="-1505484277"/>
                <w14:textFill>
                  <w14:solidFill>
                    <w14:schemeClr w14:val="tx1">
                      <w14:alpha w14:val="100000"/>
                    </w14:schemeClr>
                  </w14:solidFill>
                </w14:textFill>
              </w:rPr>
              <w:t xml:space="preserve">　</w:t>
            </w:r>
            <w:r w:rsidRPr="000962EC">
              <w:rPr>
                <w:rFonts w:ascii="Arial Narrow" w:hAnsi="Arial Narrow" w:cs="Calibri"/>
                <w:color w:val="000000" w:themeColor="text1"/>
                <w:w w:val="21"/>
                <w:sz w:val="18"/>
                <w:szCs w:val="18"/>
                <w:shd w:val="solid" w:color="000000" w:fill="000000"/>
                <w:fitText w:val="87" w:id="-1505484277"/>
                <w14:textFill>
                  <w14:solidFill>
                    <w14:schemeClr w14:val="tx1">
                      <w14:alpha w14:val="100000"/>
                    </w14:schemeClr>
                  </w14:solidFill>
                </w14:textFill>
              </w:rPr>
              <w:t>|</w:t>
            </w:r>
            <w:r w:rsidRPr="000962EC">
              <w:rPr>
                <w:rFonts w:ascii="Arial Narrow" w:hAnsi="Arial Narrow" w:cs="Calibri" w:hint="eastAsia"/>
                <w:color w:val="000000" w:themeColor="text1"/>
                <w:spacing w:val="5"/>
                <w:w w:val="21"/>
                <w:sz w:val="18"/>
                <w:szCs w:val="18"/>
                <w:shd w:val="solid" w:color="000000" w:fill="000000"/>
                <w:fitText w:val="87" w:id="-1505484277"/>
                <w14:textFill>
                  <w14:solidFill>
                    <w14:schemeClr w14:val="tx1">
                      <w14:alpha w14:val="100000"/>
                    </w14:schemeClr>
                  </w14:solidFill>
                </w14:textFill>
              </w:rPr>
              <w:t xml:space="preserve">　</w:t>
            </w:r>
            <w:r w:rsidR="00A33F64">
              <w:rPr>
                <w:rFonts w:ascii="Arial Narrow" w:hAnsi="Arial Narrow" w:cs="Calibri"/>
                <w:sz w:val="18"/>
                <w:szCs w:val="18"/>
                <w:vertAlign w:val="superscript"/>
              </w:rPr>
              <w:t>8</w:t>
            </w:r>
          </w:p>
        </w:tc>
        <w:tc>
          <w:tcPr>
            <w:tcW w:w="604" w:type="pct"/>
            <w:tcBorders>
              <w:top w:val="single" w:sz="4" w:space="0" w:color="auto"/>
              <w:left w:val="nil"/>
              <w:bottom w:val="single" w:sz="4" w:space="0" w:color="auto"/>
              <w:right w:val="single" w:sz="4" w:space="0" w:color="auto"/>
            </w:tcBorders>
            <w:shd w:val="clear" w:color="auto" w:fill="auto"/>
            <w:vAlign w:val="bottom"/>
          </w:tcPr>
          <w:p w14:paraId="53D37B46" w14:textId="24F1AC72" w:rsidR="00EC0514" w:rsidRPr="00AC4669" w:rsidRDefault="000962EC" w:rsidP="000A55FF">
            <w:pPr>
              <w:pStyle w:val="Tabletext0"/>
              <w:jc w:val="center"/>
              <w:rPr>
                <w:rFonts w:ascii="Arial Narrow" w:hAnsi="Arial Narrow" w:cs="Calibri"/>
                <w:color w:val="000000" w:themeColor="text1"/>
                <w:sz w:val="18"/>
                <w:szCs w:val="18"/>
                <w:highlight w:val="yellow"/>
              </w:rPr>
            </w:pPr>
            <w:r w:rsidRPr="000962EC">
              <w:rPr>
                <w:rFonts w:ascii="Arial Narrow" w:hAnsi="Arial Narrow" w:cs="Calibri" w:hint="eastAsia"/>
                <w:color w:val="000000" w:themeColor="text1"/>
                <w:w w:val="26"/>
                <w:sz w:val="18"/>
                <w:szCs w:val="18"/>
                <w:shd w:val="solid" w:color="000000" w:fill="000000"/>
                <w:fitText w:val="107" w:id="-1505484276"/>
                <w14:textFill>
                  <w14:solidFill>
                    <w14:schemeClr w14:val="tx1">
                      <w14:alpha w14:val="100000"/>
                    </w14:schemeClr>
                  </w14:solidFill>
                </w14:textFill>
              </w:rPr>
              <w:t xml:space="preserve">　</w:t>
            </w:r>
            <w:r w:rsidRPr="000962EC">
              <w:rPr>
                <w:rFonts w:ascii="Arial Narrow" w:hAnsi="Arial Narrow" w:cs="Calibri"/>
                <w:color w:val="000000" w:themeColor="text1"/>
                <w:w w:val="26"/>
                <w:sz w:val="18"/>
                <w:szCs w:val="18"/>
                <w:shd w:val="solid" w:color="000000" w:fill="000000"/>
                <w:fitText w:val="107" w:id="-1505484276"/>
                <w14:textFill>
                  <w14:solidFill>
                    <w14:schemeClr w14:val="tx1">
                      <w14:alpha w14:val="100000"/>
                    </w14:schemeClr>
                  </w14:solidFill>
                </w14:textFill>
              </w:rPr>
              <w:t>|</w:t>
            </w:r>
            <w:r w:rsidRPr="000962EC">
              <w:rPr>
                <w:rFonts w:ascii="Arial Narrow" w:hAnsi="Arial Narrow" w:cs="Calibri" w:hint="eastAsia"/>
                <w:color w:val="000000" w:themeColor="text1"/>
                <w:w w:val="26"/>
                <w:sz w:val="18"/>
                <w:szCs w:val="18"/>
                <w:shd w:val="solid" w:color="000000" w:fill="000000"/>
                <w:fitText w:val="107" w:id="-1505484276"/>
                <w14:textFill>
                  <w14:solidFill>
                    <w14:schemeClr w14:val="tx1">
                      <w14:alpha w14:val="100000"/>
                    </w14:schemeClr>
                  </w14:solidFill>
                </w14:textFill>
              </w:rPr>
              <w:t xml:space="preserve">　</w:t>
            </w:r>
            <w:r w:rsidR="00A33F64">
              <w:rPr>
                <w:rFonts w:ascii="Arial Narrow" w:hAnsi="Arial Narrow" w:cs="Calibri"/>
                <w:sz w:val="18"/>
                <w:szCs w:val="18"/>
                <w:vertAlign w:val="superscript"/>
              </w:rPr>
              <w:t>10</w:t>
            </w:r>
          </w:p>
        </w:tc>
        <w:tc>
          <w:tcPr>
            <w:tcW w:w="665" w:type="pct"/>
            <w:tcBorders>
              <w:top w:val="single" w:sz="4" w:space="0" w:color="auto"/>
              <w:left w:val="nil"/>
              <w:bottom w:val="single" w:sz="4" w:space="0" w:color="auto"/>
              <w:right w:val="single" w:sz="4" w:space="0" w:color="auto"/>
            </w:tcBorders>
            <w:shd w:val="clear" w:color="auto" w:fill="auto"/>
            <w:vAlign w:val="bottom"/>
          </w:tcPr>
          <w:p w14:paraId="732D1660" w14:textId="64EBE6E4" w:rsidR="00EC0514" w:rsidRPr="00AC4669" w:rsidRDefault="000962EC" w:rsidP="000A55FF">
            <w:pPr>
              <w:pStyle w:val="Tabletext0"/>
              <w:jc w:val="center"/>
              <w:rPr>
                <w:rFonts w:ascii="Arial Narrow" w:hAnsi="Arial Narrow" w:cs="Calibri"/>
                <w:color w:val="000000" w:themeColor="text1"/>
                <w:sz w:val="18"/>
                <w:szCs w:val="18"/>
                <w:highlight w:val="yellow"/>
              </w:rPr>
            </w:pPr>
            <w:r w:rsidRPr="000962EC">
              <w:rPr>
                <w:rFonts w:ascii="Arial Narrow" w:hAnsi="Arial Narrow" w:cs="Calibri" w:hint="eastAsia"/>
                <w:color w:val="000000" w:themeColor="text1"/>
                <w:w w:val="15"/>
                <w:sz w:val="18"/>
                <w:szCs w:val="18"/>
                <w:shd w:val="solid" w:color="000000" w:fill="000000"/>
                <w:fitText w:val="54" w:id="-1505484275"/>
                <w14:textFill>
                  <w14:solidFill>
                    <w14:schemeClr w14:val="tx1">
                      <w14:alpha w14:val="100000"/>
                    </w14:schemeClr>
                  </w14:solidFill>
                </w14:textFill>
              </w:rPr>
              <w:t xml:space="preserve">　</w:t>
            </w:r>
            <w:r w:rsidRPr="000962EC">
              <w:rPr>
                <w:rFonts w:ascii="Arial Narrow" w:hAnsi="Arial Narrow" w:cs="Calibri"/>
                <w:color w:val="000000" w:themeColor="text1"/>
                <w:w w:val="15"/>
                <w:sz w:val="18"/>
                <w:szCs w:val="18"/>
                <w:shd w:val="solid" w:color="000000" w:fill="000000"/>
                <w:fitText w:val="54" w:id="-1505484275"/>
                <w14:textFill>
                  <w14:solidFill>
                    <w14:schemeClr w14:val="tx1">
                      <w14:alpha w14:val="100000"/>
                    </w14:schemeClr>
                  </w14:solidFill>
                </w14:textFill>
              </w:rPr>
              <w:t>|</w:t>
            </w:r>
            <w:r w:rsidRPr="000962EC">
              <w:rPr>
                <w:rFonts w:ascii="Arial Narrow" w:hAnsi="Arial Narrow" w:cs="Calibri" w:hint="eastAsia"/>
                <w:color w:val="000000" w:themeColor="text1"/>
                <w:w w:val="15"/>
                <w:sz w:val="18"/>
                <w:szCs w:val="18"/>
                <w:shd w:val="solid" w:color="000000" w:fill="000000"/>
                <w:fitText w:val="54" w:id="-1505484275"/>
                <w14:textFill>
                  <w14:solidFill>
                    <w14:schemeClr w14:val="tx1">
                      <w14:alpha w14:val="100000"/>
                    </w14:schemeClr>
                  </w14:solidFill>
                </w14:textFill>
              </w:rPr>
              <w:t xml:space="preserve">　</w:t>
            </w:r>
            <w:r w:rsidR="00A33F64" w:rsidRPr="008C6AE2">
              <w:rPr>
                <w:rFonts w:ascii="Arial Narrow" w:hAnsi="Arial Narrow" w:cs="Calibri"/>
                <w:sz w:val="18"/>
                <w:szCs w:val="18"/>
                <w:vertAlign w:val="superscript"/>
              </w:rPr>
              <w:t>1</w:t>
            </w:r>
            <w:r w:rsidR="00A33F64">
              <w:rPr>
                <w:rFonts w:ascii="Arial Narrow" w:hAnsi="Arial Narrow" w:cs="Calibri"/>
                <w:sz w:val="18"/>
                <w:szCs w:val="18"/>
                <w:vertAlign w:val="superscript"/>
              </w:rPr>
              <w:t>2</w:t>
            </w:r>
          </w:p>
        </w:tc>
      </w:tr>
      <w:tr w:rsidR="00EC0514" w:rsidRPr="009E592B" w14:paraId="6BD39ADF" w14:textId="77777777" w:rsidTr="002B1181">
        <w:tc>
          <w:tcPr>
            <w:tcW w:w="1308" w:type="pct"/>
          </w:tcPr>
          <w:p w14:paraId="256D589E" w14:textId="66B2DC67" w:rsidR="00EC0514" w:rsidRPr="00C72593" w:rsidRDefault="00EC0514" w:rsidP="000A55FF">
            <w:pPr>
              <w:pStyle w:val="Tabletext0"/>
              <w:rPr>
                <w:rFonts w:ascii="Arial Narrow" w:hAnsi="Arial Narrow"/>
                <w:b/>
                <w:bCs/>
                <w:sz w:val="18"/>
                <w:szCs w:val="18"/>
              </w:rPr>
            </w:pPr>
            <w:r w:rsidRPr="00C72593">
              <w:rPr>
                <w:rFonts w:ascii="Arial Narrow" w:hAnsi="Arial Narrow"/>
                <w:b/>
                <w:bCs/>
                <w:sz w:val="18"/>
                <w:szCs w:val="18"/>
              </w:rPr>
              <w:t>Difference</w:t>
            </w:r>
            <w:r w:rsidR="00D843E4">
              <w:rPr>
                <w:rFonts w:ascii="Arial Narrow" w:hAnsi="Arial Narrow"/>
                <w:b/>
                <w:bCs/>
                <w:sz w:val="18"/>
                <w:szCs w:val="18"/>
              </w:rPr>
              <w:t xml:space="preserve"> ($)</w:t>
            </w:r>
          </w:p>
        </w:tc>
        <w:tc>
          <w:tcPr>
            <w:tcW w:w="631" w:type="pct"/>
            <w:tcBorders>
              <w:top w:val="nil"/>
              <w:left w:val="single" w:sz="4" w:space="0" w:color="auto"/>
              <w:bottom w:val="single" w:sz="4" w:space="0" w:color="auto"/>
              <w:right w:val="single" w:sz="4" w:space="0" w:color="auto"/>
            </w:tcBorders>
            <w:shd w:val="clear" w:color="auto" w:fill="auto"/>
            <w:vAlign w:val="bottom"/>
          </w:tcPr>
          <w:p w14:paraId="6EED7E69" w14:textId="6DDFA732" w:rsidR="00EC0514" w:rsidRPr="00C72593" w:rsidRDefault="000962EC" w:rsidP="000A55FF">
            <w:pPr>
              <w:pStyle w:val="Tabletext0"/>
              <w:jc w:val="center"/>
              <w:rPr>
                <w:rFonts w:ascii="Arial Narrow" w:hAnsi="Arial Narrow" w:cs="Calibri"/>
                <w:color w:val="000000" w:themeColor="text1"/>
                <w:sz w:val="18"/>
                <w:szCs w:val="18"/>
              </w:rPr>
            </w:pPr>
            <w:r w:rsidRPr="000962EC">
              <w:rPr>
                <w:rFonts w:ascii="Arial Narrow" w:hAnsi="Arial Narrow" w:cs="Calibri" w:hint="eastAsia"/>
                <w:color w:val="000000" w:themeColor="text1"/>
                <w:w w:val="16"/>
                <w:sz w:val="18"/>
                <w:szCs w:val="18"/>
                <w:shd w:val="solid" w:color="000000" w:fill="000000"/>
                <w:fitText w:val="66" w:id="-1505484274"/>
                <w14:textFill>
                  <w14:solidFill>
                    <w14:schemeClr w14:val="tx1">
                      <w14:alpha w14:val="100000"/>
                    </w14:schemeClr>
                  </w14:solidFill>
                </w14:textFill>
              </w:rPr>
              <w:t xml:space="preserve">　</w:t>
            </w:r>
            <w:r w:rsidRPr="000962EC">
              <w:rPr>
                <w:rFonts w:ascii="Arial Narrow" w:hAnsi="Arial Narrow" w:cs="Calibri"/>
                <w:color w:val="000000" w:themeColor="text1"/>
                <w:w w:val="16"/>
                <w:sz w:val="18"/>
                <w:szCs w:val="18"/>
                <w:shd w:val="solid" w:color="000000" w:fill="000000"/>
                <w:fitText w:val="66" w:id="-1505484274"/>
                <w14:textFill>
                  <w14:solidFill>
                    <w14:schemeClr w14:val="tx1">
                      <w14:alpha w14:val="100000"/>
                    </w14:schemeClr>
                  </w14:solidFill>
                </w14:textFill>
              </w:rPr>
              <w:t>|</w:t>
            </w:r>
            <w:r w:rsidRPr="000962EC">
              <w:rPr>
                <w:rFonts w:ascii="Arial Narrow" w:hAnsi="Arial Narrow" w:cs="Calibri" w:hint="eastAsia"/>
                <w:color w:val="000000" w:themeColor="text1"/>
                <w:w w:val="16"/>
                <w:sz w:val="18"/>
                <w:szCs w:val="18"/>
                <w:shd w:val="solid" w:color="000000" w:fill="000000"/>
                <w:fitText w:val="66" w:id="-1505484274"/>
                <w14:textFill>
                  <w14:solidFill>
                    <w14:schemeClr w14:val="tx1">
                      <w14:alpha w14:val="100000"/>
                    </w14:schemeClr>
                  </w14:solidFill>
                </w14:textFill>
              </w:rPr>
              <w:t xml:space="preserve">　</w:t>
            </w:r>
            <w:r w:rsidR="00924F36">
              <w:rPr>
                <w:rFonts w:ascii="Arial Narrow" w:hAnsi="Arial Narrow" w:cs="Calibri"/>
                <w:sz w:val="18"/>
                <w:szCs w:val="18"/>
                <w:vertAlign w:val="superscript"/>
              </w:rPr>
              <w:t>3</w:t>
            </w:r>
          </w:p>
        </w:tc>
        <w:tc>
          <w:tcPr>
            <w:tcW w:w="597" w:type="pct"/>
            <w:tcBorders>
              <w:top w:val="nil"/>
              <w:left w:val="nil"/>
              <w:bottom w:val="single" w:sz="4" w:space="0" w:color="auto"/>
              <w:right w:val="single" w:sz="4" w:space="0" w:color="auto"/>
            </w:tcBorders>
            <w:shd w:val="clear" w:color="auto" w:fill="auto"/>
            <w:vAlign w:val="bottom"/>
          </w:tcPr>
          <w:p w14:paraId="28177A42" w14:textId="278376CA" w:rsidR="00EC0514" w:rsidRPr="00C72593" w:rsidRDefault="00EC0514" w:rsidP="000A55FF">
            <w:pPr>
              <w:pStyle w:val="Tabletext0"/>
              <w:jc w:val="center"/>
              <w:rPr>
                <w:rFonts w:ascii="Arial Narrow" w:hAnsi="Arial Narrow" w:cs="Calibri"/>
                <w:color w:val="000000" w:themeColor="text1"/>
                <w:sz w:val="18"/>
                <w:szCs w:val="18"/>
              </w:rPr>
            </w:pPr>
            <w:r w:rsidRPr="00C72593">
              <w:rPr>
                <w:rFonts w:ascii="Arial Narrow" w:hAnsi="Arial Narrow" w:cs="Calibri"/>
                <w:color w:val="000000" w:themeColor="text1"/>
                <w:sz w:val="18"/>
                <w:szCs w:val="18"/>
              </w:rPr>
              <w:t>-</w:t>
            </w:r>
            <w:r w:rsidR="000962EC" w:rsidRPr="000962EC">
              <w:rPr>
                <w:rFonts w:ascii="Arial Narrow" w:hAnsi="Arial Narrow" w:cs="Calibri" w:hint="eastAsia"/>
                <w:color w:val="000000" w:themeColor="text1"/>
                <w:w w:val="30"/>
                <w:sz w:val="18"/>
                <w:szCs w:val="18"/>
                <w:shd w:val="solid" w:color="000000" w:fill="000000"/>
                <w:fitText w:val="120" w:id="-1505484273"/>
                <w14:textFill>
                  <w14:solidFill>
                    <w14:schemeClr w14:val="tx1">
                      <w14:alpha w14:val="100000"/>
                    </w14:schemeClr>
                  </w14:solidFill>
                </w14:textFill>
              </w:rPr>
              <w:t xml:space="preserve">　</w:t>
            </w:r>
            <w:r w:rsidR="000962EC" w:rsidRPr="000962EC">
              <w:rPr>
                <w:rFonts w:ascii="Arial Narrow" w:hAnsi="Arial Narrow" w:cs="Calibri"/>
                <w:color w:val="000000" w:themeColor="text1"/>
                <w:w w:val="30"/>
                <w:sz w:val="18"/>
                <w:szCs w:val="18"/>
                <w:shd w:val="solid" w:color="000000" w:fill="000000"/>
                <w:fitText w:val="120" w:id="-1505484273"/>
                <w14:textFill>
                  <w14:solidFill>
                    <w14:schemeClr w14:val="tx1">
                      <w14:alpha w14:val="100000"/>
                    </w14:schemeClr>
                  </w14:solidFill>
                </w14:textFill>
              </w:rPr>
              <w:t>|</w:t>
            </w:r>
            <w:r w:rsidR="000962EC" w:rsidRPr="000962EC">
              <w:rPr>
                <w:rFonts w:ascii="Arial Narrow" w:hAnsi="Arial Narrow" w:cs="Calibri" w:hint="eastAsia"/>
                <w:color w:val="000000" w:themeColor="text1"/>
                <w:spacing w:val="1"/>
                <w:w w:val="30"/>
                <w:sz w:val="18"/>
                <w:szCs w:val="18"/>
                <w:shd w:val="solid" w:color="000000" w:fill="000000"/>
                <w:fitText w:val="120" w:id="-1505484273"/>
                <w14:textFill>
                  <w14:solidFill>
                    <w14:schemeClr w14:val="tx1">
                      <w14:alpha w14:val="100000"/>
                    </w14:schemeClr>
                  </w14:solidFill>
                </w14:textFill>
              </w:rPr>
              <w:t xml:space="preserve">　</w:t>
            </w:r>
            <w:r w:rsidR="00924F36">
              <w:rPr>
                <w:rFonts w:ascii="Arial Narrow" w:hAnsi="Arial Narrow" w:cs="Calibri"/>
                <w:sz w:val="18"/>
                <w:szCs w:val="18"/>
                <w:vertAlign w:val="superscript"/>
              </w:rPr>
              <w:t>3</w:t>
            </w:r>
          </w:p>
        </w:tc>
        <w:tc>
          <w:tcPr>
            <w:tcW w:w="597" w:type="pct"/>
            <w:tcBorders>
              <w:top w:val="nil"/>
              <w:left w:val="nil"/>
              <w:bottom w:val="single" w:sz="4" w:space="0" w:color="auto"/>
              <w:right w:val="single" w:sz="4" w:space="0" w:color="auto"/>
            </w:tcBorders>
            <w:shd w:val="clear" w:color="auto" w:fill="auto"/>
            <w:vAlign w:val="bottom"/>
          </w:tcPr>
          <w:p w14:paraId="27B9F00C" w14:textId="7CA14009" w:rsidR="00EC0514" w:rsidRPr="00C72593" w:rsidRDefault="00EC0514" w:rsidP="000A55FF">
            <w:pPr>
              <w:pStyle w:val="Tabletext0"/>
              <w:jc w:val="center"/>
              <w:rPr>
                <w:rFonts w:ascii="Arial Narrow" w:hAnsi="Arial Narrow" w:cs="Calibri"/>
                <w:color w:val="000000" w:themeColor="text1"/>
                <w:sz w:val="18"/>
                <w:szCs w:val="18"/>
              </w:rPr>
            </w:pPr>
            <w:r w:rsidRPr="00C72593">
              <w:rPr>
                <w:rFonts w:ascii="Arial Narrow" w:hAnsi="Arial Narrow" w:cs="Calibri"/>
                <w:color w:val="000000" w:themeColor="text1"/>
                <w:sz w:val="18"/>
                <w:szCs w:val="18"/>
              </w:rPr>
              <w:t>-</w:t>
            </w:r>
            <w:r w:rsidR="000962EC" w:rsidRPr="000962EC">
              <w:rPr>
                <w:rFonts w:ascii="Arial Narrow" w:hAnsi="Arial Narrow" w:cs="Calibri" w:hint="eastAsia"/>
                <w:color w:val="000000" w:themeColor="text1"/>
                <w:w w:val="30"/>
                <w:sz w:val="18"/>
                <w:szCs w:val="18"/>
                <w:shd w:val="solid" w:color="000000" w:fill="000000"/>
                <w:fitText w:val="120" w:id="-1505484272"/>
                <w14:textFill>
                  <w14:solidFill>
                    <w14:schemeClr w14:val="tx1">
                      <w14:alpha w14:val="100000"/>
                    </w14:schemeClr>
                  </w14:solidFill>
                </w14:textFill>
              </w:rPr>
              <w:t xml:space="preserve">　</w:t>
            </w:r>
            <w:r w:rsidR="000962EC" w:rsidRPr="000962EC">
              <w:rPr>
                <w:rFonts w:ascii="Arial Narrow" w:hAnsi="Arial Narrow" w:cs="Calibri"/>
                <w:color w:val="000000" w:themeColor="text1"/>
                <w:w w:val="30"/>
                <w:sz w:val="18"/>
                <w:szCs w:val="18"/>
                <w:shd w:val="solid" w:color="000000" w:fill="000000"/>
                <w:fitText w:val="120" w:id="-1505484272"/>
                <w14:textFill>
                  <w14:solidFill>
                    <w14:schemeClr w14:val="tx1">
                      <w14:alpha w14:val="100000"/>
                    </w14:schemeClr>
                  </w14:solidFill>
                </w14:textFill>
              </w:rPr>
              <w:t>|</w:t>
            </w:r>
            <w:r w:rsidR="000962EC" w:rsidRPr="000962EC">
              <w:rPr>
                <w:rFonts w:ascii="Arial Narrow" w:hAnsi="Arial Narrow" w:cs="Calibri" w:hint="eastAsia"/>
                <w:color w:val="000000" w:themeColor="text1"/>
                <w:spacing w:val="1"/>
                <w:w w:val="30"/>
                <w:sz w:val="18"/>
                <w:szCs w:val="18"/>
                <w:shd w:val="solid" w:color="000000" w:fill="000000"/>
                <w:fitText w:val="120" w:id="-1505484272"/>
                <w14:textFill>
                  <w14:solidFill>
                    <w14:schemeClr w14:val="tx1">
                      <w14:alpha w14:val="100000"/>
                    </w14:schemeClr>
                  </w14:solidFill>
                </w14:textFill>
              </w:rPr>
              <w:t xml:space="preserve">　</w:t>
            </w:r>
            <w:r w:rsidR="00924F36" w:rsidRPr="008C6AE2">
              <w:rPr>
                <w:rFonts w:ascii="Arial Narrow" w:hAnsi="Arial Narrow" w:cs="Calibri"/>
                <w:sz w:val="18"/>
                <w:szCs w:val="18"/>
                <w:vertAlign w:val="superscript"/>
              </w:rPr>
              <w:t>1</w:t>
            </w:r>
          </w:p>
        </w:tc>
        <w:tc>
          <w:tcPr>
            <w:tcW w:w="597" w:type="pct"/>
            <w:tcBorders>
              <w:top w:val="nil"/>
              <w:left w:val="nil"/>
              <w:bottom w:val="single" w:sz="4" w:space="0" w:color="auto"/>
              <w:right w:val="single" w:sz="4" w:space="0" w:color="auto"/>
            </w:tcBorders>
            <w:shd w:val="clear" w:color="auto" w:fill="auto"/>
            <w:vAlign w:val="bottom"/>
          </w:tcPr>
          <w:p w14:paraId="233ACD6F" w14:textId="5CCCE756" w:rsidR="00EC0514" w:rsidRPr="00C72593" w:rsidRDefault="00EC0514" w:rsidP="000A55FF">
            <w:pPr>
              <w:pStyle w:val="Tabletext0"/>
              <w:jc w:val="center"/>
              <w:rPr>
                <w:rFonts w:ascii="Arial Narrow" w:hAnsi="Arial Narrow" w:cs="Calibri"/>
                <w:color w:val="000000" w:themeColor="text1"/>
                <w:sz w:val="18"/>
                <w:szCs w:val="18"/>
              </w:rPr>
            </w:pPr>
            <w:r w:rsidRPr="00C72593">
              <w:rPr>
                <w:rFonts w:ascii="Arial Narrow" w:hAnsi="Arial Narrow" w:cs="Calibri"/>
                <w:color w:val="000000" w:themeColor="text1"/>
                <w:sz w:val="18"/>
                <w:szCs w:val="18"/>
              </w:rPr>
              <w:t>-</w:t>
            </w:r>
            <w:r w:rsidR="000962EC" w:rsidRPr="000962EC">
              <w:rPr>
                <w:rFonts w:ascii="Arial Narrow" w:hAnsi="Arial Narrow" w:cs="Calibri" w:hint="eastAsia"/>
                <w:color w:val="000000" w:themeColor="text1"/>
                <w:w w:val="30"/>
                <w:sz w:val="18"/>
                <w:szCs w:val="18"/>
                <w:shd w:val="solid" w:color="000000" w:fill="000000"/>
                <w:fitText w:val="120" w:id="-1505484288"/>
                <w14:textFill>
                  <w14:solidFill>
                    <w14:schemeClr w14:val="tx1">
                      <w14:alpha w14:val="100000"/>
                    </w14:schemeClr>
                  </w14:solidFill>
                </w14:textFill>
              </w:rPr>
              <w:t xml:space="preserve">　</w:t>
            </w:r>
            <w:r w:rsidR="000962EC" w:rsidRPr="000962EC">
              <w:rPr>
                <w:rFonts w:ascii="Arial Narrow" w:hAnsi="Arial Narrow" w:cs="Calibri"/>
                <w:color w:val="000000" w:themeColor="text1"/>
                <w:w w:val="30"/>
                <w:sz w:val="18"/>
                <w:szCs w:val="18"/>
                <w:shd w:val="solid" w:color="000000" w:fill="000000"/>
                <w:fitText w:val="120" w:id="-1505484288"/>
                <w14:textFill>
                  <w14:solidFill>
                    <w14:schemeClr w14:val="tx1">
                      <w14:alpha w14:val="100000"/>
                    </w14:schemeClr>
                  </w14:solidFill>
                </w14:textFill>
              </w:rPr>
              <w:t>|</w:t>
            </w:r>
            <w:r w:rsidR="000962EC" w:rsidRPr="000962EC">
              <w:rPr>
                <w:rFonts w:ascii="Arial Narrow" w:hAnsi="Arial Narrow" w:cs="Calibri" w:hint="eastAsia"/>
                <w:color w:val="000000" w:themeColor="text1"/>
                <w:spacing w:val="1"/>
                <w:w w:val="30"/>
                <w:sz w:val="18"/>
                <w:szCs w:val="18"/>
                <w:shd w:val="solid" w:color="000000" w:fill="000000"/>
                <w:fitText w:val="120" w:id="-1505484288"/>
                <w14:textFill>
                  <w14:solidFill>
                    <w14:schemeClr w14:val="tx1">
                      <w14:alpha w14:val="100000"/>
                    </w14:schemeClr>
                  </w14:solidFill>
                </w14:textFill>
              </w:rPr>
              <w:t xml:space="preserve">　</w:t>
            </w:r>
            <w:r w:rsidR="00924F36">
              <w:rPr>
                <w:rFonts w:ascii="Arial Narrow" w:hAnsi="Arial Narrow" w:cs="Calibri"/>
                <w:sz w:val="18"/>
                <w:szCs w:val="18"/>
                <w:vertAlign w:val="superscript"/>
              </w:rPr>
              <w:t>4</w:t>
            </w:r>
          </w:p>
        </w:tc>
        <w:tc>
          <w:tcPr>
            <w:tcW w:w="604" w:type="pct"/>
            <w:tcBorders>
              <w:top w:val="nil"/>
              <w:left w:val="nil"/>
              <w:bottom w:val="single" w:sz="4" w:space="0" w:color="auto"/>
              <w:right w:val="single" w:sz="4" w:space="0" w:color="auto"/>
            </w:tcBorders>
            <w:shd w:val="clear" w:color="auto" w:fill="auto"/>
            <w:vAlign w:val="bottom"/>
          </w:tcPr>
          <w:p w14:paraId="21E7E355" w14:textId="17DAAB5D" w:rsidR="00EC0514" w:rsidRPr="00C72593" w:rsidRDefault="00EC0514" w:rsidP="000A55FF">
            <w:pPr>
              <w:pStyle w:val="Tabletext0"/>
              <w:jc w:val="center"/>
              <w:rPr>
                <w:rFonts w:ascii="Arial Narrow" w:hAnsi="Arial Narrow" w:cs="Calibri"/>
                <w:color w:val="000000" w:themeColor="text1"/>
                <w:sz w:val="18"/>
                <w:szCs w:val="18"/>
              </w:rPr>
            </w:pPr>
            <w:r w:rsidRPr="00C72593">
              <w:rPr>
                <w:rFonts w:ascii="Arial Narrow" w:hAnsi="Arial Narrow" w:cs="Calibri"/>
                <w:color w:val="000000" w:themeColor="text1"/>
                <w:sz w:val="18"/>
                <w:szCs w:val="18"/>
              </w:rPr>
              <w:t>-</w:t>
            </w:r>
            <w:r w:rsidR="000962EC" w:rsidRPr="000962EC">
              <w:rPr>
                <w:rFonts w:ascii="Arial Narrow" w:hAnsi="Arial Narrow" w:cs="Calibri" w:hint="eastAsia"/>
                <w:color w:val="000000" w:themeColor="text1"/>
                <w:spacing w:val="10"/>
                <w:w w:val="28"/>
                <w:sz w:val="18"/>
                <w:szCs w:val="18"/>
                <w:shd w:val="solid" w:color="000000" w:fill="000000"/>
                <w:fitText w:val="113" w:id="-1505484287"/>
                <w14:textFill>
                  <w14:solidFill>
                    <w14:schemeClr w14:val="tx1">
                      <w14:alpha w14:val="100000"/>
                    </w14:schemeClr>
                  </w14:solidFill>
                </w14:textFill>
              </w:rPr>
              <w:t xml:space="preserve">　</w:t>
            </w:r>
            <w:r w:rsidR="000962EC" w:rsidRPr="000962EC">
              <w:rPr>
                <w:rFonts w:ascii="Arial Narrow" w:hAnsi="Arial Narrow" w:cs="Calibri"/>
                <w:color w:val="000000" w:themeColor="text1"/>
                <w:w w:val="28"/>
                <w:sz w:val="18"/>
                <w:szCs w:val="18"/>
                <w:shd w:val="solid" w:color="000000" w:fill="000000"/>
                <w:fitText w:val="113" w:id="-1505484287"/>
                <w14:textFill>
                  <w14:solidFill>
                    <w14:schemeClr w14:val="tx1">
                      <w14:alpha w14:val="100000"/>
                    </w14:schemeClr>
                  </w14:solidFill>
                </w14:textFill>
              </w:rPr>
              <w:t>|</w:t>
            </w:r>
            <w:r w:rsidR="000962EC" w:rsidRPr="000962EC">
              <w:rPr>
                <w:rFonts w:ascii="Arial Narrow" w:hAnsi="Arial Narrow" w:cs="Calibri" w:hint="eastAsia"/>
                <w:color w:val="000000" w:themeColor="text1"/>
                <w:w w:val="28"/>
                <w:sz w:val="18"/>
                <w:szCs w:val="18"/>
                <w:shd w:val="solid" w:color="000000" w:fill="000000"/>
                <w:fitText w:val="113" w:id="-1505484287"/>
                <w14:textFill>
                  <w14:solidFill>
                    <w14:schemeClr w14:val="tx1">
                      <w14:alpha w14:val="100000"/>
                    </w14:schemeClr>
                  </w14:solidFill>
                </w14:textFill>
              </w:rPr>
              <w:t xml:space="preserve">　</w:t>
            </w:r>
            <w:r w:rsidR="00924F36">
              <w:rPr>
                <w:rFonts w:ascii="Arial Narrow" w:hAnsi="Arial Narrow" w:cs="Calibri"/>
                <w:sz w:val="18"/>
                <w:szCs w:val="18"/>
                <w:vertAlign w:val="superscript"/>
              </w:rPr>
              <w:t>4</w:t>
            </w:r>
          </w:p>
        </w:tc>
        <w:tc>
          <w:tcPr>
            <w:tcW w:w="665" w:type="pct"/>
            <w:tcBorders>
              <w:top w:val="nil"/>
              <w:left w:val="nil"/>
              <w:bottom w:val="single" w:sz="4" w:space="0" w:color="auto"/>
              <w:right w:val="single" w:sz="4" w:space="0" w:color="auto"/>
            </w:tcBorders>
            <w:shd w:val="clear" w:color="auto" w:fill="auto"/>
            <w:vAlign w:val="bottom"/>
          </w:tcPr>
          <w:p w14:paraId="5808FCB5" w14:textId="413DE1C3" w:rsidR="00EC0514" w:rsidRPr="00C72593" w:rsidRDefault="00EC0514" w:rsidP="000A55FF">
            <w:pPr>
              <w:pStyle w:val="Tabletext0"/>
              <w:jc w:val="center"/>
              <w:rPr>
                <w:rFonts w:ascii="Arial Narrow" w:hAnsi="Arial Narrow" w:cs="Calibri"/>
                <w:color w:val="000000" w:themeColor="text1"/>
                <w:sz w:val="18"/>
                <w:szCs w:val="18"/>
              </w:rPr>
            </w:pPr>
            <w:r w:rsidRPr="00C72593">
              <w:rPr>
                <w:rFonts w:ascii="Arial Narrow" w:hAnsi="Arial Narrow" w:cs="Calibri"/>
                <w:color w:val="000000" w:themeColor="text1"/>
                <w:sz w:val="18"/>
                <w:szCs w:val="18"/>
              </w:rPr>
              <w:t>-</w:t>
            </w:r>
            <w:r w:rsidR="000962EC" w:rsidRPr="000962EC">
              <w:rPr>
                <w:rFonts w:ascii="Arial Narrow" w:hAnsi="Arial Narrow" w:cs="Calibri" w:hint="eastAsia"/>
                <w:color w:val="000000" w:themeColor="text1"/>
                <w:w w:val="15"/>
                <w:sz w:val="18"/>
                <w:szCs w:val="18"/>
                <w:shd w:val="solid" w:color="000000" w:fill="000000"/>
                <w:fitText w:val="46" w:id="-1505484286"/>
                <w14:textFill>
                  <w14:solidFill>
                    <w14:schemeClr w14:val="tx1">
                      <w14:alpha w14:val="100000"/>
                    </w14:schemeClr>
                  </w14:solidFill>
                </w14:textFill>
              </w:rPr>
              <w:t xml:space="preserve">　</w:t>
            </w:r>
            <w:r w:rsidR="000962EC" w:rsidRPr="000962EC">
              <w:rPr>
                <w:rFonts w:ascii="Arial Narrow" w:hAnsi="Arial Narrow" w:cs="Calibri"/>
                <w:color w:val="000000" w:themeColor="text1"/>
                <w:w w:val="15"/>
                <w:sz w:val="18"/>
                <w:szCs w:val="18"/>
                <w:shd w:val="solid" w:color="000000" w:fill="000000"/>
                <w:fitText w:val="46" w:id="-1505484286"/>
                <w14:textFill>
                  <w14:solidFill>
                    <w14:schemeClr w14:val="tx1">
                      <w14:alpha w14:val="100000"/>
                    </w14:schemeClr>
                  </w14:solidFill>
                </w14:textFill>
              </w:rPr>
              <w:t>|</w:t>
            </w:r>
            <w:r w:rsidR="000962EC" w:rsidRPr="000962EC">
              <w:rPr>
                <w:rFonts w:ascii="Arial Narrow" w:hAnsi="Arial Narrow" w:cs="Calibri" w:hint="eastAsia"/>
                <w:color w:val="000000" w:themeColor="text1"/>
                <w:spacing w:val="-13"/>
                <w:w w:val="15"/>
                <w:sz w:val="18"/>
                <w:szCs w:val="18"/>
                <w:shd w:val="solid" w:color="000000" w:fill="000000"/>
                <w:fitText w:val="46" w:id="-1505484286"/>
                <w14:textFill>
                  <w14:solidFill>
                    <w14:schemeClr w14:val="tx1">
                      <w14:alpha w14:val="100000"/>
                    </w14:schemeClr>
                  </w14:solidFill>
                </w14:textFill>
              </w:rPr>
              <w:t xml:space="preserve">　</w:t>
            </w:r>
            <w:r w:rsidR="00924F36">
              <w:rPr>
                <w:rFonts w:ascii="Arial Narrow" w:hAnsi="Arial Narrow" w:cs="Calibri"/>
                <w:sz w:val="18"/>
                <w:szCs w:val="18"/>
                <w:vertAlign w:val="superscript"/>
              </w:rPr>
              <w:t>6</w:t>
            </w:r>
          </w:p>
        </w:tc>
      </w:tr>
    </w:tbl>
    <w:p w14:paraId="7E77FD89" w14:textId="2098A436" w:rsidR="00662854" w:rsidRDefault="00EC0514" w:rsidP="00AC4669">
      <w:pPr>
        <w:pStyle w:val="TableBullet"/>
        <w:numPr>
          <w:ilvl w:val="0"/>
          <w:numId w:val="0"/>
        </w:numPr>
        <w:spacing w:after="0"/>
        <w:rPr>
          <w:sz w:val="18"/>
          <w:szCs w:val="18"/>
        </w:rPr>
      </w:pPr>
      <w:r w:rsidRPr="009E592B">
        <w:rPr>
          <w:sz w:val="18"/>
          <w:szCs w:val="18"/>
        </w:rPr>
        <w:t>Source: Table 5 of the main submission, Attachment 4 Sheet ‘Base case combined SGLT2-I’.</w:t>
      </w:r>
      <w:r w:rsidRPr="009E592B">
        <w:rPr>
          <w:sz w:val="18"/>
          <w:szCs w:val="18"/>
        </w:rPr>
        <w:br/>
      </w:r>
      <w:r w:rsidR="00713418">
        <w:rPr>
          <w:sz w:val="18"/>
          <w:szCs w:val="18"/>
        </w:rPr>
        <w:t>Note</w:t>
      </w:r>
      <w:r w:rsidRPr="009E592B">
        <w:rPr>
          <w:sz w:val="18"/>
          <w:szCs w:val="18"/>
        </w:rPr>
        <w:t xml:space="preserve">: *2027 estimates not included in Executed Deed for </w:t>
      </w:r>
      <w:proofErr w:type="spellStart"/>
      <w:r w:rsidRPr="009E592B">
        <w:rPr>
          <w:sz w:val="18"/>
          <w:szCs w:val="18"/>
        </w:rPr>
        <w:t>HFrEF</w:t>
      </w:r>
      <w:proofErr w:type="spellEnd"/>
      <w:r w:rsidRPr="009E592B">
        <w:rPr>
          <w:sz w:val="18"/>
          <w:szCs w:val="18"/>
        </w:rPr>
        <w:t>.</w:t>
      </w:r>
    </w:p>
    <w:p w14:paraId="2FE30868" w14:textId="77777777" w:rsidR="00A33F64" w:rsidRPr="009A6D58" w:rsidRDefault="00A33F64" w:rsidP="00A33F64">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54D07AA" w14:textId="77777777" w:rsidR="00A33F64" w:rsidRPr="00A33F64" w:rsidRDefault="00A33F64" w:rsidP="00A33F64">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A33F64">
        <w:rPr>
          <w:rFonts w:ascii="Arial Narrow" w:hAnsi="Arial Narrow" w:cs="Arial"/>
          <w:i/>
          <w:sz w:val="18"/>
          <w:szCs w:val="18"/>
        </w:rPr>
        <w:t>$10 million to &lt; $20 million</w:t>
      </w:r>
    </w:p>
    <w:p w14:paraId="28AD87B6" w14:textId="54E72046" w:rsidR="00A33F64" w:rsidRPr="00A33F64" w:rsidRDefault="00A33F64">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A33F64">
        <w:rPr>
          <w:rFonts w:ascii="Arial Narrow" w:hAnsi="Arial Narrow" w:cs="Arial"/>
          <w:i/>
          <w:sz w:val="18"/>
          <w:szCs w:val="18"/>
        </w:rPr>
        <w:t>$200 million to &lt; $300 million</w:t>
      </w:r>
    </w:p>
    <w:p w14:paraId="6E7534D2" w14:textId="4A8544E8" w:rsidR="00A33F64" w:rsidRDefault="00A33F64" w:rsidP="00A33F64">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A33F64">
        <w:rPr>
          <w:rFonts w:ascii="Arial Narrow" w:hAnsi="Arial Narrow" w:cs="Arial"/>
          <w:i/>
          <w:sz w:val="18"/>
          <w:szCs w:val="18"/>
        </w:rPr>
        <w:t>$0 to &lt; $10 million</w:t>
      </w:r>
    </w:p>
    <w:p w14:paraId="21785D78" w14:textId="6E196EF9" w:rsidR="00A33F64" w:rsidRDefault="00A33F64" w:rsidP="00A33F64">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A33F64">
        <w:rPr>
          <w:rFonts w:ascii="Arial Narrow" w:hAnsi="Arial Narrow" w:cs="Arial"/>
          <w:i/>
          <w:sz w:val="18"/>
          <w:szCs w:val="18"/>
        </w:rPr>
        <w:t>$20 million to &lt; $30 million</w:t>
      </w:r>
    </w:p>
    <w:p w14:paraId="21A67DC4" w14:textId="04F7870F" w:rsidR="00A33F64" w:rsidRDefault="00A33F64" w:rsidP="00A33F64">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00BD5D8B" w:rsidRPr="00A33F64">
        <w:rPr>
          <w:rFonts w:ascii="Arial Narrow" w:hAnsi="Arial Narrow" w:cs="Arial"/>
          <w:i/>
          <w:sz w:val="18"/>
          <w:szCs w:val="18"/>
        </w:rPr>
        <w:t>$300 million to &lt; $400 million</w:t>
      </w:r>
    </w:p>
    <w:p w14:paraId="0B339263" w14:textId="784BC3C3" w:rsidR="00A33F64" w:rsidRDefault="00A33F64" w:rsidP="00A33F64">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00BD5D8B" w:rsidRPr="00A33F64">
        <w:rPr>
          <w:rFonts w:ascii="Arial Narrow" w:hAnsi="Arial Narrow" w:cs="Arial"/>
          <w:i/>
          <w:sz w:val="18"/>
          <w:szCs w:val="18"/>
        </w:rPr>
        <w:t>$30 million to &lt; $40 million</w:t>
      </w:r>
    </w:p>
    <w:p w14:paraId="1AE07486" w14:textId="6588E290" w:rsidR="00A33F64" w:rsidRDefault="00A33F64" w:rsidP="00AC4669">
      <w:pPr>
        <w:pStyle w:val="TableBullet"/>
        <w:numPr>
          <w:ilvl w:val="0"/>
          <w:numId w:val="0"/>
        </w:numPr>
        <w:spacing w:before="0" w:after="0"/>
        <w:rPr>
          <w:sz w:val="18"/>
          <w:szCs w:val="18"/>
        </w:rPr>
      </w:pPr>
      <w:r w:rsidRPr="00AC4669">
        <w:rPr>
          <w:i/>
          <w:iCs/>
          <w:sz w:val="18"/>
          <w:szCs w:val="18"/>
          <w:vertAlign w:val="superscript"/>
        </w:rPr>
        <w:t>7</w:t>
      </w:r>
      <w:r>
        <w:rPr>
          <w:sz w:val="18"/>
          <w:szCs w:val="18"/>
        </w:rPr>
        <w:t xml:space="preserve"> </w:t>
      </w:r>
      <w:r w:rsidR="00BD5D8B" w:rsidRPr="00A33F64">
        <w:rPr>
          <w:i/>
          <w:sz w:val="18"/>
          <w:szCs w:val="18"/>
        </w:rPr>
        <w:t>$40 million to &lt; $50 million</w:t>
      </w:r>
    </w:p>
    <w:p w14:paraId="55E31CCA" w14:textId="77777777" w:rsidR="00BD5D8B" w:rsidRPr="00A33F64" w:rsidRDefault="00A33F64" w:rsidP="00BD5D8B">
      <w:pPr>
        <w:rPr>
          <w:rFonts w:ascii="Arial Narrow" w:hAnsi="Arial Narrow" w:cs="Arial"/>
          <w:i/>
          <w:sz w:val="18"/>
          <w:szCs w:val="18"/>
        </w:rPr>
      </w:pPr>
      <w:r w:rsidRPr="00AC4669">
        <w:rPr>
          <w:rFonts w:ascii="Arial Narrow" w:hAnsi="Arial Narrow"/>
          <w:i/>
          <w:iCs/>
          <w:sz w:val="18"/>
          <w:szCs w:val="18"/>
          <w:vertAlign w:val="superscript"/>
        </w:rPr>
        <w:t>8</w:t>
      </w:r>
      <w:r>
        <w:rPr>
          <w:sz w:val="18"/>
          <w:szCs w:val="18"/>
        </w:rPr>
        <w:t xml:space="preserve"> </w:t>
      </w:r>
      <w:r w:rsidR="00BD5D8B" w:rsidRPr="00A33F64">
        <w:rPr>
          <w:rFonts w:ascii="Arial Narrow" w:hAnsi="Arial Narrow" w:cs="Arial"/>
          <w:i/>
          <w:sz w:val="18"/>
          <w:szCs w:val="18"/>
        </w:rPr>
        <w:t>$400 million to &lt; $500 million</w:t>
      </w:r>
    </w:p>
    <w:p w14:paraId="6166C93F" w14:textId="77777777" w:rsidR="00BD5D8B" w:rsidRPr="00A33F64" w:rsidRDefault="00A33F64" w:rsidP="00BD5D8B">
      <w:pPr>
        <w:rPr>
          <w:rFonts w:ascii="Arial Narrow" w:hAnsi="Arial Narrow" w:cs="Arial"/>
          <w:i/>
          <w:sz w:val="18"/>
          <w:szCs w:val="18"/>
        </w:rPr>
      </w:pPr>
      <w:r w:rsidRPr="00AC4669">
        <w:rPr>
          <w:rFonts w:ascii="Arial Narrow" w:hAnsi="Arial Narrow"/>
          <w:i/>
          <w:iCs/>
          <w:sz w:val="18"/>
          <w:szCs w:val="18"/>
          <w:vertAlign w:val="superscript"/>
        </w:rPr>
        <w:t>9</w:t>
      </w:r>
      <w:r>
        <w:rPr>
          <w:sz w:val="18"/>
          <w:szCs w:val="18"/>
        </w:rPr>
        <w:t xml:space="preserve"> </w:t>
      </w:r>
      <w:r w:rsidR="00BD5D8B" w:rsidRPr="00A33F64">
        <w:rPr>
          <w:rFonts w:ascii="Arial Narrow" w:hAnsi="Arial Narrow" w:cs="Arial"/>
          <w:i/>
          <w:sz w:val="18"/>
          <w:szCs w:val="18"/>
        </w:rPr>
        <w:t>$50 million to &lt; $60 million</w:t>
      </w:r>
    </w:p>
    <w:p w14:paraId="16D01584" w14:textId="7D0A6E40" w:rsidR="00BD5D8B" w:rsidRPr="00A33F64" w:rsidRDefault="00A33F64" w:rsidP="00BD5D8B">
      <w:pPr>
        <w:rPr>
          <w:rFonts w:ascii="Arial Narrow" w:hAnsi="Arial Narrow" w:cs="Arial"/>
          <w:i/>
          <w:sz w:val="18"/>
          <w:szCs w:val="18"/>
        </w:rPr>
      </w:pPr>
      <w:r w:rsidRPr="00AC4669">
        <w:rPr>
          <w:rFonts w:ascii="Arial Narrow" w:hAnsi="Arial Narrow"/>
          <w:i/>
          <w:iCs/>
          <w:sz w:val="18"/>
          <w:szCs w:val="18"/>
          <w:vertAlign w:val="superscript"/>
        </w:rPr>
        <w:t>10</w:t>
      </w:r>
      <w:r>
        <w:rPr>
          <w:sz w:val="18"/>
          <w:szCs w:val="18"/>
        </w:rPr>
        <w:t xml:space="preserve"> </w:t>
      </w:r>
      <w:r w:rsidR="00BD5D8B" w:rsidRPr="00A33F64">
        <w:rPr>
          <w:rFonts w:ascii="Arial Narrow" w:hAnsi="Arial Narrow" w:cs="Arial"/>
          <w:i/>
          <w:sz w:val="18"/>
          <w:szCs w:val="18"/>
        </w:rPr>
        <w:t>$500 million to &lt; $600 million</w:t>
      </w:r>
    </w:p>
    <w:p w14:paraId="0E3D505E" w14:textId="77777777" w:rsidR="00BD5D8B" w:rsidRPr="009A6D58" w:rsidRDefault="00A33F64" w:rsidP="00BD5D8B">
      <w:pPr>
        <w:rPr>
          <w:rFonts w:ascii="Arial Narrow" w:hAnsi="Arial Narrow" w:cs="Arial"/>
          <w:i/>
          <w:sz w:val="18"/>
          <w:szCs w:val="18"/>
        </w:rPr>
      </w:pPr>
      <w:r w:rsidRPr="00AC4669">
        <w:rPr>
          <w:rFonts w:ascii="Arial Narrow" w:hAnsi="Arial Narrow"/>
          <w:i/>
          <w:iCs/>
          <w:sz w:val="18"/>
          <w:szCs w:val="18"/>
          <w:vertAlign w:val="superscript"/>
        </w:rPr>
        <w:t>11</w:t>
      </w:r>
      <w:r>
        <w:rPr>
          <w:sz w:val="18"/>
          <w:szCs w:val="18"/>
        </w:rPr>
        <w:t xml:space="preserve"> </w:t>
      </w:r>
      <w:r w:rsidR="00BD5D8B" w:rsidRPr="00A33F64">
        <w:rPr>
          <w:rFonts w:ascii="Arial Narrow" w:hAnsi="Arial Narrow" w:cs="Arial"/>
          <w:i/>
          <w:sz w:val="18"/>
          <w:szCs w:val="18"/>
        </w:rPr>
        <w:t>$</w:t>
      </w:r>
      <w:r w:rsidR="00BD5D8B">
        <w:rPr>
          <w:rFonts w:ascii="Arial Narrow" w:hAnsi="Arial Narrow" w:cs="Arial"/>
          <w:i/>
          <w:sz w:val="18"/>
          <w:szCs w:val="18"/>
        </w:rPr>
        <w:t>6</w:t>
      </w:r>
      <w:r w:rsidR="00BD5D8B" w:rsidRPr="00A33F64">
        <w:rPr>
          <w:rFonts w:ascii="Arial Narrow" w:hAnsi="Arial Narrow" w:cs="Arial"/>
          <w:i/>
          <w:sz w:val="18"/>
          <w:szCs w:val="18"/>
        </w:rPr>
        <w:t>0 million to &lt; $</w:t>
      </w:r>
      <w:r w:rsidR="00BD5D8B">
        <w:rPr>
          <w:rFonts w:ascii="Arial Narrow" w:hAnsi="Arial Narrow" w:cs="Arial"/>
          <w:i/>
          <w:sz w:val="18"/>
          <w:szCs w:val="18"/>
        </w:rPr>
        <w:t>7</w:t>
      </w:r>
      <w:r w:rsidR="00BD5D8B" w:rsidRPr="00A33F64">
        <w:rPr>
          <w:rFonts w:ascii="Arial Narrow" w:hAnsi="Arial Narrow" w:cs="Arial"/>
          <w:i/>
          <w:sz w:val="18"/>
          <w:szCs w:val="18"/>
        </w:rPr>
        <w:t>0 million</w:t>
      </w:r>
    </w:p>
    <w:p w14:paraId="3B6146D9" w14:textId="4839695C" w:rsidR="00A33F64" w:rsidRPr="00AC4669" w:rsidRDefault="00A33F64" w:rsidP="00AC4669">
      <w:pPr>
        <w:spacing w:after="240"/>
        <w:rPr>
          <w:i/>
          <w:sz w:val="18"/>
          <w:szCs w:val="18"/>
        </w:rPr>
      </w:pPr>
      <w:r w:rsidRPr="00AC4669">
        <w:rPr>
          <w:rFonts w:ascii="Arial Narrow" w:hAnsi="Arial Narrow"/>
          <w:i/>
          <w:iCs/>
          <w:sz w:val="18"/>
          <w:szCs w:val="18"/>
          <w:vertAlign w:val="superscript"/>
        </w:rPr>
        <w:t>12</w:t>
      </w:r>
      <w:r>
        <w:rPr>
          <w:sz w:val="18"/>
          <w:szCs w:val="18"/>
        </w:rPr>
        <w:t xml:space="preserve"> </w:t>
      </w:r>
      <w:r w:rsidR="00BD5D8B" w:rsidRPr="00A33F64">
        <w:rPr>
          <w:rFonts w:ascii="Arial Narrow" w:hAnsi="Arial Narrow" w:cs="Arial"/>
          <w:i/>
          <w:sz w:val="18"/>
          <w:szCs w:val="18"/>
        </w:rPr>
        <w:t>$600 million to &lt; $700 million</w:t>
      </w:r>
    </w:p>
    <w:p w14:paraId="36FE4275" w14:textId="3B3BC16B" w:rsidR="00AC6353" w:rsidRPr="00AC6353" w:rsidRDefault="00AC6353" w:rsidP="00DB1BAD">
      <w:pPr>
        <w:pStyle w:val="3Bodytext"/>
        <w:jc w:val="both"/>
        <w:rPr>
          <w:iCs/>
        </w:rPr>
      </w:pPr>
      <w:r w:rsidRPr="00AC6353">
        <w:rPr>
          <w:i/>
          <w:iCs/>
        </w:rPr>
        <w:t>For more detail on PBAC’s view, see section</w:t>
      </w:r>
      <w:r w:rsidR="00DD1D7B">
        <w:rPr>
          <w:i/>
          <w:iCs/>
        </w:rPr>
        <w:t xml:space="preserve"> 6 </w:t>
      </w:r>
      <w:r w:rsidRPr="00AC6353">
        <w:rPr>
          <w:i/>
          <w:iCs/>
        </w:rPr>
        <w:t xml:space="preserve">PBAC outcome. </w:t>
      </w:r>
    </w:p>
    <w:p w14:paraId="7B7F08E8" w14:textId="0F8AC8A5" w:rsidR="00D7795E" w:rsidRDefault="00F010F3" w:rsidP="004257C2">
      <w:pPr>
        <w:pStyle w:val="2-SectionHeading"/>
        <w:numPr>
          <w:ilvl w:val="0"/>
          <w:numId w:val="41"/>
        </w:numPr>
        <w:ind w:left="709" w:hanging="709"/>
        <w:rPr>
          <w:rFonts w:eastAsiaTheme="majorEastAsia"/>
          <w:lang w:eastAsia="en-US"/>
        </w:rPr>
      </w:pPr>
      <w:r w:rsidRPr="004257C2">
        <w:t>PBAC</w:t>
      </w:r>
      <w:r>
        <w:rPr>
          <w:rFonts w:eastAsiaTheme="majorEastAsia"/>
          <w:lang w:eastAsia="en-US"/>
        </w:rPr>
        <w:t xml:space="preserve"> Outcome</w:t>
      </w:r>
    </w:p>
    <w:p w14:paraId="19649EC1" w14:textId="57D9C0B6" w:rsidR="006F5F6F" w:rsidRPr="004770D8" w:rsidRDefault="005A24B8" w:rsidP="004257C2">
      <w:pPr>
        <w:widowControl w:val="0"/>
        <w:numPr>
          <w:ilvl w:val="1"/>
          <w:numId w:val="41"/>
        </w:numPr>
        <w:spacing w:after="120"/>
        <w:ind w:hanging="720"/>
        <w:rPr>
          <w:rFonts w:asciiTheme="minorHAnsi" w:hAnsiTheme="minorHAnsi" w:cs="Arial"/>
          <w:snapToGrid w:val="0"/>
          <w:lang w:val="en-GB"/>
        </w:rPr>
      </w:pPr>
      <w:r w:rsidRPr="004770D8">
        <w:rPr>
          <w:rFonts w:asciiTheme="minorHAnsi" w:hAnsiTheme="minorHAnsi" w:cs="Arial"/>
          <w:snapToGrid w:val="0"/>
          <w:lang w:val="en-GB"/>
        </w:rPr>
        <w:t xml:space="preserve">The PBAC </w:t>
      </w:r>
      <w:r>
        <w:rPr>
          <w:rFonts w:asciiTheme="minorHAnsi" w:hAnsiTheme="minorHAnsi" w:cs="Arial"/>
          <w:snapToGrid w:val="0"/>
          <w:lang w:val="en-GB"/>
        </w:rPr>
        <w:t>recommended</w:t>
      </w:r>
      <w:r w:rsidRPr="004770D8">
        <w:rPr>
          <w:rFonts w:asciiTheme="minorHAnsi" w:hAnsiTheme="minorHAnsi" w:cs="Arial"/>
          <w:snapToGrid w:val="0"/>
          <w:lang w:val="en-GB"/>
        </w:rPr>
        <w:t xml:space="preserve"> </w:t>
      </w:r>
      <w:r w:rsidR="008B3FB9" w:rsidRPr="004770D8">
        <w:rPr>
          <w:rFonts w:asciiTheme="minorHAnsi" w:hAnsiTheme="minorHAnsi" w:cs="Arial"/>
          <w:snapToGrid w:val="0"/>
          <w:lang w:val="en-GB"/>
        </w:rPr>
        <w:t xml:space="preserve">the </w:t>
      </w:r>
      <w:r w:rsidRPr="004770D8">
        <w:rPr>
          <w:rFonts w:asciiTheme="minorHAnsi" w:hAnsiTheme="minorHAnsi" w:cs="Arial"/>
          <w:snapToGrid w:val="0"/>
          <w:lang w:val="en-GB"/>
        </w:rPr>
        <w:t xml:space="preserve">listing of </w:t>
      </w:r>
      <w:r w:rsidR="00952B46" w:rsidRPr="004770D8">
        <w:rPr>
          <w:rFonts w:asciiTheme="minorHAnsi" w:hAnsiTheme="minorHAnsi" w:cs="Arial"/>
          <w:snapToGrid w:val="0"/>
          <w:lang w:val="en-GB"/>
        </w:rPr>
        <w:t>dapagliflozin</w:t>
      </w:r>
      <w:r w:rsidRPr="004770D8">
        <w:rPr>
          <w:rFonts w:asciiTheme="minorHAnsi" w:hAnsiTheme="minorHAnsi" w:cs="Arial"/>
          <w:snapToGrid w:val="0"/>
          <w:lang w:val="en-GB"/>
        </w:rPr>
        <w:t xml:space="preserve"> </w:t>
      </w:r>
      <w:r w:rsidR="008B3FB9" w:rsidRPr="004770D8">
        <w:rPr>
          <w:rFonts w:asciiTheme="minorHAnsi" w:hAnsiTheme="minorHAnsi" w:cs="Arial"/>
          <w:snapToGrid w:val="0"/>
          <w:lang w:val="en-GB"/>
        </w:rPr>
        <w:t xml:space="preserve">for the treatment of </w:t>
      </w:r>
      <w:r w:rsidR="00952B46" w:rsidRPr="004770D8">
        <w:rPr>
          <w:rFonts w:asciiTheme="minorHAnsi" w:hAnsiTheme="minorHAnsi" w:cs="Arial"/>
          <w:snapToGrid w:val="0"/>
          <w:lang w:val="en-GB"/>
        </w:rPr>
        <w:t>chronic kidney disease</w:t>
      </w:r>
      <w:r w:rsidR="008E0702">
        <w:rPr>
          <w:rFonts w:asciiTheme="minorHAnsi" w:hAnsiTheme="minorHAnsi" w:cs="Arial"/>
          <w:snapToGrid w:val="0"/>
          <w:lang w:val="en-GB"/>
        </w:rPr>
        <w:t xml:space="preserve"> (CKD), noting that the resubmission provided </w:t>
      </w:r>
      <w:r w:rsidR="008E0702" w:rsidRPr="008E0702">
        <w:rPr>
          <w:rFonts w:asciiTheme="minorHAnsi" w:hAnsiTheme="minorHAnsi" w:cs="Arial"/>
          <w:snapToGrid w:val="0"/>
          <w:lang w:val="en-GB"/>
        </w:rPr>
        <w:t xml:space="preserve">revised financial estimates for CKD </w:t>
      </w:r>
      <w:r w:rsidR="008E0702">
        <w:rPr>
          <w:rFonts w:asciiTheme="minorHAnsi" w:hAnsiTheme="minorHAnsi" w:cs="Arial"/>
          <w:snapToGrid w:val="0"/>
          <w:lang w:val="en-GB"/>
        </w:rPr>
        <w:t xml:space="preserve">consistent </w:t>
      </w:r>
      <w:r w:rsidR="008E0702" w:rsidRPr="008E0702">
        <w:rPr>
          <w:rFonts w:asciiTheme="minorHAnsi" w:hAnsiTheme="minorHAnsi" w:cs="Arial"/>
          <w:snapToGrid w:val="0"/>
          <w:lang w:val="en-GB"/>
        </w:rPr>
        <w:t>with</w:t>
      </w:r>
      <w:r w:rsidR="008E0702">
        <w:rPr>
          <w:rFonts w:asciiTheme="minorHAnsi" w:hAnsiTheme="minorHAnsi" w:cs="Arial"/>
          <w:snapToGrid w:val="0"/>
          <w:lang w:val="en-GB"/>
        </w:rPr>
        <w:t xml:space="preserve"> the</w:t>
      </w:r>
      <w:r w:rsidR="008E0702" w:rsidRPr="008E0702">
        <w:rPr>
          <w:rFonts w:asciiTheme="minorHAnsi" w:hAnsiTheme="minorHAnsi" w:cs="Arial"/>
          <w:snapToGrid w:val="0"/>
          <w:lang w:val="en-GB"/>
        </w:rPr>
        <w:t xml:space="preserve"> inputs and assumptions </w:t>
      </w:r>
      <w:r w:rsidR="008E0702">
        <w:rPr>
          <w:rFonts w:asciiTheme="minorHAnsi" w:hAnsiTheme="minorHAnsi" w:cs="Arial"/>
          <w:snapToGrid w:val="0"/>
          <w:lang w:val="en-GB"/>
        </w:rPr>
        <w:t>advised</w:t>
      </w:r>
      <w:r w:rsidR="008E0702" w:rsidRPr="008E0702">
        <w:rPr>
          <w:rFonts w:asciiTheme="minorHAnsi" w:hAnsiTheme="minorHAnsi" w:cs="Arial"/>
          <w:snapToGrid w:val="0"/>
          <w:lang w:val="en-GB"/>
        </w:rPr>
        <w:t xml:space="preserve"> by </w:t>
      </w:r>
      <w:r w:rsidR="008E0702">
        <w:rPr>
          <w:rFonts w:asciiTheme="minorHAnsi" w:hAnsiTheme="minorHAnsi" w:cs="Arial"/>
          <w:snapToGrid w:val="0"/>
          <w:lang w:val="en-GB"/>
        </w:rPr>
        <w:t xml:space="preserve">the </w:t>
      </w:r>
      <w:r w:rsidR="008E0702" w:rsidRPr="008E0702">
        <w:rPr>
          <w:rFonts w:asciiTheme="minorHAnsi" w:hAnsiTheme="minorHAnsi" w:cs="Arial"/>
          <w:snapToGrid w:val="0"/>
          <w:lang w:val="en-GB"/>
        </w:rPr>
        <w:t>PBAC in November</w:t>
      </w:r>
      <w:r w:rsidR="008E0702">
        <w:rPr>
          <w:rFonts w:asciiTheme="minorHAnsi" w:hAnsiTheme="minorHAnsi" w:cs="Arial"/>
          <w:snapToGrid w:val="0"/>
          <w:lang w:val="en-GB"/>
        </w:rPr>
        <w:t> </w:t>
      </w:r>
      <w:r w:rsidR="008E0702" w:rsidRPr="008E0702">
        <w:rPr>
          <w:rFonts w:asciiTheme="minorHAnsi" w:hAnsiTheme="minorHAnsi" w:cs="Arial"/>
          <w:snapToGrid w:val="0"/>
          <w:lang w:val="en-GB"/>
        </w:rPr>
        <w:t>2021</w:t>
      </w:r>
      <w:r w:rsidR="00952B46" w:rsidRPr="004770D8">
        <w:rPr>
          <w:rFonts w:asciiTheme="minorHAnsi" w:hAnsiTheme="minorHAnsi" w:cs="Arial"/>
          <w:snapToGrid w:val="0"/>
          <w:lang w:val="en-GB"/>
        </w:rPr>
        <w:t>.</w:t>
      </w:r>
    </w:p>
    <w:p w14:paraId="11C0B4D2" w14:textId="02902EA3" w:rsidR="00952B46" w:rsidRPr="004770D8" w:rsidRDefault="00152434" w:rsidP="004257C2">
      <w:pPr>
        <w:widowControl w:val="0"/>
        <w:numPr>
          <w:ilvl w:val="1"/>
          <w:numId w:val="41"/>
        </w:numPr>
        <w:spacing w:after="120"/>
        <w:ind w:hanging="720"/>
        <w:rPr>
          <w:bCs/>
          <w:lang w:val="en-GB"/>
        </w:rPr>
      </w:pPr>
      <w:r w:rsidRPr="004770D8">
        <w:rPr>
          <w:lang w:val="en-GB"/>
        </w:rPr>
        <w:t xml:space="preserve">The PBAC </w:t>
      </w:r>
      <w:r w:rsidR="00CC7D00" w:rsidRPr="004770D8">
        <w:rPr>
          <w:lang w:val="en-GB"/>
        </w:rPr>
        <w:t>noted standard care as the main comparator.</w:t>
      </w:r>
    </w:p>
    <w:p w14:paraId="54DBD451" w14:textId="29A51B52" w:rsidR="00CC7D00" w:rsidRPr="00FD639F" w:rsidRDefault="00CC7D00" w:rsidP="004257C2">
      <w:pPr>
        <w:widowControl w:val="0"/>
        <w:numPr>
          <w:ilvl w:val="1"/>
          <w:numId w:val="41"/>
        </w:numPr>
        <w:spacing w:after="120"/>
        <w:ind w:hanging="720"/>
        <w:rPr>
          <w:rFonts w:asciiTheme="minorHAnsi" w:hAnsiTheme="minorHAnsi"/>
          <w:bCs/>
          <w:lang w:val="en-GB"/>
        </w:rPr>
      </w:pPr>
      <w:r w:rsidRPr="004257C2">
        <w:t>The</w:t>
      </w:r>
      <w:r>
        <w:rPr>
          <w:rFonts w:asciiTheme="minorHAnsi" w:hAnsiTheme="minorHAnsi" w:cs="Arial"/>
          <w:snapToGrid w:val="0"/>
          <w:lang w:val="en-GB"/>
        </w:rPr>
        <w:t xml:space="preserve"> PBAC </w:t>
      </w:r>
      <w:r w:rsidR="00D71711">
        <w:rPr>
          <w:rFonts w:asciiTheme="minorHAnsi" w:hAnsiTheme="minorHAnsi" w:cs="Arial"/>
          <w:snapToGrid w:val="0"/>
          <w:lang w:val="en-GB"/>
        </w:rPr>
        <w:t>reiterated that the listing</w:t>
      </w:r>
      <w:r>
        <w:rPr>
          <w:rFonts w:asciiTheme="minorHAnsi" w:hAnsiTheme="minorHAnsi" w:cs="Arial"/>
          <w:snapToGrid w:val="0"/>
          <w:lang w:val="en-GB"/>
        </w:rPr>
        <w:t xml:space="preserve"> for chronic kidney disease would be </w:t>
      </w:r>
      <w:r w:rsidR="00D71711">
        <w:rPr>
          <w:rFonts w:asciiTheme="minorHAnsi" w:hAnsiTheme="minorHAnsi" w:cs="Arial"/>
          <w:snapToGrid w:val="0"/>
          <w:lang w:val="en-GB"/>
        </w:rPr>
        <w:t xml:space="preserve">cost-effective at the price proposed, </w:t>
      </w:r>
      <w:proofErr w:type="gramStart"/>
      <w:r w:rsidR="00D71711">
        <w:rPr>
          <w:rFonts w:asciiTheme="minorHAnsi" w:hAnsiTheme="minorHAnsi" w:cs="Arial"/>
          <w:snapToGrid w:val="0"/>
          <w:lang w:val="en-GB"/>
        </w:rPr>
        <w:t>i.e.</w:t>
      </w:r>
      <w:proofErr w:type="gramEnd"/>
      <w:r w:rsidR="00D71711">
        <w:rPr>
          <w:rFonts w:asciiTheme="minorHAnsi" w:hAnsiTheme="minorHAnsi" w:cs="Arial"/>
          <w:snapToGrid w:val="0"/>
          <w:lang w:val="en-GB"/>
        </w:rPr>
        <w:t xml:space="preserve"> at </w:t>
      </w:r>
      <w:r>
        <w:rPr>
          <w:rFonts w:asciiTheme="minorHAnsi" w:hAnsiTheme="minorHAnsi" w:cs="Arial"/>
          <w:snapToGrid w:val="0"/>
          <w:lang w:val="en-GB"/>
        </w:rPr>
        <w:t xml:space="preserve">the </w:t>
      </w:r>
      <w:r w:rsidR="000962EC">
        <w:rPr>
          <w:color w:val="000000"/>
          <w:shd w:val="solid" w:color="000000" w:fill="000000"/>
          <w:lang w:eastAsia="en-US"/>
          <w14:textFill>
            <w14:solidFill>
              <w14:srgbClr w14:val="000000">
                <w14:alpha w14:val="100000"/>
              </w14:srgbClr>
            </w14:solidFill>
          </w14:textFill>
        </w:rPr>
        <w:t xml:space="preserve">    </w:t>
      </w:r>
      <w:r w:rsidR="000962EC" w:rsidRPr="008A3930">
        <w:rPr>
          <w:color w:val="000000"/>
          <w:w w:val="15"/>
          <w:shd w:val="solid" w:color="000000" w:fill="000000"/>
          <w:fitText w:val="-20" w:id="-1505484285"/>
          <w:lang w:eastAsia="en-US"/>
          <w14:textFill>
            <w14:solidFill>
              <w14:srgbClr w14:val="000000">
                <w14:alpha w14:val="100000"/>
              </w14:srgbClr>
            </w14:solidFill>
          </w14:textFill>
        </w:rPr>
        <w:t xml:space="preserve">  </w:t>
      </w:r>
      <w:r w:rsidR="000962EC" w:rsidRPr="008A3930">
        <w:rPr>
          <w:color w:val="000000"/>
          <w:spacing w:val="-52"/>
          <w:w w:val="15"/>
          <w:shd w:val="solid" w:color="000000" w:fill="000000"/>
          <w:fitText w:val="-20" w:id="-1505484285"/>
          <w:lang w:eastAsia="en-US"/>
          <w14:textFill>
            <w14:solidFill>
              <w14:srgbClr w14:val="000000">
                <w14:alpha w14:val="100000"/>
              </w14:srgbClr>
            </w14:solidFill>
          </w14:textFill>
        </w:rPr>
        <w:t>|</w:t>
      </w:r>
      <w:r w:rsidRPr="00966364">
        <w:rPr>
          <w:lang w:eastAsia="en-US"/>
        </w:rPr>
        <w:t xml:space="preserve"> PBS price for dapagliflozin for </w:t>
      </w:r>
      <w:r w:rsidR="000962EC">
        <w:rPr>
          <w:color w:val="000000"/>
          <w:shd w:val="solid" w:color="000000" w:fill="000000"/>
          <w:lang w:eastAsia="en-US"/>
          <w14:textFill>
            <w14:solidFill>
              <w14:srgbClr w14:val="000000">
                <w14:alpha w14:val="100000"/>
              </w14:srgbClr>
            </w14:solidFill>
          </w14:textFill>
        </w:rPr>
        <w:t xml:space="preserve">    </w:t>
      </w:r>
      <w:r w:rsidR="000962EC" w:rsidRPr="008A3930">
        <w:rPr>
          <w:color w:val="000000"/>
          <w:w w:val="15"/>
          <w:shd w:val="solid" w:color="000000" w:fill="000000"/>
          <w:fitText w:val="-20" w:id="-1505484284"/>
          <w:lang w:eastAsia="en-US"/>
          <w14:textFill>
            <w14:solidFill>
              <w14:srgbClr w14:val="000000">
                <w14:alpha w14:val="100000"/>
              </w14:srgbClr>
            </w14:solidFill>
          </w14:textFill>
        </w:rPr>
        <w:t xml:space="preserve">  </w:t>
      </w:r>
      <w:r w:rsidR="000962EC" w:rsidRPr="008A3930">
        <w:rPr>
          <w:color w:val="000000"/>
          <w:spacing w:val="-52"/>
          <w:w w:val="15"/>
          <w:shd w:val="solid" w:color="000000" w:fill="000000"/>
          <w:fitText w:val="-20" w:id="-1505484284"/>
          <w:lang w:eastAsia="en-US"/>
          <w14:textFill>
            <w14:solidFill>
              <w14:srgbClr w14:val="000000">
                <w14:alpha w14:val="100000"/>
              </w14:srgbClr>
            </w14:solidFill>
          </w14:textFill>
        </w:rPr>
        <w:t>|</w:t>
      </w:r>
      <w:r>
        <w:rPr>
          <w:lang w:eastAsia="en-US"/>
        </w:rPr>
        <w:t>.</w:t>
      </w:r>
    </w:p>
    <w:p w14:paraId="76AA2D9C" w14:textId="1E3035A1" w:rsidR="00FD639F" w:rsidRPr="00952B46" w:rsidRDefault="00FD639F" w:rsidP="004257C2">
      <w:pPr>
        <w:widowControl w:val="0"/>
        <w:numPr>
          <w:ilvl w:val="1"/>
          <w:numId w:val="41"/>
        </w:numPr>
        <w:spacing w:after="120"/>
        <w:ind w:hanging="720"/>
        <w:rPr>
          <w:rFonts w:asciiTheme="minorHAnsi" w:hAnsiTheme="minorHAnsi"/>
          <w:bCs/>
          <w:lang w:val="en-GB"/>
        </w:rPr>
      </w:pPr>
      <w:r>
        <w:rPr>
          <w:lang w:eastAsia="en-US"/>
        </w:rPr>
        <w:t xml:space="preserve">The PBAC did not accept the sponsor’s proposed </w:t>
      </w:r>
      <w:r w:rsidR="00E719B8">
        <w:rPr>
          <w:lang w:eastAsia="en-US"/>
        </w:rPr>
        <w:t xml:space="preserve">RSA </w:t>
      </w:r>
      <w:r>
        <w:rPr>
          <w:lang w:eastAsia="en-US"/>
        </w:rPr>
        <w:t xml:space="preserve">consisting of a combined </w:t>
      </w:r>
      <w:r>
        <w:t>expenditure</w:t>
      </w:r>
      <w:r>
        <w:rPr>
          <w:lang w:eastAsia="en-US"/>
        </w:rPr>
        <w:t xml:space="preserve"> cap</w:t>
      </w:r>
      <w:r w:rsidR="002B7914">
        <w:rPr>
          <w:lang w:eastAsia="en-US"/>
        </w:rPr>
        <w:t xml:space="preserve"> </w:t>
      </w:r>
      <w:r w:rsidR="002B7914">
        <w:t>for the three SGLT2-I indications,</w:t>
      </w:r>
      <w:r>
        <w:rPr>
          <w:lang w:eastAsia="en-US"/>
        </w:rPr>
        <w:t xml:space="preserve"> including the agreed financial estimates for CKD, the agreed utilisation caps for </w:t>
      </w:r>
      <w:proofErr w:type="spellStart"/>
      <w:r w:rsidRPr="009B443F">
        <w:t>HFrEF</w:t>
      </w:r>
      <w:proofErr w:type="spellEnd"/>
      <w:r w:rsidRPr="009B443F">
        <w:t xml:space="preserve"> and incorporating estimated utilisation for the currently listed T2DM indication</w:t>
      </w:r>
      <w:r w:rsidR="002B7914">
        <w:t xml:space="preserve">, and a </w:t>
      </w:r>
      <w:r w:rsidR="000962EC">
        <w:rPr>
          <w:color w:val="000000"/>
          <w:shd w:val="solid" w:color="000000" w:fill="000000"/>
          <w14:textFill>
            <w14:solidFill>
              <w14:srgbClr w14:val="000000">
                <w14:alpha w14:val="100000"/>
              </w14:srgbClr>
            </w14:solidFill>
          </w14:textFill>
        </w:rPr>
        <w:t xml:space="preserve">    </w:t>
      </w:r>
      <w:r w:rsidR="000962EC" w:rsidRPr="008A3930">
        <w:rPr>
          <w:color w:val="000000"/>
          <w:w w:val="15"/>
          <w:shd w:val="solid" w:color="000000" w:fill="000000"/>
          <w:fitText w:val="-20" w:id="-1505484283"/>
          <w14:textFill>
            <w14:solidFill>
              <w14:srgbClr w14:val="000000">
                <w14:alpha w14:val="100000"/>
              </w14:srgbClr>
            </w14:solidFill>
          </w14:textFill>
        </w:rPr>
        <w:t xml:space="preserve">  </w:t>
      </w:r>
      <w:r w:rsidR="000962EC" w:rsidRPr="008A3930">
        <w:rPr>
          <w:color w:val="000000"/>
          <w:spacing w:val="-52"/>
          <w:w w:val="15"/>
          <w:shd w:val="solid" w:color="000000" w:fill="000000"/>
          <w:fitText w:val="-20" w:id="-1505484283"/>
          <w14:textFill>
            <w14:solidFill>
              <w14:srgbClr w14:val="000000">
                <w14:alpha w14:val="100000"/>
              </w14:srgbClr>
            </w14:solidFill>
          </w14:textFill>
        </w:rPr>
        <w:t>|</w:t>
      </w:r>
      <w:r w:rsidR="002B7914">
        <w:t>% rebate of expenditure exceeding the combined expenditure cap</w:t>
      </w:r>
      <w:r>
        <w:t xml:space="preserve">. </w:t>
      </w:r>
      <w:r w:rsidR="00D71E78">
        <w:t xml:space="preserve">The PBAC noted the </w:t>
      </w:r>
      <w:r w:rsidR="00F24008">
        <w:t xml:space="preserve">outcomes of the cost-effectiveness review of SGLT2-I inhibitor medicines </w:t>
      </w:r>
      <w:r w:rsidR="008E0702">
        <w:t xml:space="preserve">also </w:t>
      </w:r>
      <w:r w:rsidR="002870F8">
        <w:t xml:space="preserve">considered at the March 2022 </w:t>
      </w:r>
      <w:r w:rsidR="0003552D">
        <w:t xml:space="preserve">PBAC </w:t>
      </w:r>
      <w:r w:rsidR="002870F8">
        <w:t>meeting. The PBAC</w:t>
      </w:r>
      <w:r w:rsidR="00F24008">
        <w:t xml:space="preserve"> </w:t>
      </w:r>
      <w:r w:rsidR="002870F8">
        <w:t xml:space="preserve">noted </w:t>
      </w:r>
      <w:r w:rsidR="00F24008">
        <w:t xml:space="preserve">that the </w:t>
      </w:r>
      <w:r w:rsidR="002870F8">
        <w:t>projected utilisation of SGLT2-I</w:t>
      </w:r>
      <w:r w:rsidR="000E0856">
        <w:t xml:space="preserve"> medicines for </w:t>
      </w:r>
      <w:r w:rsidR="000E0856">
        <w:lastRenderedPageBreak/>
        <w:t xml:space="preserve">T2DM presented in the cost-effectiveness review was substantially less than the T2DM forecast </w:t>
      </w:r>
      <w:r w:rsidR="00043977">
        <w:t>proposed for the</w:t>
      </w:r>
      <w:r w:rsidR="00775A97">
        <w:t xml:space="preserve"> expenditure caps</w:t>
      </w:r>
      <w:r w:rsidR="00043977">
        <w:t xml:space="preserve"> for the CKD listing. </w:t>
      </w:r>
      <w:r w:rsidR="008E0702">
        <w:t xml:space="preserve">The PBAC considered that the resubmission’s T2DM estimates </w:t>
      </w:r>
      <w:r w:rsidR="00D73548">
        <w:t>remained</w:t>
      </w:r>
      <w:r w:rsidR="008E0702">
        <w:t xml:space="preserve"> </w:t>
      </w:r>
      <w:r w:rsidR="00D73548">
        <w:t>likely substantially</w:t>
      </w:r>
      <w:r w:rsidR="008E0702">
        <w:t xml:space="preserve"> overestimated and did not provide a robust basis for setting RSA caps. </w:t>
      </w:r>
      <w:r w:rsidR="0003552D">
        <w:t>As such, t</w:t>
      </w:r>
      <w:r w:rsidR="00775A97">
        <w:t xml:space="preserve">he </w:t>
      </w:r>
      <w:r w:rsidR="00775A97" w:rsidRPr="00775A97">
        <w:t xml:space="preserve">PBAC </w:t>
      </w:r>
      <w:r w:rsidR="00775A97">
        <w:t xml:space="preserve">recommended that the expenditure caps for the </w:t>
      </w:r>
      <w:r w:rsidR="00E719B8">
        <w:t>RSA</w:t>
      </w:r>
      <w:r w:rsidR="00775A97">
        <w:t xml:space="preserve"> should only be based on the agreed financial estimates for CKD and the agreed utilisation caps for </w:t>
      </w:r>
      <w:proofErr w:type="spellStart"/>
      <w:r w:rsidR="00775A97">
        <w:t>HFrEF</w:t>
      </w:r>
      <w:proofErr w:type="spellEnd"/>
      <w:r w:rsidR="0003552D">
        <w:t xml:space="preserve">. The PBAC considered that </w:t>
      </w:r>
      <w:r w:rsidR="00775A97">
        <w:t xml:space="preserve">T2DM </w:t>
      </w:r>
      <w:r w:rsidR="0003552D">
        <w:t xml:space="preserve">should be excluded </w:t>
      </w:r>
      <w:r w:rsidR="009C0865">
        <w:t xml:space="preserve">from the expenditure caps </w:t>
      </w:r>
      <w:r w:rsidR="00775A97" w:rsidRPr="00775A97">
        <w:t xml:space="preserve">until appropriate financial estimates </w:t>
      </w:r>
      <w:r w:rsidR="00775A97">
        <w:t xml:space="preserve">for this indication to inform the </w:t>
      </w:r>
      <w:r w:rsidR="00ED038A">
        <w:t>RSA</w:t>
      </w:r>
      <w:r w:rsidR="00775A97" w:rsidRPr="00775A97">
        <w:t xml:space="preserve"> are resolved.</w:t>
      </w:r>
    </w:p>
    <w:p w14:paraId="43CEDDE6" w14:textId="46F3CB07" w:rsidR="00152434" w:rsidRPr="00952B46" w:rsidRDefault="00152434" w:rsidP="004257C2">
      <w:pPr>
        <w:widowControl w:val="0"/>
        <w:numPr>
          <w:ilvl w:val="1"/>
          <w:numId w:val="41"/>
        </w:numPr>
        <w:spacing w:after="120"/>
        <w:ind w:hanging="720"/>
        <w:rPr>
          <w:rFonts w:asciiTheme="minorHAnsi" w:hAnsiTheme="minorHAnsi"/>
          <w:bCs/>
          <w:lang w:val="en-GB"/>
        </w:rPr>
      </w:pPr>
      <w:r>
        <w:t>The PBAC noted that this submission is not eligible for an Independent Review as it received a positive recommendation.</w:t>
      </w:r>
    </w:p>
    <w:p w14:paraId="0374B88A" w14:textId="0F008D87" w:rsidR="003D7771" w:rsidRPr="00A176F7" w:rsidRDefault="003D7771" w:rsidP="00A176F7">
      <w:pPr>
        <w:widowControl w:val="0"/>
        <w:rPr>
          <w:rFonts w:asciiTheme="minorHAnsi" w:hAnsiTheme="minorHAnsi" w:cs="Arial"/>
          <w:b/>
          <w:bCs/>
          <w:snapToGrid w:val="0"/>
          <w:lang w:val="en-GB"/>
        </w:rPr>
      </w:pPr>
      <w:r w:rsidRPr="00A176F7">
        <w:rPr>
          <w:rFonts w:asciiTheme="minorHAnsi" w:hAnsiTheme="minorHAnsi" w:cs="Arial"/>
          <w:b/>
          <w:bCs/>
          <w:snapToGrid w:val="0"/>
          <w:lang w:val="en-GB"/>
        </w:rPr>
        <w:t>Outcome:</w:t>
      </w:r>
    </w:p>
    <w:p w14:paraId="5F6CDB61" w14:textId="41C96253" w:rsidR="003D7771" w:rsidRDefault="003D7771" w:rsidP="00A176F7">
      <w:pPr>
        <w:widowControl w:val="0"/>
        <w:rPr>
          <w:rFonts w:asciiTheme="minorHAnsi" w:hAnsiTheme="minorHAnsi" w:cs="Arial"/>
          <w:snapToGrid w:val="0"/>
          <w:lang w:val="en-GB"/>
        </w:rPr>
      </w:pPr>
      <w:r>
        <w:rPr>
          <w:rFonts w:asciiTheme="minorHAnsi" w:hAnsiTheme="minorHAnsi" w:cs="Arial"/>
          <w:snapToGrid w:val="0"/>
          <w:lang w:val="en-GB"/>
        </w:rPr>
        <w:t>Recommended</w:t>
      </w:r>
    </w:p>
    <w:p w14:paraId="04C3889E" w14:textId="77777777" w:rsidR="00A176F7" w:rsidRDefault="00A176F7" w:rsidP="00A176F7">
      <w:pPr>
        <w:widowControl w:val="0"/>
        <w:rPr>
          <w:rFonts w:asciiTheme="minorHAnsi" w:hAnsiTheme="minorHAnsi" w:cs="Arial"/>
          <w:b/>
          <w:bCs/>
          <w:snapToGrid w:val="0"/>
          <w:lang w:val="en-GB"/>
        </w:rPr>
      </w:pPr>
    </w:p>
    <w:p w14:paraId="498B4045" w14:textId="0D536EE7" w:rsidR="00A176F7" w:rsidRDefault="00A176F7" w:rsidP="004257C2">
      <w:pPr>
        <w:pStyle w:val="2-SectionHeading"/>
        <w:numPr>
          <w:ilvl w:val="0"/>
          <w:numId w:val="41"/>
        </w:numPr>
        <w:ind w:left="709" w:hanging="709"/>
      </w:pPr>
      <w:r>
        <w:t>Recommended listing</w:t>
      </w:r>
    </w:p>
    <w:p w14:paraId="77811C54" w14:textId="03692979" w:rsidR="00D3530E" w:rsidRDefault="00D3530E" w:rsidP="004257C2">
      <w:pPr>
        <w:widowControl w:val="0"/>
        <w:numPr>
          <w:ilvl w:val="1"/>
          <w:numId w:val="41"/>
        </w:numPr>
        <w:spacing w:after="120"/>
        <w:ind w:hanging="720"/>
        <w:contextualSpacing/>
        <w:rPr>
          <w:rFonts w:asciiTheme="minorHAnsi" w:hAnsiTheme="minorHAnsi"/>
          <w:bCs/>
          <w:snapToGrid w:val="0"/>
        </w:rPr>
      </w:pPr>
      <w:bookmarkStart w:id="2" w:name="_Hlk76377978"/>
      <w:r w:rsidRPr="00525B39">
        <w:rPr>
          <w:rFonts w:asciiTheme="minorHAnsi" w:hAnsiTheme="minorHAnsi"/>
          <w:bCs/>
          <w:snapToGrid w:val="0"/>
        </w:rPr>
        <w:t xml:space="preserve">Add new </w:t>
      </w:r>
      <w:r w:rsidR="00583244">
        <w:rPr>
          <w:rFonts w:asciiTheme="minorHAnsi" w:hAnsiTheme="minorHAnsi"/>
          <w:bCs/>
          <w:snapToGrid w:val="0"/>
        </w:rPr>
        <w:t>indication (13188 – Chronic kidney disease) as follows</w:t>
      </w:r>
      <w:r w:rsidRPr="00525B39">
        <w:rPr>
          <w:rFonts w:asciiTheme="minorHAnsi" w:hAnsiTheme="minorHAnsi"/>
          <w:bCs/>
          <w:snapToGrid w:val="0"/>
        </w:rPr>
        <w:t>:</w:t>
      </w:r>
    </w:p>
    <w:p w14:paraId="6697B856" w14:textId="519DBB50" w:rsidR="0096357A" w:rsidRPr="004B1FF6" w:rsidRDefault="0096357A" w:rsidP="004B1FF6">
      <w:pPr>
        <w:rPr>
          <w:rFonts w:cs="Calibr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424"/>
        <w:gridCol w:w="1276"/>
        <w:gridCol w:w="1276"/>
        <w:gridCol w:w="1559"/>
        <w:gridCol w:w="1417"/>
        <w:gridCol w:w="1134"/>
      </w:tblGrid>
      <w:tr w:rsidR="004B2885" w:rsidRPr="002348B5" w14:paraId="0985C705" w14:textId="77777777" w:rsidTr="00014858">
        <w:trPr>
          <w:cantSplit/>
          <w:trHeight w:val="20"/>
        </w:trPr>
        <w:tc>
          <w:tcPr>
            <w:tcW w:w="2405" w:type="dxa"/>
            <w:gridSpan w:val="2"/>
            <w:vAlign w:val="center"/>
          </w:tcPr>
          <w:bookmarkEnd w:id="2"/>
          <w:p w14:paraId="09B10303" w14:textId="77777777" w:rsidR="004B2885" w:rsidRPr="002348B5" w:rsidRDefault="004B2885" w:rsidP="00014858">
            <w:pPr>
              <w:pStyle w:val="TableHeading"/>
            </w:pPr>
            <w:r w:rsidRPr="002348B5">
              <w:t>MEDICINAL PRODUCT</w:t>
            </w:r>
          </w:p>
          <w:p w14:paraId="66CD33AC" w14:textId="77777777" w:rsidR="004B2885" w:rsidRPr="002348B5" w:rsidRDefault="004B2885" w:rsidP="00014858">
            <w:pPr>
              <w:pStyle w:val="TableHeading"/>
            </w:pPr>
            <w:r w:rsidRPr="002348B5">
              <w:t>medicinal product pack</w:t>
            </w:r>
          </w:p>
        </w:tc>
        <w:tc>
          <w:tcPr>
            <w:tcW w:w="1276" w:type="dxa"/>
            <w:vAlign w:val="center"/>
          </w:tcPr>
          <w:p w14:paraId="6944466B" w14:textId="77777777" w:rsidR="004B2885" w:rsidRPr="002348B5" w:rsidRDefault="004B2885" w:rsidP="00014858">
            <w:pPr>
              <w:pStyle w:val="TableHeading"/>
            </w:pPr>
            <w:r w:rsidRPr="002348B5">
              <w:t>PBS item code</w:t>
            </w:r>
          </w:p>
        </w:tc>
        <w:tc>
          <w:tcPr>
            <w:tcW w:w="1276" w:type="dxa"/>
            <w:vAlign w:val="center"/>
          </w:tcPr>
          <w:p w14:paraId="7B4E5727" w14:textId="77777777" w:rsidR="004B2885" w:rsidRPr="002348B5" w:rsidRDefault="004B2885" w:rsidP="00014858">
            <w:pPr>
              <w:pStyle w:val="TableHeading"/>
            </w:pPr>
            <w:r w:rsidRPr="002348B5">
              <w:t>Max. qty packs</w:t>
            </w:r>
          </w:p>
        </w:tc>
        <w:tc>
          <w:tcPr>
            <w:tcW w:w="1559" w:type="dxa"/>
            <w:vAlign w:val="center"/>
          </w:tcPr>
          <w:p w14:paraId="07725CAC" w14:textId="77777777" w:rsidR="004B2885" w:rsidRPr="002348B5" w:rsidRDefault="004B2885" w:rsidP="00014858">
            <w:pPr>
              <w:pStyle w:val="TableHeading"/>
            </w:pPr>
            <w:r w:rsidRPr="002348B5">
              <w:t>Max. qty units</w:t>
            </w:r>
          </w:p>
        </w:tc>
        <w:tc>
          <w:tcPr>
            <w:tcW w:w="1417" w:type="dxa"/>
            <w:vAlign w:val="center"/>
          </w:tcPr>
          <w:p w14:paraId="4959DC5E" w14:textId="77777777" w:rsidR="004B2885" w:rsidRPr="002348B5" w:rsidRDefault="004B2885" w:rsidP="00014858">
            <w:pPr>
              <w:pStyle w:val="TableHeading"/>
            </w:pPr>
            <w:proofErr w:type="gramStart"/>
            <w:r w:rsidRPr="002348B5">
              <w:t>№.of</w:t>
            </w:r>
            <w:proofErr w:type="gramEnd"/>
            <w:r w:rsidRPr="002348B5">
              <w:t xml:space="preserve"> </w:t>
            </w:r>
            <w:proofErr w:type="spellStart"/>
            <w:r w:rsidRPr="002348B5">
              <w:t>Rpts</w:t>
            </w:r>
            <w:proofErr w:type="spellEnd"/>
          </w:p>
        </w:tc>
        <w:tc>
          <w:tcPr>
            <w:tcW w:w="1134" w:type="dxa"/>
            <w:vAlign w:val="center"/>
          </w:tcPr>
          <w:p w14:paraId="1767F098" w14:textId="77777777" w:rsidR="004B2885" w:rsidRPr="002348B5" w:rsidRDefault="004B2885" w:rsidP="00014858">
            <w:pPr>
              <w:pStyle w:val="TableHeading"/>
              <w:rPr>
                <w:lang w:val="fr-FR"/>
              </w:rPr>
            </w:pPr>
            <w:r w:rsidRPr="002348B5">
              <w:t>Available brands</w:t>
            </w:r>
          </w:p>
        </w:tc>
      </w:tr>
      <w:tr w:rsidR="004B2885" w:rsidRPr="002348B5" w14:paraId="2793574E" w14:textId="77777777" w:rsidTr="00014858">
        <w:trPr>
          <w:cantSplit/>
          <w:trHeight w:val="20"/>
        </w:trPr>
        <w:tc>
          <w:tcPr>
            <w:tcW w:w="9067" w:type="dxa"/>
            <w:gridSpan w:val="7"/>
          </w:tcPr>
          <w:p w14:paraId="6C30CF73" w14:textId="77777777" w:rsidR="004B2885" w:rsidRPr="002348B5" w:rsidRDefault="004B2885" w:rsidP="00014858">
            <w:pPr>
              <w:pStyle w:val="TableText"/>
              <w:rPr>
                <w:szCs w:val="20"/>
              </w:rPr>
            </w:pPr>
            <w:r w:rsidRPr="002348B5">
              <w:rPr>
                <w:szCs w:val="20"/>
              </w:rPr>
              <w:t>DAPAGLIFLOZIN</w:t>
            </w:r>
          </w:p>
        </w:tc>
      </w:tr>
      <w:tr w:rsidR="004B2885" w:rsidRPr="002348B5" w14:paraId="1C85E953" w14:textId="77777777" w:rsidTr="00014858">
        <w:trPr>
          <w:cantSplit/>
          <w:trHeight w:val="20"/>
        </w:trPr>
        <w:tc>
          <w:tcPr>
            <w:tcW w:w="2405" w:type="dxa"/>
            <w:gridSpan w:val="2"/>
          </w:tcPr>
          <w:p w14:paraId="5A890DCC" w14:textId="77777777" w:rsidR="004B2885" w:rsidRPr="002348B5" w:rsidRDefault="004B2885" w:rsidP="00014858">
            <w:pPr>
              <w:pStyle w:val="TableText"/>
              <w:rPr>
                <w:szCs w:val="20"/>
              </w:rPr>
            </w:pPr>
            <w:r w:rsidRPr="002348B5">
              <w:rPr>
                <w:szCs w:val="20"/>
              </w:rPr>
              <w:t xml:space="preserve">dapagliflozin 10 mg tablet, 28 </w:t>
            </w:r>
          </w:p>
        </w:tc>
        <w:tc>
          <w:tcPr>
            <w:tcW w:w="1276" w:type="dxa"/>
          </w:tcPr>
          <w:p w14:paraId="56E3295E" w14:textId="77777777" w:rsidR="004B2885" w:rsidRPr="00EB6183" w:rsidRDefault="004B2885" w:rsidP="00014858">
            <w:pPr>
              <w:pStyle w:val="TableText"/>
              <w:rPr>
                <w:szCs w:val="20"/>
              </w:rPr>
            </w:pPr>
            <w:r>
              <w:rPr>
                <w:szCs w:val="20"/>
              </w:rPr>
              <w:t>NEW</w:t>
            </w:r>
          </w:p>
        </w:tc>
        <w:tc>
          <w:tcPr>
            <w:tcW w:w="1276" w:type="dxa"/>
          </w:tcPr>
          <w:p w14:paraId="63B6E851" w14:textId="77777777" w:rsidR="004B2885" w:rsidRPr="002348B5" w:rsidRDefault="004B2885" w:rsidP="00014858">
            <w:pPr>
              <w:pStyle w:val="TableText"/>
              <w:rPr>
                <w:szCs w:val="20"/>
              </w:rPr>
            </w:pPr>
            <w:r w:rsidRPr="002348B5">
              <w:rPr>
                <w:szCs w:val="20"/>
              </w:rPr>
              <w:t>1</w:t>
            </w:r>
          </w:p>
        </w:tc>
        <w:tc>
          <w:tcPr>
            <w:tcW w:w="1559" w:type="dxa"/>
          </w:tcPr>
          <w:p w14:paraId="7AFB5E36" w14:textId="77777777" w:rsidR="004B2885" w:rsidRPr="002348B5" w:rsidRDefault="004B2885" w:rsidP="00014858">
            <w:pPr>
              <w:pStyle w:val="TableText"/>
              <w:rPr>
                <w:szCs w:val="20"/>
              </w:rPr>
            </w:pPr>
            <w:r w:rsidRPr="002348B5">
              <w:rPr>
                <w:szCs w:val="20"/>
              </w:rPr>
              <w:t>28</w:t>
            </w:r>
          </w:p>
        </w:tc>
        <w:tc>
          <w:tcPr>
            <w:tcW w:w="1417" w:type="dxa"/>
          </w:tcPr>
          <w:p w14:paraId="185A4850" w14:textId="77777777" w:rsidR="004B2885" w:rsidRPr="002348B5" w:rsidRDefault="004B2885" w:rsidP="00014858">
            <w:pPr>
              <w:pStyle w:val="TableText"/>
              <w:rPr>
                <w:szCs w:val="20"/>
              </w:rPr>
            </w:pPr>
            <w:r w:rsidRPr="002348B5">
              <w:rPr>
                <w:szCs w:val="20"/>
              </w:rPr>
              <w:t>5</w:t>
            </w:r>
          </w:p>
        </w:tc>
        <w:tc>
          <w:tcPr>
            <w:tcW w:w="1134" w:type="dxa"/>
          </w:tcPr>
          <w:p w14:paraId="5A94E0EE" w14:textId="77777777" w:rsidR="004B2885" w:rsidRPr="002348B5" w:rsidRDefault="004B2885" w:rsidP="00014858">
            <w:pPr>
              <w:pStyle w:val="TableText"/>
              <w:rPr>
                <w:szCs w:val="20"/>
              </w:rPr>
            </w:pPr>
            <w:proofErr w:type="spellStart"/>
            <w:r w:rsidRPr="002348B5">
              <w:rPr>
                <w:szCs w:val="20"/>
              </w:rPr>
              <w:t>Forxiga</w:t>
            </w:r>
            <w:proofErr w:type="spellEnd"/>
          </w:p>
        </w:tc>
      </w:tr>
      <w:tr w:rsidR="004B2885" w:rsidRPr="002348B5" w14:paraId="47625D01" w14:textId="77777777" w:rsidTr="00014858">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854C6FA" w14:textId="77777777" w:rsidR="004B2885" w:rsidRPr="002348B5" w:rsidRDefault="004B2885" w:rsidP="00014858">
            <w:pPr>
              <w:pStyle w:val="TableText"/>
              <w:rPr>
                <w:szCs w:val="20"/>
              </w:rPr>
            </w:pPr>
          </w:p>
        </w:tc>
      </w:tr>
      <w:tr w:rsidR="004B2885" w:rsidRPr="002348B5" w14:paraId="6CB70A48" w14:textId="77777777" w:rsidTr="00014858">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2396D6B1" w14:textId="1D9928A9" w:rsidR="004B2885" w:rsidRPr="002348B5" w:rsidRDefault="004D7CA5" w:rsidP="00014858">
            <w:pPr>
              <w:pStyle w:val="TableHeading"/>
            </w:pPr>
            <w:r>
              <w:t>Add r</w:t>
            </w:r>
            <w:r w:rsidR="004B2885" w:rsidRPr="002348B5">
              <w:t xml:space="preserve">estriction Summary [new] / Treatment of Concept: [new] </w:t>
            </w:r>
          </w:p>
        </w:tc>
      </w:tr>
      <w:tr w:rsidR="004B2885" w:rsidRPr="002348B5" w14:paraId="573BDF32" w14:textId="77777777" w:rsidTr="00014858">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6CD42E30" w14:textId="2D6717C3" w:rsidR="004B2885" w:rsidRPr="002348B5" w:rsidRDefault="004B2885" w:rsidP="00014858">
            <w:pPr>
              <w:pStyle w:val="Tabletext0"/>
              <w:spacing w:after="0"/>
              <w:rPr>
                <w:rFonts w:ascii="Arial Narrow" w:hAnsi="Arial Narrow"/>
              </w:rPr>
            </w:pPr>
          </w:p>
        </w:tc>
        <w:tc>
          <w:tcPr>
            <w:tcW w:w="8086" w:type="dxa"/>
            <w:gridSpan w:val="6"/>
            <w:tcBorders>
              <w:top w:val="single" w:sz="4" w:space="0" w:color="auto"/>
              <w:left w:val="single" w:sz="4" w:space="0" w:color="auto"/>
              <w:bottom w:val="single" w:sz="4" w:space="0" w:color="auto"/>
              <w:right w:val="single" w:sz="4" w:space="0" w:color="auto"/>
            </w:tcBorders>
          </w:tcPr>
          <w:p w14:paraId="22FCCC71" w14:textId="77777777" w:rsidR="004B2885" w:rsidRPr="002348B5" w:rsidRDefault="004B2885" w:rsidP="00014858">
            <w:pPr>
              <w:pStyle w:val="Tabletext0"/>
              <w:spacing w:after="0"/>
              <w:rPr>
                <w:rFonts w:ascii="Arial Narrow" w:hAnsi="Arial Narrow"/>
              </w:rPr>
            </w:pPr>
            <w:r w:rsidRPr="002348B5">
              <w:rPr>
                <w:rFonts w:ascii="Arial Narrow" w:hAnsi="Arial Narrow"/>
                <w:b/>
                <w:bCs/>
              </w:rPr>
              <w:t>Category / Program:</w:t>
            </w:r>
            <w:r w:rsidRPr="002348B5">
              <w:rPr>
                <w:rFonts w:ascii="Arial Narrow" w:hAnsi="Arial Narrow"/>
              </w:rPr>
              <w:t xml:space="preserve"> GENERAL – General Schedule (Code GE) </w:t>
            </w:r>
          </w:p>
        </w:tc>
      </w:tr>
      <w:tr w:rsidR="004B2885" w:rsidRPr="002348B5" w14:paraId="326F04A5" w14:textId="77777777" w:rsidTr="00014858">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2EEE5A55" w14:textId="77777777" w:rsidR="004B2885" w:rsidRPr="002348B5" w:rsidRDefault="004B2885" w:rsidP="00014858">
            <w:pPr>
              <w:pStyle w:val="Tabletext0"/>
              <w:spacing w:after="0"/>
              <w:rPr>
                <w:rFonts w:ascii="Arial Narrow" w:hAnsi="Arial Narrow"/>
              </w:rPr>
            </w:pPr>
          </w:p>
        </w:tc>
        <w:tc>
          <w:tcPr>
            <w:tcW w:w="8086" w:type="dxa"/>
            <w:gridSpan w:val="6"/>
            <w:tcBorders>
              <w:top w:val="single" w:sz="4" w:space="0" w:color="auto"/>
              <w:left w:val="single" w:sz="4" w:space="0" w:color="auto"/>
              <w:bottom w:val="single" w:sz="4" w:space="0" w:color="auto"/>
              <w:right w:val="single" w:sz="4" w:space="0" w:color="auto"/>
            </w:tcBorders>
          </w:tcPr>
          <w:p w14:paraId="090C2834" w14:textId="77777777" w:rsidR="004B2885" w:rsidRPr="002348B5" w:rsidRDefault="004B2885" w:rsidP="00014858">
            <w:pPr>
              <w:pStyle w:val="Tabletext0"/>
              <w:spacing w:after="0"/>
              <w:rPr>
                <w:rFonts w:ascii="Arial Narrow" w:hAnsi="Arial Narrow"/>
              </w:rPr>
            </w:pPr>
            <w:r w:rsidRPr="002348B5">
              <w:rPr>
                <w:rFonts w:ascii="Arial Narrow" w:hAnsi="Arial Narrow"/>
                <w:b/>
                <w:bCs/>
              </w:rPr>
              <w:t>Prescriber type:</w:t>
            </w:r>
            <w:r w:rsidRPr="002348B5">
              <w:rPr>
                <w:rFonts w:ascii="Arial Narrow" w:hAnsi="Arial Narrow"/>
              </w:rPr>
              <w:t xml:space="preserve"> </w:t>
            </w:r>
            <w:r w:rsidRPr="002348B5">
              <w:rPr>
                <w:rFonts w:ascii="Arial Narrow" w:hAnsi="Arial Narrow"/>
              </w:rPr>
              <w:fldChar w:fldCharType="begin">
                <w:ffData>
                  <w:name w:val=""/>
                  <w:enabled/>
                  <w:calcOnExit w:val="0"/>
                  <w:checkBox>
                    <w:sizeAuto/>
                    <w:default w:val="1"/>
                  </w:checkBox>
                </w:ffData>
              </w:fldChar>
            </w:r>
            <w:r w:rsidRPr="002348B5">
              <w:rPr>
                <w:rFonts w:ascii="Arial Narrow" w:hAnsi="Arial Narrow"/>
              </w:rPr>
              <w:instrText xml:space="preserve"> FORMCHECKBOX </w:instrText>
            </w:r>
            <w:r w:rsidR="008A3930">
              <w:rPr>
                <w:rFonts w:ascii="Arial Narrow" w:hAnsi="Arial Narrow"/>
              </w:rPr>
            </w:r>
            <w:r w:rsidR="008A3930">
              <w:rPr>
                <w:rFonts w:ascii="Arial Narrow" w:hAnsi="Arial Narrow"/>
              </w:rPr>
              <w:fldChar w:fldCharType="separate"/>
            </w:r>
            <w:r w:rsidRPr="002348B5">
              <w:rPr>
                <w:rFonts w:ascii="Arial Narrow" w:hAnsi="Arial Narrow"/>
              </w:rPr>
              <w:fldChar w:fldCharType="end"/>
            </w:r>
            <w:r w:rsidRPr="002348B5">
              <w:rPr>
                <w:rFonts w:ascii="Arial Narrow" w:hAnsi="Arial Narrow"/>
              </w:rPr>
              <w:t xml:space="preserve">Medical Practitioners </w:t>
            </w:r>
            <w:r w:rsidRPr="002348B5">
              <w:rPr>
                <w:rFonts w:ascii="Arial Narrow" w:hAnsi="Arial Narrow"/>
              </w:rPr>
              <w:fldChar w:fldCharType="begin">
                <w:ffData>
                  <w:name w:val="Check3"/>
                  <w:enabled/>
                  <w:calcOnExit w:val="0"/>
                  <w:checkBox>
                    <w:sizeAuto/>
                    <w:default w:val="1"/>
                  </w:checkBox>
                </w:ffData>
              </w:fldChar>
            </w:r>
            <w:bookmarkStart w:id="3" w:name="Check3"/>
            <w:r w:rsidRPr="002348B5">
              <w:rPr>
                <w:rFonts w:ascii="Arial Narrow" w:hAnsi="Arial Narrow"/>
              </w:rPr>
              <w:instrText xml:space="preserve"> FORMCHECKBOX </w:instrText>
            </w:r>
            <w:r w:rsidR="008A3930">
              <w:rPr>
                <w:rFonts w:ascii="Arial Narrow" w:hAnsi="Arial Narrow"/>
              </w:rPr>
            </w:r>
            <w:r w:rsidR="008A3930">
              <w:rPr>
                <w:rFonts w:ascii="Arial Narrow" w:hAnsi="Arial Narrow"/>
              </w:rPr>
              <w:fldChar w:fldCharType="separate"/>
            </w:r>
            <w:r w:rsidRPr="002348B5">
              <w:rPr>
                <w:rFonts w:ascii="Arial Narrow" w:hAnsi="Arial Narrow"/>
              </w:rPr>
              <w:fldChar w:fldCharType="end"/>
            </w:r>
            <w:bookmarkEnd w:id="3"/>
            <w:r w:rsidRPr="002348B5">
              <w:rPr>
                <w:rFonts w:ascii="Arial Narrow" w:hAnsi="Arial Narrow"/>
              </w:rPr>
              <w:t>Nurse practitioners</w:t>
            </w:r>
          </w:p>
        </w:tc>
      </w:tr>
      <w:tr w:rsidR="004B2885" w:rsidRPr="002348B5" w14:paraId="6AF096C5" w14:textId="77777777" w:rsidTr="00014858">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6811F8CB" w14:textId="77777777" w:rsidR="004B2885" w:rsidRPr="002348B5" w:rsidRDefault="004B2885" w:rsidP="00014858">
            <w:pPr>
              <w:pStyle w:val="Tabletext0"/>
              <w:spacing w:after="0"/>
              <w:rPr>
                <w:rFonts w:ascii="Arial Narrow" w:hAnsi="Arial Narrow"/>
              </w:rPr>
            </w:pPr>
          </w:p>
        </w:tc>
        <w:tc>
          <w:tcPr>
            <w:tcW w:w="8086" w:type="dxa"/>
            <w:gridSpan w:val="6"/>
            <w:tcBorders>
              <w:top w:val="single" w:sz="4" w:space="0" w:color="auto"/>
              <w:left w:val="single" w:sz="4" w:space="0" w:color="auto"/>
              <w:bottom w:val="single" w:sz="4" w:space="0" w:color="auto"/>
              <w:right w:val="single" w:sz="4" w:space="0" w:color="auto"/>
            </w:tcBorders>
          </w:tcPr>
          <w:p w14:paraId="14826F32" w14:textId="77777777" w:rsidR="004B2885" w:rsidRPr="002348B5" w:rsidRDefault="004B2885" w:rsidP="00014858">
            <w:pPr>
              <w:pStyle w:val="Tabletext0"/>
              <w:spacing w:after="0"/>
              <w:rPr>
                <w:rFonts w:ascii="Arial Narrow" w:eastAsia="Calibri" w:hAnsi="Arial Narrow"/>
              </w:rPr>
            </w:pPr>
            <w:r w:rsidRPr="002348B5">
              <w:rPr>
                <w:rFonts w:ascii="Arial Narrow" w:hAnsi="Arial Narrow"/>
                <w:b/>
                <w:bCs/>
              </w:rPr>
              <w:t>Restriction type:</w:t>
            </w:r>
            <w:r w:rsidRPr="002348B5">
              <w:rPr>
                <w:rFonts w:ascii="Arial Narrow" w:hAnsi="Arial Narrow"/>
              </w:rPr>
              <w:t xml:space="preserve"> </w:t>
            </w:r>
            <w:r w:rsidRPr="002348B5">
              <w:rPr>
                <w:rFonts w:ascii="Arial Narrow" w:eastAsia="Calibri" w:hAnsi="Arial Narrow"/>
              </w:rPr>
              <w:fldChar w:fldCharType="begin">
                <w:ffData>
                  <w:name w:val=""/>
                  <w:enabled/>
                  <w:calcOnExit w:val="0"/>
                  <w:checkBox>
                    <w:sizeAuto/>
                    <w:default w:val="1"/>
                  </w:checkBox>
                </w:ffData>
              </w:fldChar>
            </w:r>
            <w:r w:rsidRPr="002348B5">
              <w:rPr>
                <w:rFonts w:ascii="Arial Narrow" w:eastAsia="Calibri" w:hAnsi="Arial Narrow"/>
              </w:rPr>
              <w:instrText xml:space="preserve"> FORMCHECKBOX </w:instrText>
            </w:r>
            <w:r w:rsidR="008A3930">
              <w:rPr>
                <w:rFonts w:ascii="Arial Narrow" w:eastAsia="Calibri" w:hAnsi="Arial Narrow"/>
              </w:rPr>
            </w:r>
            <w:r w:rsidR="008A3930">
              <w:rPr>
                <w:rFonts w:ascii="Arial Narrow" w:eastAsia="Calibri" w:hAnsi="Arial Narrow"/>
              </w:rPr>
              <w:fldChar w:fldCharType="separate"/>
            </w:r>
            <w:r w:rsidRPr="002348B5">
              <w:rPr>
                <w:rFonts w:ascii="Arial Narrow" w:eastAsia="Calibri" w:hAnsi="Arial Narrow"/>
              </w:rPr>
              <w:fldChar w:fldCharType="end"/>
            </w:r>
            <w:r w:rsidRPr="002348B5">
              <w:rPr>
                <w:rFonts w:ascii="Arial Narrow" w:eastAsia="Calibri" w:hAnsi="Arial Narrow"/>
              </w:rPr>
              <w:t>Authority Required – Streamlined [new code]</w:t>
            </w:r>
          </w:p>
        </w:tc>
      </w:tr>
      <w:tr w:rsidR="004B2885" w:rsidRPr="002348B5" w14:paraId="75CFC3DF" w14:textId="77777777" w:rsidTr="00763A39">
        <w:tblPrEx>
          <w:tblCellMar>
            <w:top w:w="15" w:type="dxa"/>
            <w:left w:w="15" w:type="dxa"/>
            <w:bottom w:w="15" w:type="dxa"/>
            <w:right w:w="15" w:type="dxa"/>
          </w:tblCellMar>
          <w:tblLook w:val="04A0" w:firstRow="1" w:lastRow="0" w:firstColumn="1" w:lastColumn="0" w:noHBand="0" w:noVBand="1"/>
        </w:tblPrEx>
        <w:tc>
          <w:tcPr>
            <w:tcW w:w="981" w:type="dxa"/>
            <w:vAlign w:val="center"/>
          </w:tcPr>
          <w:p w14:paraId="2AD4F9F4" w14:textId="670757B9" w:rsidR="004B2885" w:rsidRPr="002348B5" w:rsidRDefault="004B2885" w:rsidP="00014858">
            <w:pPr>
              <w:pStyle w:val="Tabletext0"/>
              <w:spacing w:after="0"/>
              <w:jc w:val="center"/>
              <w:rPr>
                <w:rFonts w:ascii="Arial Narrow" w:hAnsi="Arial Narrow"/>
              </w:rPr>
            </w:pPr>
          </w:p>
        </w:tc>
        <w:tc>
          <w:tcPr>
            <w:tcW w:w="8086" w:type="dxa"/>
            <w:gridSpan w:val="6"/>
            <w:vAlign w:val="center"/>
            <w:hideMark/>
          </w:tcPr>
          <w:p w14:paraId="4785DF2E" w14:textId="77777777" w:rsidR="004B2885" w:rsidRPr="002348B5" w:rsidRDefault="004B2885" w:rsidP="00014858">
            <w:pPr>
              <w:pStyle w:val="Tabletext0"/>
              <w:spacing w:after="0"/>
              <w:rPr>
                <w:rFonts w:ascii="Arial Narrow" w:hAnsi="Arial Narrow"/>
              </w:rPr>
            </w:pPr>
            <w:r w:rsidRPr="002348B5">
              <w:rPr>
                <w:rFonts w:ascii="Arial Narrow" w:hAnsi="Arial Narrow"/>
                <w:b/>
              </w:rPr>
              <w:t>Indication:</w:t>
            </w:r>
            <w:r w:rsidRPr="002348B5">
              <w:rPr>
                <w:rFonts w:ascii="Arial Narrow" w:hAnsi="Arial Narrow"/>
              </w:rPr>
              <w:t xml:space="preserve"> Chronic kidney disease</w:t>
            </w:r>
          </w:p>
        </w:tc>
      </w:tr>
      <w:tr w:rsidR="004B2885" w:rsidRPr="002348B5" w14:paraId="7BE9C182" w14:textId="77777777" w:rsidTr="00763A39">
        <w:tblPrEx>
          <w:tblCellMar>
            <w:top w:w="15" w:type="dxa"/>
            <w:left w:w="15" w:type="dxa"/>
            <w:bottom w:w="15" w:type="dxa"/>
            <w:right w:w="15" w:type="dxa"/>
          </w:tblCellMar>
          <w:tblLook w:val="04A0" w:firstRow="1" w:lastRow="0" w:firstColumn="1" w:lastColumn="0" w:noHBand="0" w:noVBand="1"/>
        </w:tblPrEx>
        <w:tc>
          <w:tcPr>
            <w:tcW w:w="981" w:type="dxa"/>
            <w:vAlign w:val="center"/>
          </w:tcPr>
          <w:p w14:paraId="3E9A2BE3" w14:textId="77777777" w:rsidR="004B2885" w:rsidRPr="002348B5" w:rsidRDefault="004B2885" w:rsidP="00014858">
            <w:pPr>
              <w:pStyle w:val="Tabletext0"/>
              <w:spacing w:after="0"/>
              <w:jc w:val="center"/>
              <w:rPr>
                <w:rFonts w:ascii="Arial Narrow" w:hAnsi="Arial Narrow"/>
              </w:rPr>
            </w:pPr>
          </w:p>
        </w:tc>
        <w:tc>
          <w:tcPr>
            <w:tcW w:w="8086" w:type="dxa"/>
            <w:gridSpan w:val="6"/>
            <w:vAlign w:val="center"/>
            <w:hideMark/>
          </w:tcPr>
          <w:p w14:paraId="3B927044" w14:textId="77777777" w:rsidR="004B2885" w:rsidRPr="002348B5" w:rsidRDefault="004B2885" w:rsidP="00014858">
            <w:pPr>
              <w:pStyle w:val="Tabletext0"/>
              <w:spacing w:after="0"/>
              <w:rPr>
                <w:rFonts w:ascii="Arial Narrow" w:hAnsi="Arial Narrow"/>
                <w:b/>
                <w:i/>
              </w:rPr>
            </w:pPr>
            <w:r w:rsidRPr="002348B5">
              <w:rPr>
                <w:rFonts w:ascii="Arial Narrow" w:hAnsi="Arial Narrow"/>
                <w:b/>
              </w:rPr>
              <w:t>Treatment Phase:</w:t>
            </w:r>
          </w:p>
        </w:tc>
      </w:tr>
      <w:tr w:rsidR="004B2885" w:rsidRPr="002348B5" w14:paraId="52C77B0B" w14:textId="77777777" w:rsidTr="00763A39">
        <w:tblPrEx>
          <w:tblCellMar>
            <w:top w:w="15" w:type="dxa"/>
            <w:left w:w="15" w:type="dxa"/>
            <w:bottom w:w="15" w:type="dxa"/>
            <w:right w:w="15" w:type="dxa"/>
          </w:tblCellMar>
          <w:tblLook w:val="04A0" w:firstRow="1" w:lastRow="0" w:firstColumn="1" w:lastColumn="0" w:noHBand="0" w:noVBand="1"/>
        </w:tblPrEx>
        <w:tc>
          <w:tcPr>
            <w:tcW w:w="981" w:type="dxa"/>
            <w:vAlign w:val="center"/>
          </w:tcPr>
          <w:p w14:paraId="51B18C24" w14:textId="77777777" w:rsidR="004B2885" w:rsidRPr="002348B5" w:rsidRDefault="004B2885" w:rsidP="00014858">
            <w:pPr>
              <w:pStyle w:val="Tabletext0"/>
              <w:spacing w:after="0"/>
              <w:jc w:val="center"/>
              <w:rPr>
                <w:rFonts w:ascii="Arial Narrow" w:hAnsi="Arial Narrow"/>
              </w:rPr>
            </w:pPr>
          </w:p>
        </w:tc>
        <w:tc>
          <w:tcPr>
            <w:tcW w:w="8086" w:type="dxa"/>
            <w:gridSpan w:val="6"/>
            <w:vAlign w:val="center"/>
            <w:hideMark/>
          </w:tcPr>
          <w:p w14:paraId="235A1AEB" w14:textId="77777777" w:rsidR="004B2885" w:rsidRPr="002348B5" w:rsidRDefault="004B2885" w:rsidP="00014858">
            <w:pPr>
              <w:pStyle w:val="Tabletext0"/>
              <w:spacing w:after="0"/>
              <w:rPr>
                <w:rFonts w:ascii="Arial Narrow" w:hAnsi="Arial Narrow"/>
                <w:b/>
              </w:rPr>
            </w:pPr>
            <w:r w:rsidRPr="002348B5">
              <w:rPr>
                <w:rFonts w:ascii="Arial Narrow" w:hAnsi="Arial Narrow"/>
                <w:b/>
              </w:rPr>
              <w:t xml:space="preserve">Clinical criteria: </w:t>
            </w:r>
          </w:p>
        </w:tc>
      </w:tr>
      <w:tr w:rsidR="004B2885" w:rsidRPr="002348B5" w14:paraId="1898D58E"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49C82E63" w14:textId="1FBD43C7" w:rsidR="004B2885" w:rsidRPr="00667F7B" w:rsidRDefault="004B2885" w:rsidP="00014858">
            <w:pPr>
              <w:pStyle w:val="Tabletext0"/>
              <w:spacing w:after="0"/>
              <w:jc w:val="center"/>
              <w:rPr>
                <w:rFonts w:ascii="Arial Narrow" w:hAnsi="Arial Narrow"/>
                <w:iCs/>
              </w:rPr>
            </w:pPr>
          </w:p>
        </w:tc>
        <w:tc>
          <w:tcPr>
            <w:tcW w:w="8086" w:type="dxa"/>
            <w:gridSpan w:val="6"/>
            <w:vAlign w:val="center"/>
          </w:tcPr>
          <w:p w14:paraId="1FA85A31" w14:textId="77777777" w:rsidR="004B2885" w:rsidRPr="002348B5" w:rsidRDefault="004B2885" w:rsidP="00014858">
            <w:pPr>
              <w:pStyle w:val="Tabletext0"/>
              <w:spacing w:after="0"/>
              <w:rPr>
                <w:rFonts w:ascii="Arial Narrow" w:hAnsi="Arial Narrow"/>
                <w:iCs/>
              </w:rPr>
            </w:pPr>
            <w:r w:rsidRPr="002348B5">
              <w:rPr>
                <w:rFonts w:ascii="Arial Narrow" w:hAnsi="Arial Narrow"/>
                <w:iCs/>
              </w:rPr>
              <w:t>Patient must have a diagnosis of chronic kidney disease, defined as abnormalities of kidney structure or function present for 3 months or more, prior to initiating treatment with this drug,</w:t>
            </w:r>
          </w:p>
        </w:tc>
      </w:tr>
      <w:tr w:rsidR="004B2885" w:rsidRPr="002348B5" w14:paraId="2722E7AF"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3A457490" w14:textId="77777777" w:rsidR="004B2885" w:rsidRPr="00667F7B" w:rsidRDefault="004B2885" w:rsidP="00014858">
            <w:pPr>
              <w:pStyle w:val="Tabletext0"/>
              <w:spacing w:after="0"/>
              <w:jc w:val="center"/>
              <w:rPr>
                <w:rFonts w:ascii="Arial Narrow" w:hAnsi="Arial Narrow"/>
              </w:rPr>
            </w:pPr>
          </w:p>
        </w:tc>
        <w:tc>
          <w:tcPr>
            <w:tcW w:w="8086" w:type="dxa"/>
            <w:gridSpan w:val="6"/>
            <w:vAlign w:val="center"/>
          </w:tcPr>
          <w:p w14:paraId="15959933" w14:textId="77777777" w:rsidR="004B2885" w:rsidRPr="002348B5" w:rsidRDefault="004B2885" w:rsidP="00014858">
            <w:pPr>
              <w:pStyle w:val="Tabletext0"/>
              <w:spacing w:after="0"/>
              <w:rPr>
                <w:rFonts w:ascii="Arial Narrow" w:hAnsi="Arial Narrow"/>
                <w:b/>
              </w:rPr>
            </w:pPr>
            <w:r w:rsidRPr="002348B5">
              <w:rPr>
                <w:rFonts w:ascii="Arial Narrow" w:hAnsi="Arial Narrow"/>
                <w:b/>
              </w:rPr>
              <w:t>AND</w:t>
            </w:r>
          </w:p>
        </w:tc>
      </w:tr>
      <w:tr w:rsidR="004B2885" w:rsidRPr="002348B5" w14:paraId="5CAD6639"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011EFA39" w14:textId="77777777" w:rsidR="004B2885" w:rsidRPr="00667F7B" w:rsidRDefault="004B2885" w:rsidP="00014858">
            <w:pPr>
              <w:pStyle w:val="Tabletext0"/>
              <w:spacing w:after="0"/>
              <w:jc w:val="center"/>
              <w:rPr>
                <w:rFonts w:ascii="Arial Narrow" w:hAnsi="Arial Narrow"/>
              </w:rPr>
            </w:pPr>
          </w:p>
        </w:tc>
        <w:tc>
          <w:tcPr>
            <w:tcW w:w="8086" w:type="dxa"/>
            <w:gridSpan w:val="6"/>
            <w:vAlign w:val="center"/>
          </w:tcPr>
          <w:p w14:paraId="1C72016D" w14:textId="77777777" w:rsidR="004B2885" w:rsidRPr="002348B5" w:rsidRDefault="004B2885" w:rsidP="00014858">
            <w:pPr>
              <w:pStyle w:val="Tabletext0"/>
              <w:spacing w:after="0"/>
              <w:rPr>
                <w:rFonts w:ascii="Arial Narrow" w:hAnsi="Arial Narrow"/>
                <w:b/>
              </w:rPr>
            </w:pPr>
            <w:r w:rsidRPr="002348B5">
              <w:rPr>
                <w:rFonts w:ascii="Arial Narrow" w:hAnsi="Arial Narrow"/>
                <w:b/>
              </w:rPr>
              <w:t>Clinical criteria:</w:t>
            </w:r>
          </w:p>
        </w:tc>
      </w:tr>
      <w:tr w:rsidR="004B2885" w:rsidRPr="002348B5" w14:paraId="48C7C0A9"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033783D2" w14:textId="3ADDEE87" w:rsidR="004B2885" w:rsidRPr="00667F7B" w:rsidRDefault="004B2885" w:rsidP="00014858">
            <w:pPr>
              <w:pStyle w:val="Tabletext0"/>
              <w:spacing w:after="0"/>
              <w:jc w:val="center"/>
              <w:rPr>
                <w:rFonts w:ascii="Arial Narrow" w:hAnsi="Arial Narrow"/>
              </w:rPr>
            </w:pPr>
          </w:p>
        </w:tc>
        <w:tc>
          <w:tcPr>
            <w:tcW w:w="8086" w:type="dxa"/>
            <w:gridSpan w:val="6"/>
            <w:vAlign w:val="center"/>
          </w:tcPr>
          <w:p w14:paraId="03C8C8B0" w14:textId="77777777" w:rsidR="004B2885" w:rsidRPr="00667F7B" w:rsidRDefault="004B2885" w:rsidP="00014858">
            <w:pPr>
              <w:pStyle w:val="Tabletext0"/>
              <w:spacing w:after="0"/>
              <w:rPr>
                <w:rFonts w:ascii="Arial Narrow" w:hAnsi="Arial Narrow"/>
              </w:rPr>
            </w:pPr>
            <w:r w:rsidRPr="00667F7B">
              <w:rPr>
                <w:rFonts w:ascii="Arial Narrow" w:hAnsi="Arial Narrow"/>
              </w:rPr>
              <w:t>Patient must have an estimated glomerular filtration rate of between 25 and 75 mL/min/1.73 m</w:t>
            </w:r>
            <w:r w:rsidRPr="00667F7B">
              <w:rPr>
                <w:rFonts w:ascii="Arial Narrow" w:hAnsi="Arial Narrow"/>
                <w:vertAlign w:val="superscript"/>
              </w:rPr>
              <w:t xml:space="preserve">2 </w:t>
            </w:r>
            <w:r w:rsidRPr="00667F7B">
              <w:rPr>
                <w:rFonts w:ascii="Arial Narrow" w:hAnsi="Arial Narrow"/>
              </w:rPr>
              <w:t>inclusive prior to initiating treatment with this drug,</w:t>
            </w:r>
          </w:p>
        </w:tc>
      </w:tr>
      <w:tr w:rsidR="004B2885" w:rsidRPr="002348B5" w14:paraId="5461BE1C" w14:textId="77777777" w:rsidTr="00763A39">
        <w:tblPrEx>
          <w:tblCellMar>
            <w:top w:w="15" w:type="dxa"/>
            <w:left w:w="15" w:type="dxa"/>
            <w:bottom w:w="15" w:type="dxa"/>
            <w:right w:w="15" w:type="dxa"/>
          </w:tblCellMar>
          <w:tblLook w:val="04A0" w:firstRow="1" w:lastRow="0" w:firstColumn="1" w:lastColumn="0" w:noHBand="0" w:noVBand="1"/>
        </w:tblPrEx>
        <w:tc>
          <w:tcPr>
            <w:tcW w:w="981" w:type="dxa"/>
            <w:vAlign w:val="center"/>
          </w:tcPr>
          <w:p w14:paraId="3236F11F" w14:textId="77777777" w:rsidR="004B2885" w:rsidRPr="00667F7B" w:rsidRDefault="004B2885" w:rsidP="00014858">
            <w:pPr>
              <w:pStyle w:val="Tabletext0"/>
              <w:spacing w:after="0"/>
              <w:jc w:val="center"/>
              <w:rPr>
                <w:rFonts w:ascii="Arial Narrow" w:hAnsi="Arial Narrow"/>
              </w:rPr>
            </w:pPr>
          </w:p>
        </w:tc>
        <w:tc>
          <w:tcPr>
            <w:tcW w:w="8086" w:type="dxa"/>
            <w:gridSpan w:val="6"/>
            <w:vAlign w:val="center"/>
            <w:hideMark/>
          </w:tcPr>
          <w:p w14:paraId="00CD05BC" w14:textId="77777777" w:rsidR="004B2885" w:rsidRPr="00667F7B" w:rsidRDefault="004B2885" w:rsidP="00014858">
            <w:pPr>
              <w:pStyle w:val="Tabletext0"/>
              <w:spacing w:after="0"/>
              <w:rPr>
                <w:rFonts w:ascii="Arial Narrow" w:hAnsi="Arial Narrow"/>
                <w:b/>
              </w:rPr>
            </w:pPr>
            <w:r w:rsidRPr="00667F7B">
              <w:rPr>
                <w:rFonts w:ascii="Arial Narrow" w:hAnsi="Arial Narrow"/>
                <w:b/>
              </w:rPr>
              <w:t>AND</w:t>
            </w:r>
          </w:p>
        </w:tc>
      </w:tr>
      <w:tr w:rsidR="004B2885" w:rsidRPr="002348B5" w14:paraId="1629EFC7"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44C71695" w14:textId="77777777" w:rsidR="004B2885" w:rsidRPr="00667F7B" w:rsidRDefault="004B2885" w:rsidP="00014858">
            <w:pPr>
              <w:pStyle w:val="Tabletext0"/>
              <w:spacing w:after="0"/>
              <w:jc w:val="center"/>
              <w:rPr>
                <w:rFonts w:ascii="Arial Narrow" w:hAnsi="Arial Narrow"/>
              </w:rPr>
            </w:pPr>
          </w:p>
        </w:tc>
        <w:tc>
          <w:tcPr>
            <w:tcW w:w="8086" w:type="dxa"/>
            <w:gridSpan w:val="6"/>
            <w:vAlign w:val="center"/>
            <w:hideMark/>
          </w:tcPr>
          <w:p w14:paraId="24BA3257" w14:textId="77777777" w:rsidR="004B2885" w:rsidRPr="00667F7B" w:rsidRDefault="004B2885" w:rsidP="00014858">
            <w:pPr>
              <w:pStyle w:val="Tabletext0"/>
              <w:spacing w:after="0"/>
              <w:rPr>
                <w:rFonts w:ascii="Arial Narrow" w:hAnsi="Arial Narrow"/>
                <w:b/>
              </w:rPr>
            </w:pPr>
            <w:r w:rsidRPr="00667F7B">
              <w:rPr>
                <w:rFonts w:ascii="Arial Narrow" w:hAnsi="Arial Narrow"/>
                <w:b/>
              </w:rPr>
              <w:t>Clinical criteria:</w:t>
            </w:r>
          </w:p>
        </w:tc>
      </w:tr>
      <w:tr w:rsidR="004B2885" w:rsidRPr="002348B5" w14:paraId="726A7E87"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61E0534C" w14:textId="6F148496" w:rsidR="004B2885" w:rsidRPr="00667F7B" w:rsidRDefault="004B2885" w:rsidP="00014858">
            <w:pPr>
              <w:pStyle w:val="Tabletext0"/>
              <w:spacing w:after="0"/>
              <w:jc w:val="center"/>
              <w:rPr>
                <w:rFonts w:ascii="Arial Narrow" w:hAnsi="Arial Narrow"/>
              </w:rPr>
            </w:pPr>
          </w:p>
        </w:tc>
        <w:tc>
          <w:tcPr>
            <w:tcW w:w="8086" w:type="dxa"/>
            <w:gridSpan w:val="6"/>
            <w:vAlign w:val="center"/>
            <w:hideMark/>
          </w:tcPr>
          <w:p w14:paraId="75E878AD" w14:textId="77777777" w:rsidR="004B2885" w:rsidRPr="00667F7B" w:rsidRDefault="004B2885" w:rsidP="00014858">
            <w:pPr>
              <w:pStyle w:val="Tabletext0"/>
              <w:spacing w:after="0"/>
              <w:rPr>
                <w:rFonts w:ascii="Arial Narrow" w:hAnsi="Arial Narrow"/>
              </w:rPr>
            </w:pPr>
            <w:r w:rsidRPr="00667F7B">
              <w:rPr>
                <w:rFonts w:ascii="Arial Narrow" w:hAnsi="Arial Narrow"/>
              </w:rPr>
              <w:t xml:space="preserve">Patient must have a urinary albumin to creatinine ratio of between 200 and 5000 mg/g </w:t>
            </w:r>
            <w:r w:rsidRPr="00667F7B">
              <w:rPr>
                <w:rFonts w:ascii="Arial Narrow" w:hAnsi="Arial Narrow"/>
                <w:iCs/>
              </w:rPr>
              <w:t>(22.6–565 mg/mmol)</w:t>
            </w:r>
            <w:r w:rsidRPr="00667F7B">
              <w:rPr>
                <w:rFonts w:ascii="Arial Narrow" w:hAnsi="Arial Narrow"/>
              </w:rPr>
              <w:t xml:space="preserve"> inclusive prior to initiating treatment with this drug,</w:t>
            </w:r>
          </w:p>
        </w:tc>
      </w:tr>
      <w:tr w:rsidR="004B2885" w:rsidRPr="002348B5" w14:paraId="70FE9B28"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7A8500A5" w14:textId="77777777" w:rsidR="004B2885" w:rsidRPr="002348B5" w:rsidRDefault="004B2885" w:rsidP="00014858">
            <w:pPr>
              <w:pStyle w:val="Tabletext0"/>
              <w:spacing w:after="0"/>
              <w:jc w:val="center"/>
              <w:rPr>
                <w:rFonts w:ascii="Arial Narrow" w:hAnsi="Arial Narrow"/>
              </w:rPr>
            </w:pPr>
          </w:p>
        </w:tc>
        <w:tc>
          <w:tcPr>
            <w:tcW w:w="8086" w:type="dxa"/>
            <w:gridSpan w:val="6"/>
            <w:vAlign w:val="center"/>
          </w:tcPr>
          <w:p w14:paraId="5B76A0AB" w14:textId="77777777" w:rsidR="004B2885" w:rsidRPr="002348B5" w:rsidRDefault="004B2885" w:rsidP="00014858">
            <w:pPr>
              <w:pStyle w:val="Tabletext0"/>
              <w:spacing w:after="0"/>
              <w:rPr>
                <w:rFonts w:ascii="Arial Narrow" w:hAnsi="Arial Narrow"/>
                <w:b/>
              </w:rPr>
            </w:pPr>
            <w:r w:rsidRPr="002348B5">
              <w:rPr>
                <w:rFonts w:ascii="Arial Narrow" w:hAnsi="Arial Narrow"/>
                <w:b/>
              </w:rPr>
              <w:t>AND</w:t>
            </w:r>
          </w:p>
        </w:tc>
      </w:tr>
      <w:tr w:rsidR="004B2885" w:rsidRPr="002348B5" w14:paraId="15FB3078"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729341F8" w14:textId="77777777" w:rsidR="004B2885" w:rsidRPr="002348B5" w:rsidRDefault="004B2885" w:rsidP="00014858">
            <w:pPr>
              <w:pStyle w:val="Tabletext0"/>
              <w:spacing w:after="0"/>
              <w:jc w:val="center"/>
              <w:rPr>
                <w:rFonts w:ascii="Arial Narrow" w:hAnsi="Arial Narrow"/>
              </w:rPr>
            </w:pPr>
          </w:p>
        </w:tc>
        <w:tc>
          <w:tcPr>
            <w:tcW w:w="8086" w:type="dxa"/>
            <w:gridSpan w:val="6"/>
            <w:vAlign w:val="center"/>
          </w:tcPr>
          <w:p w14:paraId="1656AB6D" w14:textId="77777777" w:rsidR="004B2885" w:rsidRPr="002348B5" w:rsidRDefault="004B2885" w:rsidP="00014858">
            <w:pPr>
              <w:pStyle w:val="Tabletext0"/>
              <w:spacing w:after="0"/>
              <w:rPr>
                <w:rFonts w:ascii="Arial Narrow" w:hAnsi="Arial Narrow"/>
                <w:b/>
              </w:rPr>
            </w:pPr>
            <w:r w:rsidRPr="002348B5">
              <w:rPr>
                <w:rFonts w:ascii="Arial Narrow" w:hAnsi="Arial Narrow"/>
                <w:b/>
              </w:rPr>
              <w:t>Clinical criteria:</w:t>
            </w:r>
          </w:p>
        </w:tc>
      </w:tr>
      <w:tr w:rsidR="004B2885" w:rsidRPr="002348B5" w14:paraId="586FF2AE" w14:textId="77777777" w:rsidTr="00014858">
        <w:tblPrEx>
          <w:tblCellMar>
            <w:top w:w="15" w:type="dxa"/>
            <w:left w:w="15" w:type="dxa"/>
            <w:bottom w:w="15" w:type="dxa"/>
            <w:right w:w="15" w:type="dxa"/>
          </w:tblCellMar>
          <w:tblLook w:val="04A0" w:firstRow="1" w:lastRow="0" w:firstColumn="1" w:lastColumn="0" w:noHBand="0" w:noVBand="1"/>
        </w:tblPrEx>
        <w:trPr>
          <w:trHeight w:val="40"/>
        </w:trPr>
        <w:tc>
          <w:tcPr>
            <w:tcW w:w="981" w:type="dxa"/>
            <w:vAlign w:val="center"/>
          </w:tcPr>
          <w:p w14:paraId="607F2417" w14:textId="012F5CA4" w:rsidR="004B2885" w:rsidRPr="002348B5" w:rsidRDefault="004B2885" w:rsidP="00014858">
            <w:pPr>
              <w:pStyle w:val="Tabletext0"/>
              <w:spacing w:after="0"/>
              <w:jc w:val="center"/>
              <w:rPr>
                <w:rFonts w:ascii="Arial Narrow" w:hAnsi="Arial Narrow"/>
              </w:rPr>
            </w:pPr>
          </w:p>
        </w:tc>
        <w:tc>
          <w:tcPr>
            <w:tcW w:w="8086" w:type="dxa"/>
            <w:gridSpan w:val="6"/>
            <w:vAlign w:val="center"/>
          </w:tcPr>
          <w:p w14:paraId="08985E8D" w14:textId="77777777" w:rsidR="004B2885" w:rsidRPr="002348B5" w:rsidRDefault="004B2885" w:rsidP="00014858">
            <w:pPr>
              <w:pStyle w:val="Tabletext0"/>
              <w:spacing w:after="0"/>
              <w:rPr>
                <w:rFonts w:ascii="Arial Narrow" w:hAnsi="Arial Narrow"/>
                <w:iCs/>
              </w:rPr>
            </w:pPr>
            <w:r w:rsidRPr="002348B5">
              <w:rPr>
                <w:rFonts w:ascii="Arial Narrow" w:hAnsi="Arial Narrow"/>
                <w:iCs/>
              </w:rPr>
              <w:t>Patient must discontinue treatment with this drug prior to initiating renal replacement therapy, defined as dialysis or kidney transplant,</w:t>
            </w:r>
          </w:p>
        </w:tc>
      </w:tr>
      <w:tr w:rsidR="004B2885" w:rsidRPr="002348B5" w14:paraId="30DC7367"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59BDE489" w14:textId="77777777" w:rsidR="004B2885" w:rsidRPr="002348B5" w:rsidRDefault="004B2885" w:rsidP="00014858">
            <w:pPr>
              <w:pStyle w:val="Tabletext0"/>
              <w:spacing w:after="0"/>
              <w:jc w:val="center"/>
              <w:rPr>
                <w:rFonts w:ascii="Arial Narrow" w:hAnsi="Arial Narrow"/>
              </w:rPr>
            </w:pPr>
          </w:p>
        </w:tc>
        <w:tc>
          <w:tcPr>
            <w:tcW w:w="8086" w:type="dxa"/>
            <w:gridSpan w:val="6"/>
            <w:vAlign w:val="center"/>
          </w:tcPr>
          <w:p w14:paraId="64F5481D" w14:textId="77777777" w:rsidR="004B2885" w:rsidRPr="002348B5" w:rsidRDefault="004B2885" w:rsidP="00014858">
            <w:pPr>
              <w:pStyle w:val="Tabletext0"/>
              <w:spacing w:after="0"/>
              <w:rPr>
                <w:rFonts w:ascii="Arial Narrow" w:hAnsi="Arial Narrow"/>
                <w:b/>
              </w:rPr>
            </w:pPr>
            <w:r w:rsidRPr="002348B5">
              <w:rPr>
                <w:rFonts w:ascii="Arial Narrow" w:hAnsi="Arial Narrow"/>
                <w:b/>
              </w:rPr>
              <w:t>AND</w:t>
            </w:r>
          </w:p>
        </w:tc>
      </w:tr>
      <w:tr w:rsidR="004B2885" w:rsidRPr="002348B5" w14:paraId="3BC6A333"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1443FB5B" w14:textId="77777777" w:rsidR="004B2885" w:rsidRPr="002348B5" w:rsidRDefault="004B2885" w:rsidP="00014858">
            <w:pPr>
              <w:pStyle w:val="Tabletext0"/>
              <w:spacing w:after="0"/>
              <w:jc w:val="center"/>
              <w:rPr>
                <w:rFonts w:ascii="Arial Narrow" w:hAnsi="Arial Narrow"/>
              </w:rPr>
            </w:pPr>
          </w:p>
        </w:tc>
        <w:tc>
          <w:tcPr>
            <w:tcW w:w="8086" w:type="dxa"/>
            <w:gridSpan w:val="6"/>
            <w:vAlign w:val="center"/>
            <w:hideMark/>
          </w:tcPr>
          <w:p w14:paraId="0F0E89BC" w14:textId="77777777" w:rsidR="004B2885" w:rsidRPr="002348B5" w:rsidRDefault="004B2885" w:rsidP="00014858">
            <w:pPr>
              <w:pStyle w:val="Tabletext0"/>
              <w:spacing w:after="0"/>
              <w:rPr>
                <w:rFonts w:ascii="Arial Narrow" w:hAnsi="Arial Narrow"/>
                <w:b/>
              </w:rPr>
            </w:pPr>
            <w:r w:rsidRPr="002348B5">
              <w:rPr>
                <w:rFonts w:ascii="Arial Narrow" w:hAnsi="Arial Narrow"/>
                <w:b/>
              </w:rPr>
              <w:t>Clinical criteria:</w:t>
            </w:r>
          </w:p>
        </w:tc>
      </w:tr>
      <w:tr w:rsidR="004B2885" w:rsidRPr="002348B5" w14:paraId="03B88F37"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4E6FB451" w14:textId="1101B3A8" w:rsidR="004B2885" w:rsidRPr="002348B5" w:rsidRDefault="004B2885" w:rsidP="00014858">
            <w:pPr>
              <w:pStyle w:val="Tabletext0"/>
              <w:spacing w:after="0"/>
              <w:jc w:val="center"/>
              <w:rPr>
                <w:rFonts w:ascii="Arial Narrow" w:hAnsi="Arial Narrow"/>
                <w:strike/>
              </w:rPr>
            </w:pPr>
            <w:bookmarkStart w:id="4" w:name="_Hlk84343270"/>
          </w:p>
        </w:tc>
        <w:tc>
          <w:tcPr>
            <w:tcW w:w="8086" w:type="dxa"/>
            <w:gridSpan w:val="6"/>
            <w:vAlign w:val="center"/>
            <w:hideMark/>
          </w:tcPr>
          <w:p w14:paraId="2E656AA2" w14:textId="77777777" w:rsidR="004B2885" w:rsidRPr="002348B5" w:rsidRDefault="004B2885" w:rsidP="00014858">
            <w:pPr>
              <w:pStyle w:val="Tabletext0"/>
              <w:spacing w:after="0"/>
              <w:rPr>
                <w:rFonts w:ascii="Arial Narrow" w:hAnsi="Arial Narrow"/>
                <w:iCs/>
                <w:strike/>
              </w:rPr>
            </w:pPr>
            <w:r w:rsidRPr="002348B5">
              <w:rPr>
                <w:rFonts w:ascii="Arial Narrow" w:hAnsi="Arial Narrow"/>
                <w:iCs/>
              </w:rPr>
              <w:t>Patient must receive treatment in combination with the maximum tolerated dose of an ACE inhibitor; or</w:t>
            </w:r>
          </w:p>
        </w:tc>
      </w:tr>
      <w:tr w:rsidR="004B2885" w:rsidRPr="002348B5" w14:paraId="32443C57"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5A5AD399" w14:textId="77777777" w:rsidR="004B2885" w:rsidRPr="002348B5" w:rsidDel="00527D13" w:rsidRDefault="004B2885" w:rsidP="00014858">
            <w:pPr>
              <w:pStyle w:val="Tabletext0"/>
              <w:spacing w:after="0"/>
              <w:jc w:val="center"/>
              <w:rPr>
                <w:rFonts w:ascii="Arial Narrow" w:hAnsi="Arial Narrow"/>
                <w:strike/>
              </w:rPr>
            </w:pPr>
          </w:p>
        </w:tc>
        <w:tc>
          <w:tcPr>
            <w:tcW w:w="8086" w:type="dxa"/>
            <w:gridSpan w:val="6"/>
            <w:vAlign w:val="center"/>
          </w:tcPr>
          <w:p w14:paraId="69746B46" w14:textId="77777777" w:rsidR="004B2885" w:rsidRPr="002348B5" w:rsidRDefault="004B2885" w:rsidP="00014858">
            <w:pPr>
              <w:pStyle w:val="Tabletext0"/>
              <w:spacing w:after="0"/>
              <w:rPr>
                <w:rFonts w:ascii="Arial Narrow" w:hAnsi="Arial Narrow"/>
                <w:iCs/>
                <w:strike/>
              </w:rPr>
            </w:pPr>
            <w:r w:rsidRPr="002348B5">
              <w:rPr>
                <w:rFonts w:ascii="Arial Narrow" w:hAnsi="Arial Narrow"/>
                <w:iCs/>
              </w:rPr>
              <w:t xml:space="preserve">Patient must receive treatment in combination with the maximum tolerated dose of an angiotensin II receptor </w:t>
            </w:r>
            <w:r w:rsidRPr="002348B5">
              <w:rPr>
                <w:rFonts w:ascii="Arial Narrow" w:hAnsi="Arial Narrow"/>
              </w:rPr>
              <w:t>antagonist</w:t>
            </w:r>
            <w:r w:rsidRPr="002348B5">
              <w:rPr>
                <w:rFonts w:ascii="Arial Narrow" w:hAnsi="Arial Narrow"/>
                <w:iCs/>
              </w:rPr>
              <w:t xml:space="preserve"> unless medically contraindicated to these classes of drug,</w:t>
            </w:r>
          </w:p>
        </w:tc>
      </w:tr>
      <w:bookmarkEnd w:id="4"/>
      <w:tr w:rsidR="004B2885" w:rsidRPr="002348B5" w14:paraId="1DEC9386"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7ECB9C42" w14:textId="77777777" w:rsidR="004B2885" w:rsidRPr="002348B5" w:rsidRDefault="004B2885" w:rsidP="00014858">
            <w:pPr>
              <w:pStyle w:val="Tabletext0"/>
              <w:spacing w:after="0"/>
              <w:jc w:val="center"/>
              <w:rPr>
                <w:rFonts w:ascii="Arial Narrow" w:hAnsi="Arial Narrow"/>
              </w:rPr>
            </w:pPr>
          </w:p>
        </w:tc>
        <w:tc>
          <w:tcPr>
            <w:tcW w:w="8086" w:type="dxa"/>
            <w:gridSpan w:val="6"/>
            <w:vAlign w:val="center"/>
            <w:hideMark/>
          </w:tcPr>
          <w:p w14:paraId="64369B31" w14:textId="77777777" w:rsidR="004B2885" w:rsidRPr="002348B5" w:rsidRDefault="004B2885" w:rsidP="00014858">
            <w:pPr>
              <w:pStyle w:val="Tabletext0"/>
              <w:spacing w:after="0"/>
              <w:rPr>
                <w:rFonts w:ascii="Arial Narrow" w:hAnsi="Arial Narrow"/>
                <w:b/>
              </w:rPr>
            </w:pPr>
            <w:r w:rsidRPr="002348B5">
              <w:rPr>
                <w:rFonts w:ascii="Arial Narrow" w:hAnsi="Arial Narrow"/>
                <w:b/>
              </w:rPr>
              <w:t>AND</w:t>
            </w:r>
          </w:p>
        </w:tc>
      </w:tr>
      <w:tr w:rsidR="004B2885" w:rsidRPr="002348B5" w14:paraId="2696D1E7"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17E444AA" w14:textId="0955F0BA" w:rsidR="004B2885" w:rsidRPr="002348B5" w:rsidRDefault="004B2885" w:rsidP="00014858">
            <w:pPr>
              <w:pStyle w:val="Tabletext0"/>
              <w:spacing w:after="0"/>
              <w:jc w:val="center"/>
              <w:rPr>
                <w:rFonts w:ascii="Arial Narrow" w:hAnsi="Arial Narrow"/>
              </w:rPr>
            </w:pPr>
          </w:p>
        </w:tc>
        <w:tc>
          <w:tcPr>
            <w:tcW w:w="8086" w:type="dxa"/>
            <w:gridSpan w:val="6"/>
            <w:vAlign w:val="center"/>
            <w:hideMark/>
          </w:tcPr>
          <w:p w14:paraId="2B2ADE17" w14:textId="77777777" w:rsidR="004B2885" w:rsidRPr="002348B5" w:rsidRDefault="004B2885" w:rsidP="00014858">
            <w:pPr>
              <w:pStyle w:val="Tabletext0"/>
              <w:spacing w:after="0"/>
              <w:rPr>
                <w:rFonts w:ascii="Arial Narrow" w:hAnsi="Arial Narrow"/>
                <w:b/>
              </w:rPr>
            </w:pPr>
            <w:r w:rsidRPr="002348B5">
              <w:rPr>
                <w:rFonts w:ascii="Arial Narrow" w:hAnsi="Arial Narrow"/>
                <w:b/>
              </w:rPr>
              <w:t>Clinical criteria:</w:t>
            </w:r>
          </w:p>
        </w:tc>
      </w:tr>
      <w:tr w:rsidR="004B2885" w:rsidRPr="002348B5" w14:paraId="6E11FF2F"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02FF5194" w14:textId="77777777" w:rsidR="004B2885" w:rsidRPr="002348B5" w:rsidRDefault="004B2885" w:rsidP="00014858">
            <w:pPr>
              <w:pStyle w:val="Tabletext0"/>
              <w:spacing w:after="0"/>
              <w:jc w:val="center"/>
              <w:rPr>
                <w:rFonts w:ascii="Arial Narrow" w:hAnsi="Arial Narrow"/>
                <w:strike/>
              </w:rPr>
            </w:pPr>
          </w:p>
        </w:tc>
        <w:tc>
          <w:tcPr>
            <w:tcW w:w="8086" w:type="dxa"/>
            <w:gridSpan w:val="6"/>
            <w:vAlign w:val="center"/>
            <w:hideMark/>
          </w:tcPr>
          <w:p w14:paraId="17E95942" w14:textId="77777777" w:rsidR="004B2885" w:rsidRPr="002348B5" w:rsidRDefault="004B2885" w:rsidP="00014858">
            <w:pPr>
              <w:pStyle w:val="Tabletext0"/>
              <w:spacing w:after="0"/>
              <w:rPr>
                <w:rFonts w:ascii="Arial Narrow" w:hAnsi="Arial Narrow"/>
              </w:rPr>
            </w:pPr>
            <w:r w:rsidRPr="002348B5">
              <w:rPr>
                <w:rFonts w:ascii="Arial Narrow" w:hAnsi="Arial Narrow"/>
              </w:rPr>
              <w:t>Patient must not be receiving treatment with another sodium</w:t>
            </w:r>
            <w:r w:rsidRPr="002348B5">
              <w:rPr>
                <w:rFonts w:ascii="Arial Narrow" w:hAnsi="Arial Narrow"/>
              </w:rPr>
              <w:noBreakHyphen/>
              <w:t>glucose co</w:t>
            </w:r>
            <w:r w:rsidRPr="002348B5">
              <w:rPr>
                <w:rFonts w:ascii="Arial Narrow" w:hAnsi="Arial Narrow"/>
              </w:rPr>
              <w:noBreakHyphen/>
              <w:t xml:space="preserve">transporter 2 (SGLT2) </w:t>
            </w:r>
            <w:proofErr w:type="gramStart"/>
            <w:r w:rsidRPr="002348B5">
              <w:rPr>
                <w:rFonts w:ascii="Arial Narrow" w:hAnsi="Arial Narrow"/>
              </w:rPr>
              <w:t>inhibitor</w:t>
            </w:r>
            <w:proofErr w:type="gramEnd"/>
            <w:r w:rsidRPr="002348B5">
              <w:rPr>
                <w:rFonts w:ascii="Arial Narrow" w:hAnsi="Arial Narrow"/>
              </w:rPr>
              <w:t>.</w:t>
            </w:r>
          </w:p>
        </w:tc>
      </w:tr>
      <w:tr w:rsidR="004B2885" w:rsidRPr="002348B5" w14:paraId="3775EFCA" w14:textId="77777777" w:rsidTr="00014858">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4377A67C" w14:textId="4100D37E" w:rsidR="004B2885" w:rsidRPr="002348B5" w:rsidRDefault="004B2885" w:rsidP="00014858">
            <w:pPr>
              <w:pStyle w:val="Tabletext0"/>
              <w:spacing w:after="0"/>
              <w:jc w:val="center"/>
              <w:rPr>
                <w:rFonts w:ascii="Arial Narrow" w:hAnsi="Arial Narrow"/>
              </w:rPr>
            </w:pPr>
          </w:p>
        </w:tc>
        <w:tc>
          <w:tcPr>
            <w:tcW w:w="8086" w:type="dxa"/>
            <w:gridSpan w:val="6"/>
            <w:vAlign w:val="center"/>
          </w:tcPr>
          <w:p w14:paraId="603AB8FD" w14:textId="77777777" w:rsidR="004B2885" w:rsidRPr="002348B5" w:rsidRDefault="004B2885" w:rsidP="00014858">
            <w:pPr>
              <w:pStyle w:val="Tabletext0"/>
              <w:spacing w:after="0"/>
              <w:rPr>
                <w:rFonts w:ascii="Arial Narrow" w:hAnsi="Arial Narrow"/>
                <w:b/>
                <w:iCs/>
              </w:rPr>
            </w:pPr>
            <w:r w:rsidRPr="002348B5">
              <w:rPr>
                <w:rFonts w:ascii="Arial Narrow" w:hAnsi="Arial Narrow"/>
                <w:b/>
                <w:iCs/>
              </w:rPr>
              <w:t>Prescribing instructions:</w:t>
            </w:r>
          </w:p>
          <w:p w14:paraId="47D7A8DD" w14:textId="77777777" w:rsidR="004B2885" w:rsidRPr="002348B5" w:rsidRDefault="004B2885" w:rsidP="00014858">
            <w:pPr>
              <w:pStyle w:val="Tabletext0"/>
              <w:spacing w:after="0"/>
              <w:rPr>
                <w:rFonts w:ascii="Arial Narrow" w:hAnsi="Arial Narrow"/>
                <w:i/>
              </w:rPr>
            </w:pPr>
            <w:r w:rsidRPr="002348B5">
              <w:rPr>
                <w:rFonts w:ascii="Arial Narrow" w:hAnsi="Arial Narrow"/>
                <w:iCs/>
              </w:rPr>
              <w:t>Patient must be stabilised on either (</w:t>
            </w:r>
            <w:proofErr w:type="spellStart"/>
            <w:r w:rsidRPr="002348B5">
              <w:rPr>
                <w:rFonts w:ascii="Arial Narrow" w:hAnsi="Arial Narrow"/>
                <w:iCs/>
              </w:rPr>
              <w:t>i</w:t>
            </w:r>
            <w:proofErr w:type="spellEnd"/>
            <w:r w:rsidRPr="002348B5">
              <w:rPr>
                <w:rFonts w:ascii="Arial Narrow" w:hAnsi="Arial Narrow"/>
                <w:iCs/>
              </w:rPr>
              <w:t>) an ACE inhibitor or (ii) an angiotensin II receptor</w:t>
            </w:r>
            <w:r w:rsidRPr="002348B5">
              <w:rPr>
                <w:rFonts w:ascii="Arial Narrow" w:hAnsi="Arial Narrow"/>
                <w:iCs/>
                <w:color w:val="FF0000"/>
              </w:rPr>
              <w:t xml:space="preserve"> </w:t>
            </w:r>
            <w:r w:rsidRPr="002348B5">
              <w:rPr>
                <w:rFonts w:ascii="Arial Narrow" w:hAnsi="Arial Narrow"/>
                <w:iCs/>
              </w:rPr>
              <w:t>antagonist for a period of 4 weeks, unless medically contraindicated, prior to initiation of combination therapy with this drug.</w:t>
            </w:r>
          </w:p>
        </w:tc>
      </w:tr>
      <w:tr w:rsidR="004B2885" w:rsidRPr="002348B5" w14:paraId="50BFE262" w14:textId="77777777" w:rsidTr="00014858">
        <w:tblPrEx>
          <w:tblCellMar>
            <w:top w:w="15" w:type="dxa"/>
            <w:left w:w="15" w:type="dxa"/>
            <w:bottom w:w="15" w:type="dxa"/>
            <w:right w:w="15" w:type="dxa"/>
          </w:tblCellMar>
          <w:tblLook w:val="04A0" w:firstRow="1" w:lastRow="0" w:firstColumn="1" w:lastColumn="0" w:noHBand="0" w:noVBand="1"/>
        </w:tblPrEx>
        <w:tc>
          <w:tcPr>
            <w:tcW w:w="981" w:type="dxa"/>
            <w:vAlign w:val="center"/>
          </w:tcPr>
          <w:p w14:paraId="427CF97D" w14:textId="57BE68A5" w:rsidR="004B2885" w:rsidRPr="002348B5" w:rsidRDefault="004B2885" w:rsidP="00014858">
            <w:pPr>
              <w:pStyle w:val="Tabletext0"/>
              <w:spacing w:after="0"/>
              <w:jc w:val="center"/>
              <w:rPr>
                <w:rFonts w:ascii="Arial Narrow" w:hAnsi="Arial Narrow"/>
                <w:iCs/>
              </w:rPr>
            </w:pPr>
          </w:p>
        </w:tc>
        <w:tc>
          <w:tcPr>
            <w:tcW w:w="8086" w:type="dxa"/>
            <w:gridSpan w:val="6"/>
            <w:vAlign w:val="center"/>
          </w:tcPr>
          <w:p w14:paraId="4F7C19D5" w14:textId="77777777" w:rsidR="004B2885" w:rsidRPr="002348B5" w:rsidRDefault="004B2885" w:rsidP="00014858">
            <w:pPr>
              <w:pStyle w:val="Tabletext0"/>
              <w:spacing w:after="0"/>
              <w:rPr>
                <w:rFonts w:ascii="Arial Narrow" w:hAnsi="Arial Narrow"/>
                <w:b/>
                <w:iCs/>
              </w:rPr>
            </w:pPr>
            <w:r w:rsidRPr="002348B5">
              <w:rPr>
                <w:rFonts w:ascii="Arial Narrow" w:hAnsi="Arial Narrow"/>
                <w:b/>
                <w:iCs/>
              </w:rPr>
              <w:t>Prescribing instructions:</w:t>
            </w:r>
          </w:p>
          <w:p w14:paraId="66F7F005" w14:textId="77777777" w:rsidR="004B2885" w:rsidRPr="002348B5" w:rsidRDefault="004B2885" w:rsidP="00014858">
            <w:pPr>
              <w:pStyle w:val="Tabletext0"/>
              <w:spacing w:after="0"/>
              <w:rPr>
                <w:rFonts w:ascii="Arial Narrow" w:hAnsi="Arial Narrow"/>
                <w:bCs/>
                <w:iCs/>
              </w:rPr>
            </w:pPr>
            <w:r w:rsidRPr="002348B5">
              <w:rPr>
                <w:rFonts w:ascii="Arial Narrow" w:hAnsi="Arial Narrow"/>
                <w:bCs/>
                <w:iCs/>
              </w:rPr>
              <w:t xml:space="preserve">Patients with polycystic kidney disease, lupus nephritis or ANCA-associated vasculitis; patients requiring or with a recent history of cytotoxic or immunosuppressive therapy for kidney disease; and patients with an organ transplant </w:t>
            </w:r>
            <w:r w:rsidRPr="002348B5">
              <w:rPr>
                <w:rFonts w:ascii="Arial Narrow" w:hAnsi="Arial Narrow"/>
                <w:iCs/>
              </w:rPr>
              <w:t>are not eligible for treatment with this drug.</w:t>
            </w:r>
          </w:p>
        </w:tc>
      </w:tr>
      <w:tr w:rsidR="004B2885" w:rsidRPr="002348B5" w14:paraId="32BA3CD4" w14:textId="77777777" w:rsidTr="00763A39">
        <w:tblPrEx>
          <w:tblCellMar>
            <w:top w:w="15" w:type="dxa"/>
            <w:left w:w="15" w:type="dxa"/>
            <w:bottom w:w="15" w:type="dxa"/>
            <w:right w:w="15" w:type="dxa"/>
          </w:tblCellMar>
          <w:tblLook w:val="04A0" w:firstRow="1" w:lastRow="0" w:firstColumn="1" w:lastColumn="0" w:noHBand="0" w:noVBand="1"/>
        </w:tblPrEx>
        <w:tc>
          <w:tcPr>
            <w:tcW w:w="981" w:type="dxa"/>
            <w:vAlign w:val="center"/>
          </w:tcPr>
          <w:p w14:paraId="376769B3" w14:textId="77777777" w:rsidR="004B2885" w:rsidRPr="002348B5" w:rsidRDefault="004B2885" w:rsidP="00014858">
            <w:pPr>
              <w:pStyle w:val="Tabletext0"/>
              <w:spacing w:after="0"/>
              <w:jc w:val="center"/>
              <w:rPr>
                <w:rFonts w:ascii="Arial Narrow" w:hAnsi="Arial Narrow"/>
              </w:rPr>
            </w:pPr>
          </w:p>
        </w:tc>
        <w:tc>
          <w:tcPr>
            <w:tcW w:w="8086" w:type="dxa"/>
            <w:gridSpan w:val="6"/>
            <w:vAlign w:val="center"/>
            <w:hideMark/>
          </w:tcPr>
          <w:p w14:paraId="154ECEDF" w14:textId="77777777" w:rsidR="004B2885" w:rsidRPr="002348B5" w:rsidRDefault="004B2885" w:rsidP="00014858">
            <w:pPr>
              <w:pStyle w:val="Tabletext0"/>
              <w:spacing w:after="0"/>
              <w:rPr>
                <w:rFonts w:ascii="Arial Narrow" w:hAnsi="Arial Narrow"/>
                <w:b/>
              </w:rPr>
            </w:pPr>
            <w:r w:rsidRPr="002348B5">
              <w:rPr>
                <w:rFonts w:ascii="Arial Narrow" w:hAnsi="Arial Narrow"/>
                <w:b/>
              </w:rPr>
              <w:t>Administrative advice:</w:t>
            </w:r>
          </w:p>
          <w:p w14:paraId="0B63087F" w14:textId="77777777" w:rsidR="004B2885" w:rsidRPr="002348B5" w:rsidRDefault="004B2885" w:rsidP="00014858">
            <w:pPr>
              <w:pStyle w:val="Tabletext0"/>
              <w:spacing w:after="0"/>
              <w:rPr>
                <w:rFonts w:ascii="Arial Narrow" w:hAnsi="Arial Narrow"/>
              </w:rPr>
            </w:pPr>
            <w:r w:rsidRPr="002348B5">
              <w:rPr>
                <w:rFonts w:ascii="Arial Narrow" w:hAnsi="Arial Narrow"/>
                <w:bCs/>
              </w:rPr>
              <w:t>Continuing Therapy Only:</w:t>
            </w:r>
          </w:p>
          <w:p w14:paraId="7149AE8D" w14:textId="77777777" w:rsidR="004B2885" w:rsidRPr="002348B5" w:rsidRDefault="004B2885" w:rsidP="00014858">
            <w:pPr>
              <w:pStyle w:val="Tabletext0"/>
              <w:spacing w:after="0"/>
              <w:rPr>
                <w:rFonts w:ascii="Arial Narrow" w:hAnsi="Arial Narrow"/>
              </w:rPr>
            </w:pPr>
            <w:r w:rsidRPr="002348B5">
              <w:rPr>
                <w:rFonts w:ascii="Arial Narrow" w:hAnsi="Arial Narrow"/>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3567E659" w14:textId="77777777" w:rsidR="00095EEA" w:rsidRDefault="00095EEA" w:rsidP="00A57CE3">
      <w:pPr>
        <w:pStyle w:val="3Bodytext"/>
        <w:rPr>
          <w:b/>
          <w:bCs/>
          <w:i/>
          <w:iCs/>
          <w:snapToGrid w:val="0"/>
        </w:rPr>
      </w:pPr>
    </w:p>
    <w:p w14:paraId="64D36637" w14:textId="180F99BC" w:rsidR="00280050" w:rsidRDefault="00A57CE3" w:rsidP="00672EAD">
      <w:pPr>
        <w:pStyle w:val="3Bodytext"/>
        <w:rPr>
          <w:b/>
          <w:bCs/>
          <w:i/>
          <w:iCs/>
          <w:snapToGrid w:val="0"/>
        </w:rPr>
      </w:pPr>
      <w:r w:rsidRPr="00A57CE3">
        <w:rPr>
          <w:b/>
          <w:bCs/>
          <w:i/>
          <w:iCs/>
          <w:snapToGrid w:val="0"/>
        </w:rPr>
        <w:t>This restriction may be subject to further review. Should there be any changes made to the restriction the sponsor will be informed.</w:t>
      </w:r>
    </w:p>
    <w:p w14:paraId="29897094" w14:textId="7950627E" w:rsidR="004B2885" w:rsidRDefault="004B2885" w:rsidP="00672EAD">
      <w:pPr>
        <w:pStyle w:val="3Bodytext"/>
        <w:rPr>
          <w:b/>
          <w:bCs/>
          <w:i/>
          <w:iCs/>
          <w:snapToGrid w:val="0"/>
        </w:rPr>
      </w:pPr>
    </w:p>
    <w:p w14:paraId="2F4511CE" w14:textId="39331042" w:rsidR="004D7CA5" w:rsidRPr="00AC4669" w:rsidRDefault="004D7CA5" w:rsidP="00AC4669">
      <w:pPr>
        <w:pStyle w:val="2Sections"/>
      </w:pPr>
      <w:r>
        <w:t>8</w:t>
      </w:r>
      <w:r>
        <w:tab/>
      </w:r>
      <w:r w:rsidRPr="006E7C76">
        <w:t>Context for Decision</w:t>
      </w:r>
    </w:p>
    <w:p w14:paraId="07C8D56B" w14:textId="77777777" w:rsidR="004D7CA5" w:rsidRPr="007129F2" w:rsidRDefault="004D7CA5" w:rsidP="00AC4669">
      <w:pPr>
        <w:pStyle w:val="3-BodyText"/>
        <w:numPr>
          <w:ilvl w:val="0"/>
          <w:numId w:val="0"/>
        </w:numPr>
        <w:ind w:left="360"/>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EB02B95" w14:textId="0129779E" w:rsidR="004D7CA5" w:rsidRPr="00C07617" w:rsidRDefault="004D7CA5" w:rsidP="00AC4669">
      <w:pPr>
        <w:pStyle w:val="2Sections"/>
      </w:pPr>
      <w:r>
        <w:t>9</w:t>
      </w:r>
      <w:r>
        <w:tab/>
        <w:t>Sponsor’s Comment</w:t>
      </w:r>
    </w:p>
    <w:p w14:paraId="1BDF692C" w14:textId="2C2E7C23" w:rsidR="004B2885" w:rsidRDefault="004D7CA5" w:rsidP="00CE5105">
      <w:pPr>
        <w:pStyle w:val="3-BodyText"/>
        <w:numPr>
          <w:ilvl w:val="0"/>
          <w:numId w:val="0"/>
        </w:numPr>
        <w:ind w:left="360"/>
      </w:pPr>
      <w:r w:rsidRPr="00C07617">
        <w:t>The sponsor had no comment.</w:t>
      </w:r>
    </w:p>
    <w:p w14:paraId="0E5D17C8" w14:textId="2466134F" w:rsidR="004D7CA5" w:rsidRDefault="004D7CA5" w:rsidP="00BD5D8B">
      <w:pPr>
        <w:rPr>
          <w:rFonts w:asciiTheme="minorHAnsi" w:hAnsiTheme="minorHAnsi" w:cs="Arial"/>
          <w:bCs/>
        </w:rPr>
      </w:pPr>
    </w:p>
    <w:p w14:paraId="7AFF9001" w14:textId="77777777" w:rsidR="004D7CA5" w:rsidRPr="004B2885" w:rsidRDefault="004D7CA5" w:rsidP="00AC4669">
      <w:pPr>
        <w:rPr>
          <w:b/>
          <w:bCs/>
          <w:iCs/>
          <w:snapToGrid w:val="0"/>
        </w:rPr>
      </w:pPr>
    </w:p>
    <w:sectPr w:rsidR="004D7CA5" w:rsidRPr="004B2885" w:rsidSect="00E228B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ABA9F" w14:textId="77777777" w:rsidR="00972FA8" w:rsidRDefault="00972FA8" w:rsidP="002A0C1A">
      <w:r>
        <w:separator/>
      </w:r>
    </w:p>
  </w:endnote>
  <w:endnote w:type="continuationSeparator" w:id="0">
    <w:p w14:paraId="4EE21A94" w14:textId="77777777" w:rsidR="00972FA8" w:rsidRDefault="00972FA8" w:rsidP="002A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G Omega">
    <w:panose1 w:val="00000000000000000000"/>
    <w:charset w:val="00"/>
    <w:family w:val="roman"/>
    <w:notTrueType/>
    <w:pitch w:val="default"/>
  </w:font>
  <w:font w:name="Sabon">
    <w:altName w:val="Cambria"/>
    <w:charset w:val="00"/>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666C2" w14:paraId="52C0B051" w14:textId="77777777" w:rsidTr="00E228B5">
      <w:trPr>
        <w:trHeight w:val="151"/>
      </w:trPr>
      <w:tc>
        <w:tcPr>
          <w:tcW w:w="2250" w:type="pct"/>
          <w:tcBorders>
            <w:top w:val="nil"/>
            <w:left w:val="nil"/>
            <w:bottom w:val="single" w:sz="4" w:space="0" w:color="4F81BD"/>
            <w:right w:val="nil"/>
          </w:tcBorders>
        </w:tcPr>
        <w:p w14:paraId="24C5D0EB" w14:textId="77777777" w:rsidR="005666C2" w:rsidRPr="005A3173" w:rsidRDefault="005666C2" w:rsidP="00E228B5">
          <w:pPr>
            <w:pStyle w:val="Header"/>
            <w:spacing w:line="276" w:lineRule="auto"/>
            <w:rPr>
              <w:rFonts w:eastAsia="MS Gothic"/>
              <w:b/>
              <w:bCs/>
              <w:color w:val="4F81BD"/>
            </w:rPr>
          </w:pPr>
        </w:p>
      </w:tc>
      <w:tc>
        <w:tcPr>
          <w:tcW w:w="500" w:type="pct"/>
          <w:vMerge w:val="restart"/>
          <w:noWrap/>
          <w:vAlign w:val="center"/>
          <w:hideMark/>
        </w:tcPr>
        <w:p w14:paraId="53EC9E70" w14:textId="77777777" w:rsidR="005666C2" w:rsidRPr="005A3173" w:rsidRDefault="005666C2" w:rsidP="00E228B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7870B13" w14:textId="77777777" w:rsidR="005666C2" w:rsidRPr="005A3173" w:rsidRDefault="005666C2" w:rsidP="00E228B5">
          <w:pPr>
            <w:pStyle w:val="Header"/>
            <w:spacing w:line="276" w:lineRule="auto"/>
            <w:rPr>
              <w:rFonts w:eastAsia="MS Gothic"/>
              <w:b/>
              <w:bCs/>
              <w:color w:val="4F81BD"/>
            </w:rPr>
          </w:pPr>
        </w:p>
      </w:tc>
    </w:tr>
    <w:tr w:rsidR="005666C2" w14:paraId="1FF8E0CE" w14:textId="77777777" w:rsidTr="00E228B5">
      <w:trPr>
        <w:trHeight w:val="150"/>
      </w:trPr>
      <w:tc>
        <w:tcPr>
          <w:tcW w:w="2250" w:type="pct"/>
          <w:tcBorders>
            <w:top w:val="single" w:sz="4" w:space="0" w:color="4F81BD"/>
            <w:left w:val="nil"/>
            <w:bottom w:val="nil"/>
            <w:right w:val="nil"/>
          </w:tcBorders>
        </w:tcPr>
        <w:p w14:paraId="4538FA27" w14:textId="77777777" w:rsidR="005666C2" w:rsidRPr="005A3173" w:rsidRDefault="005666C2" w:rsidP="00E228B5">
          <w:pPr>
            <w:pStyle w:val="Header"/>
            <w:spacing w:line="276" w:lineRule="auto"/>
            <w:rPr>
              <w:rFonts w:eastAsia="MS Gothic"/>
              <w:b/>
              <w:bCs/>
              <w:color w:val="4F81BD"/>
            </w:rPr>
          </w:pPr>
        </w:p>
      </w:tc>
      <w:tc>
        <w:tcPr>
          <w:tcW w:w="0" w:type="auto"/>
          <w:vMerge/>
          <w:vAlign w:val="center"/>
          <w:hideMark/>
        </w:tcPr>
        <w:p w14:paraId="35E18522" w14:textId="77777777" w:rsidR="005666C2" w:rsidRPr="005A3173" w:rsidRDefault="005666C2" w:rsidP="00E228B5">
          <w:pPr>
            <w:rPr>
              <w:color w:val="365F91"/>
              <w:sz w:val="22"/>
              <w:szCs w:val="22"/>
            </w:rPr>
          </w:pPr>
        </w:p>
      </w:tc>
      <w:tc>
        <w:tcPr>
          <w:tcW w:w="2250" w:type="pct"/>
          <w:tcBorders>
            <w:top w:val="single" w:sz="4" w:space="0" w:color="4F81BD"/>
            <w:left w:val="nil"/>
            <w:bottom w:val="nil"/>
            <w:right w:val="nil"/>
          </w:tcBorders>
        </w:tcPr>
        <w:p w14:paraId="27BD3076" w14:textId="77777777" w:rsidR="005666C2" w:rsidRPr="005A3173" w:rsidRDefault="005666C2" w:rsidP="00E228B5">
          <w:pPr>
            <w:pStyle w:val="Header"/>
            <w:spacing w:line="276" w:lineRule="auto"/>
            <w:rPr>
              <w:rFonts w:eastAsia="MS Gothic"/>
              <w:b/>
              <w:bCs/>
              <w:color w:val="4F81BD"/>
            </w:rPr>
          </w:pPr>
        </w:p>
      </w:tc>
    </w:tr>
  </w:tbl>
  <w:p w14:paraId="29D512AF" w14:textId="77777777" w:rsidR="005666C2" w:rsidRDefault="005666C2" w:rsidP="00E228B5">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E3A80DD" w14:textId="77777777" w:rsidR="005666C2" w:rsidRDefault="005666C2">
    <w:pPr>
      <w:pStyle w:val="Footer"/>
    </w:pPr>
  </w:p>
  <w:p w14:paraId="556E8E74" w14:textId="77777777" w:rsidR="005666C2" w:rsidRDefault="005666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9270A" w14:textId="77777777" w:rsidR="001A19BF" w:rsidRDefault="001A19BF">
    <w:pPr>
      <w:pStyle w:val="Footer"/>
      <w:jc w:val="center"/>
    </w:pPr>
  </w:p>
  <w:sdt>
    <w:sdtPr>
      <w:id w:val="428707911"/>
      <w:docPartObj>
        <w:docPartGallery w:val="Page Numbers (Bottom of Page)"/>
        <w:docPartUnique/>
      </w:docPartObj>
    </w:sdtPr>
    <w:sdtEndPr>
      <w:rPr>
        <w:b/>
        <w:bCs/>
        <w:noProof/>
      </w:rPr>
    </w:sdtEndPr>
    <w:sdtContent>
      <w:p w14:paraId="09969D64" w14:textId="00486BDA" w:rsidR="001A19BF" w:rsidRPr="00F010F3" w:rsidRDefault="001A19BF">
        <w:pPr>
          <w:pStyle w:val="Footer"/>
          <w:jc w:val="center"/>
          <w:rPr>
            <w:b/>
            <w:bCs/>
          </w:rPr>
        </w:pPr>
        <w:r w:rsidRPr="00F010F3">
          <w:rPr>
            <w:b/>
            <w:bCs/>
          </w:rPr>
          <w:fldChar w:fldCharType="begin"/>
        </w:r>
        <w:r w:rsidRPr="00F010F3">
          <w:rPr>
            <w:b/>
            <w:bCs/>
          </w:rPr>
          <w:instrText xml:space="preserve"> PAGE   \* MERGEFORMAT </w:instrText>
        </w:r>
        <w:r w:rsidRPr="00F010F3">
          <w:rPr>
            <w:b/>
            <w:bCs/>
          </w:rPr>
          <w:fldChar w:fldCharType="separate"/>
        </w:r>
        <w:r w:rsidR="009079BD">
          <w:rPr>
            <w:b/>
            <w:bCs/>
            <w:noProof/>
          </w:rPr>
          <w:t>5</w:t>
        </w:r>
        <w:r w:rsidRPr="00F010F3">
          <w:rPr>
            <w:b/>
            <w:bCs/>
            <w:noProof/>
          </w:rPr>
          <w:fldChar w:fldCharType="end"/>
        </w:r>
      </w:p>
    </w:sdtContent>
  </w:sdt>
  <w:p w14:paraId="16AA5A8B" w14:textId="7D50C867" w:rsidR="005666C2" w:rsidRPr="00D429EC" w:rsidRDefault="005666C2" w:rsidP="00E228B5">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5666C2" w14:paraId="28327D3A" w14:textId="77777777" w:rsidTr="00E228B5">
      <w:trPr>
        <w:trHeight w:val="151"/>
      </w:trPr>
      <w:tc>
        <w:tcPr>
          <w:tcW w:w="2250" w:type="pct"/>
          <w:tcBorders>
            <w:top w:val="nil"/>
            <w:left w:val="nil"/>
            <w:bottom w:val="single" w:sz="4" w:space="0" w:color="4F81BD"/>
            <w:right w:val="nil"/>
          </w:tcBorders>
        </w:tcPr>
        <w:p w14:paraId="2843641F" w14:textId="77777777" w:rsidR="005666C2" w:rsidRPr="005A3173" w:rsidRDefault="005666C2" w:rsidP="00E228B5">
          <w:pPr>
            <w:pStyle w:val="Header"/>
            <w:spacing w:line="276" w:lineRule="auto"/>
            <w:rPr>
              <w:rFonts w:eastAsia="MS Gothic"/>
              <w:b/>
              <w:bCs/>
              <w:color w:val="4F81BD"/>
            </w:rPr>
          </w:pPr>
        </w:p>
      </w:tc>
      <w:tc>
        <w:tcPr>
          <w:tcW w:w="500" w:type="pct"/>
          <w:vMerge w:val="restart"/>
          <w:noWrap/>
          <w:vAlign w:val="center"/>
          <w:hideMark/>
        </w:tcPr>
        <w:p w14:paraId="3C64B44E" w14:textId="77777777" w:rsidR="005666C2" w:rsidRPr="005A3173" w:rsidRDefault="005666C2" w:rsidP="00E228B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E65F344" w14:textId="77777777" w:rsidR="005666C2" w:rsidRPr="005A3173" w:rsidRDefault="005666C2" w:rsidP="00E228B5">
          <w:pPr>
            <w:pStyle w:val="Header"/>
            <w:spacing w:line="276" w:lineRule="auto"/>
            <w:rPr>
              <w:rFonts w:eastAsia="MS Gothic"/>
              <w:b/>
              <w:bCs/>
              <w:color w:val="4F81BD"/>
            </w:rPr>
          </w:pPr>
        </w:p>
      </w:tc>
    </w:tr>
    <w:tr w:rsidR="005666C2" w14:paraId="4DFAE6B5" w14:textId="77777777" w:rsidTr="00E228B5">
      <w:trPr>
        <w:trHeight w:val="150"/>
      </w:trPr>
      <w:tc>
        <w:tcPr>
          <w:tcW w:w="2250" w:type="pct"/>
          <w:tcBorders>
            <w:top w:val="single" w:sz="4" w:space="0" w:color="4F81BD"/>
            <w:left w:val="nil"/>
            <w:bottom w:val="nil"/>
            <w:right w:val="nil"/>
          </w:tcBorders>
        </w:tcPr>
        <w:p w14:paraId="33FAE7EC" w14:textId="77777777" w:rsidR="005666C2" w:rsidRPr="005A3173" w:rsidRDefault="005666C2" w:rsidP="00E228B5">
          <w:pPr>
            <w:pStyle w:val="Header"/>
            <w:spacing w:line="276" w:lineRule="auto"/>
            <w:rPr>
              <w:rFonts w:eastAsia="MS Gothic"/>
              <w:b/>
              <w:bCs/>
              <w:color w:val="4F81BD"/>
            </w:rPr>
          </w:pPr>
        </w:p>
      </w:tc>
      <w:tc>
        <w:tcPr>
          <w:tcW w:w="0" w:type="auto"/>
          <w:vMerge/>
          <w:vAlign w:val="center"/>
          <w:hideMark/>
        </w:tcPr>
        <w:p w14:paraId="3BA01802" w14:textId="77777777" w:rsidR="005666C2" w:rsidRPr="005A3173" w:rsidRDefault="005666C2" w:rsidP="00E228B5">
          <w:pPr>
            <w:rPr>
              <w:color w:val="365F91"/>
              <w:sz w:val="22"/>
              <w:szCs w:val="22"/>
            </w:rPr>
          </w:pPr>
        </w:p>
      </w:tc>
      <w:tc>
        <w:tcPr>
          <w:tcW w:w="2250" w:type="pct"/>
          <w:tcBorders>
            <w:top w:val="single" w:sz="4" w:space="0" w:color="4F81BD"/>
            <w:left w:val="nil"/>
            <w:bottom w:val="nil"/>
            <w:right w:val="nil"/>
          </w:tcBorders>
        </w:tcPr>
        <w:p w14:paraId="07C5E550" w14:textId="77777777" w:rsidR="005666C2" w:rsidRPr="005A3173" w:rsidRDefault="005666C2" w:rsidP="00E228B5">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666C2" w14:paraId="6A7F02E5" w14:textId="77777777" w:rsidTr="00E228B5">
      <w:trPr>
        <w:trHeight w:val="151"/>
      </w:trPr>
      <w:tc>
        <w:tcPr>
          <w:tcW w:w="2250" w:type="pct"/>
          <w:tcBorders>
            <w:top w:val="nil"/>
            <w:left w:val="nil"/>
            <w:bottom w:val="single" w:sz="4" w:space="0" w:color="4F81BD"/>
            <w:right w:val="nil"/>
          </w:tcBorders>
        </w:tcPr>
        <w:p w14:paraId="2D7193E2" w14:textId="77777777" w:rsidR="005666C2" w:rsidRPr="005A3173" w:rsidRDefault="005666C2" w:rsidP="00E228B5">
          <w:pPr>
            <w:pStyle w:val="Header"/>
            <w:spacing w:line="276" w:lineRule="auto"/>
            <w:rPr>
              <w:rFonts w:eastAsia="MS Gothic"/>
              <w:b/>
              <w:bCs/>
              <w:color w:val="4F81BD"/>
            </w:rPr>
          </w:pPr>
        </w:p>
      </w:tc>
      <w:tc>
        <w:tcPr>
          <w:tcW w:w="500" w:type="pct"/>
          <w:vMerge w:val="restart"/>
          <w:noWrap/>
          <w:vAlign w:val="center"/>
          <w:hideMark/>
        </w:tcPr>
        <w:p w14:paraId="79430EAE" w14:textId="77777777" w:rsidR="005666C2" w:rsidRPr="005A3173" w:rsidRDefault="005666C2" w:rsidP="00E228B5">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C97114A" w14:textId="77777777" w:rsidR="005666C2" w:rsidRPr="005A3173" w:rsidRDefault="005666C2" w:rsidP="00E228B5">
          <w:pPr>
            <w:pStyle w:val="Header"/>
            <w:spacing w:line="276" w:lineRule="auto"/>
            <w:rPr>
              <w:rFonts w:eastAsia="MS Gothic"/>
              <w:b/>
              <w:bCs/>
              <w:color w:val="4F81BD"/>
            </w:rPr>
          </w:pPr>
        </w:p>
      </w:tc>
    </w:tr>
    <w:tr w:rsidR="005666C2" w14:paraId="5DC3D3A2" w14:textId="77777777" w:rsidTr="00E228B5">
      <w:trPr>
        <w:trHeight w:val="150"/>
      </w:trPr>
      <w:tc>
        <w:tcPr>
          <w:tcW w:w="2250" w:type="pct"/>
          <w:tcBorders>
            <w:top w:val="single" w:sz="4" w:space="0" w:color="4F81BD"/>
            <w:left w:val="nil"/>
            <w:bottom w:val="nil"/>
            <w:right w:val="nil"/>
          </w:tcBorders>
        </w:tcPr>
        <w:p w14:paraId="259F022E" w14:textId="77777777" w:rsidR="005666C2" w:rsidRPr="005A3173" w:rsidRDefault="005666C2" w:rsidP="00E228B5">
          <w:pPr>
            <w:pStyle w:val="Header"/>
            <w:spacing w:line="276" w:lineRule="auto"/>
            <w:rPr>
              <w:rFonts w:eastAsia="MS Gothic"/>
              <w:b/>
              <w:bCs/>
              <w:color w:val="4F81BD"/>
            </w:rPr>
          </w:pPr>
        </w:p>
      </w:tc>
      <w:tc>
        <w:tcPr>
          <w:tcW w:w="0" w:type="auto"/>
          <w:vMerge/>
          <w:vAlign w:val="center"/>
          <w:hideMark/>
        </w:tcPr>
        <w:p w14:paraId="60236345" w14:textId="77777777" w:rsidR="005666C2" w:rsidRPr="005A3173" w:rsidRDefault="005666C2" w:rsidP="00E228B5">
          <w:pPr>
            <w:rPr>
              <w:color w:val="365F91"/>
              <w:sz w:val="22"/>
              <w:szCs w:val="22"/>
            </w:rPr>
          </w:pPr>
        </w:p>
      </w:tc>
      <w:tc>
        <w:tcPr>
          <w:tcW w:w="2250" w:type="pct"/>
          <w:tcBorders>
            <w:top w:val="single" w:sz="4" w:space="0" w:color="4F81BD"/>
            <w:left w:val="nil"/>
            <w:bottom w:val="nil"/>
            <w:right w:val="nil"/>
          </w:tcBorders>
        </w:tcPr>
        <w:p w14:paraId="48A42F9F" w14:textId="77777777" w:rsidR="005666C2" w:rsidRPr="005A3173" w:rsidRDefault="005666C2" w:rsidP="00E228B5">
          <w:pPr>
            <w:pStyle w:val="Header"/>
            <w:spacing w:line="276" w:lineRule="auto"/>
            <w:rPr>
              <w:rFonts w:eastAsia="MS Gothic"/>
              <w:b/>
              <w:bCs/>
              <w:color w:val="4F81BD"/>
            </w:rPr>
          </w:pPr>
        </w:p>
      </w:tc>
    </w:tr>
  </w:tbl>
  <w:p w14:paraId="3C9AC4C5" w14:textId="77777777" w:rsidR="005666C2" w:rsidRPr="007C0F57" w:rsidRDefault="005666C2" w:rsidP="00E228B5">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r w:rsidRPr="007C0F57">
      <w:rPr>
        <w:b/>
        <w:i/>
        <w:sz w:val="20"/>
        <w:szCs w:val="20"/>
      </w:rPr>
      <w:t>BAC Meeting</w:t>
    </w:r>
  </w:p>
  <w:p w14:paraId="187B8805" w14:textId="77777777" w:rsidR="005666C2" w:rsidRPr="007C0F57" w:rsidRDefault="005666C2" w:rsidP="00E228B5">
    <w:pPr>
      <w:pStyle w:val="Footer"/>
      <w:jc w:val="center"/>
      <w:rPr>
        <w:b/>
        <w:i/>
        <w:sz w:val="20"/>
        <w:szCs w:val="20"/>
      </w:rPr>
    </w:pPr>
    <w:r w:rsidRPr="007C0F57">
      <w:rPr>
        <w:b/>
        <w:i/>
        <w:sz w:val="20"/>
        <w:szCs w:val="20"/>
      </w:rPr>
      <w:t>Commercial-in-Confidence</w:t>
    </w:r>
  </w:p>
  <w:p w14:paraId="561DE21C" w14:textId="77777777" w:rsidR="005666C2" w:rsidRDefault="005666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9920A" w14:textId="77777777" w:rsidR="00972FA8" w:rsidRDefault="00972FA8" w:rsidP="002A0C1A">
      <w:r>
        <w:separator/>
      </w:r>
    </w:p>
  </w:footnote>
  <w:footnote w:type="continuationSeparator" w:id="0">
    <w:p w14:paraId="7C2DA2F5" w14:textId="77777777" w:rsidR="00972FA8" w:rsidRDefault="00972FA8" w:rsidP="002A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5666C2" w:rsidRPr="008E0D90" w14:paraId="51323430" w14:textId="77777777" w:rsidTr="00E228B5">
      <w:trPr>
        <w:trHeight w:val="151"/>
      </w:trPr>
      <w:tc>
        <w:tcPr>
          <w:tcW w:w="2389" w:type="pct"/>
          <w:tcBorders>
            <w:top w:val="nil"/>
            <w:left w:val="nil"/>
            <w:bottom w:val="single" w:sz="4" w:space="0" w:color="4F81BD"/>
            <w:right w:val="nil"/>
          </w:tcBorders>
        </w:tcPr>
        <w:p w14:paraId="00C8A0AE" w14:textId="77777777" w:rsidR="005666C2" w:rsidRPr="00A06225" w:rsidRDefault="005666C2">
          <w:pPr>
            <w:pStyle w:val="Header"/>
            <w:spacing w:line="276" w:lineRule="auto"/>
            <w:rPr>
              <w:rFonts w:ascii="Cambria" w:eastAsia="MS Gothic" w:hAnsi="Cambria"/>
              <w:b/>
              <w:bCs/>
              <w:color w:val="4F81BD"/>
            </w:rPr>
          </w:pPr>
        </w:p>
      </w:tc>
      <w:tc>
        <w:tcPr>
          <w:tcW w:w="333" w:type="pct"/>
          <w:vMerge w:val="restart"/>
          <w:noWrap/>
          <w:vAlign w:val="center"/>
          <w:hideMark/>
        </w:tcPr>
        <w:p w14:paraId="2BC8E9AF" w14:textId="77777777" w:rsidR="005666C2" w:rsidRPr="00A06225" w:rsidRDefault="005666C2" w:rsidP="00E228B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5B9BA70" w14:textId="77777777" w:rsidR="005666C2" w:rsidRPr="00A06225" w:rsidRDefault="005666C2">
          <w:pPr>
            <w:pStyle w:val="Header"/>
            <w:spacing w:line="276" w:lineRule="auto"/>
            <w:rPr>
              <w:rFonts w:ascii="Cambria" w:eastAsia="MS Gothic" w:hAnsi="Cambria"/>
              <w:b/>
              <w:bCs/>
              <w:color w:val="4F81BD"/>
            </w:rPr>
          </w:pPr>
        </w:p>
      </w:tc>
    </w:tr>
    <w:tr w:rsidR="005666C2" w:rsidRPr="008E0D90" w14:paraId="3DA5E0DB" w14:textId="77777777" w:rsidTr="00E228B5">
      <w:trPr>
        <w:trHeight w:val="150"/>
      </w:trPr>
      <w:tc>
        <w:tcPr>
          <w:tcW w:w="2389" w:type="pct"/>
          <w:tcBorders>
            <w:top w:val="single" w:sz="4" w:space="0" w:color="4F81BD"/>
            <w:left w:val="nil"/>
            <w:bottom w:val="nil"/>
            <w:right w:val="nil"/>
          </w:tcBorders>
        </w:tcPr>
        <w:p w14:paraId="0E090156" w14:textId="77777777" w:rsidR="005666C2" w:rsidRPr="00A06225" w:rsidRDefault="005666C2">
          <w:pPr>
            <w:pStyle w:val="Header"/>
            <w:spacing w:line="276" w:lineRule="auto"/>
            <w:rPr>
              <w:rFonts w:ascii="Cambria" w:eastAsia="MS Gothic" w:hAnsi="Cambria"/>
              <w:b/>
              <w:bCs/>
              <w:color w:val="4F81BD"/>
            </w:rPr>
          </w:pPr>
        </w:p>
      </w:tc>
      <w:tc>
        <w:tcPr>
          <w:tcW w:w="0" w:type="auto"/>
          <w:vMerge/>
          <w:vAlign w:val="center"/>
          <w:hideMark/>
        </w:tcPr>
        <w:p w14:paraId="0A85094D" w14:textId="77777777" w:rsidR="005666C2" w:rsidRPr="00A06225" w:rsidRDefault="005666C2">
          <w:pPr>
            <w:rPr>
              <w:rFonts w:ascii="Cambria" w:hAnsi="Cambria"/>
              <w:color w:val="4F81BD"/>
              <w:sz w:val="22"/>
              <w:szCs w:val="22"/>
            </w:rPr>
          </w:pPr>
        </w:p>
      </w:tc>
      <w:tc>
        <w:tcPr>
          <w:tcW w:w="2278" w:type="pct"/>
          <w:tcBorders>
            <w:top w:val="single" w:sz="4" w:space="0" w:color="4F81BD"/>
            <w:left w:val="nil"/>
            <w:bottom w:val="nil"/>
            <w:right w:val="nil"/>
          </w:tcBorders>
        </w:tcPr>
        <w:p w14:paraId="2CC28645" w14:textId="77777777" w:rsidR="005666C2" w:rsidRPr="00A06225" w:rsidRDefault="005666C2">
          <w:pPr>
            <w:pStyle w:val="Header"/>
            <w:spacing w:line="276" w:lineRule="auto"/>
            <w:rPr>
              <w:rFonts w:ascii="Cambria" w:eastAsia="MS Gothic" w:hAnsi="Cambria"/>
              <w:b/>
              <w:bCs/>
              <w:color w:val="4F81BD"/>
            </w:rPr>
          </w:pPr>
        </w:p>
      </w:tc>
    </w:tr>
  </w:tbl>
  <w:p w14:paraId="1FAFF898" w14:textId="77777777" w:rsidR="005666C2" w:rsidRDefault="005666C2">
    <w:pPr>
      <w:pStyle w:val="Header"/>
    </w:pPr>
  </w:p>
  <w:p w14:paraId="3CE09A30" w14:textId="77777777" w:rsidR="005666C2" w:rsidRDefault="005666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9672" w14:textId="6F3D16D8" w:rsidR="001A19BF" w:rsidRPr="00056684" w:rsidRDefault="001977B2" w:rsidP="001A19BF">
    <w:pPr>
      <w:pStyle w:val="Header"/>
      <w:ind w:left="360"/>
      <w:rPr>
        <w:rFonts w:asciiTheme="minorHAnsi" w:hAnsiTheme="minorHAnsi" w:cs="Arial"/>
        <w:i/>
        <w:color w:val="808080"/>
      </w:rPr>
    </w:pPr>
    <w:bookmarkStart w:id="5" w:name="_Hlk76375146"/>
    <w:r>
      <w:rPr>
        <w:rFonts w:asciiTheme="minorHAnsi" w:hAnsiTheme="minorHAnsi" w:cs="Arial"/>
        <w:i/>
        <w:color w:val="808080"/>
      </w:rPr>
      <w:t>Public Summary Document</w:t>
    </w:r>
    <w:r w:rsidR="001A19BF" w:rsidRPr="00056684">
      <w:rPr>
        <w:rFonts w:asciiTheme="minorHAnsi" w:hAnsiTheme="minorHAnsi" w:cs="Arial"/>
        <w:i/>
        <w:color w:val="808080"/>
      </w:rPr>
      <w:t xml:space="preserve"> – </w:t>
    </w:r>
    <w:r w:rsidR="001A19BF">
      <w:rPr>
        <w:rFonts w:asciiTheme="minorHAnsi" w:hAnsiTheme="minorHAnsi" w:cs="Arial"/>
        <w:i/>
        <w:color w:val="808080"/>
      </w:rPr>
      <w:t>March 2022</w:t>
    </w:r>
    <w:r w:rsidR="001A19BF" w:rsidRPr="00056684">
      <w:rPr>
        <w:rFonts w:asciiTheme="minorHAnsi" w:hAnsiTheme="minorHAnsi" w:cs="Arial"/>
        <w:i/>
        <w:color w:val="808080"/>
      </w:rPr>
      <w:t xml:space="preserve"> PBAC Meeting</w:t>
    </w:r>
  </w:p>
  <w:bookmarkEnd w:id="5"/>
  <w:p w14:paraId="7730BF55" w14:textId="77777777" w:rsidR="001A19BF" w:rsidRPr="00F010F3" w:rsidRDefault="001A19BF" w:rsidP="00F010F3">
    <w:pPr>
      <w:pStyle w:val="Header"/>
      <w:ind w:left="360"/>
      <w:rPr>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830BB" w14:textId="77777777" w:rsidR="008A3930" w:rsidRDefault="008A3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0CA2836"/>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6C4238"/>
    <w:multiLevelType w:val="hybridMultilevel"/>
    <w:tmpl w:val="58C4CD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3F03B83"/>
    <w:multiLevelType w:val="hybridMultilevel"/>
    <w:tmpl w:val="E272DB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C400ED"/>
    <w:multiLevelType w:val="hybridMultilevel"/>
    <w:tmpl w:val="8A764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6E30F3"/>
    <w:multiLevelType w:val="hybridMultilevel"/>
    <w:tmpl w:val="47F2A2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D6549F"/>
    <w:multiLevelType w:val="hybridMultilevel"/>
    <w:tmpl w:val="258488B8"/>
    <w:lvl w:ilvl="0" w:tplc="427ABDD4">
      <w:start w:val="5"/>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244933"/>
    <w:multiLevelType w:val="hybridMultilevel"/>
    <w:tmpl w:val="F13E5890"/>
    <w:lvl w:ilvl="0" w:tplc="99000890">
      <w:start w:val="1"/>
      <w:numFmt w:val="upperLetter"/>
      <w:lvlText w:val="%1."/>
      <w:lvlJc w:val="left"/>
      <w:pPr>
        <w:ind w:left="360" w:hanging="360"/>
      </w:pPr>
      <w:rPr>
        <w:b w:val="0"/>
        <w:bCs w:val="0"/>
        <w:i w:val="0"/>
        <w:iCs/>
        <w:color w:val="auto"/>
      </w:rPr>
    </w:lvl>
    <w:lvl w:ilvl="1" w:tplc="0C090001">
      <w:start w:val="1"/>
      <w:numFmt w:val="bullet"/>
      <w:lvlText w:val=""/>
      <w:lvlJc w:val="left"/>
      <w:pPr>
        <w:ind w:left="1080" w:hanging="360"/>
      </w:pPr>
      <w:rPr>
        <w:rFonts w:ascii="Symbol" w:hAnsi="Symbol" w:hint="default"/>
      </w:r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8" w15:restartNumberingAfterBreak="0">
    <w:nsid w:val="368D6C69"/>
    <w:multiLevelType w:val="multilevel"/>
    <w:tmpl w:val="A65452E0"/>
    <w:lvl w:ilvl="0">
      <w:start w:val="3"/>
      <w:numFmt w:val="decimal"/>
      <w:lvlText w:val="%1"/>
      <w:lvlJc w:val="left"/>
      <w:pPr>
        <w:ind w:left="360" w:hanging="360"/>
      </w:pPr>
      <w:rPr>
        <w:rFonts w:cstheme="minorHAnsi" w:hint="default"/>
      </w:rPr>
    </w:lvl>
    <w:lvl w:ilvl="1">
      <w:start w:val="1"/>
      <w:numFmt w:val="decimal"/>
      <w:lvlText w:val="%1.%2"/>
      <w:lvlJc w:val="left"/>
      <w:pPr>
        <w:ind w:left="1080" w:hanging="360"/>
      </w:pPr>
      <w:rPr>
        <w:rFonts w:cstheme="minorHAnsi" w:hint="default"/>
      </w:rPr>
    </w:lvl>
    <w:lvl w:ilvl="2">
      <w:start w:val="1"/>
      <w:numFmt w:val="decimal"/>
      <w:lvlText w:val="%1.%2.%3"/>
      <w:lvlJc w:val="left"/>
      <w:pPr>
        <w:ind w:left="2160" w:hanging="720"/>
      </w:pPr>
      <w:rPr>
        <w:rFonts w:cstheme="minorHAnsi" w:hint="default"/>
      </w:rPr>
    </w:lvl>
    <w:lvl w:ilvl="3">
      <w:start w:val="1"/>
      <w:numFmt w:val="decimal"/>
      <w:lvlText w:val="%1.%2.%3.%4"/>
      <w:lvlJc w:val="left"/>
      <w:pPr>
        <w:ind w:left="2880" w:hanging="720"/>
      </w:pPr>
      <w:rPr>
        <w:rFonts w:cstheme="minorHAnsi" w:hint="default"/>
      </w:rPr>
    </w:lvl>
    <w:lvl w:ilvl="4">
      <w:start w:val="1"/>
      <w:numFmt w:val="decimal"/>
      <w:lvlText w:val="%1.%2.%3.%4.%5"/>
      <w:lvlJc w:val="left"/>
      <w:pPr>
        <w:ind w:left="3960" w:hanging="1080"/>
      </w:pPr>
      <w:rPr>
        <w:rFonts w:cstheme="minorHAnsi" w:hint="default"/>
      </w:rPr>
    </w:lvl>
    <w:lvl w:ilvl="5">
      <w:start w:val="1"/>
      <w:numFmt w:val="decimal"/>
      <w:lvlText w:val="%1.%2.%3.%4.%5.%6"/>
      <w:lvlJc w:val="left"/>
      <w:pPr>
        <w:ind w:left="4680" w:hanging="1080"/>
      </w:pPr>
      <w:rPr>
        <w:rFonts w:cstheme="minorHAnsi" w:hint="default"/>
      </w:rPr>
    </w:lvl>
    <w:lvl w:ilvl="6">
      <w:start w:val="1"/>
      <w:numFmt w:val="decimal"/>
      <w:lvlText w:val="%1.%2.%3.%4.%5.%6.%7"/>
      <w:lvlJc w:val="left"/>
      <w:pPr>
        <w:ind w:left="5760" w:hanging="1440"/>
      </w:pPr>
      <w:rPr>
        <w:rFonts w:cstheme="minorHAnsi" w:hint="default"/>
      </w:rPr>
    </w:lvl>
    <w:lvl w:ilvl="7">
      <w:start w:val="1"/>
      <w:numFmt w:val="decimal"/>
      <w:lvlText w:val="%1.%2.%3.%4.%5.%6.%7.%8"/>
      <w:lvlJc w:val="left"/>
      <w:pPr>
        <w:ind w:left="6480" w:hanging="1440"/>
      </w:pPr>
      <w:rPr>
        <w:rFonts w:cstheme="minorHAnsi" w:hint="default"/>
      </w:rPr>
    </w:lvl>
    <w:lvl w:ilvl="8">
      <w:start w:val="1"/>
      <w:numFmt w:val="decimal"/>
      <w:lvlText w:val="%1.%2.%3.%4.%5.%6.%7.%8.%9"/>
      <w:lvlJc w:val="left"/>
      <w:pPr>
        <w:ind w:left="7560" w:hanging="1800"/>
      </w:pPr>
      <w:rPr>
        <w:rFonts w:cstheme="minorHAnsi" w:hint="default"/>
      </w:rPr>
    </w:lvl>
  </w:abstractNum>
  <w:abstractNum w:abstractNumId="9" w15:restartNumberingAfterBreak="0">
    <w:nsid w:val="3E4C2E9D"/>
    <w:multiLevelType w:val="hybridMultilevel"/>
    <w:tmpl w:val="F5429746"/>
    <w:lvl w:ilvl="0" w:tplc="D87E1114">
      <w:start w:val="1"/>
      <w:numFmt w:val="decimal"/>
      <w:lvlText w:val="1.%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22574"/>
    <w:multiLevelType w:val="hybridMultilevel"/>
    <w:tmpl w:val="232E16C2"/>
    <w:lvl w:ilvl="0" w:tplc="D87E1114">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EF1644"/>
    <w:multiLevelType w:val="multilevel"/>
    <w:tmpl w:val="ED2E8B28"/>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5757606F"/>
    <w:multiLevelType w:val="hybridMultilevel"/>
    <w:tmpl w:val="840C30F0"/>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16" w15:restartNumberingAfterBreak="0">
    <w:nsid w:val="6B764E25"/>
    <w:multiLevelType w:val="multilevel"/>
    <w:tmpl w:val="2CC02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583F9F"/>
    <w:multiLevelType w:val="multilevel"/>
    <w:tmpl w:val="D73A8774"/>
    <w:lvl w:ilvl="0">
      <w:start w:val="6"/>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8" w15:restartNumberingAfterBreak="0">
    <w:nsid w:val="71A80D5B"/>
    <w:multiLevelType w:val="hybridMultilevel"/>
    <w:tmpl w:val="3BB63C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50635DE"/>
    <w:multiLevelType w:val="multilevel"/>
    <w:tmpl w:val="1FEE5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4D033C"/>
    <w:multiLevelType w:val="multilevel"/>
    <w:tmpl w:val="213AF02C"/>
    <w:lvl w:ilvl="0">
      <w:start w:val="1"/>
      <w:numFmt w:val="decimal"/>
      <w:lvlText w:val="%1"/>
      <w:lvlJc w:val="left"/>
      <w:pPr>
        <w:ind w:left="720" w:hanging="720"/>
      </w:pPr>
      <w:rPr>
        <w:b/>
        <w:color w:val="auto"/>
      </w:rPr>
    </w:lvl>
    <w:lvl w:ilvl="1">
      <w:start w:val="1"/>
      <w:numFmt w:val="decimal"/>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7B8D2BE3"/>
    <w:multiLevelType w:val="multilevel"/>
    <w:tmpl w:val="E1BA2B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BBB7FF1"/>
    <w:multiLevelType w:val="hybridMultilevel"/>
    <w:tmpl w:val="DFB00914"/>
    <w:lvl w:ilvl="0" w:tplc="AFACF288">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0"/>
  </w:num>
  <w:num w:numId="4">
    <w:abstractNumId w:val="22"/>
  </w:num>
  <w:num w:numId="5">
    <w:abstractNumId w:val="12"/>
  </w:num>
  <w:num w:numId="6">
    <w:abstractNumId w:val="1"/>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num>
  <w:num w:numId="32">
    <w:abstractNumId w:val="2"/>
  </w:num>
  <w:num w:numId="33">
    <w:abstractNumId w:val="18"/>
  </w:num>
  <w:num w:numId="34">
    <w:abstractNumId w:val="3"/>
  </w:num>
  <w:num w:numId="35">
    <w:abstractNumId w:val="11"/>
  </w:num>
  <w:num w:numId="36">
    <w:abstractNumId w:val="9"/>
  </w:num>
  <w:num w:numId="37">
    <w:abstractNumId w:val="21"/>
  </w:num>
  <w:num w:numId="38">
    <w:abstractNumId w:val="8"/>
  </w:num>
  <w:num w:numId="39">
    <w:abstractNumId w:val="16"/>
  </w:num>
  <w:num w:numId="40">
    <w:abstractNumId w:val="14"/>
  </w:num>
  <w:num w:numId="41">
    <w:abstractNumId w:val="19"/>
  </w:num>
  <w:num w:numId="42">
    <w:abstractNumId w:val="6"/>
  </w:num>
  <w:num w:numId="43">
    <w:abstractNumId w:val="13"/>
  </w:num>
  <w:num w:numId="44">
    <w:abstractNumId w:val="17"/>
  </w:num>
  <w:num w:numId="45">
    <w:abstractNumId w:val="4"/>
  </w:num>
  <w:num w:numId="4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1A"/>
    <w:rsid w:val="00001CAD"/>
    <w:rsid w:val="0000681A"/>
    <w:rsid w:val="00012942"/>
    <w:rsid w:val="00014EE4"/>
    <w:rsid w:val="0002018D"/>
    <w:rsid w:val="00025332"/>
    <w:rsid w:val="00026507"/>
    <w:rsid w:val="00034100"/>
    <w:rsid w:val="000348B3"/>
    <w:rsid w:val="0003552D"/>
    <w:rsid w:val="00036283"/>
    <w:rsid w:val="000436B2"/>
    <w:rsid w:val="0004391D"/>
    <w:rsid w:val="00043977"/>
    <w:rsid w:val="000468D6"/>
    <w:rsid w:val="00051F8E"/>
    <w:rsid w:val="000620E9"/>
    <w:rsid w:val="0007017D"/>
    <w:rsid w:val="00071015"/>
    <w:rsid w:val="000751FF"/>
    <w:rsid w:val="00075CA8"/>
    <w:rsid w:val="00095BCD"/>
    <w:rsid w:val="00095EEA"/>
    <w:rsid w:val="000962EC"/>
    <w:rsid w:val="00096499"/>
    <w:rsid w:val="000A0370"/>
    <w:rsid w:val="000A54AA"/>
    <w:rsid w:val="000A6C21"/>
    <w:rsid w:val="000B1C0A"/>
    <w:rsid w:val="000B2F58"/>
    <w:rsid w:val="000C3435"/>
    <w:rsid w:val="000C4686"/>
    <w:rsid w:val="000C4F6F"/>
    <w:rsid w:val="000D4565"/>
    <w:rsid w:val="000D47F6"/>
    <w:rsid w:val="000E0856"/>
    <w:rsid w:val="000E552D"/>
    <w:rsid w:val="000F0CF9"/>
    <w:rsid w:val="000F6D1C"/>
    <w:rsid w:val="00103D6E"/>
    <w:rsid w:val="001047A3"/>
    <w:rsid w:val="00112F89"/>
    <w:rsid w:val="00115791"/>
    <w:rsid w:val="00120248"/>
    <w:rsid w:val="001214F4"/>
    <w:rsid w:val="00125B6A"/>
    <w:rsid w:val="001266FB"/>
    <w:rsid w:val="00131E60"/>
    <w:rsid w:val="00134C34"/>
    <w:rsid w:val="0013792D"/>
    <w:rsid w:val="00141C8A"/>
    <w:rsid w:val="00142CF1"/>
    <w:rsid w:val="00147EF2"/>
    <w:rsid w:val="00152434"/>
    <w:rsid w:val="001614FA"/>
    <w:rsid w:val="001632EB"/>
    <w:rsid w:val="00165D96"/>
    <w:rsid w:val="00171E88"/>
    <w:rsid w:val="00175195"/>
    <w:rsid w:val="0019717F"/>
    <w:rsid w:val="001977B2"/>
    <w:rsid w:val="001A19BF"/>
    <w:rsid w:val="001A5680"/>
    <w:rsid w:val="001A6B99"/>
    <w:rsid w:val="001B4854"/>
    <w:rsid w:val="001B7067"/>
    <w:rsid w:val="001C163E"/>
    <w:rsid w:val="001C291E"/>
    <w:rsid w:val="001C38FB"/>
    <w:rsid w:val="001C6D9A"/>
    <w:rsid w:val="001D1675"/>
    <w:rsid w:val="001D4358"/>
    <w:rsid w:val="001E23C8"/>
    <w:rsid w:val="001E2997"/>
    <w:rsid w:val="001E3F40"/>
    <w:rsid w:val="001E689C"/>
    <w:rsid w:val="001F07E5"/>
    <w:rsid w:val="001F2DB2"/>
    <w:rsid w:val="001F337F"/>
    <w:rsid w:val="001F6F62"/>
    <w:rsid w:val="001F7EB5"/>
    <w:rsid w:val="00200C83"/>
    <w:rsid w:val="0021403E"/>
    <w:rsid w:val="00220C7A"/>
    <w:rsid w:val="00227AEB"/>
    <w:rsid w:val="002348B5"/>
    <w:rsid w:val="00237AD0"/>
    <w:rsid w:val="00240A5A"/>
    <w:rsid w:val="002432EE"/>
    <w:rsid w:val="002450DD"/>
    <w:rsid w:val="00253005"/>
    <w:rsid w:val="0025381A"/>
    <w:rsid w:val="00254597"/>
    <w:rsid w:val="002556ED"/>
    <w:rsid w:val="00255C76"/>
    <w:rsid w:val="002610E6"/>
    <w:rsid w:val="002631CC"/>
    <w:rsid w:val="00265767"/>
    <w:rsid w:val="00280050"/>
    <w:rsid w:val="00281CD2"/>
    <w:rsid w:val="0028209E"/>
    <w:rsid w:val="002870F8"/>
    <w:rsid w:val="002933B3"/>
    <w:rsid w:val="00295CDC"/>
    <w:rsid w:val="002A0BF0"/>
    <w:rsid w:val="002A0C1A"/>
    <w:rsid w:val="002B1181"/>
    <w:rsid w:val="002B7914"/>
    <w:rsid w:val="002C1C18"/>
    <w:rsid w:val="002C5650"/>
    <w:rsid w:val="002C768E"/>
    <w:rsid w:val="002E24E2"/>
    <w:rsid w:val="002E3D2F"/>
    <w:rsid w:val="002E5E11"/>
    <w:rsid w:val="002F2820"/>
    <w:rsid w:val="002F2A49"/>
    <w:rsid w:val="002F562A"/>
    <w:rsid w:val="00301ED3"/>
    <w:rsid w:val="0031492D"/>
    <w:rsid w:val="00316DF2"/>
    <w:rsid w:val="003208E4"/>
    <w:rsid w:val="00323A48"/>
    <w:rsid w:val="00323CB0"/>
    <w:rsid w:val="00324759"/>
    <w:rsid w:val="00327C66"/>
    <w:rsid w:val="00335175"/>
    <w:rsid w:val="00347A4A"/>
    <w:rsid w:val="00350A5D"/>
    <w:rsid w:val="00355F70"/>
    <w:rsid w:val="00374FF2"/>
    <w:rsid w:val="00375874"/>
    <w:rsid w:val="00375C05"/>
    <w:rsid w:val="003809B6"/>
    <w:rsid w:val="003A01DA"/>
    <w:rsid w:val="003B1800"/>
    <w:rsid w:val="003B1CDF"/>
    <w:rsid w:val="003B226A"/>
    <w:rsid w:val="003D7771"/>
    <w:rsid w:val="003E21B1"/>
    <w:rsid w:val="003E57A5"/>
    <w:rsid w:val="003E643F"/>
    <w:rsid w:val="00401001"/>
    <w:rsid w:val="00401DAF"/>
    <w:rsid w:val="00411F03"/>
    <w:rsid w:val="00417B86"/>
    <w:rsid w:val="0042369B"/>
    <w:rsid w:val="004257C2"/>
    <w:rsid w:val="004271A4"/>
    <w:rsid w:val="0043122F"/>
    <w:rsid w:val="00443D4E"/>
    <w:rsid w:val="00446E52"/>
    <w:rsid w:val="00446F58"/>
    <w:rsid w:val="004508EF"/>
    <w:rsid w:val="00453707"/>
    <w:rsid w:val="00453848"/>
    <w:rsid w:val="0045424A"/>
    <w:rsid w:val="0047385D"/>
    <w:rsid w:val="004770D8"/>
    <w:rsid w:val="00477B0D"/>
    <w:rsid w:val="004870D8"/>
    <w:rsid w:val="004873F5"/>
    <w:rsid w:val="00497A57"/>
    <w:rsid w:val="004A79FA"/>
    <w:rsid w:val="004A7FED"/>
    <w:rsid w:val="004B06AB"/>
    <w:rsid w:val="004B1FF6"/>
    <w:rsid w:val="004B2885"/>
    <w:rsid w:val="004C75CF"/>
    <w:rsid w:val="004D156F"/>
    <w:rsid w:val="004D7CA5"/>
    <w:rsid w:val="004E16AB"/>
    <w:rsid w:val="005012B9"/>
    <w:rsid w:val="005051D3"/>
    <w:rsid w:val="0051334A"/>
    <w:rsid w:val="00514A13"/>
    <w:rsid w:val="00515048"/>
    <w:rsid w:val="0051531E"/>
    <w:rsid w:val="0051752B"/>
    <w:rsid w:val="00517E61"/>
    <w:rsid w:val="0052033F"/>
    <w:rsid w:val="00520CB5"/>
    <w:rsid w:val="00521799"/>
    <w:rsid w:val="00522FA8"/>
    <w:rsid w:val="00525B7E"/>
    <w:rsid w:val="00545DA5"/>
    <w:rsid w:val="00551EBC"/>
    <w:rsid w:val="00554C11"/>
    <w:rsid w:val="00556A23"/>
    <w:rsid w:val="00561088"/>
    <w:rsid w:val="00563590"/>
    <w:rsid w:val="005666C2"/>
    <w:rsid w:val="005716C0"/>
    <w:rsid w:val="00577366"/>
    <w:rsid w:val="00582A9C"/>
    <w:rsid w:val="00583244"/>
    <w:rsid w:val="00584E9B"/>
    <w:rsid w:val="00585618"/>
    <w:rsid w:val="005931C4"/>
    <w:rsid w:val="00596B3D"/>
    <w:rsid w:val="005A24B8"/>
    <w:rsid w:val="005B6ED0"/>
    <w:rsid w:val="005C156F"/>
    <w:rsid w:val="005C1F16"/>
    <w:rsid w:val="005C50C6"/>
    <w:rsid w:val="005D09C7"/>
    <w:rsid w:val="005F4E5C"/>
    <w:rsid w:val="006019F9"/>
    <w:rsid w:val="0060744D"/>
    <w:rsid w:val="006168B6"/>
    <w:rsid w:val="00620050"/>
    <w:rsid w:val="0062128E"/>
    <w:rsid w:val="00654A62"/>
    <w:rsid w:val="00662854"/>
    <w:rsid w:val="00664C2B"/>
    <w:rsid w:val="00667F7B"/>
    <w:rsid w:val="00670EB4"/>
    <w:rsid w:val="0067279A"/>
    <w:rsid w:val="00672EAD"/>
    <w:rsid w:val="006839AB"/>
    <w:rsid w:val="00684D34"/>
    <w:rsid w:val="00686E42"/>
    <w:rsid w:val="006A681E"/>
    <w:rsid w:val="006B1EA5"/>
    <w:rsid w:val="006B4BE5"/>
    <w:rsid w:val="006C00C8"/>
    <w:rsid w:val="006C01F5"/>
    <w:rsid w:val="006D570B"/>
    <w:rsid w:val="006E1BC6"/>
    <w:rsid w:val="006E2CD9"/>
    <w:rsid w:val="006E7C76"/>
    <w:rsid w:val="006E7EC1"/>
    <w:rsid w:val="006F0A11"/>
    <w:rsid w:val="006F2BC4"/>
    <w:rsid w:val="006F5F6F"/>
    <w:rsid w:val="006F69C6"/>
    <w:rsid w:val="00700238"/>
    <w:rsid w:val="00705861"/>
    <w:rsid w:val="00713418"/>
    <w:rsid w:val="00714B1F"/>
    <w:rsid w:val="00723DF8"/>
    <w:rsid w:val="00741A53"/>
    <w:rsid w:val="007477B9"/>
    <w:rsid w:val="00752AE5"/>
    <w:rsid w:val="00754769"/>
    <w:rsid w:val="007568A1"/>
    <w:rsid w:val="007620DA"/>
    <w:rsid w:val="00763A39"/>
    <w:rsid w:val="00767976"/>
    <w:rsid w:val="0077128C"/>
    <w:rsid w:val="0077168F"/>
    <w:rsid w:val="00772553"/>
    <w:rsid w:val="00775A97"/>
    <w:rsid w:val="00776531"/>
    <w:rsid w:val="00780B67"/>
    <w:rsid w:val="00784614"/>
    <w:rsid w:val="00790BB9"/>
    <w:rsid w:val="007A1469"/>
    <w:rsid w:val="007A1FCF"/>
    <w:rsid w:val="007A75E2"/>
    <w:rsid w:val="007B46F1"/>
    <w:rsid w:val="007B602D"/>
    <w:rsid w:val="007B7174"/>
    <w:rsid w:val="007B7A59"/>
    <w:rsid w:val="007C2B5A"/>
    <w:rsid w:val="007C2BE3"/>
    <w:rsid w:val="007C7A89"/>
    <w:rsid w:val="007D1169"/>
    <w:rsid w:val="007D1646"/>
    <w:rsid w:val="007E20F1"/>
    <w:rsid w:val="007E5E7A"/>
    <w:rsid w:val="007F210B"/>
    <w:rsid w:val="007F37D6"/>
    <w:rsid w:val="007F6680"/>
    <w:rsid w:val="00810C5A"/>
    <w:rsid w:val="00812185"/>
    <w:rsid w:val="00813E54"/>
    <w:rsid w:val="00822CE8"/>
    <w:rsid w:val="00836512"/>
    <w:rsid w:val="008408CE"/>
    <w:rsid w:val="00840A89"/>
    <w:rsid w:val="008462C9"/>
    <w:rsid w:val="00852360"/>
    <w:rsid w:val="00855EDB"/>
    <w:rsid w:val="00860F96"/>
    <w:rsid w:val="00862D67"/>
    <w:rsid w:val="008727D0"/>
    <w:rsid w:val="008737E9"/>
    <w:rsid w:val="00876E72"/>
    <w:rsid w:val="00876EE9"/>
    <w:rsid w:val="008A15BF"/>
    <w:rsid w:val="008A3930"/>
    <w:rsid w:val="008A5E8C"/>
    <w:rsid w:val="008B102F"/>
    <w:rsid w:val="008B3FB9"/>
    <w:rsid w:val="008B6802"/>
    <w:rsid w:val="008C5994"/>
    <w:rsid w:val="008C7D9E"/>
    <w:rsid w:val="008D0BA1"/>
    <w:rsid w:val="008E0702"/>
    <w:rsid w:val="008E4D8D"/>
    <w:rsid w:val="008E6C5C"/>
    <w:rsid w:val="008E7647"/>
    <w:rsid w:val="008F0912"/>
    <w:rsid w:val="008F20ED"/>
    <w:rsid w:val="008F3626"/>
    <w:rsid w:val="00900D4B"/>
    <w:rsid w:val="00902CFB"/>
    <w:rsid w:val="0090339A"/>
    <w:rsid w:val="009079BD"/>
    <w:rsid w:val="009111B0"/>
    <w:rsid w:val="0091188B"/>
    <w:rsid w:val="009122D6"/>
    <w:rsid w:val="0091248F"/>
    <w:rsid w:val="009135D3"/>
    <w:rsid w:val="00915E7D"/>
    <w:rsid w:val="00922E34"/>
    <w:rsid w:val="00923BE3"/>
    <w:rsid w:val="00924F36"/>
    <w:rsid w:val="0093309C"/>
    <w:rsid w:val="00933F1C"/>
    <w:rsid w:val="0093625C"/>
    <w:rsid w:val="00951172"/>
    <w:rsid w:val="00952B46"/>
    <w:rsid w:val="009540E8"/>
    <w:rsid w:val="00956086"/>
    <w:rsid w:val="009561ED"/>
    <w:rsid w:val="0096357A"/>
    <w:rsid w:val="00966364"/>
    <w:rsid w:val="009706C7"/>
    <w:rsid w:val="00971183"/>
    <w:rsid w:val="00972FA8"/>
    <w:rsid w:val="009739CB"/>
    <w:rsid w:val="009755A3"/>
    <w:rsid w:val="00981D5B"/>
    <w:rsid w:val="0098350B"/>
    <w:rsid w:val="00983519"/>
    <w:rsid w:val="009A1A80"/>
    <w:rsid w:val="009A1F23"/>
    <w:rsid w:val="009A3AFC"/>
    <w:rsid w:val="009B0927"/>
    <w:rsid w:val="009B668F"/>
    <w:rsid w:val="009B74B0"/>
    <w:rsid w:val="009B7C17"/>
    <w:rsid w:val="009C0865"/>
    <w:rsid w:val="009C188A"/>
    <w:rsid w:val="009C4662"/>
    <w:rsid w:val="009C7665"/>
    <w:rsid w:val="009D4D04"/>
    <w:rsid w:val="009E2E62"/>
    <w:rsid w:val="009E3549"/>
    <w:rsid w:val="009E4628"/>
    <w:rsid w:val="009E6BF1"/>
    <w:rsid w:val="009E77AC"/>
    <w:rsid w:val="009E7A01"/>
    <w:rsid w:val="009F44D2"/>
    <w:rsid w:val="009F6635"/>
    <w:rsid w:val="00A0412A"/>
    <w:rsid w:val="00A06407"/>
    <w:rsid w:val="00A101B3"/>
    <w:rsid w:val="00A12741"/>
    <w:rsid w:val="00A13DFF"/>
    <w:rsid w:val="00A14AE8"/>
    <w:rsid w:val="00A176F7"/>
    <w:rsid w:val="00A21A2D"/>
    <w:rsid w:val="00A33F64"/>
    <w:rsid w:val="00A41BC7"/>
    <w:rsid w:val="00A4265C"/>
    <w:rsid w:val="00A55AB4"/>
    <w:rsid w:val="00A57CE3"/>
    <w:rsid w:val="00A63CF2"/>
    <w:rsid w:val="00A66A99"/>
    <w:rsid w:val="00A756AD"/>
    <w:rsid w:val="00A83616"/>
    <w:rsid w:val="00A91423"/>
    <w:rsid w:val="00A9306F"/>
    <w:rsid w:val="00AA195E"/>
    <w:rsid w:val="00AA37FB"/>
    <w:rsid w:val="00AA4ADE"/>
    <w:rsid w:val="00AB00BF"/>
    <w:rsid w:val="00AB23BB"/>
    <w:rsid w:val="00AB46F0"/>
    <w:rsid w:val="00AC0D6A"/>
    <w:rsid w:val="00AC3CA7"/>
    <w:rsid w:val="00AC4669"/>
    <w:rsid w:val="00AC6353"/>
    <w:rsid w:val="00AD7398"/>
    <w:rsid w:val="00AE17FE"/>
    <w:rsid w:val="00AE1933"/>
    <w:rsid w:val="00AE3B18"/>
    <w:rsid w:val="00AE41EB"/>
    <w:rsid w:val="00AF03F5"/>
    <w:rsid w:val="00B07AFD"/>
    <w:rsid w:val="00B10E42"/>
    <w:rsid w:val="00B17405"/>
    <w:rsid w:val="00B20E60"/>
    <w:rsid w:val="00B232D6"/>
    <w:rsid w:val="00B27D1F"/>
    <w:rsid w:val="00B401EA"/>
    <w:rsid w:val="00B44E3D"/>
    <w:rsid w:val="00B6003F"/>
    <w:rsid w:val="00B609A5"/>
    <w:rsid w:val="00B63A2E"/>
    <w:rsid w:val="00B70AEE"/>
    <w:rsid w:val="00B74E5E"/>
    <w:rsid w:val="00B75144"/>
    <w:rsid w:val="00B77E54"/>
    <w:rsid w:val="00B94EC9"/>
    <w:rsid w:val="00B961FC"/>
    <w:rsid w:val="00B972D3"/>
    <w:rsid w:val="00B973BC"/>
    <w:rsid w:val="00BB30E8"/>
    <w:rsid w:val="00BB33C7"/>
    <w:rsid w:val="00BC4761"/>
    <w:rsid w:val="00BD1018"/>
    <w:rsid w:val="00BD1DD6"/>
    <w:rsid w:val="00BD5D8B"/>
    <w:rsid w:val="00BD759E"/>
    <w:rsid w:val="00BD7C2E"/>
    <w:rsid w:val="00BE22F5"/>
    <w:rsid w:val="00BE273E"/>
    <w:rsid w:val="00BF1207"/>
    <w:rsid w:val="00BF4904"/>
    <w:rsid w:val="00BF4DDA"/>
    <w:rsid w:val="00C10180"/>
    <w:rsid w:val="00C2504E"/>
    <w:rsid w:val="00C26262"/>
    <w:rsid w:val="00C277DF"/>
    <w:rsid w:val="00C36E59"/>
    <w:rsid w:val="00C401CD"/>
    <w:rsid w:val="00C45DD9"/>
    <w:rsid w:val="00C53B7C"/>
    <w:rsid w:val="00C57247"/>
    <w:rsid w:val="00C60FDF"/>
    <w:rsid w:val="00C64599"/>
    <w:rsid w:val="00C65B6D"/>
    <w:rsid w:val="00C7081E"/>
    <w:rsid w:val="00C72593"/>
    <w:rsid w:val="00C73F1F"/>
    <w:rsid w:val="00C76254"/>
    <w:rsid w:val="00C82A30"/>
    <w:rsid w:val="00C86C58"/>
    <w:rsid w:val="00C871F4"/>
    <w:rsid w:val="00C87AD4"/>
    <w:rsid w:val="00C87C1A"/>
    <w:rsid w:val="00C93286"/>
    <w:rsid w:val="00C9565C"/>
    <w:rsid w:val="00C96710"/>
    <w:rsid w:val="00CA4FC5"/>
    <w:rsid w:val="00CA5562"/>
    <w:rsid w:val="00CB7ED1"/>
    <w:rsid w:val="00CC325C"/>
    <w:rsid w:val="00CC3DD1"/>
    <w:rsid w:val="00CC4FFE"/>
    <w:rsid w:val="00CC6A7F"/>
    <w:rsid w:val="00CC7D00"/>
    <w:rsid w:val="00CD7328"/>
    <w:rsid w:val="00CE2CB3"/>
    <w:rsid w:val="00CE5105"/>
    <w:rsid w:val="00CF3DED"/>
    <w:rsid w:val="00CF53CD"/>
    <w:rsid w:val="00CF58F0"/>
    <w:rsid w:val="00CF5CF2"/>
    <w:rsid w:val="00CF676D"/>
    <w:rsid w:val="00CF70E3"/>
    <w:rsid w:val="00D02492"/>
    <w:rsid w:val="00D03300"/>
    <w:rsid w:val="00D03F81"/>
    <w:rsid w:val="00D10E40"/>
    <w:rsid w:val="00D12E16"/>
    <w:rsid w:val="00D230F9"/>
    <w:rsid w:val="00D31434"/>
    <w:rsid w:val="00D3530E"/>
    <w:rsid w:val="00D36F68"/>
    <w:rsid w:val="00D379D1"/>
    <w:rsid w:val="00D401E5"/>
    <w:rsid w:val="00D43882"/>
    <w:rsid w:val="00D45321"/>
    <w:rsid w:val="00D500A1"/>
    <w:rsid w:val="00D536E7"/>
    <w:rsid w:val="00D546E5"/>
    <w:rsid w:val="00D567A8"/>
    <w:rsid w:val="00D6045A"/>
    <w:rsid w:val="00D66C88"/>
    <w:rsid w:val="00D71711"/>
    <w:rsid w:val="00D71E78"/>
    <w:rsid w:val="00D73548"/>
    <w:rsid w:val="00D73CB4"/>
    <w:rsid w:val="00D7795E"/>
    <w:rsid w:val="00D843E4"/>
    <w:rsid w:val="00D846A2"/>
    <w:rsid w:val="00D84E87"/>
    <w:rsid w:val="00DA0E57"/>
    <w:rsid w:val="00DB13DE"/>
    <w:rsid w:val="00DB1BAD"/>
    <w:rsid w:val="00DB2AB4"/>
    <w:rsid w:val="00DB2F3A"/>
    <w:rsid w:val="00DB437D"/>
    <w:rsid w:val="00DB5023"/>
    <w:rsid w:val="00DB6A1D"/>
    <w:rsid w:val="00DC33BA"/>
    <w:rsid w:val="00DC3D0D"/>
    <w:rsid w:val="00DC4530"/>
    <w:rsid w:val="00DC661D"/>
    <w:rsid w:val="00DC6885"/>
    <w:rsid w:val="00DC78D9"/>
    <w:rsid w:val="00DD1D7B"/>
    <w:rsid w:val="00DD6456"/>
    <w:rsid w:val="00DD6724"/>
    <w:rsid w:val="00DE1241"/>
    <w:rsid w:val="00DE16ED"/>
    <w:rsid w:val="00DF7034"/>
    <w:rsid w:val="00E0616A"/>
    <w:rsid w:val="00E10653"/>
    <w:rsid w:val="00E125E6"/>
    <w:rsid w:val="00E15D51"/>
    <w:rsid w:val="00E16628"/>
    <w:rsid w:val="00E228B5"/>
    <w:rsid w:val="00E23A8A"/>
    <w:rsid w:val="00E4170B"/>
    <w:rsid w:val="00E4544A"/>
    <w:rsid w:val="00E60392"/>
    <w:rsid w:val="00E62E17"/>
    <w:rsid w:val="00E65A65"/>
    <w:rsid w:val="00E66169"/>
    <w:rsid w:val="00E70906"/>
    <w:rsid w:val="00E7140A"/>
    <w:rsid w:val="00E719B8"/>
    <w:rsid w:val="00E81938"/>
    <w:rsid w:val="00E874B2"/>
    <w:rsid w:val="00E912A1"/>
    <w:rsid w:val="00E936CD"/>
    <w:rsid w:val="00EA42CD"/>
    <w:rsid w:val="00EA46B5"/>
    <w:rsid w:val="00EB1CDB"/>
    <w:rsid w:val="00EB2037"/>
    <w:rsid w:val="00EB6183"/>
    <w:rsid w:val="00EC0514"/>
    <w:rsid w:val="00EC5383"/>
    <w:rsid w:val="00ED038A"/>
    <w:rsid w:val="00EE3F2C"/>
    <w:rsid w:val="00EE488E"/>
    <w:rsid w:val="00EE724B"/>
    <w:rsid w:val="00EF2D38"/>
    <w:rsid w:val="00EF49D4"/>
    <w:rsid w:val="00EF71EA"/>
    <w:rsid w:val="00F010F3"/>
    <w:rsid w:val="00F04378"/>
    <w:rsid w:val="00F07D2A"/>
    <w:rsid w:val="00F11D9E"/>
    <w:rsid w:val="00F12524"/>
    <w:rsid w:val="00F13251"/>
    <w:rsid w:val="00F1492C"/>
    <w:rsid w:val="00F14D6C"/>
    <w:rsid w:val="00F176D8"/>
    <w:rsid w:val="00F24008"/>
    <w:rsid w:val="00F32F43"/>
    <w:rsid w:val="00F37042"/>
    <w:rsid w:val="00F4353A"/>
    <w:rsid w:val="00F51427"/>
    <w:rsid w:val="00F5372F"/>
    <w:rsid w:val="00F569F5"/>
    <w:rsid w:val="00F6315B"/>
    <w:rsid w:val="00F6399A"/>
    <w:rsid w:val="00F659FF"/>
    <w:rsid w:val="00F66B9A"/>
    <w:rsid w:val="00F70428"/>
    <w:rsid w:val="00F7518E"/>
    <w:rsid w:val="00F8539D"/>
    <w:rsid w:val="00F85E3C"/>
    <w:rsid w:val="00F966B1"/>
    <w:rsid w:val="00F97E9D"/>
    <w:rsid w:val="00FA38EA"/>
    <w:rsid w:val="00FA431F"/>
    <w:rsid w:val="00FB0B55"/>
    <w:rsid w:val="00FB3A8F"/>
    <w:rsid w:val="00FB3C10"/>
    <w:rsid w:val="00FC0543"/>
    <w:rsid w:val="00FC1DA1"/>
    <w:rsid w:val="00FC48DB"/>
    <w:rsid w:val="00FC724C"/>
    <w:rsid w:val="00FD07CA"/>
    <w:rsid w:val="00FD0DC8"/>
    <w:rsid w:val="00FD17D4"/>
    <w:rsid w:val="00FD639F"/>
    <w:rsid w:val="00FD6677"/>
    <w:rsid w:val="00FE1DC9"/>
    <w:rsid w:val="00FE5225"/>
    <w:rsid w:val="00FE76BC"/>
    <w:rsid w:val="00FF5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F5F6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1A"/>
    <w:pPr>
      <w:spacing w:after="0" w:line="240" w:lineRule="auto"/>
      <w:jc w:val="both"/>
    </w:pPr>
    <w:rPr>
      <w:rFonts w:ascii="Calibri" w:eastAsia="Times New Roman" w:hAnsi="Calibri"/>
      <w:lang w:eastAsia="en-AU"/>
    </w:rPr>
  </w:style>
  <w:style w:type="paragraph" w:styleId="Heading1">
    <w:name w:val="heading 1"/>
    <w:aliases w:val="Heading 1.KMC16 - Heading 1,KMC-Heading 1,Outline1,p1,H1,Titre 1 Car Car,Titre 1 Car"/>
    <w:basedOn w:val="ListParagraph"/>
    <w:next w:val="Normal"/>
    <w:link w:val="Heading1Char"/>
    <w:qFormat/>
    <w:rsid w:val="002A0C1A"/>
    <w:pPr>
      <w:ind w:left="0"/>
      <w:outlineLvl w:val="0"/>
    </w:pPr>
    <w:rPr>
      <w:b/>
      <w:szCs w:val="22"/>
    </w:rPr>
  </w:style>
  <w:style w:type="paragraph" w:styleId="Heading2">
    <w:name w:val="heading 2"/>
    <w:aliases w:val="Subsection Headings"/>
    <w:basedOn w:val="Normal"/>
    <w:next w:val="Normal"/>
    <w:link w:val="Heading2Char"/>
    <w:uiPriority w:val="1"/>
    <w:qFormat/>
    <w:rsid w:val="002A0C1A"/>
    <w:pPr>
      <w:keepNext/>
      <w:outlineLvl w:val="1"/>
    </w:pPr>
    <w:rPr>
      <w:rFonts w:ascii="Arial" w:hAnsi="Arial"/>
      <w:b/>
      <w:i/>
      <w:sz w:val="22"/>
    </w:rPr>
  </w:style>
  <w:style w:type="paragraph" w:styleId="Heading6">
    <w:name w:val="heading 6"/>
    <w:basedOn w:val="Normal"/>
    <w:next w:val="Normal"/>
    <w:link w:val="Heading6Char"/>
    <w:uiPriority w:val="9"/>
    <w:semiHidden/>
    <w:unhideWhenUsed/>
    <w:qFormat/>
    <w:rsid w:val="004D7CA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KMC16 - Heading 1 Char,KMC-Heading 1 Char,Outline1 Char,p1 Char,H1 Char,Titre 1 Car Car Char,Titre 1 Car Char"/>
    <w:basedOn w:val="DefaultParagraphFont"/>
    <w:link w:val="Heading1"/>
    <w:rsid w:val="002A0C1A"/>
    <w:rPr>
      <w:rFonts w:asciiTheme="minorHAnsi" w:eastAsia="Times New Roman" w:hAnsiTheme="minorHAnsi" w:cs="Arial"/>
      <w:b/>
      <w:snapToGrid w:val="0"/>
      <w:szCs w:val="22"/>
      <w:lang w:eastAsia="en-AU"/>
    </w:rPr>
  </w:style>
  <w:style w:type="character" w:customStyle="1" w:styleId="Heading2Char">
    <w:name w:val="Heading 2 Char"/>
    <w:aliases w:val="Subsection Headings Char"/>
    <w:basedOn w:val="DefaultParagraphFont"/>
    <w:link w:val="Heading2"/>
    <w:uiPriority w:val="1"/>
    <w:rsid w:val="002A0C1A"/>
    <w:rPr>
      <w:rFonts w:ascii="Arial" w:eastAsia="Times New Roman" w:hAnsi="Arial"/>
      <w:b/>
      <w:i/>
      <w:sz w:val="22"/>
      <w:lang w:eastAsia="en-AU"/>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next w:val="ListBullet"/>
    <w:link w:val="ListParagraphChar"/>
    <w:uiPriority w:val="34"/>
    <w:qFormat/>
    <w:rsid w:val="002A0C1A"/>
    <w:pPr>
      <w:spacing w:after="120" w:line="240" w:lineRule="auto"/>
      <w:ind w:left="1134" w:hanging="357"/>
    </w:pPr>
    <w:rPr>
      <w:rFonts w:asciiTheme="minorHAnsi" w:eastAsia="Times New Roman" w:hAnsiTheme="minorHAnsi" w:cs="Arial"/>
      <w:snapToGrid w:val="0"/>
      <w:lang w:eastAsia="en-AU"/>
    </w:rPr>
  </w:style>
  <w:style w:type="paragraph" w:styleId="ListBullet">
    <w:name w:val="List Bullet"/>
    <w:basedOn w:val="Normal"/>
    <w:unhideWhenUsed/>
    <w:rsid w:val="002A0C1A"/>
    <w:pPr>
      <w:numPr>
        <w:numId w:val="6"/>
      </w:numPr>
      <w:contextualSpacing/>
    </w:p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34"/>
    <w:qFormat/>
    <w:rsid w:val="002A0C1A"/>
    <w:rPr>
      <w:rFonts w:asciiTheme="minorHAnsi" w:eastAsia="Times New Roman" w:hAnsiTheme="minorHAnsi" w:cs="Arial"/>
      <w:snapToGrid w:val="0"/>
      <w:lang w:eastAsia="en-AU"/>
    </w:rPr>
  </w:style>
  <w:style w:type="paragraph" w:styleId="Header">
    <w:name w:val="header"/>
    <w:aliases w:val="Page Header,Header title,he=header,cntr/bld"/>
    <w:basedOn w:val="Normal"/>
    <w:link w:val="HeaderChar"/>
    <w:uiPriority w:val="99"/>
    <w:qFormat/>
    <w:rsid w:val="002A0C1A"/>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2A0C1A"/>
    <w:rPr>
      <w:rFonts w:ascii="Calibri" w:eastAsia="Times New Roman" w:hAnsi="Calibri"/>
      <w:lang w:eastAsia="en-AU"/>
    </w:rPr>
  </w:style>
  <w:style w:type="paragraph" w:styleId="Footer">
    <w:name w:val="footer"/>
    <w:basedOn w:val="Normal"/>
    <w:link w:val="FooterChar"/>
    <w:uiPriority w:val="99"/>
    <w:rsid w:val="002A0C1A"/>
    <w:pPr>
      <w:tabs>
        <w:tab w:val="center" w:pos="4153"/>
        <w:tab w:val="right" w:pos="8306"/>
      </w:tabs>
    </w:pPr>
  </w:style>
  <w:style w:type="character" w:customStyle="1" w:styleId="FooterChar">
    <w:name w:val="Footer Char"/>
    <w:basedOn w:val="DefaultParagraphFont"/>
    <w:link w:val="Footer"/>
    <w:uiPriority w:val="99"/>
    <w:rsid w:val="002A0C1A"/>
    <w:rPr>
      <w:rFonts w:ascii="Calibri" w:eastAsia="Times New Roman" w:hAnsi="Calibri"/>
      <w:lang w:eastAsia="en-AU"/>
    </w:rPr>
  </w:style>
  <w:style w:type="character" w:styleId="PageNumber">
    <w:name w:val="page number"/>
    <w:basedOn w:val="DefaultParagraphFont"/>
    <w:rsid w:val="002A0C1A"/>
  </w:style>
  <w:style w:type="table" w:styleId="TableGrid">
    <w:name w:val="Table Grid"/>
    <w:aliases w:val="Dossier table,Summary box,Table Gridbeth,CMA Table Template,ASD Table,Lash Style Table"/>
    <w:basedOn w:val="TableNormal"/>
    <w:uiPriority w:val="59"/>
    <w:rsid w:val="002A0C1A"/>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link w:val="MediumGrid2Char"/>
    <w:rsid w:val="002A0C1A"/>
    <w:pPr>
      <w:spacing w:after="0" w:line="240" w:lineRule="auto"/>
    </w:pPr>
    <w:rPr>
      <w:rFonts w:ascii="PMingLiU" w:eastAsia="MS Mincho" w:hAnsi="PMingLiU"/>
      <w:sz w:val="22"/>
      <w:szCs w:val="22"/>
      <w:lang w:val="en-US"/>
    </w:rPr>
  </w:style>
  <w:style w:type="character" w:customStyle="1" w:styleId="MediumGrid2Char">
    <w:name w:val="Medium Grid 2 Char"/>
    <w:link w:val="MediumGrid21"/>
    <w:rsid w:val="002A0C1A"/>
    <w:rPr>
      <w:rFonts w:ascii="PMingLiU" w:eastAsia="MS Mincho" w:hAnsi="PMingLiU"/>
      <w:sz w:val="22"/>
      <w:szCs w:val="22"/>
      <w:lang w:val="en-US"/>
    </w:rPr>
  </w:style>
  <w:style w:type="character" w:styleId="CommentReference">
    <w:name w:val="annotation reference"/>
    <w:aliases w:val="Table Title"/>
    <w:basedOn w:val="DefaultParagraphFont"/>
    <w:uiPriority w:val="99"/>
    <w:qFormat/>
    <w:rsid w:val="002A0C1A"/>
    <w:rPr>
      <w:sz w:val="16"/>
      <w:szCs w:val="16"/>
    </w:rPr>
  </w:style>
  <w:style w:type="paragraph" w:styleId="CommentText">
    <w:name w:val="annotation text"/>
    <w:basedOn w:val="Normal"/>
    <w:link w:val="CommentTextChar"/>
    <w:rsid w:val="002A0C1A"/>
    <w:rPr>
      <w:sz w:val="20"/>
      <w:szCs w:val="20"/>
    </w:rPr>
  </w:style>
  <w:style w:type="character" w:customStyle="1" w:styleId="CommentTextChar">
    <w:name w:val="Comment Text Char"/>
    <w:basedOn w:val="DefaultParagraphFont"/>
    <w:link w:val="CommentText"/>
    <w:rsid w:val="002A0C1A"/>
    <w:rPr>
      <w:rFonts w:ascii="Calibri" w:eastAsia="Times New Roman" w:hAnsi="Calibri"/>
      <w:sz w:val="20"/>
      <w:szCs w:val="20"/>
      <w:lang w:eastAsia="en-AU"/>
    </w:rPr>
  </w:style>
  <w:style w:type="paragraph" w:customStyle="1" w:styleId="2Sections">
    <w:name w:val="2. Sections"/>
    <w:qFormat/>
    <w:rsid w:val="002A0C1A"/>
    <w:pPr>
      <w:spacing w:before="240" w:after="120" w:line="240" w:lineRule="auto"/>
      <w:outlineLvl w:val="0"/>
    </w:pPr>
    <w:rPr>
      <w:rFonts w:asciiTheme="minorHAnsi" w:eastAsia="Times New Roman" w:hAnsiTheme="minorHAnsi" w:cs="Arial"/>
      <w:b/>
      <w:snapToGrid w:val="0"/>
      <w:sz w:val="32"/>
      <w:szCs w:val="32"/>
    </w:rPr>
  </w:style>
  <w:style w:type="paragraph" w:customStyle="1" w:styleId="1MainTitle">
    <w:name w:val="1. Main Title"/>
    <w:basedOn w:val="Title"/>
    <w:link w:val="1MainTitleChar"/>
    <w:qFormat/>
    <w:rsid w:val="002A0C1A"/>
    <w:pPr>
      <w:spacing w:before="120" w:after="160"/>
      <w:ind w:left="720" w:hanging="720"/>
      <w:outlineLvl w:val="0"/>
    </w:pPr>
    <w:rPr>
      <w:rFonts w:asciiTheme="minorHAnsi" w:hAnsiTheme="minorHAnsi"/>
      <w:b/>
      <w:spacing w:val="5"/>
      <w:sz w:val="36"/>
      <w:szCs w:val="36"/>
    </w:rPr>
  </w:style>
  <w:style w:type="character" w:customStyle="1" w:styleId="1MainTitleChar">
    <w:name w:val="1. Main Title Char"/>
    <w:basedOn w:val="TitleChar"/>
    <w:link w:val="1MainTitle"/>
    <w:rsid w:val="002A0C1A"/>
    <w:rPr>
      <w:rFonts w:asciiTheme="minorHAnsi" w:eastAsiaTheme="majorEastAsia" w:hAnsiTheme="minorHAnsi" w:cstheme="majorBidi"/>
      <w:b/>
      <w:spacing w:val="5"/>
      <w:kern w:val="28"/>
      <w:sz w:val="36"/>
      <w:szCs w:val="36"/>
      <w:lang w:eastAsia="en-AU"/>
    </w:rPr>
  </w:style>
  <w:style w:type="paragraph" w:customStyle="1" w:styleId="MinorOVRHeader">
    <w:name w:val="Minor OVR Header"/>
    <w:basedOn w:val="Header"/>
    <w:link w:val="MinorOVRHeaderChar"/>
    <w:rsid w:val="002A0C1A"/>
    <w:pPr>
      <w:jc w:val="right"/>
    </w:pPr>
    <w:rPr>
      <w:rFonts w:asciiTheme="minorHAnsi" w:hAnsiTheme="minorHAnsi" w:cs="Arial"/>
    </w:rPr>
  </w:style>
  <w:style w:type="character" w:customStyle="1" w:styleId="MinorOVRHeaderChar">
    <w:name w:val="Minor OVR Header Char"/>
    <w:basedOn w:val="HeaderChar"/>
    <w:link w:val="MinorOVRHeader"/>
    <w:rsid w:val="002A0C1A"/>
    <w:rPr>
      <w:rFonts w:asciiTheme="minorHAnsi" w:eastAsia="Times New Roman" w:hAnsiTheme="minorHAnsi" w:cs="Arial"/>
      <w:lang w:eastAsia="en-AU"/>
    </w:rPr>
  </w:style>
  <w:style w:type="paragraph" w:customStyle="1" w:styleId="Tabletitles">
    <w:name w:val="Table titles"/>
    <w:basedOn w:val="NoSpacing"/>
    <w:link w:val="TabletitlesChar"/>
    <w:qFormat/>
    <w:rsid w:val="002A0C1A"/>
    <w:pPr>
      <w:spacing w:after="60"/>
    </w:pPr>
    <w:rPr>
      <w:rFonts w:ascii="Arial Narrow" w:hAnsi="Arial Narrow"/>
      <w:b/>
      <w:sz w:val="20"/>
      <w:szCs w:val="22"/>
    </w:rPr>
  </w:style>
  <w:style w:type="character" w:customStyle="1" w:styleId="TabletitlesChar">
    <w:name w:val="Table titles Char"/>
    <w:basedOn w:val="DefaultParagraphFont"/>
    <w:link w:val="Tabletitles"/>
    <w:rsid w:val="002A0C1A"/>
    <w:rPr>
      <w:rFonts w:ascii="Arial Narrow" w:eastAsia="Times New Roman" w:hAnsi="Arial Narrow"/>
      <w:b/>
      <w:sz w:val="20"/>
      <w:szCs w:val="22"/>
      <w:lang w:eastAsia="en-AU"/>
    </w:rPr>
  </w:style>
  <w:style w:type="paragraph" w:customStyle="1" w:styleId="3Bodytext">
    <w:name w:val="3. Body text"/>
    <w:basedOn w:val="ListParagraph"/>
    <w:link w:val="3BodytextChar"/>
    <w:qFormat/>
    <w:rsid w:val="002A0C1A"/>
    <w:pPr>
      <w:ind w:left="0" w:firstLine="0"/>
    </w:pPr>
    <w:rPr>
      <w:rFonts w:cstheme="minorBidi"/>
      <w:snapToGrid/>
      <w:szCs w:val="22"/>
    </w:rPr>
  </w:style>
  <w:style w:type="character" w:customStyle="1" w:styleId="3BodytextChar">
    <w:name w:val="3. Body text Char"/>
    <w:basedOn w:val="ListParagraphChar"/>
    <w:link w:val="3Bodytext"/>
    <w:rsid w:val="002A0C1A"/>
    <w:rPr>
      <w:rFonts w:asciiTheme="minorHAnsi" w:eastAsia="Times New Roman" w:hAnsiTheme="minorHAnsi" w:cstheme="minorBidi"/>
      <w:snapToGrid/>
      <w:szCs w:val="22"/>
      <w:lang w:eastAsia="en-AU"/>
    </w:rPr>
  </w:style>
  <w:style w:type="paragraph" w:customStyle="1" w:styleId="PBACFooter">
    <w:name w:val="PBAC Footer"/>
    <w:basedOn w:val="Footer"/>
    <w:link w:val="PBACFooterChar"/>
    <w:qFormat/>
    <w:rsid w:val="002A0C1A"/>
    <w:pPr>
      <w:jc w:val="center"/>
    </w:pPr>
    <w:rPr>
      <w:rFonts w:ascii="Arial" w:hAnsi="Arial" w:cs="Arial"/>
      <w:b/>
      <w:sz w:val="20"/>
      <w:szCs w:val="20"/>
    </w:rPr>
  </w:style>
  <w:style w:type="character" w:customStyle="1" w:styleId="PBACFooterChar">
    <w:name w:val="PBAC Footer Char"/>
    <w:basedOn w:val="FooterChar"/>
    <w:link w:val="PBACFooter"/>
    <w:rsid w:val="002A0C1A"/>
    <w:rPr>
      <w:rFonts w:ascii="Arial" w:eastAsia="Times New Roman" w:hAnsi="Arial" w:cs="Arial"/>
      <w:b/>
      <w:sz w:val="20"/>
      <w:szCs w:val="20"/>
      <w:lang w:eastAsia="en-AU"/>
    </w:rPr>
  </w:style>
  <w:style w:type="paragraph" w:customStyle="1" w:styleId="TableText">
    <w:name w:val="Table Text"/>
    <w:link w:val="TableTextChar"/>
    <w:qFormat/>
    <w:rsid w:val="002A0C1A"/>
    <w:pPr>
      <w:keepNext/>
      <w:spacing w:after="0" w:line="240" w:lineRule="auto"/>
    </w:pPr>
    <w:rPr>
      <w:rFonts w:ascii="Arial Narrow" w:eastAsiaTheme="majorEastAsia" w:hAnsi="Arial Narrow" w:cstheme="majorBidi"/>
      <w:bCs/>
      <w:sz w:val="20"/>
      <w:lang w:eastAsia="en-AU"/>
    </w:rPr>
  </w:style>
  <w:style w:type="character" w:customStyle="1" w:styleId="TableTextChar">
    <w:name w:val="Table Text Char"/>
    <w:basedOn w:val="DefaultParagraphFont"/>
    <w:link w:val="TableText"/>
    <w:rsid w:val="002A0C1A"/>
    <w:rPr>
      <w:rFonts w:ascii="Arial Narrow" w:eastAsiaTheme="majorEastAsia" w:hAnsi="Arial Narrow" w:cstheme="majorBidi"/>
      <w:bCs/>
      <w:sz w:val="20"/>
      <w:lang w:eastAsia="en-AU"/>
    </w:rPr>
  </w:style>
  <w:style w:type="paragraph" w:customStyle="1" w:styleId="2-SectionHeading">
    <w:name w:val="2-Section Heading"/>
    <w:qFormat/>
    <w:rsid w:val="002A0C1A"/>
    <w:pPr>
      <w:keepNext/>
      <w:spacing w:before="240" w:after="120" w:line="240" w:lineRule="auto"/>
      <w:outlineLvl w:val="0"/>
    </w:pPr>
    <w:rPr>
      <w:rFonts w:asciiTheme="minorHAnsi" w:eastAsia="Times New Roman" w:hAnsiTheme="minorHAnsi" w:cs="Arial"/>
      <w:b/>
      <w:snapToGrid w:val="0"/>
      <w:sz w:val="32"/>
      <w:szCs w:val="32"/>
      <w:lang w:eastAsia="en-AU"/>
    </w:rPr>
  </w:style>
  <w:style w:type="paragraph" w:customStyle="1" w:styleId="3-BodyText">
    <w:name w:val="3-Body Text"/>
    <w:link w:val="3-BodyTextChar"/>
    <w:qFormat/>
    <w:rsid w:val="002A0C1A"/>
    <w:pPr>
      <w:numPr>
        <w:numId w:val="3"/>
      </w:numPr>
      <w:spacing w:after="120" w:line="240" w:lineRule="auto"/>
      <w:jc w:val="both"/>
    </w:pPr>
    <w:rPr>
      <w:rFonts w:asciiTheme="minorHAnsi" w:eastAsia="Times New Roman" w:hAnsiTheme="minorHAnsi" w:cstheme="minorBidi"/>
      <w:szCs w:val="22"/>
      <w:lang w:eastAsia="en-AU"/>
    </w:rPr>
  </w:style>
  <w:style w:type="character" w:customStyle="1" w:styleId="3-BodyTextChar">
    <w:name w:val="3-Body Text Char"/>
    <w:basedOn w:val="ListParagraphChar"/>
    <w:link w:val="3-BodyText"/>
    <w:rsid w:val="002A0C1A"/>
    <w:rPr>
      <w:rFonts w:asciiTheme="minorHAnsi" w:eastAsia="Times New Roman" w:hAnsiTheme="minorHAnsi" w:cstheme="minorBidi"/>
      <w:snapToGrid/>
      <w:szCs w:val="22"/>
      <w:lang w:eastAsia="en-AU"/>
    </w:rPr>
  </w:style>
  <w:style w:type="paragraph" w:customStyle="1" w:styleId="TableFigureFooter">
    <w:name w:val="Table/Figure Footer"/>
    <w:basedOn w:val="Normal"/>
    <w:link w:val="TableFigureFooterChar"/>
    <w:qFormat/>
    <w:rsid w:val="002A0C1A"/>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2A0C1A"/>
    <w:rPr>
      <w:rFonts w:ascii="Arial Narrow" w:eastAsia="Times New Roman" w:hAnsi="Arial Narrow" w:cs="Arial"/>
      <w:snapToGrid w:val="0"/>
      <w:sz w:val="18"/>
      <w:szCs w:val="22"/>
      <w:lang w:eastAsia="en-AU"/>
    </w:rPr>
  </w:style>
  <w:style w:type="paragraph" w:customStyle="1" w:styleId="4-SubsectionHeading">
    <w:name w:val="4-Subsection Heading"/>
    <w:basedOn w:val="Heading2"/>
    <w:next w:val="3-BodyText"/>
    <w:link w:val="4-SubsectionHeadingChar"/>
    <w:qFormat/>
    <w:rsid w:val="002A0C1A"/>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2A0C1A"/>
    <w:rPr>
      <w:rFonts w:asciiTheme="minorHAnsi" w:eastAsiaTheme="majorEastAsia" w:hAnsiTheme="minorHAnsi" w:cstheme="majorBidi"/>
      <w:b/>
      <w:i/>
      <w:spacing w:val="5"/>
      <w:kern w:val="28"/>
      <w:sz w:val="28"/>
      <w:szCs w:val="36"/>
      <w:lang w:eastAsia="en-AU"/>
    </w:rPr>
  </w:style>
  <w:style w:type="paragraph" w:customStyle="1" w:styleId="KMC16-Text">
    <w:name w:val="KMC16 - Text"/>
    <w:basedOn w:val="Normal"/>
    <w:link w:val="KMC16-TextChar"/>
    <w:qFormat/>
    <w:rsid w:val="002A0C1A"/>
    <w:pPr>
      <w:spacing w:before="120" w:after="240" w:line="360" w:lineRule="auto"/>
    </w:pPr>
    <w:rPr>
      <w:rFonts w:ascii="Arial" w:eastAsia="Batang" w:hAnsi="Arial" w:cstheme="minorBidi"/>
      <w:color w:val="000000" w:themeColor="text1"/>
      <w:sz w:val="22"/>
      <w:szCs w:val="22"/>
      <w:lang w:eastAsia="en-US"/>
    </w:rPr>
  </w:style>
  <w:style w:type="character" w:customStyle="1" w:styleId="KMC16-TextChar">
    <w:name w:val="KMC16 - Text Char"/>
    <w:basedOn w:val="DefaultParagraphFont"/>
    <w:link w:val="KMC16-Text"/>
    <w:rsid w:val="002A0C1A"/>
    <w:rPr>
      <w:rFonts w:ascii="Arial" w:eastAsia="Batang" w:hAnsi="Arial" w:cstheme="minorBidi"/>
      <w:color w:val="000000" w:themeColor="text1"/>
      <w:sz w:val="22"/>
      <w:szCs w:val="22"/>
    </w:rPr>
  </w:style>
  <w:style w:type="paragraph" w:customStyle="1" w:styleId="KMC16-Tablecontent">
    <w:name w:val="KMC16 - Table content"/>
    <w:basedOn w:val="Normal"/>
    <w:link w:val="KMC16-TablecontentChar"/>
    <w:qFormat/>
    <w:rsid w:val="002A0C1A"/>
    <w:pPr>
      <w:spacing w:before="40" w:after="40"/>
      <w:jc w:val="left"/>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2A0C1A"/>
    <w:rPr>
      <w:rFonts w:ascii="Arial Narrow" w:eastAsia="Times New Roman" w:hAnsi="Arial Narrow" w:cs="Arial"/>
      <w:color w:val="000000"/>
      <w:sz w:val="20"/>
      <w:szCs w:val="22"/>
      <w:lang w:val="en-GB"/>
    </w:rPr>
  </w:style>
  <w:style w:type="paragraph" w:customStyle="1" w:styleId="KMC16-TableHeading">
    <w:name w:val="KMC16 - Table Heading"/>
    <w:basedOn w:val="Normal"/>
    <w:qFormat/>
    <w:rsid w:val="002A0C1A"/>
    <w:pPr>
      <w:spacing w:before="40" w:after="40"/>
      <w:jc w:val="center"/>
    </w:pPr>
    <w:rPr>
      <w:rFonts w:ascii="Arial Narrow" w:hAnsi="Arial Narrow" w:cs="Arial"/>
      <w:b/>
      <w:color w:val="000000"/>
      <w:sz w:val="20"/>
      <w:szCs w:val="22"/>
      <w:lang w:eastAsia="en-US"/>
    </w:rPr>
  </w:style>
  <w:style w:type="paragraph" w:styleId="FootnoteText">
    <w:name w:val="footnote text"/>
    <w:basedOn w:val="Normal"/>
    <w:link w:val="FootnoteTextChar"/>
    <w:uiPriority w:val="99"/>
    <w:unhideWhenUsed/>
    <w:qFormat/>
    <w:rsid w:val="002A0C1A"/>
    <w:rPr>
      <w:sz w:val="20"/>
      <w:szCs w:val="20"/>
    </w:rPr>
  </w:style>
  <w:style w:type="character" w:customStyle="1" w:styleId="FootnoteTextChar">
    <w:name w:val="Footnote Text Char"/>
    <w:basedOn w:val="DefaultParagraphFont"/>
    <w:link w:val="FootnoteText"/>
    <w:uiPriority w:val="99"/>
    <w:rsid w:val="002A0C1A"/>
    <w:rPr>
      <w:rFonts w:ascii="Calibri" w:eastAsia="Times New Roman" w:hAnsi="Calibri"/>
      <w:sz w:val="20"/>
      <w:szCs w:val="20"/>
      <w:lang w:eastAsia="en-AU"/>
    </w:rPr>
  </w:style>
  <w:style w:type="character" w:styleId="FootnoteReference">
    <w:name w:val="footnote reference"/>
    <w:basedOn w:val="DefaultParagraphFont"/>
    <w:uiPriority w:val="99"/>
    <w:semiHidden/>
    <w:unhideWhenUsed/>
    <w:rsid w:val="002A0C1A"/>
    <w:rPr>
      <w:vertAlign w:val="superscript"/>
    </w:rPr>
  </w:style>
  <w:style w:type="paragraph" w:styleId="Title">
    <w:name w:val="Title"/>
    <w:basedOn w:val="Normal"/>
    <w:next w:val="Normal"/>
    <w:link w:val="TitleChar"/>
    <w:uiPriority w:val="10"/>
    <w:qFormat/>
    <w:rsid w:val="002A0C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C1A"/>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2A0C1A"/>
    <w:pPr>
      <w:spacing w:after="0" w:line="240" w:lineRule="auto"/>
      <w:jc w:val="both"/>
    </w:pPr>
    <w:rPr>
      <w:rFonts w:ascii="Calibri" w:eastAsia="Times New Roman" w:hAnsi="Calibri"/>
      <w:lang w:eastAsia="en-AU"/>
    </w:rPr>
  </w:style>
  <w:style w:type="paragraph" w:styleId="BalloonText">
    <w:name w:val="Balloon Text"/>
    <w:basedOn w:val="Normal"/>
    <w:link w:val="BalloonTextChar"/>
    <w:uiPriority w:val="99"/>
    <w:semiHidden/>
    <w:unhideWhenUsed/>
    <w:rsid w:val="002A0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C1A"/>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8209E"/>
    <w:rPr>
      <w:b/>
      <w:bCs/>
    </w:rPr>
  </w:style>
  <w:style w:type="character" w:customStyle="1" w:styleId="CommentSubjectChar">
    <w:name w:val="Comment Subject Char"/>
    <w:basedOn w:val="CommentTextChar"/>
    <w:link w:val="CommentSubject"/>
    <w:uiPriority w:val="99"/>
    <w:semiHidden/>
    <w:rsid w:val="0028209E"/>
    <w:rPr>
      <w:rFonts w:ascii="Calibri" w:eastAsia="Times New Roman" w:hAnsi="Calibri"/>
      <w:b/>
      <w:bCs/>
      <w:sz w:val="20"/>
      <w:szCs w:val="20"/>
      <w:lang w:eastAsia="en-AU"/>
    </w:rPr>
  </w:style>
  <w:style w:type="paragraph" w:styleId="Revision">
    <w:name w:val="Revision"/>
    <w:hidden/>
    <w:uiPriority w:val="99"/>
    <w:semiHidden/>
    <w:rsid w:val="00D03F81"/>
    <w:pPr>
      <w:spacing w:after="0" w:line="240" w:lineRule="auto"/>
    </w:pPr>
    <w:rPr>
      <w:rFonts w:ascii="Calibri" w:eastAsia="Times New Roman" w:hAnsi="Calibri"/>
      <w:lang w:eastAsia="en-AU"/>
    </w:rPr>
  </w:style>
  <w:style w:type="paragraph" w:styleId="NormalWeb">
    <w:name w:val="Normal (Web)"/>
    <w:basedOn w:val="Normal"/>
    <w:uiPriority w:val="99"/>
    <w:semiHidden/>
    <w:unhideWhenUsed/>
    <w:rsid w:val="00BD759E"/>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BD759E"/>
    <w:rPr>
      <w:b/>
      <w:bCs/>
    </w:rPr>
  </w:style>
  <w:style w:type="table" w:customStyle="1" w:styleId="Submissionstandard5">
    <w:name w:val="Submission standard5"/>
    <w:basedOn w:val="TableNormal"/>
    <w:uiPriority w:val="99"/>
    <w:qFormat/>
    <w:rsid w:val="00981D5B"/>
    <w:pPr>
      <w:spacing w:after="0" w:line="240" w:lineRule="auto"/>
    </w:pPr>
    <w:rPr>
      <w:rFonts w:ascii="Arial Narrow" w:eastAsiaTheme="majorEastAsia" w:hAnsi="Arial Narrow" w:cstheme="majorBidi"/>
      <w:sz w:val="20"/>
      <w:szCs w:val="22"/>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G Omega" w:hAnsi="CG Omega" w:hint="default"/>
        <w:b/>
        <w:sz w:val="20"/>
        <w:szCs w:val="20"/>
      </w:rPr>
      <w:tblPr/>
      <w:tcPr>
        <w:shd w:val="clear" w:color="auto" w:fill="BFBFBF" w:themeFill="background1" w:themeFillShade="BF"/>
      </w:tcPr>
    </w:tblStylePr>
  </w:style>
  <w:style w:type="paragraph" w:customStyle="1" w:styleId="KMC16-Caption">
    <w:name w:val="KMC16 - Caption"/>
    <w:basedOn w:val="Normal"/>
    <w:qFormat/>
    <w:rsid w:val="00981D5B"/>
    <w:pPr>
      <w:keepNext/>
      <w:tabs>
        <w:tab w:val="left" w:pos="567"/>
      </w:tabs>
      <w:spacing w:before="240" w:after="40"/>
      <w:ind w:left="964" w:hanging="964"/>
      <w:contextualSpacing/>
      <w:jc w:val="left"/>
    </w:pPr>
    <w:rPr>
      <w:rFonts w:ascii="Arial" w:hAnsi="Arial"/>
      <w:b/>
      <w:color w:val="000000"/>
      <w:sz w:val="20"/>
      <w:szCs w:val="20"/>
    </w:rPr>
  </w:style>
  <w:style w:type="paragraph" w:customStyle="1" w:styleId="KMC16-TFNotes">
    <w:name w:val="KMC16 - TF Notes"/>
    <w:basedOn w:val="Normal"/>
    <w:qFormat/>
    <w:rsid w:val="00981D5B"/>
    <w:pPr>
      <w:spacing w:before="45" w:after="240"/>
      <w:contextualSpacing/>
      <w:jc w:val="left"/>
    </w:pPr>
    <w:rPr>
      <w:rFonts w:eastAsia="Batang" w:cstheme="minorBidi"/>
      <w:bCs/>
      <w:snapToGrid w:val="0"/>
      <w:color w:val="000000" w:themeColor="text1"/>
      <w:sz w:val="16"/>
      <w:szCs w:val="22"/>
      <w:lang w:eastAsia="en-US"/>
    </w:rPr>
  </w:style>
  <w:style w:type="character" w:styleId="PlaceholderText">
    <w:name w:val="Placeholder Text"/>
    <w:basedOn w:val="DefaultParagraphFont"/>
    <w:uiPriority w:val="99"/>
    <w:semiHidden/>
    <w:rsid w:val="000A54AA"/>
    <w:rPr>
      <w:color w:val="808080"/>
    </w:rPr>
  </w:style>
  <w:style w:type="character" w:styleId="Hyperlink">
    <w:name w:val="Hyperlink"/>
    <w:basedOn w:val="DefaultParagraphFont"/>
    <w:uiPriority w:val="99"/>
    <w:unhideWhenUsed/>
    <w:rsid w:val="00AC3CA7"/>
    <w:rPr>
      <w:color w:val="0563C1" w:themeColor="hyperlink"/>
      <w:u w:val="single"/>
    </w:rPr>
  </w:style>
  <w:style w:type="character" w:customStyle="1" w:styleId="UnresolvedMention1">
    <w:name w:val="Unresolved Mention1"/>
    <w:basedOn w:val="DefaultParagraphFont"/>
    <w:uiPriority w:val="99"/>
    <w:semiHidden/>
    <w:unhideWhenUsed/>
    <w:rsid w:val="00AC3CA7"/>
    <w:rPr>
      <w:color w:val="605E5C"/>
      <w:shd w:val="clear" w:color="auto" w:fill="E1DFDD"/>
    </w:rPr>
  </w:style>
  <w:style w:type="paragraph" w:customStyle="1" w:styleId="In-tableHeading">
    <w:name w:val="In-table Heading"/>
    <w:qFormat/>
    <w:rsid w:val="000751FF"/>
    <w:pPr>
      <w:keepNext/>
      <w:spacing w:after="0" w:line="240" w:lineRule="auto"/>
    </w:pPr>
    <w:rPr>
      <w:rFonts w:ascii="Arial Narrow" w:eastAsiaTheme="majorEastAsia" w:hAnsi="Arial Narrow"/>
      <w:b/>
      <w:sz w:val="20"/>
      <w:lang w:val="en-US" w:eastAsia="en-AU"/>
    </w:rPr>
  </w:style>
  <w:style w:type="paragraph" w:customStyle="1" w:styleId="table">
    <w:name w:val="table"/>
    <w:basedOn w:val="Normal"/>
    <w:link w:val="tableChar"/>
    <w:qFormat/>
    <w:rsid w:val="000751FF"/>
    <w:pPr>
      <w:spacing w:after="220" w:line="360" w:lineRule="auto"/>
    </w:pPr>
    <w:rPr>
      <w:rFonts w:ascii="Sabon" w:hAnsi="Sabon"/>
      <w:sz w:val="22"/>
      <w:szCs w:val="22"/>
      <w:lang w:eastAsia="en-US"/>
    </w:rPr>
  </w:style>
  <w:style w:type="character" w:customStyle="1" w:styleId="form-strength">
    <w:name w:val="form-strength"/>
    <w:basedOn w:val="DefaultParagraphFont"/>
    <w:rsid w:val="000751FF"/>
  </w:style>
  <w:style w:type="character" w:customStyle="1" w:styleId="tableChar">
    <w:name w:val="table Char"/>
    <w:basedOn w:val="DefaultParagraphFont"/>
    <w:link w:val="table"/>
    <w:rsid w:val="000751FF"/>
    <w:rPr>
      <w:rFonts w:ascii="Sabon" w:eastAsia="Times New Roman" w:hAnsi="Sabon"/>
      <w:sz w:val="22"/>
      <w:szCs w:val="22"/>
    </w:rPr>
  </w:style>
  <w:style w:type="paragraph" w:customStyle="1" w:styleId="PBACHeading1">
    <w:name w:val="PBAC Heading 1"/>
    <w:qFormat/>
    <w:rsid w:val="000C4686"/>
    <w:pPr>
      <w:keepNext/>
      <w:keepLines/>
      <w:spacing w:after="120" w:line="240" w:lineRule="auto"/>
      <w:ind w:left="720" w:hanging="720"/>
      <w:outlineLvl w:val="0"/>
    </w:pPr>
    <w:rPr>
      <w:rFonts w:asciiTheme="minorHAnsi" w:eastAsia="Times New Roman" w:hAnsiTheme="minorHAnsi" w:cstheme="minorHAnsi"/>
      <w:b/>
      <w:snapToGrid w:val="0"/>
      <w:sz w:val="32"/>
      <w:szCs w:val="28"/>
    </w:rPr>
  </w:style>
  <w:style w:type="paragraph" w:customStyle="1" w:styleId="3-SubsectionHeading">
    <w:name w:val="3-Subsection Heading"/>
    <w:basedOn w:val="Heading2"/>
    <w:next w:val="Normal"/>
    <w:link w:val="3-SubsectionHeadingChar"/>
    <w:qFormat/>
    <w:rsid w:val="000C4686"/>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DefaultParagraphFont"/>
    <w:link w:val="3-SubsectionHeading"/>
    <w:rsid w:val="000C4686"/>
    <w:rPr>
      <w:rFonts w:asciiTheme="minorHAnsi" w:eastAsiaTheme="majorEastAsia" w:hAnsiTheme="minorHAnsi" w:cstheme="majorBidi"/>
      <w:b/>
      <w:i/>
      <w:spacing w:val="5"/>
      <w:kern w:val="28"/>
      <w:sz w:val="28"/>
      <w:szCs w:val="36"/>
    </w:rPr>
  </w:style>
  <w:style w:type="paragraph" w:customStyle="1" w:styleId="ExecSumBodyText">
    <w:name w:val="Exec Sum Body Text"/>
    <w:basedOn w:val="Normal"/>
    <w:link w:val="ExecSumBodyTextChar"/>
    <w:qFormat/>
    <w:rsid w:val="00A63CF2"/>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A63CF2"/>
    <w:rPr>
      <w:rFonts w:asciiTheme="minorHAnsi" w:eastAsia="Times New Roman" w:hAnsiTheme="minorHAnsi" w:cs="Arial"/>
      <w:snapToGrid w:val="0"/>
      <w:lang w:eastAsia="en-AU"/>
    </w:rPr>
  </w:style>
  <w:style w:type="paragraph" w:customStyle="1" w:styleId="Tabletext0">
    <w:name w:val="Table text"/>
    <w:basedOn w:val="Normal"/>
    <w:link w:val="TabletextChar0"/>
    <w:qFormat/>
    <w:rsid w:val="00EC0514"/>
    <w:pPr>
      <w:spacing w:after="120"/>
    </w:pPr>
    <w:rPr>
      <w:rFonts w:ascii="Arial" w:hAnsi="Arial"/>
      <w:sz w:val="20"/>
      <w:szCs w:val="20"/>
      <w:lang w:eastAsia="en-US"/>
    </w:rPr>
  </w:style>
  <w:style w:type="character" w:customStyle="1" w:styleId="TabletextChar0">
    <w:name w:val="Table text Char"/>
    <w:link w:val="Tabletext0"/>
    <w:rsid w:val="00EC0514"/>
    <w:rPr>
      <w:rFonts w:ascii="Arial" w:eastAsia="Times New Roman" w:hAnsi="Arial"/>
      <w:sz w:val="20"/>
      <w:szCs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NICE Caption"/>
    <w:basedOn w:val="Normal"/>
    <w:next w:val="Normal"/>
    <w:link w:val="CaptionChar"/>
    <w:uiPriority w:val="99"/>
    <w:unhideWhenUsed/>
    <w:qFormat/>
    <w:rsid w:val="00EC0514"/>
    <w:pPr>
      <w:spacing w:after="200"/>
    </w:pPr>
    <w:rPr>
      <w:i/>
      <w:iCs/>
      <w:color w:val="000000" w:themeColor="text1"/>
      <w:sz w:val="18"/>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NICE Caption Char"/>
    <w:link w:val="Caption"/>
    <w:uiPriority w:val="99"/>
    <w:locked/>
    <w:rsid w:val="00EC0514"/>
    <w:rPr>
      <w:rFonts w:ascii="Calibri" w:eastAsia="Times New Roman" w:hAnsi="Calibri"/>
      <w:i/>
      <w:iCs/>
      <w:color w:val="000000" w:themeColor="text1"/>
      <w:sz w:val="18"/>
      <w:szCs w:val="18"/>
      <w:lang w:eastAsia="en-AU"/>
    </w:rPr>
  </w:style>
  <w:style w:type="paragraph" w:customStyle="1" w:styleId="TableBullet">
    <w:name w:val="Table Bullet"/>
    <w:basedOn w:val="TableText"/>
    <w:qFormat/>
    <w:rsid w:val="00EC0514"/>
    <w:pPr>
      <w:keepNext w:val="0"/>
      <w:numPr>
        <w:numId w:val="43"/>
      </w:numPr>
      <w:spacing w:before="20" w:after="20" w:line="276" w:lineRule="auto"/>
      <w:ind w:left="284" w:hanging="284"/>
    </w:pPr>
    <w:rPr>
      <w:rFonts w:cs="Arial"/>
      <w:bCs w:val="0"/>
      <w:szCs w:val="20"/>
      <w:lang w:bidi="en-US"/>
    </w:rPr>
  </w:style>
  <w:style w:type="paragraph" w:customStyle="1" w:styleId="TableHeading">
    <w:name w:val="Table Heading"/>
    <w:basedOn w:val="TableText"/>
    <w:link w:val="TableHeadingChar"/>
    <w:qFormat/>
    <w:rsid w:val="002348B5"/>
    <w:pPr>
      <w:keepLines/>
    </w:pPr>
    <w:rPr>
      <w:rFonts w:cs="Arial"/>
      <w:b/>
      <w:bCs w:val="0"/>
      <w:szCs w:val="20"/>
      <w:lang w:bidi="en-US"/>
    </w:rPr>
  </w:style>
  <w:style w:type="character" w:customStyle="1" w:styleId="TableHeadingChar">
    <w:name w:val="Table Heading Char"/>
    <w:basedOn w:val="DefaultParagraphFont"/>
    <w:link w:val="TableHeading"/>
    <w:locked/>
    <w:rsid w:val="002348B5"/>
    <w:rPr>
      <w:rFonts w:ascii="Arial Narrow" w:eastAsiaTheme="majorEastAsia" w:hAnsi="Arial Narrow" w:cs="Arial"/>
      <w:b/>
      <w:sz w:val="20"/>
      <w:szCs w:val="20"/>
      <w:lang w:eastAsia="en-AU" w:bidi="en-US"/>
    </w:rPr>
  </w:style>
  <w:style w:type="character" w:customStyle="1" w:styleId="Heading6Char">
    <w:name w:val="Heading 6 Char"/>
    <w:basedOn w:val="DefaultParagraphFont"/>
    <w:link w:val="Heading6"/>
    <w:uiPriority w:val="9"/>
    <w:rsid w:val="004D7CA5"/>
    <w:rPr>
      <w:rFonts w:asciiTheme="majorHAnsi" w:eastAsiaTheme="majorEastAsia" w:hAnsiTheme="majorHAnsi" w:cstheme="majorBidi"/>
      <w:color w:val="1F3763" w:themeColor="accent1" w:themeShade="7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2137">
      <w:bodyDiv w:val="1"/>
      <w:marLeft w:val="0"/>
      <w:marRight w:val="0"/>
      <w:marTop w:val="0"/>
      <w:marBottom w:val="0"/>
      <w:divBdr>
        <w:top w:val="none" w:sz="0" w:space="0" w:color="auto"/>
        <w:left w:val="none" w:sz="0" w:space="0" w:color="auto"/>
        <w:bottom w:val="none" w:sz="0" w:space="0" w:color="auto"/>
        <w:right w:val="none" w:sz="0" w:space="0" w:color="auto"/>
      </w:divBdr>
      <w:divsChild>
        <w:div w:id="1821388073">
          <w:marLeft w:val="0"/>
          <w:marRight w:val="0"/>
          <w:marTop w:val="0"/>
          <w:marBottom w:val="0"/>
          <w:divBdr>
            <w:top w:val="none" w:sz="0" w:space="0" w:color="auto"/>
            <w:left w:val="none" w:sz="0" w:space="0" w:color="auto"/>
            <w:bottom w:val="none" w:sz="0" w:space="0" w:color="auto"/>
            <w:right w:val="none" w:sz="0" w:space="0" w:color="auto"/>
          </w:divBdr>
        </w:div>
      </w:divsChild>
    </w:div>
    <w:div w:id="132454039">
      <w:bodyDiv w:val="1"/>
      <w:marLeft w:val="0"/>
      <w:marRight w:val="0"/>
      <w:marTop w:val="0"/>
      <w:marBottom w:val="0"/>
      <w:divBdr>
        <w:top w:val="none" w:sz="0" w:space="0" w:color="auto"/>
        <w:left w:val="none" w:sz="0" w:space="0" w:color="auto"/>
        <w:bottom w:val="none" w:sz="0" w:space="0" w:color="auto"/>
        <w:right w:val="none" w:sz="0" w:space="0" w:color="auto"/>
      </w:divBdr>
    </w:div>
    <w:div w:id="535699028">
      <w:bodyDiv w:val="1"/>
      <w:marLeft w:val="0"/>
      <w:marRight w:val="0"/>
      <w:marTop w:val="0"/>
      <w:marBottom w:val="0"/>
      <w:divBdr>
        <w:top w:val="none" w:sz="0" w:space="0" w:color="auto"/>
        <w:left w:val="none" w:sz="0" w:space="0" w:color="auto"/>
        <w:bottom w:val="none" w:sz="0" w:space="0" w:color="auto"/>
        <w:right w:val="none" w:sz="0" w:space="0" w:color="auto"/>
      </w:divBdr>
    </w:div>
    <w:div w:id="556013298">
      <w:bodyDiv w:val="1"/>
      <w:marLeft w:val="0"/>
      <w:marRight w:val="0"/>
      <w:marTop w:val="0"/>
      <w:marBottom w:val="0"/>
      <w:divBdr>
        <w:top w:val="none" w:sz="0" w:space="0" w:color="auto"/>
        <w:left w:val="none" w:sz="0" w:space="0" w:color="auto"/>
        <w:bottom w:val="none" w:sz="0" w:space="0" w:color="auto"/>
        <w:right w:val="none" w:sz="0" w:space="0" w:color="auto"/>
      </w:divBdr>
      <w:divsChild>
        <w:div w:id="494807387">
          <w:marLeft w:val="0"/>
          <w:marRight w:val="0"/>
          <w:marTop w:val="0"/>
          <w:marBottom w:val="0"/>
          <w:divBdr>
            <w:top w:val="none" w:sz="0" w:space="0" w:color="auto"/>
            <w:left w:val="none" w:sz="0" w:space="0" w:color="auto"/>
            <w:bottom w:val="none" w:sz="0" w:space="0" w:color="auto"/>
            <w:right w:val="none" w:sz="0" w:space="0" w:color="auto"/>
          </w:divBdr>
        </w:div>
      </w:divsChild>
    </w:div>
    <w:div w:id="571550493">
      <w:bodyDiv w:val="1"/>
      <w:marLeft w:val="0"/>
      <w:marRight w:val="0"/>
      <w:marTop w:val="0"/>
      <w:marBottom w:val="0"/>
      <w:divBdr>
        <w:top w:val="none" w:sz="0" w:space="0" w:color="auto"/>
        <w:left w:val="none" w:sz="0" w:space="0" w:color="auto"/>
        <w:bottom w:val="none" w:sz="0" w:space="0" w:color="auto"/>
        <w:right w:val="none" w:sz="0" w:space="0" w:color="auto"/>
      </w:divBdr>
      <w:divsChild>
        <w:div w:id="653752499">
          <w:marLeft w:val="0"/>
          <w:marRight w:val="0"/>
          <w:marTop w:val="0"/>
          <w:marBottom w:val="0"/>
          <w:divBdr>
            <w:top w:val="none" w:sz="0" w:space="0" w:color="auto"/>
            <w:left w:val="none" w:sz="0" w:space="0" w:color="auto"/>
            <w:bottom w:val="none" w:sz="0" w:space="0" w:color="auto"/>
            <w:right w:val="none" w:sz="0" w:space="0" w:color="auto"/>
          </w:divBdr>
        </w:div>
      </w:divsChild>
    </w:div>
    <w:div w:id="771164089">
      <w:bodyDiv w:val="1"/>
      <w:marLeft w:val="0"/>
      <w:marRight w:val="0"/>
      <w:marTop w:val="0"/>
      <w:marBottom w:val="0"/>
      <w:divBdr>
        <w:top w:val="none" w:sz="0" w:space="0" w:color="auto"/>
        <w:left w:val="none" w:sz="0" w:space="0" w:color="auto"/>
        <w:bottom w:val="none" w:sz="0" w:space="0" w:color="auto"/>
        <w:right w:val="none" w:sz="0" w:space="0" w:color="auto"/>
      </w:divBdr>
      <w:divsChild>
        <w:div w:id="526603955">
          <w:marLeft w:val="0"/>
          <w:marRight w:val="0"/>
          <w:marTop w:val="0"/>
          <w:marBottom w:val="0"/>
          <w:divBdr>
            <w:top w:val="none" w:sz="0" w:space="0" w:color="auto"/>
            <w:left w:val="none" w:sz="0" w:space="0" w:color="auto"/>
            <w:bottom w:val="none" w:sz="0" w:space="0" w:color="auto"/>
            <w:right w:val="none" w:sz="0" w:space="0" w:color="auto"/>
          </w:divBdr>
        </w:div>
      </w:divsChild>
    </w:div>
    <w:div w:id="978651012">
      <w:bodyDiv w:val="1"/>
      <w:marLeft w:val="0"/>
      <w:marRight w:val="0"/>
      <w:marTop w:val="0"/>
      <w:marBottom w:val="0"/>
      <w:divBdr>
        <w:top w:val="none" w:sz="0" w:space="0" w:color="auto"/>
        <w:left w:val="none" w:sz="0" w:space="0" w:color="auto"/>
        <w:bottom w:val="none" w:sz="0" w:space="0" w:color="auto"/>
        <w:right w:val="none" w:sz="0" w:space="0" w:color="auto"/>
      </w:divBdr>
      <w:divsChild>
        <w:div w:id="629869747">
          <w:marLeft w:val="0"/>
          <w:marRight w:val="0"/>
          <w:marTop w:val="0"/>
          <w:marBottom w:val="0"/>
          <w:divBdr>
            <w:top w:val="none" w:sz="0" w:space="0" w:color="auto"/>
            <w:left w:val="none" w:sz="0" w:space="0" w:color="auto"/>
            <w:bottom w:val="none" w:sz="0" w:space="0" w:color="auto"/>
            <w:right w:val="none" w:sz="0" w:space="0" w:color="auto"/>
          </w:divBdr>
        </w:div>
      </w:divsChild>
    </w:div>
    <w:div w:id="1299529708">
      <w:bodyDiv w:val="1"/>
      <w:marLeft w:val="0"/>
      <w:marRight w:val="0"/>
      <w:marTop w:val="0"/>
      <w:marBottom w:val="0"/>
      <w:divBdr>
        <w:top w:val="none" w:sz="0" w:space="0" w:color="auto"/>
        <w:left w:val="none" w:sz="0" w:space="0" w:color="auto"/>
        <w:bottom w:val="none" w:sz="0" w:space="0" w:color="auto"/>
        <w:right w:val="none" w:sz="0" w:space="0" w:color="auto"/>
      </w:divBdr>
    </w:div>
    <w:div w:id="1308165470">
      <w:bodyDiv w:val="1"/>
      <w:marLeft w:val="0"/>
      <w:marRight w:val="0"/>
      <w:marTop w:val="0"/>
      <w:marBottom w:val="0"/>
      <w:divBdr>
        <w:top w:val="none" w:sz="0" w:space="0" w:color="auto"/>
        <w:left w:val="none" w:sz="0" w:space="0" w:color="auto"/>
        <w:bottom w:val="none" w:sz="0" w:space="0" w:color="auto"/>
        <w:right w:val="none" w:sz="0" w:space="0" w:color="auto"/>
      </w:divBdr>
      <w:divsChild>
        <w:div w:id="406341465">
          <w:marLeft w:val="0"/>
          <w:marRight w:val="0"/>
          <w:marTop w:val="0"/>
          <w:marBottom w:val="0"/>
          <w:divBdr>
            <w:top w:val="none" w:sz="0" w:space="0" w:color="auto"/>
            <w:left w:val="none" w:sz="0" w:space="0" w:color="auto"/>
            <w:bottom w:val="none" w:sz="0" w:space="0" w:color="auto"/>
            <w:right w:val="none" w:sz="0" w:space="0" w:color="auto"/>
          </w:divBdr>
        </w:div>
      </w:divsChild>
    </w:div>
    <w:div w:id="1373308130">
      <w:bodyDiv w:val="1"/>
      <w:marLeft w:val="0"/>
      <w:marRight w:val="0"/>
      <w:marTop w:val="0"/>
      <w:marBottom w:val="0"/>
      <w:divBdr>
        <w:top w:val="none" w:sz="0" w:space="0" w:color="auto"/>
        <w:left w:val="none" w:sz="0" w:space="0" w:color="auto"/>
        <w:bottom w:val="none" w:sz="0" w:space="0" w:color="auto"/>
        <w:right w:val="none" w:sz="0" w:space="0" w:color="auto"/>
      </w:divBdr>
    </w:div>
    <w:div w:id="1591891900">
      <w:bodyDiv w:val="1"/>
      <w:marLeft w:val="0"/>
      <w:marRight w:val="0"/>
      <w:marTop w:val="0"/>
      <w:marBottom w:val="0"/>
      <w:divBdr>
        <w:top w:val="none" w:sz="0" w:space="0" w:color="auto"/>
        <w:left w:val="none" w:sz="0" w:space="0" w:color="auto"/>
        <w:bottom w:val="none" w:sz="0" w:space="0" w:color="auto"/>
        <w:right w:val="none" w:sz="0" w:space="0" w:color="auto"/>
      </w:divBdr>
    </w:div>
    <w:div w:id="1676572431">
      <w:bodyDiv w:val="1"/>
      <w:marLeft w:val="0"/>
      <w:marRight w:val="0"/>
      <w:marTop w:val="0"/>
      <w:marBottom w:val="0"/>
      <w:divBdr>
        <w:top w:val="none" w:sz="0" w:space="0" w:color="auto"/>
        <w:left w:val="none" w:sz="0" w:space="0" w:color="auto"/>
        <w:bottom w:val="none" w:sz="0" w:space="0" w:color="auto"/>
        <w:right w:val="none" w:sz="0" w:space="0" w:color="auto"/>
      </w:divBdr>
    </w:div>
    <w:div w:id="1685862786">
      <w:bodyDiv w:val="1"/>
      <w:marLeft w:val="0"/>
      <w:marRight w:val="0"/>
      <w:marTop w:val="0"/>
      <w:marBottom w:val="0"/>
      <w:divBdr>
        <w:top w:val="none" w:sz="0" w:space="0" w:color="auto"/>
        <w:left w:val="none" w:sz="0" w:space="0" w:color="auto"/>
        <w:bottom w:val="none" w:sz="0" w:space="0" w:color="auto"/>
        <w:right w:val="none" w:sz="0" w:space="0" w:color="auto"/>
      </w:divBdr>
    </w:div>
    <w:div w:id="1902903657">
      <w:bodyDiv w:val="1"/>
      <w:marLeft w:val="0"/>
      <w:marRight w:val="0"/>
      <w:marTop w:val="0"/>
      <w:marBottom w:val="0"/>
      <w:divBdr>
        <w:top w:val="none" w:sz="0" w:space="0" w:color="auto"/>
        <w:left w:val="none" w:sz="0" w:space="0" w:color="auto"/>
        <w:bottom w:val="none" w:sz="0" w:space="0" w:color="auto"/>
        <w:right w:val="none" w:sz="0" w:space="0" w:color="auto"/>
      </w:divBdr>
    </w:div>
    <w:div w:id="1958178370">
      <w:bodyDiv w:val="1"/>
      <w:marLeft w:val="0"/>
      <w:marRight w:val="0"/>
      <w:marTop w:val="0"/>
      <w:marBottom w:val="0"/>
      <w:divBdr>
        <w:top w:val="none" w:sz="0" w:space="0" w:color="auto"/>
        <w:left w:val="none" w:sz="0" w:space="0" w:color="auto"/>
        <w:bottom w:val="none" w:sz="0" w:space="0" w:color="auto"/>
        <w:right w:val="none" w:sz="0" w:space="0" w:color="auto"/>
      </w:divBdr>
    </w:div>
    <w:div w:id="1959068095">
      <w:bodyDiv w:val="1"/>
      <w:marLeft w:val="0"/>
      <w:marRight w:val="0"/>
      <w:marTop w:val="0"/>
      <w:marBottom w:val="0"/>
      <w:divBdr>
        <w:top w:val="none" w:sz="0" w:space="0" w:color="auto"/>
        <w:left w:val="none" w:sz="0" w:space="0" w:color="auto"/>
        <w:bottom w:val="none" w:sz="0" w:space="0" w:color="auto"/>
        <w:right w:val="none" w:sz="0" w:space="0" w:color="auto"/>
      </w:divBdr>
    </w:div>
    <w:div w:id="2010864810">
      <w:bodyDiv w:val="1"/>
      <w:marLeft w:val="0"/>
      <w:marRight w:val="0"/>
      <w:marTop w:val="0"/>
      <w:marBottom w:val="0"/>
      <w:divBdr>
        <w:top w:val="none" w:sz="0" w:space="0" w:color="auto"/>
        <w:left w:val="none" w:sz="0" w:space="0" w:color="auto"/>
        <w:bottom w:val="none" w:sz="0" w:space="0" w:color="auto"/>
        <w:right w:val="none" w:sz="0" w:space="0" w:color="auto"/>
      </w:divBdr>
      <w:divsChild>
        <w:div w:id="274556007">
          <w:marLeft w:val="0"/>
          <w:marRight w:val="0"/>
          <w:marTop w:val="0"/>
          <w:marBottom w:val="0"/>
          <w:divBdr>
            <w:top w:val="none" w:sz="0" w:space="0" w:color="auto"/>
            <w:left w:val="none" w:sz="0" w:space="0" w:color="auto"/>
            <w:bottom w:val="none" w:sz="0" w:space="0" w:color="auto"/>
            <w:right w:val="none" w:sz="0" w:space="0" w:color="auto"/>
          </w:divBdr>
        </w:div>
      </w:divsChild>
    </w:div>
    <w:div w:id="2014801425">
      <w:bodyDiv w:val="1"/>
      <w:marLeft w:val="0"/>
      <w:marRight w:val="0"/>
      <w:marTop w:val="0"/>
      <w:marBottom w:val="0"/>
      <w:divBdr>
        <w:top w:val="none" w:sz="0" w:space="0" w:color="auto"/>
        <w:left w:val="none" w:sz="0" w:space="0" w:color="auto"/>
        <w:bottom w:val="none" w:sz="0" w:space="0" w:color="auto"/>
        <w:right w:val="none" w:sz="0" w:space="0" w:color="auto"/>
      </w:divBdr>
      <w:divsChild>
        <w:div w:id="1157500505">
          <w:marLeft w:val="0"/>
          <w:marRight w:val="0"/>
          <w:marTop w:val="0"/>
          <w:marBottom w:val="0"/>
          <w:divBdr>
            <w:top w:val="none" w:sz="0" w:space="0" w:color="auto"/>
            <w:left w:val="none" w:sz="0" w:space="0" w:color="auto"/>
            <w:bottom w:val="none" w:sz="0" w:space="0" w:color="auto"/>
            <w:right w:val="none" w:sz="0" w:space="0" w:color="auto"/>
          </w:divBdr>
        </w:div>
      </w:divsChild>
    </w:div>
    <w:div w:id="21034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AB50F-5B2A-4FDD-865D-D6B2116E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2022-06-26T03:24:00Z</dcterms:created>
  <dcterms:modified xsi:type="dcterms:W3CDTF">2022-06-26T03:24:00Z</dcterms:modified>
</cp:coreProperties>
</file>