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83BAE" w14:textId="08947C40" w:rsidR="00F21A3E" w:rsidRDefault="00495E3A" w:rsidP="00F21A3E">
      <w:pPr>
        <w:pStyle w:val="1-MainHeading"/>
      </w:pPr>
      <w:bookmarkStart w:id="0" w:name="_Toc93478621"/>
      <w:r>
        <w:t>5</w:t>
      </w:r>
      <w:r w:rsidR="00F21A3E" w:rsidRPr="00C12C14">
        <w:t>.</w:t>
      </w:r>
      <w:r>
        <w:t>06</w:t>
      </w:r>
      <w:r w:rsidR="00F21A3E">
        <w:tab/>
      </w:r>
      <w:r>
        <w:t>DIROXIMEL FUMARATE</w:t>
      </w:r>
      <w:r w:rsidR="00F21A3E">
        <w:t>,</w:t>
      </w:r>
      <w:r w:rsidR="00F21A3E">
        <w:br/>
      </w:r>
      <w:r>
        <w:t>Capsule 231 mg</w:t>
      </w:r>
      <w:r w:rsidR="00F21A3E">
        <w:t>,</w:t>
      </w:r>
      <w:r w:rsidR="00F21A3E">
        <w:br/>
      </w:r>
      <w:proofErr w:type="spellStart"/>
      <w:r w:rsidR="00F21A3E">
        <w:t>Vumerity</w:t>
      </w:r>
      <w:proofErr w:type="spellEnd"/>
      <w:r w:rsidR="00F21A3E" w:rsidRPr="004A6040">
        <w:rPr>
          <w:vertAlign w:val="superscript"/>
        </w:rPr>
        <w:t>®</w:t>
      </w:r>
      <w:r w:rsidR="00F21A3E" w:rsidRPr="004A6040">
        <w:t>,</w:t>
      </w:r>
      <w:r w:rsidR="00F21A3E" w:rsidRPr="004A6040">
        <w:br/>
      </w:r>
      <w:r w:rsidR="00F21A3E">
        <w:t>Biogen Australia Pty Ltd</w:t>
      </w:r>
      <w:r w:rsidR="00F21A3E" w:rsidRPr="004A6040">
        <w:t>.</w:t>
      </w:r>
      <w:bookmarkEnd w:id="0"/>
    </w:p>
    <w:p w14:paraId="5FE2FCFE" w14:textId="1F480BDE" w:rsidR="00F21A3E" w:rsidRPr="00407F2D" w:rsidRDefault="00F21A3E" w:rsidP="00F21A3E">
      <w:pPr>
        <w:pStyle w:val="2-SectionHeading"/>
      </w:pPr>
      <w:bookmarkStart w:id="1" w:name="_Toc93478623"/>
      <w:r w:rsidRPr="00407F2D">
        <w:t xml:space="preserve">Purpose of </w:t>
      </w:r>
      <w:r>
        <w:t>submission</w:t>
      </w:r>
      <w:bookmarkEnd w:id="1"/>
    </w:p>
    <w:p w14:paraId="22107E35" w14:textId="53849825" w:rsidR="00F21A3E" w:rsidRDefault="00F21A3E" w:rsidP="00F21A3E">
      <w:pPr>
        <w:pStyle w:val="3-BodyText"/>
      </w:pPr>
      <w:r>
        <w:t>The</w:t>
      </w:r>
      <w:r w:rsidR="00576E48">
        <w:t xml:space="preserve"> Category 2</w:t>
      </w:r>
      <w:r>
        <w:t xml:space="preserve"> submission </w:t>
      </w:r>
      <w:r w:rsidRPr="004E18E9">
        <w:t>requested</w:t>
      </w:r>
      <w:r>
        <w:t xml:space="preserve"> </w:t>
      </w:r>
      <w:r w:rsidRPr="005A49D1">
        <w:t xml:space="preserve">a </w:t>
      </w:r>
      <w:r w:rsidR="0041259D">
        <w:t>General Schedule, Authority Required (STREAMLINED) listing for</w:t>
      </w:r>
      <w:r w:rsidRPr="004E18E9">
        <w:t xml:space="preserve"> </w:t>
      </w:r>
      <w:r>
        <w:t xml:space="preserve">diroximel fumarate (DRF) </w:t>
      </w:r>
      <w:r w:rsidRPr="004B3DDB">
        <w:t xml:space="preserve">for treatment of </w:t>
      </w:r>
      <w:r>
        <w:t>relapsing-remitting multiple sclerosis (RRMS)</w:t>
      </w:r>
      <w:r w:rsidRPr="004B3DDB">
        <w:t>.</w:t>
      </w:r>
      <w:r>
        <w:t xml:space="preserve"> This is the first submission for </w:t>
      </w:r>
      <w:r w:rsidR="0059224C">
        <w:t xml:space="preserve">DRF </w:t>
      </w:r>
      <w:r>
        <w:t>in RRMS.</w:t>
      </w:r>
    </w:p>
    <w:p w14:paraId="6DC67A3D" w14:textId="4D9257AF" w:rsidR="00F21A3E" w:rsidRPr="00031CDD" w:rsidRDefault="00F21A3E" w:rsidP="00F21A3E">
      <w:pPr>
        <w:pStyle w:val="3-BodyText"/>
      </w:pPr>
      <w:r w:rsidRPr="005750C5">
        <w:t xml:space="preserve">Listing was requested </w:t>
      </w:r>
      <w:proofErr w:type="gramStart"/>
      <w:r w:rsidRPr="005750C5">
        <w:t>on the basis of</w:t>
      </w:r>
      <w:proofErr w:type="gramEnd"/>
      <w:r w:rsidRPr="005750C5">
        <w:t xml:space="preserve"> a</w:t>
      </w:r>
      <w:r>
        <w:t xml:space="preserve"> cost-minimisation </w:t>
      </w:r>
      <w:r w:rsidRPr="005750C5">
        <w:t xml:space="preserve">analysis </w:t>
      </w:r>
      <w:r w:rsidR="00E6161B">
        <w:t xml:space="preserve">to </w:t>
      </w:r>
      <w:r w:rsidRPr="00562A12">
        <w:t>dimethyl fumarate (DMF)</w:t>
      </w:r>
      <w:r>
        <w:t xml:space="preserve"> which is bioequivalent</w:t>
      </w:r>
      <w:r w:rsidR="00A3528D">
        <w:t xml:space="preserve"> </w:t>
      </w:r>
      <w:r>
        <w:t>in the active metabolite</w:t>
      </w:r>
      <w:r w:rsidR="00040A62">
        <w:t>, monomethyl fumarate (MMF)</w:t>
      </w:r>
      <w:r>
        <w:t>.</w:t>
      </w:r>
      <w:r w:rsidR="003D0DD3">
        <w:t xml:space="preserve"> </w:t>
      </w:r>
      <w:r w:rsidR="0087524D" w:rsidRPr="00031CDD">
        <w:t xml:space="preserve">The submission </w:t>
      </w:r>
      <w:r w:rsidR="00492464" w:rsidRPr="00031CDD">
        <w:t xml:space="preserve">nominated </w:t>
      </w:r>
      <w:r w:rsidR="0087524D" w:rsidRPr="00031CDD">
        <w:t xml:space="preserve">DMF as the sole comparator for DRF on the basis that DMF is </w:t>
      </w:r>
      <w:r w:rsidR="00EA0B31">
        <w:t>a</w:t>
      </w:r>
      <w:r w:rsidR="00EA0B31" w:rsidRPr="00031CDD">
        <w:t xml:space="preserve"> </w:t>
      </w:r>
      <w:r w:rsidR="0087524D" w:rsidRPr="00031CDD">
        <w:t xml:space="preserve">pharmacological analogue of DRF. </w:t>
      </w:r>
    </w:p>
    <w:p w14:paraId="645C76E9" w14:textId="20CDA6F3" w:rsidR="001A3458" w:rsidRDefault="001A3458">
      <w:pPr>
        <w:jc w:val="left"/>
        <w:rPr>
          <w:rStyle w:val="CommentReference"/>
          <w:rFonts w:eastAsiaTheme="majorEastAsia" w:cstheme="majorBidi"/>
          <w:b w:val="0"/>
          <w:bCs/>
        </w:rPr>
      </w:pPr>
    </w:p>
    <w:p w14:paraId="56344133" w14:textId="7AFC7092" w:rsidR="00672337" w:rsidRPr="00672337" w:rsidRDefault="00672337" w:rsidP="00672337">
      <w:pPr>
        <w:pStyle w:val="TableFigureHeading"/>
        <w:rPr>
          <w:rStyle w:val="CommentReference"/>
        </w:rPr>
      </w:pPr>
      <w:r w:rsidRPr="00672337">
        <w:rPr>
          <w:rStyle w:val="CommentReference"/>
        </w:rPr>
        <w:t xml:space="preserve">Table </w:t>
      </w:r>
      <w:r w:rsidRPr="00672337">
        <w:rPr>
          <w:rStyle w:val="CommentReference"/>
        </w:rPr>
        <w:fldChar w:fldCharType="begin"/>
      </w:r>
      <w:r w:rsidRPr="00672337">
        <w:rPr>
          <w:rStyle w:val="CommentReference"/>
        </w:rPr>
        <w:instrText xml:space="preserve"> SEQ Table \* ARABIC </w:instrText>
      </w:r>
      <w:r w:rsidRPr="00672337">
        <w:rPr>
          <w:rStyle w:val="CommentReference"/>
        </w:rPr>
        <w:fldChar w:fldCharType="separate"/>
      </w:r>
      <w:r w:rsidR="00756CE2">
        <w:rPr>
          <w:rStyle w:val="CommentReference"/>
          <w:noProof/>
        </w:rPr>
        <w:t>1</w:t>
      </w:r>
      <w:r w:rsidRPr="00672337">
        <w:rPr>
          <w:rStyle w:val="CommentReference"/>
        </w:rPr>
        <w:fldChar w:fldCharType="end"/>
      </w:r>
      <w:r w:rsidRPr="00672337">
        <w:rPr>
          <w:rStyle w:val="CommentReference"/>
        </w:rPr>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F21A3E" w:rsidRPr="00691913" w14:paraId="1B7A1D96" w14:textId="77777777" w:rsidTr="00495E3A">
        <w:trPr>
          <w:cantSplit/>
          <w:tblHeader/>
        </w:trPr>
        <w:tc>
          <w:tcPr>
            <w:tcW w:w="924" w:type="pct"/>
            <w:shd w:val="clear" w:color="auto" w:fill="auto"/>
          </w:tcPr>
          <w:p w14:paraId="76DF0823" w14:textId="77777777" w:rsidR="00F21A3E" w:rsidRPr="008B1757" w:rsidRDefault="00F21A3E" w:rsidP="00495E3A">
            <w:pPr>
              <w:pStyle w:val="In-tableHeading"/>
              <w:rPr>
                <w:szCs w:val="20"/>
              </w:rPr>
            </w:pPr>
            <w:r w:rsidRPr="008B1757">
              <w:t>Component</w:t>
            </w:r>
          </w:p>
        </w:tc>
        <w:tc>
          <w:tcPr>
            <w:tcW w:w="4076" w:type="pct"/>
            <w:shd w:val="clear" w:color="auto" w:fill="auto"/>
          </w:tcPr>
          <w:p w14:paraId="6548232B" w14:textId="77777777" w:rsidR="00F21A3E" w:rsidRPr="008B1757" w:rsidRDefault="00F21A3E" w:rsidP="00495E3A">
            <w:pPr>
              <w:pStyle w:val="In-tableHeading"/>
            </w:pPr>
            <w:r w:rsidRPr="008B1757">
              <w:t>Description</w:t>
            </w:r>
          </w:p>
        </w:tc>
      </w:tr>
      <w:tr w:rsidR="00F21A3E" w:rsidRPr="00691913" w14:paraId="6AA6E14E" w14:textId="77777777" w:rsidTr="00495E3A">
        <w:trPr>
          <w:cantSplit/>
        </w:trPr>
        <w:tc>
          <w:tcPr>
            <w:tcW w:w="924" w:type="pct"/>
            <w:shd w:val="clear" w:color="auto" w:fill="auto"/>
          </w:tcPr>
          <w:p w14:paraId="36CDCBB9" w14:textId="77777777" w:rsidR="00F21A3E" w:rsidRPr="00691913" w:rsidRDefault="00F21A3E" w:rsidP="00495E3A">
            <w:pPr>
              <w:pStyle w:val="TableText0"/>
            </w:pPr>
            <w:r w:rsidRPr="00691913">
              <w:t>Population</w:t>
            </w:r>
          </w:p>
        </w:tc>
        <w:tc>
          <w:tcPr>
            <w:tcW w:w="4076" w:type="pct"/>
            <w:shd w:val="clear" w:color="auto" w:fill="auto"/>
            <w:vAlign w:val="center"/>
          </w:tcPr>
          <w:p w14:paraId="100D55F2" w14:textId="77777777" w:rsidR="00F21A3E" w:rsidRPr="001E1E86" w:rsidRDefault="00F21A3E" w:rsidP="00495E3A">
            <w:pPr>
              <w:pStyle w:val="TableText0"/>
              <w:rPr>
                <w:szCs w:val="20"/>
              </w:rPr>
            </w:pPr>
            <w:r w:rsidRPr="0016142B">
              <w:t>Relapsing-remitting multiple sclerosis (RRMS)</w:t>
            </w:r>
          </w:p>
        </w:tc>
      </w:tr>
      <w:tr w:rsidR="00F21A3E" w:rsidRPr="00691913" w14:paraId="5762DDAE" w14:textId="77777777" w:rsidTr="00495E3A">
        <w:trPr>
          <w:cantSplit/>
        </w:trPr>
        <w:tc>
          <w:tcPr>
            <w:tcW w:w="924" w:type="pct"/>
            <w:shd w:val="clear" w:color="auto" w:fill="auto"/>
          </w:tcPr>
          <w:p w14:paraId="1F1E569D" w14:textId="77777777" w:rsidR="00F21A3E" w:rsidRPr="00691913" w:rsidRDefault="00F21A3E" w:rsidP="00495E3A">
            <w:pPr>
              <w:pStyle w:val="TableText0"/>
            </w:pPr>
            <w:r w:rsidRPr="00691913">
              <w:t>Intervention</w:t>
            </w:r>
          </w:p>
        </w:tc>
        <w:tc>
          <w:tcPr>
            <w:tcW w:w="4076" w:type="pct"/>
            <w:shd w:val="clear" w:color="auto" w:fill="auto"/>
            <w:vAlign w:val="center"/>
          </w:tcPr>
          <w:p w14:paraId="69ED8060" w14:textId="77777777" w:rsidR="00F21A3E" w:rsidRPr="00691913" w:rsidRDefault="00F21A3E" w:rsidP="00495E3A">
            <w:pPr>
              <w:pStyle w:val="TableText0"/>
            </w:pPr>
            <w:r w:rsidRPr="003B2442">
              <w:t>Diroximel fumarate (DRF) 2 x 231 mg capsules BID (maintenance dose = 924 mg daily)</w:t>
            </w:r>
          </w:p>
        </w:tc>
      </w:tr>
      <w:tr w:rsidR="00F21A3E" w:rsidRPr="00691913" w14:paraId="7888BC63" w14:textId="77777777" w:rsidTr="00495E3A">
        <w:trPr>
          <w:cantSplit/>
        </w:trPr>
        <w:tc>
          <w:tcPr>
            <w:tcW w:w="924" w:type="pct"/>
            <w:shd w:val="clear" w:color="auto" w:fill="auto"/>
          </w:tcPr>
          <w:p w14:paraId="06DF5141" w14:textId="77777777" w:rsidR="00F21A3E" w:rsidRPr="00691913" w:rsidRDefault="00F21A3E" w:rsidP="00495E3A">
            <w:pPr>
              <w:pStyle w:val="TableText0"/>
            </w:pPr>
            <w:r w:rsidRPr="00691913">
              <w:t>Comparator</w:t>
            </w:r>
          </w:p>
        </w:tc>
        <w:tc>
          <w:tcPr>
            <w:tcW w:w="4076" w:type="pct"/>
            <w:shd w:val="clear" w:color="auto" w:fill="auto"/>
            <w:vAlign w:val="center"/>
          </w:tcPr>
          <w:p w14:paraId="403CD373" w14:textId="1412DBBF" w:rsidR="00F21A3E" w:rsidRPr="00691913" w:rsidRDefault="00F21A3E" w:rsidP="00495E3A">
            <w:pPr>
              <w:pStyle w:val="TableText0"/>
            </w:pPr>
            <w:r w:rsidRPr="003B2442">
              <w:t>Dimethyl fumarate (DMF) 240 mg capsules BID (maintenance dose = 480 mg daily)</w:t>
            </w:r>
          </w:p>
        </w:tc>
      </w:tr>
      <w:tr w:rsidR="00F21A3E" w:rsidRPr="00691913" w14:paraId="30F8CC73" w14:textId="77777777" w:rsidTr="00495E3A">
        <w:trPr>
          <w:cantSplit/>
        </w:trPr>
        <w:tc>
          <w:tcPr>
            <w:tcW w:w="924" w:type="pct"/>
            <w:shd w:val="clear" w:color="auto" w:fill="auto"/>
          </w:tcPr>
          <w:p w14:paraId="30B02B76" w14:textId="77777777" w:rsidR="00F21A3E" w:rsidRPr="00691913" w:rsidRDefault="00F21A3E" w:rsidP="00495E3A">
            <w:pPr>
              <w:pStyle w:val="TableText0"/>
            </w:pPr>
            <w:r w:rsidRPr="00691913">
              <w:t>Outcomes</w:t>
            </w:r>
          </w:p>
        </w:tc>
        <w:tc>
          <w:tcPr>
            <w:tcW w:w="4076" w:type="pct"/>
            <w:shd w:val="clear" w:color="auto" w:fill="auto"/>
            <w:vAlign w:val="center"/>
          </w:tcPr>
          <w:p w14:paraId="71800D54" w14:textId="77777777" w:rsidR="00F21A3E" w:rsidRDefault="00F21A3E" w:rsidP="00495E3A">
            <w:pPr>
              <w:pStyle w:val="TableText0"/>
            </w:pPr>
            <w:r>
              <w:t>• Number of days with any IGISIS Symptom Intensity Score ≥2 relative to exposure days</w:t>
            </w:r>
          </w:p>
          <w:p w14:paraId="588C49F3" w14:textId="77777777" w:rsidR="00F21A3E" w:rsidRDefault="00F21A3E" w:rsidP="00495E3A">
            <w:pPr>
              <w:pStyle w:val="TableText0"/>
            </w:pPr>
            <w:r>
              <w:t>• Summary of number of days with a IGISIS or GGISIS Symptom Intensity Score</w:t>
            </w:r>
          </w:p>
          <w:p w14:paraId="18FDC1A0" w14:textId="77777777" w:rsidR="00F21A3E" w:rsidRDefault="00F21A3E" w:rsidP="00495E3A">
            <w:pPr>
              <w:pStyle w:val="TableText0"/>
            </w:pPr>
            <w:r>
              <w:t>• Worst IGISIS Individual Symptom Intensity Score by Week</w:t>
            </w:r>
          </w:p>
          <w:p w14:paraId="59F9E280" w14:textId="77777777" w:rsidR="00F21A3E" w:rsidRDefault="00F21A3E" w:rsidP="00495E3A">
            <w:pPr>
              <w:pStyle w:val="TableText0"/>
            </w:pPr>
            <w:r>
              <w:t xml:space="preserve">• Interference, </w:t>
            </w:r>
            <w:proofErr w:type="spellStart"/>
            <w:r>
              <w:t>bothersomeness</w:t>
            </w:r>
            <w:proofErr w:type="spellEnd"/>
            <w:r>
              <w:t xml:space="preserve"> and impact on work</w:t>
            </w:r>
          </w:p>
          <w:p w14:paraId="62733E5C" w14:textId="77777777" w:rsidR="00F21A3E" w:rsidRDefault="00F21A3E" w:rsidP="00495E3A">
            <w:pPr>
              <w:pStyle w:val="TableText0"/>
            </w:pPr>
            <w:r>
              <w:t>• Other safety outcomes (TEAEs and SAEs)</w:t>
            </w:r>
          </w:p>
          <w:p w14:paraId="7A2C44E8" w14:textId="77777777" w:rsidR="00F21A3E" w:rsidRPr="00AB083E" w:rsidRDefault="00F21A3E" w:rsidP="00495E3A">
            <w:pPr>
              <w:pStyle w:val="TableText0"/>
            </w:pPr>
            <w:r w:rsidRPr="00AB083E">
              <w:t>• Exploratory efficacy outcomes:</w:t>
            </w:r>
          </w:p>
          <w:p w14:paraId="0F5C714B" w14:textId="77777777" w:rsidR="00F21A3E" w:rsidRDefault="00F21A3E" w:rsidP="00AB083E">
            <w:pPr>
              <w:pStyle w:val="TableText0"/>
              <w:ind w:left="347"/>
            </w:pPr>
            <w:r>
              <w:t>- ARR</w:t>
            </w:r>
          </w:p>
          <w:p w14:paraId="4702F46A" w14:textId="77777777" w:rsidR="00AB083E" w:rsidRDefault="00F21A3E" w:rsidP="00AB083E">
            <w:pPr>
              <w:pStyle w:val="TableText0"/>
              <w:ind w:left="347"/>
            </w:pPr>
            <w:r>
              <w:t>- GD+ lesions</w:t>
            </w:r>
          </w:p>
          <w:p w14:paraId="2081DC9A" w14:textId="3C3AF111" w:rsidR="00F21A3E" w:rsidRPr="00AB083E" w:rsidRDefault="00AB083E" w:rsidP="00AB083E">
            <w:pPr>
              <w:pStyle w:val="TableText0"/>
            </w:pPr>
            <w:r w:rsidRPr="00AB083E">
              <w:t xml:space="preserve">• </w:t>
            </w:r>
            <w:r w:rsidR="004A31E7">
              <w:t>N</w:t>
            </w:r>
            <w:r w:rsidR="00F21A3E">
              <w:t>umber of new/newly enlarging T2 lesions</w:t>
            </w:r>
          </w:p>
        </w:tc>
      </w:tr>
      <w:tr w:rsidR="00F21A3E" w:rsidRPr="00691913" w14:paraId="56C9C06F" w14:textId="77777777" w:rsidTr="00495E3A">
        <w:trPr>
          <w:cantSplit/>
        </w:trPr>
        <w:tc>
          <w:tcPr>
            <w:tcW w:w="924" w:type="pct"/>
            <w:shd w:val="clear" w:color="auto" w:fill="auto"/>
          </w:tcPr>
          <w:p w14:paraId="53C81CB6" w14:textId="77777777" w:rsidR="00F21A3E" w:rsidRPr="00691913" w:rsidRDefault="00F21A3E" w:rsidP="00495E3A">
            <w:pPr>
              <w:pStyle w:val="TableText0"/>
            </w:pPr>
            <w:r w:rsidRPr="00691913">
              <w:t>Clinical claim</w:t>
            </w:r>
          </w:p>
        </w:tc>
        <w:tc>
          <w:tcPr>
            <w:tcW w:w="4076" w:type="pct"/>
            <w:shd w:val="clear" w:color="auto" w:fill="auto"/>
            <w:vAlign w:val="center"/>
          </w:tcPr>
          <w:p w14:paraId="3F025027" w14:textId="57F9468C" w:rsidR="00F21A3E" w:rsidRPr="001E1E86" w:rsidRDefault="00F21A3E" w:rsidP="00495E3A">
            <w:pPr>
              <w:pStyle w:val="TableText0"/>
              <w:rPr>
                <w:rFonts w:eastAsia="Times New Roman" w:cs="Arial"/>
                <w:bCs w:val="0"/>
                <w:snapToGrid w:val="0"/>
                <w:color w:val="0066FF"/>
                <w:szCs w:val="20"/>
              </w:rPr>
            </w:pPr>
            <w:r w:rsidRPr="003B2442">
              <w:t xml:space="preserve">In patients with RRMS, DRF is non-inferior in effectiveness (since DRF and DMF are </w:t>
            </w:r>
            <w:r w:rsidR="00DA3FCF">
              <w:t>bio</w:t>
            </w:r>
            <w:r w:rsidRPr="003B2442">
              <w:t xml:space="preserve">equivalent in terms of therapeutic doses of active </w:t>
            </w:r>
            <w:proofErr w:type="gramStart"/>
            <w:r w:rsidRPr="003B2442">
              <w:t>metabolite)</w:t>
            </w:r>
            <w:r w:rsidRPr="003B2442">
              <w:rPr>
                <w:vertAlign w:val="superscript"/>
              </w:rPr>
              <w:t>a</w:t>
            </w:r>
            <w:proofErr w:type="gramEnd"/>
            <w:r w:rsidRPr="003B2442">
              <w:t xml:space="preserve"> and non-inferior in terms of safety (GI tolerability [IGISIS &amp; GGISIS scores], discontinuations and AEs) compared with DMF.</w:t>
            </w:r>
          </w:p>
        </w:tc>
      </w:tr>
    </w:tbl>
    <w:p w14:paraId="14E83B1E" w14:textId="4A2610EA" w:rsidR="00F21A3E" w:rsidRDefault="00F21A3E" w:rsidP="00F21A3E">
      <w:pPr>
        <w:pStyle w:val="TableFigureFooter"/>
      </w:pPr>
      <w:r>
        <w:t xml:space="preserve">Source: Table 1.1.1, p30 </w:t>
      </w:r>
      <w:r w:rsidRPr="00D13A3E">
        <w:t xml:space="preserve">of the </w:t>
      </w:r>
      <w:r w:rsidR="004A31E7">
        <w:t>S</w:t>
      </w:r>
      <w:r>
        <w:t>ubmission.</w:t>
      </w:r>
    </w:p>
    <w:p w14:paraId="2C30AABE" w14:textId="77777777" w:rsidR="00F21A3E" w:rsidRDefault="00F21A3E" w:rsidP="00F21A3E">
      <w:pPr>
        <w:pStyle w:val="TableFigureFooter"/>
      </w:pPr>
      <w:r w:rsidRPr="003B2442">
        <w:t>AE, adverse events; ARR, annualised relapse rate; BID, twice daily; DMF, dimethyl fumarate; DRF, diroximel fumarate; GD+, gadolinium positive, GGISIS, Global Gastrointestinal Symptom and Impact Scale; GI, gastrointestinal; IGISIS, Individual Gastrointestinal Symptom and Impact Scale; mg, milligram; RRMS, relapsing-remitting multiple sclerosis; SAE, serious adverse event; TEAE, treatment-emergent adverse events</w:t>
      </w:r>
    </w:p>
    <w:p w14:paraId="62130161" w14:textId="25FAD2B9" w:rsidR="00F21A3E" w:rsidRDefault="00F21A3E" w:rsidP="00F21A3E">
      <w:pPr>
        <w:pStyle w:val="TableFigureFooter"/>
      </w:pPr>
      <w:r w:rsidRPr="003B2442">
        <w:t xml:space="preserve">a. Dimethyl fumarate (DMF) was recommended for listing on the PBS in July 2013 on a cost-minimisation basis with ABCR therapies (intramuscular interferon beta-1a, subcutaneous interferon beta-1a, interferon beta-1b and glatiramer acetate; DMF </w:t>
      </w:r>
      <w:r w:rsidR="00BA293B">
        <w:t>Public Summary Document (</w:t>
      </w:r>
      <w:r w:rsidRPr="003B2442">
        <w:t>PSD</w:t>
      </w:r>
      <w:r w:rsidR="00BA293B">
        <w:t>)</w:t>
      </w:r>
      <w:r w:rsidRPr="003B2442">
        <w:t>, July 2013 p.6-7).</w:t>
      </w:r>
    </w:p>
    <w:p w14:paraId="2CABA250" w14:textId="5CEEE5B9" w:rsidR="0041259D" w:rsidRDefault="00F21A3E" w:rsidP="005C74A0">
      <w:pPr>
        <w:pStyle w:val="2-SectionHeading"/>
      </w:pPr>
      <w:bookmarkStart w:id="2" w:name="_Toc93478624"/>
      <w:r w:rsidRPr="00407F2D">
        <w:lastRenderedPageBreak/>
        <w:t>Background</w:t>
      </w:r>
      <w:bookmarkStart w:id="3" w:name="_Toc22897638"/>
      <w:bookmarkEnd w:id="2"/>
    </w:p>
    <w:p w14:paraId="4F968BD2" w14:textId="3FB8B95B" w:rsidR="00F21A3E" w:rsidRPr="004151CF" w:rsidRDefault="00F21A3E" w:rsidP="00F21A3E">
      <w:pPr>
        <w:pStyle w:val="4-SubsectionHeading"/>
      </w:pPr>
      <w:bookmarkStart w:id="4" w:name="_Toc93478625"/>
      <w:r w:rsidRPr="004151CF">
        <w:t>Registration status</w:t>
      </w:r>
      <w:bookmarkEnd w:id="3"/>
      <w:bookmarkEnd w:id="4"/>
    </w:p>
    <w:p w14:paraId="5D7ED732" w14:textId="22C23A7C" w:rsidR="00F21A3E" w:rsidRDefault="0095758D" w:rsidP="00F21A3E">
      <w:pPr>
        <w:pStyle w:val="3-BodyText"/>
      </w:pPr>
      <w:r w:rsidRPr="00224F1A">
        <w:rPr>
          <w:rFonts w:ascii="Calibri" w:eastAsia="Calibri" w:hAnsi="Calibri"/>
          <w:b/>
          <w:szCs w:val="22"/>
        </w:rPr>
        <w:t xml:space="preserve">TGA status at time of </w:t>
      </w:r>
      <w:r w:rsidR="00224F1A" w:rsidRPr="00224F1A">
        <w:rPr>
          <w:rFonts w:ascii="Calibri" w:eastAsia="Calibri" w:hAnsi="Calibri"/>
          <w:b/>
          <w:szCs w:val="22"/>
        </w:rPr>
        <w:t>PBAC consideration:</w:t>
      </w:r>
      <w:r w:rsidRPr="00224F1A">
        <w:rPr>
          <w:rFonts w:ascii="Calibri" w:eastAsia="Calibri" w:hAnsi="Calibri"/>
          <w:szCs w:val="22"/>
        </w:rPr>
        <w:t xml:space="preserve">  </w:t>
      </w:r>
      <w:r w:rsidR="00F21A3E" w:rsidRPr="00224F1A">
        <w:t>The</w:t>
      </w:r>
      <w:r w:rsidR="00F21A3E" w:rsidRPr="004E18E9">
        <w:t xml:space="preserve"> </w:t>
      </w:r>
      <w:r w:rsidR="00A23FDF">
        <w:t>s</w:t>
      </w:r>
      <w:r w:rsidR="00F21A3E" w:rsidRPr="004E18E9">
        <w:t xml:space="preserve">ubmission was made under the TGA/PBAC Parallel Process. </w:t>
      </w:r>
      <w:r w:rsidR="00224F1A">
        <w:rPr>
          <w:rFonts w:ascii="Calibri" w:eastAsia="Calibri" w:hAnsi="Calibri"/>
          <w:szCs w:val="22"/>
        </w:rPr>
        <w:t>The Delegate’s Overview and ACM advice were available at time of PBAC consideration, both of which supported the registration of DRF</w:t>
      </w:r>
      <w:r w:rsidR="00244D38">
        <w:rPr>
          <w:rFonts w:ascii="Calibri" w:eastAsia="Calibri" w:hAnsi="Calibri"/>
          <w:i/>
          <w:iCs/>
          <w:szCs w:val="22"/>
        </w:rPr>
        <w:t>.</w:t>
      </w:r>
    </w:p>
    <w:p w14:paraId="6612862F" w14:textId="7F9927F9" w:rsidR="00F21A3E" w:rsidRDefault="00F21A3E" w:rsidP="00F21A3E">
      <w:pPr>
        <w:pStyle w:val="2-SectionHeading"/>
      </w:pPr>
      <w:bookmarkStart w:id="5" w:name="_Toc93478626"/>
      <w:r w:rsidRPr="00407F2D">
        <w:t>Requested listing</w:t>
      </w:r>
      <w:bookmarkEnd w:id="5"/>
    </w:p>
    <w:p w14:paraId="319F86C0" w14:textId="7BFFE7B3" w:rsidR="00031CDD" w:rsidRPr="00F10A6F" w:rsidRDefault="00F10A6F" w:rsidP="00031CDD">
      <w:pPr>
        <w:pStyle w:val="ListParagraph"/>
        <w:numPr>
          <w:ilvl w:val="1"/>
          <w:numId w:val="1"/>
        </w:numPr>
        <w:rPr>
          <w:rFonts w:cs="Calibri"/>
          <w:bCs/>
          <w:iCs/>
        </w:rPr>
      </w:pPr>
      <w:r w:rsidRPr="00F10A6F">
        <w:rPr>
          <w:rFonts w:cs="Calibri"/>
          <w:bCs/>
          <w:iCs/>
        </w:rPr>
        <w:t>The requested restriction is presented below.</w:t>
      </w:r>
      <w:r>
        <w:rPr>
          <w:rFonts w:cs="Calibri"/>
          <w:bCs/>
          <w:iCs/>
        </w:rPr>
        <w:t xml:space="preserve"> A grandfathering restriction was requested in the Pre-PBAC Response, which has been added to the requested listing.</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F10A6F" w:rsidRPr="0084008F" w14:paraId="5A4B968A" w14:textId="77777777" w:rsidTr="00040A62">
        <w:trPr>
          <w:cantSplit/>
          <w:trHeight w:val="471"/>
        </w:trPr>
        <w:tc>
          <w:tcPr>
            <w:tcW w:w="2689" w:type="dxa"/>
          </w:tcPr>
          <w:p w14:paraId="3011A45A" w14:textId="77777777" w:rsidR="00F10A6F" w:rsidRPr="0084008F" w:rsidRDefault="00F10A6F" w:rsidP="00040A62">
            <w:pPr>
              <w:keepNext/>
              <w:ind w:left="-108"/>
              <w:rPr>
                <w:rFonts w:ascii="Arial Narrow" w:hAnsi="Arial Narrow"/>
                <w:b/>
                <w:sz w:val="20"/>
                <w:szCs w:val="20"/>
              </w:rPr>
            </w:pPr>
            <w:r w:rsidRPr="0084008F">
              <w:rPr>
                <w:rFonts w:ascii="Arial Narrow" w:hAnsi="Arial Narrow"/>
                <w:b/>
                <w:sz w:val="20"/>
                <w:szCs w:val="20"/>
              </w:rPr>
              <w:t>Name, Restriction,</w:t>
            </w:r>
          </w:p>
          <w:p w14:paraId="2FDACBD1" w14:textId="77777777" w:rsidR="00F10A6F" w:rsidRPr="0084008F" w:rsidRDefault="00F10A6F" w:rsidP="00040A62">
            <w:pPr>
              <w:keepNext/>
              <w:ind w:left="-108"/>
              <w:rPr>
                <w:rFonts w:ascii="Arial Narrow" w:hAnsi="Arial Narrow"/>
                <w:b/>
                <w:sz w:val="20"/>
                <w:szCs w:val="20"/>
              </w:rPr>
            </w:pPr>
            <w:r w:rsidRPr="0084008F">
              <w:rPr>
                <w:rFonts w:ascii="Arial Narrow" w:hAnsi="Arial Narrow"/>
                <w:b/>
                <w:sz w:val="20"/>
                <w:szCs w:val="20"/>
              </w:rPr>
              <w:t>Manner of administration and form</w:t>
            </w:r>
          </w:p>
        </w:tc>
        <w:tc>
          <w:tcPr>
            <w:tcW w:w="1275" w:type="dxa"/>
          </w:tcPr>
          <w:p w14:paraId="77C9D076" w14:textId="77777777" w:rsidR="00F10A6F" w:rsidRPr="0084008F" w:rsidRDefault="00F10A6F" w:rsidP="00040A62">
            <w:pPr>
              <w:keepNext/>
              <w:ind w:left="-108"/>
              <w:jc w:val="center"/>
              <w:rPr>
                <w:rFonts w:ascii="Arial Narrow" w:hAnsi="Arial Narrow"/>
                <w:b/>
                <w:sz w:val="20"/>
                <w:szCs w:val="20"/>
              </w:rPr>
            </w:pPr>
            <w:r w:rsidRPr="0084008F">
              <w:rPr>
                <w:rFonts w:ascii="Arial Narrow" w:hAnsi="Arial Narrow"/>
                <w:b/>
                <w:sz w:val="20"/>
                <w:szCs w:val="20"/>
              </w:rPr>
              <w:t>PBS item code</w:t>
            </w:r>
          </w:p>
        </w:tc>
        <w:tc>
          <w:tcPr>
            <w:tcW w:w="851" w:type="dxa"/>
          </w:tcPr>
          <w:p w14:paraId="144F4045" w14:textId="77777777" w:rsidR="00F10A6F" w:rsidRPr="0084008F" w:rsidRDefault="00F10A6F" w:rsidP="00040A62">
            <w:pPr>
              <w:keepNext/>
              <w:ind w:left="-108"/>
              <w:jc w:val="center"/>
              <w:rPr>
                <w:rFonts w:ascii="Arial Narrow" w:hAnsi="Arial Narrow"/>
                <w:b/>
                <w:sz w:val="20"/>
                <w:szCs w:val="20"/>
              </w:rPr>
            </w:pPr>
            <w:r w:rsidRPr="0084008F">
              <w:rPr>
                <w:rFonts w:ascii="Arial Narrow" w:hAnsi="Arial Narrow"/>
                <w:b/>
                <w:sz w:val="20"/>
                <w:szCs w:val="20"/>
              </w:rPr>
              <w:t>Max. qty packs</w:t>
            </w:r>
          </w:p>
        </w:tc>
        <w:tc>
          <w:tcPr>
            <w:tcW w:w="850" w:type="dxa"/>
          </w:tcPr>
          <w:p w14:paraId="3F616538" w14:textId="77777777" w:rsidR="00F10A6F" w:rsidRPr="0084008F" w:rsidRDefault="00F10A6F" w:rsidP="00040A62">
            <w:pPr>
              <w:keepNext/>
              <w:ind w:left="-108"/>
              <w:jc w:val="center"/>
              <w:rPr>
                <w:rFonts w:ascii="Arial Narrow" w:hAnsi="Arial Narrow"/>
                <w:b/>
                <w:sz w:val="20"/>
                <w:szCs w:val="20"/>
              </w:rPr>
            </w:pPr>
            <w:r w:rsidRPr="0084008F">
              <w:rPr>
                <w:rFonts w:ascii="Arial Narrow" w:hAnsi="Arial Narrow"/>
                <w:b/>
                <w:sz w:val="20"/>
                <w:szCs w:val="20"/>
              </w:rPr>
              <w:t>Max. qty units</w:t>
            </w:r>
          </w:p>
        </w:tc>
        <w:tc>
          <w:tcPr>
            <w:tcW w:w="709" w:type="dxa"/>
          </w:tcPr>
          <w:p w14:paraId="1674DA21" w14:textId="77777777" w:rsidR="00F10A6F" w:rsidRPr="0084008F" w:rsidRDefault="00F10A6F" w:rsidP="00040A62">
            <w:pPr>
              <w:keepNext/>
              <w:ind w:left="-108"/>
              <w:jc w:val="center"/>
              <w:rPr>
                <w:rFonts w:ascii="Arial Narrow" w:hAnsi="Arial Narrow"/>
                <w:b/>
                <w:sz w:val="20"/>
                <w:szCs w:val="20"/>
              </w:rPr>
            </w:pPr>
            <w:proofErr w:type="gramStart"/>
            <w:r w:rsidRPr="0084008F">
              <w:rPr>
                <w:rFonts w:ascii="Arial Narrow" w:hAnsi="Arial Narrow"/>
                <w:b/>
                <w:sz w:val="20"/>
                <w:szCs w:val="20"/>
              </w:rPr>
              <w:t>№.of</w:t>
            </w:r>
            <w:proofErr w:type="gramEnd"/>
          </w:p>
          <w:p w14:paraId="1BE0F417" w14:textId="77777777" w:rsidR="00F10A6F" w:rsidRPr="0084008F" w:rsidRDefault="00F10A6F" w:rsidP="00040A62">
            <w:pPr>
              <w:keepNext/>
              <w:ind w:left="-108"/>
              <w:jc w:val="center"/>
              <w:rPr>
                <w:rFonts w:ascii="Arial Narrow" w:hAnsi="Arial Narrow"/>
                <w:b/>
                <w:sz w:val="20"/>
                <w:szCs w:val="20"/>
              </w:rPr>
            </w:pPr>
            <w:proofErr w:type="spellStart"/>
            <w:r w:rsidRPr="0084008F">
              <w:rPr>
                <w:rFonts w:ascii="Arial Narrow" w:hAnsi="Arial Narrow"/>
                <w:b/>
                <w:sz w:val="20"/>
                <w:szCs w:val="20"/>
              </w:rPr>
              <w:t>Rpts</w:t>
            </w:r>
            <w:proofErr w:type="spellEnd"/>
          </w:p>
        </w:tc>
        <w:tc>
          <w:tcPr>
            <w:tcW w:w="2551" w:type="dxa"/>
            <w:gridSpan w:val="2"/>
          </w:tcPr>
          <w:p w14:paraId="2000D081" w14:textId="77777777" w:rsidR="00F10A6F" w:rsidRPr="0084008F" w:rsidRDefault="00F10A6F" w:rsidP="00040A62">
            <w:pPr>
              <w:keepNext/>
              <w:rPr>
                <w:rFonts w:ascii="Arial Narrow" w:hAnsi="Arial Narrow"/>
                <w:b/>
                <w:sz w:val="20"/>
                <w:szCs w:val="20"/>
                <w:lang w:val="fr-FR"/>
              </w:rPr>
            </w:pPr>
            <w:r w:rsidRPr="0084008F">
              <w:rPr>
                <w:rFonts w:ascii="Arial Narrow" w:hAnsi="Arial Narrow"/>
                <w:b/>
                <w:sz w:val="20"/>
                <w:szCs w:val="20"/>
              </w:rPr>
              <w:t>Proprietary Name and Manufacturer</w:t>
            </w:r>
          </w:p>
        </w:tc>
      </w:tr>
      <w:tr w:rsidR="00F10A6F" w:rsidRPr="0084008F" w14:paraId="4997E737" w14:textId="77777777" w:rsidTr="00040A62">
        <w:trPr>
          <w:cantSplit/>
          <w:trHeight w:val="761"/>
        </w:trPr>
        <w:tc>
          <w:tcPr>
            <w:tcW w:w="2689" w:type="dxa"/>
          </w:tcPr>
          <w:p w14:paraId="20DB1662" w14:textId="77777777" w:rsidR="00F10A6F" w:rsidRPr="0084008F" w:rsidRDefault="00F10A6F" w:rsidP="00040A62">
            <w:pPr>
              <w:keepNext/>
              <w:ind w:left="-108"/>
              <w:rPr>
                <w:rFonts w:ascii="Arial Narrow" w:hAnsi="Arial Narrow"/>
                <w:sz w:val="20"/>
                <w:szCs w:val="20"/>
              </w:rPr>
            </w:pPr>
            <w:r w:rsidRPr="0084008F">
              <w:rPr>
                <w:rFonts w:ascii="Arial Narrow" w:hAnsi="Arial Narrow"/>
                <w:sz w:val="20"/>
                <w:szCs w:val="20"/>
              </w:rPr>
              <w:t>DIROXIMEL FUMARATE</w:t>
            </w:r>
          </w:p>
          <w:p w14:paraId="0FF676CF" w14:textId="77777777" w:rsidR="00F10A6F" w:rsidRPr="0084008F" w:rsidRDefault="00F10A6F" w:rsidP="00040A62">
            <w:pPr>
              <w:keepNext/>
              <w:ind w:left="-108"/>
              <w:rPr>
                <w:rFonts w:ascii="Arial Narrow" w:hAnsi="Arial Narrow"/>
                <w:sz w:val="20"/>
                <w:szCs w:val="20"/>
              </w:rPr>
            </w:pPr>
          </w:p>
          <w:p w14:paraId="7D38A86E" w14:textId="77777777" w:rsidR="00F10A6F" w:rsidRPr="0084008F" w:rsidRDefault="00F10A6F" w:rsidP="00040A62">
            <w:pPr>
              <w:keepNext/>
              <w:ind w:left="-108"/>
              <w:rPr>
                <w:rFonts w:ascii="Arial Narrow" w:hAnsi="Arial Narrow"/>
                <w:sz w:val="20"/>
                <w:szCs w:val="20"/>
              </w:rPr>
            </w:pPr>
            <w:r w:rsidRPr="0084008F">
              <w:rPr>
                <w:rFonts w:ascii="Arial Narrow" w:hAnsi="Arial Narrow"/>
                <w:sz w:val="20"/>
                <w:szCs w:val="20"/>
              </w:rPr>
              <w:t>Capsule 231 mg, 120</w:t>
            </w:r>
          </w:p>
        </w:tc>
        <w:tc>
          <w:tcPr>
            <w:tcW w:w="1275" w:type="dxa"/>
          </w:tcPr>
          <w:p w14:paraId="01A27DE0" w14:textId="77777777" w:rsidR="00F10A6F" w:rsidRPr="0084008F" w:rsidRDefault="00F10A6F" w:rsidP="00040A62">
            <w:pPr>
              <w:keepNext/>
              <w:ind w:left="-108"/>
              <w:jc w:val="center"/>
              <w:rPr>
                <w:rFonts w:ascii="Arial Narrow" w:hAnsi="Arial Narrow"/>
                <w:sz w:val="20"/>
                <w:szCs w:val="20"/>
              </w:rPr>
            </w:pPr>
          </w:p>
          <w:p w14:paraId="51C39BDE" w14:textId="77777777" w:rsidR="00F10A6F" w:rsidRPr="0084008F" w:rsidRDefault="00F10A6F" w:rsidP="00040A62">
            <w:pPr>
              <w:keepNext/>
              <w:ind w:left="-108"/>
              <w:jc w:val="center"/>
              <w:rPr>
                <w:rFonts w:ascii="Arial Narrow" w:hAnsi="Arial Narrow"/>
                <w:sz w:val="20"/>
                <w:szCs w:val="20"/>
              </w:rPr>
            </w:pPr>
            <w:r w:rsidRPr="0084008F">
              <w:rPr>
                <w:rFonts w:ascii="Arial Narrow" w:hAnsi="Arial Narrow"/>
                <w:sz w:val="20"/>
                <w:szCs w:val="20"/>
              </w:rPr>
              <w:t>NEW</w:t>
            </w:r>
          </w:p>
        </w:tc>
        <w:tc>
          <w:tcPr>
            <w:tcW w:w="851" w:type="dxa"/>
          </w:tcPr>
          <w:p w14:paraId="583F74E8" w14:textId="77777777" w:rsidR="00F10A6F" w:rsidRPr="0084008F" w:rsidRDefault="00F10A6F" w:rsidP="00040A62">
            <w:pPr>
              <w:keepNext/>
              <w:jc w:val="center"/>
              <w:rPr>
                <w:rFonts w:ascii="Arial Narrow" w:hAnsi="Arial Narrow"/>
                <w:sz w:val="20"/>
                <w:szCs w:val="20"/>
              </w:rPr>
            </w:pPr>
          </w:p>
          <w:p w14:paraId="1574C4BF" w14:textId="77777777" w:rsidR="00F10A6F" w:rsidRPr="0084008F" w:rsidRDefault="00F10A6F" w:rsidP="00040A62">
            <w:pPr>
              <w:keepNext/>
              <w:ind w:left="-108"/>
              <w:jc w:val="center"/>
              <w:rPr>
                <w:rFonts w:ascii="Arial Narrow" w:hAnsi="Arial Narrow"/>
                <w:sz w:val="20"/>
                <w:szCs w:val="20"/>
              </w:rPr>
            </w:pPr>
          </w:p>
          <w:p w14:paraId="3BAC8C68" w14:textId="77777777" w:rsidR="00F10A6F" w:rsidRPr="0084008F" w:rsidRDefault="00F10A6F" w:rsidP="00040A62">
            <w:pPr>
              <w:keepNext/>
              <w:jc w:val="center"/>
              <w:rPr>
                <w:rFonts w:ascii="Arial Narrow" w:hAnsi="Arial Narrow"/>
                <w:sz w:val="20"/>
                <w:szCs w:val="20"/>
              </w:rPr>
            </w:pPr>
            <w:r w:rsidRPr="0084008F">
              <w:rPr>
                <w:rFonts w:ascii="Arial Narrow" w:hAnsi="Arial Narrow"/>
                <w:sz w:val="20"/>
                <w:szCs w:val="20"/>
              </w:rPr>
              <w:t>1</w:t>
            </w:r>
          </w:p>
        </w:tc>
        <w:tc>
          <w:tcPr>
            <w:tcW w:w="850" w:type="dxa"/>
          </w:tcPr>
          <w:p w14:paraId="65935463" w14:textId="77777777" w:rsidR="00F10A6F" w:rsidRPr="0084008F" w:rsidRDefault="00F10A6F" w:rsidP="00040A62">
            <w:pPr>
              <w:keepNext/>
              <w:ind w:left="-108"/>
              <w:jc w:val="center"/>
              <w:rPr>
                <w:rFonts w:ascii="Arial Narrow" w:hAnsi="Arial Narrow"/>
                <w:sz w:val="20"/>
                <w:szCs w:val="20"/>
              </w:rPr>
            </w:pPr>
          </w:p>
          <w:p w14:paraId="6019354D" w14:textId="77777777" w:rsidR="00F10A6F" w:rsidRPr="0084008F" w:rsidRDefault="00F10A6F" w:rsidP="00040A62">
            <w:pPr>
              <w:keepNext/>
              <w:rPr>
                <w:rFonts w:ascii="Arial Narrow" w:hAnsi="Arial Narrow"/>
                <w:sz w:val="20"/>
                <w:szCs w:val="20"/>
              </w:rPr>
            </w:pPr>
          </w:p>
          <w:p w14:paraId="421EB4EC" w14:textId="77777777" w:rsidR="00F10A6F" w:rsidRPr="0084008F" w:rsidRDefault="00F10A6F" w:rsidP="00040A62">
            <w:pPr>
              <w:keepNext/>
              <w:ind w:left="-108"/>
              <w:jc w:val="center"/>
              <w:rPr>
                <w:rFonts w:ascii="Arial Narrow" w:hAnsi="Arial Narrow"/>
                <w:sz w:val="20"/>
                <w:szCs w:val="20"/>
              </w:rPr>
            </w:pPr>
            <w:r w:rsidRPr="0084008F">
              <w:rPr>
                <w:rFonts w:ascii="Arial Narrow" w:hAnsi="Arial Narrow"/>
                <w:sz w:val="20"/>
                <w:szCs w:val="20"/>
              </w:rPr>
              <w:t>120</w:t>
            </w:r>
          </w:p>
        </w:tc>
        <w:tc>
          <w:tcPr>
            <w:tcW w:w="709" w:type="dxa"/>
          </w:tcPr>
          <w:p w14:paraId="2F0F956E" w14:textId="77777777" w:rsidR="00F10A6F" w:rsidRPr="0084008F" w:rsidRDefault="00F10A6F" w:rsidP="00040A62">
            <w:pPr>
              <w:keepNext/>
              <w:ind w:left="-108"/>
              <w:jc w:val="center"/>
              <w:rPr>
                <w:rFonts w:ascii="Arial Narrow" w:hAnsi="Arial Narrow"/>
                <w:sz w:val="20"/>
                <w:szCs w:val="20"/>
              </w:rPr>
            </w:pPr>
          </w:p>
          <w:p w14:paraId="03E472AF" w14:textId="77777777" w:rsidR="00F10A6F" w:rsidRPr="0084008F" w:rsidRDefault="00F10A6F" w:rsidP="00040A62">
            <w:pPr>
              <w:keepNext/>
              <w:ind w:left="-108"/>
              <w:jc w:val="center"/>
              <w:rPr>
                <w:rFonts w:ascii="Arial Narrow" w:hAnsi="Arial Narrow"/>
                <w:sz w:val="20"/>
                <w:szCs w:val="20"/>
              </w:rPr>
            </w:pPr>
          </w:p>
          <w:p w14:paraId="6E104F41" w14:textId="77777777" w:rsidR="00F10A6F" w:rsidRPr="0084008F" w:rsidRDefault="00F10A6F" w:rsidP="00040A62">
            <w:pPr>
              <w:keepNext/>
              <w:ind w:left="-108"/>
              <w:jc w:val="center"/>
              <w:rPr>
                <w:rFonts w:ascii="Arial Narrow" w:hAnsi="Arial Narrow"/>
                <w:sz w:val="20"/>
                <w:szCs w:val="20"/>
              </w:rPr>
            </w:pPr>
            <w:r w:rsidRPr="0084008F">
              <w:rPr>
                <w:rFonts w:ascii="Arial Narrow" w:hAnsi="Arial Narrow"/>
                <w:sz w:val="20"/>
                <w:szCs w:val="20"/>
              </w:rPr>
              <w:t>5</w:t>
            </w:r>
          </w:p>
          <w:p w14:paraId="02BD6CD9" w14:textId="77777777" w:rsidR="00F10A6F" w:rsidRPr="0084008F" w:rsidRDefault="00F10A6F" w:rsidP="00040A62">
            <w:pPr>
              <w:keepNext/>
              <w:rPr>
                <w:rFonts w:ascii="Arial Narrow" w:hAnsi="Arial Narrow"/>
                <w:sz w:val="20"/>
                <w:szCs w:val="20"/>
              </w:rPr>
            </w:pPr>
          </w:p>
        </w:tc>
        <w:tc>
          <w:tcPr>
            <w:tcW w:w="1134" w:type="dxa"/>
          </w:tcPr>
          <w:p w14:paraId="38057A9A" w14:textId="77777777" w:rsidR="00F10A6F" w:rsidRPr="0084008F" w:rsidRDefault="00F10A6F" w:rsidP="00040A62">
            <w:pPr>
              <w:keepNext/>
              <w:rPr>
                <w:rFonts w:ascii="Arial Narrow" w:hAnsi="Arial Narrow"/>
                <w:sz w:val="20"/>
                <w:szCs w:val="20"/>
              </w:rPr>
            </w:pPr>
          </w:p>
          <w:p w14:paraId="453D4183" w14:textId="77777777" w:rsidR="00F10A6F" w:rsidRPr="0084008F" w:rsidRDefault="00F10A6F" w:rsidP="00040A62">
            <w:pPr>
              <w:keepNext/>
              <w:rPr>
                <w:rFonts w:ascii="Arial Narrow" w:hAnsi="Arial Narrow"/>
                <w:sz w:val="20"/>
                <w:szCs w:val="20"/>
              </w:rPr>
            </w:pPr>
          </w:p>
          <w:p w14:paraId="5A0707B8" w14:textId="77777777" w:rsidR="00F10A6F" w:rsidRPr="0084008F" w:rsidRDefault="00F10A6F" w:rsidP="00040A62">
            <w:pPr>
              <w:keepNext/>
              <w:rPr>
                <w:rFonts w:ascii="Arial Narrow" w:hAnsi="Arial Narrow"/>
                <w:sz w:val="20"/>
                <w:szCs w:val="20"/>
              </w:rPr>
            </w:pPr>
            <w:proofErr w:type="spellStart"/>
            <w:r w:rsidRPr="0084008F">
              <w:rPr>
                <w:rFonts w:ascii="Arial Narrow" w:hAnsi="Arial Narrow"/>
                <w:sz w:val="20"/>
                <w:szCs w:val="20"/>
              </w:rPr>
              <w:t>Vumerity</w:t>
            </w:r>
            <w:proofErr w:type="spellEnd"/>
            <w:r w:rsidRPr="0084008F">
              <w:rPr>
                <w:rFonts w:ascii="Arial Narrow" w:hAnsi="Arial Narrow"/>
                <w:sz w:val="20"/>
                <w:szCs w:val="20"/>
                <w:vertAlign w:val="superscript"/>
              </w:rPr>
              <w:t>®</w:t>
            </w:r>
          </w:p>
        </w:tc>
        <w:tc>
          <w:tcPr>
            <w:tcW w:w="1417" w:type="dxa"/>
          </w:tcPr>
          <w:p w14:paraId="5AC00279" w14:textId="77777777" w:rsidR="00F10A6F" w:rsidRPr="0084008F" w:rsidRDefault="00F10A6F" w:rsidP="00040A62">
            <w:pPr>
              <w:keepNext/>
              <w:rPr>
                <w:rFonts w:ascii="Arial Narrow" w:hAnsi="Arial Narrow"/>
                <w:sz w:val="20"/>
                <w:szCs w:val="20"/>
              </w:rPr>
            </w:pPr>
          </w:p>
          <w:p w14:paraId="132BB3A0" w14:textId="77777777" w:rsidR="00F10A6F" w:rsidRPr="0084008F" w:rsidRDefault="00F10A6F" w:rsidP="00040A62">
            <w:pPr>
              <w:keepNext/>
              <w:rPr>
                <w:rFonts w:ascii="Arial Narrow" w:hAnsi="Arial Narrow"/>
                <w:sz w:val="20"/>
                <w:szCs w:val="20"/>
              </w:rPr>
            </w:pPr>
          </w:p>
          <w:p w14:paraId="0E96C889" w14:textId="77777777" w:rsidR="00F10A6F" w:rsidRPr="0084008F" w:rsidRDefault="00F10A6F" w:rsidP="00040A62">
            <w:pPr>
              <w:keepNext/>
              <w:rPr>
                <w:rFonts w:ascii="Arial Narrow" w:hAnsi="Arial Narrow"/>
                <w:sz w:val="20"/>
                <w:szCs w:val="20"/>
              </w:rPr>
            </w:pPr>
            <w:r w:rsidRPr="0084008F">
              <w:rPr>
                <w:rFonts w:ascii="Arial Narrow" w:hAnsi="Arial Narrow"/>
                <w:sz w:val="20"/>
                <w:szCs w:val="20"/>
              </w:rPr>
              <w:t>Biogen Australia Pty Ltd</w:t>
            </w:r>
          </w:p>
        </w:tc>
      </w:tr>
    </w:tbl>
    <w:p w14:paraId="7994B092" w14:textId="298ED956" w:rsidR="00F21A3E" w:rsidRPr="0084008F" w:rsidRDefault="00F21A3E" w:rsidP="00F21A3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B16FCB" w:rsidRPr="0084008F" w14:paraId="3DD19A9B" w14:textId="77777777" w:rsidTr="00B16FCB">
        <w:tc>
          <w:tcPr>
            <w:tcW w:w="5000" w:type="pct"/>
            <w:tcBorders>
              <w:top w:val="single" w:sz="4" w:space="0" w:color="auto"/>
              <w:left w:val="single" w:sz="4" w:space="0" w:color="auto"/>
              <w:bottom w:val="single" w:sz="4" w:space="0" w:color="auto"/>
              <w:right w:val="single" w:sz="4" w:space="0" w:color="auto"/>
            </w:tcBorders>
          </w:tcPr>
          <w:p w14:paraId="420EDEE0" w14:textId="77777777" w:rsidR="00B16FCB" w:rsidRPr="0084008F" w:rsidRDefault="00B16FCB" w:rsidP="00040A62">
            <w:pPr>
              <w:rPr>
                <w:rFonts w:ascii="Arial Narrow" w:hAnsi="Arial Narrow"/>
                <w:sz w:val="20"/>
                <w:szCs w:val="20"/>
              </w:rPr>
            </w:pPr>
            <w:r w:rsidRPr="0084008F">
              <w:rPr>
                <w:rFonts w:ascii="Arial Narrow" w:hAnsi="Arial Narrow"/>
                <w:b/>
                <w:sz w:val="20"/>
                <w:szCs w:val="20"/>
              </w:rPr>
              <w:t xml:space="preserve">Category / Program:   </w:t>
            </w:r>
          </w:p>
          <w:p w14:paraId="4F8910D7" w14:textId="77777777" w:rsidR="00B16FCB" w:rsidRPr="0084008F" w:rsidRDefault="00B16FCB" w:rsidP="00040A62">
            <w:pPr>
              <w:rPr>
                <w:rFonts w:ascii="Arial Narrow" w:hAnsi="Arial Narrow"/>
                <w:sz w:val="20"/>
                <w:szCs w:val="20"/>
              </w:rPr>
            </w:pPr>
            <w:r w:rsidRPr="0084008F">
              <w:rPr>
                <w:rFonts w:ascii="Arial Narrow" w:hAnsi="Arial Narrow"/>
                <w:sz w:val="20"/>
                <w:szCs w:val="20"/>
              </w:rPr>
              <w:t>GENERAL – General Schedule (Code GE)</w:t>
            </w:r>
          </w:p>
          <w:p w14:paraId="5857DD4C" w14:textId="77777777" w:rsidR="00B16FCB" w:rsidRPr="0084008F" w:rsidRDefault="00B16FCB" w:rsidP="00040A62">
            <w:pPr>
              <w:rPr>
                <w:rFonts w:ascii="Arial Narrow" w:hAnsi="Arial Narrow"/>
                <w:sz w:val="20"/>
                <w:szCs w:val="20"/>
              </w:rPr>
            </w:pPr>
            <w:r w:rsidRPr="0084008F">
              <w:rPr>
                <w:rFonts w:ascii="Arial Narrow" w:hAnsi="Arial Narrow"/>
                <w:sz w:val="20"/>
                <w:szCs w:val="20"/>
              </w:rPr>
              <w:t xml:space="preserve"> </w:t>
            </w:r>
          </w:p>
        </w:tc>
      </w:tr>
      <w:tr w:rsidR="00B16FCB" w:rsidRPr="0084008F" w14:paraId="6847FA63" w14:textId="77777777" w:rsidTr="00B16FCB">
        <w:trPr>
          <w:trHeight w:val="366"/>
        </w:trPr>
        <w:tc>
          <w:tcPr>
            <w:tcW w:w="5000" w:type="pct"/>
            <w:tcBorders>
              <w:top w:val="single" w:sz="4" w:space="0" w:color="auto"/>
              <w:left w:val="single" w:sz="4" w:space="0" w:color="auto"/>
              <w:bottom w:val="single" w:sz="4" w:space="0" w:color="auto"/>
              <w:right w:val="single" w:sz="4" w:space="0" w:color="auto"/>
            </w:tcBorders>
          </w:tcPr>
          <w:p w14:paraId="7E6448C0" w14:textId="77777777" w:rsidR="00B16FCB" w:rsidRPr="0084008F" w:rsidRDefault="00B16FCB" w:rsidP="00040A62">
            <w:pPr>
              <w:rPr>
                <w:rFonts w:ascii="Arial Narrow" w:hAnsi="Arial Narrow"/>
                <w:sz w:val="20"/>
                <w:szCs w:val="20"/>
              </w:rPr>
            </w:pPr>
            <w:r w:rsidRPr="0084008F">
              <w:rPr>
                <w:rFonts w:ascii="Arial Narrow" w:hAnsi="Arial Narrow"/>
                <w:b/>
                <w:sz w:val="20"/>
                <w:szCs w:val="20"/>
              </w:rPr>
              <w:t xml:space="preserve">Prescriber type:  </w:t>
            </w:r>
            <w:r w:rsidRPr="0084008F">
              <w:rPr>
                <w:rFonts w:ascii="Arial Narrow" w:hAnsi="Arial Narrow"/>
                <w:sz w:val="20"/>
                <w:szCs w:val="20"/>
              </w:rPr>
              <w:fldChar w:fldCharType="begin">
                <w:ffData>
                  <w:name w:val="Check1"/>
                  <w:enabled/>
                  <w:calcOnExit w:val="0"/>
                  <w:checkBox>
                    <w:sizeAuto/>
                    <w:default w:val="0"/>
                  </w:checkBox>
                </w:ffData>
              </w:fldChar>
            </w:r>
            <w:r w:rsidRPr="0084008F">
              <w:rPr>
                <w:rFonts w:ascii="Arial Narrow" w:hAnsi="Arial Narrow"/>
                <w:sz w:val="20"/>
                <w:szCs w:val="20"/>
              </w:rPr>
              <w:instrText xml:space="preserve"> FORMCHECKBOX </w:instrText>
            </w:r>
            <w:r w:rsidR="00756CE2">
              <w:rPr>
                <w:rFonts w:ascii="Arial Narrow" w:hAnsi="Arial Narrow"/>
                <w:sz w:val="20"/>
                <w:szCs w:val="20"/>
              </w:rPr>
            </w:r>
            <w:r w:rsidR="00756CE2">
              <w:rPr>
                <w:rFonts w:ascii="Arial Narrow" w:hAnsi="Arial Narrow"/>
                <w:sz w:val="20"/>
                <w:szCs w:val="20"/>
              </w:rPr>
              <w:fldChar w:fldCharType="separate"/>
            </w:r>
            <w:r w:rsidRPr="0084008F">
              <w:rPr>
                <w:rFonts w:ascii="Arial Narrow" w:hAnsi="Arial Narrow"/>
                <w:sz w:val="20"/>
                <w:szCs w:val="20"/>
              </w:rPr>
              <w:fldChar w:fldCharType="end"/>
            </w:r>
            <w:r w:rsidRPr="0084008F">
              <w:rPr>
                <w:rFonts w:ascii="Arial Narrow" w:hAnsi="Arial Narrow"/>
                <w:sz w:val="20"/>
                <w:szCs w:val="20"/>
              </w:rPr>
              <w:t xml:space="preserve">Dental  </w:t>
            </w:r>
            <w:r w:rsidRPr="0084008F">
              <w:rPr>
                <w:rFonts w:ascii="Arial Narrow" w:hAnsi="Arial Narrow"/>
                <w:sz w:val="20"/>
                <w:szCs w:val="20"/>
              </w:rPr>
              <w:fldChar w:fldCharType="begin">
                <w:ffData>
                  <w:name w:val=""/>
                  <w:enabled/>
                  <w:calcOnExit w:val="0"/>
                  <w:checkBox>
                    <w:sizeAuto/>
                    <w:default w:val="1"/>
                  </w:checkBox>
                </w:ffData>
              </w:fldChar>
            </w:r>
            <w:r w:rsidRPr="0084008F">
              <w:rPr>
                <w:rFonts w:ascii="Arial Narrow" w:hAnsi="Arial Narrow"/>
                <w:sz w:val="20"/>
                <w:szCs w:val="20"/>
              </w:rPr>
              <w:instrText xml:space="preserve"> FORMCHECKBOX </w:instrText>
            </w:r>
            <w:r w:rsidR="00756CE2">
              <w:rPr>
                <w:rFonts w:ascii="Arial Narrow" w:hAnsi="Arial Narrow"/>
                <w:sz w:val="20"/>
                <w:szCs w:val="20"/>
              </w:rPr>
            </w:r>
            <w:r w:rsidR="00756CE2">
              <w:rPr>
                <w:rFonts w:ascii="Arial Narrow" w:hAnsi="Arial Narrow"/>
                <w:sz w:val="20"/>
                <w:szCs w:val="20"/>
              </w:rPr>
              <w:fldChar w:fldCharType="separate"/>
            </w:r>
            <w:r w:rsidRPr="0084008F">
              <w:rPr>
                <w:rFonts w:ascii="Arial Narrow" w:hAnsi="Arial Narrow"/>
                <w:sz w:val="20"/>
                <w:szCs w:val="20"/>
              </w:rPr>
              <w:fldChar w:fldCharType="end"/>
            </w:r>
            <w:r w:rsidRPr="0084008F">
              <w:rPr>
                <w:rFonts w:ascii="Arial Narrow" w:hAnsi="Arial Narrow"/>
                <w:sz w:val="20"/>
                <w:szCs w:val="20"/>
              </w:rPr>
              <w:t xml:space="preserve">Medical Practitioners  </w:t>
            </w:r>
            <w:r w:rsidRPr="0084008F">
              <w:rPr>
                <w:rFonts w:ascii="Arial Narrow" w:hAnsi="Arial Narrow"/>
                <w:sz w:val="20"/>
                <w:szCs w:val="20"/>
              </w:rPr>
              <w:fldChar w:fldCharType="begin">
                <w:ffData>
                  <w:name w:val="Check3"/>
                  <w:enabled/>
                  <w:calcOnExit w:val="0"/>
                  <w:checkBox>
                    <w:sizeAuto/>
                    <w:default w:val="0"/>
                  </w:checkBox>
                </w:ffData>
              </w:fldChar>
            </w:r>
            <w:r w:rsidRPr="0084008F">
              <w:rPr>
                <w:rFonts w:ascii="Arial Narrow" w:hAnsi="Arial Narrow"/>
                <w:sz w:val="20"/>
                <w:szCs w:val="20"/>
              </w:rPr>
              <w:instrText xml:space="preserve"> FORMCHECKBOX </w:instrText>
            </w:r>
            <w:r w:rsidR="00756CE2">
              <w:rPr>
                <w:rFonts w:ascii="Arial Narrow" w:hAnsi="Arial Narrow"/>
                <w:sz w:val="20"/>
                <w:szCs w:val="20"/>
              </w:rPr>
            </w:r>
            <w:r w:rsidR="00756CE2">
              <w:rPr>
                <w:rFonts w:ascii="Arial Narrow" w:hAnsi="Arial Narrow"/>
                <w:sz w:val="20"/>
                <w:szCs w:val="20"/>
              </w:rPr>
              <w:fldChar w:fldCharType="separate"/>
            </w:r>
            <w:r w:rsidRPr="0084008F">
              <w:rPr>
                <w:rFonts w:ascii="Arial Narrow" w:hAnsi="Arial Narrow"/>
                <w:sz w:val="20"/>
                <w:szCs w:val="20"/>
              </w:rPr>
              <w:fldChar w:fldCharType="end"/>
            </w:r>
            <w:r w:rsidRPr="0084008F">
              <w:rPr>
                <w:rFonts w:ascii="Arial Narrow" w:hAnsi="Arial Narrow"/>
                <w:sz w:val="20"/>
                <w:szCs w:val="20"/>
              </w:rPr>
              <w:t xml:space="preserve">Nurse practitioners  </w:t>
            </w:r>
            <w:r w:rsidRPr="0084008F">
              <w:rPr>
                <w:rFonts w:ascii="Arial Narrow" w:hAnsi="Arial Narrow"/>
                <w:sz w:val="20"/>
                <w:szCs w:val="20"/>
              </w:rPr>
              <w:fldChar w:fldCharType="begin">
                <w:ffData>
                  <w:name w:val=""/>
                  <w:enabled/>
                  <w:calcOnExit w:val="0"/>
                  <w:checkBox>
                    <w:sizeAuto/>
                    <w:default w:val="0"/>
                  </w:checkBox>
                </w:ffData>
              </w:fldChar>
            </w:r>
            <w:r w:rsidRPr="0084008F">
              <w:rPr>
                <w:rFonts w:ascii="Arial Narrow" w:hAnsi="Arial Narrow"/>
                <w:sz w:val="20"/>
                <w:szCs w:val="20"/>
              </w:rPr>
              <w:instrText xml:space="preserve"> FORMCHECKBOX </w:instrText>
            </w:r>
            <w:r w:rsidR="00756CE2">
              <w:rPr>
                <w:rFonts w:ascii="Arial Narrow" w:hAnsi="Arial Narrow"/>
                <w:sz w:val="20"/>
                <w:szCs w:val="20"/>
              </w:rPr>
            </w:r>
            <w:r w:rsidR="00756CE2">
              <w:rPr>
                <w:rFonts w:ascii="Arial Narrow" w:hAnsi="Arial Narrow"/>
                <w:sz w:val="20"/>
                <w:szCs w:val="20"/>
              </w:rPr>
              <w:fldChar w:fldCharType="separate"/>
            </w:r>
            <w:r w:rsidRPr="0084008F">
              <w:rPr>
                <w:rFonts w:ascii="Arial Narrow" w:hAnsi="Arial Narrow"/>
                <w:sz w:val="20"/>
                <w:szCs w:val="20"/>
              </w:rPr>
              <w:fldChar w:fldCharType="end"/>
            </w:r>
            <w:r w:rsidRPr="0084008F">
              <w:rPr>
                <w:rFonts w:ascii="Arial Narrow" w:hAnsi="Arial Narrow"/>
                <w:sz w:val="20"/>
                <w:szCs w:val="20"/>
              </w:rPr>
              <w:t xml:space="preserve">Optometrists    </w:t>
            </w:r>
            <w:r w:rsidRPr="0084008F">
              <w:rPr>
                <w:rFonts w:ascii="Arial Narrow" w:hAnsi="Arial Narrow"/>
                <w:sz w:val="20"/>
                <w:szCs w:val="20"/>
              </w:rPr>
              <w:fldChar w:fldCharType="begin">
                <w:ffData>
                  <w:name w:val="Check5"/>
                  <w:enabled/>
                  <w:calcOnExit w:val="0"/>
                  <w:checkBox>
                    <w:sizeAuto/>
                    <w:default w:val="0"/>
                  </w:checkBox>
                </w:ffData>
              </w:fldChar>
            </w:r>
            <w:r w:rsidRPr="0084008F">
              <w:rPr>
                <w:rFonts w:ascii="Arial Narrow" w:hAnsi="Arial Narrow"/>
                <w:sz w:val="20"/>
                <w:szCs w:val="20"/>
              </w:rPr>
              <w:instrText xml:space="preserve"> FORMCHECKBOX </w:instrText>
            </w:r>
            <w:r w:rsidR="00756CE2">
              <w:rPr>
                <w:rFonts w:ascii="Arial Narrow" w:hAnsi="Arial Narrow"/>
                <w:sz w:val="20"/>
                <w:szCs w:val="20"/>
              </w:rPr>
            </w:r>
            <w:r w:rsidR="00756CE2">
              <w:rPr>
                <w:rFonts w:ascii="Arial Narrow" w:hAnsi="Arial Narrow"/>
                <w:sz w:val="20"/>
                <w:szCs w:val="20"/>
              </w:rPr>
              <w:fldChar w:fldCharType="separate"/>
            </w:r>
            <w:r w:rsidRPr="0084008F">
              <w:rPr>
                <w:rFonts w:ascii="Arial Narrow" w:hAnsi="Arial Narrow"/>
                <w:sz w:val="20"/>
                <w:szCs w:val="20"/>
              </w:rPr>
              <w:fldChar w:fldCharType="end"/>
            </w:r>
            <w:r w:rsidRPr="0084008F">
              <w:rPr>
                <w:rFonts w:ascii="Arial Narrow" w:hAnsi="Arial Narrow"/>
                <w:sz w:val="20"/>
                <w:szCs w:val="20"/>
              </w:rPr>
              <w:t>Midwives</w:t>
            </w:r>
          </w:p>
        </w:tc>
      </w:tr>
      <w:tr w:rsidR="00B16FCB" w:rsidRPr="0084008F" w14:paraId="637AA9BB" w14:textId="77777777" w:rsidTr="00B16FCB">
        <w:tc>
          <w:tcPr>
            <w:tcW w:w="5000" w:type="pct"/>
            <w:tcBorders>
              <w:top w:val="single" w:sz="4" w:space="0" w:color="auto"/>
              <w:left w:val="single" w:sz="4" w:space="0" w:color="auto"/>
              <w:bottom w:val="single" w:sz="4" w:space="0" w:color="auto"/>
              <w:right w:val="single" w:sz="4" w:space="0" w:color="auto"/>
            </w:tcBorders>
          </w:tcPr>
          <w:p w14:paraId="3359ECEB" w14:textId="77777777" w:rsidR="00B16FCB" w:rsidRPr="0084008F" w:rsidRDefault="00B16FCB" w:rsidP="00040A62">
            <w:pPr>
              <w:rPr>
                <w:rFonts w:ascii="Arial Narrow" w:hAnsi="Arial Narrow"/>
                <w:b/>
                <w:sz w:val="20"/>
                <w:szCs w:val="20"/>
              </w:rPr>
            </w:pPr>
            <w:r w:rsidRPr="0084008F">
              <w:rPr>
                <w:rFonts w:ascii="Arial Narrow" w:hAnsi="Arial Narrow"/>
                <w:b/>
                <w:sz w:val="20"/>
                <w:szCs w:val="20"/>
              </w:rPr>
              <w:t>Restriction Level / Method:</w:t>
            </w:r>
          </w:p>
          <w:p w14:paraId="1BE2B65C" w14:textId="77777777" w:rsidR="00B16FCB" w:rsidRPr="0084008F" w:rsidRDefault="00B16FCB" w:rsidP="00040A62">
            <w:pPr>
              <w:rPr>
                <w:rFonts w:ascii="Arial Narrow" w:hAnsi="Arial Narrow"/>
                <w:sz w:val="20"/>
                <w:szCs w:val="20"/>
              </w:rPr>
            </w:pPr>
            <w:r w:rsidRPr="0084008F">
              <w:rPr>
                <w:rFonts w:ascii="Arial Narrow" w:hAnsi="Arial Narrow"/>
                <w:sz w:val="20"/>
                <w:szCs w:val="20"/>
              </w:rPr>
              <w:fldChar w:fldCharType="begin">
                <w:ffData>
                  <w:name w:val=""/>
                  <w:enabled/>
                  <w:calcOnExit w:val="0"/>
                  <w:checkBox>
                    <w:sizeAuto/>
                    <w:default w:val="1"/>
                  </w:checkBox>
                </w:ffData>
              </w:fldChar>
            </w:r>
            <w:r w:rsidRPr="0084008F">
              <w:rPr>
                <w:rFonts w:ascii="Arial Narrow" w:hAnsi="Arial Narrow"/>
                <w:sz w:val="20"/>
                <w:szCs w:val="20"/>
              </w:rPr>
              <w:instrText xml:space="preserve"> FORMCHECKBOX </w:instrText>
            </w:r>
            <w:r w:rsidR="00756CE2">
              <w:rPr>
                <w:rFonts w:ascii="Arial Narrow" w:hAnsi="Arial Narrow"/>
                <w:sz w:val="20"/>
                <w:szCs w:val="20"/>
              </w:rPr>
            </w:r>
            <w:r w:rsidR="00756CE2">
              <w:rPr>
                <w:rFonts w:ascii="Arial Narrow" w:hAnsi="Arial Narrow"/>
                <w:sz w:val="20"/>
                <w:szCs w:val="20"/>
              </w:rPr>
              <w:fldChar w:fldCharType="separate"/>
            </w:r>
            <w:r w:rsidRPr="0084008F">
              <w:rPr>
                <w:rFonts w:ascii="Arial Narrow" w:hAnsi="Arial Narrow"/>
                <w:sz w:val="20"/>
                <w:szCs w:val="20"/>
              </w:rPr>
              <w:fldChar w:fldCharType="end"/>
            </w:r>
            <w:r w:rsidRPr="0084008F">
              <w:rPr>
                <w:rFonts w:ascii="Arial Narrow" w:hAnsi="Arial Narrow"/>
                <w:sz w:val="20"/>
                <w:szCs w:val="20"/>
              </w:rPr>
              <w:t>Authority Required - Streamlined</w:t>
            </w:r>
          </w:p>
        </w:tc>
      </w:tr>
      <w:tr w:rsidR="00B16FCB" w:rsidRPr="0084008F" w14:paraId="2BE8C168" w14:textId="77777777" w:rsidTr="00B16FCB">
        <w:tc>
          <w:tcPr>
            <w:tcW w:w="5000" w:type="pct"/>
            <w:vAlign w:val="center"/>
          </w:tcPr>
          <w:p w14:paraId="4F83DFCF" w14:textId="77777777" w:rsidR="00B16FCB" w:rsidRPr="0084008F" w:rsidRDefault="00B16FCB" w:rsidP="00040A62">
            <w:pPr>
              <w:rPr>
                <w:rFonts w:ascii="Arial Narrow" w:hAnsi="Arial Narrow"/>
                <w:b/>
                <w:bCs/>
                <w:color w:val="333333"/>
                <w:sz w:val="20"/>
                <w:szCs w:val="20"/>
              </w:rPr>
            </w:pPr>
            <w:r w:rsidRPr="0084008F">
              <w:rPr>
                <w:rFonts w:ascii="Arial Narrow" w:hAnsi="Arial Narrow"/>
                <w:b/>
                <w:bCs/>
                <w:color w:val="333333"/>
                <w:sz w:val="20"/>
                <w:szCs w:val="20"/>
              </w:rPr>
              <w:t>Administrative Advice:</w:t>
            </w:r>
          </w:p>
          <w:p w14:paraId="112DFA51" w14:textId="77777777" w:rsidR="00B16FCB" w:rsidRPr="0084008F" w:rsidRDefault="00B16FCB" w:rsidP="00040A62">
            <w:pPr>
              <w:rPr>
                <w:rFonts w:ascii="Arial Narrow" w:hAnsi="Arial Narrow"/>
                <w:color w:val="333333"/>
                <w:sz w:val="20"/>
                <w:szCs w:val="20"/>
              </w:rPr>
            </w:pPr>
            <w:r w:rsidRPr="0084008F">
              <w:rPr>
                <w:rFonts w:ascii="Arial Narrow" w:hAnsi="Arial Narrow"/>
                <w:color w:val="333333"/>
                <w:sz w:val="20"/>
                <w:szCs w:val="20"/>
              </w:rPr>
              <w:t>No increase in the maximum quantity or number of units may be authorised.</w:t>
            </w:r>
          </w:p>
        </w:tc>
      </w:tr>
      <w:tr w:rsidR="00B16FCB" w:rsidRPr="0084008F" w14:paraId="450E3E06" w14:textId="77777777" w:rsidTr="00B16FCB">
        <w:tc>
          <w:tcPr>
            <w:tcW w:w="5000" w:type="pct"/>
            <w:vAlign w:val="center"/>
          </w:tcPr>
          <w:p w14:paraId="777DF77D" w14:textId="77777777" w:rsidR="00B16FCB" w:rsidRPr="0084008F" w:rsidRDefault="00B16FCB" w:rsidP="00040A62">
            <w:pPr>
              <w:rPr>
                <w:rFonts w:ascii="Arial Narrow" w:hAnsi="Arial Narrow"/>
                <w:b/>
                <w:bCs/>
                <w:color w:val="333333"/>
                <w:sz w:val="20"/>
                <w:szCs w:val="20"/>
              </w:rPr>
            </w:pPr>
            <w:r w:rsidRPr="0084008F">
              <w:rPr>
                <w:rFonts w:ascii="Arial Narrow" w:hAnsi="Arial Narrow"/>
                <w:b/>
                <w:bCs/>
                <w:color w:val="333333"/>
                <w:sz w:val="20"/>
                <w:szCs w:val="20"/>
              </w:rPr>
              <w:t>Administrative Advice:</w:t>
            </w:r>
          </w:p>
          <w:p w14:paraId="368C726B" w14:textId="77777777" w:rsidR="00B16FCB" w:rsidRPr="0084008F" w:rsidRDefault="00B16FCB" w:rsidP="00040A62">
            <w:pPr>
              <w:rPr>
                <w:rFonts w:ascii="Arial Narrow" w:hAnsi="Arial Narrow"/>
                <w:color w:val="333333"/>
                <w:sz w:val="20"/>
                <w:szCs w:val="20"/>
              </w:rPr>
            </w:pPr>
            <w:r w:rsidRPr="0084008F">
              <w:rPr>
                <w:rFonts w:ascii="Arial Narrow" w:hAnsi="Arial Narrow"/>
                <w:color w:val="333333"/>
                <w:sz w:val="20"/>
                <w:szCs w:val="20"/>
              </w:rPr>
              <w:t>No increase in the maximum number of repeats may be authorised.</w:t>
            </w:r>
          </w:p>
        </w:tc>
      </w:tr>
      <w:tr w:rsidR="00B16FCB" w:rsidRPr="0084008F" w14:paraId="307944F6" w14:textId="77777777" w:rsidTr="00B16FCB">
        <w:tc>
          <w:tcPr>
            <w:tcW w:w="5000" w:type="pct"/>
            <w:vAlign w:val="center"/>
          </w:tcPr>
          <w:p w14:paraId="78921333" w14:textId="77777777" w:rsidR="00B16FCB" w:rsidRPr="0084008F" w:rsidRDefault="00B16FCB" w:rsidP="00040A62">
            <w:pPr>
              <w:rPr>
                <w:rFonts w:ascii="Arial Narrow" w:hAnsi="Arial Narrow"/>
                <w:b/>
                <w:bCs/>
                <w:color w:val="333333"/>
                <w:sz w:val="20"/>
                <w:szCs w:val="20"/>
              </w:rPr>
            </w:pPr>
            <w:r w:rsidRPr="0084008F">
              <w:rPr>
                <w:rFonts w:ascii="Arial Narrow" w:hAnsi="Arial Narrow"/>
                <w:b/>
                <w:bCs/>
                <w:color w:val="333333"/>
                <w:sz w:val="20"/>
                <w:szCs w:val="20"/>
              </w:rPr>
              <w:t>Administrative Advice:</w:t>
            </w:r>
          </w:p>
          <w:p w14:paraId="16F7836A" w14:textId="77777777" w:rsidR="00B16FCB" w:rsidRPr="0084008F" w:rsidRDefault="00B16FCB" w:rsidP="00040A62">
            <w:pPr>
              <w:rPr>
                <w:rFonts w:ascii="Arial Narrow" w:hAnsi="Arial Narrow"/>
                <w:b/>
                <w:bCs/>
                <w:color w:val="333333"/>
                <w:sz w:val="20"/>
                <w:szCs w:val="20"/>
              </w:rPr>
            </w:pPr>
            <w:r w:rsidRPr="0084008F">
              <w:rPr>
                <w:rFonts w:ascii="Arial Narrow" w:hAnsi="Arial Narrow"/>
                <w:color w:val="333333"/>
                <w:sz w:val="20"/>
                <w:szCs w:val="20"/>
              </w:rPr>
              <w:t>Special Pricing Arrangements apply.</w:t>
            </w:r>
          </w:p>
        </w:tc>
      </w:tr>
      <w:tr w:rsidR="00B16FCB" w:rsidRPr="0084008F" w14:paraId="76C83D67" w14:textId="77777777" w:rsidTr="00B16FCB">
        <w:tc>
          <w:tcPr>
            <w:tcW w:w="5000" w:type="pct"/>
            <w:vAlign w:val="center"/>
          </w:tcPr>
          <w:p w14:paraId="2F3747BF" w14:textId="77777777" w:rsidR="00B16FCB" w:rsidRPr="0084008F" w:rsidRDefault="00B16FCB" w:rsidP="00040A62">
            <w:pPr>
              <w:rPr>
                <w:rFonts w:ascii="Arial Narrow" w:hAnsi="Arial Narrow"/>
                <w:b/>
                <w:bCs/>
                <w:color w:val="333333"/>
                <w:sz w:val="20"/>
                <w:szCs w:val="20"/>
              </w:rPr>
            </w:pPr>
            <w:r w:rsidRPr="0084008F">
              <w:rPr>
                <w:rFonts w:ascii="Arial Narrow" w:hAnsi="Arial Narrow"/>
                <w:b/>
                <w:bCs/>
                <w:color w:val="333333"/>
                <w:sz w:val="20"/>
                <w:szCs w:val="20"/>
              </w:rPr>
              <w:t xml:space="preserve">Condition: </w:t>
            </w:r>
            <w:r w:rsidRPr="0084008F">
              <w:rPr>
                <w:rFonts w:ascii="Arial Narrow" w:hAnsi="Arial Narrow"/>
                <w:bCs/>
                <w:color w:val="333333"/>
                <w:sz w:val="20"/>
                <w:szCs w:val="20"/>
              </w:rPr>
              <w:t>Multiple sclerosis</w:t>
            </w:r>
          </w:p>
        </w:tc>
      </w:tr>
      <w:tr w:rsidR="00B16FCB" w:rsidRPr="0084008F" w14:paraId="65143E3A" w14:textId="77777777" w:rsidTr="00B16FCB">
        <w:tc>
          <w:tcPr>
            <w:tcW w:w="5000" w:type="pct"/>
            <w:vAlign w:val="center"/>
            <w:hideMark/>
          </w:tcPr>
          <w:p w14:paraId="49AF4C70"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Indication:</w:t>
            </w:r>
            <w:r w:rsidRPr="0084008F">
              <w:rPr>
                <w:rFonts w:ascii="Arial Narrow" w:hAnsi="Arial Narrow"/>
                <w:color w:val="333333"/>
                <w:sz w:val="20"/>
                <w:szCs w:val="20"/>
              </w:rPr>
              <w:t xml:space="preserve"> </w:t>
            </w:r>
            <w:r w:rsidRPr="0084008F">
              <w:rPr>
                <w:rFonts w:ascii="Arial Narrow" w:hAnsi="Arial Narrow"/>
                <w:bCs/>
                <w:color w:val="333333"/>
                <w:sz w:val="20"/>
                <w:szCs w:val="20"/>
              </w:rPr>
              <w:t>Multiple sclerosis</w:t>
            </w:r>
          </w:p>
        </w:tc>
      </w:tr>
      <w:tr w:rsidR="00B16FCB" w:rsidRPr="0084008F" w14:paraId="707FAB6C" w14:textId="77777777" w:rsidTr="00B16FCB">
        <w:tc>
          <w:tcPr>
            <w:tcW w:w="5000" w:type="pct"/>
            <w:vAlign w:val="center"/>
            <w:hideMark/>
          </w:tcPr>
          <w:p w14:paraId="3582A84F"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Treatment Phase:</w:t>
            </w:r>
            <w:r w:rsidRPr="0084008F">
              <w:rPr>
                <w:rFonts w:ascii="Arial Narrow" w:hAnsi="Arial Narrow"/>
                <w:color w:val="333333"/>
                <w:sz w:val="20"/>
                <w:szCs w:val="20"/>
              </w:rPr>
              <w:t xml:space="preserve"> Initial treatment</w:t>
            </w:r>
          </w:p>
        </w:tc>
      </w:tr>
      <w:tr w:rsidR="00B16FCB" w:rsidRPr="0084008F" w14:paraId="216DB2C2" w14:textId="77777777" w:rsidTr="00B16FCB">
        <w:tc>
          <w:tcPr>
            <w:tcW w:w="5000" w:type="pct"/>
            <w:vAlign w:val="center"/>
            <w:hideMark/>
          </w:tcPr>
          <w:p w14:paraId="742DF06E" w14:textId="77777777" w:rsidR="00B16FCB" w:rsidRPr="0084008F" w:rsidRDefault="00B16FCB" w:rsidP="00040A62">
            <w:pPr>
              <w:rPr>
                <w:rFonts w:ascii="Arial Narrow" w:hAnsi="Arial Narrow"/>
                <w:b/>
                <w:bCs/>
                <w:color w:val="333333"/>
                <w:sz w:val="20"/>
                <w:szCs w:val="20"/>
              </w:rPr>
            </w:pPr>
            <w:r w:rsidRPr="0084008F">
              <w:rPr>
                <w:rFonts w:ascii="Arial Narrow" w:hAnsi="Arial Narrow"/>
                <w:b/>
                <w:bCs/>
                <w:color w:val="333333"/>
                <w:sz w:val="20"/>
                <w:szCs w:val="20"/>
              </w:rPr>
              <w:t>Clinical criteria:</w:t>
            </w:r>
          </w:p>
        </w:tc>
      </w:tr>
      <w:tr w:rsidR="00B16FCB" w:rsidRPr="0084008F" w14:paraId="0CC548D9" w14:textId="77777777" w:rsidTr="00B16FCB">
        <w:tc>
          <w:tcPr>
            <w:tcW w:w="5000" w:type="pct"/>
            <w:vAlign w:val="center"/>
            <w:hideMark/>
          </w:tcPr>
          <w:p w14:paraId="1AF26428" w14:textId="77777777" w:rsidR="00B16FCB" w:rsidRPr="0084008F" w:rsidRDefault="00B16FCB" w:rsidP="00040A62">
            <w:pPr>
              <w:rPr>
                <w:rFonts w:ascii="Arial Narrow" w:hAnsi="Arial Narrow"/>
                <w:color w:val="333333"/>
                <w:sz w:val="20"/>
                <w:szCs w:val="20"/>
              </w:rPr>
            </w:pPr>
            <w:r w:rsidRPr="0084008F">
              <w:rPr>
                <w:rFonts w:ascii="Arial Narrow" w:hAnsi="Arial Narrow"/>
                <w:color w:val="333333"/>
                <w:sz w:val="20"/>
                <w:szCs w:val="20"/>
              </w:rPr>
              <w:t xml:space="preserve">The condition must be diagnosed as clinically definite relapsing-remitting multiple sclerosis by magnetic resonance imaging of the brain and/or spinal </w:t>
            </w:r>
            <w:proofErr w:type="gramStart"/>
            <w:r w:rsidRPr="0084008F">
              <w:rPr>
                <w:rFonts w:ascii="Arial Narrow" w:hAnsi="Arial Narrow"/>
                <w:color w:val="333333"/>
                <w:sz w:val="20"/>
                <w:szCs w:val="20"/>
              </w:rPr>
              <w:t>cord;</w:t>
            </w:r>
            <w:proofErr w:type="gramEnd"/>
          </w:p>
          <w:p w14:paraId="5FF91BA9" w14:textId="77777777" w:rsidR="00B16FCB" w:rsidRPr="0084008F" w:rsidRDefault="00B16FCB" w:rsidP="00040A62">
            <w:pPr>
              <w:rPr>
                <w:rFonts w:ascii="Arial Narrow" w:hAnsi="Arial Narrow"/>
                <w:color w:val="333333"/>
                <w:sz w:val="20"/>
                <w:szCs w:val="20"/>
              </w:rPr>
            </w:pPr>
            <w:r w:rsidRPr="0084008F">
              <w:rPr>
                <w:rFonts w:ascii="Arial Narrow" w:hAnsi="Arial Narrow"/>
                <w:color w:val="333333"/>
                <w:sz w:val="20"/>
                <w:szCs w:val="20"/>
              </w:rPr>
              <w:t>OR</w:t>
            </w:r>
          </w:p>
          <w:p w14:paraId="72A70705" w14:textId="77777777" w:rsidR="00B16FCB" w:rsidRPr="0084008F" w:rsidRDefault="00B16FCB" w:rsidP="00040A62">
            <w:pPr>
              <w:rPr>
                <w:rFonts w:ascii="Arial Narrow" w:hAnsi="Arial Narrow"/>
                <w:color w:val="333333"/>
                <w:sz w:val="20"/>
                <w:szCs w:val="20"/>
              </w:rPr>
            </w:pPr>
            <w:r w:rsidRPr="0084008F">
              <w:rPr>
                <w:rFonts w:ascii="Arial Narrow" w:hAnsi="Arial Narrow"/>
                <w:color w:val="333333"/>
                <w:sz w:val="20"/>
                <w:szCs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tc>
      </w:tr>
      <w:tr w:rsidR="00B16FCB" w:rsidRPr="0084008F" w14:paraId="46AA5899" w14:textId="77777777" w:rsidTr="00B16FCB">
        <w:tc>
          <w:tcPr>
            <w:tcW w:w="5000" w:type="pct"/>
            <w:vAlign w:val="center"/>
            <w:hideMark/>
          </w:tcPr>
          <w:p w14:paraId="18E5E5B7"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AND</w:t>
            </w:r>
          </w:p>
        </w:tc>
      </w:tr>
      <w:tr w:rsidR="00B16FCB" w:rsidRPr="0084008F" w14:paraId="4D172D11" w14:textId="77777777" w:rsidTr="00B16FCB">
        <w:tc>
          <w:tcPr>
            <w:tcW w:w="5000" w:type="pct"/>
            <w:vAlign w:val="center"/>
            <w:hideMark/>
          </w:tcPr>
          <w:p w14:paraId="2F2C2F16"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B16FCB" w:rsidRPr="0084008F" w14:paraId="49C98FED" w14:textId="77777777" w:rsidTr="00B16FCB">
        <w:tc>
          <w:tcPr>
            <w:tcW w:w="5000" w:type="pct"/>
            <w:vAlign w:val="center"/>
            <w:hideMark/>
          </w:tcPr>
          <w:p w14:paraId="70C17C46" w14:textId="77777777" w:rsidR="00B16FCB" w:rsidRPr="0084008F" w:rsidRDefault="00B16FCB" w:rsidP="00040A62">
            <w:pPr>
              <w:rPr>
                <w:rFonts w:ascii="Arial Narrow" w:hAnsi="Arial Narrow"/>
                <w:color w:val="333333"/>
                <w:sz w:val="20"/>
                <w:szCs w:val="20"/>
              </w:rPr>
            </w:pPr>
            <w:r w:rsidRPr="0084008F">
              <w:rPr>
                <w:rFonts w:ascii="Arial Narrow" w:hAnsi="Arial Narrow"/>
                <w:color w:val="333333"/>
                <w:sz w:val="20"/>
                <w:szCs w:val="20"/>
              </w:rPr>
              <w:t>The treatment must be the sole PBS-subsidised disease modifying therapy for this condition.</w:t>
            </w:r>
          </w:p>
        </w:tc>
      </w:tr>
      <w:tr w:rsidR="00B16FCB" w:rsidRPr="0084008F" w14:paraId="467A36B0" w14:textId="77777777" w:rsidTr="00B16FCB">
        <w:tc>
          <w:tcPr>
            <w:tcW w:w="5000" w:type="pct"/>
            <w:vAlign w:val="center"/>
          </w:tcPr>
          <w:p w14:paraId="18A9D5C2"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AND</w:t>
            </w:r>
          </w:p>
        </w:tc>
      </w:tr>
      <w:tr w:rsidR="00B16FCB" w:rsidRPr="0084008F" w14:paraId="64B468F2" w14:textId="77777777" w:rsidTr="00B16FCB">
        <w:tc>
          <w:tcPr>
            <w:tcW w:w="5000" w:type="pct"/>
            <w:vAlign w:val="center"/>
          </w:tcPr>
          <w:p w14:paraId="244E237E"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B16FCB" w:rsidRPr="0084008F" w14:paraId="7130B682" w14:textId="77777777" w:rsidTr="00B16FCB">
        <w:tc>
          <w:tcPr>
            <w:tcW w:w="5000" w:type="pct"/>
            <w:vAlign w:val="center"/>
          </w:tcPr>
          <w:p w14:paraId="22C81740" w14:textId="77777777" w:rsidR="00B16FCB" w:rsidRPr="0084008F" w:rsidRDefault="00B16FCB" w:rsidP="00040A62">
            <w:pPr>
              <w:rPr>
                <w:rFonts w:ascii="Arial Narrow" w:hAnsi="Arial Narrow"/>
                <w:color w:val="333333"/>
                <w:sz w:val="20"/>
                <w:szCs w:val="20"/>
              </w:rPr>
            </w:pPr>
            <w:r w:rsidRPr="0084008F">
              <w:rPr>
                <w:rFonts w:ascii="Arial Narrow" w:hAnsi="Arial Narrow"/>
                <w:color w:val="333333"/>
                <w:sz w:val="20"/>
                <w:szCs w:val="20"/>
              </w:rPr>
              <w:t>Patient must have experienced at least 2 documented attacks of neurological dysfunction, believed to be due to multiple sclerosis, in the preceding 2 years of commencing a PBS-subsidised disease modifying therapy for this condition.</w:t>
            </w:r>
          </w:p>
        </w:tc>
      </w:tr>
      <w:tr w:rsidR="00B16FCB" w:rsidRPr="0084008F" w14:paraId="40B3B578" w14:textId="77777777" w:rsidTr="00B16FCB">
        <w:tc>
          <w:tcPr>
            <w:tcW w:w="5000" w:type="pct"/>
            <w:vAlign w:val="center"/>
            <w:hideMark/>
          </w:tcPr>
          <w:p w14:paraId="64C3A592"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lastRenderedPageBreak/>
              <w:t>AND</w:t>
            </w:r>
          </w:p>
        </w:tc>
      </w:tr>
      <w:tr w:rsidR="00B16FCB" w:rsidRPr="0084008F" w14:paraId="549278F3" w14:textId="77777777" w:rsidTr="00B16FCB">
        <w:tc>
          <w:tcPr>
            <w:tcW w:w="5000" w:type="pct"/>
            <w:vAlign w:val="center"/>
            <w:hideMark/>
          </w:tcPr>
          <w:p w14:paraId="0DDF8F8B"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B16FCB" w:rsidRPr="0084008F" w14:paraId="1B4AB4FE" w14:textId="77777777" w:rsidTr="00B16FCB">
        <w:tc>
          <w:tcPr>
            <w:tcW w:w="5000" w:type="pct"/>
            <w:vAlign w:val="center"/>
            <w:hideMark/>
          </w:tcPr>
          <w:p w14:paraId="5CFAC454" w14:textId="77777777" w:rsidR="00B16FCB" w:rsidRPr="0084008F" w:rsidRDefault="00B16FCB" w:rsidP="00040A62">
            <w:pPr>
              <w:rPr>
                <w:rFonts w:ascii="Arial Narrow" w:hAnsi="Arial Narrow"/>
                <w:color w:val="333333"/>
                <w:sz w:val="20"/>
                <w:szCs w:val="20"/>
              </w:rPr>
            </w:pPr>
            <w:r w:rsidRPr="0084008F">
              <w:rPr>
                <w:rFonts w:ascii="Arial Narrow" w:hAnsi="Arial Narrow"/>
                <w:color w:val="333333"/>
                <w:sz w:val="20"/>
                <w:szCs w:val="20"/>
              </w:rPr>
              <w:t>Patient must be ambulatory (without assistance or support)</w:t>
            </w:r>
          </w:p>
        </w:tc>
      </w:tr>
      <w:tr w:rsidR="00B16FCB" w:rsidRPr="0084008F" w14:paraId="46381664" w14:textId="77777777" w:rsidTr="00B16FCB">
        <w:tc>
          <w:tcPr>
            <w:tcW w:w="5000" w:type="pct"/>
            <w:vAlign w:val="center"/>
            <w:hideMark/>
          </w:tcPr>
          <w:p w14:paraId="66BB9B0C"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AND</w:t>
            </w:r>
          </w:p>
        </w:tc>
      </w:tr>
      <w:tr w:rsidR="00B16FCB" w:rsidRPr="0084008F" w14:paraId="5BDB30C5" w14:textId="77777777" w:rsidTr="00B16FCB">
        <w:tc>
          <w:tcPr>
            <w:tcW w:w="5000" w:type="pct"/>
            <w:vAlign w:val="center"/>
            <w:hideMark/>
          </w:tcPr>
          <w:p w14:paraId="0BB0F67C" w14:textId="77777777" w:rsidR="00B16FCB" w:rsidRPr="0084008F" w:rsidRDefault="00B16FCB" w:rsidP="00040A62">
            <w:pPr>
              <w:rPr>
                <w:rFonts w:ascii="Arial Narrow" w:hAnsi="Arial Narrow"/>
                <w:b/>
                <w:bCs/>
                <w:color w:val="333333"/>
                <w:sz w:val="20"/>
                <w:szCs w:val="20"/>
              </w:rPr>
            </w:pPr>
            <w:r w:rsidRPr="0084008F">
              <w:rPr>
                <w:rFonts w:ascii="Arial Narrow" w:hAnsi="Arial Narrow"/>
                <w:b/>
                <w:bCs/>
                <w:color w:val="333333"/>
                <w:sz w:val="20"/>
                <w:szCs w:val="20"/>
              </w:rPr>
              <w:t xml:space="preserve">Prescribing Instructions: </w:t>
            </w:r>
          </w:p>
          <w:p w14:paraId="1EECA76D" w14:textId="77777777" w:rsidR="00B16FCB" w:rsidRPr="0084008F" w:rsidRDefault="00B16FCB" w:rsidP="00040A62">
            <w:pPr>
              <w:rPr>
                <w:rFonts w:ascii="Arial Narrow" w:hAnsi="Arial Narrow"/>
                <w:color w:val="333333"/>
                <w:sz w:val="20"/>
                <w:szCs w:val="20"/>
              </w:rPr>
            </w:pPr>
            <w:r w:rsidRPr="0084008F">
              <w:rPr>
                <w:rFonts w:ascii="Arial Narrow" w:hAnsi="Arial Narrow"/>
                <w:bCs/>
                <w:color w:val="333333"/>
                <w:sz w:val="20"/>
                <w:szCs w:val="20"/>
              </w:rPr>
              <w:t>Where applicable, the date of the magnetic resonance imaging scan must be recorded in the patient's medical records.</w:t>
            </w:r>
          </w:p>
          <w:p w14:paraId="77DFB2CC" w14:textId="77777777" w:rsidR="00B16FCB" w:rsidRPr="0084008F" w:rsidRDefault="00B16FCB" w:rsidP="00040A62">
            <w:pPr>
              <w:rPr>
                <w:rFonts w:ascii="Arial Narrow" w:hAnsi="Arial Narrow"/>
                <w:color w:val="333333"/>
                <w:sz w:val="20"/>
                <w:szCs w:val="20"/>
              </w:rPr>
            </w:pPr>
          </w:p>
        </w:tc>
      </w:tr>
    </w:tbl>
    <w:p w14:paraId="68347109" w14:textId="02EAEEBB" w:rsidR="00F10A6F" w:rsidRPr="0084008F" w:rsidRDefault="00F10A6F" w:rsidP="00F21A3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B16FCB" w:rsidRPr="0084008F" w14:paraId="2DFDE455" w14:textId="77777777" w:rsidTr="00B16FCB">
        <w:tc>
          <w:tcPr>
            <w:tcW w:w="5000" w:type="pct"/>
            <w:vAlign w:val="center"/>
            <w:hideMark/>
          </w:tcPr>
          <w:p w14:paraId="640EFC9C"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Treatment Phase:</w:t>
            </w:r>
            <w:r w:rsidRPr="0084008F">
              <w:rPr>
                <w:rFonts w:ascii="Arial Narrow" w:hAnsi="Arial Narrow"/>
                <w:color w:val="333333"/>
                <w:sz w:val="20"/>
                <w:szCs w:val="20"/>
              </w:rPr>
              <w:t xml:space="preserve"> Continuing treatment</w:t>
            </w:r>
          </w:p>
        </w:tc>
      </w:tr>
      <w:tr w:rsidR="00B16FCB" w:rsidRPr="0084008F" w14:paraId="61D624DC" w14:textId="77777777" w:rsidTr="00B16FCB">
        <w:tc>
          <w:tcPr>
            <w:tcW w:w="5000" w:type="pct"/>
            <w:vAlign w:val="center"/>
            <w:hideMark/>
          </w:tcPr>
          <w:p w14:paraId="69D9C136"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B16FCB" w:rsidRPr="0084008F" w14:paraId="7236DDA1" w14:textId="77777777" w:rsidTr="00B16FCB">
        <w:tc>
          <w:tcPr>
            <w:tcW w:w="5000" w:type="pct"/>
            <w:vAlign w:val="center"/>
            <w:hideMark/>
          </w:tcPr>
          <w:p w14:paraId="70070384" w14:textId="77777777" w:rsidR="00B16FCB" w:rsidRPr="0084008F" w:rsidRDefault="00B16FCB" w:rsidP="00040A62">
            <w:pPr>
              <w:rPr>
                <w:rFonts w:ascii="Arial Narrow" w:hAnsi="Arial Narrow"/>
                <w:color w:val="333333"/>
                <w:sz w:val="20"/>
                <w:szCs w:val="20"/>
              </w:rPr>
            </w:pPr>
            <w:r w:rsidRPr="0084008F">
              <w:rPr>
                <w:rFonts w:ascii="Arial Narrow" w:hAnsi="Arial Narrow"/>
                <w:color w:val="333333"/>
                <w:sz w:val="20"/>
                <w:szCs w:val="20"/>
              </w:rPr>
              <w:t xml:space="preserve">The condition must be diagnosed as clinically definite relapsing-remitting multiple sclerosis by magnetic resonance imaging of the brain and/or spinal </w:t>
            </w:r>
            <w:proofErr w:type="gramStart"/>
            <w:r w:rsidRPr="0084008F">
              <w:rPr>
                <w:rFonts w:ascii="Arial Narrow" w:hAnsi="Arial Narrow"/>
                <w:color w:val="333333"/>
                <w:sz w:val="20"/>
                <w:szCs w:val="20"/>
              </w:rPr>
              <w:t>cord;</w:t>
            </w:r>
            <w:proofErr w:type="gramEnd"/>
          </w:p>
          <w:p w14:paraId="581EE17A" w14:textId="77777777" w:rsidR="00B16FCB" w:rsidRPr="0084008F" w:rsidRDefault="00B16FCB" w:rsidP="00040A62">
            <w:pPr>
              <w:rPr>
                <w:rFonts w:ascii="Arial Narrow" w:hAnsi="Arial Narrow"/>
                <w:color w:val="333333"/>
                <w:sz w:val="20"/>
                <w:szCs w:val="20"/>
              </w:rPr>
            </w:pPr>
            <w:r w:rsidRPr="0084008F">
              <w:rPr>
                <w:rFonts w:ascii="Arial Narrow" w:hAnsi="Arial Narrow"/>
                <w:color w:val="333333"/>
                <w:sz w:val="20"/>
                <w:szCs w:val="20"/>
              </w:rPr>
              <w:t>OR</w:t>
            </w:r>
          </w:p>
          <w:p w14:paraId="33BCEF58" w14:textId="77777777" w:rsidR="00B16FCB" w:rsidRPr="0084008F" w:rsidRDefault="00B16FCB" w:rsidP="00040A62">
            <w:pPr>
              <w:rPr>
                <w:rFonts w:ascii="Arial Narrow" w:hAnsi="Arial Narrow"/>
                <w:color w:val="333333"/>
                <w:sz w:val="20"/>
                <w:szCs w:val="20"/>
              </w:rPr>
            </w:pPr>
            <w:r w:rsidRPr="0084008F">
              <w:rPr>
                <w:rFonts w:ascii="Arial Narrow" w:hAnsi="Arial Narrow"/>
                <w:color w:val="333333"/>
                <w:sz w:val="20"/>
                <w:szCs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tc>
      </w:tr>
      <w:tr w:rsidR="00B16FCB" w:rsidRPr="0084008F" w14:paraId="44A895BF" w14:textId="77777777" w:rsidTr="00B16FCB">
        <w:tc>
          <w:tcPr>
            <w:tcW w:w="5000" w:type="pct"/>
            <w:vAlign w:val="center"/>
            <w:hideMark/>
          </w:tcPr>
          <w:p w14:paraId="0A644B47"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AND</w:t>
            </w:r>
          </w:p>
        </w:tc>
      </w:tr>
      <w:tr w:rsidR="00B16FCB" w:rsidRPr="0084008F" w14:paraId="62A6E187" w14:textId="77777777" w:rsidTr="00B16FCB">
        <w:tc>
          <w:tcPr>
            <w:tcW w:w="5000" w:type="pct"/>
            <w:vAlign w:val="center"/>
            <w:hideMark/>
          </w:tcPr>
          <w:p w14:paraId="27B194D1"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B16FCB" w:rsidRPr="0084008F" w14:paraId="0AA983E8" w14:textId="77777777" w:rsidTr="00B16FCB">
        <w:tc>
          <w:tcPr>
            <w:tcW w:w="5000" w:type="pct"/>
            <w:vAlign w:val="center"/>
            <w:hideMark/>
          </w:tcPr>
          <w:p w14:paraId="68E3EA89" w14:textId="77777777" w:rsidR="00B16FCB" w:rsidRPr="0084008F" w:rsidRDefault="00B16FCB" w:rsidP="00040A62">
            <w:pPr>
              <w:rPr>
                <w:rFonts w:ascii="Arial Narrow" w:hAnsi="Arial Narrow"/>
                <w:color w:val="333333"/>
                <w:sz w:val="20"/>
                <w:szCs w:val="20"/>
              </w:rPr>
            </w:pPr>
            <w:r w:rsidRPr="0084008F">
              <w:rPr>
                <w:rFonts w:ascii="Arial Narrow" w:hAnsi="Arial Narrow"/>
                <w:color w:val="333333"/>
                <w:sz w:val="20"/>
                <w:szCs w:val="20"/>
              </w:rPr>
              <w:t>The treatment must be the sole PBS-subsidised disease modifying therapy for this condition.</w:t>
            </w:r>
          </w:p>
        </w:tc>
      </w:tr>
      <w:tr w:rsidR="00B16FCB" w:rsidRPr="0084008F" w14:paraId="585D150A" w14:textId="77777777" w:rsidTr="00B16FCB">
        <w:tc>
          <w:tcPr>
            <w:tcW w:w="5000" w:type="pct"/>
            <w:vAlign w:val="center"/>
            <w:hideMark/>
          </w:tcPr>
          <w:p w14:paraId="494E353C"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AND</w:t>
            </w:r>
          </w:p>
        </w:tc>
      </w:tr>
      <w:tr w:rsidR="00B16FCB" w:rsidRPr="0084008F" w14:paraId="1F48050E" w14:textId="77777777" w:rsidTr="00B16FCB">
        <w:tc>
          <w:tcPr>
            <w:tcW w:w="5000" w:type="pct"/>
            <w:vAlign w:val="center"/>
            <w:hideMark/>
          </w:tcPr>
          <w:p w14:paraId="5586611A"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B16FCB" w:rsidRPr="0084008F" w14:paraId="0DB9D8C1" w14:textId="77777777" w:rsidTr="00B16FCB">
        <w:tc>
          <w:tcPr>
            <w:tcW w:w="5000" w:type="pct"/>
            <w:vAlign w:val="center"/>
            <w:hideMark/>
          </w:tcPr>
          <w:p w14:paraId="1840EC67" w14:textId="77777777" w:rsidR="00B16FCB" w:rsidRPr="0084008F" w:rsidRDefault="00B16FCB" w:rsidP="00040A62">
            <w:pPr>
              <w:rPr>
                <w:rFonts w:ascii="Arial Narrow" w:hAnsi="Arial Narrow"/>
                <w:color w:val="333333"/>
                <w:sz w:val="20"/>
                <w:szCs w:val="20"/>
              </w:rPr>
            </w:pPr>
            <w:r w:rsidRPr="0084008F">
              <w:rPr>
                <w:rFonts w:ascii="Arial Narrow" w:hAnsi="Arial Narrow"/>
                <w:color w:val="333333"/>
                <w:sz w:val="20"/>
                <w:szCs w:val="20"/>
              </w:rPr>
              <w:t>Patient must have previously received PBS-subsidised treatment with this drug for this condition</w:t>
            </w:r>
          </w:p>
        </w:tc>
      </w:tr>
      <w:tr w:rsidR="00B16FCB" w:rsidRPr="0084008F" w14:paraId="353ECD72" w14:textId="77777777" w:rsidTr="00B16FCB">
        <w:tc>
          <w:tcPr>
            <w:tcW w:w="5000" w:type="pct"/>
            <w:vAlign w:val="center"/>
            <w:hideMark/>
          </w:tcPr>
          <w:p w14:paraId="49A0B4A4"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AND</w:t>
            </w:r>
          </w:p>
        </w:tc>
      </w:tr>
      <w:tr w:rsidR="00B16FCB" w:rsidRPr="0084008F" w14:paraId="64674FF1" w14:textId="77777777" w:rsidTr="00B16FCB">
        <w:tc>
          <w:tcPr>
            <w:tcW w:w="5000" w:type="pct"/>
            <w:vAlign w:val="center"/>
          </w:tcPr>
          <w:p w14:paraId="06040CAF" w14:textId="77777777" w:rsidR="00B16FCB" w:rsidRPr="0084008F" w:rsidRDefault="00B16FCB" w:rsidP="00040A62">
            <w:pPr>
              <w:rPr>
                <w:rFonts w:ascii="Arial Narrow" w:hAnsi="Arial Narrow"/>
                <w:b/>
                <w:bCs/>
                <w:color w:val="333333"/>
                <w:sz w:val="20"/>
                <w:szCs w:val="20"/>
              </w:rPr>
            </w:pPr>
            <w:r w:rsidRPr="0084008F">
              <w:rPr>
                <w:rFonts w:ascii="Arial Narrow" w:hAnsi="Arial Narrow"/>
                <w:b/>
                <w:bCs/>
                <w:color w:val="333333"/>
                <w:sz w:val="20"/>
                <w:szCs w:val="20"/>
              </w:rPr>
              <w:t>Clinical criteria:</w:t>
            </w:r>
          </w:p>
        </w:tc>
      </w:tr>
      <w:tr w:rsidR="00B16FCB" w:rsidRPr="0084008F" w14:paraId="7E67A381" w14:textId="77777777" w:rsidTr="00B16FCB">
        <w:tc>
          <w:tcPr>
            <w:tcW w:w="5000" w:type="pct"/>
            <w:vAlign w:val="center"/>
          </w:tcPr>
          <w:p w14:paraId="4EDC8F05" w14:textId="77777777" w:rsidR="00B16FCB" w:rsidRPr="0084008F" w:rsidRDefault="00B16FCB" w:rsidP="00040A62">
            <w:pPr>
              <w:rPr>
                <w:rFonts w:ascii="Arial Narrow" w:hAnsi="Arial Narrow"/>
                <w:color w:val="333333"/>
                <w:sz w:val="20"/>
                <w:szCs w:val="20"/>
              </w:rPr>
            </w:pPr>
            <w:r w:rsidRPr="0084008F">
              <w:rPr>
                <w:rFonts w:ascii="Arial Narrow" w:hAnsi="Arial Narrow"/>
                <w:color w:val="333333"/>
                <w:sz w:val="20"/>
                <w:szCs w:val="20"/>
              </w:rPr>
              <w:t>Patient must not show continuing progression of disability while on treatment with this drug</w:t>
            </w:r>
          </w:p>
        </w:tc>
      </w:tr>
      <w:tr w:rsidR="00B16FCB" w:rsidRPr="0084008F" w14:paraId="795CBD49" w14:textId="77777777" w:rsidTr="00B16FCB">
        <w:tc>
          <w:tcPr>
            <w:tcW w:w="5000" w:type="pct"/>
            <w:vAlign w:val="center"/>
            <w:hideMark/>
          </w:tcPr>
          <w:p w14:paraId="23362D82"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 xml:space="preserve">Prescribing Instructions: </w:t>
            </w:r>
            <w:r w:rsidRPr="0084008F">
              <w:rPr>
                <w:rFonts w:ascii="Arial Narrow" w:hAnsi="Arial Narrow"/>
                <w:bCs/>
                <w:color w:val="333333"/>
                <w:sz w:val="20"/>
                <w:szCs w:val="20"/>
              </w:rPr>
              <w:t>Where applicable, the date of the magnetic resonance imaging scan must be recorded in the patient's medical records.</w:t>
            </w:r>
          </w:p>
          <w:p w14:paraId="707CA898" w14:textId="77777777" w:rsidR="00B16FCB" w:rsidRPr="0084008F" w:rsidRDefault="00B16FCB" w:rsidP="00040A62">
            <w:pPr>
              <w:rPr>
                <w:rFonts w:ascii="Arial Narrow" w:hAnsi="Arial Narrow"/>
                <w:color w:val="333333"/>
                <w:sz w:val="20"/>
                <w:szCs w:val="20"/>
              </w:rPr>
            </w:pPr>
          </w:p>
        </w:tc>
      </w:tr>
    </w:tbl>
    <w:p w14:paraId="09D52466" w14:textId="448F022D" w:rsidR="00F10A6F" w:rsidRPr="0084008F" w:rsidRDefault="00F10A6F" w:rsidP="00F21A3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B16FCB" w:rsidRPr="0084008F" w14:paraId="64F294A9" w14:textId="77777777" w:rsidTr="00B16FCB">
        <w:tc>
          <w:tcPr>
            <w:tcW w:w="5000" w:type="pct"/>
            <w:vAlign w:val="center"/>
            <w:hideMark/>
          </w:tcPr>
          <w:p w14:paraId="3E5F3149" w14:textId="5C527631"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Treatment Phase:</w:t>
            </w:r>
            <w:r w:rsidRPr="0084008F">
              <w:rPr>
                <w:rFonts w:ascii="Arial Narrow" w:hAnsi="Arial Narrow"/>
                <w:color w:val="333333"/>
                <w:sz w:val="20"/>
                <w:szCs w:val="20"/>
              </w:rPr>
              <w:t xml:space="preserve"> Grandfather treatment</w:t>
            </w:r>
          </w:p>
        </w:tc>
      </w:tr>
      <w:tr w:rsidR="00B16FCB" w:rsidRPr="0084008F" w14:paraId="6AD62DAD" w14:textId="77777777" w:rsidTr="00B16FCB">
        <w:tc>
          <w:tcPr>
            <w:tcW w:w="5000" w:type="pct"/>
            <w:vAlign w:val="center"/>
          </w:tcPr>
          <w:p w14:paraId="3F779D31" w14:textId="6706B3A1" w:rsidR="00B16FCB" w:rsidRPr="0084008F" w:rsidRDefault="00B16FCB" w:rsidP="00040A62">
            <w:pPr>
              <w:rPr>
                <w:rFonts w:ascii="Arial Narrow" w:hAnsi="Arial Narrow"/>
                <w:b/>
                <w:bCs/>
                <w:color w:val="333333"/>
                <w:sz w:val="20"/>
                <w:szCs w:val="20"/>
              </w:rPr>
            </w:pPr>
            <w:r w:rsidRPr="0084008F">
              <w:rPr>
                <w:rFonts w:ascii="Arial Narrow" w:hAnsi="Arial Narrow"/>
                <w:b/>
                <w:bCs/>
                <w:color w:val="333333"/>
                <w:sz w:val="20"/>
                <w:szCs w:val="20"/>
              </w:rPr>
              <w:t>Clinical criteria:</w:t>
            </w:r>
          </w:p>
        </w:tc>
      </w:tr>
      <w:tr w:rsidR="00B16FCB" w:rsidRPr="0084008F" w14:paraId="2E69C839" w14:textId="77777777" w:rsidTr="00B16FCB">
        <w:tc>
          <w:tcPr>
            <w:tcW w:w="5000" w:type="pct"/>
            <w:vAlign w:val="center"/>
          </w:tcPr>
          <w:p w14:paraId="04E709A6" w14:textId="40D7CC25" w:rsidR="00B16FCB" w:rsidRPr="0084008F" w:rsidRDefault="00B16FCB" w:rsidP="00040A62">
            <w:pPr>
              <w:rPr>
                <w:rFonts w:ascii="Arial Narrow" w:hAnsi="Arial Narrow"/>
                <w:color w:val="333333"/>
                <w:sz w:val="20"/>
                <w:szCs w:val="20"/>
              </w:rPr>
            </w:pPr>
            <w:r w:rsidRPr="0084008F">
              <w:rPr>
                <w:rFonts w:ascii="Arial Narrow" w:hAnsi="Arial Narrow"/>
                <w:color w:val="333333"/>
                <w:sz w:val="20"/>
                <w:szCs w:val="20"/>
              </w:rPr>
              <w:t>Patient must have commenced non-PBS-subsidised treatment with this drug for this PBS indication prior to &lt;&lt;PBS list date&gt;&gt;</w:t>
            </w:r>
          </w:p>
        </w:tc>
      </w:tr>
      <w:tr w:rsidR="00B16FCB" w:rsidRPr="0084008F" w14:paraId="3034C3D7" w14:textId="77777777" w:rsidTr="00B16FCB">
        <w:tc>
          <w:tcPr>
            <w:tcW w:w="5000" w:type="pct"/>
            <w:vAlign w:val="center"/>
          </w:tcPr>
          <w:p w14:paraId="1F1CD56F" w14:textId="7EA108A5" w:rsidR="00B16FCB" w:rsidRPr="0084008F" w:rsidRDefault="00B16FCB" w:rsidP="00040A62">
            <w:pPr>
              <w:rPr>
                <w:rFonts w:ascii="Arial Narrow" w:hAnsi="Arial Narrow"/>
                <w:b/>
                <w:bCs/>
                <w:color w:val="333333"/>
                <w:sz w:val="20"/>
                <w:szCs w:val="20"/>
              </w:rPr>
            </w:pPr>
            <w:r w:rsidRPr="0084008F">
              <w:rPr>
                <w:rFonts w:ascii="Arial Narrow" w:hAnsi="Arial Narrow"/>
                <w:b/>
                <w:bCs/>
                <w:color w:val="333333"/>
                <w:sz w:val="20"/>
                <w:szCs w:val="20"/>
              </w:rPr>
              <w:t>AND</w:t>
            </w:r>
          </w:p>
        </w:tc>
      </w:tr>
      <w:tr w:rsidR="00B16FCB" w:rsidRPr="0084008F" w14:paraId="6F42C918" w14:textId="77777777" w:rsidTr="00B16FCB">
        <w:tc>
          <w:tcPr>
            <w:tcW w:w="5000" w:type="pct"/>
            <w:vAlign w:val="center"/>
            <w:hideMark/>
          </w:tcPr>
          <w:p w14:paraId="69C96C0B"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B16FCB" w:rsidRPr="0084008F" w14:paraId="0369430F" w14:textId="77777777" w:rsidTr="00B16FCB">
        <w:tc>
          <w:tcPr>
            <w:tcW w:w="5000" w:type="pct"/>
            <w:vAlign w:val="center"/>
            <w:hideMark/>
          </w:tcPr>
          <w:p w14:paraId="1A8B9F31" w14:textId="400CF0CD" w:rsidR="00B16FCB" w:rsidRPr="0084008F" w:rsidRDefault="00B16FCB" w:rsidP="00F10A6F">
            <w:pPr>
              <w:rPr>
                <w:rFonts w:ascii="Arial Narrow" w:hAnsi="Arial Narrow"/>
                <w:color w:val="333333"/>
                <w:sz w:val="20"/>
                <w:szCs w:val="20"/>
              </w:rPr>
            </w:pPr>
            <w:r w:rsidRPr="0084008F">
              <w:rPr>
                <w:rFonts w:ascii="Arial Narrow" w:hAnsi="Arial Narrow"/>
                <w:color w:val="333333"/>
                <w:sz w:val="20"/>
                <w:szCs w:val="20"/>
              </w:rPr>
              <w:t xml:space="preserve">The condition must be/have previously been diagnosed as clinically definite relapsing-remitting multiple sclerosis by magnetic resonance imaging of at least one of the </w:t>
            </w:r>
            <w:proofErr w:type="gramStart"/>
            <w:r w:rsidRPr="0084008F">
              <w:rPr>
                <w:rFonts w:ascii="Arial Narrow" w:hAnsi="Arial Narrow"/>
                <w:color w:val="333333"/>
                <w:sz w:val="20"/>
                <w:szCs w:val="20"/>
              </w:rPr>
              <w:t>brain</w:t>
            </w:r>
            <w:proofErr w:type="gramEnd"/>
            <w:r w:rsidRPr="0084008F">
              <w:rPr>
                <w:rFonts w:ascii="Arial Narrow" w:hAnsi="Arial Narrow"/>
                <w:color w:val="333333"/>
                <w:sz w:val="20"/>
                <w:szCs w:val="20"/>
              </w:rPr>
              <w:t>/spinal cord;</w:t>
            </w:r>
          </w:p>
          <w:p w14:paraId="7966CDC0" w14:textId="7B9C9C24" w:rsidR="00B16FCB" w:rsidRPr="0084008F" w:rsidRDefault="00B16FCB" w:rsidP="00F10A6F">
            <w:pPr>
              <w:rPr>
                <w:rFonts w:ascii="Arial Narrow" w:hAnsi="Arial Narrow"/>
                <w:color w:val="333333"/>
                <w:sz w:val="20"/>
                <w:szCs w:val="20"/>
              </w:rPr>
            </w:pPr>
            <w:r w:rsidRPr="0084008F">
              <w:rPr>
                <w:rFonts w:ascii="Arial Narrow" w:hAnsi="Arial Narrow"/>
                <w:color w:val="333333"/>
                <w:sz w:val="20"/>
                <w:szCs w:val="20"/>
              </w:rPr>
              <w:t>OR</w:t>
            </w:r>
          </w:p>
          <w:p w14:paraId="61CFFEA7" w14:textId="3A595078" w:rsidR="00B16FCB" w:rsidRPr="0084008F" w:rsidRDefault="00B16FCB" w:rsidP="00F10A6F">
            <w:pPr>
              <w:rPr>
                <w:rFonts w:ascii="Arial Narrow" w:hAnsi="Arial Narrow"/>
                <w:color w:val="333333"/>
                <w:sz w:val="20"/>
                <w:szCs w:val="20"/>
              </w:rPr>
            </w:pPr>
            <w:r w:rsidRPr="0084008F">
              <w:rPr>
                <w:rFonts w:ascii="Arial Narrow" w:hAnsi="Arial Narrow"/>
                <w:color w:val="333333"/>
                <w:sz w:val="20"/>
                <w:szCs w:val="20"/>
              </w:rPr>
              <w:t>The condition must be/have previously been diagnosed as clinically definite relapsing-remitting multiple sclerosis supported by written certification, which is documented in the patient's medical records, from a radiologist that a magnetic resonance imaging scan is contraindicated because of the risk of physical (not psychological) injury to the patient.</w:t>
            </w:r>
          </w:p>
        </w:tc>
      </w:tr>
      <w:tr w:rsidR="00B16FCB" w:rsidRPr="0084008F" w14:paraId="4B09E98B" w14:textId="77777777" w:rsidTr="00B16FCB">
        <w:tc>
          <w:tcPr>
            <w:tcW w:w="5000" w:type="pct"/>
            <w:vAlign w:val="center"/>
            <w:hideMark/>
          </w:tcPr>
          <w:p w14:paraId="089B5B4A"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AND</w:t>
            </w:r>
          </w:p>
        </w:tc>
      </w:tr>
      <w:tr w:rsidR="00B16FCB" w:rsidRPr="0084008F" w14:paraId="3E660632" w14:textId="77777777" w:rsidTr="00B16FCB">
        <w:tc>
          <w:tcPr>
            <w:tcW w:w="5000" w:type="pct"/>
            <w:vAlign w:val="center"/>
            <w:hideMark/>
          </w:tcPr>
          <w:p w14:paraId="09167A7F"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B16FCB" w:rsidRPr="0084008F" w14:paraId="16B223BF" w14:textId="77777777" w:rsidTr="00B16FCB">
        <w:tc>
          <w:tcPr>
            <w:tcW w:w="5000" w:type="pct"/>
            <w:vAlign w:val="center"/>
            <w:hideMark/>
          </w:tcPr>
          <w:p w14:paraId="3FEA32F8" w14:textId="77777777" w:rsidR="00B16FCB" w:rsidRPr="0084008F" w:rsidRDefault="00B16FCB" w:rsidP="00040A62">
            <w:pPr>
              <w:rPr>
                <w:rFonts w:ascii="Arial Narrow" w:hAnsi="Arial Narrow"/>
                <w:color w:val="333333"/>
                <w:sz w:val="20"/>
                <w:szCs w:val="20"/>
              </w:rPr>
            </w:pPr>
            <w:r w:rsidRPr="0084008F">
              <w:rPr>
                <w:rFonts w:ascii="Arial Narrow" w:hAnsi="Arial Narrow"/>
                <w:color w:val="333333"/>
                <w:sz w:val="20"/>
                <w:szCs w:val="20"/>
              </w:rPr>
              <w:t>The treatment must be the sole PBS-subsidised disease modifying therapy for this condition.</w:t>
            </w:r>
          </w:p>
        </w:tc>
      </w:tr>
      <w:tr w:rsidR="00B16FCB" w:rsidRPr="0084008F" w14:paraId="4AFD3DB1" w14:textId="77777777" w:rsidTr="00B16FCB">
        <w:tc>
          <w:tcPr>
            <w:tcW w:w="5000" w:type="pct"/>
            <w:vAlign w:val="center"/>
            <w:hideMark/>
          </w:tcPr>
          <w:p w14:paraId="0E8CCF66"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AND</w:t>
            </w:r>
          </w:p>
        </w:tc>
      </w:tr>
      <w:tr w:rsidR="00B16FCB" w:rsidRPr="0084008F" w14:paraId="16B09FBB" w14:textId="77777777" w:rsidTr="00B16FCB">
        <w:tc>
          <w:tcPr>
            <w:tcW w:w="5000" w:type="pct"/>
            <w:vAlign w:val="center"/>
            <w:hideMark/>
          </w:tcPr>
          <w:p w14:paraId="2B2A73FE"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B16FCB" w:rsidRPr="0084008F" w14:paraId="2BBDAA20" w14:textId="77777777" w:rsidTr="00B16FCB">
        <w:tc>
          <w:tcPr>
            <w:tcW w:w="5000" w:type="pct"/>
            <w:vAlign w:val="center"/>
            <w:hideMark/>
          </w:tcPr>
          <w:p w14:paraId="5F250F02" w14:textId="2A97FDBB" w:rsidR="00B16FCB" w:rsidRPr="0084008F" w:rsidRDefault="00B16FCB" w:rsidP="00040A62">
            <w:pPr>
              <w:rPr>
                <w:rFonts w:ascii="Arial Narrow" w:hAnsi="Arial Narrow"/>
                <w:color w:val="333333"/>
                <w:sz w:val="20"/>
                <w:szCs w:val="20"/>
              </w:rPr>
            </w:pPr>
            <w:r w:rsidRPr="0084008F">
              <w:rPr>
                <w:rFonts w:ascii="Arial Narrow" w:hAnsi="Arial Narrow"/>
                <w:color w:val="333333"/>
                <w:sz w:val="20"/>
                <w:szCs w:val="20"/>
              </w:rPr>
              <w:t>Patient must have previously received non-PBS subsidised treatment with this drug for this condition prior to [listing date]</w:t>
            </w:r>
          </w:p>
        </w:tc>
      </w:tr>
      <w:tr w:rsidR="00B16FCB" w:rsidRPr="0084008F" w14:paraId="083EC03F" w14:textId="77777777" w:rsidTr="00B16FCB">
        <w:tc>
          <w:tcPr>
            <w:tcW w:w="5000" w:type="pct"/>
            <w:vAlign w:val="center"/>
            <w:hideMark/>
          </w:tcPr>
          <w:p w14:paraId="430A968F" w14:textId="77777777" w:rsidR="00B16FCB" w:rsidRPr="0084008F" w:rsidRDefault="00B16FCB" w:rsidP="00040A62">
            <w:pPr>
              <w:rPr>
                <w:rFonts w:ascii="Arial Narrow" w:hAnsi="Arial Narrow"/>
                <w:color w:val="333333"/>
                <w:sz w:val="20"/>
                <w:szCs w:val="20"/>
              </w:rPr>
            </w:pPr>
            <w:r w:rsidRPr="0084008F">
              <w:rPr>
                <w:rFonts w:ascii="Arial Narrow" w:hAnsi="Arial Narrow"/>
                <w:b/>
                <w:bCs/>
                <w:color w:val="333333"/>
                <w:sz w:val="20"/>
                <w:szCs w:val="20"/>
              </w:rPr>
              <w:t>AND</w:t>
            </w:r>
          </w:p>
        </w:tc>
      </w:tr>
      <w:tr w:rsidR="00B16FCB" w:rsidRPr="0084008F" w14:paraId="7B59F934" w14:textId="77777777" w:rsidTr="00B16FCB">
        <w:tc>
          <w:tcPr>
            <w:tcW w:w="5000" w:type="pct"/>
            <w:vAlign w:val="center"/>
          </w:tcPr>
          <w:p w14:paraId="1003C2EF" w14:textId="22C26811" w:rsidR="00B16FCB" w:rsidRPr="0084008F" w:rsidRDefault="00B16FCB" w:rsidP="00D12342">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B16FCB" w:rsidRPr="0084008F" w14:paraId="5731C90E" w14:textId="77777777" w:rsidTr="00B16FCB">
        <w:tc>
          <w:tcPr>
            <w:tcW w:w="5000" w:type="pct"/>
            <w:vAlign w:val="center"/>
          </w:tcPr>
          <w:p w14:paraId="4C118540" w14:textId="208314A8" w:rsidR="00B16FCB" w:rsidRPr="0084008F" w:rsidRDefault="00B16FCB" w:rsidP="00D12342">
            <w:pPr>
              <w:rPr>
                <w:rFonts w:ascii="Arial Narrow" w:hAnsi="Arial Narrow"/>
                <w:color w:val="333333"/>
                <w:sz w:val="20"/>
                <w:szCs w:val="20"/>
              </w:rPr>
            </w:pPr>
            <w:r w:rsidRPr="0084008F">
              <w:rPr>
                <w:rFonts w:ascii="Arial Narrow" w:hAnsi="Arial Narrow"/>
                <w:color w:val="333333"/>
                <w:sz w:val="20"/>
                <w:szCs w:val="20"/>
              </w:rPr>
              <w:t>Patient must be ambulatory (without assistance or support)</w:t>
            </w:r>
          </w:p>
        </w:tc>
      </w:tr>
      <w:tr w:rsidR="00B16FCB" w:rsidRPr="0084008F" w14:paraId="553C4E1A" w14:textId="77777777" w:rsidTr="00B16FCB">
        <w:tc>
          <w:tcPr>
            <w:tcW w:w="5000" w:type="pct"/>
            <w:vAlign w:val="center"/>
            <w:hideMark/>
          </w:tcPr>
          <w:p w14:paraId="42C72B6D" w14:textId="77777777" w:rsidR="00B16FCB" w:rsidRPr="0084008F" w:rsidRDefault="00B16FCB" w:rsidP="00D12342">
            <w:pPr>
              <w:rPr>
                <w:rFonts w:ascii="Arial Narrow" w:hAnsi="Arial Narrow"/>
                <w:color w:val="333333"/>
                <w:sz w:val="20"/>
                <w:szCs w:val="20"/>
              </w:rPr>
            </w:pPr>
            <w:r w:rsidRPr="0084008F">
              <w:rPr>
                <w:rFonts w:ascii="Arial Narrow" w:hAnsi="Arial Narrow"/>
                <w:b/>
                <w:bCs/>
                <w:color w:val="333333"/>
                <w:sz w:val="20"/>
                <w:szCs w:val="20"/>
              </w:rPr>
              <w:lastRenderedPageBreak/>
              <w:t xml:space="preserve">Prescribing Instructions: </w:t>
            </w:r>
            <w:r w:rsidRPr="0084008F">
              <w:rPr>
                <w:rFonts w:ascii="Arial Narrow" w:hAnsi="Arial Narrow"/>
                <w:bCs/>
                <w:color w:val="333333"/>
                <w:sz w:val="20"/>
                <w:szCs w:val="20"/>
              </w:rPr>
              <w:t>Where applicable, the date of the magnetic resonance imaging scan must be recorded in the patient's medical records.</w:t>
            </w:r>
          </w:p>
          <w:p w14:paraId="6DD9BD33" w14:textId="77777777" w:rsidR="00B16FCB" w:rsidRPr="0084008F" w:rsidRDefault="00B16FCB" w:rsidP="00D12342">
            <w:pPr>
              <w:rPr>
                <w:rFonts w:ascii="Arial Narrow" w:hAnsi="Arial Narrow"/>
                <w:color w:val="333333"/>
                <w:sz w:val="20"/>
                <w:szCs w:val="20"/>
              </w:rPr>
            </w:pPr>
          </w:p>
        </w:tc>
      </w:tr>
    </w:tbl>
    <w:p w14:paraId="304228AB" w14:textId="77777777" w:rsidR="00F10A6F" w:rsidRDefault="00F10A6F" w:rsidP="00F21A3E"/>
    <w:p w14:paraId="5846DB6E" w14:textId="18F2FEFB" w:rsidR="00F21A3E" w:rsidRDefault="00F21A3E" w:rsidP="00F21A3E">
      <w:pPr>
        <w:pStyle w:val="ListParagraph"/>
        <w:numPr>
          <w:ilvl w:val="1"/>
          <w:numId w:val="1"/>
        </w:numPr>
        <w:spacing w:after="160"/>
      </w:pPr>
      <w:r>
        <w:t xml:space="preserve">A </w:t>
      </w:r>
      <w:r w:rsidRPr="00D05B32">
        <w:t>Special Pricing Arrangement (SPA)</w:t>
      </w:r>
      <w:r>
        <w:t xml:space="preserve"> was</w:t>
      </w:r>
      <w:r w:rsidRPr="00D05B32">
        <w:t xml:space="preserve"> requested for listing</w:t>
      </w:r>
      <w:r w:rsidR="00AB083E">
        <w:t xml:space="preserve"> </w:t>
      </w:r>
      <w:r w:rsidR="0075055D">
        <w:t>DRF</w:t>
      </w:r>
      <w:r w:rsidR="002F6369">
        <w:t xml:space="preserve">, </w:t>
      </w:r>
      <w:proofErr w:type="gramStart"/>
      <w:r w:rsidR="002F6369">
        <w:t>similar to</w:t>
      </w:r>
      <w:proofErr w:type="gramEnd"/>
      <w:r w:rsidR="002F6369">
        <w:t xml:space="preserve"> the arrangement </w:t>
      </w:r>
      <w:r w:rsidR="009D5470">
        <w:t xml:space="preserve">currently in place for </w:t>
      </w:r>
      <w:r w:rsidR="002F6369">
        <w:t>DMF</w:t>
      </w:r>
      <w:r w:rsidR="00F06F5E">
        <w:t xml:space="preserve">. </w:t>
      </w:r>
    </w:p>
    <w:p w14:paraId="4A949951" w14:textId="54539E1E" w:rsidR="00E51D20" w:rsidRDefault="00F21A3E" w:rsidP="00E51D20">
      <w:pPr>
        <w:pStyle w:val="ListParagraph"/>
        <w:numPr>
          <w:ilvl w:val="1"/>
          <w:numId w:val="1"/>
        </w:numPr>
        <w:spacing w:after="160"/>
      </w:pPr>
      <w:r w:rsidRPr="00031CDD">
        <w:t>The requested restriction is consistent with the proposed TGA indication and is consistent with</w:t>
      </w:r>
      <w:r w:rsidR="00A90D50" w:rsidRPr="00031CDD">
        <w:t xml:space="preserve"> current PBS listings for RRMS disease modifying therapies (DMTs).</w:t>
      </w:r>
      <w:r w:rsidRPr="00031CDD">
        <w:t xml:space="preserve"> </w:t>
      </w:r>
    </w:p>
    <w:p w14:paraId="26E5C79E" w14:textId="54C9F6E4" w:rsidR="00E51D20" w:rsidRPr="00E51D20" w:rsidRDefault="00E51D20" w:rsidP="00E51D20">
      <w:pPr>
        <w:pStyle w:val="ListParagraph"/>
        <w:numPr>
          <w:ilvl w:val="1"/>
          <w:numId w:val="1"/>
        </w:numPr>
        <w:spacing w:after="160"/>
      </w:pPr>
      <w:r>
        <w:t xml:space="preserve">In its Pre-PBAC </w:t>
      </w:r>
      <w:proofErr w:type="gramStart"/>
      <w:r>
        <w:t>Response ,</w:t>
      </w:r>
      <w:proofErr w:type="gramEnd"/>
      <w:r>
        <w:t xml:space="preserve"> the Sponsor requested the addition of a grandfather restriction for a planned product familiarisation program, set to commence </w:t>
      </w:r>
      <w:r w:rsidR="00815F0B" w:rsidRPr="00756CE2">
        <w:rPr>
          <w:color w:val="000000"/>
          <w:w w:val="15"/>
          <w:shd w:val="solid" w:color="000000" w:fill="000000"/>
          <w:fitText w:val="-20" w:id="-1500819712"/>
          <w14:textFill>
            <w14:solidFill>
              <w14:srgbClr w14:val="000000">
                <w14:alpha w14:val="100000"/>
              </w14:srgbClr>
            </w14:solidFill>
          </w14:textFill>
        </w:rPr>
        <w:t xml:space="preserve">|  </w:t>
      </w:r>
      <w:r w:rsidR="00815F0B" w:rsidRPr="00756CE2">
        <w:rPr>
          <w:color w:val="000000"/>
          <w:spacing w:val="-69"/>
          <w:w w:val="15"/>
          <w:shd w:val="solid" w:color="000000" w:fill="000000"/>
          <w:fitText w:val="-20" w:id="-1500819712"/>
          <w14:textFill>
            <w14:solidFill>
              <w14:srgbClr w14:val="000000">
                <w14:alpha w14:val="100000"/>
              </w14:srgbClr>
            </w14:solidFill>
          </w14:textFill>
        </w:rPr>
        <w:t>|</w:t>
      </w:r>
      <w:r w:rsidR="005D7513" w:rsidRPr="005D7513">
        <w:t xml:space="preserve"> </w:t>
      </w:r>
      <w:r w:rsidR="00815F0B" w:rsidRPr="00756CE2">
        <w:rPr>
          <w:color w:val="000000"/>
          <w:w w:val="15"/>
          <w:shd w:val="solid" w:color="000000" w:fill="000000"/>
          <w:fitText w:val="-20" w:id="-1500819711"/>
          <w14:textFill>
            <w14:solidFill>
              <w14:srgbClr w14:val="000000">
                <w14:alpha w14:val="100000"/>
              </w14:srgbClr>
            </w14:solidFill>
          </w14:textFill>
        </w:rPr>
        <w:t xml:space="preserve">|  </w:t>
      </w:r>
      <w:r w:rsidR="00815F0B" w:rsidRPr="00756CE2">
        <w:rPr>
          <w:color w:val="000000"/>
          <w:spacing w:val="-69"/>
          <w:w w:val="15"/>
          <w:shd w:val="solid" w:color="000000" w:fill="000000"/>
          <w:fitText w:val="-20" w:id="-1500819711"/>
          <w14:textFill>
            <w14:solidFill>
              <w14:srgbClr w14:val="000000">
                <w14:alpha w14:val="100000"/>
              </w14:srgbClr>
            </w14:solidFill>
          </w14:textFill>
        </w:rPr>
        <w:t>|</w:t>
      </w:r>
      <w:r w:rsidR="005D7513" w:rsidRPr="005D7513">
        <w:t xml:space="preserve"> </w:t>
      </w:r>
      <w:r w:rsidR="00815F0B" w:rsidRPr="00756CE2">
        <w:rPr>
          <w:color w:val="000000"/>
          <w:w w:val="15"/>
          <w:shd w:val="solid" w:color="000000" w:fill="000000"/>
          <w:fitText w:val="-20" w:id="-1500819710"/>
          <w14:textFill>
            <w14:solidFill>
              <w14:srgbClr w14:val="000000">
                <w14:alpha w14:val="100000"/>
              </w14:srgbClr>
            </w14:solidFill>
          </w14:textFill>
        </w:rPr>
        <w:t xml:space="preserve">|  </w:t>
      </w:r>
      <w:r w:rsidR="00815F0B" w:rsidRPr="00756CE2">
        <w:rPr>
          <w:color w:val="000000"/>
          <w:spacing w:val="-69"/>
          <w:w w:val="15"/>
          <w:shd w:val="solid" w:color="000000" w:fill="000000"/>
          <w:fitText w:val="-20" w:id="-1500819710"/>
          <w14:textFill>
            <w14:solidFill>
              <w14:srgbClr w14:val="000000">
                <w14:alpha w14:val="100000"/>
              </w14:srgbClr>
            </w14:solidFill>
          </w14:textFill>
        </w:rPr>
        <w:t>|</w:t>
      </w:r>
    </w:p>
    <w:p w14:paraId="24AE3796" w14:textId="4133A9A5" w:rsidR="00953C5F" w:rsidRPr="0084008F" w:rsidRDefault="00953C5F" w:rsidP="0084008F">
      <w:pPr>
        <w:ind w:firstLine="709"/>
        <w:rPr>
          <w:rFonts w:asciiTheme="minorHAnsi" w:hAnsiTheme="minorHAnsi"/>
          <w:i/>
        </w:rPr>
      </w:pPr>
      <w:bookmarkStart w:id="6" w:name="_Hlk76375324"/>
      <w:r w:rsidRPr="00C33D30">
        <w:rPr>
          <w:rFonts w:asciiTheme="minorHAnsi" w:hAnsiTheme="minorHAnsi"/>
          <w:i/>
        </w:rPr>
        <w:t>For more detail on PBAC’s view, see section 7 PBAC outcome.</w:t>
      </w:r>
      <w:bookmarkEnd w:id="6"/>
    </w:p>
    <w:p w14:paraId="5696BD8E" w14:textId="77777777" w:rsidR="00F21A3E" w:rsidRPr="00407F2D" w:rsidRDefault="00F21A3E" w:rsidP="00F21A3E">
      <w:pPr>
        <w:pStyle w:val="2-SectionHeading"/>
      </w:pPr>
      <w:bookmarkStart w:id="7" w:name="_Toc93478627"/>
      <w:r>
        <w:t>Population and disease</w:t>
      </w:r>
      <w:bookmarkEnd w:id="7"/>
    </w:p>
    <w:p w14:paraId="6FF2C746" w14:textId="3B725DBF" w:rsidR="00F21A3E" w:rsidRPr="005C06D2" w:rsidRDefault="00F21A3E" w:rsidP="00F21A3E">
      <w:pPr>
        <w:pStyle w:val="3-BodyText"/>
        <w:rPr>
          <w:color w:val="0066FF"/>
        </w:rPr>
      </w:pPr>
      <w:r w:rsidRPr="00822A5A">
        <w:t xml:space="preserve">Multiple sclerosis (MS) is characterised by the development of inflammatory plaques in the Central Nervous System including the brain, spinal </w:t>
      </w:r>
      <w:proofErr w:type="gramStart"/>
      <w:r w:rsidRPr="00822A5A">
        <w:t>cord</w:t>
      </w:r>
      <w:proofErr w:type="gramEnd"/>
      <w:r w:rsidRPr="00822A5A">
        <w:t xml:space="preserve"> and optic nerves. In MS, T lymphocytes play a role in destroying myelin, the protective sheath that surrounds nerve fibres and helps with the efficient flow of nerve signals to and from the brain and various parts of the body. In people with MS, there is inflammation around the Th1 and Th17 lymphocytes</w:t>
      </w:r>
      <w:r>
        <w:t xml:space="preserve"> </w:t>
      </w:r>
      <w:r w:rsidRPr="00822A5A">
        <w:t>(which are associated with inflammatory cytokines that activate macrophages and opsonising antibodies). Areas of damaged myelin become scarred and can no longer fully insulate the nerve</w:t>
      </w:r>
      <w:r w:rsidR="00F95FCD">
        <w:t>,</w:t>
      </w:r>
      <w:r w:rsidRPr="00822A5A">
        <w:t xml:space="preserve"> leaving unprotected areas, where the flow of nerve impulses is interrupted. This interruption in the communication between the brain and other parts of the body results in MS symptoms.</w:t>
      </w:r>
    </w:p>
    <w:p w14:paraId="4FD3CEB3" w14:textId="6AEE2890" w:rsidR="00F21A3E" w:rsidRDefault="00F21A3E" w:rsidP="00F21A3E">
      <w:pPr>
        <w:pStyle w:val="3-BodyText"/>
        <w:rPr>
          <w:color w:val="0066FF"/>
        </w:rPr>
      </w:pPr>
      <w:r w:rsidRPr="00B53522">
        <w:t>MS may manifest in relapsing and progressive forms. RRMS is the most common disease course, estimated in 85% of initial diagnoses, and is characterised by clearly defined attacks of new or increasing neurologic symptoms. These attacks</w:t>
      </w:r>
      <w:r w:rsidR="00BE10C4">
        <w:t xml:space="preserve"> (</w:t>
      </w:r>
      <w:r w:rsidRPr="00B53522">
        <w:t>relapses or exacerbations</w:t>
      </w:r>
      <w:r w:rsidR="00BE10C4">
        <w:t>)</w:t>
      </w:r>
      <w:r w:rsidRPr="00B53522">
        <w:t xml:space="preserve"> are followed by periods of partial or complete recovery (remissions). During remissions, all symptoms may disappear, or some symptoms may continue and become permanent. </w:t>
      </w:r>
      <w:r w:rsidR="00BE10C4">
        <w:t>T</w:t>
      </w:r>
      <w:r w:rsidRPr="00B53522">
        <w:t>here is no apparent progression of the disease during the periods of remission</w:t>
      </w:r>
      <w:r w:rsidRPr="005C06D2">
        <w:rPr>
          <w:color w:val="0066FF"/>
        </w:rPr>
        <w:t>.</w:t>
      </w:r>
    </w:p>
    <w:p w14:paraId="0BAD960D" w14:textId="4951CADA" w:rsidR="00F21A3E" w:rsidRDefault="00F21A3E" w:rsidP="00F21A3E">
      <w:pPr>
        <w:pStyle w:val="3-BodyText"/>
      </w:pPr>
      <w:r w:rsidRPr="00E37FE8">
        <w:t xml:space="preserve">Symptoms of MS can manifest in </w:t>
      </w:r>
      <w:proofErr w:type="gramStart"/>
      <w:r w:rsidRPr="00E37FE8">
        <w:t>many different ways</w:t>
      </w:r>
      <w:proofErr w:type="gramEnd"/>
      <w:r w:rsidRPr="00E37FE8">
        <w:t xml:space="preserve">, depending on where lesions develop on the brain and spinal cord. Symptoms are episodic, often with gradual onset, acute </w:t>
      </w:r>
      <w:proofErr w:type="gramStart"/>
      <w:r w:rsidRPr="00E37FE8">
        <w:t>stages</w:t>
      </w:r>
      <w:proofErr w:type="gramEnd"/>
      <w:r w:rsidRPr="00E37FE8">
        <w:t xml:space="preserve"> or progressive decline of function. They differ from person to person and can require constant adaptation, transitioning and adjustments, especially given the symptoms may interact (triangulate) with other symptoms (or comorbidities) and therefore cannot be assessed in isolation. Symptoms can also be invisible (such as increased brain atrophy), debilitating and result in a range of functional impairments.</w:t>
      </w:r>
    </w:p>
    <w:p w14:paraId="0BF3786E" w14:textId="7D4F4012" w:rsidR="00F95FCD" w:rsidRDefault="00F21A3E" w:rsidP="00204C66">
      <w:pPr>
        <w:pStyle w:val="3-BodyText"/>
      </w:pPr>
      <w:r>
        <w:t>The submission noted that all PBS listed DMT</w:t>
      </w:r>
      <w:r w:rsidR="00DD0B81">
        <w:t>s</w:t>
      </w:r>
      <w:r>
        <w:t xml:space="preserve"> are available as a first line treatment option</w:t>
      </w:r>
      <w:r w:rsidR="00444944">
        <w:t xml:space="preserve"> and</w:t>
      </w:r>
      <w:r>
        <w:t xml:space="preserve"> it is up to prescribing physicians to determine the course of treatment for </w:t>
      </w:r>
      <w:r>
        <w:lastRenderedPageBreak/>
        <w:t xml:space="preserve">patients. While the course of treatment is often determined by disease progression, it is acknowledged that some patients may switch from one treatment to another due to compliance issues, patient preference, pregnancy status and </w:t>
      </w:r>
      <w:r w:rsidR="00BE10C4">
        <w:t>adverse events</w:t>
      </w:r>
      <w:r>
        <w:t>. As per the current PBS</w:t>
      </w:r>
      <w:r w:rsidR="00BE10C4">
        <w:t xml:space="preserve">’ </w:t>
      </w:r>
      <w:r>
        <w:t xml:space="preserve">RRMS listing for DMF, the condition must be diagnosed as clinically definite RRMS by MRI of the brain and/or spinal cord with at least two documented relapses within the previous two years.  Under the proposed PBS listing, the positioning of DRF would be as an alternative </w:t>
      </w:r>
      <w:r w:rsidR="009B6A44">
        <w:t xml:space="preserve">DMT, </w:t>
      </w:r>
      <w:proofErr w:type="gramStart"/>
      <w:r w:rsidR="009B6A44">
        <w:t xml:space="preserve">similar </w:t>
      </w:r>
      <w:r w:rsidR="00772C4A">
        <w:t>to</w:t>
      </w:r>
      <w:proofErr w:type="gramEnd"/>
      <w:r w:rsidR="00772C4A">
        <w:t xml:space="preserve"> </w:t>
      </w:r>
      <w:r w:rsidR="009B6A44">
        <w:t xml:space="preserve">DMF, </w:t>
      </w:r>
      <w:r>
        <w:t>and therefore</w:t>
      </w:r>
      <w:r w:rsidR="00F95FCD">
        <w:t xml:space="preserve"> not</w:t>
      </w:r>
      <w:r>
        <w:t xml:space="preserve"> change the current treatment algorithm. </w:t>
      </w:r>
    </w:p>
    <w:p w14:paraId="2DF68EDD" w14:textId="393CC432" w:rsidR="008F4266" w:rsidRDefault="00F95FCD" w:rsidP="00204C66">
      <w:pPr>
        <w:pStyle w:val="3-BodyText"/>
      </w:pPr>
      <w:r w:rsidRPr="00DD2EE2">
        <w:t xml:space="preserve">DRF </w:t>
      </w:r>
      <w:r>
        <w:t xml:space="preserve">belongs to the </w:t>
      </w:r>
      <w:r w:rsidRPr="00DD2EE2">
        <w:t xml:space="preserve">therapeutic class </w:t>
      </w:r>
      <w:r>
        <w:t xml:space="preserve">of </w:t>
      </w:r>
      <w:r w:rsidRPr="00DD2EE2">
        <w:t xml:space="preserve">L04AX </w:t>
      </w:r>
      <w:r>
        <w:t>(</w:t>
      </w:r>
      <w:r w:rsidRPr="00DD2EE2">
        <w:t xml:space="preserve">Antineoplastic and immunomodulating agents, other immunosuppressant). </w:t>
      </w:r>
      <w:r w:rsidRPr="007A704E">
        <w:t xml:space="preserve">Following oral administration, DRF </w:t>
      </w:r>
      <w:r>
        <w:t>is metabolised to the primary active metabolite MMF,</w:t>
      </w:r>
      <w:r w:rsidRPr="007A704E">
        <w:t xml:space="preserve"> major inactive metabolite 2-hydroxyethyl succinimide (HES) and the minor inactive metabolites RDC-8439 and methanol</w:t>
      </w:r>
      <w:r>
        <w:t xml:space="preserve">, </w:t>
      </w:r>
      <w:proofErr w:type="gramStart"/>
      <w:r>
        <w:t>similar to</w:t>
      </w:r>
      <w:proofErr w:type="gramEnd"/>
      <w:r>
        <w:t xml:space="preserve"> the metabolic pathway for DMF. The metabolism of DRF and DMF produce equivalent quantities of the active metabolite (MMF). The </w:t>
      </w:r>
      <w:r w:rsidRPr="00064614">
        <w:t xml:space="preserve">primary active metabolite MMF significantly reduces immune cell activation and subsequent release of pro-inflammatory cytokines in response to inflammatory stimuli </w:t>
      </w:r>
      <w:proofErr w:type="gramStart"/>
      <w:r w:rsidRPr="00064614">
        <w:t>and also</w:t>
      </w:r>
      <w:proofErr w:type="gramEnd"/>
      <w:r w:rsidRPr="00064614">
        <w:t xml:space="preserve"> affects lymphocyte phenotypes through a down-regulation of pro-inflammatory cytokine profiles (Th1, Th17) and biases towards anti-inflammatory Th2 production (</w:t>
      </w:r>
      <w:r w:rsidR="00044A4C">
        <w:t xml:space="preserve">Dimethyl fumarate Australian Public Assessment Record, </w:t>
      </w:r>
      <w:r w:rsidRPr="00064614">
        <w:t>TGA 2013</w:t>
      </w:r>
      <w:r>
        <w:t>). The metabolism of DRF creates smaller amounts of free methanol than that of DMF.</w:t>
      </w:r>
      <w:r w:rsidR="00F21A3E">
        <w:t xml:space="preserve"> </w:t>
      </w:r>
    </w:p>
    <w:p w14:paraId="6FFB7E4F" w14:textId="77777777" w:rsidR="00953C5F" w:rsidRPr="00C33D30" w:rsidRDefault="00953C5F" w:rsidP="00953C5F">
      <w:pPr>
        <w:ind w:firstLine="709"/>
        <w:rPr>
          <w:rFonts w:asciiTheme="minorHAnsi" w:hAnsiTheme="minorHAnsi"/>
          <w:i/>
        </w:rPr>
      </w:pPr>
      <w:r w:rsidRPr="00C33D30">
        <w:rPr>
          <w:rFonts w:asciiTheme="minorHAnsi" w:hAnsiTheme="minorHAnsi"/>
          <w:i/>
        </w:rPr>
        <w:t>For more detail on PBAC’s view, see section 7 PBAC outcome.</w:t>
      </w:r>
    </w:p>
    <w:p w14:paraId="30186DD8" w14:textId="77777777" w:rsidR="00F21A3E" w:rsidRPr="00407F2D" w:rsidRDefault="00F21A3E" w:rsidP="00F21A3E">
      <w:pPr>
        <w:pStyle w:val="2-SectionHeading"/>
      </w:pPr>
      <w:bookmarkStart w:id="8" w:name="_Toc93478628"/>
      <w:r w:rsidRPr="00407F2D">
        <w:t>Comparator</w:t>
      </w:r>
      <w:bookmarkEnd w:id="8"/>
    </w:p>
    <w:p w14:paraId="50400C94" w14:textId="276430F2" w:rsidR="00F21A3E" w:rsidRPr="00031CDD" w:rsidRDefault="00F21A3E" w:rsidP="00CF1D6A">
      <w:pPr>
        <w:pStyle w:val="3-BodyText"/>
        <w:rPr>
          <w:iCs/>
          <w:snapToGrid/>
          <w:lang w:val="en-US"/>
        </w:rPr>
      </w:pPr>
      <w:r w:rsidRPr="00E335B2">
        <w:rPr>
          <w:snapToGrid/>
          <w:lang w:val="en-US"/>
        </w:rPr>
        <w:t xml:space="preserve">The </w:t>
      </w:r>
      <w:r w:rsidR="00A23FDF">
        <w:rPr>
          <w:snapToGrid/>
          <w:lang w:val="en-US"/>
        </w:rPr>
        <w:t>submission</w:t>
      </w:r>
      <w:r w:rsidRPr="00E335B2">
        <w:rPr>
          <w:snapToGrid/>
          <w:lang w:val="en-US"/>
        </w:rPr>
        <w:t xml:space="preserve"> nominated DMF as the main comparator. The main arguments provided in support of this nomination were that DRF is a pharmacological analogue of DMF, which is currently listed on the PBS.</w:t>
      </w:r>
      <w:r>
        <w:rPr>
          <w:snapToGrid/>
          <w:lang w:val="en-US"/>
        </w:rPr>
        <w:t xml:space="preserve"> </w:t>
      </w:r>
      <w:r w:rsidRPr="00AA68D4">
        <w:t>At therapeutic doses, DRF and DMF produce bioequivalent systemic exposure of MMF which is thought to drive efficacy in patients with MS.</w:t>
      </w:r>
      <w:r>
        <w:t xml:space="preserve"> </w:t>
      </w:r>
      <w:r w:rsidRPr="00031CDD">
        <w:rPr>
          <w:iCs/>
        </w:rPr>
        <w:t xml:space="preserve">Based on the active metabolite </w:t>
      </w:r>
      <w:r w:rsidR="006426BB" w:rsidRPr="00031CDD">
        <w:rPr>
          <w:iCs/>
        </w:rPr>
        <w:t>(MMF)</w:t>
      </w:r>
      <w:r w:rsidR="005913C9">
        <w:rPr>
          <w:iCs/>
        </w:rPr>
        <w:t xml:space="preserve"> being the same</w:t>
      </w:r>
      <w:r w:rsidR="006426BB" w:rsidRPr="00031CDD">
        <w:rPr>
          <w:iCs/>
        </w:rPr>
        <w:t xml:space="preserve">, </w:t>
      </w:r>
      <w:r w:rsidRPr="00031CDD">
        <w:rPr>
          <w:iCs/>
        </w:rPr>
        <w:t xml:space="preserve">DMF was an appropriate comparator. </w:t>
      </w:r>
    </w:p>
    <w:p w14:paraId="0CAF6B06" w14:textId="01404DF0" w:rsidR="00380FE1" w:rsidRPr="00031CDD" w:rsidRDefault="008D1FAF" w:rsidP="006426BB">
      <w:pPr>
        <w:pStyle w:val="3-BodyText"/>
        <w:rPr>
          <w:iCs/>
        </w:rPr>
      </w:pPr>
      <w:r w:rsidRPr="00031CDD">
        <w:rPr>
          <w:iCs/>
        </w:rPr>
        <w:t>For the requested RRMS population,</w:t>
      </w:r>
      <w:r w:rsidR="00DD0B81" w:rsidRPr="00031CDD">
        <w:rPr>
          <w:iCs/>
          <w:snapToGrid/>
          <w:lang w:val="en-US"/>
        </w:rPr>
        <w:t xml:space="preserve"> all </w:t>
      </w:r>
      <w:r w:rsidR="008A13B4" w:rsidRPr="00031CDD">
        <w:rPr>
          <w:iCs/>
          <w:snapToGrid/>
          <w:lang w:val="en-US"/>
        </w:rPr>
        <w:t>PBS-listed</w:t>
      </w:r>
      <w:r w:rsidR="00DD0B81" w:rsidRPr="00031CDD">
        <w:rPr>
          <w:iCs/>
          <w:snapToGrid/>
          <w:lang w:val="en-US"/>
        </w:rPr>
        <w:t xml:space="preserve"> RRMS</w:t>
      </w:r>
      <w:r w:rsidR="008A13B4" w:rsidRPr="00031CDD">
        <w:rPr>
          <w:iCs/>
          <w:snapToGrid/>
          <w:lang w:val="en-US"/>
        </w:rPr>
        <w:t xml:space="preserve"> medicines may be considered alternative therapies for DRF and DMF because they could be replaced in practice</w:t>
      </w:r>
      <w:r w:rsidR="00DD0B81" w:rsidRPr="00031CDD">
        <w:rPr>
          <w:iCs/>
        </w:rPr>
        <w:t xml:space="preserve">. However, given the established therapeutic relativities have </w:t>
      </w:r>
      <w:r w:rsidR="009C08FE" w:rsidRPr="00031CDD">
        <w:rPr>
          <w:iCs/>
        </w:rPr>
        <w:t>resulted in two ‘efficacy tiers’ in RRMS, the following therapies which are in the same tier as DMF (the ‘lower efficacy’ tier) are likely to be the most relevant:</w:t>
      </w:r>
      <w:r w:rsidR="008A13B4" w:rsidRPr="00031CDD">
        <w:rPr>
          <w:iCs/>
        </w:rPr>
        <w:t xml:space="preserve"> </w:t>
      </w:r>
      <w:r w:rsidR="006426BB" w:rsidRPr="00031CDD">
        <w:rPr>
          <w:iCs/>
        </w:rPr>
        <w:t xml:space="preserve">the ABCR drugs (interferon beta-1a and 1b, glatiramer acetate), peginterferon beta-1a and teriflunomide. </w:t>
      </w:r>
    </w:p>
    <w:p w14:paraId="65024D8B" w14:textId="268D101A" w:rsidR="006426BB" w:rsidRPr="00031CDD" w:rsidRDefault="006426BB" w:rsidP="006426BB">
      <w:pPr>
        <w:pStyle w:val="3-BodyText"/>
        <w:rPr>
          <w:iCs/>
        </w:rPr>
      </w:pPr>
      <w:r w:rsidRPr="00031CDD">
        <w:rPr>
          <w:iCs/>
        </w:rPr>
        <w:t>The PBAC has previously considered that:</w:t>
      </w:r>
    </w:p>
    <w:p w14:paraId="2465CC47" w14:textId="77777777" w:rsidR="006426BB" w:rsidRPr="00031CDD" w:rsidRDefault="006426BB" w:rsidP="00DD17C1">
      <w:pPr>
        <w:pStyle w:val="3-BodyText"/>
        <w:numPr>
          <w:ilvl w:val="0"/>
          <w:numId w:val="20"/>
        </w:numPr>
        <w:ind w:left="1134"/>
        <w:rPr>
          <w:iCs/>
        </w:rPr>
      </w:pPr>
      <w:r w:rsidRPr="00031CDD">
        <w:rPr>
          <w:iCs/>
        </w:rPr>
        <w:t xml:space="preserve">The ABCR therapies are equivalent to each other based on a series of non-inferiority comparisons.  </w:t>
      </w:r>
    </w:p>
    <w:p w14:paraId="705A8027" w14:textId="28453ECF" w:rsidR="006426BB" w:rsidRPr="00031CDD" w:rsidRDefault="006426BB" w:rsidP="00DD17C1">
      <w:pPr>
        <w:pStyle w:val="3-BodyText"/>
        <w:numPr>
          <w:ilvl w:val="0"/>
          <w:numId w:val="20"/>
        </w:numPr>
        <w:ind w:left="1134"/>
        <w:rPr>
          <w:iCs/>
        </w:rPr>
      </w:pPr>
      <w:r w:rsidRPr="00031CDD">
        <w:rPr>
          <w:iCs/>
        </w:rPr>
        <w:t xml:space="preserve">DMF </w:t>
      </w:r>
      <w:r w:rsidR="00772C4A" w:rsidRPr="00031CDD">
        <w:rPr>
          <w:iCs/>
        </w:rPr>
        <w:t xml:space="preserve">is </w:t>
      </w:r>
      <w:r w:rsidRPr="00031CDD">
        <w:rPr>
          <w:iCs/>
        </w:rPr>
        <w:t xml:space="preserve">non-inferior in effectiveness and safety to the ABCR therapies based on a direct comparison with glatiramer acetate and a series of indirect comparisons </w:t>
      </w:r>
      <w:r w:rsidRPr="00031CDD">
        <w:rPr>
          <w:iCs/>
        </w:rPr>
        <w:lastRenderedPageBreak/>
        <w:t>with interferon beta-1a and 1b, using placebo common comparator (</w:t>
      </w:r>
      <w:r w:rsidR="00BA293B">
        <w:rPr>
          <w:iCs/>
        </w:rPr>
        <w:t>Public Summary Document (</w:t>
      </w:r>
      <w:r w:rsidRPr="00031CDD">
        <w:rPr>
          <w:iCs/>
        </w:rPr>
        <w:t>PSD</w:t>
      </w:r>
      <w:r w:rsidR="00BA293B">
        <w:rPr>
          <w:iCs/>
        </w:rPr>
        <w:t>)</w:t>
      </w:r>
      <w:r w:rsidRPr="00031CDD">
        <w:rPr>
          <w:iCs/>
        </w:rPr>
        <w:t xml:space="preserve"> July 2013). </w:t>
      </w:r>
    </w:p>
    <w:p w14:paraId="5AF3597E" w14:textId="77777777" w:rsidR="006426BB" w:rsidRPr="00031CDD" w:rsidRDefault="006426BB" w:rsidP="00DD17C1">
      <w:pPr>
        <w:pStyle w:val="3-BodyText"/>
        <w:numPr>
          <w:ilvl w:val="0"/>
          <w:numId w:val="20"/>
        </w:numPr>
        <w:ind w:left="1134"/>
        <w:rPr>
          <w:iCs/>
        </w:rPr>
      </w:pPr>
      <w:r w:rsidRPr="00031CDD">
        <w:rPr>
          <w:iCs/>
        </w:rPr>
        <w:t xml:space="preserve">Teriflunomide is non-inferior in efficacy and has a different but non-inferior safety profile to interferon beta-1a and 1b based on a series of direct, </w:t>
      </w:r>
      <w:proofErr w:type="gramStart"/>
      <w:r w:rsidRPr="00031CDD">
        <w:rPr>
          <w:iCs/>
        </w:rPr>
        <w:t>indirect</w:t>
      </w:r>
      <w:proofErr w:type="gramEnd"/>
      <w:r w:rsidRPr="00031CDD">
        <w:rPr>
          <w:iCs/>
        </w:rPr>
        <w:t xml:space="preserve"> and post-hoc comparisons (PSD July 2013).   </w:t>
      </w:r>
    </w:p>
    <w:p w14:paraId="44BD2465" w14:textId="77777777" w:rsidR="006426BB" w:rsidRPr="00031CDD" w:rsidRDefault="006426BB" w:rsidP="00DD17C1">
      <w:pPr>
        <w:pStyle w:val="3-BodyText"/>
        <w:numPr>
          <w:ilvl w:val="0"/>
          <w:numId w:val="20"/>
        </w:numPr>
        <w:ind w:left="1134"/>
        <w:rPr>
          <w:iCs/>
        </w:rPr>
      </w:pPr>
      <w:r w:rsidRPr="00031CDD">
        <w:rPr>
          <w:iCs/>
        </w:rPr>
        <w:t xml:space="preserve">Peginterferon beta-1a is non-inferior in efficacy and safety to interferon beta-1a, based on an indirect comparison using placebo as common comparator (PSD November 2014). </w:t>
      </w:r>
    </w:p>
    <w:p w14:paraId="735649DE" w14:textId="69B03044" w:rsidR="00985CB6" w:rsidRPr="00031CDD" w:rsidRDefault="00526108" w:rsidP="00985CB6">
      <w:pPr>
        <w:pStyle w:val="3-BodyText"/>
      </w:pPr>
      <w:r>
        <w:t xml:space="preserve">Other PBS-listed DMTs for RRMS patients include: </w:t>
      </w:r>
      <w:r w:rsidR="00E70C7C">
        <w:t>n</w:t>
      </w:r>
      <w:r w:rsidRPr="00526108">
        <w:t xml:space="preserve">atalizumab, </w:t>
      </w:r>
      <w:r w:rsidR="00E70C7C">
        <w:t>f</w:t>
      </w:r>
      <w:r w:rsidRPr="00526108">
        <w:t xml:space="preserve">ingolimod, </w:t>
      </w:r>
      <w:r w:rsidR="00E70C7C">
        <w:t>a</w:t>
      </w:r>
      <w:r w:rsidRPr="00526108">
        <w:t xml:space="preserve">lemtuzumab, </w:t>
      </w:r>
      <w:r w:rsidR="00E70C7C">
        <w:t>o</w:t>
      </w:r>
      <w:r w:rsidRPr="00526108">
        <w:t>crelizumab</w:t>
      </w:r>
      <w:r>
        <w:t xml:space="preserve">, </w:t>
      </w:r>
      <w:r w:rsidR="00E70C7C">
        <w:t>c</w:t>
      </w:r>
      <w:r w:rsidR="008266C2">
        <w:t>ladribine</w:t>
      </w:r>
      <w:r w:rsidR="00C82BE7">
        <w:t xml:space="preserve">, </w:t>
      </w:r>
      <w:r w:rsidR="00E70C7C">
        <w:rPr>
          <w:szCs w:val="20"/>
        </w:rPr>
        <w:t>o</w:t>
      </w:r>
      <w:r w:rsidR="00C82BE7" w:rsidRPr="00D84291">
        <w:rPr>
          <w:szCs w:val="20"/>
        </w:rPr>
        <w:t>zanimod</w:t>
      </w:r>
      <w:r w:rsidR="00E70C7C">
        <w:rPr>
          <w:szCs w:val="20"/>
        </w:rPr>
        <w:t>, ofatumumab</w:t>
      </w:r>
      <w:r w:rsidR="00ED20EB">
        <w:rPr>
          <w:szCs w:val="20"/>
        </w:rPr>
        <w:t xml:space="preserve"> and </w:t>
      </w:r>
      <w:proofErr w:type="spellStart"/>
      <w:r w:rsidR="00E70C7C">
        <w:rPr>
          <w:szCs w:val="20"/>
        </w:rPr>
        <w:t>s</w:t>
      </w:r>
      <w:r w:rsidR="00ED20EB" w:rsidRPr="00D84291">
        <w:rPr>
          <w:szCs w:val="20"/>
        </w:rPr>
        <w:t>iponimo</w:t>
      </w:r>
      <w:r w:rsidR="00ED20EB">
        <w:rPr>
          <w:szCs w:val="20"/>
        </w:rPr>
        <w:t>d</w:t>
      </w:r>
      <w:proofErr w:type="spellEnd"/>
      <w:r w:rsidR="00ED20EB">
        <w:rPr>
          <w:szCs w:val="20"/>
        </w:rPr>
        <w:t xml:space="preserve">. </w:t>
      </w:r>
      <w:r w:rsidR="00BB3CA2">
        <w:rPr>
          <w:szCs w:val="20"/>
        </w:rPr>
        <w:t xml:space="preserve">These drugs are available for </w:t>
      </w:r>
      <w:r w:rsidR="008A13B4">
        <w:rPr>
          <w:szCs w:val="20"/>
        </w:rPr>
        <w:t xml:space="preserve">RRMS </w:t>
      </w:r>
      <w:r w:rsidR="00BB3CA2">
        <w:rPr>
          <w:szCs w:val="20"/>
        </w:rPr>
        <w:t>first</w:t>
      </w:r>
      <w:r w:rsidR="008A13B4">
        <w:rPr>
          <w:szCs w:val="20"/>
        </w:rPr>
        <w:t xml:space="preserve"> line </w:t>
      </w:r>
      <w:r w:rsidR="00BB3CA2">
        <w:rPr>
          <w:szCs w:val="20"/>
        </w:rPr>
        <w:t>treatment</w:t>
      </w:r>
      <w:r w:rsidR="008A13B4">
        <w:rPr>
          <w:szCs w:val="20"/>
        </w:rPr>
        <w:t xml:space="preserve">, </w:t>
      </w:r>
      <w:proofErr w:type="gramStart"/>
      <w:r w:rsidR="008A13B4">
        <w:rPr>
          <w:szCs w:val="20"/>
        </w:rPr>
        <w:t>and also</w:t>
      </w:r>
      <w:proofErr w:type="gramEnd"/>
      <w:r w:rsidR="008A13B4">
        <w:rPr>
          <w:szCs w:val="20"/>
        </w:rPr>
        <w:t xml:space="preserve"> as second</w:t>
      </w:r>
      <w:r w:rsidR="005B47E7">
        <w:rPr>
          <w:szCs w:val="20"/>
        </w:rPr>
        <w:t xml:space="preserve">- </w:t>
      </w:r>
      <w:r w:rsidR="008A13B4">
        <w:rPr>
          <w:szCs w:val="20"/>
        </w:rPr>
        <w:t>and third</w:t>
      </w:r>
      <w:r w:rsidR="005B47E7">
        <w:rPr>
          <w:szCs w:val="20"/>
        </w:rPr>
        <w:t>-</w:t>
      </w:r>
      <w:r w:rsidR="008A13B4">
        <w:rPr>
          <w:szCs w:val="20"/>
        </w:rPr>
        <w:t>line therapies.</w:t>
      </w:r>
      <w:r w:rsidR="00EE6024">
        <w:rPr>
          <w:szCs w:val="20"/>
        </w:rPr>
        <w:t xml:space="preserve"> </w:t>
      </w:r>
      <w:r w:rsidR="00EE6024" w:rsidRPr="00031CDD">
        <w:rPr>
          <w:szCs w:val="20"/>
        </w:rPr>
        <w:t>The</w:t>
      </w:r>
      <w:r w:rsidR="009C08FE" w:rsidRPr="00031CDD">
        <w:rPr>
          <w:szCs w:val="20"/>
        </w:rPr>
        <w:t xml:space="preserve">se agents are in the ‘higher efficacy’ tier of </w:t>
      </w:r>
      <w:r w:rsidR="00EE6024" w:rsidRPr="00031CDD">
        <w:rPr>
          <w:szCs w:val="20"/>
        </w:rPr>
        <w:t>DMTs for RRMS and</w:t>
      </w:r>
      <w:r w:rsidR="009C08FE" w:rsidRPr="00031CDD">
        <w:rPr>
          <w:szCs w:val="20"/>
        </w:rPr>
        <w:t xml:space="preserve"> whilst they may be replaced in practice, </w:t>
      </w:r>
      <w:r w:rsidR="00616333" w:rsidRPr="00840E14">
        <w:rPr>
          <w:iCs/>
          <w:szCs w:val="20"/>
        </w:rPr>
        <w:t>the PBAC has previously considered these medicines provide a significant improvement in efficacy compared with the ‘lower efficacy’ tier of med</w:t>
      </w:r>
      <w:r w:rsidR="00A22999" w:rsidRPr="00840E14">
        <w:rPr>
          <w:iCs/>
          <w:szCs w:val="20"/>
        </w:rPr>
        <w:t>i</w:t>
      </w:r>
      <w:r w:rsidR="00616333" w:rsidRPr="00840E14">
        <w:rPr>
          <w:iCs/>
          <w:szCs w:val="20"/>
        </w:rPr>
        <w:t>cines</w:t>
      </w:r>
      <w:r w:rsidR="009C08FE" w:rsidRPr="00840E14">
        <w:rPr>
          <w:iCs/>
          <w:szCs w:val="20"/>
        </w:rPr>
        <w:t>.</w:t>
      </w:r>
      <w:r w:rsidR="00EE6024" w:rsidRPr="00031CDD">
        <w:rPr>
          <w:szCs w:val="20"/>
        </w:rPr>
        <w:t xml:space="preserve"> </w:t>
      </w:r>
      <w:r w:rsidR="009C08FE" w:rsidRPr="00031CDD">
        <w:rPr>
          <w:szCs w:val="20"/>
        </w:rPr>
        <w:t xml:space="preserve"> </w:t>
      </w:r>
      <w:r w:rsidR="00EE6024" w:rsidRPr="00031CDD">
        <w:rPr>
          <w:szCs w:val="20"/>
        </w:rPr>
        <w:t xml:space="preserve"> </w:t>
      </w:r>
    </w:p>
    <w:p w14:paraId="7C21C5EF" w14:textId="3954C991" w:rsidR="00FA27FA" w:rsidRPr="00244D38" w:rsidRDefault="00E12D12" w:rsidP="00E42F42">
      <w:pPr>
        <w:pStyle w:val="3-BodyText"/>
        <w:rPr>
          <w:snapToGrid/>
          <w:color w:val="0066FF"/>
          <w:lang w:val="en-US"/>
        </w:rPr>
      </w:pPr>
      <w:bookmarkStart w:id="9" w:name="_Ref95209128"/>
      <w:r w:rsidRPr="00031CDD">
        <w:rPr>
          <w:lang w:val="en-US"/>
        </w:rPr>
        <w:t xml:space="preserve">A consideration of the PBAC is that, under Section 101(3B) of the </w:t>
      </w:r>
      <w:r w:rsidRPr="00E17C25">
        <w:rPr>
          <w:i/>
          <w:iCs/>
          <w:lang w:val="en-US"/>
        </w:rPr>
        <w:t>National Health Act 1953</w:t>
      </w:r>
      <w:r w:rsidRPr="00031CDD">
        <w:rPr>
          <w:lang w:val="en-US"/>
        </w:rPr>
        <w:t>, when the proposed medicine is substantially more costly than an alternative therapy, the Committee cannot make a positive recommendation unless it is satisfied that, for some patients, the proposed medicine provides a significant improvement in efficacy or reduction in toxicity over the alternative therapy(</w:t>
      </w:r>
      <w:proofErr w:type="spellStart"/>
      <w:r w:rsidRPr="00031CDD">
        <w:rPr>
          <w:lang w:val="en-US"/>
        </w:rPr>
        <w:t>ies</w:t>
      </w:r>
      <w:proofErr w:type="spellEnd"/>
      <w:r w:rsidRPr="00031CDD">
        <w:rPr>
          <w:lang w:val="en-US"/>
        </w:rPr>
        <w:t xml:space="preserve">), and if satisfied, must make a statement to that effect. </w:t>
      </w:r>
      <w:r w:rsidR="00E17C25">
        <w:rPr>
          <w:lang w:val="en-US"/>
        </w:rPr>
        <w:t xml:space="preserve">The relevant alternative therapies </w:t>
      </w:r>
      <w:proofErr w:type="gramStart"/>
      <w:r w:rsidR="00E17C25">
        <w:rPr>
          <w:lang w:val="en-US"/>
        </w:rPr>
        <w:t>are:</w:t>
      </w:r>
      <w:proofErr w:type="gramEnd"/>
      <w:r w:rsidR="00E17C25" w:rsidRPr="00031CDD">
        <w:rPr>
          <w:iCs/>
        </w:rPr>
        <w:t xml:space="preserve"> </w:t>
      </w:r>
      <w:r w:rsidRPr="00031CDD">
        <w:rPr>
          <w:lang w:val="en-US"/>
        </w:rPr>
        <w:t>interferon beta-1a (intramuscular or subcutaneous</w:t>
      </w:r>
      <w:r w:rsidR="00C40A25" w:rsidRPr="00031CDD">
        <w:rPr>
          <w:lang w:val="en-US"/>
        </w:rPr>
        <w:t xml:space="preserve"> forms</w:t>
      </w:r>
      <w:r w:rsidRPr="00031CDD">
        <w:rPr>
          <w:lang w:val="en-US"/>
        </w:rPr>
        <w:t xml:space="preserve">), interferon beta-1b, peginterferon beta-1a, glatiramer acetate, teriflunomide </w:t>
      </w:r>
      <w:r w:rsidR="00E17C25">
        <w:rPr>
          <w:lang w:val="en-US"/>
        </w:rPr>
        <w:t>and</w:t>
      </w:r>
      <w:r w:rsidR="00E17C25" w:rsidRPr="00031CDD">
        <w:rPr>
          <w:lang w:val="en-US"/>
        </w:rPr>
        <w:t xml:space="preserve"> </w:t>
      </w:r>
      <w:r w:rsidRPr="00031CDD">
        <w:rPr>
          <w:lang w:val="en-US"/>
        </w:rPr>
        <w:t>DMF.</w:t>
      </w:r>
      <w:r w:rsidR="00F22B2E" w:rsidRPr="00031CDD">
        <w:rPr>
          <w:lang w:val="en-US"/>
        </w:rPr>
        <w:t xml:space="preserve"> </w:t>
      </w:r>
      <w:bookmarkEnd w:id="9"/>
    </w:p>
    <w:p w14:paraId="30C482BE" w14:textId="18E3FF2A" w:rsidR="00244D38" w:rsidRPr="0088040A" w:rsidRDefault="00244D38" w:rsidP="00244D38">
      <w:pPr>
        <w:pStyle w:val="3-BodyText"/>
        <w:rPr>
          <w:snapToGrid/>
          <w:color w:val="0066FF"/>
          <w:lang w:val="en-US"/>
        </w:rPr>
      </w:pPr>
      <w:bookmarkStart w:id="10" w:name="_Ref95209230"/>
      <w:r w:rsidRPr="0088040A">
        <w:t xml:space="preserve">The </w:t>
      </w:r>
      <w:r w:rsidR="00BA293B">
        <w:t>Pre-Sub-Committee response (</w:t>
      </w:r>
      <w:r w:rsidR="0029342E" w:rsidRPr="0088040A">
        <w:t>PSCR</w:t>
      </w:r>
      <w:r w:rsidR="00BA293B">
        <w:t>)</w:t>
      </w:r>
      <w:r w:rsidRPr="0088040A">
        <w:t xml:space="preserve"> argued teriflunomide is not a relevant alternative, as teriflunomide is a pregnancy Category X drug and noted additional safety concerns with teriflunomide, including a black box safety warning applied by the US FDA due to hepato</w:t>
      </w:r>
      <w:r w:rsidR="00616333" w:rsidRPr="0088040A">
        <w:t>to</w:t>
      </w:r>
      <w:r w:rsidRPr="0088040A">
        <w:t xml:space="preserve">xicity concerns. </w:t>
      </w:r>
      <w:r w:rsidR="0029342E" w:rsidRPr="0088040A">
        <w:t xml:space="preserve">The ESC considered that </w:t>
      </w:r>
      <w:r w:rsidR="00616333" w:rsidRPr="0088040A">
        <w:t xml:space="preserve">a </w:t>
      </w:r>
      <w:r w:rsidR="0029342E" w:rsidRPr="0088040A">
        <w:t>substantial proportion of the RRMS population is of childbearing age and would generally not be treated with teriflunomide</w:t>
      </w:r>
      <w:r w:rsidR="0088040A">
        <w:t xml:space="preserve">. </w:t>
      </w:r>
      <w:bookmarkEnd w:id="10"/>
    </w:p>
    <w:p w14:paraId="193BB353" w14:textId="11CCA7B6" w:rsidR="00651BC3" w:rsidRDefault="00953C5F" w:rsidP="00953C5F">
      <w:pPr>
        <w:ind w:firstLine="709"/>
        <w:rPr>
          <w:rFonts w:asciiTheme="minorHAnsi" w:hAnsiTheme="minorHAnsi"/>
          <w:i/>
        </w:rPr>
      </w:pPr>
      <w:r w:rsidRPr="00C33D30">
        <w:rPr>
          <w:rFonts w:asciiTheme="minorHAnsi" w:hAnsiTheme="minorHAnsi"/>
          <w:i/>
        </w:rPr>
        <w:t>For more detail on PBAC’s view, see section 7 PBAC outcome.</w:t>
      </w:r>
    </w:p>
    <w:p w14:paraId="734AB706" w14:textId="77777777" w:rsidR="00651BC3" w:rsidRDefault="00651BC3">
      <w:pPr>
        <w:jc w:val="left"/>
        <w:rPr>
          <w:rFonts w:asciiTheme="minorHAnsi" w:hAnsiTheme="minorHAnsi"/>
          <w:i/>
        </w:rPr>
      </w:pPr>
      <w:r>
        <w:rPr>
          <w:rFonts w:asciiTheme="minorHAnsi" w:hAnsiTheme="minorHAnsi"/>
          <w:i/>
        </w:rPr>
        <w:br w:type="page"/>
      </w:r>
    </w:p>
    <w:p w14:paraId="776184C7" w14:textId="77777777" w:rsidR="00F21A3E" w:rsidRPr="00407F2D" w:rsidRDefault="00F21A3E" w:rsidP="00F21A3E">
      <w:pPr>
        <w:pStyle w:val="2-SectionHeading"/>
      </w:pPr>
      <w:bookmarkStart w:id="11" w:name="_Toc93478629"/>
      <w:bookmarkStart w:id="12" w:name="_Toc22897640"/>
      <w:r>
        <w:t>C</w:t>
      </w:r>
      <w:r w:rsidRPr="00407F2D">
        <w:t>onsideration of the evidence</w:t>
      </w:r>
      <w:bookmarkEnd w:id="11"/>
    </w:p>
    <w:p w14:paraId="4F8E2E79" w14:textId="77777777" w:rsidR="00953C5F" w:rsidRPr="006E1229" w:rsidRDefault="00953C5F" w:rsidP="00953C5F">
      <w:pPr>
        <w:pStyle w:val="3-SubsectionHeading"/>
        <w:rPr>
          <w:lang w:eastAsia="en-AU"/>
        </w:rPr>
      </w:pPr>
      <w:bookmarkStart w:id="13" w:name="_Hlk76375935"/>
      <w:bookmarkStart w:id="14" w:name="_Toc93478630"/>
      <w:r w:rsidRPr="006E1229">
        <w:rPr>
          <w:lang w:eastAsia="en-AU"/>
        </w:rPr>
        <w:t>Sponsor hearing</w:t>
      </w:r>
    </w:p>
    <w:p w14:paraId="0115AF5F" w14:textId="566E9095" w:rsidR="00953C5F" w:rsidRPr="00F91542" w:rsidRDefault="00953C5F" w:rsidP="00953C5F">
      <w:pPr>
        <w:widowControl w:val="0"/>
        <w:numPr>
          <w:ilvl w:val="1"/>
          <w:numId w:val="1"/>
        </w:numPr>
        <w:spacing w:after="120"/>
        <w:rPr>
          <w:rFonts w:cs="Calibri"/>
          <w:bCs/>
          <w:snapToGrid w:val="0"/>
        </w:rPr>
      </w:pPr>
      <w:r w:rsidRPr="00F91542">
        <w:rPr>
          <w:rFonts w:cs="Calibri"/>
          <w:bCs/>
          <w:snapToGrid w:val="0"/>
        </w:rPr>
        <w:t>There was no hearing for this item.</w:t>
      </w:r>
    </w:p>
    <w:p w14:paraId="37F5860F" w14:textId="77777777" w:rsidR="00953C5F" w:rsidRPr="006E1229" w:rsidRDefault="00953C5F" w:rsidP="00953C5F">
      <w:pPr>
        <w:pStyle w:val="3-SubsectionHeading"/>
        <w:rPr>
          <w:lang w:eastAsia="en-AU"/>
        </w:rPr>
      </w:pPr>
      <w:r w:rsidRPr="006E1229">
        <w:rPr>
          <w:lang w:eastAsia="en-AU"/>
        </w:rPr>
        <w:t>Consumer comments</w:t>
      </w:r>
    </w:p>
    <w:p w14:paraId="6124D047" w14:textId="50BFD817" w:rsidR="00953C5F" w:rsidRPr="00836F75" w:rsidRDefault="00953C5F" w:rsidP="00953C5F">
      <w:pPr>
        <w:widowControl w:val="0"/>
        <w:numPr>
          <w:ilvl w:val="1"/>
          <w:numId w:val="1"/>
        </w:numPr>
        <w:spacing w:after="120"/>
        <w:rPr>
          <w:rFonts w:asciiTheme="minorHAnsi" w:hAnsiTheme="minorHAnsi"/>
          <w:bCs/>
          <w:snapToGrid w:val="0"/>
        </w:rPr>
      </w:pPr>
      <w:bookmarkStart w:id="15" w:name="_Hlk76382618"/>
      <w:r w:rsidRPr="00836F75">
        <w:rPr>
          <w:rFonts w:asciiTheme="minorHAnsi" w:hAnsiTheme="minorHAnsi"/>
          <w:bCs/>
          <w:snapToGrid w:val="0"/>
        </w:rPr>
        <w:t>The PBAC noted and welcomed the input from individuals (</w:t>
      </w:r>
      <w:r w:rsidR="00B81606">
        <w:rPr>
          <w:rFonts w:asciiTheme="minorHAnsi" w:hAnsiTheme="minorHAnsi"/>
          <w:bCs/>
          <w:snapToGrid w:val="0"/>
        </w:rPr>
        <w:t>6</w:t>
      </w:r>
      <w:r w:rsidRPr="00836F75">
        <w:rPr>
          <w:rFonts w:asciiTheme="minorHAnsi" w:hAnsiTheme="minorHAnsi"/>
          <w:bCs/>
          <w:snapToGrid w:val="0"/>
        </w:rPr>
        <w:t>)</w:t>
      </w:r>
      <w:r w:rsidR="00B81606">
        <w:rPr>
          <w:rFonts w:asciiTheme="minorHAnsi" w:hAnsiTheme="minorHAnsi"/>
          <w:bCs/>
          <w:snapToGrid w:val="0"/>
        </w:rPr>
        <w:t xml:space="preserve"> </w:t>
      </w:r>
      <w:r w:rsidRPr="00836F75">
        <w:rPr>
          <w:rFonts w:asciiTheme="minorHAnsi" w:hAnsiTheme="minorHAnsi"/>
          <w:bCs/>
          <w:snapToGrid w:val="0"/>
        </w:rPr>
        <w:t xml:space="preserve">and </w:t>
      </w:r>
      <w:r>
        <w:rPr>
          <w:rFonts w:asciiTheme="minorHAnsi" w:hAnsiTheme="minorHAnsi"/>
          <w:bCs/>
          <w:snapToGrid w:val="0"/>
        </w:rPr>
        <w:t>MS Australia</w:t>
      </w:r>
      <w:r w:rsidRPr="00836F75">
        <w:rPr>
          <w:rFonts w:asciiTheme="minorHAnsi" w:hAnsiTheme="minorHAnsi"/>
          <w:bCs/>
          <w:snapToGrid w:val="0"/>
        </w:rPr>
        <w:t xml:space="preserve"> via the Consumer Comments facility on the PBS website.  The</w:t>
      </w:r>
      <w:r w:rsidR="00B81606">
        <w:rPr>
          <w:rFonts w:asciiTheme="minorHAnsi" w:hAnsiTheme="minorHAnsi"/>
          <w:bCs/>
          <w:snapToGrid w:val="0"/>
        </w:rPr>
        <w:t xml:space="preserve"> comments</w:t>
      </w:r>
      <w:r w:rsidRPr="00836F75">
        <w:rPr>
          <w:rFonts w:asciiTheme="minorHAnsi" w:hAnsiTheme="minorHAnsi"/>
          <w:bCs/>
          <w:snapToGrid w:val="0"/>
        </w:rPr>
        <w:t xml:space="preserve"> </w:t>
      </w:r>
      <w:r w:rsidR="00B81606">
        <w:rPr>
          <w:rFonts w:asciiTheme="minorHAnsi" w:hAnsiTheme="minorHAnsi"/>
          <w:bCs/>
          <w:snapToGrid w:val="0"/>
        </w:rPr>
        <w:t>described the benefits to patients of an alternative to DMF which offered the same level of effectiveness with fewer gastrointestinal side effects, a known issue associated with DMF treatment which impacts quality of life for patients.</w:t>
      </w:r>
    </w:p>
    <w:bookmarkEnd w:id="13"/>
    <w:bookmarkEnd w:id="15"/>
    <w:p w14:paraId="732FB376" w14:textId="7CFF9A38" w:rsidR="00F21A3E" w:rsidRPr="00C9624D" w:rsidRDefault="00F21A3E" w:rsidP="00F21A3E">
      <w:pPr>
        <w:pStyle w:val="4-SubsectionHeading"/>
      </w:pPr>
      <w:r w:rsidRPr="00C9624D">
        <w:t>Clinical trials</w:t>
      </w:r>
      <w:bookmarkEnd w:id="12"/>
      <w:bookmarkEnd w:id="14"/>
    </w:p>
    <w:p w14:paraId="0804A8BC" w14:textId="2603ACC0" w:rsidR="00F21A3E" w:rsidRPr="00BD7458" w:rsidRDefault="00F21A3E" w:rsidP="00F21A3E">
      <w:pPr>
        <w:pStyle w:val="3-BodyText"/>
      </w:pPr>
      <w:r>
        <w:t xml:space="preserve">The </w:t>
      </w:r>
      <w:r w:rsidR="00231F63">
        <w:t>s</w:t>
      </w:r>
      <w:r w:rsidR="00A23FDF">
        <w:t>ubmission</w:t>
      </w:r>
      <w:r>
        <w:t xml:space="preserve"> was based on one head-to-head randomised trial (EVOLVE-MS-2, N=506) comparing tolerability of DRF to DMF</w:t>
      </w:r>
      <w:r w:rsidR="00BD27D4">
        <w:t>,</w:t>
      </w:r>
      <w:r>
        <w:t xml:space="preserve"> and three Phase 1 clinical trials (ALK8700-A103, N=35; ALK8700-A104, N=42; ALK8700-A109, N=48) assessing relative bioavailability of DRF compared to DMF. </w:t>
      </w:r>
      <w:r>
        <w:rPr>
          <w:snapToGrid/>
          <w:lang w:val="en-US"/>
        </w:rPr>
        <w:t xml:space="preserve">Details of the trials presented in the </w:t>
      </w:r>
      <w:r w:rsidR="000F1257">
        <w:rPr>
          <w:snapToGrid/>
          <w:lang w:val="en-US"/>
        </w:rPr>
        <w:t xml:space="preserve">submission </w:t>
      </w:r>
      <w:r>
        <w:rPr>
          <w:snapToGrid/>
          <w:lang w:val="en-US"/>
        </w:rPr>
        <w:t xml:space="preserve">are provided in </w:t>
      </w:r>
      <w:r w:rsidR="006E4EF0">
        <w:rPr>
          <w:snapToGrid/>
          <w:lang w:val="en-US"/>
        </w:rPr>
        <w:t>T</w:t>
      </w:r>
      <w:r>
        <w:rPr>
          <w:snapToGrid/>
          <w:lang w:val="en-US"/>
        </w:rPr>
        <w:t xml:space="preserve">able </w:t>
      </w:r>
      <w:r w:rsidR="006E4EF0">
        <w:rPr>
          <w:snapToGrid/>
          <w:lang w:val="en-US"/>
        </w:rPr>
        <w:t xml:space="preserve">1 </w:t>
      </w:r>
      <w:r>
        <w:rPr>
          <w:snapToGrid/>
          <w:lang w:val="en-US"/>
        </w:rPr>
        <w:t xml:space="preserve">below. </w:t>
      </w:r>
    </w:p>
    <w:p w14:paraId="5BBB0302" w14:textId="1AA4ACF2" w:rsidR="006E4EF0" w:rsidRDefault="00BD7458" w:rsidP="006E4EF0">
      <w:pPr>
        <w:pStyle w:val="3-BodyText"/>
        <w:rPr>
          <w:rStyle w:val="CommentReference"/>
        </w:rPr>
      </w:pPr>
      <w:r w:rsidRPr="00BD7458">
        <w:rPr>
          <w:snapToGrid/>
          <w:lang w:val="en-US"/>
        </w:rPr>
        <w:t xml:space="preserve">The </w:t>
      </w:r>
      <w:r w:rsidR="0091649C">
        <w:rPr>
          <w:snapToGrid/>
          <w:lang w:val="en-US"/>
        </w:rPr>
        <w:t>s</w:t>
      </w:r>
      <w:r w:rsidR="00A23FDF">
        <w:rPr>
          <w:snapToGrid/>
          <w:lang w:val="en-US"/>
        </w:rPr>
        <w:t>ubmission</w:t>
      </w:r>
      <w:r w:rsidRPr="00BD7458">
        <w:rPr>
          <w:snapToGrid/>
          <w:lang w:val="en-US"/>
        </w:rPr>
        <w:t xml:space="preserve"> also provided supporting evidence for clinical safety from the EVOLVE-MS-1</w:t>
      </w:r>
      <w:r>
        <w:rPr>
          <w:snapToGrid/>
          <w:lang w:val="en-US"/>
        </w:rPr>
        <w:t xml:space="preserve"> (</w:t>
      </w:r>
      <w:r>
        <w:t xml:space="preserve">an </w:t>
      </w:r>
      <w:r w:rsidRPr="00827C84">
        <w:t xml:space="preserve">ongoing, open-label, </w:t>
      </w:r>
      <w:r>
        <w:t xml:space="preserve">96-week, single arm trial </w:t>
      </w:r>
      <w:r w:rsidRPr="00827C84">
        <w:t xml:space="preserve">of DRF </w:t>
      </w:r>
      <w:r w:rsidRPr="0077244E">
        <w:t>assessing safety, tolerability, and efficacy in RRMS patients</w:t>
      </w:r>
      <w:r>
        <w:t xml:space="preserve">) and an indirect comparison of DRF and DMF based on </w:t>
      </w:r>
      <w:r w:rsidRPr="00BD7458">
        <w:t>propensity score matched analysis of EVOLVE-MS-1</w:t>
      </w:r>
      <w:r w:rsidR="009631F3">
        <w:t xml:space="preserve"> (DRF arm)</w:t>
      </w:r>
      <w:r w:rsidRPr="00BD7458">
        <w:t xml:space="preserve"> and DEFINE/CONFIRM</w:t>
      </w:r>
      <w:r w:rsidR="009631F3">
        <w:t xml:space="preserve"> (DMF arm)</w:t>
      </w:r>
      <w:r>
        <w:t xml:space="preserve">. </w:t>
      </w:r>
    </w:p>
    <w:p w14:paraId="1A60D90E" w14:textId="77777777" w:rsidR="006E4EF0" w:rsidRPr="006E4EF0" w:rsidRDefault="006E4EF0" w:rsidP="006E4EF0">
      <w:pPr>
        <w:pStyle w:val="3-BodyText"/>
        <w:numPr>
          <w:ilvl w:val="0"/>
          <w:numId w:val="0"/>
        </w:numPr>
        <w:ind w:left="720"/>
        <w:rPr>
          <w:rStyle w:val="CommentReference"/>
        </w:rPr>
      </w:pPr>
    </w:p>
    <w:p w14:paraId="1607D7BF" w14:textId="303AE23D" w:rsidR="00672337" w:rsidRPr="00672337" w:rsidRDefault="00672337" w:rsidP="00672337">
      <w:pPr>
        <w:pStyle w:val="Caption"/>
      </w:pPr>
      <w:r w:rsidRPr="00672337">
        <w:t xml:space="preserve">Table </w:t>
      </w:r>
      <w:fldSimple w:instr=" SEQ Table \* ARABIC ">
        <w:r w:rsidR="00756CE2">
          <w:rPr>
            <w:noProof/>
          </w:rPr>
          <w:t>2</w:t>
        </w:r>
      </w:fldSimple>
      <w:r w:rsidRPr="00672337">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70"/>
        <w:gridCol w:w="5037"/>
        <w:gridCol w:w="2510"/>
      </w:tblGrid>
      <w:tr w:rsidR="00F21A3E" w:rsidRPr="00B41614" w14:paraId="41300DB1" w14:textId="77777777" w:rsidTr="00495E3A">
        <w:trPr>
          <w:cantSplit/>
          <w:tblHeader/>
        </w:trPr>
        <w:tc>
          <w:tcPr>
            <w:tcW w:w="815" w:type="pct"/>
            <w:vAlign w:val="center"/>
          </w:tcPr>
          <w:p w14:paraId="206E0A57" w14:textId="77777777" w:rsidR="00F21A3E" w:rsidRPr="00B41614" w:rsidRDefault="00F21A3E" w:rsidP="004C3A51">
            <w:pPr>
              <w:pStyle w:val="In-tableHeading"/>
              <w:keepNext w:val="0"/>
              <w:jc w:val="center"/>
            </w:pPr>
            <w:r w:rsidRPr="00B41614">
              <w:t>Trial ID</w:t>
            </w:r>
          </w:p>
        </w:tc>
        <w:tc>
          <w:tcPr>
            <w:tcW w:w="2793" w:type="pct"/>
            <w:vAlign w:val="center"/>
          </w:tcPr>
          <w:p w14:paraId="388F7FC0" w14:textId="77777777" w:rsidR="00F21A3E" w:rsidRPr="00B41614" w:rsidRDefault="00F21A3E" w:rsidP="004C3A51">
            <w:pPr>
              <w:pStyle w:val="In-tableHeading"/>
              <w:keepNext w:val="0"/>
            </w:pPr>
            <w:r w:rsidRPr="00B41614">
              <w:t>Protocol title/ Publication title</w:t>
            </w:r>
          </w:p>
        </w:tc>
        <w:tc>
          <w:tcPr>
            <w:tcW w:w="1392" w:type="pct"/>
            <w:vAlign w:val="center"/>
          </w:tcPr>
          <w:p w14:paraId="7424C1E9" w14:textId="77777777" w:rsidR="00F21A3E" w:rsidRPr="00B41614" w:rsidRDefault="00F21A3E" w:rsidP="004C3A51">
            <w:pPr>
              <w:pStyle w:val="In-tableHeading"/>
              <w:keepNext w:val="0"/>
            </w:pPr>
            <w:r w:rsidRPr="00B41614">
              <w:t>Publication citation</w:t>
            </w:r>
          </w:p>
        </w:tc>
      </w:tr>
      <w:tr w:rsidR="00F21A3E" w:rsidRPr="00CB38A8" w14:paraId="73A0F4D7" w14:textId="77777777" w:rsidTr="00495E3A">
        <w:trPr>
          <w:cantSplit/>
        </w:trPr>
        <w:tc>
          <w:tcPr>
            <w:tcW w:w="815" w:type="pct"/>
            <w:vMerge w:val="restart"/>
            <w:vAlign w:val="center"/>
          </w:tcPr>
          <w:p w14:paraId="6B8A177D" w14:textId="77777777" w:rsidR="00F21A3E" w:rsidRPr="00CB38A8" w:rsidRDefault="00F21A3E" w:rsidP="004C3A51">
            <w:pPr>
              <w:pStyle w:val="TableText0"/>
              <w:keepNext w:val="0"/>
              <w:jc w:val="center"/>
              <w:rPr>
                <w:rFonts w:ascii="Times" w:hAnsi="Times"/>
              </w:rPr>
            </w:pPr>
            <w:r w:rsidRPr="00DB7AC6">
              <w:t>ALK8700-A103</w:t>
            </w:r>
          </w:p>
        </w:tc>
        <w:tc>
          <w:tcPr>
            <w:tcW w:w="2793" w:type="pct"/>
            <w:tcBorders>
              <w:bottom w:val="nil"/>
            </w:tcBorders>
            <w:vAlign w:val="center"/>
          </w:tcPr>
          <w:p w14:paraId="2BB40E99" w14:textId="77777777" w:rsidR="00F21A3E" w:rsidRPr="009C0425" w:rsidRDefault="00F21A3E" w:rsidP="004C3A51">
            <w:pPr>
              <w:pStyle w:val="TableText0"/>
              <w:keepNext w:val="0"/>
            </w:pPr>
            <w:r w:rsidRPr="009C0425">
              <w:t>A Phase 1 Study to Determine the Relative Bioavailability of Monomethyl Fumarate Following Administration of ALKS 8700 and Dimethyl Fumarate in Healthy Subjects. Alkermes Clinical Study Report.</w:t>
            </w:r>
          </w:p>
        </w:tc>
        <w:tc>
          <w:tcPr>
            <w:tcW w:w="1392" w:type="pct"/>
            <w:tcBorders>
              <w:bottom w:val="nil"/>
            </w:tcBorders>
            <w:vAlign w:val="center"/>
          </w:tcPr>
          <w:p w14:paraId="35A0C48C" w14:textId="77777777" w:rsidR="00F21A3E" w:rsidRPr="009C0425" w:rsidRDefault="00F21A3E" w:rsidP="004C3A51">
            <w:pPr>
              <w:pStyle w:val="TableText0"/>
              <w:keepNext w:val="0"/>
            </w:pPr>
            <w:r w:rsidRPr="009C0425">
              <w:t>30 January 2018</w:t>
            </w:r>
          </w:p>
        </w:tc>
      </w:tr>
      <w:tr w:rsidR="00F21A3E" w:rsidRPr="00CB38A8" w14:paraId="1AF3F268" w14:textId="77777777" w:rsidTr="00C9362D">
        <w:trPr>
          <w:cantSplit/>
        </w:trPr>
        <w:tc>
          <w:tcPr>
            <w:tcW w:w="815" w:type="pct"/>
            <w:vMerge/>
            <w:tcBorders>
              <w:bottom w:val="single" w:sz="4" w:space="0" w:color="auto"/>
            </w:tcBorders>
            <w:vAlign w:val="center"/>
          </w:tcPr>
          <w:p w14:paraId="00DDCEFA" w14:textId="77777777" w:rsidR="00F21A3E" w:rsidRPr="00CB38A8" w:rsidRDefault="00F21A3E" w:rsidP="004C3A51">
            <w:pPr>
              <w:pStyle w:val="TableText0"/>
              <w:keepNext w:val="0"/>
              <w:jc w:val="center"/>
            </w:pPr>
          </w:p>
        </w:tc>
        <w:tc>
          <w:tcPr>
            <w:tcW w:w="2793" w:type="pct"/>
            <w:tcBorders>
              <w:top w:val="nil"/>
              <w:bottom w:val="single" w:sz="4" w:space="0" w:color="auto"/>
            </w:tcBorders>
            <w:vAlign w:val="center"/>
          </w:tcPr>
          <w:p w14:paraId="5859EB77" w14:textId="77777777" w:rsidR="00F21A3E" w:rsidRPr="00E34A35" w:rsidRDefault="00F21A3E" w:rsidP="004C3A51">
            <w:pPr>
              <w:pStyle w:val="TableText0"/>
              <w:keepNext w:val="0"/>
            </w:pPr>
            <w:proofErr w:type="spellStart"/>
            <w:r w:rsidRPr="009C0425">
              <w:t>Wehr</w:t>
            </w:r>
            <w:proofErr w:type="spellEnd"/>
            <w:r w:rsidRPr="009C0425">
              <w:t>, A., Hard, M., Yu, M., et al. "Relative Bioavailability of Monomethyl Fumarate after Administration of ALKS 8700 and Dimethyl Fumarate in Healthy Subjects."</w:t>
            </w:r>
          </w:p>
        </w:tc>
        <w:tc>
          <w:tcPr>
            <w:tcW w:w="1392" w:type="pct"/>
            <w:tcBorders>
              <w:top w:val="nil"/>
              <w:bottom w:val="single" w:sz="4" w:space="0" w:color="auto"/>
            </w:tcBorders>
            <w:vAlign w:val="center"/>
          </w:tcPr>
          <w:p w14:paraId="0CAB193D" w14:textId="77777777" w:rsidR="00F21A3E" w:rsidRPr="00E34A35" w:rsidRDefault="00F21A3E" w:rsidP="004C3A51">
            <w:pPr>
              <w:pStyle w:val="TableText0"/>
              <w:keepNext w:val="0"/>
            </w:pPr>
            <w:r w:rsidRPr="009C0425">
              <w:t>Neurology</w:t>
            </w:r>
            <w:r>
              <w:t>. 2018;</w:t>
            </w:r>
            <w:r w:rsidRPr="009C0425">
              <w:t xml:space="preserve"> 90(15)</w:t>
            </w:r>
          </w:p>
        </w:tc>
      </w:tr>
      <w:tr w:rsidR="00F21A3E" w:rsidRPr="00CB38A8" w14:paraId="7384BB92" w14:textId="77777777" w:rsidTr="00C9362D">
        <w:trPr>
          <w:cantSplit/>
        </w:trPr>
        <w:tc>
          <w:tcPr>
            <w:tcW w:w="815" w:type="pct"/>
            <w:tcBorders>
              <w:top w:val="single" w:sz="4" w:space="0" w:color="auto"/>
              <w:left w:val="single" w:sz="4" w:space="0" w:color="auto"/>
              <w:bottom w:val="single" w:sz="4" w:space="0" w:color="auto"/>
              <w:right w:val="single" w:sz="4" w:space="0" w:color="auto"/>
            </w:tcBorders>
            <w:vAlign w:val="center"/>
          </w:tcPr>
          <w:p w14:paraId="1BA750EE" w14:textId="77777777" w:rsidR="00F21A3E" w:rsidRPr="00CB38A8" w:rsidRDefault="00F21A3E" w:rsidP="004C3A51">
            <w:pPr>
              <w:pStyle w:val="TableText0"/>
              <w:keepNext w:val="0"/>
              <w:jc w:val="center"/>
              <w:rPr>
                <w:rFonts w:ascii="Times" w:hAnsi="Times"/>
              </w:rPr>
            </w:pPr>
            <w:r w:rsidRPr="00DB7AC6">
              <w:t>ALK8700-A10</w:t>
            </w:r>
            <w:r>
              <w:t>4</w:t>
            </w:r>
          </w:p>
        </w:tc>
        <w:tc>
          <w:tcPr>
            <w:tcW w:w="2793" w:type="pct"/>
            <w:tcBorders>
              <w:top w:val="single" w:sz="4" w:space="0" w:color="auto"/>
              <w:left w:val="single" w:sz="4" w:space="0" w:color="auto"/>
              <w:bottom w:val="single" w:sz="4" w:space="0" w:color="auto"/>
              <w:right w:val="single" w:sz="4" w:space="0" w:color="auto"/>
            </w:tcBorders>
            <w:vAlign w:val="center"/>
          </w:tcPr>
          <w:p w14:paraId="7CD8896F" w14:textId="77777777" w:rsidR="00F21A3E" w:rsidRPr="000D7EF1" w:rsidRDefault="00F21A3E" w:rsidP="004C3A51">
            <w:pPr>
              <w:pStyle w:val="TableText0"/>
              <w:keepNext w:val="0"/>
            </w:pPr>
            <w:r w:rsidRPr="000D7EF1">
              <w:t xml:space="preserve">A Phase 1 Study </w:t>
            </w:r>
            <w:proofErr w:type="gramStart"/>
            <w:r w:rsidRPr="000D7EF1">
              <w:t>To</w:t>
            </w:r>
            <w:proofErr w:type="gramEnd"/>
            <w:r w:rsidRPr="000D7EF1">
              <w:t xml:space="preserve"> Assess The Comparative Bioavailability of Monomethyl Fumarate Following Administration of ALKS 8700 and Dimethyl Fumarate in Healthy Subjects Under Fed Conditions</w:t>
            </w:r>
          </w:p>
          <w:p w14:paraId="1A1D5266" w14:textId="77777777" w:rsidR="00F21A3E" w:rsidRPr="000D7EF1" w:rsidRDefault="00F21A3E" w:rsidP="004C3A51">
            <w:pPr>
              <w:pStyle w:val="TableText0"/>
              <w:keepNext w:val="0"/>
            </w:pPr>
            <w:r w:rsidRPr="000D7EF1">
              <w:t>Alkermes Clinical Study Report</w:t>
            </w:r>
          </w:p>
        </w:tc>
        <w:tc>
          <w:tcPr>
            <w:tcW w:w="1392" w:type="pct"/>
            <w:tcBorders>
              <w:top w:val="single" w:sz="4" w:space="0" w:color="auto"/>
              <w:left w:val="single" w:sz="4" w:space="0" w:color="auto"/>
              <w:bottom w:val="single" w:sz="4" w:space="0" w:color="auto"/>
              <w:right w:val="single" w:sz="4" w:space="0" w:color="auto"/>
            </w:tcBorders>
            <w:vAlign w:val="center"/>
          </w:tcPr>
          <w:p w14:paraId="71EEDC42" w14:textId="77777777" w:rsidR="00F21A3E" w:rsidRPr="004A2558" w:rsidRDefault="00F21A3E" w:rsidP="004C3A51">
            <w:pPr>
              <w:pStyle w:val="TableText0"/>
              <w:keepNext w:val="0"/>
            </w:pPr>
            <w:r>
              <w:t>13 May 2016</w:t>
            </w:r>
          </w:p>
        </w:tc>
      </w:tr>
      <w:tr w:rsidR="00F21A3E" w:rsidRPr="00CB38A8" w14:paraId="42E8E886" w14:textId="77777777" w:rsidTr="00C9362D">
        <w:trPr>
          <w:cantSplit/>
        </w:trPr>
        <w:tc>
          <w:tcPr>
            <w:tcW w:w="815" w:type="pct"/>
            <w:tcBorders>
              <w:top w:val="single" w:sz="4" w:space="0" w:color="auto"/>
              <w:bottom w:val="single" w:sz="4" w:space="0" w:color="auto"/>
            </w:tcBorders>
            <w:vAlign w:val="center"/>
          </w:tcPr>
          <w:p w14:paraId="461CC9F3" w14:textId="77777777" w:rsidR="00F21A3E" w:rsidRPr="00DB7AC6" w:rsidRDefault="00F21A3E" w:rsidP="004C3A51">
            <w:pPr>
              <w:pStyle w:val="TableText0"/>
              <w:keepNext w:val="0"/>
              <w:jc w:val="center"/>
            </w:pPr>
            <w:bookmarkStart w:id="16" w:name="_Hlk89938463"/>
            <w:r w:rsidRPr="00DB7AC6">
              <w:t>ALK8700-A10</w:t>
            </w:r>
            <w:r>
              <w:t>9</w:t>
            </w:r>
          </w:p>
        </w:tc>
        <w:tc>
          <w:tcPr>
            <w:tcW w:w="2793" w:type="pct"/>
            <w:tcBorders>
              <w:top w:val="single" w:sz="4" w:space="0" w:color="auto"/>
              <w:bottom w:val="single" w:sz="4" w:space="0" w:color="auto"/>
            </w:tcBorders>
            <w:vAlign w:val="center"/>
          </w:tcPr>
          <w:p w14:paraId="597C3722" w14:textId="77777777" w:rsidR="00F21A3E" w:rsidRDefault="00F21A3E" w:rsidP="004C3A51">
            <w:pPr>
              <w:pStyle w:val="TableText0"/>
              <w:keepNext w:val="0"/>
            </w:pPr>
            <w:r>
              <w:t>A Phase 1 Study to Assess the Comparative Bioavailability, Safety and Tolerability of Monomethyl Fumarate Following Administration of ALKS 8700 and Dimethyl Fumarate in Healthy Subjects When Taken with Meals of Varying Fat and Caloric Content.</w:t>
            </w:r>
          </w:p>
          <w:p w14:paraId="0D5BF49D" w14:textId="77777777" w:rsidR="00F21A3E" w:rsidRPr="000D7EF1" w:rsidRDefault="00F21A3E" w:rsidP="004C3A51">
            <w:pPr>
              <w:pStyle w:val="TableText0"/>
              <w:keepNext w:val="0"/>
            </w:pPr>
            <w:r>
              <w:t xml:space="preserve">Alkermes Clinical Study Report. </w:t>
            </w:r>
          </w:p>
        </w:tc>
        <w:tc>
          <w:tcPr>
            <w:tcW w:w="1392" w:type="pct"/>
            <w:tcBorders>
              <w:top w:val="single" w:sz="4" w:space="0" w:color="auto"/>
              <w:bottom w:val="single" w:sz="4" w:space="0" w:color="auto"/>
            </w:tcBorders>
            <w:vAlign w:val="center"/>
          </w:tcPr>
          <w:p w14:paraId="1BC3D5AC" w14:textId="77777777" w:rsidR="00F21A3E" w:rsidRDefault="00F21A3E" w:rsidP="004C3A51">
            <w:pPr>
              <w:pStyle w:val="TableText0"/>
              <w:keepNext w:val="0"/>
            </w:pPr>
            <w:r w:rsidRPr="004202FB">
              <w:t>2 June 2017</w:t>
            </w:r>
          </w:p>
        </w:tc>
      </w:tr>
      <w:bookmarkEnd w:id="16"/>
      <w:tr w:rsidR="00F21A3E" w:rsidRPr="00CB38A8" w14:paraId="0A061124" w14:textId="77777777" w:rsidTr="00495E3A">
        <w:trPr>
          <w:cantSplit/>
        </w:trPr>
        <w:tc>
          <w:tcPr>
            <w:tcW w:w="815" w:type="pct"/>
            <w:vMerge w:val="restart"/>
            <w:vAlign w:val="center"/>
          </w:tcPr>
          <w:p w14:paraId="7C2D29A1" w14:textId="77777777" w:rsidR="00F21A3E" w:rsidRPr="00CB38A8" w:rsidRDefault="00F21A3E" w:rsidP="004C3A51">
            <w:pPr>
              <w:pStyle w:val="TableText0"/>
              <w:keepNext w:val="0"/>
              <w:jc w:val="center"/>
            </w:pPr>
            <w:r>
              <w:t>EVOLVE-MS2</w:t>
            </w:r>
          </w:p>
        </w:tc>
        <w:tc>
          <w:tcPr>
            <w:tcW w:w="2793" w:type="pct"/>
            <w:tcBorders>
              <w:bottom w:val="nil"/>
            </w:tcBorders>
            <w:vAlign w:val="center"/>
          </w:tcPr>
          <w:p w14:paraId="6BA2F43B" w14:textId="77777777" w:rsidR="00F21A3E" w:rsidRPr="007951BA" w:rsidRDefault="00F21A3E" w:rsidP="004C3A51">
            <w:pPr>
              <w:pStyle w:val="TableText0"/>
              <w:keepNext w:val="0"/>
            </w:pPr>
            <w:r w:rsidRPr="007951BA">
              <w:t xml:space="preserve">A Phase 3 Study in Subjects with Relapsing-Remitting Multiple Sclerosis to Evaluate the Tolerability of ALKS 8700 and Dimethyl </w:t>
            </w:r>
            <w:proofErr w:type="spellStart"/>
            <w:r w:rsidRPr="007951BA">
              <w:t>FumarateAlkermes</w:t>
            </w:r>
            <w:proofErr w:type="spellEnd"/>
            <w:r w:rsidRPr="007951BA">
              <w:t xml:space="preserve"> Clinical Study Report</w:t>
            </w:r>
          </w:p>
        </w:tc>
        <w:tc>
          <w:tcPr>
            <w:tcW w:w="1392" w:type="pct"/>
            <w:tcBorders>
              <w:bottom w:val="nil"/>
            </w:tcBorders>
            <w:vAlign w:val="center"/>
          </w:tcPr>
          <w:p w14:paraId="65806741" w14:textId="77777777" w:rsidR="00F21A3E" w:rsidRPr="007951BA" w:rsidRDefault="00F21A3E" w:rsidP="004C3A51">
            <w:pPr>
              <w:pStyle w:val="TableText0"/>
              <w:keepNext w:val="0"/>
            </w:pPr>
            <w:r>
              <w:t>19 November 2019</w:t>
            </w:r>
          </w:p>
        </w:tc>
      </w:tr>
      <w:tr w:rsidR="00F21A3E" w:rsidRPr="00CB38A8" w14:paraId="35DDDFBA" w14:textId="77777777" w:rsidTr="00495E3A">
        <w:trPr>
          <w:cantSplit/>
        </w:trPr>
        <w:tc>
          <w:tcPr>
            <w:tcW w:w="815" w:type="pct"/>
            <w:vMerge/>
            <w:vAlign w:val="center"/>
          </w:tcPr>
          <w:p w14:paraId="25CC5477" w14:textId="77777777" w:rsidR="00F21A3E" w:rsidRPr="00CB38A8" w:rsidRDefault="00F21A3E" w:rsidP="004C3A51">
            <w:pPr>
              <w:pStyle w:val="Tabletext"/>
            </w:pPr>
          </w:p>
        </w:tc>
        <w:tc>
          <w:tcPr>
            <w:tcW w:w="2793" w:type="pct"/>
            <w:tcBorders>
              <w:top w:val="nil"/>
              <w:bottom w:val="nil"/>
            </w:tcBorders>
            <w:vAlign w:val="center"/>
          </w:tcPr>
          <w:p w14:paraId="2AD13086" w14:textId="77777777" w:rsidR="00F21A3E" w:rsidRPr="00AC45E8" w:rsidRDefault="00F21A3E" w:rsidP="004C3A51">
            <w:pPr>
              <w:pStyle w:val="TableText0"/>
              <w:keepNext w:val="0"/>
            </w:pPr>
            <w:r w:rsidRPr="008B77D7">
              <w:rPr>
                <w:lang w:val="de-DE"/>
              </w:rPr>
              <w:t xml:space="preserve">Naismith, R. T., Wundes, A., Ziemssen, T., et al. </w:t>
            </w:r>
            <w:r w:rsidRPr="007951BA">
              <w:t>"Diroximel Fumarate Demonstrates an Improved Gastrointestinal Tolerability Profile Compared with Dimethyl Fumarate in Patients with Relapsing–Remitting Multiple Sclerosis: Results from the Randomized, Double-Blind, Phase III EVOLVE-MS-2 Study."</w:t>
            </w:r>
          </w:p>
        </w:tc>
        <w:tc>
          <w:tcPr>
            <w:tcW w:w="1392" w:type="pct"/>
            <w:tcBorders>
              <w:top w:val="nil"/>
              <w:bottom w:val="nil"/>
            </w:tcBorders>
            <w:vAlign w:val="center"/>
          </w:tcPr>
          <w:p w14:paraId="363F4F9C" w14:textId="77777777" w:rsidR="00F21A3E" w:rsidRPr="00AC45E8" w:rsidRDefault="00F21A3E" w:rsidP="004C3A51">
            <w:pPr>
              <w:pStyle w:val="TableText0"/>
              <w:keepNext w:val="0"/>
            </w:pPr>
            <w:r w:rsidRPr="007951BA">
              <w:t>CNS Drugs</w:t>
            </w:r>
            <w:r>
              <w:t>.</w:t>
            </w:r>
            <w:r w:rsidRPr="007951BA">
              <w:t xml:space="preserve"> 2020</w:t>
            </w:r>
            <w:r>
              <w:t>;</w:t>
            </w:r>
            <w:r w:rsidRPr="007951BA">
              <w:t xml:space="preserve"> 34(2): 185-196</w:t>
            </w:r>
          </w:p>
        </w:tc>
      </w:tr>
      <w:tr w:rsidR="00F21A3E" w:rsidRPr="00CB38A8" w14:paraId="5B581FC0" w14:textId="77777777" w:rsidTr="00495E3A">
        <w:trPr>
          <w:cantSplit/>
        </w:trPr>
        <w:tc>
          <w:tcPr>
            <w:tcW w:w="815" w:type="pct"/>
            <w:vMerge/>
            <w:vAlign w:val="center"/>
          </w:tcPr>
          <w:p w14:paraId="1BDCA40F" w14:textId="77777777" w:rsidR="00F21A3E" w:rsidRPr="00CB38A8" w:rsidRDefault="00F21A3E" w:rsidP="004C3A51">
            <w:pPr>
              <w:pStyle w:val="Tabletext"/>
            </w:pPr>
          </w:p>
        </w:tc>
        <w:tc>
          <w:tcPr>
            <w:tcW w:w="2793" w:type="pct"/>
            <w:tcBorders>
              <w:top w:val="nil"/>
              <w:bottom w:val="nil"/>
            </w:tcBorders>
            <w:vAlign w:val="center"/>
          </w:tcPr>
          <w:p w14:paraId="7A8EA3D8" w14:textId="77777777" w:rsidR="00F21A3E" w:rsidRPr="00E17F9D" w:rsidRDefault="00F21A3E" w:rsidP="004C3A51">
            <w:pPr>
              <w:pStyle w:val="Tabletext"/>
              <w:rPr>
                <w:rFonts w:eastAsiaTheme="majorEastAsia" w:cstheme="majorBidi"/>
                <w:bCs/>
                <w:snapToGrid/>
              </w:rPr>
            </w:pPr>
            <w:r w:rsidRPr="008B77D7">
              <w:rPr>
                <w:rFonts w:eastAsiaTheme="majorEastAsia" w:cstheme="majorBidi"/>
                <w:bCs/>
                <w:snapToGrid/>
                <w:lang w:val="de-DE"/>
              </w:rPr>
              <w:t xml:space="preserve">Wundes, A., Wray, S., Gold, R., et al. </w:t>
            </w:r>
            <w:r w:rsidRPr="00E66E1A">
              <w:rPr>
                <w:rFonts w:eastAsiaTheme="majorEastAsia" w:cstheme="majorBidi"/>
                <w:bCs/>
                <w:snapToGrid/>
              </w:rPr>
              <w:t xml:space="preserve">"Improved gastrointestinal profile with diroximel fumarate is associated with a positive impact on quality of life compared with dimethyl fumarate: results from the randomized, double-blind, phase III EVOLVE-MS-2 study." </w:t>
            </w:r>
            <w:r w:rsidRPr="00E66E1A">
              <w:rPr>
                <w:rFonts w:eastAsiaTheme="majorEastAsia" w:cstheme="majorBidi"/>
                <w:bCs/>
                <w:snapToGrid/>
              </w:rPr>
              <w:fldChar w:fldCharType="begin">
                <w:fldData xml:space="preserve">PEVuZE5vdGU+PENpdGU+PEF1dGhvcj5XdW5kZXM8L0F1dGhvcj48WWVhcj4yMDIxPC9ZZWFyPjxS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</w:fldData>
              </w:fldChar>
            </w:r>
            <w:r w:rsidRPr="00E66E1A">
              <w:rPr>
                <w:rFonts w:eastAsiaTheme="majorEastAsia" w:cstheme="majorBidi"/>
                <w:bCs/>
                <w:snapToGrid/>
              </w:rPr>
              <w:instrText xml:space="preserve"> ADDIN EN.CITE </w:instrText>
            </w:r>
            <w:r w:rsidRPr="00E66E1A">
              <w:rPr>
                <w:rFonts w:eastAsiaTheme="majorEastAsia" w:cstheme="majorBidi"/>
                <w:bCs/>
                <w:snapToGrid/>
              </w:rPr>
              <w:fldChar w:fldCharType="begin">
                <w:fldData xml:space="preserve">PEVuZE5vdGU+PENpdGU+PEF1dGhvcj5XdW5kZXM8L0F1dGhvcj48WWVhcj4yMDIxPC9ZZWFyPjxS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</w:fldData>
              </w:fldChar>
            </w:r>
            <w:r w:rsidRPr="00E66E1A">
              <w:rPr>
                <w:rFonts w:eastAsiaTheme="majorEastAsia" w:cstheme="majorBidi"/>
                <w:bCs/>
                <w:snapToGrid/>
              </w:rPr>
              <w:instrText xml:space="preserve"> ADDIN EN.CITE.DATA </w:instrText>
            </w:r>
            <w:r w:rsidRPr="00E66E1A">
              <w:rPr>
                <w:rFonts w:eastAsiaTheme="majorEastAsia" w:cstheme="majorBidi"/>
                <w:bCs/>
                <w:snapToGrid/>
              </w:rPr>
            </w:r>
            <w:r w:rsidRPr="00E66E1A">
              <w:rPr>
                <w:rFonts w:eastAsiaTheme="majorEastAsia" w:cstheme="majorBidi"/>
                <w:bCs/>
                <w:snapToGrid/>
              </w:rPr>
              <w:fldChar w:fldCharType="end"/>
            </w:r>
            <w:r w:rsidRPr="00E66E1A">
              <w:rPr>
                <w:rFonts w:eastAsiaTheme="majorEastAsia" w:cstheme="majorBidi"/>
                <w:bCs/>
                <w:snapToGrid/>
              </w:rPr>
            </w:r>
            <w:r w:rsidRPr="00E66E1A">
              <w:rPr>
                <w:rFonts w:eastAsiaTheme="majorEastAsia" w:cstheme="majorBidi"/>
                <w:bCs/>
                <w:snapToGrid/>
              </w:rPr>
              <w:fldChar w:fldCharType="end"/>
            </w:r>
            <w:r w:rsidRPr="00E66E1A">
              <w:rPr>
                <w:rFonts w:eastAsiaTheme="majorEastAsia" w:cstheme="majorBidi"/>
                <w:bCs/>
                <w:snapToGrid/>
              </w:rPr>
              <w:t xml:space="preserve"> </w:t>
            </w:r>
          </w:p>
        </w:tc>
        <w:tc>
          <w:tcPr>
            <w:tcW w:w="1392" w:type="pct"/>
            <w:tcBorders>
              <w:top w:val="nil"/>
              <w:bottom w:val="nil"/>
            </w:tcBorders>
            <w:vAlign w:val="center"/>
          </w:tcPr>
          <w:p w14:paraId="4D3091D9" w14:textId="77777777" w:rsidR="00F21A3E" w:rsidRPr="007951BA" w:rsidRDefault="00F21A3E" w:rsidP="004C3A51">
            <w:pPr>
              <w:pStyle w:val="TableText0"/>
              <w:keepNext w:val="0"/>
            </w:pPr>
            <w:r w:rsidRPr="004202FB">
              <w:rPr>
                <w:bCs w:val="0"/>
                <w:snapToGrid w:val="0"/>
              </w:rPr>
              <w:t>Therapeutic Advances in Neurological Disorders</w:t>
            </w:r>
            <w:r>
              <w:rPr>
                <w:bCs w:val="0"/>
                <w:snapToGrid w:val="0"/>
              </w:rPr>
              <w:t>. 2021;</w:t>
            </w:r>
            <w:r w:rsidRPr="004202FB">
              <w:rPr>
                <w:bCs w:val="0"/>
                <w:snapToGrid w:val="0"/>
              </w:rPr>
              <w:t xml:space="preserve"> 14.</w:t>
            </w:r>
          </w:p>
        </w:tc>
      </w:tr>
      <w:tr w:rsidR="00F21A3E" w:rsidRPr="00CB38A8" w14:paraId="7BC98102" w14:textId="77777777" w:rsidTr="00495E3A">
        <w:trPr>
          <w:cantSplit/>
        </w:trPr>
        <w:tc>
          <w:tcPr>
            <w:tcW w:w="815" w:type="pct"/>
            <w:vMerge/>
            <w:vAlign w:val="center"/>
          </w:tcPr>
          <w:p w14:paraId="5EC6F47F" w14:textId="77777777" w:rsidR="00F21A3E" w:rsidRPr="00CB38A8" w:rsidRDefault="00F21A3E" w:rsidP="004C3A51">
            <w:pPr>
              <w:pStyle w:val="Tabletext"/>
            </w:pPr>
          </w:p>
        </w:tc>
        <w:tc>
          <w:tcPr>
            <w:tcW w:w="2793" w:type="pct"/>
            <w:tcBorders>
              <w:top w:val="nil"/>
              <w:bottom w:val="nil"/>
            </w:tcBorders>
            <w:vAlign w:val="center"/>
          </w:tcPr>
          <w:p w14:paraId="119E8D9F" w14:textId="77777777" w:rsidR="00F21A3E" w:rsidRPr="00E17F9D" w:rsidRDefault="00F21A3E" w:rsidP="004C3A51">
            <w:pPr>
              <w:pStyle w:val="Tabletext"/>
              <w:rPr>
                <w:rFonts w:eastAsiaTheme="majorEastAsia" w:cstheme="majorBidi"/>
                <w:bCs/>
                <w:snapToGrid/>
              </w:rPr>
            </w:pPr>
            <w:r w:rsidRPr="00E66E1A">
              <w:rPr>
                <w:rFonts w:eastAsiaTheme="majorEastAsia" w:cstheme="majorBidi"/>
                <w:bCs/>
                <w:snapToGrid/>
              </w:rPr>
              <w:t xml:space="preserve">Naismith, R. T., Leigh-Pemberton, R. A., </w:t>
            </w:r>
            <w:proofErr w:type="spellStart"/>
            <w:r w:rsidRPr="00E66E1A">
              <w:rPr>
                <w:rFonts w:eastAsiaTheme="majorEastAsia" w:cstheme="majorBidi"/>
                <w:bCs/>
                <w:snapToGrid/>
              </w:rPr>
              <w:t>Rezendes</w:t>
            </w:r>
            <w:proofErr w:type="spellEnd"/>
            <w:r w:rsidRPr="00E66E1A">
              <w:rPr>
                <w:rFonts w:eastAsiaTheme="majorEastAsia" w:cstheme="majorBidi"/>
                <w:bCs/>
                <w:snapToGrid/>
              </w:rPr>
              <w:t xml:space="preserve">, D., et al. "EVOLVE-MS-2: A randomized, double-blind, phase 3 study of the gastrointestinal tolerability of ALKS 8700 versus dimethyl fumarate in relapsing-remitting multiple sclerosis." </w:t>
            </w:r>
          </w:p>
        </w:tc>
        <w:tc>
          <w:tcPr>
            <w:tcW w:w="1392" w:type="pct"/>
            <w:tcBorders>
              <w:top w:val="nil"/>
              <w:bottom w:val="nil"/>
            </w:tcBorders>
            <w:vAlign w:val="center"/>
          </w:tcPr>
          <w:p w14:paraId="0AABCC4E" w14:textId="77777777" w:rsidR="00F21A3E" w:rsidRPr="00E17F9D" w:rsidRDefault="00F21A3E" w:rsidP="004C3A51">
            <w:pPr>
              <w:pStyle w:val="TableText0"/>
              <w:keepNext w:val="0"/>
              <w:rPr>
                <w:bCs w:val="0"/>
                <w:snapToGrid w:val="0"/>
              </w:rPr>
            </w:pPr>
            <w:r w:rsidRPr="004202FB">
              <w:rPr>
                <w:bCs w:val="0"/>
                <w:snapToGrid w:val="0"/>
              </w:rPr>
              <w:t>Multiple Sclerosis Journal</w:t>
            </w:r>
            <w:r>
              <w:rPr>
                <w:bCs w:val="0"/>
                <w:snapToGrid w:val="0"/>
              </w:rPr>
              <w:t>. 2017;</w:t>
            </w:r>
            <w:r w:rsidRPr="004202FB">
              <w:rPr>
                <w:bCs w:val="0"/>
                <w:snapToGrid w:val="0"/>
              </w:rPr>
              <w:t xml:space="preserve"> 23(3): 345-346.</w:t>
            </w:r>
          </w:p>
        </w:tc>
      </w:tr>
      <w:tr w:rsidR="00F21A3E" w:rsidRPr="00CB38A8" w14:paraId="6ADF8110" w14:textId="77777777" w:rsidTr="00495E3A">
        <w:trPr>
          <w:cantSplit/>
        </w:trPr>
        <w:tc>
          <w:tcPr>
            <w:tcW w:w="815" w:type="pct"/>
            <w:vMerge/>
            <w:vAlign w:val="center"/>
          </w:tcPr>
          <w:p w14:paraId="7C671E29" w14:textId="77777777" w:rsidR="00F21A3E" w:rsidRPr="00CB38A8" w:rsidRDefault="00F21A3E" w:rsidP="004C3A51">
            <w:pPr>
              <w:pStyle w:val="Tabletext"/>
            </w:pPr>
          </w:p>
        </w:tc>
        <w:tc>
          <w:tcPr>
            <w:tcW w:w="2793" w:type="pct"/>
            <w:tcBorders>
              <w:top w:val="nil"/>
              <w:bottom w:val="nil"/>
            </w:tcBorders>
            <w:vAlign w:val="center"/>
          </w:tcPr>
          <w:p w14:paraId="1AFD1597" w14:textId="77777777" w:rsidR="00F21A3E" w:rsidRPr="007951BA" w:rsidRDefault="00F21A3E" w:rsidP="004C3A51">
            <w:pPr>
              <w:pStyle w:val="TableText0"/>
              <w:keepNext w:val="0"/>
            </w:pPr>
            <w:r w:rsidRPr="0013645E">
              <w:t xml:space="preserve">Naismith, R. T., </w:t>
            </w:r>
            <w:proofErr w:type="spellStart"/>
            <w:r w:rsidRPr="0013645E">
              <w:t>Wolinsky</w:t>
            </w:r>
            <w:proofErr w:type="spellEnd"/>
            <w:r w:rsidRPr="0013645E">
              <w:t xml:space="preserve">, J. S., </w:t>
            </w:r>
            <w:proofErr w:type="spellStart"/>
            <w:r w:rsidRPr="0013645E">
              <w:t>Jasinska</w:t>
            </w:r>
            <w:proofErr w:type="spellEnd"/>
            <w:r w:rsidRPr="0013645E">
              <w:t>, E., et al. "Interference of GI symptoms with daily activities and work productivity in MS patients treated with diroximel fumarate versus dimethyl fumarate."</w:t>
            </w:r>
          </w:p>
        </w:tc>
        <w:tc>
          <w:tcPr>
            <w:tcW w:w="1392" w:type="pct"/>
            <w:tcBorders>
              <w:top w:val="nil"/>
              <w:bottom w:val="nil"/>
            </w:tcBorders>
            <w:vAlign w:val="center"/>
          </w:tcPr>
          <w:p w14:paraId="7A31FDB8" w14:textId="77777777" w:rsidR="00F21A3E" w:rsidRPr="007951BA" w:rsidRDefault="00F21A3E" w:rsidP="004C3A51">
            <w:pPr>
              <w:pStyle w:val="TableText0"/>
              <w:keepNext w:val="0"/>
            </w:pPr>
            <w:r w:rsidRPr="006A617D">
              <w:rPr>
                <w:szCs w:val="18"/>
              </w:rPr>
              <w:t>Multiple Sclerosis Journal</w:t>
            </w:r>
            <w:r>
              <w:rPr>
                <w:szCs w:val="18"/>
              </w:rPr>
              <w:t>. 2020;</w:t>
            </w:r>
            <w:r w:rsidRPr="006A617D">
              <w:rPr>
                <w:szCs w:val="18"/>
              </w:rPr>
              <w:t xml:space="preserve"> 26(1 SUPPL): 138-139</w:t>
            </w:r>
          </w:p>
        </w:tc>
      </w:tr>
      <w:tr w:rsidR="00F21A3E" w:rsidRPr="00CB38A8" w14:paraId="2428D084" w14:textId="77777777" w:rsidTr="00495E3A">
        <w:trPr>
          <w:cantSplit/>
        </w:trPr>
        <w:tc>
          <w:tcPr>
            <w:tcW w:w="815" w:type="pct"/>
            <w:vMerge/>
            <w:vAlign w:val="center"/>
          </w:tcPr>
          <w:p w14:paraId="1B674185" w14:textId="77777777" w:rsidR="00F21A3E" w:rsidRPr="00CB38A8" w:rsidRDefault="00F21A3E" w:rsidP="004C3A51">
            <w:pPr>
              <w:pStyle w:val="Tabletext"/>
            </w:pPr>
          </w:p>
        </w:tc>
        <w:tc>
          <w:tcPr>
            <w:tcW w:w="2793" w:type="pct"/>
            <w:tcBorders>
              <w:top w:val="nil"/>
              <w:bottom w:val="nil"/>
            </w:tcBorders>
            <w:vAlign w:val="center"/>
          </w:tcPr>
          <w:p w14:paraId="634944C9" w14:textId="77777777" w:rsidR="00F21A3E" w:rsidRPr="007951BA" w:rsidRDefault="00F21A3E" w:rsidP="004C3A51">
            <w:pPr>
              <w:pStyle w:val="TableText0"/>
              <w:keepNext w:val="0"/>
            </w:pPr>
            <w:proofErr w:type="spellStart"/>
            <w:r w:rsidRPr="00E66E1A">
              <w:t>Wundes</w:t>
            </w:r>
            <w:proofErr w:type="spellEnd"/>
            <w:r w:rsidRPr="00E66E1A">
              <w:t xml:space="preserve">, A., </w:t>
            </w:r>
            <w:proofErr w:type="spellStart"/>
            <w:r w:rsidRPr="00E66E1A">
              <w:t>Wolinsky</w:t>
            </w:r>
            <w:proofErr w:type="spellEnd"/>
            <w:r w:rsidRPr="00E66E1A">
              <w:t xml:space="preserve">, J. S., Wray, S., et al. "Improved gastrointestinal tolerability profile with diroximel fumarate compared to dimethyl fumarate in relapsing </w:t>
            </w:r>
            <w:proofErr w:type="spellStart"/>
            <w:r w:rsidRPr="00E66E1A">
              <w:t>ms</w:t>
            </w:r>
            <w:proofErr w:type="spellEnd"/>
            <w:r w:rsidRPr="00E66E1A">
              <w:t xml:space="preserve"> patients." </w:t>
            </w:r>
          </w:p>
        </w:tc>
        <w:tc>
          <w:tcPr>
            <w:tcW w:w="1392" w:type="pct"/>
            <w:tcBorders>
              <w:top w:val="nil"/>
              <w:bottom w:val="nil"/>
            </w:tcBorders>
            <w:vAlign w:val="center"/>
          </w:tcPr>
          <w:p w14:paraId="0CE0B913" w14:textId="77777777" w:rsidR="00F21A3E" w:rsidRPr="007951BA" w:rsidRDefault="00F21A3E" w:rsidP="004C3A51">
            <w:pPr>
              <w:pStyle w:val="TableText0"/>
              <w:keepNext w:val="0"/>
            </w:pPr>
            <w:r w:rsidRPr="004202FB">
              <w:rPr>
                <w:bCs w:val="0"/>
                <w:snapToGrid w:val="0"/>
              </w:rPr>
              <w:t>Neurology</w:t>
            </w:r>
            <w:r>
              <w:rPr>
                <w:bCs w:val="0"/>
                <w:snapToGrid w:val="0"/>
              </w:rPr>
              <w:t>. 2020;</w:t>
            </w:r>
            <w:r w:rsidRPr="004202FB">
              <w:rPr>
                <w:bCs w:val="0"/>
                <w:snapToGrid w:val="0"/>
              </w:rPr>
              <w:t xml:space="preserve"> 94(15).</w:t>
            </w:r>
          </w:p>
        </w:tc>
      </w:tr>
      <w:tr w:rsidR="00F21A3E" w:rsidRPr="00CB38A8" w14:paraId="3AF2266E" w14:textId="77777777" w:rsidTr="00495E3A">
        <w:trPr>
          <w:cantSplit/>
        </w:trPr>
        <w:tc>
          <w:tcPr>
            <w:tcW w:w="815" w:type="pct"/>
            <w:vMerge/>
            <w:tcBorders>
              <w:bottom w:val="single" w:sz="4" w:space="0" w:color="auto"/>
            </w:tcBorders>
            <w:vAlign w:val="center"/>
          </w:tcPr>
          <w:p w14:paraId="4CD41DC9" w14:textId="77777777" w:rsidR="00F21A3E" w:rsidRPr="00CB38A8" w:rsidRDefault="00F21A3E" w:rsidP="004C3A51">
            <w:pPr>
              <w:pStyle w:val="Tabletext"/>
            </w:pPr>
          </w:p>
        </w:tc>
        <w:tc>
          <w:tcPr>
            <w:tcW w:w="2793" w:type="pct"/>
            <w:tcBorders>
              <w:top w:val="nil"/>
              <w:bottom w:val="single" w:sz="4" w:space="0" w:color="auto"/>
            </w:tcBorders>
            <w:vAlign w:val="center"/>
          </w:tcPr>
          <w:p w14:paraId="00878CF4" w14:textId="77777777" w:rsidR="00F21A3E" w:rsidRPr="007951BA" w:rsidRDefault="00F21A3E" w:rsidP="004C3A51">
            <w:pPr>
              <w:pStyle w:val="TableText0"/>
              <w:keepNext w:val="0"/>
            </w:pPr>
            <w:r w:rsidRPr="008B77D7">
              <w:rPr>
                <w:lang w:val="de-DE"/>
              </w:rPr>
              <w:t xml:space="preserve">Wundes, A., Wray, S., Jasinska, E., et al. </w:t>
            </w:r>
            <w:r w:rsidRPr="00E66E1A">
              <w:t xml:space="preserve">"Improved </w:t>
            </w:r>
            <w:proofErr w:type="spellStart"/>
            <w:r w:rsidRPr="00E66E1A">
              <w:t>gi</w:t>
            </w:r>
            <w:proofErr w:type="spellEnd"/>
            <w:r w:rsidRPr="00E66E1A">
              <w:t xml:space="preserve"> tolerability with diroximel fumarate is associated with clinically meaningful benefits on </w:t>
            </w:r>
            <w:proofErr w:type="spellStart"/>
            <w:r w:rsidRPr="00E66E1A">
              <w:t>qol</w:t>
            </w:r>
            <w:proofErr w:type="spellEnd"/>
            <w:r w:rsidRPr="00E66E1A">
              <w:t xml:space="preserve"> compared to dimethyl fumarate in evolve-MS-2.</w:t>
            </w:r>
            <w:r>
              <w:t>”</w:t>
            </w:r>
            <w:r w:rsidRPr="00E66E1A">
              <w:t xml:space="preserve"> </w:t>
            </w:r>
            <w:r w:rsidRPr="00E66E1A">
              <w:rPr>
                <w:bCs w:val="0"/>
              </w:rPr>
              <w:fldChar w:fldCharType="begin">
                <w:fldData xml:space="preserve">PEVuZE5vdGU+PENpdGU+PEF1dGhvcj5XdW5kZXM8L0F1dGhvcj48WWVhcj4yMDIwPC9ZZWFyPjxS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</w:fldData>
              </w:fldChar>
            </w:r>
            <w:r w:rsidRPr="00E66E1A">
              <w:instrText xml:space="preserve"> ADDIN EN.CITE </w:instrText>
            </w:r>
            <w:r w:rsidRPr="00E66E1A">
              <w:rPr>
                <w:bCs w:val="0"/>
              </w:rPr>
              <w:fldChar w:fldCharType="begin">
                <w:fldData xml:space="preserve">PEVuZE5vdGU+PENpdGU+PEF1dGhvcj5XdW5kZXM8L0F1dGhvcj48WWVhcj4yMDIwPC9ZZWFyPjxS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</w:fldData>
              </w:fldChar>
            </w:r>
            <w:r w:rsidRPr="00E66E1A">
              <w:instrText xml:space="preserve"> ADDIN EN.CITE.DATA </w:instrText>
            </w:r>
            <w:r w:rsidRPr="00E66E1A">
              <w:rPr>
                <w:bCs w:val="0"/>
              </w:rPr>
            </w:r>
            <w:r w:rsidRPr="00E66E1A">
              <w:rPr>
                <w:bCs w:val="0"/>
              </w:rPr>
              <w:fldChar w:fldCharType="end"/>
            </w:r>
            <w:r w:rsidRPr="00E66E1A">
              <w:rPr>
                <w:bCs w:val="0"/>
              </w:rPr>
            </w:r>
            <w:r w:rsidRPr="00E66E1A">
              <w:rPr>
                <w:bCs w:val="0"/>
              </w:rPr>
              <w:fldChar w:fldCharType="end"/>
            </w:r>
            <w:r w:rsidRPr="00E66E1A">
              <w:t xml:space="preserve"> </w:t>
            </w:r>
          </w:p>
        </w:tc>
        <w:tc>
          <w:tcPr>
            <w:tcW w:w="1392" w:type="pct"/>
            <w:tcBorders>
              <w:top w:val="nil"/>
              <w:bottom w:val="single" w:sz="4" w:space="0" w:color="auto"/>
            </w:tcBorders>
            <w:vAlign w:val="center"/>
          </w:tcPr>
          <w:p w14:paraId="6B371374" w14:textId="77777777" w:rsidR="00F21A3E" w:rsidRPr="007951BA" w:rsidRDefault="00F21A3E" w:rsidP="004C3A51">
            <w:pPr>
              <w:pStyle w:val="TableText0"/>
              <w:keepNext w:val="0"/>
            </w:pPr>
            <w:r w:rsidRPr="004202FB">
              <w:rPr>
                <w:bCs w:val="0"/>
                <w:snapToGrid w:val="0"/>
              </w:rPr>
              <w:t>Multiple Sclerosis Journal</w:t>
            </w:r>
            <w:r>
              <w:rPr>
                <w:bCs w:val="0"/>
                <w:snapToGrid w:val="0"/>
              </w:rPr>
              <w:t>. 2020;</w:t>
            </w:r>
            <w:r w:rsidRPr="004202FB">
              <w:rPr>
                <w:bCs w:val="0"/>
                <w:snapToGrid w:val="0"/>
              </w:rPr>
              <w:t xml:space="preserve"> 26(3 SUPPL): 221-222</w:t>
            </w:r>
          </w:p>
        </w:tc>
      </w:tr>
      <w:tr w:rsidR="00F21A3E" w14:paraId="251FEB0D" w14:textId="77777777" w:rsidTr="00495E3A">
        <w:trPr>
          <w:cantSplit/>
        </w:trPr>
        <w:tc>
          <w:tcPr>
            <w:tcW w:w="815" w:type="pct"/>
            <w:tcBorders>
              <w:top w:val="single" w:sz="4" w:space="0" w:color="auto"/>
              <w:bottom w:val="nil"/>
            </w:tcBorders>
            <w:vAlign w:val="center"/>
          </w:tcPr>
          <w:p w14:paraId="76B90E84" w14:textId="77777777" w:rsidR="00F21A3E" w:rsidRPr="007C2FAB" w:rsidRDefault="00F21A3E" w:rsidP="004C3A51">
            <w:pPr>
              <w:pStyle w:val="TableText0"/>
              <w:keepNext w:val="0"/>
              <w:jc w:val="center"/>
              <w:rPr>
                <w:b/>
                <w:bCs w:val="0"/>
              </w:rPr>
            </w:pPr>
            <w:r>
              <w:rPr>
                <w:b/>
                <w:bCs w:val="0"/>
              </w:rPr>
              <w:t>Supportive data</w:t>
            </w:r>
          </w:p>
          <w:p w14:paraId="346EE5E0" w14:textId="77777777" w:rsidR="00F21A3E" w:rsidRPr="00DB7AC6" w:rsidRDefault="00F21A3E" w:rsidP="004C3A51">
            <w:pPr>
              <w:pStyle w:val="TableText0"/>
              <w:keepNext w:val="0"/>
              <w:jc w:val="center"/>
            </w:pPr>
            <w:r>
              <w:t>EVOLVE-MS-1 and DEFINE/CONFIRM</w:t>
            </w:r>
          </w:p>
        </w:tc>
        <w:tc>
          <w:tcPr>
            <w:tcW w:w="2793" w:type="pct"/>
            <w:tcBorders>
              <w:top w:val="single" w:sz="4" w:space="0" w:color="auto"/>
              <w:bottom w:val="nil"/>
            </w:tcBorders>
            <w:vAlign w:val="center"/>
          </w:tcPr>
          <w:p w14:paraId="1D758909" w14:textId="77777777" w:rsidR="00F21A3E" w:rsidRPr="00A65209" w:rsidRDefault="00F21A3E" w:rsidP="004C3A51">
            <w:pPr>
              <w:pStyle w:val="TableText0"/>
              <w:keepNext w:val="0"/>
              <w:rPr>
                <w:rFonts w:cstheme="minorHAnsi"/>
              </w:rPr>
            </w:pPr>
            <w:r w:rsidRPr="00192B7D">
              <w:rPr>
                <w:rFonts w:cstheme="minorHAnsi"/>
              </w:rPr>
              <w:t>Wu, F., Gold, R., Freedman, M. S., et al. "Efficacy outcomes for diroximel fumarate compared with dimethyl fumarate: A propensity score matched analysis of EVOLVE-MS-1 and DEFINE/CONFIRM."</w:t>
            </w:r>
          </w:p>
        </w:tc>
        <w:tc>
          <w:tcPr>
            <w:tcW w:w="1392" w:type="pct"/>
            <w:tcBorders>
              <w:top w:val="single" w:sz="4" w:space="0" w:color="auto"/>
              <w:bottom w:val="nil"/>
            </w:tcBorders>
            <w:vAlign w:val="center"/>
          </w:tcPr>
          <w:p w14:paraId="4116DCC3" w14:textId="77777777" w:rsidR="00F21A3E" w:rsidRPr="00A65209" w:rsidRDefault="00F21A3E" w:rsidP="004C3A51">
            <w:pPr>
              <w:pStyle w:val="TableText0"/>
              <w:keepNext w:val="0"/>
              <w:rPr>
                <w:rFonts w:cstheme="minorHAnsi"/>
              </w:rPr>
            </w:pPr>
            <w:r w:rsidRPr="00192B7D">
              <w:rPr>
                <w:rFonts w:cstheme="minorHAnsi"/>
              </w:rPr>
              <w:t>European Journal of Neurology</w:t>
            </w:r>
            <w:r>
              <w:rPr>
                <w:rFonts w:cstheme="minorHAnsi"/>
              </w:rPr>
              <w:t>. 2019;</w:t>
            </w:r>
            <w:r w:rsidRPr="00192B7D">
              <w:rPr>
                <w:rFonts w:cstheme="minorHAnsi"/>
              </w:rPr>
              <w:t xml:space="preserve"> 26: 680-681.</w:t>
            </w:r>
          </w:p>
        </w:tc>
      </w:tr>
      <w:tr w:rsidR="00F21A3E" w14:paraId="6A9E0A9A" w14:textId="77777777" w:rsidTr="00495E3A">
        <w:trPr>
          <w:cantSplit/>
        </w:trPr>
        <w:tc>
          <w:tcPr>
            <w:tcW w:w="815" w:type="pct"/>
            <w:vMerge w:val="restart"/>
            <w:tcBorders>
              <w:top w:val="nil"/>
            </w:tcBorders>
            <w:vAlign w:val="center"/>
          </w:tcPr>
          <w:p w14:paraId="54890CC4" w14:textId="77777777" w:rsidR="00F21A3E" w:rsidRPr="00A65209" w:rsidRDefault="00F21A3E" w:rsidP="004C3A51">
            <w:pPr>
              <w:pStyle w:val="TableText0"/>
              <w:keepNext w:val="0"/>
              <w:jc w:val="center"/>
            </w:pPr>
            <w:r>
              <w:t>EVOLVE-MS-1</w:t>
            </w:r>
          </w:p>
        </w:tc>
        <w:tc>
          <w:tcPr>
            <w:tcW w:w="2793" w:type="pct"/>
            <w:tcBorders>
              <w:top w:val="nil"/>
              <w:bottom w:val="nil"/>
            </w:tcBorders>
            <w:shd w:val="clear" w:color="auto" w:fill="FFFFFF" w:themeFill="background1"/>
            <w:vAlign w:val="center"/>
          </w:tcPr>
          <w:p w14:paraId="28BB9A24" w14:textId="77777777" w:rsidR="00F21A3E" w:rsidRPr="00A65209" w:rsidRDefault="00F21A3E" w:rsidP="004C3A51">
            <w:pPr>
              <w:pStyle w:val="TableText0"/>
              <w:keepNext w:val="0"/>
              <w:rPr>
                <w:rFonts w:cstheme="minorHAnsi"/>
              </w:rPr>
            </w:pPr>
            <w:r w:rsidRPr="00A65209">
              <w:rPr>
                <w:rFonts w:cstheme="minorHAnsi"/>
              </w:rPr>
              <w:t>A Phase 3 Open Label Study to Evaluate the Long-term Safety and Tolerability of ALKS 8700 in Adults with Relapsing Remitting Multiple Sclerosis</w:t>
            </w:r>
          </w:p>
          <w:p w14:paraId="60D26CBC" w14:textId="77777777" w:rsidR="00F21A3E" w:rsidRDefault="00F21A3E" w:rsidP="004C3A51">
            <w:pPr>
              <w:pStyle w:val="TableText0"/>
              <w:keepNext w:val="0"/>
              <w:rPr>
                <w:rFonts w:cstheme="minorHAnsi"/>
              </w:rPr>
            </w:pPr>
            <w:r w:rsidRPr="00A65209">
              <w:rPr>
                <w:rFonts w:cstheme="minorHAnsi"/>
              </w:rPr>
              <w:t>Biogen Clinical Study Report</w:t>
            </w:r>
          </w:p>
          <w:p w14:paraId="40150FE0" w14:textId="39788D53" w:rsidR="004C3A51" w:rsidRPr="00A65209" w:rsidRDefault="004C3A51" w:rsidP="004C3A51">
            <w:pPr>
              <w:pStyle w:val="TableText0"/>
              <w:keepNext w:val="0"/>
              <w:rPr>
                <w:rFonts w:cstheme="minorHAnsi"/>
              </w:rPr>
            </w:pPr>
          </w:p>
        </w:tc>
        <w:tc>
          <w:tcPr>
            <w:tcW w:w="1392" w:type="pct"/>
            <w:tcBorders>
              <w:top w:val="nil"/>
              <w:bottom w:val="nil"/>
            </w:tcBorders>
            <w:vAlign w:val="center"/>
          </w:tcPr>
          <w:p w14:paraId="030ED214" w14:textId="77777777" w:rsidR="00F21A3E" w:rsidRPr="00A65209" w:rsidRDefault="00F21A3E" w:rsidP="004C3A51">
            <w:pPr>
              <w:pStyle w:val="TableText0"/>
              <w:keepNext w:val="0"/>
              <w:rPr>
                <w:rFonts w:cstheme="minorHAnsi"/>
              </w:rPr>
            </w:pPr>
            <w:r w:rsidRPr="00A65209">
              <w:rPr>
                <w:rFonts w:cstheme="minorHAnsi"/>
              </w:rPr>
              <w:t>4 March 2021</w:t>
            </w:r>
          </w:p>
        </w:tc>
      </w:tr>
      <w:tr w:rsidR="00F21A3E" w14:paraId="0B6CB784" w14:textId="77777777" w:rsidTr="00495E3A">
        <w:trPr>
          <w:cantSplit/>
        </w:trPr>
        <w:tc>
          <w:tcPr>
            <w:tcW w:w="815" w:type="pct"/>
            <w:vMerge/>
            <w:tcBorders>
              <w:bottom w:val="single" w:sz="4" w:space="0" w:color="auto"/>
            </w:tcBorders>
            <w:vAlign w:val="center"/>
          </w:tcPr>
          <w:p w14:paraId="4C099EC6" w14:textId="77777777" w:rsidR="00F21A3E" w:rsidRDefault="00F21A3E" w:rsidP="004C3A51">
            <w:pPr>
              <w:pStyle w:val="TableText0"/>
              <w:keepNext w:val="0"/>
              <w:jc w:val="center"/>
            </w:pPr>
          </w:p>
        </w:tc>
        <w:tc>
          <w:tcPr>
            <w:tcW w:w="2793" w:type="pct"/>
            <w:tcBorders>
              <w:top w:val="nil"/>
              <w:bottom w:val="single" w:sz="4" w:space="0" w:color="auto"/>
            </w:tcBorders>
            <w:shd w:val="clear" w:color="auto" w:fill="FFFFFF" w:themeFill="background1"/>
            <w:vAlign w:val="center"/>
          </w:tcPr>
          <w:p w14:paraId="281CE0D5" w14:textId="77777777" w:rsidR="00F21A3E" w:rsidRPr="00BD7458" w:rsidRDefault="00F21A3E" w:rsidP="004C3A51">
            <w:pPr>
              <w:pStyle w:val="TableText0"/>
              <w:keepNext w:val="0"/>
              <w:rPr>
                <w:rFonts w:cstheme="minorHAnsi"/>
                <w:i/>
                <w:iCs/>
              </w:rPr>
            </w:pPr>
            <w:r w:rsidRPr="00BD7458">
              <w:rPr>
                <w:i/>
                <w:iCs/>
              </w:rPr>
              <w:t xml:space="preserve">Wray S, Singer BA, </w:t>
            </w:r>
            <w:proofErr w:type="spellStart"/>
            <w:r w:rsidRPr="00BD7458">
              <w:rPr>
                <w:i/>
                <w:iCs/>
              </w:rPr>
              <w:t>Drulovic</w:t>
            </w:r>
            <w:proofErr w:type="spellEnd"/>
            <w:r w:rsidRPr="00BD7458">
              <w:rPr>
                <w:i/>
                <w:iCs/>
              </w:rPr>
              <w:t xml:space="preserve"> J, Chen H, Hanna J, Lyons J, Bergh FT, Kapadia S, </w:t>
            </w:r>
            <w:proofErr w:type="spellStart"/>
            <w:r w:rsidRPr="00BD7458">
              <w:rPr>
                <w:i/>
                <w:iCs/>
              </w:rPr>
              <w:t>Negroski</w:t>
            </w:r>
            <w:proofErr w:type="spellEnd"/>
            <w:r w:rsidRPr="00BD7458">
              <w:rPr>
                <w:i/>
                <w:iCs/>
              </w:rPr>
              <w:t xml:space="preserve"> D.I. Interim Safety and Efficacy Outcomes in Patients </w:t>
            </w:r>
            <w:proofErr w:type="gramStart"/>
            <w:r w:rsidRPr="00BD7458">
              <w:rPr>
                <w:i/>
                <w:iCs/>
              </w:rPr>
              <w:t>With</w:t>
            </w:r>
            <w:proofErr w:type="gramEnd"/>
            <w:r w:rsidRPr="00BD7458">
              <w:rPr>
                <w:i/>
                <w:iCs/>
              </w:rPr>
              <w:t xml:space="preserve"> Relapsing-Remitting Multiple Sclerosis who Received Diroximel Fumarate for Up to 2 Years.</w:t>
            </w:r>
          </w:p>
        </w:tc>
        <w:tc>
          <w:tcPr>
            <w:tcW w:w="1392" w:type="pct"/>
            <w:tcBorders>
              <w:top w:val="nil"/>
              <w:bottom w:val="single" w:sz="4" w:space="0" w:color="auto"/>
            </w:tcBorders>
            <w:vAlign w:val="center"/>
          </w:tcPr>
          <w:p w14:paraId="76EA091E" w14:textId="77777777" w:rsidR="00F21A3E" w:rsidRPr="00A65209" w:rsidRDefault="00F21A3E" w:rsidP="004C3A51">
            <w:pPr>
              <w:pStyle w:val="TableText0"/>
              <w:keepNext w:val="0"/>
              <w:rPr>
                <w:rFonts w:cstheme="minorHAnsi"/>
              </w:rPr>
            </w:pPr>
            <w:r w:rsidRPr="00462F4E">
              <w:rPr>
                <w:bCs w:val="0"/>
                <w:i/>
                <w:iCs/>
                <w:snapToGrid w:val="0"/>
              </w:rPr>
              <w:t>Neurology</w:t>
            </w:r>
            <w:r>
              <w:rPr>
                <w:bCs w:val="0"/>
                <w:i/>
                <w:iCs/>
                <w:snapToGrid w:val="0"/>
              </w:rPr>
              <w:t>. 2020;</w:t>
            </w:r>
            <w:r w:rsidRPr="00462F4E">
              <w:rPr>
                <w:bCs w:val="0"/>
                <w:i/>
                <w:iCs/>
                <w:snapToGrid w:val="0"/>
              </w:rPr>
              <w:t xml:space="preserve"> 96(15).</w:t>
            </w:r>
          </w:p>
        </w:tc>
      </w:tr>
    </w:tbl>
    <w:p w14:paraId="64C900EB" w14:textId="2FDFBE32" w:rsidR="00F21A3E" w:rsidRPr="00B1011F" w:rsidRDefault="00F21A3E" w:rsidP="004C3A51">
      <w:pPr>
        <w:pStyle w:val="TableFigureFooter"/>
        <w:rPr>
          <w:sz w:val="20"/>
        </w:rPr>
      </w:pPr>
      <w:r>
        <w:t>Source:</w:t>
      </w:r>
      <w:r w:rsidRPr="00B43E10">
        <w:t xml:space="preserve"> </w:t>
      </w:r>
      <w:r>
        <w:t xml:space="preserve">Table 2.2.2, pp62-63 </w:t>
      </w:r>
      <w:r w:rsidRPr="00D13A3E">
        <w:t xml:space="preserve">of the </w:t>
      </w:r>
      <w:r w:rsidR="005840D2">
        <w:t>s</w:t>
      </w:r>
      <w:r w:rsidR="00A23FDF">
        <w:t>ubmission</w:t>
      </w:r>
      <w:r>
        <w:t>.</w:t>
      </w:r>
    </w:p>
    <w:p w14:paraId="0E351988" w14:textId="3E5D7704" w:rsidR="00F21A3E" w:rsidRPr="00EC5836" w:rsidRDefault="00F21A3E" w:rsidP="00F21A3E">
      <w:pPr>
        <w:pStyle w:val="3-BodyText"/>
        <w:rPr>
          <w:color w:val="0066FF"/>
        </w:rPr>
      </w:pPr>
      <w:r w:rsidRPr="00B50DB8">
        <w:t xml:space="preserve">The key features of the </w:t>
      </w:r>
      <w:r>
        <w:t>clinical trials</w:t>
      </w:r>
      <w:r w:rsidRPr="00B50DB8">
        <w:t xml:space="preserve"> are summarised in the </w:t>
      </w:r>
      <w:r w:rsidR="005840D2">
        <w:t>T</w:t>
      </w:r>
      <w:r w:rsidRPr="00B50DB8">
        <w:t xml:space="preserve">able </w:t>
      </w:r>
      <w:r w:rsidR="005840D2">
        <w:t>2</w:t>
      </w:r>
      <w:r w:rsidRPr="00B50DB8">
        <w:t>.</w:t>
      </w:r>
      <w:r>
        <w:t xml:space="preserve"> </w:t>
      </w:r>
    </w:p>
    <w:p w14:paraId="6084CA45" w14:textId="6ED34077" w:rsidR="00672337" w:rsidRDefault="00672337" w:rsidP="00C9362D">
      <w:pPr>
        <w:pStyle w:val="Caption"/>
        <w:keepLines/>
      </w:pPr>
      <w:r>
        <w:t xml:space="preserve">Table </w:t>
      </w:r>
      <w:fldSimple w:instr=" SEQ Table \* ARABIC ">
        <w:r w:rsidR="00756CE2">
          <w:rPr>
            <w:noProof/>
          </w:rPr>
          <w:t>3</w:t>
        </w:r>
      </w:fldSimple>
      <w:r>
        <w:t xml:space="preserve">: </w:t>
      </w:r>
      <w:r w:rsidRPr="00FE6C36">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821"/>
        <w:gridCol w:w="1390"/>
        <w:gridCol w:w="1102"/>
        <w:gridCol w:w="956"/>
        <w:gridCol w:w="2126"/>
        <w:gridCol w:w="1225"/>
      </w:tblGrid>
      <w:tr w:rsidR="00F21A3E" w:rsidRPr="00D84436" w14:paraId="611133AA" w14:textId="77777777" w:rsidTr="00495E3A">
        <w:trPr>
          <w:cantSplit/>
          <w:tblHeader/>
        </w:trPr>
        <w:tc>
          <w:tcPr>
            <w:tcW w:w="775" w:type="pct"/>
            <w:shd w:val="clear" w:color="auto" w:fill="auto"/>
            <w:vAlign w:val="center"/>
          </w:tcPr>
          <w:p w14:paraId="3841882A" w14:textId="77777777" w:rsidR="00F21A3E" w:rsidRPr="00D84436" w:rsidRDefault="00F21A3E" w:rsidP="00C9362D">
            <w:pPr>
              <w:pStyle w:val="In-tableHeading"/>
              <w:keepLines/>
              <w:rPr>
                <w:lang w:val="en-AU"/>
              </w:rPr>
            </w:pPr>
            <w:r w:rsidRPr="00D84436">
              <w:rPr>
                <w:lang w:val="en-AU"/>
              </w:rPr>
              <w:t>Trial</w:t>
            </w:r>
          </w:p>
        </w:tc>
        <w:tc>
          <w:tcPr>
            <w:tcW w:w="455" w:type="pct"/>
            <w:shd w:val="clear" w:color="auto" w:fill="auto"/>
            <w:vAlign w:val="center"/>
          </w:tcPr>
          <w:p w14:paraId="451177BE" w14:textId="77777777" w:rsidR="00F21A3E" w:rsidRPr="00D84436" w:rsidRDefault="00F21A3E" w:rsidP="00C9362D">
            <w:pPr>
              <w:pStyle w:val="In-tableHeading"/>
              <w:keepLines/>
              <w:jc w:val="center"/>
              <w:rPr>
                <w:lang w:val="en-AU"/>
              </w:rPr>
            </w:pPr>
            <w:r w:rsidRPr="00D84436">
              <w:rPr>
                <w:lang w:val="en-AU"/>
              </w:rPr>
              <w:t>N</w:t>
            </w:r>
          </w:p>
        </w:tc>
        <w:tc>
          <w:tcPr>
            <w:tcW w:w="771" w:type="pct"/>
            <w:shd w:val="clear" w:color="auto" w:fill="auto"/>
            <w:vAlign w:val="center"/>
          </w:tcPr>
          <w:p w14:paraId="4A2B8E9D" w14:textId="77777777" w:rsidR="00F21A3E" w:rsidRPr="00D84436" w:rsidRDefault="00F21A3E" w:rsidP="00C9362D">
            <w:pPr>
              <w:pStyle w:val="In-tableHeading"/>
              <w:keepLines/>
              <w:jc w:val="center"/>
              <w:rPr>
                <w:lang w:val="en-AU"/>
              </w:rPr>
            </w:pPr>
            <w:r w:rsidRPr="00D84436">
              <w:rPr>
                <w:lang w:val="en-AU"/>
              </w:rPr>
              <w:t>Design/ duration</w:t>
            </w:r>
          </w:p>
        </w:tc>
        <w:tc>
          <w:tcPr>
            <w:tcW w:w="611" w:type="pct"/>
            <w:shd w:val="clear" w:color="auto" w:fill="auto"/>
            <w:vAlign w:val="center"/>
          </w:tcPr>
          <w:p w14:paraId="040AE7AB" w14:textId="77777777" w:rsidR="00F21A3E" w:rsidRPr="00D84436" w:rsidRDefault="00F21A3E" w:rsidP="00C9362D">
            <w:pPr>
              <w:pStyle w:val="In-tableHeading"/>
              <w:keepLines/>
              <w:jc w:val="center"/>
              <w:rPr>
                <w:lang w:val="en-AU"/>
              </w:rPr>
            </w:pPr>
            <w:r w:rsidRPr="00D84436">
              <w:rPr>
                <w:lang w:val="en-AU"/>
              </w:rPr>
              <w:t>Risk of bias</w:t>
            </w:r>
          </w:p>
        </w:tc>
        <w:tc>
          <w:tcPr>
            <w:tcW w:w="530" w:type="pct"/>
            <w:shd w:val="clear" w:color="auto" w:fill="auto"/>
            <w:vAlign w:val="center"/>
          </w:tcPr>
          <w:p w14:paraId="31663B4D" w14:textId="77777777" w:rsidR="00F21A3E" w:rsidRPr="00D84436" w:rsidRDefault="00F21A3E" w:rsidP="00C9362D">
            <w:pPr>
              <w:pStyle w:val="In-tableHeading"/>
              <w:keepLines/>
              <w:jc w:val="center"/>
              <w:rPr>
                <w:lang w:val="en-AU"/>
              </w:rPr>
            </w:pPr>
            <w:r w:rsidRPr="00D84436">
              <w:rPr>
                <w:lang w:val="en-AU"/>
              </w:rPr>
              <w:t>Patient population</w:t>
            </w:r>
          </w:p>
        </w:tc>
        <w:tc>
          <w:tcPr>
            <w:tcW w:w="1179" w:type="pct"/>
            <w:shd w:val="clear" w:color="auto" w:fill="auto"/>
            <w:vAlign w:val="center"/>
          </w:tcPr>
          <w:p w14:paraId="39FDCAF2" w14:textId="77777777" w:rsidR="00F21A3E" w:rsidRPr="00D84436" w:rsidRDefault="00F21A3E" w:rsidP="00C9362D">
            <w:pPr>
              <w:pStyle w:val="In-tableHeading"/>
              <w:keepLines/>
              <w:jc w:val="center"/>
              <w:rPr>
                <w:lang w:val="en-AU"/>
              </w:rPr>
            </w:pPr>
            <w:r w:rsidRPr="00D84436">
              <w:rPr>
                <w:lang w:val="en-AU"/>
              </w:rPr>
              <w:t>Outcomes</w:t>
            </w:r>
          </w:p>
        </w:tc>
        <w:tc>
          <w:tcPr>
            <w:tcW w:w="679" w:type="pct"/>
            <w:shd w:val="clear" w:color="auto" w:fill="auto"/>
            <w:vAlign w:val="center"/>
          </w:tcPr>
          <w:p w14:paraId="585F74D0" w14:textId="77777777" w:rsidR="00F21A3E" w:rsidRPr="00D84436" w:rsidRDefault="00F21A3E" w:rsidP="00C9362D">
            <w:pPr>
              <w:pStyle w:val="In-tableHeading"/>
              <w:keepLines/>
              <w:jc w:val="center"/>
              <w:rPr>
                <w:lang w:val="en-AU"/>
              </w:rPr>
            </w:pPr>
            <w:r w:rsidRPr="00D84436">
              <w:rPr>
                <w:lang w:val="en-AU"/>
              </w:rPr>
              <w:t>Use in modelled evaluation</w:t>
            </w:r>
          </w:p>
        </w:tc>
      </w:tr>
      <w:tr w:rsidR="00F21A3E" w:rsidRPr="00D84436" w14:paraId="2266C4C5" w14:textId="77777777" w:rsidTr="00495E3A">
        <w:trPr>
          <w:cantSplit/>
        </w:trPr>
        <w:tc>
          <w:tcPr>
            <w:tcW w:w="5000" w:type="pct"/>
            <w:gridSpan w:val="7"/>
            <w:shd w:val="clear" w:color="auto" w:fill="auto"/>
            <w:vAlign w:val="center"/>
          </w:tcPr>
          <w:p w14:paraId="6BF7F45F" w14:textId="77777777" w:rsidR="00F21A3E" w:rsidRPr="00D84436" w:rsidRDefault="00F21A3E" w:rsidP="00C9362D">
            <w:pPr>
              <w:pStyle w:val="In-tableHeading"/>
              <w:keepLines/>
              <w:rPr>
                <w:lang w:val="en-AU"/>
              </w:rPr>
            </w:pPr>
            <w:r w:rsidRPr="00D84436">
              <w:rPr>
                <w:lang w:val="en-AU"/>
              </w:rPr>
              <w:t>Bioequivalence studies</w:t>
            </w:r>
          </w:p>
        </w:tc>
      </w:tr>
      <w:tr w:rsidR="00F21A3E" w:rsidRPr="00D84436" w14:paraId="715F742B" w14:textId="77777777" w:rsidTr="00495E3A">
        <w:trPr>
          <w:cantSplit/>
        </w:trPr>
        <w:tc>
          <w:tcPr>
            <w:tcW w:w="775" w:type="pct"/>
            <w:shd w:val="clear" w:color="auto" w:fill="auto"/>
            <w:vAlign w:val="center"/>
          </w:tcPr>
          <w:p w14:paraId="5B976E8A" w14:textId="77777777" w:rsidR="00F21A3E" w:rsidRPr="00D84436" w:rsidRDefault="00F21A3E" w:rsidP="00C9362D">
            <w:pPr>
              <w:pStyle w:val="TableText0"/>
              <w:keepLines/>
            </w:pPr>
            <w:r w:rsidRPr="00D84436">
              <w:t>ALK8700-A103</w:t>
            </w:r>
          </w:p>
        </w:tc>
        <w:tc>
          <w:tcPr>
            <w:tcW w:w="455" w:type="pct"/>
            <w:shd w:val="clear" w:color="auto" w:fill="auto"/>
            <w:vAlign w:val="center"/>
          </w:tcPr>
          <w:p w14:paraId="5B788E14" w14:textId="77777777" w:rsidR="00F21A3E" w:rsidRPr="00D84436" w:rsidRDefault="00F21A3E" w:rsidP="00C9362D">
            <w:pPr>
              <w:pStyle w:val="TableText0"/>
              <w:keepLines/>
              <w:jc w:val="center"/>
            </w:pPr>
            <w:r w:rsidRPr="00D84436">
              <w:t>35</w:t>
            </w:r>
          </w:p>
        </w:tc>
        <w:tc>
          <w:tcPr>
            <w:tcW w:w="771" w:type="pct"/>
            <w:shd w:val="clear" w:color="auto" w:fill="auto"/>
            <w:vAlign w:val="center"/>
          </w:tcPr>
          <w:p w14:paraId="3AEF8F53" w14:textId="77777777" w:rsidR="00F21A3E" w:rsidRPr="00D84436" w:rsidRDefault="00F21A3E" w:rsidP="00C9362D">
            <w:pPr>
              <w:pStyle w:val="TableText0"/>
              <w:keepLines/>
              <w:jc w:val="center"/>
            </w:pPr>
            <w:r w:rsidRPr="00D84436">
              <w:t>R, DB</w:t>
            </w:r>
          </w:p>
          <w:p w14:paraId="135A38E0" w14:textId="77777777" w:rsidR="00F21A3E" w:rsidRPr="00D84436" w:rsidRDefault="00F21A3E" w:rsidP="00C9362D">
            <w:pPr>
              <w:pStyle w:val="TableText0"/>
              <w:keepLines/>
              <w:jc w:val="center"/>
            </w:pPr>
            <w:r w:rsidRPr="00D84436">
              <w:t xml:space="preserve"> 15 days</w:t>
            </w:r>
          </w:p>
        </w:tc>
        <w:tc>
          <w:tcPr>
            <w:tcW w:w="611" w:type="pct"/>
            <w:shd w:val="clear" w:color="auto" w:fill="auto"/>
            <w:vAlign w:val="center"/>
          </w:tcPr>
          <w:p w14:paraId="07449510" w14:textId="77777777" w:rsidR="00F21A3E" w:rsidRPr="00D84436" w:rsidRDefault="00F21A3E" w:rsidP="00C9362D">
            <w:pPr>
              <w:pStyle w:val="TableText0"/>
              <w:keepLines/>
              <w:jc w:val="center"/>
            </w:pPr>
            <w:r w:rsidRPr="00D84436">
              <w:t>Low</w:t>
            </w:r>
          </w:p>
        </w:tc>
        <w:tc>
          <w:tcPr>
            <w:tcW w:w="530" w:type="pct"/>
            <w:shd w:val="clear" w:color="auto" w:fill="auto"/>
            <w:vAlign w:val="center"/>
          </w:tcPr>
          <w:p w14:paraId="6D173651" w14:textId="77777777" w:rsidR="00F21A3E" w:rsidRPr="00D84436" w:rsidRDefault="00F21A3E" w:rsidP="00C9362D">
            <w:pPr>
              <w:pStyle w:val="TableText0"/>
              <w:keepLines/>
              <w:jc w:val="center"/>
            </w:pPr>
            <w:r w:rsidRPr="00D84436">
              <w:t>Healthy</w:t>
            </w:r>
          </w:p>
        </w:tc>
        <w:tc>
          <w:tcPr>
            <w:tcW w:w="1179" w:type="pct"/>
            <w:shd w:val="clear" w:color="auto" w:fill="auto"/>
            <w:vAlign w:val="center"/>
          </w:tcPr>
          <w:p w14:paraId="2E8BA169" w14:textId="77777777" w:rsidR="00F21A3E" w:rsidRPr="00D84436" w:rsidRDefault="00F21A3E" w:rsidP="00C9362D">
            <w:pPr>
              <w:pStyle w:val="TableText0"/>
              <w:keepLines/>
              <w:jc w:val="center"/>
            </w:pPr>
            <w:r w:rsidRPr="00D84436">
              <w:t xml:space="preserve">PK, safety </w:t>
            </w:r>
          </w:p>
        </w:tc>
        <w:tc>
          <w:tcPr>
            <w:tcW w:w="679" w:type="pct"/>
            <w:shd w:val="clear" w:color="auto" w:fill="auto"/>
            <w:vAlign w:val="center"/>
          </w:tcPr>
          <w:p w14:paraId="3DBC06D8" w14:textId="77777777" w:rsidR="00F21A3E" w:rsidRPr="00D84436" w:rsidRDefault="00F21A3E" w:rsidP="00C9362D">
            <w:pPr>
              <w:pStyle w:val="TableText0"/>
              <w:keepLines/>
              <w:jc w:val="center"/>
            </w:pPr>
            <w:r w:rsidRPr="00D84436">
              <w:t>NA</w:t>
            </w:r>
          </w:p>
        </w:tc>
      </w:tr>
      <w:tr w:rsidR="00F21A3E" w:rsidRPr="00D84436" w14:paraId="23541105" w14:textId="77777777" w:rsidTr="00495E3A">
        <w:trPr>
          <w:cantSplit/>
        </w:trPr>
        <w:tc>
          <w:tcPr>
            <w:tcW w:w="775" w:type="pct"/>
            <w:shd w:val="clear" w:color="auto" w:fill="auto"/>
            <w:vAlign w:val="center"/>
          </w:tcPr>
          <w:p w14:paraId="75F87E71" w14:textId="77777777" w:rsidR="00F21A3E" w:rsidRPr="00D84436" w:rsidRDefault="00F21A3E" w:rsidP="00C9362D">
            <w:pPr>
              <w:pStyle w:val="TableText0"/>
              <w:keepLines/>
            </w:pPr>
            <w:r w:rsidRPr="00BD27D4">
              <w:t>ALK8700-A104</w:t>
            </w:r>
          </w:p>
        </w:tc>
        <w:tc>
          <w:tcPr>
            <w:tcW w:w="455" w:type="pct"/>
            <w:shd w:val="clear" w:color="auto" w:fill="auto"/>
            <w:vAlign w:val="center"/>
          </w:tcPr>
          <w:p w14:paraId="5917B9BF" w14:textId="77777777" w:rsidR="00F21A3E" w:rsidRPr="00D84436" w:rsidRDefault="00F21A3E" w:rsidP="00C9362D">
            <w:pPr>
              <w:pStyle w:val="TableText0"/>
              <w:keepLines/>
              <w:jc w:val="center"/>
            </w:pPr>
            <w:r w:rsidRPr="00D84436">
              <w:t>42</w:t>
            </w:r>
          </w:p>
        </w:tc>
        <w:tc>
          <w:tcPr>
            <w:tcW w:w="771" w:type="pct"/>
            <w:shd w:val="clear" w:color="auto" w:fill="auto"/>
            <w:vAlign w:val="center"/>
          </w:tcPr>
          <w:p w14:paraId="7E3DC899" w14:textId="77777777" w:rsidR="00F21A3E" w:rsidRPr="00D84436" w:rsidRDefault="00F21A3E" w:rsidP="00C9362D">
            <w:pPr>
              <w:pStyle w:val="TableText0"/>
              <w:keepLines/>
              <w:jc w:val="center"/>
            </w:pPr>
            <w:r w:rsidRPr="00D84436">
              <w:t>R, DB</w:t>
            </w:r>
          </w:p>
          <w:p w14:paraId="23458B39" w14:textId="77777777" w:rsidR="00F21A3E" w:rsidRPr="00D84436" w:rsidRDefault="00F21A3E" w:rsidP="00C9362D">
            <w:pPr>
              <w:pStyle w:val="TableText0"/>
              <w:keepLines/>
              <w:jc w:val="center"/>
            </w:pPr>
            <w:r w:rsidRPr="00D84436">
              <w:t>10 (+2) days</w:t>
            </w:r>
          </w:p>
        </w:tc>
        <w:tc>
          <w:tcPr>
            <w:tcW w:w="611" w:type="pct"/>
            <w:shd w:val="clear" w:color="auto" w:fill="auto"/>
            <w:vAlign w:val="center"/>
          </w:tcPr>
          <w:p w14:paraId="3DFAC414" w14:textId="77777777" w:rsidR="00F21A3E" w:rsidRPr="00D84436" w:rsidRDefault="00F21A3E" w:rsidP="00C9362D">
            <w:pPr>
              <w:pStyle w:val="TableText0"/>
              <w:keepLines/>
              <w:jc w:val="center"/>
            </w:pPr>
            <w:r w:rsidRPr="00D84436">
              <w:t>Low</w:t>
            </w:r>
          </w:p>
        </w:tc>
        <w:tc>
          <w:tcPr>
            <w:tcW w:w="530" w:type="pct"/>
            <w:shd w:val="clear" w:color="auto" w:fill="auto"/>
            <w:vAlign w:val="center"/>
          </w:tcPr>
          <w:p w14:paraId="5840F9D9" w14:textId="77777777" w:rsidR="00F21A3E" w:rsidRPr="00D84436" w:rsidRDefault="00F21A3E" w:rsidP="00C9362D">
            <w:pPr>
              <w:pStyle w:val="TableText0"/>
              <w:keepLines/>
              <w:jc w:val="center"/>
            </w:pPr>
            <w:r w:rsidRPr="00D84436">
              <w:t>Healthy</w:t>
            </w:r>
          </w:p>
        </w:tc>
        <w:tc>
          <w:tcPr>
            <w:tcW w:w="1179" w:type="pct"/>
            <w:shd w:val="clear" w:color="auto" w:fill="auto"/>
            <w:vAlign w:val="center"/>
          </w:tcPr>
          <w:p w14:paraId="4FBDD7B7" w14:textId="77777777" w:rsidR="00F21A3E" w:rsidRPr="00D84436" w:rsidRDefault="00F21A3E" w:rsidP="00C9362D">
            <w:pPr>
              <w:pStyle w:val="TableText0"/>
              <w:keepLines/>
              <w:jc w:val="center"/>
            </w:pPr>
            <w:r w:rsidRPr="00D84436">
              <w:t>PK, safety</w:t>
            </w:r>
          </w:p>
        </w:tc>
        <w:tc>
          <w:tcPr>
            <w:tcW w:w="679" w:type="pct"/>
            <w:shd w:val="clear" w:color="auto" w:fill="auto"/>
            <w:vAlign w:val="center"/>
          </w:tcPr>
          <w:p w14:paraId="4109782C" w14:textId="77777777" w:rsidR="00F21A3E" w:rsidRPr="00D84436" w:rsidRDefault="00F21A3E" w:rsidP="00C9362D">
            <w:pPr>
              <w:pStyle w:val="TableText0"/>
              <w:keepLines/>
              <w:jc w:val="center"/>
            </w:pPr>
            <w:r w:rsidRPr="00D84436">
              <w:t>NA</w:t>
            </w:r>
          </w:p>
        </w:tc>
      </w:tr>
      <w:tr w:rsidR="00F21A3E" w:rsidRPr="00D84436" w14:paraId="4F351967" w14:textId="77777777" w:rsidTr="00495E3A">
        <w:trPr>
          <w:cantSplit/>
        </w:trPr>
        <w:tc>
          <w:tcPr>
            <w:tcW w:w="775" w:type="pct"/>
            <w:shd w:val="clear" w:color="auto" w:fill="auto"/>
            <w:vAlign w:val="center"/>
          </w:tcPr>
          <w:p w14:paraId="6B1DA8E8" w14:textId="77777777" w:rsidR="00F21A3E" w:rsidRPr="00BD27D4" w:rsidRDefault="00F21A3E" w:rsidP="00C9362D">
            <w:pPr>
              <w:pStyle w:val="TableText0"/>
              <w:keepLines/>
            </w:pPr>
            <w:r w:rsidRPr="00BD27D4">
              <w:t>ALK8700-A109</w:t>
            </w:r>
          </w:p>
        </w:tc>
        <w:tc>
          <w:tcPr>
            <w:tcW w:w="455" w:type="pct"/>
            <w:shd w:val="clear" w:color="auto" w:fill="auto"/>
            <w:vAlign w:val="center"/>
          </w:tcPr>
          <w:p w14:paraId="6BE5C00B" w14:textId="77777777" w:rsidR="00F21A3E" w:rsidRPr="00D84436" w:rsidRDefault="00F21A3E" w:rsidP="00C9362D">
            <w:pPr>
              <w:pStyle w:val="TableText0"/>
              <w:keepLines/>
              <w:jc w:val="center"/>
            </w:pPr>
            <w:r w:rsidRPr="00D84436">
              <w:t>48</w:t>
            </w:r>
          </w:p>
        </w:tc>
        <w:tc>
          <w:tcPr>
            <w:tcW w:w="771" w:type="pct"/>
            <w:shd w:val="clear" w:color="auto" w:fill="auto"/>
            <w:vAlign w:val="center"/>
          </w:tcPr>
          <w:p w14:paraId="68055842" w14:textId="77777777" w:rsidR="00F21A3E" w:rsidRPr="00D84436" w:rsidRDefault="00F21A3E" w:rsidP="00C9362D">
            <w:pPr>
              <w:pStyle w:val="TableText0"/>
              <w:keepLines/>
              <w:jc w:val="center"/>
            </w:pPr>
            <w:r w:rsidRPr="00D84436">
              <w:t>R, OL</w:t>
            </w:r>
          </w:p>
          <w:p w14:paraId="3017DC54" w14:textId="77777777" w:rsidR="00F21A3E" w:rsidRPr="00D84436" w:rsidRDefault="00F21A3E" w:rsidP="00C9362D">
            <w:pPr>
              <w:pStyle w:val="TableText0"/>
              <w:keepLines/>
              <w:jc w:val="center"/>
            </w:pPr>
            <w:r w:rsidRPr="00D84436">
              <w:t>20 days</w:t>
            </w:r>
          </w:p>
        </w:tc>
        <w:tc>
          <w:tcPr>
            <w:tcW w:w="611" w:type="pct"/>
            <w:shd w:val="clear" w:color="auto" w:fill="auto"/>
            <w:vAlign w:val="center"/>
          </w:tcPr>
          <w:p w14:paraId="1E6C6220" w14:textId="77777777" w:rsidR="00F21A3E" w:rsidRPr="00D84436" w:rsidRDefault="00F21A3E" w:rsidP="00C9362D">
            <w:pPr>
              <w:pStyle w:val="TableText0"/>
              <w:keepLines/>
              <w:jc w:val="center"/>
            </w:pPr>
            <w:r w:rsidRPr="00D84436">
              <w:t>High</w:t>
            </w:r>
          </w:p>
        </w:tc>
        <w:tc>
          <w:tcPr>
            <w:tcW w:w="530" w:type="pct"/>
            <w:shd w:val="clear" w:color="auto" w:fill="auto"/>
            <w:vAlign w:val="center"/>
          </w:tcPr>
          <w:p w14:paraId="3EFD36C6" w14:textId="77777777" w:rsidR="00F21A3E" w:rsidRPr="00D84436" w:rsidRDefault="00F21A3E" w:rsidP="00C9362D">
            <w:pPr>
              <w:pStyle w:val="TableText0"/>
              <w:keepLines/>
              <w:jc w:val="center"/>
            </w:pPr>
            <w:r w:rsidRPr="00D84436">
              <w:t>Healthy</w:t>
            </w:r>
          </w:p>
        </w:tc>
        <w:tc>
          <w:tcPr>
            <w:tcW w:w="1179" w:type="pct"/>
            <w:shd w:val="clear" w:color="auto" w:fill="auto"/>
            <w:vAlign w:val="center"/>
          </w:tcPr>
          <w:p w14:paraId="132B18E8" w14:textId="77777777" w:rsidR="00F21A3E" w:rsidRPr="00D84436" w:rsidRDefault="00F21A3E" w:rsidP="00C9362D">
            <w:pPr>
              <w:pStyle w:val="TableText0"/>
              <w:keepLines/>
              <w:jc w:val="center"/>
            </w:pPr>
            <w:r w:rsidRPr="00D84436">
              <w:t>PK, safety</w:t>
            </w:r>
          </w:p>
        </w:tc>
        <w:tc>
          <w:tcPr>
            <w:tcW w:w="679" w:type="pct"/>
            <w:shd w:val="clear" w:color="auto" w:fill="auto"/>
            <w:vAlign w:val="center"/>
          </w:tcPr>
          <w:p w14:paraId="776740FD" w14:textId="77777777" w:rsidR="00F21A3E" w:rsidRPr="00D84436" w:rsidRDefault="00F21A3E" w:rsidP="00C9362D">
            <w:pPr>
              <w:pStyle w:val="TableText0"/>
              <w:keepLines/>
              <w:jc w:val="center"/>
            </w:pPr>
            <w:r w:rsidRPr="00D84436">
              <w:t>NA</w:t>
            </w:r>
          </w:p>
        </w:tc>
      </w:tr>
      <w:tr w:rsidR="00F21A3E" w:rsidRPr="00D84436" w14:paraId="33F6C907" w14:textId="77777777" w:rsidTr="00495E3A">
        <w:trPr>
          <w:cantSplit/>
        </w:trPr>
        <w:tc>
          <w:tcPr>
            <w:tcW w:w="5000" w:type="pct"/>
            <w:gridSpan w:val="7"/>
            <w:shd w:val="clear" w:color="auto" w:fill="auto"/>
            <w:vAlign w:val="center"/>
          </w:tcPr>
          <w:p w14:paraId="431C690C" w14:textId="77777777" w:rsidR="00F21A3E" w:rsidRPr="00D84436" w:rsidRDefault="00F21A3E" w:rsidP="00C9362D">
            <w:pPr>
              <w:pStyle w:val="TableText0"/>
              <w:keepLines/>
              <w:rPr>
                <w:b/>
                <w:bCs w:val="0"/>
              </w:rPr>
            </w:pPr>
            <w:r w:rsidRPr="00D84436">
              <w:rPr>
                <w:b/>
                <w:bCs w:val="0"/>
              </w:rPr>
              <w:t>RCT</w:t>
            </w:r>
          </w:p>
        </w:tc>
      </w:tr>
      <w:tr w:rsidR="00F21A3E" w:rsidRPr="00D84436" w14:paraId="4B36EDB3" w14:textId="77777777" w:rsidTr="00495E3A">
        <w:trPr>
          <w:cantSplit/>
        </w:trPr>
        <w:tc>
          <w:tcPr>
            <w:tcW w:w="775" w:type="pct"/>
            <w:shd w:val="clear" w:color="auto" w:fill="auto"/>
            <w:vAlign w:val="center"/>
          </w:tcPr>
          <w:p w14:paraId="1D8AD8F4" w14:textId="77777777" w:rsidR="00F21A3E" w:rsidRPr="00D84436" w:rsidRDefault="00F21A3E" w:rsidP="00C9362D">
            <w:pPr>
              <w:pStyle w:val="TableText0"/>
              <w:keepLines/>
            </w:pPr>
            <w:r w:rsidRPr="00BD27D4">
              <w:t>EVOLVE-MS-2</w:t>
            </w:r>
          </w:p>
        </w:tc>
        <w:tc>
          <w:tcPr>
            <w:tcW w:w="455" w:type="pct"/>
            <w:shd w:val="clear" w:color="auto" w:fill="auto"/>
            <w:vAlign w:val="center"/>
          </w:tcPr>
          <w:p w14:paraId="72B1C016" w14:textId="77777777" w:rsidR="00F21A3E" w:rsidRPr="00D84436" w:rsidRDefault="00F21A3E" w:rsidP="00C9362D">
            <w:pPr>
              <w:pStyle w:val="TableText0"/>
              <w:keepLines/>
              <w:jc w:val="center"/>
            </w:pPr>
            <w:r w:rsidRPr="00D84436">
              <w:t>506</w:t>
            </w:r>
          </w:p>
        </w:tc>
        <w:tc>
          <w:tcPr>
            <w:tcW w:w="771" w:type="pct"/>
            <w:shd w:val="clear" w:color="auto" w:fill="auto"/>
            <w:vAlign w:val="center"/>
          </w:tcPr>
          <w:p w14:paraId="2822F5B8" w14:textId="77777777" w:rsidR="00F21A3E" w:rsidRPr="00D84436" w:rsidRDefault="00F21A3E" w:rsidP="00C9362D">
            <w:pPr>
              <w:pStyle w:val="TableText0"/>
              <w:keepLines/>
              <w:jc w:val="center"/>
            </w:pPr>
            <w:r w:rsidRPr="00D84436">
              <w:t>R, DB</w:t>
            </w:r>
          </w:p>
          <w:p w14:paraId="603952B5" w14:textId="77777777" w:rsidR="00F21A3E" w:rsidRPr="00D84436" w:rsidRDefault="00F21A3E" w:rsidP="00C9362D">
            <w:pPr>
              <w:pStyle w:val="TableText0"/>
              <w:keepLines/>
              <w:jc w:val="center"/>
            </w:pPr>
            <w:r w:rsidRPr="00D84436">
              <w:t xml:space="preserve"> 5 weeks</w:t>
            </w:r>
          </w:p>
        </w:tc>
        <w:tc>
          <w:tcPr>
            <w:tcW w:w="611" w:type="pct"/>
            <w:shd w:val="clear" w:color="auto" w:fill="auto"/>
            <w:vAlign w:val="center"/>
          </w:tcPr>
          <w:p w14:paraId="1226D2CE" w14:textId="77777777" w:rsidR="00F21A3E" w:rsidRPr="00D84436" w:rsidRDefault="00F21A3E" w:rsidP="00C9362D">
            <w:pPr>
              <w:pStyle w:val="TableText0"/>
              <w:keepLines/>
              <w:jc w:val="center"/>
            </w:pPr>
            <w:r w:rsidRPr="00D84436">
              <w:t>Low</w:t>
            </w:r>
          </w:p>
        </w:tc>
        <w:tc>
          <w:tcPr>
            <w:tcW w:w="530" w:type="pct"/>
            <w:shd w:val="clear" w:color="auto" w:fill="auto"/>
            <w:vAlign w:val="center"/>
          </w:tcPr>
          <w:p w14:paraId="7671F5A2" w14:textId="77777777" w:rsidR="00F21A3E" w:rsidRPr="00D84436" w:rsidRDefault="00F21A3E" w:rsidP="00C9362D">
            <w:pPr>
              <w:pStyle w:val="TableText0"/>
              <w:keepLines/>
              <w:jc w:val="center"/>
            </w:pPr>
            <w:r w:rsidRPr="00D84436">
              <w:t>RRMS</w:t>
            </w:r>
          </w:p>
        </w:tc>
        <w:tc>
          <w:tcPr>
            <w:tcW w:w="1179" w:type="pct"/>
            <w:shd w:val="clear" w:color="auto" w:fill="auto"/>
            <w:vAlign w:val="center"/>
          </w:tcPr>
          <w:p w14:paraId="0CE94F07" w14:textId="77777777" w:rsidR="00F21A3E" w:rsidRPr="00D84436" w:rsidRDefault="00F21A3E" w:rsidP="00C9362D">
            <w:pPr>
              <w:pStyle w:val="TableText0"/>
              <w:keepLines/>
              <w:jc w:val="center"/>
            </w:pPr>
            <w:r w:rsidRPr="00D84436">
              <w:t xml:space="preserve">IGIS intensity score; GGISIS symptom intensity; interference, </w:t>
            </w:r>
            <w:proofErr w:type="spellStart"/>
            <w:r w:rsidRPr="00D84436">
              <w:t>bothersomeness</w:t>
            </w:r>
            <w:proofErr w:type="spellEnd"/>
            <w:r w:rsidRPr="00D84436">
              <w:t xml:space="preserve"> and impact on work; safety</w:t>
            </w:r>
          </w:p>
        </w:tc>
        <w:tc>
          <w:tcPr>
            <w:tcW w:w="679" w:type="pct"/>
            <w:shd w:val="clear" w:color="auto" w:fill="auto"/>
            <w:vAlign w:val="center"/>
          </w:tcPr>
          <w:p w14:paraId="6D8966BA" w14:textId="77777777" w:rsidR="00F21A3E" w:rsidRPr="00D84436" w:rsidRDefault="00F21A3E" w:rsidP="00C9362D">
            <w:pPr>
              <w:pStyle w:val="TableText0"/>
              <w:keepLines/>
              <w:jc w:val="center"/>
            </w:pPr>
            <w:r w:rsidRPr="00D84436">
              <w:t xml:space="preserve">NA </w:t>
            </w:r>
          </w:p>
        </w:tc>
      </w:tr>
    </w:tbl>
    <w:p w14:paraId="1549B6E2" w14:textId="7B03859B" w:rsidR="00F21A3E" w:rsidRDefault="00F21A3E" w:rsidP="00C9362D">
      <w:pPr>
        <w:pStyle w:val="TableFigureFooter"/>
        <w:keepNext/>
        <w:keepLines/>
      </w:pPr>
      <w:r>
        <w:t xml:space="preserve">Source: pp66-71,85-89,95-96 </w:t>
      </w:r>
      <w:r w:rsidRPr="00D13A3E">
        <w:t xml:space="preserve">of the </w:t>
      </w:r>
      <w:r w:rsidR="005840D2">
        <w:t>s</w:t>
      </w:r>
      <w:r w:rsidR="00A23FDF">
        <w:t>ubmission</w:t>
      </w:r>
      <w:r>
        <w:t>.</w:t>
      </w:r>
    </w:p>
    <w:p w14:paraId="47F9C12F" w14:textId="2EAC1B4C" w:rsidR="00F21A3E" w:rsidRDefault="00F21A3E" w:rsidP="00C9362D">
      <w:pPr>
        <w:pStyle w:val="TableFigureFooter"/>
        <w:keepNext/>
        <w:keepLines/>
      </w:pPr>
      <w:r w:rsidRPr="00AE09B7">
        <w:t>DB</w:t>
      </w:r>
      <w:r w:rsidR="005840D2">
        <w:t xml:space="preserve">, </w:t>
      </w:r>
      <w:r w:rsidRPr="00AE09B7">
        <w:t xml:space="preserve">double blind; </w:t>
      </w:r>
      <w:r w:rsidR="005840D2">
        <w:t>G</w:t>
      </w:r>
      <w:r w:rsidR="00824765">
        <w:t xml:space="preserve">GISIS, </w:t>
      </w:r>
      <w:r w:rsidRPr="00273F1E">
        <w:t>Global GI Symptom and Impact Scale; GI, gastrointestinal; IGISIS, Individual GI Symptom and Impact Scale;</w:t>
      </w:r>
      <w:r>
        <w:t xml:space="preserve"> NA</w:t>
      </w:r>
      <w:r w:rsidR="00824765">
        <w:t xml:space="preserve">, </w:t>
      </w:r>
      <w:r>
        <w:t>not applicable; OL</w:t>
      </w:r>
      <w:r w:rsidR="00824765">
        <w:t xml:space="preserve">, </w:t>
      </w:r>
      <w:r>
        <w:t xml:space="preserve">open-label; </w:t>
      </w:r>
      <w:r w:rsidRPr="00AE09B7">
        <w:t>R</w:t>
      </w:r>
      <w:r w:rsidR="00824765">
        <w:t xml:space="preserve">, </w:t>
      </w:r>
      <w:r w:rsidRPr="00AE09B7">
        <w:t>randomised</w:t>
      </w:r>
      <w:r>
        <w:t>; RRMS</w:t>
      </w:r>
      <w:r w:rsidR="00824765">
        <w:t xml:space="preserve">, </w:t>
      </w:r>
      <w:r>
        <w:t xml:space="preserve">relapsing-remitting multiple </w:t>
      </w:r>
      <w:proofErr w:type="gramStart"/>
      <w:r>
        <w:t>sclerosis</w:t>
      </w:r>
      <w:r w:rsidR="00824765">
        <w:t>;</w:t>
      </w:r>
      <w:proofErr w:type="gramEnd"/>
      <w:r w:rsidR="00824765">
        <w:t xml:space="preserve"> </w:t>
      </w:r>
    </w:p>
    <w:p w14:paraId="5375140C" w14:textId="14C2A923" w:rsidR="00F21A3E" w:rsidRPr="00031CDD" w:rsidRDefault="00F21A3E" w:rsidP="00F21A3E">
      <w:pPr>
        <w:pStyle w:val="3-BodyText"/>
        <w:rPr>
          <w:iCs/>
          <w:color w:val="0066FF"/>
        </w:rPr>
      </w:pPr>
      <w:bookmarkStart w:id="17" w:name="_Ref95737459"/>
      <w:r w:rsidRPr="00031CDD">
        <w:rPr>
          <w:iCs/>
        </w:rPr>
        <w:t xml:space="preserve">ALK8700-A109 was identified as </w:t>
      </w:r>
      <w:r w:rsidR="00147CB0">
        <w:rPr>
          <w:iCs/>
        </w:rPr>
        <w:t xml:space="preserve">having </w:t>
      </w:r>
      <w:r w:rsidRPr="00031CDD">
        <w:rPr>
          <w:iCs/>
        </w:rPr>
        <w:t>a high risk of bias due to it being an open-label study, increasing the likelihood of performance bias. In an independent quality assessment of the three bioequivalence studies, the method of random sequence generation and method for allocation concealment was not clear with a resulting uncertain risk of bias</w:t>
      </w:r>
      <w:r w:rsidRPr="00AD43FB">
        <w:rPr>
          <w:iCs/>
        </w:rPr>
        <w:t>.</w:t>
      </w:r>
      <w:r w:rsidR="00D84436" w:rsidRPr="00AD43FB">
        <w:rPr>
          <w:iCs/>
        </w:rPr>
        <w:t xml:space="preserve"> The TGA Round 1 CER noted that while the EVOLVE-MS-2 trial met its primary endpoints, the deviation from protocol potentially introduced bias and confounding to the study, thus adversely impacting the generalisability of the study results. The protocol amendments included changes in primary, </w:t>
      </w:r>
      <w:proofErr w:type="gramStart"/>
      <w:r w:rsidR="00D84436" w:rsidRPr="00AD43FB">
        <w:rPr>
          <w:iCs/>
        </w:rPr>
        <w:t>secondary</w:t>
      </w:r>
      <w:proofErr w:type="gramEnd"/>
      <w:r w:rsidR="00D84436" w:rsidRPr="00AD43FB">
        <w:rPr>
          <w:iCs/>
        </w:rPr>
        <w:t xml:space="preserve"> and exploratory endpoints, and sample size to maintain study power, and choice of a pooled analysis in the primary endpoint.</w:t>
      </w:r>
      <w:bookmarkEnd w:id="17"/>
    </w:p>
    <w:p w14:paraId="4D8EE062" w14:textId="77777777" w:rsidR="00F21A3E" w:rsidRPr="00C9624D" w:rsidRDefault="00F21A3E" w:rsidP="0027070F">
      <w:pPr>
        <w:pStyle w:val="4-SubsectionHeading"/>
      </w:pPr>
      <w:bookmarkStart w:id="18" w:name="_Toc22897641"/>
      <w:bookmarkStart w:id="19" w:name="_Toc93478631"/>
      <w:r w:rsidRPr="00C9624D">
        <w:t>Comparative effectiveness</w:t>
      </w:r>
      <w:bookmarkEnd w:id="18"/>
      <w:bookmarkEnd w:id="19"/>
    </w:p>
    <w:p w14:paraId="7D42E923" w14:textId="07B5483B" w:rsidR="00F21A3E" w:rsidRDefault="00F21A3E" w:rsidP="00F21A3E">
      <w:pPr>
        <w:pStyle w:val="ListParagraph"/>
        <w:numPr>
          <w:ilvl w:val="1"/>
          <w:numId w:val="1"/>
        </w:numPr>
        <w:spacing w:after="160"/>
      </w:pPr>
      <w:r>
        <w:t xml:space="preserve">Table 3 shows the </w:t>
      </w:r>
      <w:r w:rsidRPr="00293BCE">
        <w:t>analysis of covariance (ANCOVA) results for DRF and DMF administration for studies ALK8700-A103 and ALK8700-A104</w:t>
      </w:r>
      <w:r>
        <w:t xml:space="preserve">. </w:t>
      </w:r>
    </w:p>
    <w:p w14:paraId="0AF6E63E" w14:textId="77777777" w:rsidR="00F21A3E" w:rsidRPr="00CE6619" w:rsidRDefault="00F21A3E" w:rsidP="00F21A3E">
      <w:pPr>
        <w:pStyle w:val="ListParagraph"/>
        <w:numPr>
          <w:ilvl w:val="1"/>
          <w:numId w:val="1"/>
        </w:numPr>
        <w:spacing w:after="160"/>
      </w:pPr>
      <w:r w:rsidRPr="00CE6619">
        <w:t>In Study ALK8700-A103, across all 3 parameters (</w:t>
      </w:r>
      <w:proofErr w:type="spellStart"/>
      <w:r w:rsidRPr="00CE6619">
        <w:t>AUClast</w:t>
      </w:r>
      <w:proofErr w:type="spellEnd"/>
      <w:r w:rsidRPr="00CE6619">
        <w:t xml:space="preserve">, AUC∞, and </w:t>
      </w:r>
      <w:proofErr w:type="spellStart"/>
      <w:r w:rsidRPr="00CE6619">
        <w:t>Cmax</w:t>
      </w:r>
      <w:proofErr w:type="spellEnd"/>
      <w:r w:rsidRPr="00CE6619">
        <w:t>), the geometric mean ratios were close to 1, and the 90% confidence intervals (CIs) were contained completely within the standard boundaries of 0.8 to 1.25 used to evaluate bioequivalence.</w:t>
      </w:r>
    </w:p>
    <w:p w14:paraId="3CEB9C2F" w14:textId="4F2E75DA" w:rsidR="00F21A3E" w:rsidRPr="00CE6619" w:rsidRDefault="00F21A3E" w:rsidP="00F21A3E">
      <w:pPr>
        <w:pStyle w:val="ListParagraph"/>
        <w:numPr>
          <w:ilvl w:val="1"/>
          <w:numId w:val="1"/>
        </w:numPr>
        <w:spacing w:after="160"/>
      </w:pPr>
      <w:r w:rsidRPr="00CE6619">
        <w:t xml:space="preserve">In Study ALK8700-A104, for MMF </w:t>
      </w:r>
      <w:proofErr w:type="spellStart"/>
      <w:r w:rsidRPr="00CE6619">
        <w:t>AUClast</w:t>
      </w:r>
      <w:proofErr w:type="spellEnd"/>
      <w:r w:rsidRPr="00CE6619">
        <w:t xml:space="preserve"> and AUC∞ the geometric mean ratios were close to 1 and the 90% CIs were contained completely within the standard boundaries of 0.8 to 1.25 used to evaluate bioequivalence.  However, MMF mean </w:t>
      </w:r>
      <w:proofErr w:type="spellStart"/>
      <w:r w:rsidRPr="00CE6619">
        <w:t>Cmax</w:t>
      </w:r>
      <w:proofErr w:type="spellEnd"/>
      <w:r w:rsidRPr="00CE6619">
        <w:t xml:space="preserve"> was 26% lower for DRF as compared with DMF under fed conditions.  The </w:t>
      </w:r>
      <w:r w:rsidR="00A23FDF">
        <w:t>Submission</w:t>
      </w:r>
      <w:r w:rsidRPr="00CE6619">
        <w:t xml:space="preserve"> argued that the presence of multiple peaks along with highly variable </w:t>
      </w:r>
      <w:proofErr w:type="spellStart"/>
      <w:r w:rsidRPr="00CE6619">
        <w:t>Cmax</w:t>
      </w:r>
      <w:proofErr w:type="spellEnd"/>
      <w:r w:rsidRPr="00CE6619">
        <w:t xml:space="preserve"> due to the intake of food likely explains this difference and that the similarity in </w:t>
      </w:r>
      <w:proofErr w:type="spellStart"/>
      <w:r w:rsidRPr="00CE6619">
        <w:t>tmax</w:t>
      </w:r>
      <w:proofErr w:type="spellEnd"/>
      <w:r w:rsidRPr="00CE6619">
        <w:t xml:space="preserve"> and </w:t>
      </w:r>
      <w:proofErr w:type="spellStart"/>
      <w:r w:rsidRPr="00CE6619">
        <w:t>tlag</w:t>
      </w:r>
      <w:proofErr w:type="spellEnd"/>
      <w:r w:rsidRPr="00CE6619">
        <w:t xml:space="preserve"> between the two treatments suggests a comparable rate of absorption.  </w:t>
      </w:r>
    </w:p>
    <w:p w14:paraId="7245775A" w14:textId="2F9C3D3B" w:rsidR="00672337" w:rsidRDefault="00672337" w:rsidP="00672337">
      <w:pPr>
        <w:pStyle w:val="Caption"/>
      </w:pPr>
      <w:r>
        <w:t xml:space="preserve">Table </w:t>
      </w:r>
      <w:fldSimple w:instr=" SEQ Table \* ARABIC ">
        <w:r w:rsidR="00756CE2">
          <w:rPr>
            <w:noProof/>
          </w:rPr>
          <w:t>4</w:t>
        </w:r>
      </w:fldSimple>
      <w:r>
        <w:t xml:space="preserve">: </w:t>
      </w:r>
      <w:r w:rsidRPr="00694D0F">
        <w:t xml:space="preserve">Summary of ANCOVA results for plasma MMF AUC0-last, AUC0-∞, and </w:t>
      </w:r>
      <w:proofErr w:type="spellStart"/>
      <w:r w:rsidRPr="00694D0F">
        <w:t>Cmax</w:t>
      </w:r>
      <w:proofErr w:type="spellEnd"/>
      <w:r w:rsidRPr="00694D0F">
        <w:t xml:space="preserve"> following a single oral administration of 462 mg DRF (Test) versus 240 mg DMF (Reference) formulations, PK Population - ALK8700-A103 and ALK8700-A104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2254"/>
        <w:gridCol w:w="1585"/>
        <w:gridCol w:w="1461"/>
        <w:gridCol w:w="2114"/>
      </w:tblGrid>
      <w:tr w:rsidR="00F21A3E" w14:paraId="5EB090DF" w14:textId="77777777" w:rsidTr="008E20C1">
        <w:trPr>
          <w:tblHeader/>
        </w:trPr>
        <w:tc>
          <w:tcPr>
            <w:tcW w:w="889" w:type="pct"/>
            <w:vMerge w:val="restart"/>
            <w:tcBorders>
              <w:top w:val="single" w:sz="4" w:space="0" w:color="auto"/>
              <w:left w:val="single" w:sz="4" w:space="0" w:color="auto"/>
              <w:bottom w:val="single" w:sz="4" w:space="0" w:color="auto"/>
              <w:right w:val="single" w:sz="4" w:space="0" w:color="auto"/>
            </w:tcBorders>
            <w:vAlign w:val="center"/>
            <w:hideMark/>
          </w:tcPr>
          <w:p w14:paraId="388AA366" w14:textId="77777777" w:rsidR="00F21A3E" w:rsidRDefault="00F21A3E" w:rsidP="00495E3A">
            <w:pPr>
              <w:pStyle w:val="TableFigureHeading"/>
              <w:rPr>
                <w:sz w:val="18"/>
                <w:lang w:val="en-US"/>
              </w:rPr>
            </w:pPr>
            <w:r>
              <w:rPr>
                <w:lang w:val="en-US"/>
              </w:rPr>
              <w:t xml:space="preserve">PK </w:t>
            </w:r>
            <w:proofErr w:type="spellStart"/>
            <w:r>
              <w:rPr>
                <w:lang w:val="en-US"/>
              </w:rPr>
              <w:t>parameter</w:t>
            </w:r>
            <w:r>
              <w:rPr>
                <w:vertAlign w:val="superscript"/>
                <w:lang w:val="en-US"/>
              </w:rPr>
              <w:t>a</w:t>
            </w:r>
            <w:proofErr w:type="spellEnd"/>
          </w:p>
        </w:tc>
        <w:tc>
          <w:tcPr>
            <w:tcW w:w="2129" w:type="pct"/>
            <w:gridSpan w:val="2"/>
            <w:tcBorders>
              <w:top w:val="single" w:sz="4" w:space="0" w:color="auto"/>
              <w:left w:val="single" w:sz="4" w:space="0" w:color="auto"/>
              <w:bottom w:val="single" w:sz="4" w:space="0" w:color="auto"/>
              <w:right w:val="single" w:sz="4" w:space="0" w:color="auto"/>
            </w:tcBorders>
            <w:vAlign w:val="center"/>
            <w:hideMark/>
          </w:tcPr>
          <w:p w14:paraId="39AB5267" w14:textId="77777777" w:rsidR="00F21A3E" w:rsidRDefault="00F21A3E" w:rsidP="00495E3A">
            <w:pPr>
              <w:pStyle w:val="TableFigureHeading"/>
              <w:rPr>
                <w:lang w:val="en-US"/>
              </w:rPr>
            </w:pPr>
            <w:r>
              <w:rPr>
                <w:lang w:val="en-US"/>
              </w:rPr>
              <w:t>Geometric mean (SE)</w:t>
            </w:r>
          </w:p>
        </w:tc>
        <w:tc>
          <w:tcPr>
            <w:tcW w:w="810" w:type="pct"/>
            <w:vMerge w:val="restart"/>
            <w:tcBorders>
              <w:top w:val="single" w:sz="4" w:space="0" w:color="auto"/>
              <w:left w:val="single" w:sz="4" w:space="0" w:color="auto"/>
              <w:bottom w:val="single" w:sz="4" w:space="0" w:color="auto"/>
              <w:right w:val="single" w:sz="4" w:space="0" w:color="auto"/>
            </w:tcBorders>
            <w:vAlign w:val="center"/>
            <w:hideMark/>
          </w:tcPr>
          <w:p w14:paraId="7C8504CB" w14:textId="77777777" w:rsidR="00F21A3E" w:rsidRDefault="00F21A3E" w:rsidP="00495E3A">
            <w:pPr>
              <w:pStyle w:val="TableFigureHeading"/>
              <w:rPr>
                <w:lang w:val="en-US"/>
              </w:rPr>
            </w:pPr>
            <w:r>
              <w:rPr>
                <w:lang w:val="en-US"/>
              </w:rPr>
              <w:t>Geometric mean ratios</w:t>
            </w:r>
          </w:p>
        </w:tc>
        <w:tc>
          <w:tcPr>
            <w:tcW w:w="1172" w:type="pct"/>
            <w:vMerge w:val="restart"/>
            <w:tcBorders>
              <w:top w:val="single" w:sz="4" w:space="0" w:color="auto"/>
              <w:left w:val="single" w:sz="4" w:space="0" w:color="auto"/>
              <w:bottom w:val="single" w:sz="4" w:space="0" w:color="auto"/>
              <w:right w:val="single" w:sz="4" w:space="0" w:color="auto"/>
            </w:tcBorders>
            <w:vAlign w:val="center"/>
            <w:hideMark/>
          </w:tcPr>
          <w:p w14:paraId="1615D59C" w14:textId="77777777" w:rsidR="00F21A3E" w:rsidRDefault="00F21A3E" w:rsidP="00495E3A">
            <w:pPr>
              <w:pStyle w:val="TableFigureHeading"/>
              <w:rPr>
                <w:lang w:val="en-US"/>
              </w:rPr>
            </w:pPr>
            <w:r>
              <w:rPr>
                <w:lang w:val="en-US"/>
              </w:rPr>
              <w:t>90% CI of the geometric mean ratios</w:t>
            </w:r>
          </w:p>
        </w:tc>
      </w:tr>
      <w:tr w:rsidR="00F21A3E" w14:paraId="2F85E5E3" w14:textId="77777777" w:rsidTr="008E20C1">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294A0" w14:textId="77777777" w:rsidR="00F21A3E" w:rsidRDefault="00F21A3E" w:rsidP="00495E3A">
            <w:pPr>
              <w:rPr>
                <w:rFonts w:asciiTheme="minorHAnsi" w:eastAsia="SimSun" w:hAnsiTheme="minorHAnsi" w:cstheme="minorHAnsi"/>
                <w:b/>
                <w:sz w:val="18"/>
                <w:szCs w:val="18"/>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7BFCA140" w14:textId="77777777" w:rsidR="00F21A3E" w:rsidRDefault="00F21A3E" w:rsidP="00495E3A">
            <w:pPr>
              <w:pStyle w:val="TableFigureHeading"/>
              <w:rPr>
                <w:lang w:val="en-US"/>
              </w:rPr>
            </w:pPr>
            <w:r>
              <w:rPr>
                <w:lang w:val="en-US"/>
              </w:rPr>
              <w:t>DRF</w:t>
            </w:r>
          </w:p>
        </w:tc>
        <w:tc>
          <w:tcPr>
            <w:tcW w:w="879" w:type="pct"/>
            <w:tcBorders>
              <w:top w:val="single" w:sz="4" w:space="0" w:color="auto"/>
              <w:left w:val="single" w:sz="4" w:space="0" w:color="auto"/>
              <w:bottom w:val="single" w:sz="4" w:space="0" w:color="auto"/>
              <w:right w:val="single" w:sz="4" w:space="0" w:color="auto"/>
            </w:tcBorders>
            <w:vAlign w:val="center"/>
            <w:hideMark/>
          </w:tcPr>
          <w:p w14:paraId="25C3205E" w14:textId="77777777" w:rsidR="00F21A3E" w:rsidRDefault="00F21A3E" w:rsidP="00495E3A">
            <w:pPr>
              <w:pStyle w:val="TableFigureHeading"/>
              <w:rPr>
                <w:lang w:val="en-US"/>
              </w:rPr>
            </w:pPr>
            <w:r>
              <w:rPr>
                <w:lang w:val="en-US"/>
              </w:rPr>
              <w:t>DMF</w:t>
            </w:r>
          </w:p>
        </w:tc>
        <w:tc>
          <w:tcPr>
            <w:tcW w:w="810" w:type="pct"/>
            <w:vMerge/>
            <w:tcBorders>
              <w:top w:val="single" w:sz="4" w:space="0" w:color="auto"/>
              <w:left w:val="single" w:sz="4" w:space="0" w:color="auto"/>
              <w:bottom w:val="single" w:sz="4" w:space="0" w:color="auto"/>
              <w:right w:val="single" w:sz="4" w:space="0" w:color="auto"/>
            </w:tcBorders>
            <w:vAlign w:val="center"/>
            <w:hideMark/>
          </w:tcPr>
          <w:p w14:paraId="49BD8366" w14:textId="77777777" w:rsidR="00F21A3E" w:rsidRDefault="00F21A3E" w:rsidP="00495E3A">
            <w:pPr>
              <w:rPr>
                <w:rFonts w:asciiTheme="minorHAnsi" w:eastAsia="SimSun" w:hAnsiTheme="minorHAnsi" w:cstheme="minorHAnsi"/>
                <w:b/>
                <w:sz w:val="18"/>
                <w:szCs w:val="18"/>
                <w:lang w:val="en-US" w:eastAsia="en-US"/>
              </w:rPr>
            </w:pPr>
          </w:p>
        </w:tc>
        <w:tc>
          <w:tcPr>
            <w:tcW w:w="1172" w:type="pct"/>
            <w:vMerge/>
            <w:tcBorders>
              <w:top w:val="single" w:sz="4" w:space="0" w:color="auto"/>
              <w:left w:val="single" w:sz="4" w:space="0" w:color="auto"/>
              <w:bottom w:val="single" w:sz="4" w:space="0" w:color="auto"/>
              <w:right w:val="single" w:sz="4" w:space="0" w:color="auto"/>
            </w:tcBorders>
            <w:vAlign w:val="center"/>
            <w:hideMark/>
          </w:tcPr>
          <w:p w14:paraId="0666C450" w14:textId="77777777" w:rsidR="00F21A3E" w:rsidRDefault="00F21A3E" w:rsidP="00495E3A">
            <w:pPr>
              <w:rPr>
                <w:rFonts w:asciiTheme="minorHAnsi" w:eastAsia="SimSun" w:hAnsiTheme="minorHAnsi" w:cstheme="minorHAnsi"/>
                <w:b/>
                <w:sz w:val="18"/>
                <w:szCs w:val="18"/>
                <w:lang w:val="en-US" w:eastAsia="en-US"/>
              </w:rPr>
            </w:pPr>
          </w:p>
        </w:tc>
      </w:tr>
      <w:tr w:rsidR="00F21A3E" w14:paraId="75985141" w14:textId="77777777" w:rsidTr="008E20C1">
        <w:trPr>
          <w:trHeight w:val="323"/>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3ED1117A" w14:textId="77777777" w:rsidR="00F21A3E" w:rsidRDefault="00F21A3E" w:rsidP="00495E3A">
            <w:pPr>
              <w:pStyle w:val="TableFigureHeading"/>
              <w:rPr>
                <w:rFonts w:eastAsia="Calibri"/>
                <w:lang w:val="en-US"/>
              </w:rPr>
            </w:pPr>
            <w:r>
              <w:rPr>
                <w:lang w:val="en-US"/>
              </w:rPr>
              <w:t>Study ALK8700-A103</w:t>
            </w:r>
          </w:p>
        </w:tc>
      </w:tr>
      <w:tr w:rsidR="00F21A3E" w14:paraId="4A990AC4" w14:textId="77777777" w:rsidTr="008E20C1">
        <w:tc>
          <w:tcPr>
            <w:tcW w:w="889" w:type="pct"/>
            <w:tcBorders>
              <w:top w:val="single" w:sz="4" w:space="0" w:color="auto"/>
              <w:left w:val="single" w:sz="4" w:space="0" w:color="auto"/>
              <w:bottom w:val="single" w:sz="4" w:space="0" w:color="auto"/>
              <w:right w:val="single" w:sz="4" w:space="0" w:color="auto"/>
            </w:tcBorders>
            <w:vAlign w:val="center"/>
            <w:hideMark/>
          </w:tcPr>
          <w:p w14:paraId="6F7225F1" w14:textId="77777777" w:rsidR="00F21A3E" w:rsidRPr="00BE65EA" w:rsidRDefault="00F21A3E" w:rsidP="00495E3A">
            <w:pPr>
              <w:pStyle w:val="Tabletext"/>
              <w:rPr>
                <w:rFonts w:eastAsia="SimSun"/>
                <w:szCs w:val="20"/>
                <w:lang w:val="en-US"/>
              </w:rPr>
            </w:pPr>
            <w:r w:rsidRPr="00BE65EA">
              <w:rPr>
                <w:rFonts w:eastAsia="SimSun"/>
                <w:szCs w:val="20"/>
                <w:lang w:val="en-US"/>
              </w:rPr>
              <w:t xml:space="preserve">AUC </w:t>
            </w:r>
            <w:r w:rsidRPr="00BE65EA">
              <w:rPr>
                <w:rFonts w:eastAsia="SimSun"/>
                <w:szCs w:val="20"/>
                <w:vertAlign w:val="subscript"/>
                <w:lang w:val="en-US"/>
              </w:rPr>
              <w:t>0-last</w:t>
            </w:r>
            <w:r w:rsidRPr="00BE65EA">
              <w:rPr>
                <w:rFonts w:eastAsia="SimSun"/>
                <w:szCs w:val="20"/>
                <w:lang w:val="en-US"/>
              </w:rPr>
              <w:t xml:space="preserve"> (</w:t>
            </w:r>
            <w:proofErr w:type="spellStart"/>
            <w:r w:rsidRPr="00BE65EA">
              <w:rPr>
                <w:rFonts w:eastAsia="SimSun"/>
                <w:szCs w:val="20"/>
                <w:lang w:val="en-US"/>
              </w:rPr>
              <w:t>h•μg</w:t>
            </w:r>
            <w:proofErr w:type="spellEnd"/>
            <w:r w:rsidRPr="00BE65EA">
              <w:rPr>
                <w:rFonts w:eastAsia="SimSun"/>
                <w:szCs w:val="20"/>
                <w:lang w:val="en-US"/>
              </w:rPr>
              <w:t>/mL)</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9268E28" w14:textId="77777777" w:rsidR="00F21A3E" w:rsidRPr="00283C9A" w:rsidRDefault="00F21A3E" w:rsidP="00495E3A">
            <w:pPr>
              <w:pStyle w:val="Tabletext"/>
              <w:rPr>
                <w:rFonts w:eastAsia="Calibri"/>
                <w:szCs w:val="20"/>
                <w:lang w:val="en-US"/>
              </w:rPr>
            </w:pPr>
            <w:r w:rsidRPr="00283C9A">
              <w:rPr>
                <w:szCs w:val="20"/>
                <w:lang w:val="en-US"/>
              </w:rPr>
              <w:t>3.38 (0.05)</w:t>
            </w:r>
          </w:p>
          <w:p w14:paraId="272854E6" w14:textId="77777777" w:rsidR="00F21A3E" w:rsidRPr="00283C9A" w:rsidRDefault="00F21A3E" w:rsidP="00495E3A">
            <w:pPr>
              <w:pStyle w:val="Tabletext"/>
              <w:rPr>
                <w:szCs w:val="20"/>
                <w:lang w:val="en-US"/>
              </w:rPr>
            </w:pPr>
            <w:r w:rsidRPr="00283C9A">
              <w:rPr>
                <w:szCs w:val="20"/>
                <w:lang w:val="en-US"/>
              </w:rPr>
              <w:t>n=35</w:t>
            </w:r>
          </w:p>
        </w:tc>
        <w:tc>
          <w:tcPr>
            <w:tcW w:w="879" w:type="pct"/>
            <w:tcBorders>
              <w:top w:val="single" w:sz="4" w:space="0" w:color="auto"/>
              <w:left w:val="single" w:sz="4" w:space="0" w:color="auto"/>
              <w:bottom w:val="single" w:sz="4" w:space="0" w:color="auto"/>
              <w:right w:val="single" w:sz="4" w:space="0" w:color="auto"/>
            </w:tcBorders>
            <w:vAlign w:val="center"/>
            <w:hideMark/>
          </w:tcPr>
          <w:p w14:paraId="514DB027" w14:textId="77777777" w:rsidR="00F21A3E" w:rsidRPr="00283C9A" w:rsidRDefault="00F21A3E" w:rsidP="00495E3A">
            <w:pPr>
              <w:pStyle w:val="Tabletext"/>
              <w:rPr>
                <w:szCs w:val="20"/>
                <w:lang w:val="en-US"/>
              </w:rPr>
            </w:pPr>
            <w:r w:rsidRPr="00283C9A">
              <w:rPr>
                <w:szCs w:val="20"/>
                <w:lang w:val="en-US"/>
              </w:rPr>
              <w:t>3.14 (0.05)</w:t>
            </w:r>
          </w:p>
          <w:p w14:paraId="2C6BB5A4" w14:textId="77777777" w:rsidR="00F21A3E" w:rsidRPr="00283C9A" w:rsidRDefault="00F21A3E" w:rsidP="00495E3A">
            <w:pPr>
              <w:pStyle w:val="Tabletext"/>
              <w:rPr>
                <w:szCs w:val="20"/>
                <w:lang w:val="en-US"/>
              </w:rPr>
            </w:pPr>
            <w:r w:rsidRPr="00283C9A">
              <w:rPr>
                <w:szCs w:val="20"/>
                <w:lang w:val="en-US"/>
              </w:rPr>
              <w:t>n=35</w:t>
            </w:r>
          </w:p>
        </w:tc>
        <w:tc>
          <w:tcPr>
            <w:tcW w:w="810" w:type="pct"/>
            <w:tcBorders>
              <w:top w:val="single" w:sz="4" w:space="0" w:color="auto"/>
              <w:left w:val="single" w:sz="4" w:space="0" w:color="auto"/>
              <w:bottom w:val="single" w:sz="4" w:space="0" w:color="auto"/>
              <w:right w:val="single" w:sz="4" w:space="0" w:color="auto"/>
            </w:tcBorders>
            <w:vAlign w:val="center"/>
            <w:hideMark/>
          </w:tcPr>
          <w:p w14:paraId="3B241684" w14:textId="77777777" w:rsidR="00F21A3E" w:rsidRPr="00283C9A" w:rsidRDefault="00F21A3E" w:rsidP="00495E3A">
            <w:pPr>
              <w:pStyle w:val="Tabletext"/>
              <w:rPr>
                <w:szCs w:val="20"/>
                <w:lang w:val="en-US"/>
              </w:rPr>
            </w:pPr>
            <w:r w:rsidRPr="00283C9A">
              <w:rPr>
                <w:szCs w:val="20"/>
                <w:lang w:val="en-US"/>
              </w:rPr>
              <w:t>1.08</w:t>
            </w:r>
          </w:p>
        </w:tc>
        <w:tc>
          <w:tcPr>
            <w:tcW w:w="1172" w:type="pct"/>
            <w:tcBorders>
              <w:top w:val="single" w:sz="4" w:space="0" w:color="auto"/>
              <w:left w:val="single" w:sz="4" w:space="0" w:color="auto"/>
              <w:bottom w:val="single" w:sz="4" w:space="0" w:color="auto"/>
              <w:right w:val="single" w:sz="4" w:space="0" w:color="auto"/>
            </w:tcBorders>
            <w:vAlign w:val="center"/>
            <w:hideMark/>
          </w:tcPr>
          <w:p w14:paraId="728099CC" w14:textId="77777777" w:rsidR="00F21A3E" w:rsidRPr="00283C9A" w:rsidRDefault="00F21A3E" w:rsidP="00495E3A">
            <w:pPr>
              <w:pStyle w:val="Tabletext"/>
              <w:rPr>
                <w:szCs w:val="20"/>
                <w:lang w:val="en-US"/>
              </w:rPr>
            </w:pPr>
            <w:r w:rsidRPr="00283C9A">
              <w:rPr>
                <w:szCs w:val="20"/>
                <w:lang w:val="en-US"/>
              </w:rPr>
              <w:t>(1.00, 1.16)</w:t>
            </w:r>
          </w:p>
        </w:tc>
      </w:tr>
      <w:tr w:rsidR="00F21A3E" w14:paraId="4F74E162" w14:textId="77777777" w:rsidTr="008E20C1">
        <w:tc>
          <w:tcPr>
            <w:tcW w:w="889" w:type="pct"/>
            <w:tcBorders>
              <w:top w:val="single" w:sz="4" w:space="0" w:color="auto"/>
              <w:left w:val="single" w:sz="4" w:space="0" w:color="auto"/>
              <w:bottom w:val="single" w:sz="4" w:space="0" w:color="auto"/>
              <w:right w:val="single" w:sz="4" w:space="0" w:color="auto"/>
            </w:tcBorders>
            <w:vAlign w:val="center"/>
            <w:hideMark/>
          </w:tcPr>
          <w:p w14:paraId="6C3ECB28" w14:textId="77777777" w:rsidR="00F21A3E" w:rsidRPr="00283C9A" w:rsidRDefault="00F21A3E" w:rsidP="00495E3A">
            <w:pPr>
              <w:pStyle w:val="Tabletext"/>
              <w:rPr>
                <w:rFonts w:eastAsia="SimSun"/>
                <w:szCs w:val="20"/>
                <w:vertAlign w:val="subscript"/>
                <w:lang w:val="en-US"/>
              </w:rPr>
            </w:pPr>
            <w:r w:rsidRPr="00BE65EA">
              <w:rPr>
                <w:rFonts w:eastAsia="SimSun"/>
                <w:szCs w:val="20"/>
                <w:lang w:val="en-US"/>
              </w:rPr>
              <w:t xml:space="preserve">AUC </w:t>
            </w:r>
            <w:r w:rsidRPr="00BE65EA">
              <w:rPr>
                <w:rFonts w:eastAsia="SimSun"/>
                <w:szCs w:val="20"/>
                <w:vertAlign w:val="subscript"/>
                <w:lang w:val="en-US"/>
              </w:rPr>
              <w:t>0-∞</w:t>
            </w:r>
          </w:p>
          <w:p w14:paraId="4004A216" w14:textId="77777777" w:rsidR="00F21A3E" w:rsidRPr="00BE65EA" w:rsidRDefault="00F21A3E" w:rsidP="00495E3A">
            <w:pPr>
              <w:pStyle w:val="Tabletext"/>
              <w:rPr>
                <w:rFonts w:eastAsia="SimSun"/>
                <w:szCs w:val="20"/>
                <w:lang w:val="en-US"/>
              </w:rPr>
            </w:pPr>
            <w:r w:rsidRPr="00BE65EA">
              <w:rPr>
                <w:rFonts w:eastAsia="SimSun"/>
                <w:szCs w:val="20"/>
                <w:lang w:val="en-US"/>
              </w:rPr>
              <w:t>(</w:t>
            </w:r>
            <w:proofErr w:type="spellStart"/>
            <w:r w:rsidRPr="00BE65EA">
              <w:rPr>
                <w:rFonts w:eastAsia="SimSun"/>
                <w:szCs w:val="20"/>
                <w:lang w:val="en-US"/>
              </w:rPr>
              <w:t>h•μg</w:t>
            </w:r>
            <w:proofErr w:type="spellEnd"/>
            <w:r w:rsidRPr="00BE65EA">
              <w:rPr>
                <w:rFonts w:eastAsia="SimSun"/>
                <w:szCs w:val="20"/>
                <w:lang w:val="en-US"/>
              </w:rPr>
              <w:t>/mL)</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CCAF6D8" w14:textId="77777777" w:rsidR="00F21A3E" w:rsidRPr="00283C9A" w:rsidRDefault="00F21A3E" w:rsidP="00495E3A">
            <w:pPr>
              <w:pStyle w:val="Tabletext"/>
              <w:rPr>
                <w:rFonts w:eastAsia="Calibri"/>
                <w:szCs w:val="20"/>
                <w:lang w:val="en-US"/>
              </w:rPr>
            </w:pPr>
            <w:r w:rsidRPr="00283C9A">
              <w:rPr>
                <w:szCs w:val="20"/>
                <w:lang w:val="en-US"/>
              </w:rPr>
              <w:t>3.57 (0.06)</w:t>
            </w:r>
          </w:p>
          <w:p w14:paraId="616C6F91" w14:textId="77777777" w:rsidR="00F21A3E" w:rsidRPr="00283C9A" w:rsidRDefault="00F21A3E" w:rsidP="00495E3A">
            <w:pPr>
              <w:pStyle w:val="Tabletext"/>
              <w:rPr>
                <w:szCs w:val="20"/>
                <w:lang w:val="en-US"/>
              </w:rPr>
            </w:pPr>
            <w:r w:rsidRPr="00283C9A">
              <w:rPr>
                <w:szCs w:val="20"/>
                <w:lang w:val="en-US"/>
              </w:rPr>
              <w:t>n=22</w:t>
            </w:r>
          </w:p>
        </w:tc>
        <w:tc>
          <w:tcPr>
            <w:tcW w:w="879" w:type="pct"/>
            <w:tcBorders>
              <w:top w:val="single" w:sz="4" w:space="0" w:color="auto"/>
              <w:left w:val="single" w:sz="4" w:space="0" w:color="auto"/>
              <w:bottom w:val="single" w:sz="4" w:space="0" w:color="auto"/>
              <w:right w:val="single" w:sz="4" w:space="0" w:color="auto"/>
            </w:tcBorders>
            <w:vAlign w:val="center"/>
            <w:hideMark/>
          </w:tcPr>
          <w:p w14:paraId="1801093C" w14:textId="77777777" w:rsidR="00F21A3E" w:rsidRPr="00283C9A" w:rsidRDefault="00F21A3E" w:rsidP="00495E3A">
            <w:pPr>
              <w:pStyle w:val="Tabletext"/>
              <w:rPr>
                <w:szCs w:val="20"/>
                <w:lang w:val="en-US"/>
              </w:rPr>
            </w:pPr>
            <w:r w:rsidRPr="00283C9A">
              <w:rPr>
                <w:szCs w:val="20"/>
                <w:lang w:val="en-US"/>
              </w:rPr>
              <w:t>3.56 (0.07)</w:t>
            </w:r>
          </w:p>
          <w:p w14:paraId="7ACC0A6D" w14:textId="77777777" w:rsidR="00F21A3E" w:rsidRPr="00283C9A" w:rsidRDefault="00F21A3E" w:rsidP="00495E3A">
            <w:pPr>
              <w:pStyle w:val="Tabletext"/>
              <w:rPr>
                <w:szCs w:val="20"/>
                <w:lang w:val="en-US"/>
              </w:rPr>
            </w:pPr>
            <w:r w:rsidRPr="00283C9A">
              <w:rPr>
                <w:szCs w:val="20"/>
                <w:lang w:val="en-US"/>
              </w:rPr>
              <w:t>n=14</w:t>
            </w:r>
          </w:p>
        </w:tc>
        <w:tc>
          <w:tcPr>
            <w:tcW w:w="810" w:type="pct"/>
            <w:tcBorders>
              <w:top w:val="single" w:sz="4" w:space="0" w:color="auto"/>
              <w:left w:val="single" w:sz="4" w:space="0" w:color="auto"/>
              <w:bottom w:val="single" w:sz="4" w:space="0" w:color="auto"/>
              <w:right w:val="single" w:sz="4" w:space="0" w:color="auto"/>
            </w:tcBorders>
            <w:vAlign w:val="center"/>
            <w:hideMark/>
          </w:tcPr>
          <w:p w14:paraId="00B8EA51" w14:textId="77777777" w:rsidR="00F21A3E" w:rsidRPr="00283C9A" w:rsidRDefault="00F21A3E" w:rsidP="00495E3A">
            <w:pPr>
              <w:pStyle w:val="Tabletext"/>
              <w:rPr>
                <w:szCs w:val="20"/>
                <w:lang w:val="en-US"/>
              </w:rPr>
            </w:pPr>
            <w:r w:rsidRPr="00283C9A">
              <w:rPr>
                <w:szCs w:val="20"/>
                <w:lang w:val="en-US"/>
              </w:rPr>
              <w:t>1.00</w:t>
            </w:r>
          </w:p>
        </w:tc>
        <w:tc>
          <w:tcPr>
            <w:tcW w:w="1172" w:type="pct"/>
            <w:tcBorders>
              <w:top w:val="single" w:sz="4" w:space="0" w:color="auto"/>
              <w:left w:val="single" w:sz="4" w:space="0" w:color="auto"/>
              <w:bottom w:val="single" w:sz="4" w:space="0" w:color="auto"/>
              <w:right w:val="single" w:sz="4" w:space="0" w:color="auto"/>
            </w:tcBorders>
            <w:vAlign w:val="center"/>
            <w:hideMark/>
          </w:tcPr>
          <w:p w14:paraId="5101DC7F" w14:textId="77777777" w:rsidR="00F21A3E" w:rsidRPr="00283C9A" w:rsidRDefault="00F21A3E" w:rsidP="00495E3A">
            <w:pPr>
              <w:pStyle w:val="Tabletext"/>
              <w:rPr>
                <w:szCs w:val="20"/>
                <w:lang w:val="en-US"/>
              </w:rPr>
            </w:pPr>
            <w:r w:rsidRPr="00283C9A">
              <w:rPr>
                <w:szCs w:val="20"/>
                <w:lang w:val="en-US"/>
              </w:rPr>
              <w:t>(0.88, 1.14)</w:t>
            </w:r>
          </w:p>
        </w:tc>
      </w:tr>
      <w:tr w:rsidR="00F21A3E" w14:paraId="58901586" w14:textId="77777777" w:rsidTr="008E20C1">
        <w:tc>
          <w:tcPr>
            <w:tcW w:w="889" w:type="pct"/>
            <w:tcBorders>
              <w:top w:val="single" w:sz="4" w:space="0" w:color="auto"/>
              <w:left w:val="single" w:sz="4" w:space="0" w:color="auto"/>
              <w:bottom w:val="single" w:sz="4" w:space="0" w:color="auto"/>
              <w:right w:val="single" w:sz="4" w:space="0" w:color="auto"/>
            </w:tcBorders>
            <w:vAlign w:val="center"/>
            <w:hideMark/>
          </w:tcPr>
          <w:p w14:paraId="51F74B76" w14:textId="77777777" w:rsidR="00F21A3E" w:rsidRPr="00283C9A" w:rsidRDefault="00F21A3E" w:rsidP="00495E3A">
            <w:pPr>
              <w:pStyle w:val="Tabletext"/>
              <w:rPr>
                <w:rFonts w:eastAsia="SimSun"/>
                <w:szCs w:val="20"/>
                <w:lang w:val="en-US"/>
              </w:rPr>
            </w:pPr>
            <w:proofErr w:type="spellStart"/>
            <w:r w:rsidRPr="00BE65EA">
              <w:rPr>
                <w:rFonts w:eastAsia="SimSun"/>
                <w:szCs w:val="20"/>
                <w:lang w:val="en-US"/>
              </w:rPr>
              <w:t>C</w:t>
            </w:r>
            <w:r w:rsidRPr="00BE65EA">
              <w:rPr>
                <w:rFonts w:eastAsia="SimSun"/>
                <w:szCs w:val="20"/>
                <w:vertAlign w:val="subscript"/>
                <w:lang w:val="en-US"/>
              </w:rPr>
              <w:t>max</w:t>
            </w:r>
            <w:proofErr w:type="spellEnd"/>
            <w:r w:rsidRPr="00BE65EA">
              <w:rPr>
                <w:rFonts w:eastAsia="SimSun"/>
                <w:szCs w:val="20"/>
                <w:lang w:val="en-US"/>
              </w:rPr>
              <w:t xml:space="preserve"> (</w:t>
            </w:r>
            <w:proofErr w:type="spellStart"/>
            <w:r w:rsidRPr="00BE65EA">
              <w:rPr>
                <w:rFonts w:eastAsia="SimSun"/>
                <w:szCs w:val="20"/>
                <w:lang w:val="en-US"/>
              </w:rPr>
              <w:t>μg</w:t>
            </w:r>
            <w:proofErr w:type="spellEnd"/>
            <w:r w:rsidRPr="00BE65EA">
              <w:rPr>
                <w:rFonts w:eastAsia="SimSun"/>
                <w:szCs w:val="20"/>
                <w:lang w:val="en-US"/>
              </w:rPr>
              <w:t>/mL)</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716C610" w14:textId="77777777" w:rsidR="00F21A3E" w:rsidRPr="00283C9A" w:rsidRDefault="00F21A3E" w:rsidP="00495E3A">
            <w:pPr>
              <w:pStyle w:val="Tabletext"/>
              <w:rPr>
                <w:rFonts w:eastAsia="Calibri"/>
                <w:szCs w:val="20"/>
                <w:lang w:val="en-US"/>
              </w:rPr>
            </w:pPr>
            <w:r w:rsidRPr="00283C9A">
              <w:rPr>
                <w:szCs w:val="20"/>
                <w:lang w:val="en-US"/>
              </w:rPr>
              <w:t>1.57 (0.07)</w:t>
            </w:r>
          </w:p>
          <w:p w14:paraId="5FB8FF45" w14:textId="77777777" w:rsidR="00F21A3E" w:rsidRPr="00283C9A" w:rsidRDefault="00F21A3E" w:rsidP="00495E3A">
            <w:pPr>
              <w:pStyle w:val="Tabletext"/>
              <w:rPr>
                <w:szCs w:val="20"/>
                <w:lang w:val="en-US"/>
              </w:rPr>
            </w:pPr>
            <w:r w:rsidRPr="00283C9A">
              <w:rPr>
                <w:szCs w:val="20"/>
                <w:lang w:val="en-US"/>
              </w:rPr>
              <w:t>n=35</w:t>
            </w:r>
          </w:p>
        </w:tc>
        <w:tc>
          <w:tcPr>
            <w:tcW w:w="879" w:type="pct"/>
            <w:tcBorders>
              <w:top w:val="single" w:sz="4" w:space="0" w:color="auto"/>
              <w:left w:val="single" w:sz="4" w:space="0" w:color="auto"/>
              <w:bottom w:val="single" w:sz="4" w:space="0" w:color="auto"/>
              <w:right w:val="single" w:sz="4" w:space="0" w:color="auto"/>
            </w:tcBorders>
            <w:vAlign w:val="center"/>
            <w:hideMark/>
          </w:tcPr>
          <w:p w14:paraId="5725E164" w14:textId="77777777" w:rsidR="00F21A3E" w:rsidRPr="00283C9A" w:rsidRDefault="00F21A3E" w:rsidP="00495E3A">
            <w:pPr>
              <w:pStyle w:val="Tabletext"/>
              <w:rPr>
                <w:szCs w:val="20"/>
                <w:lang w:val="en-US"/>
              </w:rPr>
            </w:pPr>
            <w:r w:rsidRPr="00283C9A">
              <w:rPr>
                <w:szCs w:val="20"/>
                <w:lang w:val="en-US"/>
              </w:rPr>
              <w:t>1.67 (0.07)</w:t>
            </w:r>
          </w:p>
          <w:p w14:paraId="6344A5AC" w14:textId="77777777" w:rsidR="00F21A3E" w:rsidRPr="00283C9A" w:rsidRDefault="00F21A3E" w:rsidP="00495E3A">
            <w:pPr>
              <w:pStyle w:val="Tabletext"/>
              <w:rPr>
                <w:szCs w:val="20"/>
                <w:lang w:val="en-US"/>
              </w:rPr>
            </w:pPr>
            <w:r w:rsidRPr="00283C9A">
              <w:rPr>
                <w:szCs w:val="20"/>
                <w:lang w:val="en-US"/>
              </w:rPr>
              <w:t>n=35</w:t>
            </w:r>
          </w:p>
        </w:tc>
        <w:tc>
          <w:tcPr>
            <w:tcW w:w="810" w:type="pct"/>
            <w:tcBorders>
              <w:top w:val="single" w:sz="4" w:space="0" w:color="auto"/>
              <w:left w:val="single" w:sz="4" w:space="0" w:color="auto"/>
              <w:bottom w:val="single" w:sz="4" w:space="0" w:color="auto"/>
              <w:right w:val="single" w:sz="4" w:space="0" w:color="auto"/>
            </w:tcBorders>
            <w:vAlign w:val="center"/>
            <w:hideMark/>
          </w:tcPr>
          <w:p w14:paraId="5B94AA59" w14:textId="77777777" w:rsidR="00F21A3E" w:rsidRPr="00283C9A" w:rsidRDefault="00F21A3E" w:rsidP="00495E3A">
            <w:pPr>
              <w:pStyle w:val="Tabletext"/>
              <w:rPr>
                <w:szCs w:val="20"/>
                <w:lang w:val="en-US"/>
              </w:rPr>
            </w:pPr>
            <w:r w:rsidRPr="00283C9A">
              <w:rPr>
                <w:szCs w:val="20"/>
                <w:lang w:val="en-US"/>
              </w:rPr>
              <w:t xml:space="preserve">0.94 </w:t>
            </w:r>
          </w:p>
        </w:tc>
        <w:tc>
          <w:tcPr>
            <w:tcW w:w="1172" w:type="pct"/>
            <w:tcBorders>
              <w:top w:val="single" w:sz="4" w:space="0" w:color="auto"/>
              <w:left w:val="single" w:sz="4" w:space="0" w:color="auto"/>
              <w:bottom w:val="single" w:sz="4" w:space="0" w:color="auto"/>
              <w:right w:val="single" w:sz="4" w:space="0" w:color="auto"/>
            </w:tcBorders>
            <w:vAlign w:val="center"/>
            <w:hideMark/>
          </w:tcPr>
          <w:p w14:paraId="715803A0" w14:textId="77777777" w:rsidR="00F21A3E" w:rsidRPr="00283C9A" w:rsidRDefault="00F21A3E" w:rsidP="00495E3A">
            <w:pPr>
              <w:pStyle w:val="Tabletext"/>
              <w:rPr>
                <w:szCs w:val="20"/>
                <w:lang w:val="en-US"/>
              </w:rPr>
            </w:pPr>
            <w:r w:rsidRPr="00283C9A">
              <w:rPr>
                <w:szCs w:val="20"/>
                <w:lang w:val="en-US"/>
              </w:rPr>
              <w:t>(0.82, 1.07)</w:t>
            </w:r>
          </w:p>
        </w:tc>
      </w:tr>
      <w:tr w:rsidR="00F21A3E" w14:paraId="6CD33593" w14:textId="77777777" w:rsidTr="008E20C1">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A968E06" w14:textId="77777777" w:rsidR="00F21A3E" w:rsidRPr="00283C9A" w:rsidRDefault="00F21A3E" w:rsidP="00495E3A">
            <w:pPr>
              <w:pStyle w:val="TableFigureHeading"/>
              <w:rPr>
                <w:szCs w:val="20"/>
                <w:lang w:val="en-US"/>
              </w:rPr>
            </w:pPr>
            <w:r w:rsidRPr="00BE65EA">
              <w:rPr>
                <w:szCs w:val="20"/>
                <w:lang w:val="en-US"/>
              </w:rPr>
              <w:t>Study ALK8700-A104</w:t>
            </w:r>
          </w:p>
        </w:tc>
      </w:tr>
      <w:tr w:rsidR="00F21A3E" w14:paraId="2EE5D410" w14:textId="77777777" w:rsidTr="008E20C1">
        <w:tc>
          <w:tcPr>
            <w:tcW w:w="889" w:type="pct"/>
            <w:tcBorders>
              <w:top w:val="single" w:sz="4" w:space="0" w:color="auto"/>
              <w:left w:val="single" w:sz="4" w:space="0" w:color="auto"/>
              <w:bottom w:val="single" w:sz="4" w:space="0" w:color="auto"/>
              <w:right w:val="single" w:sz="4" w:space="0" w:color="auto"/>
            </w:tcBorders>
            <w:vAlign w:val="center"/>
            <w:hideMark/>
          </w:tcPr>
          <w:p w14:paraId="7DBB277C" w14:textId="77777777" w:rsidR="00F21A3E" w:rsidRPr="00BE65EA" w:rsidRDefault="00F21A3E" w:rsidP="00495E3A">
            <w:pPr>
              <w:pStyle w:val="Tabletext"/>
              <w:rPr>
                <w:rFonts w:eastAsia="SimSun"/>
                <w:szCs w:val="20"/>
                <w:lang w:val="en-US"/>
              </w:rPr>
            </w:pPr>
            <w:r w:rsidRPr="00BE65EA">
              <w:rPr>
                <w:rFonts w:eastAsia="SimSun"/>
                <w:szCs w:val="20"/>
                <w:lang w:val="en-US"/>
              </w:rPr>
              <w:t xml:space="preserve">AUC </w:t>
            </w:r>
            <w:r w:rsidRPr="00BE65EA">
              <w:rPr>
                <w:rFonts w:eastAsia="SimSun"/>
                <w:szCs w:val="20"/>
                <w:vertAlign w:val="subscript"/>
                <w:lang w:val="en-US"/>
              </w:rPr>
              <w:t>0-last</w:t>
            </w:r>
            <w:r w:rsidRPr="00BE65EA">
              <w:rPr>
                <w:rFonts w:eastAsia="SimSun"/>
                <w:szCs w:val="20"/>
                <w:lang w:val="en-US"/>
              </w:rPr>
              <w:t xml:space="preserve"> (</w:t>
            </w:r>
            <w:proofErr w:type="spellStart"/>
            <w:r w:rsidRPr="00BE65EA">
              <w:rPr>
                <w:rFonts w:eastAsia="SimSun"/>
                <w:szCs w:val="20"/>
                <w:lang w:val="en-US"/>
              </w:rPr>
              <w:t>h•μg</w:t>
            </w:r>
            <w:proofErr w:type="spellEnd"/>
            <w:r w:rsidRPr="00BE65EA">
              <w:rPr>
                <w:rFonts w:eastAsia="SimSun"/>
                <w:szCs w:val="20"/>
                <w:lang w:val="en-US"/>
              </w:rPr>
              <w:t>/mL)</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FE6AD38" w14:textId="77777777" w:rsidR="00F21A3E" w:rsidRPr="00283C9A" w:rsidRDefault="00F21A3E" w:rsidP="00495E3A">
            <w:pPr>
              <w:pStyle w:val="Tabletext"/>
              <w:rPr>
                <w:rFonts w:eastAsia="Calibri"/>
                <w:szCs w:val="20"/>
                <w:lang w:val="en-US"/>
              </w:rPr>
            </w:pPr>
            <w:r w:rsidRPr="00283C9A">
              <w:rPr>
                <w:szCs w:val="20"/>
                <w:lang w:val="en-US"/>
              </w:rPr>
              <w:t>2.69 (0.04)</w:t>
            </w:r>
          </w:p>
          <w:p w14:paraId="1F9009D9" w14:textId="77777777" w:rsidR="00F21A3E" w:rsidRPr="00283C9A" w:rsidRDefault="00F21A3E" w:rsidP="00495E3A">
            <w:pPr>
              <w:pStyle w:val="Tabletext"/>
              <w:rPr>
                <w:szCs w:val="20"/>
                <w:lang w:val="en-US"/>
              </w:rPr>
            </w:pPr>
            <w:r w:rsidRPr="00283C9A">
              <w:rPr>
                <w:szCs w:val="20"/>
                <w:lang w:val="en-US"/>
              </w:rPr>
              <w:t>n=42</w:t>
            </w:r>
          </w:p>
        </w:tc>
        <w:tc>
          <w:tcPr>
            <w:tcW w:w="879" w:type="pct"/>
            <w:tcBorders>
              <w:top w:val="single" w:sz="4" w:space="0" w:color="auto"/>
              <w:left w:val="single" w:sz="4" w:space="0" w:color="auto"/>
              <w:bottom w:val="single" w:sz="4" w:space="0" w:color="auto"/>
              <w:right w:val="single" w:sz="4" w:space="0" w:color="auto"/>
            </w:tcBorders>
            <w:vAlign w:val="center"/>
            <w:hideMark/>
          </w:tcPr>
          <w:p w14:paraId="73D68EC3" w14:textId="77777777" w:rsidR="00F21A3E" w:rsidRPr="00283C9A" w:rsidRDefault="00F21A3E" w:rsidP="00495E3A">
            <w:pPr>
              <w:pStyle w:val="Tabletext"/>
              <w:rPr>
                <w:szCs w:val="20"/>
                <w:lang w:val="en-US"/>
              </w:rPr>
            </w:pPr>
            <w:r w:rsidRPr="00283C9A">
              <w:rPr>
                <w:szCs w:val="20"/>
                <w:lang w:val="en-US"/>
              </w:rPr>
              <w:t>2.80 (0.04)</w:t>
            </w:r>
          </w:p>
          <w:p w14:paraId="092FD33E" w14:textId="77777777" w:rsidR="00F21A3E" w:rsidRPr="00283C9A" w:rsidRDefault="00F21A3E" w:rsidP="00495E3A">
            <w:pPr>
              <w:pStyle w:val="Tabletext"/>
              <w:rPr>
                <w:szCs w:val="20"/>
                <w:lang w:val="en-US"/>
              </w:rPr>
            </w:pPr>
            <w:r w:rsidRPr="00283C9A">
              <w:rPr>
                <w:szCs w:val="20"/>
                <w:lang w:val="en-US"/>
              </w:rPr>
              <w:t>n=42</w:t>
            </w:r>
          </w:p>
        </w:tc>
        <w:tc>
          <w:tcPr>
            <w:tcW w:w="810" w:type="pct"/>
            <w:tcBorders>
              <w:top w:val="single" w:sz="4" w:space="0" w:color="auto"/>
              <w:left w:val="single" w:sz="4" w:space="0" w:color="auto"/>
              <w:bottom w:val="single" w:sz="4" w:space="0" w:color="auto"/>
              <w:right w:val="single" w:sz="4" w:space="0" w:color="auto"/>
            </w:tcBorders>
            <w:vAlign w:val="center"/>
            <w:hideMark/>
          </w:tcPr>
          <w:p w14:paraId="0AC7A381" w14:textId="77777777" w:rsidR="00F21A3E" w:rsidRPr="00283C9A" w:rsidRDefault="00F21A3E" w:rsidP="00495E3A">
            <w:pPr>
              <w:pStyle w:val="Tabletext"/>
              <w:rPr>
                <w:szCs w:val="20"/>
                <w:lang w:val="en-US"/>
              </w:rPr>
            </w:pPr>
            <w:r w:rsidRPr="00283C9A">
              <w:rPr>
                <w:szCs w:val="20"/>
                <w:lang w:val="en-US"/>
              </w:rPr>
              <w:t>0.96</w:t>
            </w:r>
          </w:p>
        </w:tc>
        <w:tc>
          <w:tcPr>
            <w:tcW w:w="1172" w:type="pct"/>
            <w:tcBorders>
              <w:top w:val="single" w:sz="4" w:space="0" w:color="auto"/>
              <w:left w:val="single" w:sz="4" w:space="0" w:color="auto"/>
              <w:bottom w:val="single" w:sz="4" w:space="0" w:color="auto"/>
              <w:right w:val="single" w:sz="4" w:space="0" w:color="auto"/>
            </w:tcBorders>
            <w:vAlign w:val="center"/>
            <w:hideMark/>
          </w:tcPr>
          <w:p w14:paraId="27D84543" w14:textId="77777777" w:rsidR="00F21A3E" w:rsidRPr="00283C9A" w:rsidRDefault="00F21A3E" w:rsidP="00495E3A">
            <w:pPr>
              <w:pStyle w:val="Tabletext"/>
              <w:rPr>
                <w:szCs w:val="20"/>
                <w:lang w:val="en-US"/>
              </w:rPr>
            </w:pPr>
            <w:r w:rsidRPr="00283C9A">
              <w:rPr>
                <w:szCs w:val="20"/>
                <w:lang w:val="en-US"/>
              </w:rPr>
              <w:t>(0.89, 1.03)</w:t>
            </w:r>
          </w:p>
        </w:tc>
      </w:tr>
      <w:tr w:rsidR="00F21A3E" w14:paraId="64962986" w14:textId="77777777" w:rsidTr="008E20C1">
        <w:tc>
          <w:tcPr>
            <w:tcW w:w="889" w:type="pct"/>
            <w:tcBorders>
              <w:top w:val="single" w:sz="4" w:space="0" w:color="auto"/>
              <w:left w:val="single" w:sz="4" w:space="0" w:color="auto"/>
              <w:bottom w:val="single" w:sz="4" w:space="0" w:color="auto"/>
              <w:right w:val="single" w:sz="4" w:space="0" w:color="auto"/>
            </w:tcBorders>
            <w:vAlign w:val="center"/>
            <w:hideMark/>
          </w:tcPr>
          <w:p w14:paraId="4205308C" w14:textId="77777777" w:rsidR="00F21A3E" w:rsidRPr="00283C9A" w:rsidRDefault="00F21A3E" w:rsidP="00495E3A">
            <w:pPr>
              <w:pStyle w:val="Tabletext"/>
              <w:rPr>
                <w:rFonts w:eastAsia="SimSun"/>
                <w:szCs w:val="20"/>
                <w:vertAlign w:val="subscript"/>
                <w:lang w:val="en-US"/>
              </w:rPr>
            </w:pPr>
            <w:r w:rsidRPr="00BE65EA">
              <w:rPr>
                <w:rFonts w:eastAsia="SimSun"/>
                <w:szCs w:val="20"/>
                <w:lang w:val="en-US"/>
              </w:rPr>
              <w:t xml:space="preserve">AUC </w:t>
            </w:r>
            <w:r w:rsidRPr="00BE65EA">
              <w:rPr>
                <w:rFonts w:eastAsia="SimSun"/>
                <w:szCs w:val="20"/>
                <w:vertAlign w:val="subscript"/>
                <w:lang w:val="en-US"/>
              </w:rPr>
              <w:t>0-∞</w:t>
            </w:r>
          </w:p>
          <w:p w14:paraId="5C243051" w14:textId="77777777" w:rsidR="00F21A3E" w:rsidRPr="00BE65EA" w:rsidRDefault="00F21A3E" w:rsidP="00495E3A">
            <w:pPr>
              <w:pStyle w:val="Tabletext"/>
              <w:rPr>
                <w:rFonts w:eastAsia="SimSun"/>
                <w:szCs w:val="20"/>
                <w:lang w:val="en-US"/>
              </w:rPr>
            </w:pPr>
            <w:r w:rsidRPr="00BE65EA">
              <w:rPr>
                <w:rFonts w:eastAsia="SimSun"/>
                <w:szCs w:val="20"/>
                <w:lang w:val="en-US"/>
              </w:rPr>
              <w:t>(</w:t>
            </w:r>
            <w:proofErr w:type="spellStart"/>
            <w:r w:rsidRPr="00BE65EA">
              <w:rPr>
                <w:rFonts w:eastAsia="SimSun"/>
                <w:szCs w:val="20"/>
                <w:lang w:val="en-US"/>
              </w:rPr>
              <w:t>h•μg</w:t>
            </w:r>
            <w:proofErr w:type="spellEnd"/>
            <w:r w:rsidRPr="00BE65EA">
              <w:rPr>
                <w:rFonts w:eastAsia="SimSun"/>
                <w:szCs w:val="20"/>
                <w:lang w:val="en-US"/>
              </w:rPr>
              <w:t>/mL)</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35E7BDF" w14:textId="77777777" w:rsidR="00F21A3E" w:rsidRPr="00BE65EA" w:rsidRDefault="00F21A3E" w:rsidP="00495E3A">
            <w:pPr>
              <w:pStyle w:val="Tabletext"/>
              <w:rPr>
                <w:rFonts w:eastAsia="SimSun"/>
                <w:szCs w:val="20"/>
                <w:lang w:val="en-US"/>
              </w:rPr>
            </w:pPr>
            <w:r w:rsidRPr="00BE65EA">
              <w:rPr>
                <w:rFonts w:eastAsia="SimSun"/>
                <w:szCs w:val="20"/>
                <w:lang w:val="en-US"/>
              </w:rPr>
              <w:t>2.83 (0.05)</w:t>
            </w:r>
          </w:p>
          <w:p w14:paraId="0AC32229" w14:textId="77777777" w:rsidR="00F21A3E" w:rsidRPr="00831CE5" w:rsidRDefault="00F21A3E" w:rsidP="00495E3A">
            <w:pPr>
              <w:pStyle w:val="Tabletext"/>
              <w:rPr>
                <w:rFonts w:eastAsia="SimSun"/>
                <w:szCs w:val="20"/>
                <w:lang w:val="en-US"/>
              </w:rPr>
            </w:pPr>
            <w:r w:rsidRPr="00BE65EA">
              <w:rPr>
                <w:rFonts w:eastAsia="SimSun"/>
                <w:szCs w:val="20"/>
                <w:lang w:val="en-US"/>
              </w:rPr>
              <w:t>n=25</w:t>
            </w:r>
          </w:p>
        </w:tc>
        <w:tc>
          <w:tcPr>
            <w:tcW w:w="879" w:type="pct"/>
            <w:tcBorders>
              <w:top w:val="single" w:sz="4" w:space="0" w:color="auto"/>
              <w:left w:val="single" w:sz="4" w:space="0" w:color="auto"/>
              <w:bottom w:val="single" w:sz="4" w:space="0" w:color="auto"/>
              <w:right w:val="single" w:sz="4" w:space="0" w:color="auto"/>
            </w:tcBorders>
            <w:vAlign w:val="center"/>
            <w:hideMark/>
          </w:tcPr>
          <w:p w14:paraId="7B023404" w14:textId="77777777" w:rsidR="00F21A3E" w:rsidRPr="00831CE5" w:rsidRDefault="00F21A3E" w:rsidP="00495E3A">
            <w:pPr>
              <w:pStyle w:val="Tabletext"/>
              <w:rPr>
                <w:rFonts w:eastAsia="SimSun"/>
                <w:szCs w:val="20"/>
                <w:lang w:val="en-US"/>
              </w:rPr>
            </w:pPr>
            <w:r w:rsidRPr="00831CE5">
              <w:rPr>
                <w:rFonts w:eastAsia="SimSun"/>
                <w:szCs w:val="20"/>
                <w:lang w:val="en-US"/>
              </w:rPr>
              <w:t>3.08 (0.05)</w:t>
            </w:r>
          </w:p>
          <w:p w14:paraId="1E927557" w14:textId="77777777" w:rsidR="00F21A3E" w:rsidRPr="00831CE5" w:rsidRDefault="00F21A3E" w:rsidP="00495E3A">
            <w:pPr>
              <w:pStyle w:val="Tabletext"/>
              <w:rPr>
                <w:rFonts w:eastAsia="SimSun"/>
                <w:szCs w:val="20"/>
                <w:lang w:val="en-US"/>
              </w:rPr>
            </w:pPr>
            <w:r w:rsidRPr="00831CE5">
              <w:rPr>
                <w:rFonts w:eastAsia="SimSun"/>
                <w:szCs w:val="20"/>
                <w:lang w:val="en-US"/>
              </w:rPr>
              <w:t>n=25</w:t>
            </w:r>
          </w:p>
        </w:tc>
        <w:tc>
          <w:tcPr>
            <w:tcW w:w="810" w:type="pct"/>
            <w:tcBorders>
              <w:top w:val="single" w:sz="4" w:space="0" w:color="auto"/>
              <w:left w:val="single" w:sz="4" w:space="0" w:color="auto"/>
              <w:bottom w:val="single" w:sz="4" w:space="0" w:color="auto"/>
              <w:right w:val="single" w:sz="4" w:space="0" w:color="auto"/>
            </w:tcBorders>
            <w:vAlign w:val="center"/>
            <w:hideMark/>
          </w:tcPr>
          <w:p w14:paraId="73AC560E" w14:textId="77777777" w:rsidR="00F21A3E" w:rsidRPr="00C17387" w:rsidRDefault="00F21A3E" w:rsidP="00495E3A">
            <w:pPr>
              <w:pStyle w:val="Tabletext"/>
              <w:rPr>
                <w:rFonts w:eastAsia="SimSun"/>
                <w:szCs w:val="20"/>
                <w:lang w:val="en-US"/>
              </w:rPr>
            </w:pPr>
            <w:r w:rsidRPr="00831CE5">
              <w:rPr>
                <w:rFonts w:eastAsia="SimSun"/>
                <w:szCs w:val="20"/>
                <w:lang w:val="en-US"/>
              </w:rPr>
              <w:t>0.92</w:t>
            </w:r>
          </w:p>
        </w:tc>
        <w:tc>
          <w:tcPr>
            <w:tcW w:w="1172" w:type="pct"/>
            <w:tcBorders>
              <w:top w:val="single" w:sz="4" w:space="0" w:color="auto"/>
              <w:left w:val="single" w:sz="4" w:space="0" w:color="auto"/>
              <w:bottom w:val="single" w:sz="4" w:space="0" w:color="auto"/>
              <w:right w:val="single" w:sz="4" w:space="0" w:color="auto"/>
            </w:tcBorders>
            <w:vAlign w:val="center"/>
            <w:hideMark/>
          </w:tcPr>
          <w:p w14:paraId="356E53EB" w14:textId="77777777" w:rsidR="00F21A3E" w:rsidRPr="004E5AF8" w:rsidRDefault="00F21A3E" w:rsidP="00495E3A">
            <w:pPr>
              <w:pStyle w:val="Tabletext"/>
              <w:rPr>
                <w:rFonts w:eastAsia="SimSun"/>
                <w:szCs w:val="20"/>
                <w:lang w:val="en-US"/>
              </w:rPr>
            </w:pPr>
            <w:r w:rsidRPr="00041570">
              <w:rPr>
                <w:rFonts w:eastAsia="SimSun"/>
                <w:szCs w:val="20"/>
                <w:lang w:val="en-US"/>
              </w:rPr>
              <w:t>(0.84, 1.01)</w:t>
            </w:r>
          </w:p>
        </w:tc>
      </w:tr>
      <w:tr w:rsidR="00F21A3E" w14:paraId="25FE00EB" w14:textId="77777777" w:rsidTr="008E20C1">
        <w:trPr>
          <w:trHeight w:val="296"/>
        </w:trPr>
        <w:tc>
          <w:tcPr>
            <w:tcW w:w="889" w:type="pct"/>
            <w:tcBorders>
              <w:top w:val="single" w:sz="4" w:space="0" w:color="auto"/>
              <w:left w:val="single" w:sz="4" w:space="0" w:color="auto"/>
              <w:bottom w:val="single" w:sz="4" w:space="0" w:color="auto"/>
              <w:right w:val="single" w:sz="4" w:space="0" w:color="auto"/>
            </w:tcBorders>
            <w:vAlign w:val="center"/>
            <w:hideMark/>
          </w:tcPr>
          <w:p w14:paraId="6FC3DAA2" w14:textId="77777777" w:rsidR="00F21A3E" w:rsidRPr="00BE65EA" w:rsidRDefault="00F21A3E" w:rsidP="00495E3A">
            <w:pPr>
              <w:pStyle w:val="Tabletext"/>
              <w:rPr>
                <w:rFonts w:eastAsia="SimSun"/>
                <w:szCs w:val="20"/>
                <w:lang w:val="en-US"/>
              </w:rPr>
            </w:pPr>
            <w:proofErr w:type="spellStart"/>
            <w:r w:rsidRPr="00BE65EA">
              <w:rPr>
                <w:rFonts w:eastAsia="SimSun"/>
                <w:szCs w:val="20"/>
                <w:lang w:val="en-US"/>
              </w:rPr>
              <w:t>C</w:t>
            </w:r>
            <w:r w:rsidRPr="00BE65EA">
              <w:rPr>
                <w:rFonts w:eastAsia="SimSun"/>
                <w:szCs w:val="20"/>
                <w:vertAlign w:val="subscript"/>
                <w:lang w:val="en-US"/>
              </w:rPr>
              <w:t>max</w:t>
            </w:r>
            <w:proofErr w:type="spellEnd"/>
            <w:r w:rsidRPr="00BE65EA">
              <w:rPr>
                <w:rFonts w:eastAsia="SimSun"/>
                <w:szCs w:val="20"/>
                <w:lang w:val="en-US"/>
              </w:rPr>
              <w:t xml:space="preserve"> (</w:t>
            </w:r>
            <w:proofErr w:type="spellStart"/>
            <w:r w:rsidRPr="00BE65EA">
              <w:rPr>
                <w:rFonts w:eastAsia="SimSun"/>
                <w:szCs w:val="20"/>
                <w:lang w:val="en-US"/>
              </w:rPr>
              <w:t>μg</w:t>
            </w:r>
            <w:proofErr w:type="spellEnd"/>
            <w:r w:rsidRPr="00BE65EA">
              <w:rPr>
                <w:rFonts w:eastAsia="SimSun"/>
                <w:szCs w:val="20"/>
                <w:lang w:val="en-US"/>
              </w:rPr>
              <w:t>/mL)</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7A77AB4" w14:textId="77777777" w:rsidR="00F21A3E" w:rsidRPr="00831CE5" w:rsidRDefault="00F21A3E" w:rsidP="00495E3A">
            <w:pPr>
              <w:pStyle w:val="Tabletext"/>
              <w:rPr>
                <w:rFonts w:eastAsia="Calibri"/>
                <w:szCs w:val="20"/>
                <w:lang w:val="en-US"/>
              </w:rPr>
            </w:pPr>
            <w:r w:rsidRPr="00BE65EA">
              <w:rPr>
                <w:szCs w:val="20"/>
                <w:lang w:val="en-US"/>
              </w:rPr>
              <w:t>0.88 (0.08)</w:t>
            </w:r>
          </w:p>
          <w:p w14:paraId="7F1B1CFC" w14:textId="77777777" w:rsidR="00F21A3E" w:rsidRPr="00831CE5" w:rsidRDefault="00F21A3E" w:rsidP="00495E3A">
            <w:pPr>
              <w:pStyle w:val="Tabletext"/>
              <w:rPr>
                <w:rFonts w:eastAsia="SimSun"/>
                <w:szCs w:val="20"/>
                <w:lang w:val="en-US"/>
              </w:rPr>
            </w:pPr>
            <w:r w:rsidRPr="00831CE5">
              <w:rPr>
                <w:szCs w:val="20"/>
                <w:lang w:val="en-US"/>
              </w:rPr>
              <w:t>n=42</w:t>
            </w:r>
          </w:p>
        </w:tc>
        <w:tc>
          <w:tcPr>
            <w:tcW w:w="879" w:type="pct"/>
            <w:tcBorders>
              <w:top w:val="single" w:sz="4" w:space="0" w:color="auto"/>
              <w:left w:val="single" w:sz="4" w:space="0" w:color="auto"/>
              <w:bottom w:val="single" w:sz="4" w:space="0" w:color="auto"/>
              <w:right w:val="single" w:sz="4" w:space="0" w:color="auto"/>
            </w:tcBorders>
            <w:vAlign w:val="center"/>
            <w:hideMark/>
          </w:tcPr>
          <w:p w14:paraId="4E33E855" w14:textId="77777777" w:rsidR="00F21A3E" w:rsidRPr="00831CE5" w:rsidRDefault="00F21A3E" w:rsidP="00495E3A">
            <w:pPr>
              <w:pStyle w:val="Tabletext"/>
              <w:rPr>
                <w:rFonts w:eastAsia="Calibri"/>
                <w:szCs w:val="20"/>
                <w:lang w:val="en-US"/>
              </w:rPr>
            </w:pPr>
            <w:r w:rsidRPr="00831CE5">
              <w:rPr>
                <w:szCs w:val="20"/>
                <w:lang w:val="en-US"/>
              </w:rPr>
              <w:t>1.18 (0.08)</w:t>
            </w:r>
          </w:p>
          <w:p w14:paraId="3864D73A" w14:textId="77777777" w:rsidR="00F21A3E" w:rsidRPr="00C17387" w:rsidRDefault="00F21A3E" w:rsidP="00495E3A">
            <w:pPr>
              <w:pStyle w:val="Tabletext"/>
              <w:rPr>
                <w:rFonts w:eastAsia="SimSun"/>
                <w:szCs w:val="20"/>
                <w:lang w:val="en-US"/>
              </w:rPr>
            </w:pPr>
            <w:r w:rsidRPr="00831CE5">
              <w:rPr>
                <w:szCs w:val="20"/>
                <w:lang w:val="en-US"/>
              </w:rPr>
              <w:t>n=42</w:t>
            </w:r>
          </w:p>
        </w:tc>
        <w:tc>
          <w:tcPr>
            <w:tcW w:w="810" w:type="pct"/>
            <w:tcBorders>
              <w:top w:val="single" w:sz="4" w:space="0" w:color="auto"/>
              <w:left w:val="single" w:sz="4" w:space="0" w:color="auto"/>
              <w:bottom w:val="single" w:sz="4" w:space="0" w:color="auto"/>
              <w:right w:val="single" w:sz="4" w:space="0" w:color="auto"/>
            </w:tcBorders>
            <w:vAlign w:val="center"/>
            <w:hideMark/>
          </w:tcPr>
          <w:p w14:paraId="0FA19774" w14:textId="77777777" w:rsidR="00F21A3E" w:rsidRPr="004E5AF8" w:rsidRDefault="00F21A3E" w:rsidP="00495E3A">
            <w:pPr>
              <w:pStyle w:val="Tabletext"/>
              <w:rPr>
                <w:rFonts w:eastAsia="Calibri"/>
                <w:szCs w:val="20"/>
                <w:lang w:val="en-US"/>
              </w:rPr>
            </w:pPr>
            <w:r w:rsidRPr="00041570">
              <w:rPr>
                <w:szCs w:val="20"/>
                <w:lang w:val="en-US"/>
              </w:rPr>
              <w:t>0.74</w:t>
            </w:r>
          </w:p>
        </w:tc>
        <w:tc>
          <w:tcPr>
            <w:tcW w:w="1172" w:type="pct"/>
            <w:tcBorders>
              <w:top w:val="single" w:sz="4" w:space="0" w:color="auto"/>
              <w:left w:val="single" w:sz="4" w:space="0" w:color="auto"/>
              <w:bottom w:val="single" w:sz="4" w:space="0" w:color="auto"/>
              <w:right w:val="single" w:sz="4" w:space="0" w:color="auto"/>
            </w:tcBorders>
            <w:vAlign w:val="center"/>
            <w:hideMark/>
          </w:tcPr>
          <w:p w14:paraId="453BE647" w14:textId="77777777" w:rsidR="00F21A3E" w:rsidRPr="004E5AF8" w:rsidRDefault="00F21A3E" w:rsidP="00495E3A">
            <w:pPr>
              <w:pStyle w:val="Tabletext"/>
              <w:rPr>
                <w:szCs w:val="20"/>
                <w:lang w:val="en-US"/>
              </w:rPr>
            </w:pPr>
            <w:r w:rsidRPr="004E5AF8">
              <w:rPr>
                <w:szCs w:val="20"/>
                <w:lang w:val="en-US"/>
              </w:rPr>
              <w:t>(0.64, 0.85)</w:t>
            </w:r>
          </w:p>
        </w:tc>
      </w:tr>
    </w:tbl>
    <w:p w14:paraId="1C760A05" w14:textId="7D9DEB0B" w:rsidR="00F21A3E" w:rsidRDefault="00F21A3E" w:rsidP="00F21A3E">
      <w:pPr>
        <w:pStyle w:val="TableFigureFooter"/>
      </w:pPr>
      <w:r>
        <w:t xml:space="preserve">Source: Table 2.5.1, p 79 of the </w:t>
      </w:r>
      <w:r w:rsidR="00A23FDF">
        <w:t>Submission</w:t>
      </w:r>
      <w:r>
        <w:t xml:space="preserve">. CSR ALK8700-A103, Table 7 p47; CSR ALK8700-A104, Table 9 </w:t>
      </w:r>
      <w:proofErr w:type="gramStart"/>
      <w:r>
        <w:t>p43;</w:t>
      </w:r>
      <w:proofErr w:type="gramEnd"/>
    </w:p>
    <w:p w14:paraId="776B22B4" w14:textId="77777777" w:rsidR="00F21A3E" w:rsidRDefault="00F21A3E" w:rsidP="00F21A3E">
      <w:pPr>
        <w:pStyle w:val="TableFigureFooter"/>
      </w:pPr>
      <w:r>
        <w:t xml:space="preserve">ANCOVA, analysis of covariance; AUC∞, area under the concentration-time curve from time zero to infinity; AUC0-last, area under the curve from time zero until the last measurable concentration time point; CI, confidence interval; </w:t>
      </w:r>
      <w:proofErr w:type="spellStart"/>
      <w:r>
        <w:t>Cmax</w:t>
      </w:r>
      <w:proofErr w:type="spellEnd"/>
      <w:r>
        <w:t xml:space="preserve">, maximum plasma concentration; DMF, dimethyl fumarate; DRF, diroximel fumarate; MMF, monomethyl fumarate; n, number of subjects included in the calculation of the geometric LSM and SE, which is the number of subjects with specific PK data while on any of the dose regimens; PK, pharmacokinetic; SE, standard error; µg, microgram. </w:t>
      </w:r>
    </w:p>
    <w:p w14:paraId="641F38C4" w14:textId="77777777" w:rsidR="00F21A3E" w:rsidRDefault="00F21A3E" w:rsidP="00F21A3E">
      <w:pPr>
        <w:pStyle w:val="TableFigureFooter"/>
      </w:pPr>
      <w:r>
        <w:t>Note: The SE displayed is in logarithmic scale.</w:t>
      </w:r>
    </w:p>
    <w:p w14:paraId="1CD1AE44" w14:textId="77777777" w:rsidR="00F21A3E" w:rsidRDefault="00F21A3E" w:rsidP="00F21A3E">
      <w:pPr>
        <w:pStyle w:val="TableFigureFooter"/>
      </w:pPr>
      <w:r w:rsidRPr="00283C9A">
        <w:rPr>
          <w:vertAlign w:val="superscript"/>
        </w:rPr>
        <w:t>a</w:t>
      </w:r>
      <w:r>
        <w:t xml:space="preserve"> Based on an analysis of variance model, including treatment sequence, treatment group, and period as fixed factors and subject within treatment sequence as a random factor.</w:t>
      </w:r>
    </w:p>
    <w:p w14:paraId="3317323B" w14:textId="77EF7CA6" w:rsidR="00F21A3E" w:rsidRPr="00CE6619" w:rsidRDefault="00BD27D4" w:rsidP="00F21A3E">
      <w:pPr>
        <w:pStyle w:val="ListParagraph"/>
        <w:numPr>
          <w:ilvl w:val="1"/>
          <w:numId w:val="1"/>
        </w:numPr>
        <w:spacing w:after="160"/>
      </w:pPr>
      <w:r>
        <w:t>A</w:t>
      </w:r>
      <w:r w:rsidR="00F21A3E" w:rsidRPr="00431FBF">
        <w:t xml:space="preserve"> summary of the bioavailability results </w:t>
      </w:r>
      <w:r>
        <w:t xml:space="preserve">from </w:t>
      </w:r>
      <w:r w:rsidRPr="00431FBF">
        <w:t xml:space="preserve">Study ALK8700-A109 </w:t>
      </w:r>
      <w:r w:rsidR="00F21A3E" w:rsidRPr="00431FBF">
        <w:t>for MMF after DMF following a high fat/high calorie mea</w:t>
      </w:r>
      <w:r w:rsidR="00700FE9">
        <w:t>l</w:t>
      </w:r>
      <w:r w:rsidR="00F21A3E" w:rsidRPr="00431FBF">
        <w:t xml:space="preserve"> or DRF under medium or low</w:t>
      </w:r>
      <w:r w:rsidR="00E42F42">
        <w:t>-</w:t>
      </w:r>
      <w:r w:rsidR="00F21A3E" w:rsidRPr="00431FBF">
        <w:t xml:space="preserve">fat administration relative to DMF administration under fasted conditions are shown in Table </w:t>
      </w:r>
      <w:r w:rsidR="00AF2A00">
        <w:t>4</w:t>
      </w:r>
      <w:r w:rsidR="00F21A3E" w:rsidRPr="00431FBF">
        <w:t>.  Following administration of</w:t>
      </w:r>
      <w:r>
        <w:t xml:space="preserve"> DMF with</w:t>
      </w:r>
      <w:r w:rsidR="00F21A3E" w:rsidRPr="00431FBF">
        <w:t xml:space="preserve"> a high fat/high calorie meal, MMF </w:t>
      </w:r>
      <w:proofErr w:type="spellStart"/>
      <w:r w:rsidR="00F21A3E" w:rsidRPr="00431FBF">
        <w:t>Cmax</w:t>
      </w:r>
      <w:proofErr w:type="spellEnd"/>
      <w:r w:rsidR="00F21A3E" w:rsidRPr="00431FBF">
        <w:t xml:space="preserve">, </w:t>
      </w:r>
      <w:proofErr w:type="spellStart"/>
      <w:r w:rsidR="00F21A3E" w:rsidRPr="00431FBF">
        <w:t>AUClast</w:t>
      </w:r>
      <w:proofErr w:type="spellEnd"/>
      <w:r w:rsidR="00F21A3E" w:rsidRPr="00431FBF">
        <w:t xml:space="preserve">, and AUC∞ decreased by 41%, 18%, and 3%, respectively. Following administration of </w:t>
      </w:r>
      <w:r>
        <w:t xml:space="preserve">DRF with </w:t>
      </w:r>
      <w:r w:rsidR="00F21A3E" w:rsidRPr="00431FBF">
        <w:t xml:space="preserve">a medium fat/medium calorie meal, MMF </w:t>
      </w:r>
      <w:proofErr w:type="spellStart"/>
      <w:r w:rsidR="00F21A3E" w:rsidRPr="00431FBF">
        <w:t>Cmax</w:t>
      </w:r>
      <w:proofErr w:type="spellEnd"/>
      <w:r w:rsidR="00F21A3E" w:rsidRPr="00431FBF">
        <w:t xml:space="preserve">, </w:t>
      </w:r>
      <w:proofErr w:type="spellStart"/>
      <w:r w:rsidR="00F21A3E" w:rsidRPr="00431FBF">
        <w:t>AUClast</w:t>
      </w:r>
      <w:proofErr w:type="spellEnd"/>
      <w:r w:rsidR="00F21A3E" w:rsidRPr="00431FBF">
        <w:t xml:space="preserve">, and AUC∞ decreased by 27%, 7%, and 4%, respectively.  Following administration of </w:t>
      </w:r>
      <w:r>
        <w:t xml:space="preserve">DRF with </w:t>
      </w:r>
      <w:r w:rsidR="00F21A3E" w:rsidRPr="00431FBF">
        <w:t xml:space="preserve">a low fat/low calorie meal, MMF </w:t>
      </w:r>
      <w:proofErr w:type="spellStart"/>
      <w:r w:rsidR="00F21A3E" w:rsidRPr="00431FBF">
        <w:t>Cmax</w:t>
      </w:r>
      <w:proofErr w:type="spellEnd"/>
      <w:r w:rsidR="00F21A3E" w:rsidRPr="00431FBF">
        <w:t xml:space="preserve">, </w:t>
      </w:r>
      <w:proofErr w:type="spellStart"/>
      <w:r w:rsidR="00F21A3E" w:rsidRPr="00431FBF">
        <w:t>AUClast</w:t>
      </w:r>
      <w:proofErr w:type="spellEnd"/>
      <w:r w:rsidR="00F21A3E" w:rsidRPr="00431FBF">
        <w:t>, and AUC∞ decreased by 15%, 4%, and 2%, respectively.</w:t>
      </w:r>
    </w:p>
    <w:p w14:paraId="21459972" w14:textId="6D6EA5B4" w:rsidR="00672337" w:rsidRDefault="00672337" w:rsidP="00605DB8">
      <w:pPr>
        <w:pStyle w:val="Caption"/>
        <w:keepLines/>
      </w:pPr>
      <w:r>
        <w:t xml:space="preserve">Table </w:t>
      </w:r>
      <w:fldSimple w:instr=" SEQ Table \* ARABIC ">
        <w:r w:rsidR="00756CE2">
          <w:rPr>
            <w:noProof/>
          </w:rPr>
          <w:t>5</w:t>
        </w:r>
      </w:fldSimple>
      <w:r>
        <w:t xml:space="preserve">: </w:t>
      </w:r>
      <w:r w:rsidRPr="00BF4961">
        <w:t xml:space="preserve">Summary of mixed effects model for plasma MMF </w:t>
      </w:r>
      <w:proofErr w:type="spellStart"/>
      <w:r w:rsidRPr="00BF4961">
        <w:t>AUClast</w:t>
      </w:r>
      <w:proofErr w:type="spellEnd"/>
      <w:r w:rsidRPr="00BF4961">
        <w:t xml:space="preserve">, AUC∞ and </w:t>
      </w:r>
      <w:proofErr w:type="spellStart"/>
      <w:r w:rsidRPr="00BF4961">
        <w:t>Cmax</w:t>
      </w:r>
      <w:proofErr w:type="spellEnd"/>
      <w:r w:rsidRPr="00BF4961">
        <w:t xml:space="preserve"> following a single oral administration of DMF 240 mg (Test) or DRF 462mg (Test) versus DMF 240 mg (Reference) – PK Population- ALK8700-A109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2254"/>
        <w:gridCol w:w="1585"/>
        <w:gridCol w:w="1499"/>
        <w:gridCol w:w="2076"/>
      </w:tblGrid>
      <w:tr w:rsidR="00F21A3E" w:rsidRPr="00353DBF" w14:paraId="3F91597F" w14:textId="77777777" w:rsidTr="006B0DFD">
        <w:trPr>
          <w:tblHeader/>
        </w:trPr>
        <w:tc>
          <w:tcPr>
            <w:tcW w:w="889" w:type="pct"/>
            <w:vMerge w:val="restart"/>
            <w:tcBorders>
              <w:top w:val="single" w:sz="4" w:space="0" w:color="auto"/>
              <w:left w:val="single" w:sz="4" w:space="0" w:color="auto"/>
              <w:bottom w:val="single" w:sz="4" w:space="0" w:color="auto"/>
              <w:right w:val="single" w:sz="4" w:space="0" w:color="auto"/>
            </w:tcBorders>
            <w:vAlign w:val="center"/>
            <w:hideMark/>
          </w:tcPr>
          <w:p w14:paraId="40AF3F96" w14:textId="77777777" w:rsidR="00F21A3E" w:rsidRPr="00353DBF" w:rsidRDefault="00F21A3E" w:rsidP="00605DB8">
            <w:pPr>
              <w:keepNext/>
              <w:keepLines/>
              <w:jc w:val="left"/>
              <w:rPr>
                <w:rFonts w:ascii="Arial Narrow" w:eastAsiaTheme="majorEastAsia" w:hAnsi="Arial Narrow" w:cstheme="majorBidi"/>
                <w:b/>
                <w:bCs/>
                <w:snapToGrid w:val="0"/>
                <w:sz w:val="20"/>
                <w:lang w:val="en-US"/>
              </w:rPr>
            </w:pPr>
            <w:r w:rsidRPr="00353DBF">
              <w:rPr>
                <w:rFonts w:ascii="Arial Narrow" w:eastAsiaTheme="majorEastAsia" w:hAnsi="Arial Narrow" w:cstheme="majorBidi"/>
                <w:b/>
                <w:bCs/>
                <w:snapToGrid w:val="0"/>
                <w:sz w:val="20"/>
                <w:lang w:val="en-US"/>
              </w:rPr>
              <w:t xml:space="preserve">PK </w:t>
            </w:r>
            <w:proofErr w:type="spellStart"/>
            <w:r w:rsidRPr="00353DBF">
              <w:rPr>
                <w:rFonts w:ascii="Arial Narrow" w:eastAsiaTheme="majorEastAsia" w:hAnsi="Arial Narrow" w:cstheme="majorBidi"/>
                <w:b/>
                <w:bCs/>
                <w:snapToGrid w:val="0"/>
                <w:sz w:val="20"/>
                <w:lang w:val="en-US"/>
              </w:rPr>
              <w:t>parameter</w:t>
            </w:r>
            <w:r w:rsidRPr="00353DBF">
              <w:rPr>
                <w:rFonts w:ascii="Arial Narrow" w:eastAsiaTheme="majorEastAsia" w:hAnsi="Arial Narrow" w:cstheme="majorBidi"/>
                <w:b/>
                <w:bCs/>
                <w:snapToGrid w:val="0"/>
                <w:sz w:val="20"/>
                <w:vertAlign w:val="superscript"/>
                <w:lang w:val="en-US"/>
              </w:rPr>
              <w:t>a</w:t>
            </w:r>
            <w:proofErr w:type="spellEnd"/>
          </w:p>
        </w:tc>
        <w:tc>
          <w:tcPr>
            <w:tcW w:w="2129" w:type="pct"/>
            <w:gridSpan w:val="2"/>
            <w:tcBorders>
              <w:top w:val="single" w:sz="4" w:space="0" w:color="auto"/>
              <w:left w:val="single" w:sz="4" w:space="0" w:color="auto"/>
              <w:bottom w:val="single" w:sz="4" w:space="0" w:color="auto"/>
              <w:right w:val="single" w:sz="4" w:space="0" w:color="auto"/>
            </w:tcBorders>
            <w:vAlign w:val="center"/>
            <w:hideMark/>
          </w:tcPr>
          <w:p w14:paraId="1E273DB4" w14:textId="77777777" w:rsidR="00F21A3E" w:rsidRPr="00353DBF" w:rsidRDefault="00F21A3E" w:rsidP="00605DB8">
            <w:pPr>
              <w:keepNext/>
              <w:keepLines/>
              <w:jc w:val="left"/>
              <w:rPr>
                <w:rFonts w:ascii="Arial Narrow" w:eastAsiaTheme="majorEastAsia" w:hAnsi="Arial Narrow" w:cstheme="majorBidi"/>
                <w:b/>
                <w:bCs/>
                <w:snapToGrid w:val="0"/>
                <w:sz w:val="20"/>
                <w:lang w:val="en-US"/>
              </w:rPr>
            </w:pPr>
            <w:r w:rsidRPr="00353DBF">
              <w:rPr>
                <w:rFonts w:ascii="Arial Narrow" w:eastAsiaTheme="majorEastAsia" w:hAnsi="Arial Narrow" w:cstheme="majorBidi"/>
                <w:b/>
                <w:bCs/>
                <w:snapToGrid w:val="0"/>
                <w:sz w:val="20"/>
                <w:lang w:val="en-US"/>
              </w:rPr>
              <w:t>Geometric Mean (SE)</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14:paraId="6276DE8E" w14:textId="77777777" w:rsidR="00F21A3E" w:rsidRPr="00353DBF" w:rsidRDefault="00F21A3E" w:rsidP="00605DB8">
            <w:pPr>
              <w:keepNext/>
              <w:keepLines/>
              <w:jc w:val="left"/>
              <w:rPr>
                <w:rFonts w:ascii="Arial Narrow" w:eastAsiaTheme="majorEastAsia" w:hAnsi="Arial Narrow" w:cstheme="majorBidi"/>
                <w:b/>
                <w:bCs/>
                <w:snapToGrid w:val="0"/>
                <w:sz w:val="20"/>
                <w:lang w:val="en-US"/>
              </w:rPr>
            </w:pPr>
            <w:r w:rsidRPr="00353DBF">
              <w:rPr>
                <w:rFonts w:ascii="Arial Narrow" w:eastAsiaTheme="majorEastAsia" w:hAnsi="Arial Narrow" w:cstheme="majorBidi"/>
                <w:b/>
                <w:bCs/>
                <w:snapToGrid w:val="0"/>
                <w:sz w:val="20"/>
                <w:lang w:val="en-US"/>
              </w:rPr>
              <w:t>Geometric Mean Ratios</w:t>
            </w:r>
          </w:p>
        </w:tc>
        <w:tc>
          <w:tcPr>
            <w:tcW w:w="1151" w:type="pct"/>
            <w:vMerge w:val="restart"/>
            <w:tcBorders>
              <w:top w:val="single" w:sz="4" w:space="0" w:color="auto"/>
              <w:left w:val="single" w:sz="4" w:space="0" w:color="auto"/>
              <w:bottom w:val="single" w:sz="4" w:space="0" w:color="auto"/>
              <w:right w:val="single" w:sz="4" w:space="0" w:color="auto"/>
            </w:tcBorders>
            <w:vAlign w:val="center"/>
            <w:hideMark/>
          </w:tcPr>
          <w:p w14:paraId="0544E853" w14:textId="77777777" w:rsidR="00F21A3E" w:rsidRPr="00353DBF" w:rsidRDefault="00F21A3E" w:rsidP="00605DB8">
            <w:pPr>
              <w:keepNext/>
              <w:keepLines/>
              <w:jc w:val="left"/>
              <w:rPr>
                <w:rFonts w:ascii="Arial Narrow" w:eastAsiaTheme="majorEastAsia" w:hAnsi="Arial Narrow" w:cstheme="majorBidi"/>
                <w:b/>
                <w:bCs/>
                <w:snapToGrid w:val="0"/>
                <w:sz w:val="20"/>
                <w:lang w:val="en-US"/>
              </w:rPr>
            </w:pPr>
            <w:r w:rsidRPr="00353DBF">
              <w:rPr>
                <w:rFonts w:ascii="Arial Narrow" w:eastAsiaTheme="majorEastAsia" w:hAnsi="Arial Narrow" w:cstheme="majorBidi"/>
                <w:b/>
                <w:bCs/>
                <w:snapToGrid w:val="0"/>
                <w:sz w:val="20"/>
                <w:lang w:val="en-US"/>
              </w:rPr>
              <w:t>90% CI of the Geometric Mean Ratios</w:t>
            </w:r>
          </w:p>
        </w:tc>
      </w:tr>
      <w:tr w:rsidR="00F21A3E" w:rsidRPr="00353DBF" w14:paraId="7D77119A" w14:textId="77777777" w:rsidTr="006B0DFD">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33075" w14:textId="77777777" w:rsidR="00F21A3E" w:rsidRPr="00353DBF" w:rsidRDefault="00F21A3E" w:rsidP="00605DB8">
            <w:pPr>
              <w:keepNext/>
              <w:keepLines/>
              <w:jc w:val="left"/>
              <w:rPr>
                <w:rFonts w:ascii="Arial Narrow" w:hAnsi="Arial Narrow" w:cs="Times New Roman"/>
                <w:snapToGrid w:val="0"/>
                <w:sz w:val="20"/>
                <w:lang w:val="en-US"/>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4F06D1BE" w14:textId="77777777" w:rsidR="00F21A3E" w:rsidRPr="00353DBF" w:rsidRDefault="00F21A3E" w:rsidP="00605DB8">
            <w:pPr>
              <w:keepNext/>
              <w:keepLines/>
              <w:jc w:val="left"/>
              <w:rPr>
                <w:rFonts w:ascii="Arial Narrow" w:eastAsiaTheme="majorEastAsia" w:hAnsi="Arial Narrow" w:cstheme="majorBidi"/>
                <w:b/>
                <w:bCs/>
                <w:snapToGrid w:val="0"/>
                <w:sz w:val="20"/>
                <w:lang w:val="en-US"/>
              </w:rPr>
            </w:pPr>
            <w:r w:rsidRPr="00353DBF">
              <w:rPr>
                <w:rFonts w:ascii="Arial Narrow" w:eastAsiaTheme="majorEastAsia" w:hAnsi="Arial Narrow" w:cstheme="majorBidi"/>
                <w:b/>
                <w:bCs/>
                <w:snapToGrid w:val="0"/>
                <w:sz w:val="20"/>
                <w:lang w:val="en-US"/>
              </w:rPr>
              <w:t>DRF</w:t>
            </w:r>
          </w:p>
          <w:p w14:paraId="53A94CAD" w14:textId="77777777" w:rsidR="00F21A3E" w:rsidRPr="00353DBF" w:rsidRDefault="00F21A3E" w:rsidP="00605DB8">
            <w:pPr>
              <w:keepNext/>
              <w:keepLines/>
              <w:jc w:val="left"/>
              <w:rPr>
                <w:rFonts w:ascii="Arial Narrow" w:eastAsiaTheme="majorEastAsia" w:hAnsi="Arial Narrow" w:cstheme="majorBidi"/>
                <w:b/>
                <w:bCs/>
                <w:snapToGrid w:val="0"/>
                <w:sz w:val="20"/>
                <w:lang w:val="en-US"/>
              </w:rPr>
            </w:pPr>
            <w:r w:rsidRPr="00353DBF">
              <w:rPr>
                <w:rFonts w:ascii="Arial Narrow" w:eastAsiaTheme="majorEastAsia" w:hAnsi="Arial Narrow" w:cstheme="majorBidi"/>
                <w:b/>
                <w:bCs/>
                <w:snapToGrid w:val="0"/>
                <w:sz w:val="20"/>
                <w:lang w:val="en-US"/>
              </w:rPr>
              <w:t>N=48</w:t>
            </w:r>
          </w:p>
        </w:tc>
        <w:tc>
          <w:tcPr>
            <w:tcW w:w="879" w:type="pct"/>
            <w:tcBorders>
              <w:top w:val="single" w:sz="4" w:space="0" w:color="auto"/>
              <w:left w:val="single" w:sz="4" w:space="0" w:color="auto"/>
              <w:bottom w:val="single" w:sz="4" w:space="0" w:color="auto"/>
              <w:right w:val="single" w:sz="4" w:space="0" w:color="auto"/>
            </w:tcBorders>
            <w:vAlign w:val="center"/>
            <w:hideMark/>
          </w:tcPr>
          <w:p w14:paraId="20EF5CD8" w14:textId="77777777" w:rsidR="00F21A3E" w:rsidRPr="00353DBF" w:rsidRDefault="00F21A3E" w:rsidP="00605DB8">
            <w:pPr>
              <w:keepNext/>
              <w:keepLines/>
              <w:jc w:val="left"/>
              <w:rPr>
                <w:rFonts w:ascii="Arial Narrow" w:eastAsiaTheme="majorEastAsia" w:hAnsi="Arial Narrow" w:cstheme="majorBidi"/>
                <w:b/>
                <w:bCs/>
                <w:snapToGrid w:val="0"/>
                <w:sz w:val="20"/>
                <w:lang w:val="en-US"/>
              </w:rPr>
            </w:pPr>
            <w:r w:rsidRPr="00353DBF">
              <w:rPr>
                <w:rFonts w:ascii="Arial Narrow" w:eastAsiaTheme="majorEastAsia" w:hAnsi="Arial Narrow" w:cstheme="majorBidi"/>
                <w:b/>
                <w:bCs/>
                <w:snapToGrid w:val="0"/>
                <w:sz w:val="20"/>
                <w:lang w:val="en-US"/>
              </w:rPr>
              <w:t>DMF</w:t>
            </w:r>
          </w:p>
          <w:p w14:paraId="19C995B3" w14:textId="77777777" w:rsidR="00F21A3E" w:rsidRPr="00353DBF" w:rsidRDefault="00F21A3E" w:rsidP="00605DB8">
            <w:pPr>
              <w:keepNext/>
              <w:keepLines/>
              <w:jc w:val="left"/>
              <w:rPr>
                <w:rFonts w:ascii="Arial Narrow" w:eastAsiaTheme="majorEastAsia" w:hAnsi="Arial Narrow" w:cstheme="majorBidi"/>
                <w:b/>
                <w:bCs/>
                <w:snapToGrid w:val="0"/>
                <w:sz w:val="20"/>
                <w:lang w:val="en-US"/>
              </w:rPr>
            </w:pPr>
            <w:r w:rsidRPr="00353DBF">
              <w:rPr>
                <w:rFonts w:ascii="Arial Narrow" w:eastAsiaTheme="majorEastAsia" w:hAnsi="Arial Narrow" w:cstheme="majorBidi"/>
                <w:b/>
                <w:bCs/>
                <w:snapToGrid w:val="0"/>
                <w:sz w:val="20"/>
                <w:lang w:val="en-US"/>
              </w:rPr>
              <w:t>N=48</w:t>
            </w:r>
          </w:p>
        </w:tc>
        <w:tc>
          <w:tcPr>
            <w:tcW w:w="831" w:type="pct"/>
            <w:vMerge/>
            <w:tcBorders>
              <w:top w:val="single" w:sz="4" w:space="0" w:color="auto"/>
              <w:left w:val="single" w:sz="4" w:space="0" w:color="auto"/>
              <w:bottom w:val="single" w:sz="4" w:space="0" w:color="auto"/>
              <w:right w:val="single" w:sz="4" w:space="0" w:color="auto"/>
            </w:tcBorders>
            <w:vAlign w:val="center"/>
            <w:hideMark/>
          </w:tcPr>
          <w:p w14:paraId="6580B596" w14:textId="77777777" w:rsidR="00F21A3E" w:rsidRPr="00353DBF" w:rsidRDefault="00F21A3E" w:rsidP="00605DB8">
            <w:pPr>
              <w:keepNext/>
              <w:keepLines/>
              <w:jc w:val="left"/>
              <w:rPr>
                <w:rFonts w:ascii="Arial Narrow" w:hAnsi="Arial Narrow" w:cs="Times New Roman"/>
                <w:snapToGrid w:val="0"/>
                <w:sz w:val="20"/>
                <w:lang w:val="en-US"/>
              </w:rPr>
            </w:pPr>
          </w:p>
        </w:tc>
        <w:tc>
          <w:tcPr>
            <w:tcW w:w="1151" w:type="pct"/>
            <w:vMerge/>
            <w:tcBorders>
              <w:top w:val="single" w:sz="4" w:space="0" w:color="auto"/>
              <w:left w:val="single" w:sz="4" w:space="0" w:color="auto"/>
              <w:bottom w:val="single" w:sz="4" w:space="0" w:color="auto"/>
              <w:right w:val="single" w:sz="4" w:space="0" w:color="auto"/>
            </w:tcBorders>
            <w:vAlign w:val="center"/>
            <w:hideMark/>
          </w:tcPr>
          <w:p w14:paraId="15C3393A" w14:textId="77777777" w:rsidR="00F21A3E" w:rsidRPr="00353DBF" w:rsidRDefault="00F21A3E" w:rsidP="00605DB8">
            <w:pPr>
              <w:keepNext/>
              <w:keepLines/>
              <w:jc w:val="left"/>
              <w:rPr>
                <w:rFonts w:ascii="Arial Narrow" w:hAnsi="Arial Narrow" w:cs="Times New Roman"/>
                <w:snapToGrid w:val="0"/>
                <w:sz w:val="20"/>
                <w:lang w:val="en-US"/>
              </w:rPr>
            </w:pPr>
          </w:p>
        </w:tc>
      </w:tr>
      <w:tr w:rsidR="00F21A3E" w:rsidRPr="00353DBF" w14:paraId="68801F62" w14:textId="77777777" w:rsidTr="006B0DFD">
        <w:trPr>
          <w:trHeight w:val="323"/>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5BEB2F3D" w14:textId="77777777" w:rsidR="00F21A3E" w:rsidRPr="00353DBF" w:rsidRDefault="00F21A3E" w:rsidP="00605DB8">
            <w:pPr>
              <w:keepNext/>
              <w:keepLines/>
              <w:jc w:val="left"/>
              <w:rPr>
                <w:rFonts w:ascii="Arial Narrow" w:hAnsi="Arial Narrow" w:cs="Times New Roman"/>
                <w:b/>
                <w:bCs/>
                <w:iCs/>
                <w:snapToGrid w:val="0"/>
                <w:sz w:val="20"/>
                <w:lang w:val="en-US"/>
              </w:rPr>
            </w:pPr>
            <w:r w:rsidRPr="00353DBF">
              <w:rPr>
                <w:rFonts w:ascii="Arial Narrow" w:hAnsi="Arial Narrow" w:cs="Times New Roman"/>
                <w:b/>
                <w:bCs/>
                <w:iCs/>
                <w:snapToGrid w:val="0"/>
                <w:sz w:val="20"/>
                <w:lang w:val="en-US"/>
              </w:rPr>
              <w:t xml:space="preserve">DMF 240 mg with High Fat/High Calorie Meal (Test) versus DMF 240 mg Fasted (Reference) </w:t>
            </w:r>
          </w:p>
        </w:tc>
      </w:tr>
      <w:tr w:rsidR="00F21A3E" w:rsidRPr="00353DBF" w14:paraId="6399E59C" w14:textId="77777777" w:rsidTr="006B0DFD">
        <w:tc>
          <w:tcPr>
            <w:tcW w:w="889" w:type="pct"/>
            <w:tcBorders>
              <w:top w:val="single" w:sz="4" w:space="0" w:color="auto"/>
              <w:left w:val="single" w:sz="4" w:space="0" w:color="auto"/>
              <w:bottom w:val="single" w:sz="4" w:space="0" w:color="auto"/>
              <w:right w:val="single" w:sz="4" w:space="0" w:color="auto"/>
            </w:tcBorders>
            <w:vAlign w:val="center"/>
            <w:hideMark/>
          </w:tcPr>
          <w:p w14:paraId="1640E5D8" w14:textId="77777777" w:rsidR="00F21A3E" w:rsidRPr="00353DBF" w:rsidRDefault="00F21A3E" w:rsidP="00605DB8">
            <w:pPr>
              <w:keepNext/>
              <w:keepLines/>
              <w:jc w:val="left"/>
              <w:rPr>
                <w:rFonts w:ascii="Arial Narrow" w:hAnsi="Arial Narrow" w:cs="Times New Roman"/>
                <w:snapToGrid w:val="0"/>
                <w:sz w:val="20"/>
                <w:lang w:val="en-US"/>
              </w:rPr>
            </w:pPr>
            <w:proofErr w:type="spellStart"/>
            <w:r w:rsidRPr="00353DBF">
              <w:rPr>
                <w:rFonts w:ascii="Arial Narrow" w:hAnsi="Arial Narrow" w:cs="Times New Roman"/>
                <w:snapToGrid w:val="0"/>
                <w:sz w:val="20"/>
                <w:lang w:val="en-US"/>
              </w:rPr>
              <w:t>C</w:t>
            </w:r>
            <w:r w:rsidRPr="00353DBF">
              <w:rPr>
                <w:rFonts w:ascii="Arial Narrow" w:hAnsi="Arial Narrow" w:cs="Times New Roman"/>
                <w:snapToGrid w:val="0"/>
                <w:sz w:val="20"/>
                <w:vertAlign w:val="subscript"/>
                <w:lang w:val="en-US"/>
              </w:rPr>
              <w:t>max</w:t>
            </w:r>
            <w:proofErr w:type="spellEnd"/>
            <w:r w:rsidRPr="00353DBF">
              <w:rPr>
                <w:rFonts w:ascii="Arial Narrow" w:hAnsi="Arial Narrow" w:cs="Times New Roman"/>
                <w:snapToGrid w:val="0"/>
                <w:sz w:val="20"/>
                <w:lang w:val="en-US"/>
              </w:rPr>
              <w:t xml:space="preserve"> (</w:t>
            </w:r>
            <w:proofErr w:type="spellStart"/>
            <w:r w:rsidRPr="00353DBF">
              <w:rPr>
                <w:rFonts w:ascii="Arial Narrow" w:hAnsi="Arial Narrow" w:cs="Times New Roman"/>
                <w:snapToGrid w:val="0"/>
                <w:sz w:val="20"/>
                <w:lang w:val="en-US"/>
              </w:rPr>
              <w:t>μg</w:t>
            </w:r>
            <w:proofErr w:type="spellEnd"/>
            <w:r w:rsidRPr="00353DBF">
              <w:rPr>
                <w:rFonts w:ascii="Arial Narrow" w:hAnsi="Arial Narrow" w:cs="Times New Roman"/>
                <w:snapToGrid w:val="0"/>
                <w:sz w:val="20"/>
                <w:lang w:val="en-US"/>
              </w:rPr>
              <w:t>/mL)</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2BE50E1"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0.96 (0.08)</w:t>
            </w:r>
          </w:p>
          <w:p w14:paraId="6A31B787"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n=47</w:t>
            </w:r>
          </w:p>
        </w:tc>
        <w:tc>
          <w:tcPr>
            <w:tcW w:w="879" w:type="pct"/>
            <w:tcBorders>
              <w:top w:val="single" w:sz="4" w:space="0" w:color="auto"/>
              <w:left w:val="single" w:sz="4" w:space="0" w:color="auto"/>
              <w:bottom w:val="single" w:sz="4" w:space="0" w:color="auto"/>
              <w:right w:val="single" w:sz="4" w:space="0" w:color="auto"/>
            </w:tcBorders>
            <w:vAlign w:val="center"/>
            <w:hideMark/>
          </w:tcPr>
          <w:p w14:paraId="105AB68C"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1.62 (0.08)</w:t>
            </w:r>
          </w:p>
          <w:p w14:paraId="0319E00C"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n=48</w:t>
            </w:r>
          </w:p>
        </w:tc>
        <w:tc>
          <w:tcPr>
            <w:tcW w:w="831" w:type="pct"/>
            <w:tcBorders>
              <w:top w:val="single" w:sz="4" w:space="0" w:color="auto"/>
              <w:left w:val="single" w:sz="4" w:space="0" w:color="auto"/>
              <w:bottom w:val="single" w:sz="4" w:space="0" w:color="auto"/>
              <w:right w:val="single" w:sz="4" w:space="0" w:color="auto"/>
            </w:tcBorders>
            <w:vAlign w:val="center"/>
            <w:hideMark/>
          </w:tcPr>
          <w:p w14:paraId="12B4CEE8"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0.59</w:t>
            </w:r>
          </w:p>
        </w:tc>
        <w:tc>
          <w:tcPr>
            <w:tcW w:w="1151" w:type="pct"/>
            <w:tcBorders>
              <w:top w:val="single" w:sz="4" w:space="0" w:color="auto"/>
              <w:left w:val="single" w:sz="4" w:space="0" w:color="auto"/>
              <w:bottom w:val="single" w:sz="4" w:space="0" w:color="auto"/>
              <w:right w:val="single" w:sz="4" w:space="0" w:color="auto"/>
            </w:tcBorders>
            <w:vAlign w:val="center"/>
            <w:hideMark/>
          </w:tcPr>
          <w:p w14:paraId="3D7243A5"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(0.50, 0.71)</w:t>
            </w:r>
          </w:p>
        </w:tc>
      </w:tr>
      <w:tr w:rsidR="00F21A3E" w:rsidRPr="00353DBF" w14:paraId="366E3C28" w14:textId="77777777" w:rsidTr="006B0DFD">
        <w:tc>
          <w:tcPr>
            <w:tcW w:w="889" w:type="pct"/>
            <w:tcBorders>
              <w:top w:val="single" w:sz="4" w:space="0" w:color="auto"/>
              <w:left w:val="single" w:sz="4" w:space="0" w:color="auto"/>
              <w:bottom w:val="single" w:sz="4" w:space="0" w:color="auto"/>
              <w:right w:val="single" w:sz="4" w:space="0" w:color="auto"/>
            </w:tcBorders>
            <w:vAlign w:val="center"/>
            <w:hideMark/>
          </w:tcPr>
          <w:p w14:paraId="220A7541"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 xml:space="preserve">AUC </w:t>
            </w:r>
            <w:r w:rsidRPr="00353DBF">
              <w:rPr>
                <w:rFonts w:ascii="Arial Narrow" w:hAnsi="Arial Narrow" w:cs="Times New Roman"/>
                <w:snapToGrid w:val="0"/>
                <w:sz w:val="20"/>
                <w:vertAlign w:val="subscript"/>
                <w:lang w:val="en-US"/>
              </w:rPr>
              <w:t>0-last</w:t>
            </w:r>
            <w:r w:rsidRPr="00353DBF">
              <w:rPr>
                <w:rFonts w:ascii="Arial Narrow" w:hAnsi="Arial Narrow" w:cs="Times New Roman"/>
                <w:snapToGrid w:val="0"/>
                <w:sz w:val="20"/>
                <w:lang w:val="en-US"/>
              </w:rPr>
              <w:t xml:space="preserve"> (</w:t>
            </w:r>
            <w:proofErr w:type="spellStart"/>
            <w:r w:rsidRPr="00353DBF">
              <w:rPr>
                <w:rFonts w:ascii="Arial Narrow" w:hAnsi="Arial Narrow" w:cs="Times New Roman"/>
                <w:snapToGrid w:val="0"/>
                <w:sz w:val="20"/>
                <w:lang w:val="en-US"/>
              </w:rPr>
              <w:t>h•μg</w:t>
            </w:r>
            <w:proofErr w:type="spellEnd"/>
            <w:r w:rsidRPr="00353DBF">
              <w:rPr>
                <w:rFonts w:ascii="Arial Narrow" w:hAnsi="Arial Narrow" w:cs="Times New Roman"/>
                <w:snapToGrid w:val="0"/>
                <w:sz w:val="20"/>
                <w:lang w:val="en-US"/>
              </w:rPr>
              <w:t>/mL)</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6410174"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2.37 (0.08)</w:t>
            </w:r>
          </w:p>
          <w:p w14:paraId="06E17385"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n=47</w:t>
            </w:r>
          </w:p>
        </w:tc>
        <w:tc>
          <w:tcPr>
            <w:tcW w:w="879" w:type="pct"/>
            <w:tcBorders>
              <w:top w:val="single" w:sz="4" w:space="0" w:color="auto"/>
              <w:left w:val="single" w:sz="4" w:space="0" w:color="auto"/>
              <w:bottom w:val="single" w:sz="4" w:space="0" w:color="auto"/>
              <w:right w:val="single" w:sz="4" w:space="0" w:color="auto"/>
            </w:tcBorders>
            <w:vAlign w:val="center"/>
            <w:hideMark/>
          </w:tcPr>
          <w:p w14:paraId="12196786"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2.91 (0.08)</w:t>
            </w:r>
          </w:p>
          <w:p w14:paraId="73A5279D"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n=48</w:t>
            </w:r>
          </w:p>
        </w:tc>
        <w:tc>
          <w:tcPr>
            <w:tcW w:w="831" w:type="pct"/>
            <w:tcBorders>
              <w:top w:val="single" w:sz="4" w:space="0" w:color="auto"/>
              <w:left w:val="single" w:sz="4" w:space="0" w:color="auto"/>
              <w:bottom w:val="single" w:sz="4" w:space="0" w:color="auto"/>
              <w:right w:val="single" w:sz="4" w:space="0" w:color="auto"/>
            </w:tcBorders>
            <w:vAlign w:val="center"/>
            <w:hideMark/>
          </w:tcPr>
          <w:p w14:paraId="21EDAB1F"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0.82</w:t>
            </w:r>
          </w:p>
        </w:tc>
        <w:tc>
          <w:tcPr>
            <w:tcW w:w="1151" w:type="pct"/>
            <w:tcBorders>
              <w:top w:val="single" w:sz="4" w:space="0" w:color="auto"/>
              <w:left w:val="single" w:sz="4" w:space="0" w:color="auto"/>
              <w:bottom w:val="single" w:sz="4" w:space="0" w:color="auto"/>
              <w:right w:val="single" w:sz="4" w:space="0" w:color="auto"/>
            </w:tcBorders>
            <w:vAlign w:val="center"/>
            <w:hideMark/>
          </w:tcPr>
          <w:p w14:paraId="35CA8C1E"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(0.69, 0.97)</w:t>
            </w:r>
          </w:p>
        </w:tc>
      </w:tr>
      <w:tr w:rsidR="00F21A3E" w:rsidRPr="00353DBF" w14:paraId="761D602C" w14:textId="77777777" w:rsidTr="006B0DFD">
        <w:tc>
          <w:tcPr>
            <w:tcW w:w="889" w:type="pct"/>
            <w:tcBorders>
              <w:top w:val="single" w:sz="4" w:space="0" w:color="auto"/>
              <w:left w:val="single" w:sz="4" w:space="0" w:color="auto"/>
              <w:bottom w:val="single" w:sz="4" w:space="0" w:color="auto"/>
              <w:right w:val="single" w:sz="4" w:space="0" w:color="auto"/>
            </w:tcBorders>
            <w:vAlign w:val="center"/>
            <w:hideMark/>
          </w:tcPr>
          <w:p w14:paraId="3E069B87" w14:textId="77777777" w:rsidR="00F21A3E" w:rsidRPr="00353DBF" w:rsidRDefault="00F21A3E" w:rsidP="00605DB8">
            <w:pPr>
              <w:keepNext/>
              <w:keepLines/>
              <w:jc w:val="left"/>
              <w:rPr>
                <w:rFonts w:ascii="Arial Narrow" w:hAnsi="Arial Narrow" w:cs="Times New Roman"/>
                <w:snapToGrid w:val="0"/>
                <w:sz w:val="20"/>
                <w:vertAlign w:val="subscript"/>
                <w:lang w:val="en-US"/>
              </w:rPr>
            </w:pPr>
            <w:r w:rsidRPr="00353DBF">
              <w:rPr>
                <w:rFonts w:ascii="Arial Narrow" w:hAnsi="Arial Narrow" w:cs="Times New Roman"/>
                <w:snapToGrid w:val="0"/>
                <w:sz w:val="20"/>
                <w:lang w:val="en-US"/>
              </w:rPr>
              <w:t xml:space="preserve">AUC </w:t>
            </w:r>
            <w:r w:rsidRPr="00353DBF">
              <w:rPr>
                <w:rFonts w:ascii="Arial Narrow" w:hAnsi="Arial Narrow" w:cs="Times New Roman"/>
                <w:snapToGrid w:val="0"/>
                <w:sz w:val="20"/>
                <w:vertAlign w:val="subscript"/>
                <w:lang w:val="en-US"/>
              </w:rPr>
              <w:t>0-∞</w:t>
            </w:r>
          </w:p>
          <w:p w14:paraId="1E897172"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w:t>
            </w:r>
            <w:proofErr w:type="spellStart"/>
            <w:r w:rsidRPr="00353DBF">
              <w:rPr>
                <w:rFonts w:ascii="Arial Narrow" w:hAnsi="Arial Narrow" w:cs="Times New Roman"/>
                <w:snapToGrid w:val="0"/>
                <w:sz w:val="20"/>
                <w:lang w:val="en-US"/>
              </w:rPr>
              <w:t>h•μg</w:t>
            </w:r>
            <w:proofErr w:type="spellEnd"/>
            <w:r w:rsidRPr="00353DBF">
              <w:rPr>
                <w:rFonts w:ascii="Arial Narrow" w:hAnsi="Arial Narrow" w:cs="Times New Roman"/>
                <w:snapToGrid w:val="0"/>
                <w:sz w:val="20"/>
                <w:lang w:val="en-US"/>
              </w:rPr>
              <w:t>/mL)</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9D1EF5E"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2.82 (0.07)</w:t>
            </w:r>
          </w:p>
          <w:p w14:paraId="25D8B188"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n=23</w:t>
            </w:r>
          </w:p>
        </w:tc>
        <w:tc>
          <w:tcPr>
            <w:tcW w:w="879" w:type="pct"/>
            <w:tcBorders>
              <w:top w:val="single" w:sz="4" w:space="0" w:color="auto"/>
              <w:left w:val="single" w:sz="4" w:space="0" w:color="auto"/>
              <w:bottom w:val="single" w:sz="4" w:space="0" w:color="auto"/>
              <w:right w:val="single" w:sz="4" w:space="0" w:color="auto"/>
            </w:tcBorders>
            <w:vAlign w:val="center"/>
            <w:hideMark/>
          </w:tcPr>
          <w:p w14:paraId="051F73B8"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2.91 (0.05)</w:t>
            </w:r>
          </w:p>
          <w:p w14:paraId="22A70DFF"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n=43</w:t>
            </w:r>
          </w:p>
        </w:tc>
        <w:tc>
          <w:tcPr>
            <w:tcW w:w="831" w:type="pct"/>
            <w:tcBorders>
              <w:top w:val="single" w:sz="4" w:space="0" w:color="auto"/>
              <w:left w:val="single" w:sz="4" w:space="0" w:color="auto"/>
              <w:bottom w:val="single" w:sz="4" w:space="0" w:color="auto"/>
              <w:right w:val="single" w:sz="4" w:space="0" w:color="auto"/>
            </w:tcBorders>
            <w:vAlign w:val="center"/>
            <w:hideMark/>
          </w:tcPr>
          <w:p w14:paraId="7DD0B34B"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0.97</w:t>
            </w:r>
          </w:p>
        </w:tc>
        <w:tc>
          <w:tcPr>
            <w:tcW w:w="1151" w:type="pct"/>
            <w:tcBorders>
              <w:top w:val="single" w:sz="4" w:space="0" w:color="auto"/>
              <w:left w:val="single" w:sz="4" w:space="0" w:color="auto"/>
              <w:bottom w:val="single" w:sz="4" w:space="0" w:color="auto"/>
              <w:right w:val="single" w:sz="4" w:space="0" w:color="auto"/>
            </w:tcBorders>
            <w:vAlign w:val="center"/>
            <w:hideMark/>
          </w:tcPr>
          <w:p w14:paraId="4A7B4546"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(0.86, 1.09)</w:t>
            </w:r>
          </w:p>
        </w:tc>
      </w:tr>
      <w:tr w:rsidR="00F21A3E" w:rsidRPr="00353DBF" w14:paraId="67ACB001" w14:textId="77777777" w:rsidTr="006B0DFD">
        <w:trPr>
          <w:trHeight w:val="323"/>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5FFF7EB4" w14:textId="77777777" w:rsidR="00F21A3E" w:rsidRPr="00353DBF" w:rsidRDefault="00F21A3E" w:rsidP="00605DB8">
            <w:pPr>
              <w:keepNext/>
              <w:keepLines/>
              <w:jc w:val="left"/>
              <w:rPr>
                <w:rFonts w:ascii="Arial Narrow" w:hAnsi="Arial Narrow" w:cs="Times New Roman"/>
                <w:b/>
                <w:bCs/>
                <w:iCs/>
                <w:snapToGrid w:val="0"/>
                <w:sz w:val="20"/>
                <w:lang w:val="en-US"/>
              </w:rPr>
            </w:pPr>
            <w:r w:rsidRPr="00353DBF">
              <w:rPr>
                <w:rFonts w:ascii="Arial Narrow" w:hAnsi="Arial Narrow" w:cs="Times New Roman"/>
                <w:b/>
                <w:bCs/>
                <w:iCs/>
                <w:snapToGrid w:val="0"/>
                <w:sz w:val="20"/>
                <w:lang w:val="en-US"/>
              </w:rPr>
              <w:t>DRF 462 mg with Medium Fat/Medium Calorie Meal (Test) vs DMF 240 mg Fasted (Reference)</w:t>
            </w:r>
          </w:p>
        </w:tc>
      </w:tr>
      <w:tr w:rsidR="00F21A3E" w:rsidRPr="00353DBF" w14:paraId="1BB4CD12" w14:textId="77777777" w:rsidTr="006B0DFD">
        <w:tc>
          <w:tcPr>
            <w:tcW w:w="889" w:type="pct"/>
            <w:tcBorders>
              <w:top w:val="single" w:sz="4" w:space="0" w:color="auto"/>
              <w:left w:val="single" w:sz="4" w:space="0" w:color="auto"/>
              <w:bottom w:val="single" w:sz="4" w:space="0" w:color="auto"/>
              <w:right w:val="single" w:sz="4" w:space="0" w:color="auto"/>
            </w:tcBorders>
            <w:vAlign w:val="center"/>
            <w:hideMark/>
          </w:tcPr>
          <w:p w14:paraId="66E916CA" w14:textId="77777777" w:rsidR="00F21A3E" w:rsidRPr="00353DBF" w:rsidRDefault="00F21A3E" w:rsidP="00605DB8">
            <w:pPr>
              <w:keepNext/>
              <w:keepLines/>
              <w:jc w:val="left"/>
              <w:rPr>
                <w:rFonts w:ascii="Arial Narrow" w:hAnsi="Arial Narrow" w:cs="Times New Roman"/>
                <w:snapToGrid w:val="0"/>
                <w:sz w:val="20"/>
                <w:lang w:val="en-US"/>
              </w:rPr>
            </w:pPr>
            <w:proofErr w:type="spellStart"/>
            <w:r w:rsidRPr="00353DBF">
              <w:rPr>
                <w:rFonts w:ascii="Arial Narrow" w:hAnsi="Arial Narrow" w:cs="Times New Roman"/>
                <w:snapToGrid w:val="0"/>
                <w:sz w:val="20"/>
                <w:lang w:val="en-US"/>
              </w:rPr>
              <w:t>C</w:t>
            </w:r>
            <w:r w:rsidRPr="00353DBF">
              <w:rPr>
                <w:rFonts w:ascii="Arial Narrow" w:hAnsi="Arial Narrow" w:cs="Times New Roman"/>
                <w:snapToGrid w:val="0"/>
                <w:sz w:val="20"/>
                <w:vertAlign w:val="subscript"/>
                <w:lang w:val="en-US"/>
              </w:rPr>
              <w:t>max</w:t>
            </w:r>
            <w:proofErr w:type="spellEnd"/>
            <w:r w:rsidRPr="00353DBF">
              <w:rPr>
                <w:rFonts w:ascii="Arial Narrow" w:hAnsi="Arial Narrow" w:cs="Times New Roman"/>
                <w:snapToGrid w:val="0"/>
                <w:sz w:val="20"/>
                <w:lang w:val="en-US"/>
              </w:rPr>
              <w:t xml:space="preserve"> (</w:t>
            </w:r>
            <w:proofErr w:type="spellStart"/>
            <w:r w:rsidRPr="00353DBF">
              <w:rPr>
                <w:rFonts w:ascii="Arial Narrow" w:hAnsi="Arial Narrow" w:cs="Times New Roman"/>
                <w:snapToGrid w:val="0"/>
                <w:sz w:val="20"/>
                <w:lang w:val="en-US"/>
              </w:rPr>
              <w:t>μg</w:t>
            </w:r>
            <w:proofErr w:type="spellEnd"/>
            <w:r w:rsidRPr="00353DBF">
              <w:rPr>
                <w:rFonts w:ascii="Arial Narrow" w:hAnsi="Arial Narrow" w:cs="Times New Roman"/>
                <w:snapToGrid w:val="0"/>
                <w:sz w:val="20"/>
                <w:lang w:val="en-US"/>
              </w:rPr>
              <w:t>/mL)</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71C29F6"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1.18 (0.07)</w:t>
            </w:r>
          </w:p>
          <w:p w14:paraId="2E828F65"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n=47</w:t>
            </w:r>
          </w:p>
        </w:tc>
        <w:tc>
          <w:tcPr>
            <w:tcW w:w="879" w:type="pct"/>
            <w:tcBorders>
              <w:top w:val="single" w:sz="4" w:space="0" w:color="auto"/>
              <w:left w:val="single" w:sz="4" w:space="0" w:color="auto"/>
              <w:bottom w:val="single" w:sz="4" w:space="0" w:color="auto"/>
              <w:right w:val="single" w:sz="4" w:space="0" w:color="auto"/>
            </w:tcBorders>
            <w:vAlign w:val="center"/>
            <w:hideMark/>
          </w:tcPr>
          <w:p w14:paraId="61C3E50A"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1.62 (0.07)</w:t>
            </w:r>
          </w:p>
          <w:p w14:paraId="3336982F"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n=48</w:t>
            </w:r>
          </w:p>
        </w:tc>
        <w:tc>
          <w:tcPr>
            <w:tcW w:w="831" w:type="pct"/>
            <w:tcBorders>
              <w:top w:val="single" w:sz="4" w:space="0" w:color="auto"/>
              <w:left w:val="single" w:sz="4" w:space="0" w:color="auto"/>
              <w:bottom w:val="single" w:sz="4" w:space="0" w:color="auto"/>
              <w:right w:val="single" w:sz="4" w:space="0" w:color="auto"/>
            </w:tcBorders>
            <w:vAlign w:val="center"/>
            <w:hideMark/>
          </w:tcPr>
          <w:p w14:paraId="50791DF6"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0.73</w:t>
            </w:r>
          </w:p>
        </w:tc>
        <w:tc>
          <w:tcPr>
            <w:tcW w:w="1151" w:type="pct"/>
            <w:tcBorders>
              <w:top w:val="single" w:sz="4" w:space="0" w:color="auto"/>
              <w:left w:val="single" w:sz="4" w:space="0" w:color="auto"/>
              <w:bottom w:val="single" w:sz="4" w:space="0" w:color="auto"/>
              <w:right w:val="single" w:sz="4" w:space="0" w:color="auto"/>
            </w:tcBorders>
            <w:vAlign w:val="center"/>
            <w:hideMark/>
          </w:tcPr>
          <w:p w14:paraId="517F4CDE"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(0.62, 0.86)</w:t>
            </w:r>
          </w:p>
        </w:tc>
      </w:tr>
      <w:tr w:rsidR="00F21A3E" w:rsidRPr="00353DBF" w14:paraId="6404408C" w14:textId="77777777" w:rsidTr="006B0DFD">
        <w:tc>
          <w:tcPr>
            <w:tcW w:w="889" w:type="pct"/>
            <w:tcBorders>
              <w:top w:val="single" w:sz="4" w:space="0" w:color="auto"/>
              <w:left w:val="single" w:sz="4" w:space="0" w:color="auto"/>
              <w:bottom w:val="single" w:sz="4" w:space="0" w:color="auto"/>
              <w:right w:val="single" w:sz="4" w:space="0" w:color="auto"/>
            </w:tcBorders>
            <w:vAlign w:val="center"/>
            <w:hideMark/>
          </w:tcPr>
          <w:p w14:paraId="022BFF03"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 xml:space="preserve">AUC </w:t>
            </w:r>
            <w:r w:rsidRPr="00353DBF">
              <w:rPr>
                <w:rFonts w:ascii="Arial Narrow" w:hAnsi="Arial Narrow" w:cs="Times New Roman"/>
                <w:snapToGrid w:val="0"/>
                <w:sz w:val="20"/>
                <w:vertAlign w:val="subscript"/>
                <w:lang w:val="en-US"/>
              </w:rPr>
              <w:t>0-last</w:t>
            </w:r>
            <w:r w:rsidRPr="00353DBF">
              <w:rPr>
                <w:rFonts w:ascii="Arial Narrow" w:hAnsi="Arial Narrow" w:cs="Times New Roman"/>
                <w:snapToGrid w:val="0"/>
                <w:sz w:val="20"/>
                <w:lang w:val="en-US"/>
              </w:rPr>
              <w:t xml:space="preserve"> (</w:t>
            </w:r>
            <w:proofErr w:type="spellStart"/>
            <w:r w:rsidRPr="00353DBF">
              <w:rPr>
                <w:rFonts w:ascii="Arial Narrow" w:hAnsi="Arial Narrow" w:cs="Times New Roman"/>
                <w:snapToGrid w:val="0"/>
                <w:sz w:val="20"/>
                <w:lang w:val="en-US"/>
              </w:rPr>
              <w:t>h•μg</w:t>
            </w:r>
            <w:proofErr w:type="spellEnd"/>
            <w:r w:rsidRPr="00353DBF">
              <w:rPr>
                <w:rFonts w:ascii="Arial Narrow" w:hAnsi="Arial Narrow" w:cs="Times New Roman"/>
                <w:snapToGrid w:val="0"/>
                <w:sz w:val="20"/>
                <w:lang w:val="en-US"/>
              </w:rPr>
              <w:t>/mL)</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CE2D6E7"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2.70 (0.05)</w:t>
            </w:r>
          </w:p>
          <w:p w14:paraId="555B3A54"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n=47</w:t>
            </w:r>
          </w:p>
        </w:tc>
        <w:tc>
          <w:tcPr>
            <w:tcW w:w="879" w:type="pct"/>
            <w:tcBorders>
              <w:top w:val="single" w:sz="4" w:space="0" w:color="auto"/>
              <w:left w:val="single" w:sz="4" w:space="0" w:color="auto"/>
              <w:bottom w:val="single" w:sz="4" w:space="0" w:color="auto"/>
              <w:right w:val="single" w:sz="4" w:space="0" w:color="auto"/>
            </w:tcBorders>
            <w:vAlign w:val="center"/>
            <w:hideMark/>
          </w:tcPr>
          <w:p w14:paraId="27D99457"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2.91 (0.05)</w:t>
            </w:r>
          </w:p>
          <w:p w14:paraId="611C8FB1"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n=48</w:t>
            </w:r>
          </w:p>
        </w:tc>
        <w:tc>
          <w:tcPr>
            <w:tcW w:w="831" w:type="pct"/>
            <w:tcBorders>
              <w:top w:val="single" w:sz="4" w:space="0" w:color="auto"/>
              <w:left w:val="single" w:sz="4" w:space="0" w:color="auto"/>
              <w:bottom w:val="single" w:sz="4" w:space="0" w:color="auto"/>
              <w:right w:val="single" w:sz="4" w:space="0" w:color="auto"/>
            </w:tcBorders>
            <w:vAlign w:val="center"/>
            <w:hideMark/>
          </w:tcPr>
          <w:p w14:paraId="1FC15B16"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0.93</w:t>
            </w:r>
          </w:p>
        </w:tc>
        <w:tc>
          <w:tcPr>
            <w:tcW w:w="1151" w:type="pct"/>
            <w:tcBorders>
              <w:top w:val="single" w:sz="4" w:space="0" w:color="auto"/>
              <w:left w:val="single" w:sz="4" w:space="0" w:color="auto"/>
              <w:bottom w:val="single" w:sz="4" w:space="0" w:color="auto"/>
              <w:right w:val="single" w:sz="4" w:space="0" w:color="auto"/>
            </w:tcBorders>
            <w:vAlign w:val="center"/>
            <w:hideMark/>
          </w:tcPr>
          <w:p w14:paraId="57D0100A"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(0.84, 1.02)</w:t>
            </w:r>
          </w:p>
        </w:tc>
      </w:tr>
      <w:tr w:rsidR="00F21A3E" w:rsidRPr="00353DBF" w14:paraId="752B6F2E" w14:textId="77777777" w:rsidTr="006B0DFD">
        <w:tc>
          <w:tcPr>
            <w:tcW w:w="889" w:type="pct"/>
            <w:tcBorders>
              <w:top w:val="single" w:sz="4" w:space="0" w:color="auto"/>
              <w:left w:val="single" w:sz="4" w:space="0" w:color="auto"/>
              <w:bottom w:val="single" w:sz="4" w:space="0" w:color="auto"/>
              <w:right w:val="single" w:sz="4" w:space="0" w:color="auto"/>
            </w:tcBorders>
            <w:vAlign w:val="center"/>
            <w:hideMark/>
          </w:tcPr>
          <w:p w14:paraId="122D30CD" w14:textId="77777777" w:rsidR="00F21A3E" w:rsidRPr="00353DBF" w:rsidRDefault="00F21A3E" w:rsidP="00605DB8">
            <w:pPr>
              <w:keepNext/>
              <w:keepLines/>
              <w:jc w:val="left"/>
              <w:rPr>
                <w:rFonts w:ascii="Arial Narrow" w:hAnsi="Arial Narrow" w:cs="Times New Roman"/>
                <w:snapToGrid w:val="0"/>
                <w:sz w:val="20"/>
                <w:vertAlign w:val="subscript"/>
                <w:lang w:val="en-US"/>
              </w:rPr>
            </w:pPr>
            <w:r w:rsidRPr="00353DBF">
              <w:rPr>
                <w:rFonts w:ascii="Arial Narrow" w:hAnsi="Arial Narrow" w:cs="Times New Roman"/>
                <w:snapToGrid w:val="0"/>
                <w:sz w:val="20"/>
                <w:lang w:val="en-US"/>
              </w:rPr>
              <w:t xml:space="preserve">AUC </w:t>
            </w:r>
            <w:r w:rsidRPr="00353DBF">
              <w:rPr>
                <w:rFonts w:ascii="Arial Narrow" w:hAnsi="Arial Narrow" w:cs="Times New Roman"/>
                <w:snapToGrid w:val="0"/>
                <w:sz w:val="20"/>
                <w:vertAlign w:val="subscript"/>
                <w:lang w:val="en-US"/>
              </w:rPr>
              <w:t>0-∞</w:t>
            </w:r>
          </w:p>
          <w:p w14:paraId="6AB5D833"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w:t>
            </w:r>
            <w:proofErr w:type="spellStart"/>
            <w:r w:rsidRPr="00353DBF">
              <w:rPr>
                <w:rFonts w:ascii="Arial Narrow" w:hAnsi="Arial Narrow" w:cs="Times New Roman"/>
                <w:snapToGrid w:val="0"/>
                <w:sz w:val="20"/>
                <w:lang w:val="en-US"/>
              </w:rPr>
              <w:t>h•μg</w:t>
            </w:r>
            <w:proofErr w:type="spellEnd"/>
            <w:r w:rsidRPr="00353DBF">
              <w:rPr>
                <w:rFonts w:ascii="Arial Narrow" w:hAnsi="Arial Narrow" w:cs="Times New Roman"/>
                <w:snapToGrid w:val="0"/>
                <w:sz w:val="20"/>
                <w:lang w:val="en-US"/>
              </w:rPr>
              <w:t>/mL)</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D34116A"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2.82 (0.05)</w:t>
            </w:r>
          </w:p>
          <w:p w14:paraId="318CF723"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n=33</w:t>
            </w:r>
          </w:p>
        </w:tc>
        <w:tc>
          <w:tcPr>
            <w:tcW w:w="879" w:type="pct"/>
            <w:tcBorders>
              <w:top w:val="single" w:sz="4" w:space="0" w:color="auto"/>
              <w:left w:val="single" w:sz="4" w:space="0" w:color="auto"/>
              <w:bottom w:val="single" w:sz="4" w:space="0" w:color="auto"/>
              <w:right w:val="single" w:sz="4" w:space="0" w:color="auto"/>
            </w:tcBorders>
            <w:vAlign w:val="center"/>
            <w:hideMark/>
          </w:tcPr>
          <w:p w14:paraId="07F1B536"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2.92 (0.05)</w:t>
            </w:r>
          </w:p>
          <w:p w14:paraId="5EC194A2"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n=43</w:t>
            </w:r>
          </w:p>
        </w:tc>
        <w:tc>
          <w:tcPr>
            <w:tcW w:w="831" w:type="pct"/>
            <w:tcBorders>
              <w:top w:val="single" w:sz="4" w:space="0" w:color="auto"/>
              <w:left w:val="single" w:sz="4" w:space="0" w:color="auto"/>
              <w:bottom w:val="single" w:sz="4" w:space="0" w:color="auto"/>
              <w:right w:val="single" w:sz="4" w:space="0" w:color="auto"/>
            </w:tcBorders>
            <w:vAlign w:val="center"/>
            <w:hideMark/>
          </w:tcPr>
          <w:p w14:paraId="436FF7A6"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0.96</w:t>
            </w:r>
          </w:p>
        </w:tc>
        <w:tc>
          <w:tcPr>
            <w:tcW w:w="1151" w:type="pct"/>
            <w:tcBorders>
              <w:top w:val="single" w:sz="4" w:space="0" w:color="auto"/>
              <w:left w:val="single" w:sz="4" w:space="0" w:color="auto"/>
              <w:bottom w:val="single" w:sz="4" w:space="0" w:color="auto"/>
              <w:right w:val="single" w:sz="4" w:space="0" w:color="auto"/>
            </w:tcBorders>
            <w:vAlign w:val="center"/>
            <w:hideMark/>
          </w:tcPr>
          <w:p w14:paraId="397C6B41"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(0.88, 1.05)</w:t>
            </w:r>
          </w:p>
        </w:tc>
      </w:tr>
      <w:tr w:rsidR="00F21A3E" w:rsidRPr="00353DBF" w14:paraId="474612A2" w14:textId="77777777" w:rsidTr="006B0DFD">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E553E5C" w14:textId="77777777" w:rsidR="00F21A3E" w:rsidRPr="00353DBF" w:rsidRDefault="00F21A3E" w:rsidP="00605DB8">
            <w:pPr>
              <w:keepNext/>
              <w:keepLines/>
              <w:jc w:val="left"/>
              <w:rPr>
                <w:rFonts w:ascii="Arial Narrow" w:hAnsi="Arial Narrow" w:cs="Times New Roman"/>
                <w:b/>
                <w:bCs/>
                <w:iCs/>
                <w:snapToGrid w:val="0"/>
                <w:sz w:val="20"/>
                <w:lang w:val="en-US"/>
              </w:rPr>
            </w:pPr>
            <w:r w:rsidRPr="00353DBF">
              <w:rPr>
                <w:rFonts w:ascii="Arial Narrow" w:hAnsi="Arial Narrow" w:cs="Times New Roman"/>
                <w:b/>
                <w:bCs/>
                <w:iCs/>
                <w:snapToGrid w:val="0"/>
                <w:sz w:val="20"/>
                <w:lang w:val="en-US"/>
              </w:rPr>
              <w:t>DRF 462 mg with Low Fat/Low Calorie Meal (Test) vs DMF 240 mg Fasted (Reference)</w:t>
            </w:r>
          </w:p>
        </w:tc>
      </w:tr>
      <w:tr w:rsidR="00F21A3E" w:rsidRPr="00353DBF" w14:paraId="2BAF289E" w14:textId="77777777" w:rsidTr="006B0DFD">
        <w:tc>
          <w:tcPr>
            <w:tcW w:w="889" w:type="pct"/>
            <w:tcBorders>
              <w:top w:val="single" w:sz="4" w:space="0" w:color="auto"/>
              <w:left w:val="single" w:sz="4" w:space="0" w:color="auto"/>
              <w:bottom w:val="single" w:sz="4" w:space="0" w:color="auto"/>
              <w:right w:val="single" w:sz="4" w:space="0" w:color="auto"/>
            </w:tcBorders>
            <w:vAlign w:val="center"/>
            <w:hideMark/>
          </w:tcPr>
          <w:p w14:paraId="6645A811" w14:textId="77777777" w:rsidR="00F21A3E" w:rsidRPr="00353DBF" w:rsidRDefault="00F21A3E" w:rsidP="00605DB8">
            <w:pPr>
              <w:keepNext/>
              <w:keepLines/>
              <w:jc w:val="left"/>
              <w:rPr>
                <w:rFonts w:ascii="Arial Narrow" w:hAnsi="Arial Narrow" w:cs="Times New Roman"/>
                <w:snapToGrid w:val="0"/>
                <w:sz w:val="20"/>
                <w:lang w:val="en-US"/>
              </w:rPr>
            </w:pPr>
            <w:proofErr w:type="spellStart"/>
            <w:r w:rsidRPr="00353DBF">
              <w:rPr>
                <w:rFonts w:ascii="Arial Narrow" w:hAnsi="Arial Narrow" w:cs="Times New Roman"/>
                <w:snapToGrid w:val="0"/>
                <w:sz w:val="20"/>
                <w:lang w:val="en-US"/>
              </w:rPr>
              <w:t>C</w:t>
            </w:r>
            <w:r w:rsidRPr="00353DBF">
              <w:rPr>
                <w:rFonts w:ascii="Arial Narrow" w:hAnsi="Arial Narrow" w:cs="Times New Roman"/>
                <w:snapToGrid w:val="0"/>
                <w:sz w:val="20"/>
                <w:vertAlign w:val="subscript"/>
                <w:lang w:val="en-US"/>
              </w:rPr>
              <w:t>max</w:t>
            </w:r>
            <w:proofErr w:type="spellEnd"/>
            <w:r w:rsidRPr="00353DBF">
              <w:rPr>
                <w:rFonts w:ascii="Arial Narrow" w:hAnsi="Arial Narrow" w:cs="Times New Roman"/>
                <w:snapToGrid w:val="0"/>
                <w:sz w:val="20"/>
                <w:lang w:val="en-US"/>
              </w:rPr>
              <w:t xml:space="preserve"> (</w:t>
            </w:r>
            <w:proofErr w:type="spellStart"/>
            <w:r w:rsidRPr="00353DBF">
              <w:rPr>
                <w:rFonts w:ascii="Arial Narrow" w:hAnsi="Arial Narrow" w:cs="Times New Roman"/>
                <w:snapToGrid w:val="0"/>
                <w:sz w:val="20"/>
                <w:lang w:val="en-US"/>
              </w:rPr>
              <w:t>μg</w:t>
            </w:r>
            <w:proofErr w:type="spellEnd"/>
            <w:r w:rsidRPr="00353DBF">
              <w:rPr>
                <w:rFonts w:ascii="Arial Narrow" w:hAnsi="Arial Narrow" w:cs="Times New Roman"/>
                <w:snapToGrid w:val="0"/>
                <w:sz w:val="20"/>
                <w:lang w:val="en-US"/>
              </w:rPr>
              <w:t>/mL)</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94D7E80"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1.38 (0.06)</w:t>
            </w:r>
          </w:p>
          <w:p w14:paraId="4CFAC4AC"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n=47</w:t>
            </w:r>
          </w:p>
        </w:tc>
        <w:tc>
          <w:tcPr>
            <w:tcW w:w="879" w:type="pct"/>
            <w:tcBorders>
              <w:top w:val="single" w:sz="4" w:space="0" w:color="auto"/>
              <w:left w:val="single" w:sz="4" w:space="0" w:color="auto"/>
              <w:bottom w:val="single" w:sz="4" w:space="0" w:color="auto"/>
              <w:right w:val="single" w:sz="4" w:space="0" w:color="auto"/>
            </w:tcBorders>
            <w:vAlign w:val="center"/>
            <w:hideMark/>
          </w:tcPr>
          <w:p w14:paraId="4B57E1F6"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1.62 (0.06)</w:t>
            </w:r>
          </w:p>
          <w:p w14:paraId="05846E4A"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n=48</w:t>
            </w:r>
          </w:p>
        </w:tc>
        <w:tc>
          <w:tcPr>
            <w:tcW w:w="831" w:type="pct"/>
            <w:tcBorders>
              <w:top w:val="single" w:sz="4" w:space="0" w:color="auto"/>
              <w:left w:val="single" w:sz="4" w:space="0" w:color="auto"/>
              <w:bottom w:val="single" w:sz="4" w:space="0" w:color="auto"/>
              <w:right w:val="single" w:sz="4" w:space="0" w:color="auto"/>
            </w:tcBorders>
            <w:vAlign w:val="center"/>
            <w:hideMark/>
          </w:tcPr>
          <w:p w14:paraId="4487D124"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0.85</w:t>
            </w:r>
          </w:p>
        </w:tc>
        <w:tc>
          <w:tcPr>
            <w:tcW w:w="1151" w:type="pct"/>
            <w:tcBorders>
              <w:top w:val="single" w:sz="4" w:space="0" w:color="auto"/>
              <w:left w:val="single" w:sz="4" w:space="0" w:color="auto"/>
              <w:bottom w:val="single" w:sz="4" w:space="0" w:color="auto"/>
              <w:right w:val="single" w:sz="4" w:space="0" w:color="auto"/>
            </w:tcBorders>
            <w:vAlign w:val="center"/>
            <w:hideMark/>
          </w:tcPr>
          <w:p w14:paraId="296F3E20"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(0.74, 0.98)</w:t>
            </w:r>
          </w:p>
        </w:tc>
      </w:tr>
      <w:tr w:rsidR="00F21A3E" w:rsidRPr="00353DBF" w14:paraId="6A754942" w14:textId="77777777" w:rsidTr="006B0DFD">
        <w:tc>
          <w:tcPr>
            <w:tcW w:w="889" w:type="pct"/>
            <w:tcBorders>
              <w:top w:val="single" w:sz="4" w:space="0" w:color="auto"/>
              <w:left w:val="single" w:sz="4" w:space="0" w:color="auto"/>
              <w:bottom w:val="single" w:sz="4" w:space="0" w:color="auto"/>
              <w:right w:val="single" w:sz="4" w:space="0" w:color="auto"/>
            </w:tcBorders>
            <w:vAlign w:val="center"/>
            <w:hideMark/>
          </w:tcPr>
          <w:p w14:paraId="79B60AD0"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 xml:space="preserve">AUC </w:t>
            </w:r>
            <w:r w:rsidRPr="00353DBF">
              <w:rPr>
                <w:rFonts w:ascii="Arial Narrow" w:hAnsi="Arial Narrow" w:cs="Times New Roman"/>
                <w:snapToGrid w:val="0"/>
                <w:sz w:val="20"/>
                <w:vertAlign w:val="subscript"/>
                <w:lang w:val="en-US"/>
              </w:rPr>
              <w:t>0-last</w:t>
            </w:r>
            <w:r w:rsidRPr="00353DBF">
              <w:rPr>
                <w:rFonts w:ascii="Arial Narrow" w:hAnsi="Arial Narrow" w:cs="Times New Roman"/>
                <w:snapToGrid w:val="0"/>
                <w:sz w:val="20"/>
                <w:lang w:val="en-US"/>
              </w:rPr>
              <w:t xml:space="preserve"> (</w:t>
            </w:r>
            <w:proofErr w:type="spellStart"/>
            <w:r w:rsidRPr="00353DBF">
              <w:rPr>
                <w:rFonts w:ascii="Arial Narrow" w:hAnsi="Arial Narrow" w:cs="Times New Roman"/>
                <w:snapToGrid w:val="0"/>
                <w:sz w:val="20"/>
                <w:lang w:val="en-US"/>
              </w:rPr>
              <w:t>h•μg</w:t>
            </w:r>
            <w:proofErr w:type="spellEnd"/>
            <w:r w:rsidRPr="00353DBF">
              <w:rPr>
                <w:rFonts w:ascii="Arial Narrow" w:hAnsi="Arial Narrow" w:cs="Times New Roman"/>
                <w:snapToGrid w:val="0"/>
                <w:sz w:val="20"/>
                <w:lang w:val="en-US"/>
              </w:rPr>
              <w:t>/mL)</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7C9D076"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2.80 (0.05)</w:t>
            </w:r>
          </w:p>
          <w:p w14:paraId="744F254B"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n=47</w:t>
            </w:r>
          </w:p>
        </w:tc>
        <w:tc>
          <w:tcPr>
            <w:tcW w:w="879" w:type="pct"/>
            <w:tcBorders>
              <w:top w:val="single" w:sz="4" w:space="0" w:color="auto"/>
              <w:left w:val="single" w:sz="4" w:space="0" w:color="auto"/>
              <w:bottom w:val="single" w:sz="4" w:space="0" w:color="auto"/>
              <w:right w:val="single" w:sz="4" w:space="0" w:color="auto"/>
            </w:tcBorders>
            <w:vAlign w:val="center"/>
            <w:hideMark/>
          </w:tcPr>
          <w:p w14:paraId="1B5693B4"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2.91 (0.05)</w:t>
            </w:r>
          </w:p>
          <w:p w14:paraId="636D11C4"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n=48</w:t>
            </w:r>
          </w:p>
        </w:tc>
        <w:tc>
          <w:tcPr>
            <w:tcW w:w="831" w:type="pct"/>
            <w:tcBorders>
              <w:top w:val="single" w:sz="4" w:space="0" w:color="auto"/>
              <w:left w:val="single" w:sz="4" w:space="0" w:color="auto"/>
              <w:bottom w:val="single" w:sz="4" w:space="0" w:color="auto"/>
              <w:right w:val="single" w:sz="4" w:space="0" w:color="auto"/>
            </w:tcBorders>
            <w:vAlign w:val="center"/>
            <w:hideMark/>
          </w:tcPr>
          <w:p w14:paraId="6A4F80F0"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0.96</w:t>
            </w:r>
          </w:p>
        </w:tc>
        <w:tc>
          <w:tcPr>
            <w:tcW w:w="1151" w:type="pct"/>
            <w:tcBorders>
              <w:top w:val="single" w:sz="4" w:space="0" w:color="auto"/>
              <w:left w:val="single" w:sz="4" w:space="0" w:color="auto"/>
              <w:bottom w:val="single" w:sz="4" w:space="0" w:color="auto"/>
              <w:right w:val="single" w:sz="4" w:space="0" w:color="auto"/>
            </w:tcBorders>
            <w:vAlign w:val="center"/>
            <w:hideMark/>
          </w:tcPr>
          <w:p w14:paraId="0712773E"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(0.88, 1.06)</w:t>
            </w:r>
          </w:p>
        </w:tc>
      </w:tr>
      <w:tr w:rsidR="00F21A3E" w:rsidRPr="00353DBF" w14:paraId="23E9BFC0" w14:textId="77777777" w:rsidTr="006B0DFD">
        <w:tc>
          <w:tcPr>
            <w:tcW w:w="889" w:type="pct"/>
            <w:tcBorders>
              <w:top w:val="single" w:sz="4" w:space="0" w:color="auto"/>
              <w:left w:val="single" w:sz="4" w:space="0" w:color="auto"/>
              <w:bottom w:val="single" w:sz="4" w:space="0" w:color="auto"/>
              <w:right w:val="single" w:sz="4" w:space="0" w:color="auto"/>
            </w:tcBorders>
            <w:vAlign w:val="center"/>
            <w:hideMark/>
          </w:tcPr>
          <w:p w14:paraId="30884A9C" w14:textId="77777777" w:rsidR="00F21A3E" w:rsidRPr="00353DBF" w:rsidRDefault="00F21A3E" w:rsidP="00605DB8">
            <w:pPr>
              <w:keepNext/>
              <w:keepLines/>
              <w:jc w:val="left"/>
              <w:rPr>
                <w:rFonts w:ascii="Arial Narrow" w:hAnsi="Arial Narrow" w:cs="Times New Roman"/>
                <w:snapToGrid w:val="0"/>
                <w:sz w:val="20"/>
                <w:vertAlign w:val="subscript"/>
                <w:lang w:val="en-US"/>
              </w:rPr>
            </w:pPr>
            <w:r w:rsidRPr="00353DBF">
              <w:rPr>
                <w:rFonts w:ascii="Arial Narrow" w:hAnsi="Arial Narrow" w:cs="Times New Roman"/>
                <w:snapToGrid w:val="0"/>
                <w:sz w:val="20"/>
                <w:lang w:val="en-US"/>
              </w:rPr>
              <w:t xml:space="preserve">AUC </w:t>
            </w:r>
            <w:r w:rsidRPr="00353DBF">
              <w:rPr>
                <w:rFonts w:ascii="Arial Narrow" w:hAnsi="Arial Narrow" w:cs="Times New Roman"/>
                <w:snapToGrid w:val="0"/>
                <w:sz w:val="20"/>
                <w:vertAlign w:val="subscript"/>
                <w:lang w:val="en-US"/>
              </w:rPr>
              <w:t>0-∞</w:t>
            </w:r>
          </w:p>
          <w:p w14:paraId="77A31025"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w:t>
            </w:r>
            <w:proofErr w:type="spellStart"/>
            <w:r w:rsidRPr="00353DBF">
              <w:rPr>
                <w:rFonts w:ascii="Arial Narrow" w:hAnsi="Arial Narrow" w:cs="Times New Roman"/>
                <w:snapToGrid w:val="0"/>
                <w:sz w:val="20"/>
                <w:lang w:val="en-US"/>
              </w:rPr>
              <w:t>h•μg</w:t>
            </w:r>
            <w:proofErr w:type="spellEnd"/>
            <w:r w:rsidRPr="00353DBF">
              <w:rPr>
                <w:rFonts w:ascii="Arial Narrow" w:hAnsi="Arial Narrow" w:cs="Times New Roman"/>
                <w:snapToGrid w:val="0"/>
                <w:sz w:val="20"/>
                <w:lang w:val="en-US"/>
              </w:rPr>
              <w:t>/mL)</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5AF549A"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2.89 (0.05)</w:t>
            </w:r>
          </w:p>
          <w:p w14:paraId="724D66D8"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n=41</w:t>
            </w:r>
          </w:p>
        </w:tc>
        <w:tc>
          <w:tcPr>
            <w:tcW w:w="879" w:type="pct"/>
            <w:tcBorders>
              <w:top w:val="single" w:sz="4" w:space="0" w:color="auto"/>
              <w:left w:val="single" w:sz="4" w:space="0" w:color="auto"/>
              <w:bottom w:val="single" w:sz="4" w:space="0" w:color="auto"/>
              <w:right w:val="single" w:sz="4" w:space="0" w:color="auto"/>
            </w:tcBorders>
            <w:vAlign w:val="center"/>
            <w:hideMark/>
          </w:tcPr>
          <w:p w14:paraId="1E6F5093"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2.93 (0.05)</w:t>
            </w:r>
          </w:p>
          <w:p w14:paraId="2F72E4A8"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n=43</w:t>
            </w:r>
          </w:p>
        </w:tc>
        <w:tc>
          <w:tcPr>
            <w:tcW w:w="831" w:type="pct"/>
            <w:tcBorders>
              <w:top w:val="single" w:sz="4" w:space="0" w:color="auto"/>
              <w:left w:val="single" w:sz="4" w:space="0" w:color="auto"/>
              <w:bottom w:val="single" w:sz="4" w:space="0" w:color="auto"/>
              <w:right w:val="single" w:sz="4" w:space="0" w:color="auto"/>
            </w:tcBorders>
            <w:vAlign w:val="center"/>
            <w:hideMark/>
          </w:tcPr>
          <w:p w14:paraId="65BABEEC"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0.98</w:t>
            </w:r>
          </w:p>
        </w:tc>
        <w:tc>
          <w:tcPr>
            <w:tcW w:w="1151" w:type="pct"/>
            <w:tcBorders>
              <w:top w:val="single" w:sz="4" w:space="0" w:color="auto"/>
              <w:left w:val="single" w:sz="4" w:space="0" w:color="auto"/>
              <w:bottom w:val="single" w:sz="4" w:space="0" w:color="auto"/>
              <w:right w:val="single" w:sz="4" w:space="0" w:color="auto"/>
            </w:tcBorders>
            <w:vAlign w:val="center"/>
            <w:hideMark/>
          </w:tcPr>
          <w:p w14:paraId="483B3EEC" w14:textId="77777777" w:rsidR="00F21A3E" w:rsidRPr="00353DBF" w:rsidRDefault="00F21A3E" w:rsidP="00605DB8">
            <w:pPr>
              <w:keepNext/>
              <w:keepLines/>
              <w:jc w:val="left"/>
              <w:rPr>
                <w:rFonts w:ascii="Arial Narrow" w:hAnsi="Arial Narrow" w:cs="Times New Roman"/>
                <w:snapToGrid w:val="0"/>
                <w:sz w:val="20"/>
                <w:lang w:val="en-US"/>
              </w:rPr>
            </w:pPr>
            <w:r w:rsidRPr="00353DBF">
              <w:rPr>
                <w:rFonts w:ascii="Arial Narrow" w:hAnsi="Arial Narrow" w:cs="Times New Roman"/>
                <w:snapToGrid w:val="0"/>
                <w:sz w:val="20"/>
                <w:lang w:val="en-US"/>
              </w:rPr>
              <w:t>(0.89, 1.09)</w:t>
            </w:r>
          </w:p>
        </w:tc>
      </w:tr>
    </w:tbl>
    <w:p w14:paraId="596DDE53" w14:textId="28AF8577" w:rsidR="00F21A3E" w:rsidRPr="00353DBF" w:rsidRDefault="00F21A3E" w:rsidP="00605DB8">
      <w:pPr>
        <w:keepNext/>
        <w:keepLines/>
        <w:spacing w:after="120"/>
        <w:contextualSpacing/>
        <w:rPr>
          <w:rFonts w:ascii="Arial Narrow" w:hAnsi="Arial Narrow"/>
          <w:snapToGrid w:val="0"/>
          <w:sz w:val="18"/>
          <w:szCs w:val="22"/>
        </w:rPr>
      </w:pPr>
      <w:r w:rsidRPr="00353DBF">
        <w:rPr>
          <w:rFonts w:ascii="Arial Narrow" w:hAnsi="Arial Narrow"/>
          <w:snapToGrid w:val="0"/>
          <w:sz w:val="18"/>
          <w:szCs w:val="22"/>
        </w:rPr>
        <w:t xml:space="preserve">Source: Table 2.5.2, p80 of the </w:t>
      </w:r>
      <w:r w:rsidR="00A23FDF">
        <w:rPr>
          <w:rFonts w:ascii="Arial Narrow" w:hAnsi="Arial Narrow"/>
          <w:snapToGrid w:val="0"/>
          <w:sz w:val="18"/>
          <w:szCs w:val="22"/>
        </w:rPr>
        <w:t>Submission</w:t>
      </w:r>
      <w:r w:rsidRPr="00353DBF">
        <w:rPr>
          <w:rFonts w:ascii="Arial Narrow" w:hAnsi="Arial Narrow"/>
          <w:snapToGrid w:val="0"/>
          <w:sz w:val="18"/>
          <w:szCs w:val="22"/>
        </w:rPr>
        <w:t>. CSR ALK8700-A109, Table 12 p49; Table 13 p50; Table 14 p51.</w:t>
      </w:r>
    </w:p>
    <w:p w14:paraId="66F6EB1E" w14:textId="77777777" w:rsidR="00F21A3E" w:rsidRPr="00353DBF" w:rsidRDefault="00F21A3E" w:rsidP="00605DB8">
      <w:pPr>
        <w:keepNext/>
        <w:keepLines/>
        <w:spacing w:after="120"/>
        <w:contextualSpacing/>
        <w:rPr>
          <w:rFonts w:ascii="Arial Narrow" w:hAnsi="Arial Narrow"/>
          <w:snapToGrid w:val="0"/>
          <w:sz w:val="18"/>
          <w:szCs w:val="22"/>
        </w:rPr>
      </w:pPr>
      <w:r w:rsidRPr="00353DBF">
        <w:rPr>
          <w:rFonts w:ascii="Arial Narrow" w:hAnsi="Arial Narrow"/>
          <w:snapToGrid w:val="0"/>
          <w:sz w:val="18"/>
          <w:szCs w:val="22"/>
        </w:rPr>
        <w:t xml:space="preserve">AUC∞, area under the concentration-time curve from time zero to infinity; AUC0-last, area under the curve from time zero until the last measurable concentration time point; CI, confidence interval; </w:t>
      </w:r>
      <w:proofErr w:type="spellStart"/>
      <w:r w:rsidRPr="00353DBF">
        <w:rPr>
          <w:rFonts w:ascii="Arial Narrow" w:hAnsi="Arial Narrow"/>
          <w:snapToGrid w:val="0"/>
          <w:sz w:val="18"/>
          <w:szCs w:val="22"/>
        </w:rPr>
        <w:t>Cmax</w:t>
      </w:r>
      <w:proofErr w:type="spellEnd"/>
      <w:r w:rsidRPr="00353DBF">
        <w:rPr>
          <w:rFonts w:ascii="Arial Narrow" w:hAnsi="Arial Narrow"/>
          <w:snapToGrid w:val="0"/>
          <w:sz w:val="18"/>
          <w:szCs w:val="22"/>
        </w:rPr>
        <w:t xml:space="preserve">, maximum plasma concentration; DMF, dimethyl fumarate; DRF, diroximel fumarate; MMF, monomethyl fumarate; N, number of subjects who received a specific treatment; subjects could be included in more than 1 treatment group; n, number of subjects included in the calculation of the geometric LSM and SE, which is the number of subjects with specific PK data while on any of the dose regimens; PK, pharmacokinetic; SE, standard error </w:t>
      </w:r>
    </w:p>
    <w:p w14:paraId="29A6DD5A" w14:textId="77777777" w:rsidR="00F21A3E" w:rsidRPr="00353DBF" w:rsidRDefault="00F21A3E" w:rsidP="00605DB8">
      <w:pPr>
        <w:keepNext/>
        <w:keepLines/>
        <w:spacing w:after="120"/>
        <w:contextualSpacing/>
        <w:rPr>
          <w:rFonts w:ascii="Arial Narrow" w:hAnsi="Arial Narrow"/>
          <w:snapToGrid w:val="0"/>
          <w:sz w:val="18"/>
          <w:szCs w:val="22"/>
        </w:rPr>
      </w:pPr>
      <w:r w:rsidRPr="00353DBF">
        <w:rPr>
          <w:rFonts w:ascii="Arial Narrow" w:hAnsi="Arial Narrow"/>
          <w:snapToGrid w:val="0"/>
          <w:sz w:val="18"/>
          <w:szCs w:val="22"/>
        </w:rPr>
        <w:t>Note: The SE displayed is in logarithmic scale.</w:t>
      </w:r>
    </w:p>
    <w:p w14:paraId="01869E6A" w14:textId="77777777" w:rsidR="00F21A3E" w:rsidRPr="00353DBF" w:rsidRDefault="00F21A3E" w:rsidP="00605DB8">
      <w:pPr>
        <w:keepNext/>
        <w:keepLines/>
        <w:spacing w:after="120"/>
        <w:contextualSpacing/>
        <w:rPr>
          <w:rFonts w:ascii="Arial Narrow" w:hAnsi="Arial Narrow"/>
          <w:snapToGrid w:val="0"/>
          <w:sz w:val="18"/>
          <w:szCs w:val="22"/>
        </w:rPr>
      </w:pPr>
      <w:r w:rsidRPr="00353DBF">
        <w:rPr>
          <w:rFonts w:ascii="Arial Narrow" w:hAnsi="Arial Narrow"/>
          <w:snapToGrid w:val="0"/>
          <w:sz w:val="18"/>
          <w:szCs w:val="22"/>
        </w:rPr>
        <w:t>Geometric mean and geometric mean ratio are obtained from back transformation of the least square mean and least square mean difference in the log scale.</w:t>
      </w:r>
    </w:p>
    <w:p w14:paraId="2477FE62" w14:textId="77777777" w:rsidR="00F21A3E" w:rsidRDefault="00F21A3E" w:rsidP="00605DB8">
      <w:pPr>
        <w:keepNext/>
        <w:keepLines/>
        <w:spacing w:after="120"/>
        <w:contextualSpacing/>
        <w:rPr>
          <w:rFonts w:ascii="Arial Narrow" w:hAnsi="Arial Narrow"/>
          <w:snapToGrid w:val="0"/>
          <w:sz w:val="18"/>
          <w:szCs w:val="22"/>
        </w:rPr>
      </w:pPr>
      <w:r w:rsidRPr="00353DBF">
        <w:rPr>
          <w:rFonts w:ascii="Arial Narrow" w:hAnsi="Arial Narrow"/>
          <w:snapToGrid w:val="0"/>
          <w:sz w:val="18"/>
          <w:szCs w:val="22"/>
          <w:vertAlign w:val="superscript"/>
        </w:rPr>
        <w:t>a</w:t>
      </w:r>
      <w:r w:rsidRPr="00353DBF">
        <w:rPr>
          <w:rFonts w:ascii="Arial Narrow" w:hAnsi="Arial Narrow"/>
          <w:snapToGrid w:val="0"/>
          <w:sz w:val="18"/>
          <w:szCs w:val="22"/>
        </w:rPr>
        <w:t xml:space="preserve"> Based on a mixed effects model, including treatment sequence, treatment group, and period as fixed factors and subject within treatment sequence as a random factor.</w:t>
      </w:r>
    </w:p>
    <w:p w14:paraId="2A66C015" w14:textId="5E445FA8" w:rsidR="00F21A3E" w:rsidRPr="00031CDD" w:rsidRDefault="00F21A3E" w:rsidP="00F21A3E">
      <w:pPr>
        <w:pStyle w:val="ListParagraph"/>
        <w:numPr>
          <w:ilvl w:val="1"/>
          <w:numId w:val="1"/>
        </w:numPr>
        <w:spacing w:after="160"/>
      </w:pPr>
      <w:r w:rsidRPr="00031CDD">
        <w:t>The TGA Round 1 CER considered that</w:t>
      </w:r>
      <w:r w:rsidR="00A3528D" w:rsidRPr="00031CDD">
        <w:t xml:space="preserve"> MMF exposure appeared to be</w:t>
      </w:r>
      <w:r w:rsidRPr="00031CDD">
        <w:t xml:space="preserve"> </w:t>
      </w:r>
      <w:r w:rsidR="00A3528D" w:rsidRPr="00031CDD">
        <w:t>bioequivalent</w:t>
      </w:r>
      <w:r w:rsidRPr="00031CDD">
        <w:t xml:space="preserve"> between DRF and DMF at commercial doses (p6</w:t>
      </w:r>
      <w:r w:rsidR="00A3528D" w:rsidRPr="00031CDD">
        <w:t>4</w:t>
      </w:r>
      <w:r w:rsidRPr="00031CDD">
        <w:t xml:space="preserve"> of CER).</w:t>
      </w:r>
    </w:p>
    <w:p w14:paraId="408468C2" w14:textId="77777777" w:rsidR="00E70C7C" w:rsidRPr="006E4EF0" w:rsidRDefault="00E70C7C" w:rsidP="00E70C7C">
      <w:pPr>
        <w:pStyle w:val="5-SubsectionSubheading"/>
      </w:pPr>
      <w:bookmarkStart w:id="20" w:name="_Toc93478632"/>
      <w:bookmarkStart w:id="21" w:name="_Toc22897642"/>
      <w:r>
        <w:t>Supplementary efficacy evidence</w:t>
      </w:r>
      <w:bookmarkEnd w:id="20"/>
      <w:r>
        <w:t xml:space="preserve"> </w:t>
      </w:r>
    </w:p>
    <w:p w14:paraId="32B3B5E4" w14:textId="77777777" w:rsidR="00E70C7C" w:rsidRPr="003F4BFC" w:rsidRDefault="00E70C7C" w:rsidP="00E70C7C">
      <w:pPr>
        <w:pStyle w:val="3-BodyText"/>
      </w:pPr>
      <w:r w:rsidRPr="003F4BFC">
        <w:t xml:space="preserve">The </w:t>
      </w:r>
      <w:r>
        <w:t>submission</w:t>
      </w:r>
      <w:r w:rsidRPr="003F4BFC">
        <w:t xml:space="preserve"> </w:t>
      </w:r>
      <w:r>
        <w:t xml:space="preserve">also </w:t>
      </w:r>
      <w:r w:rsidRPr="003F4BFC">
        <w:t>presented the results of a conference abstract by Wu et al. 2019 that was identified in the literature search which compared efficacy outcomes for DRF compared with DMF using a propensity score matched analysis.</w:t>
      </w:r>
    </w:p>
    <w:p w14:paraId="3355B662" w14:textId="77777777" w:rsidR="00E70C7C" w:rsidRPr="00031CDD" w:rsidRDefault="00E70C7C" w:rsidP="00E70C7C">
      <w:pPr>
        <w:pStyle w:val="3-BodyText"/>
        <w:rPr>
          <w:iCs/>
        </w:rPr>
      </w:pPr>
      <w:r w:rsidRPr="003F4BFC">
        <w:t xml:space="preserve">The results of the propensity score matching </w:t>
      </w:r>
      <w:proofErr w:type="gramStart"/>
      <w:r w:rsidRPr="003F4BFC">
        <w:t>are</w:t>
      </w:r>
      <w:proofErr w:type="gramEnd"/>
      <w:r w:rsidRPr="003F4BFC">
        <w:t xml:space="preserve"> summarised in Table </w:t>
      </w:r>
      <w:r>
        <w:t>6</w:t>
      </w:r>
      <w:r w:rsidRPr="003F4BFC">
        <w:t xml:space="preserve">. </w:t>
      </w:r>
      <w:r w:rsidRPr="00031CDD">
        <w:rPr>
          <w:iCs/>
        </w:rPr>
        <w:t xml:space="preserve">The results do not show a significant difference in clinical outcomes between DRF and DMF, however, this is an indirect comparison with the following issues: </w:t>
      </w:r>
    </w:p>
    <w:p w14:paraId="7A429D2C" w14:textId="77777777" w:rsidR="00E70C7C" w:rsidRPr="00031CDD" w:rsidRDefault="00E70C7C" w:rsidP="00DD17C1">
      <w:pPr>
        <w:pStyle w:val="3-BodyText"/>
        <w:numPr>
          <w:ilvl w:val="0"/>
          <w:numId w:val="21"/>
        </w:numPr>
        <w:ind w:left="1134"/>
        <w:rPr>
          <w:iCs/>
        </w:rPr>
      </w:pPr>
      <w:r w:rsidRPr="00031CDD">
        <w:rPr>
          <w:iCs/>
        </w:rPr>
        <w:t xml:space="preserve">The primary outcomes of these trials (EVOLVE-MS-1, CONFIRM, DEFINE) are different from each other, and therefore, it is uncertain that that these studies are powered to detect differences in outcomes. </w:t>
      </w:r>
    </w:p>
    <w:p w14:paraId="68949D70" w14:textId="77777777" w:rsidR="00E70C7C" w:rsidRPr="00031CDD" w:rsidRDefault="00E70C7C" w:rsidP="00DD17C1">
      <w:pPr>
        <w:pStyle w:val="3-BodyText"/>
        <w:numPr>
          <w:ilvl w:val="0"/>
          <w:numId w:val="21"/>
        </w:numPr>
        <w:ind w:left="1134"/>
        <w:rPr>
          <w:iCs/>
        </w:rPr>
      </w:pPr>
      <w:r w:rsidRPr="00031CDD">
        <w:rPr>
          <w:iCs/>
        </w:rPr>
        <w:t xml:space="preserve">The submission did not discuss the methods used for indirect comparison of clinical outcomes or choice of clinical outcomes. Insufficient details of the DEFINE and CONFIRM studies was provided in the submission to assess the similarity between the studies apart from baseline characteristics. </w:t>
      </w:r>
    </w:p>
    <w:p w14:paraId="1BFEBC41" w14:textId="3FC241AF" w:rsidR="00672337" w:rsidRDefault="00672337" w:rsidP="00672337">
      <w:pPr>
        <w:pStyle w:val="Caption"/>
      </w:pPr>
      <w:r>
        <w:t xml:space="preserve">Table </w:t>
      </w:r>
      <w:fldSimple w:instr=" SEQ Table \* ARABIC ">
        <w:r w:rsidR="00756CE2">
          <w:rPr>
            <w:noProof/>
          </w:rPr>
          <w:t>6</w:t>
        </w:r>
      </w:fldSimple>
      <w:r>
        <w:t xml:space="preserve">: </w:t>
      </w:r>
      <w:r w:rsidRPr="00747660">
        <w:t>Results of PSM at Week 48 (EVOLVE-MS-1, CONFIRM and DEFINE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6"/>
        <w:gridCol w:w="2133"/>
        <w:gridCol w:w="1949"/>
        <w:gridCol w:w="2399"/>
      </w:tblGrid>
      <w:tr w:rsidR="00E70C7C" w:rsidRPr="00253DAD" w14:paraId="65E43057" w14:textId="77777777" w:rsidTr="0032503C">
        <w:trPr>
          <w:cantSplit/>
          <w:tblHeader/>
        </w:trPr>
        <w:tc>
          <w:tcPr>
            <w:tcW w:w="1406" w:type="pct"/>
            <w:tcBorders>
              <w:top w:val="single" w:sz="4" w:space="0" w:color="auto"/>
              <w:left w:val="single" w:sz="4" w:space="0" w:color="auto"/>
              <w:bottom w:val="single" w:sz="4" w:space="0" w:color="auto"/>
              <w:right w:val="single" w:sz="4" w:space="0" w:color="auto"/>
            </w:tcBorders>
            <w:vAlign w:val="center"/>
          </w:tcPr>
          <w:p w14:paraId="62F0A14A" w14:textId="77777777" w:rsidR="00E70C7C" w:rsidRPr="00253DAD" w:rsidRDefault="00E70C7C" w:rsidP="00576E48">
            <w:pPr>
              <w:pStyle w:val="Tabletext"/>
              <w:rPr>
                <w:b/>
                <w:bCs/>
              </w:rPr>
            </w:pPr>
            <w:r w:rsidRPr="00253DAD">
              <w:rPr>
                <w:b/>
                <w:bCs/>
              </w:rPr>
              <w:t>Category</w:t>
            </w:r>
          </w:p>
        </w:tc>
        <w:tc>
          <w:tcPr>
            <w:tcW w:w="1183" w:type="pct"/>
            <w:tcBorders>
              <w:top w:val="single" w:sz="4" w:space="0" w:color="auto"/>
              <w:left w:val="single" w:sz="4" w:space="0" w:color="auto"/>
              <w:bottom w:val="single" w:sz="4" w:space="0" w:color="auto"/>
              <w:right w:val="single" w:sz="4" w:space="0" w:color="auto"/>
            </w:tcBorders>
            <w:vAlign w:val="center"/>
          </w:tcPr>
          <w:p w14:paraId="446876A3" w14:textId="77777777" w:rsidR="00E70C7C" w:rsidRPr="00253DAD" w:rsidRDefault="00E70C7C" w:rsidP="00576E48">
            <w:pPr>
              <w:pStyle w:val="Tabletext"/>
              <w:rPr>
                <w:b/>
                <w:bCs/>
              </w:rPr>
            </w:pPr>
            <w:r w:rsidRPr="00253DAD">
              <w:rPr>
                <w:b/>
                <w:bCs/>
              </w:rPr>
              <w:t xml:space="preserve">DRF </w:t>
            </w:r>
          </w:p>
        </w:tc>
        <w:tc>
          <w:tcPr>
            <w:tcW w:w="1081" w:type="pct"/>
            <w:tcBorders>
              <w:top w:val="single" w:sz="4" w:space="0" w:color="auto"/>
              <w:left w:val="single" w:sz="4" w:space="0" w:color="auto"/>
              <w:bottom w:val="single" w:sz="4" w:space="0" w:color="auto"/>
              <w:right w:val="single" w:sz="4" w:space="0" w:color="auto"/>
            </w:tcBorders>
            <w:vAlign w:val="center"/>
          </w:tcPr>
          <w:p w14:paraId="769C347C" w14:textId="77777777" w:rsidR="00E70C7C" w:rsidRPr="00253DAD" w:rsidRDefault="00E70C7C" w:rsidP="00576E48">
            <w:pPr>
              <w:pStyle w:val="Tabletext"/>
              <w:rPr>
                <w:b/>
                <w:bCs/>
              </w:rPr>
            </w:pPr>
            <w:r w:rsidRPr="00253DAD">
              <w:rPr>
                <w:b/>
                <w:bCs/>
              </w:rPr>
              <w:t>DMF</w:t>
            </w:r>
          </w:p>
        </w:tc>
        <w:tc>
          <w:tcPr>
            <w:tcW w:w="1330" w:type="pct"/>
            <w:tcBorders>
              <w:top w:val="single" w:sz="4" w:space="0" w:color="auto"/>
              <w:left w:val="single" w:sz="4" w:space="0" w:color="auto"/>
              <w:bottom w:val="single" w:sz="4" w:space="0" w:color="auto"/>
              <w:right w:val="single" w:sz="4" w:space="0" w:color="auto"/>
            </w:tcBorders>
            <w:vAlign w:val="center"/>
          </w:tcPr>
          <w:p w14:paraId="6196811D" w14:textId="77777777" w:rsidR="00E70C7C" w:rsidRPr="00253DAD" w:rsidRDefault="00E70C7C" w:rsidP="00576E48">
            <w:pPr>
              <w:pStyle w:val="Tabletext"/>
              <w:rPr>
                <w:b/>
                <w:bCs/>
              </w:rPr>
            </w:pPr>
            <w:r w:rsidRPr="00253DAD">
              <w:rPr>
                <w:b/>
                <w:bCs/>
              </w:rPr>
              <w:t>Results</w:t>
            </w:r>
          </w:p>
        </w:tc>
      </w:tr>
      <w:tr w:rsidR="00E70C7C" w:rsidRPr="007024DA" w14:paraId="2FF61DD1" w14:textId="77777777" w:rsidTr="0032503C">
        <w:trPr>
          <w:cantSplit/>
        </w:trPr>
        <w:tc>
          <w:tcPr>
            <w:tcW w:w="1406" w:type="pct"/>
            <w:tcBorders>
              <w:top w:val="single" w:sz="4" w:space="0" w:color="auto"/>
              <w:left w:val="single" w:sz="4" w:space="0" w:color="auto"/>
              <w:bottom w:val="single" w:sz="4" w:space="0" w:color="auto"/>
              <w:right w:val="single" w:sz="4" w:space="0" w:color="auto"/>
            </w:tcBorders>
            <w:vAlign w:val="center"/>
          </w:tcPr>
          <w:p w14:paraId="7E1F6EA4" w14:textId="77777777" w:rsidR="00E70C7C" w:rsidRPr="007024DA" w:rsidRDefault="00E70C7C" w:rsidP="00576E48">
            <w:pPr>
              <w:pStyle w:val="Tabletext"/>
            </w:pPr>
            <w:r w:rsidRPr="007024DA">
              <w:t>Gd+ lesions, mean (SD)</w:t>
            </w:r>
          </w:p>
        </w:tc>
        <w:tc>
          <w:tcPr>
            <w:tcW w:w="1183" w:type="pct"/>
            <w:tcBorders>
              <w:top w:val="single" w:sz="4" w:space="0" w:color="auto"/>
              <w:left w:val="single" w:sz="4" w:space="0" w:color="auto"/>
              <w:bottom w:val="single" w:sz="4" w:space="0" w:color="auto"/>
              <w:right w:val="single" w:sz="4" w:space="0" w:color="auto"/>
            </w:tcBorders>
            <w:vAlign w:val="center"/>
          </w:tcPr>
          <w:p w14:paraId="16E47F25" w14:textId="77777777" w:rsidR="00E70C7C" w:rsidRPr="007024DA" w:rsidRDefault="00E70C7C" w:rsidP="00576E48">
            <w:pPr>
              <w:pStyle w:val="Tabletext"/>
            </w:pPr>
            <w:r w:rsidRPr="007024DA">
              <w:t>0.2 (0.8)</w:t>
            </w:r>
          </w:p>
        </w:tc>
        <w:tc>
          <w:tcPr>
            <w:tcW w:w="1081" w:type="pct"/>
            <w:tcBorders>
              <w:top w:val="single" w:sz="4" w:space="0" w:color="auto"/>
              <w:left w:val="single" w:sz="4" w:space="0" w:color="auto"/>
              <w:bottom w:val="single" w:sz="4" w:space="0" w:color="auto"/>
              <w:right w:val="single" w:sz="4" w:space="0" w:color="auto"/>
            </w:tcBorders>
            <w:vAlign w:val="center"/>
          </w:tcPr>
          <w:p w14:paraId="56EE61C4" w14:textId="77777777" w:rsidR="00E70C7C" w:rsidRPr="007024DA" w:rsidRDefault="00E70C7C" w:rsidP="00576E48">
            <w:pPr>
              <w:pStyle w:val="Tabletext"/>
            </w:pPr>
            <w:r w:rsidRPr="007024DA">
              <w:t>0.3 (1.2)</w:t>
            </w:r>
          </w:p>
        </w:tc>
        <w:tc>
          <w:tcPr>
            <w:tcW w:w="1330" w:type="pct"/>
            <w:tcBorders>
              <w:top w:val="single" w:sz="4" w:space="0" w:color="auto"/>
              <w:left w:val="single" w:sz="4" w:space="0" w:color="auto"/>
              <w:bottom w:val="single" w:sz="4" w:space="0" w:color="auto"/>
              <w:right w:val="single" w:sz="4" w:space="0" w:color="auto"/>
            </w:tcBorders>
            <w:vAlign w:val="center"/>
          </w:tcPr>
          <w:p w14:paraId="1229864E" w14:textId="77777777" w:rsidR="00E70C7C" w:rsidRPr="007024DA" w:rsidRDefault="00E70C7C" w:rsidP="00576E48">
            <w:pPr>
              <w:pStyle w:val="Tabletext"/>
            </w:pPr>
            <w:r w:rsidRPr="007024DA">
              <w:t xml:space="preserve">Odds Ratio:  0.983 </w:t>
            </w:r>
          </w:p>
          <w:p w14:paraId="5E12199A" w14:textId="77777777" w:rsidR="00E70C7C" w:rsidRPr="007024DA" w:rsidRDefault="00E70C7C" w:rsidP="00576E48">
            <w:pPr>
              <w:pStyle w:val="Tabletext"/>
            </w:pPr>
            <w:r w:rsidRPr="007024DA">
              <w:t>(95% CI: 0.546-1.772)</w:t>
            </w:r>
          </w:p>
          <w:p w14:paraId="776D1CC8" w14:textId="77777777" w:rsidR="00E70C7C" w:rsidRPr="007024DA" w:rsidRDefault="00E70C7C" w:rsidP="00576E48">
            <w:pPr>
              <w:pStyle w:val="Tabletext"/>
            </w:pPr>
            <w:r w:rsidRPr="007024DA">
              <w:t>P-value:</w:t>
            </w:r>
            <w:r w:rsidRPr="007024DA">
              <w:tab/>
              <w:t>0.955</w:t>
            </w:r>
          </w:p>
        </w:tc>
      </w:tr>
      <w:tr w:rsidR="00E70C7C" w:rsidRPr="007024DA" w14:paraId="30612C9E" w14:textId="77777777" w:rsidTr="0032503C">
        <w:trPr>
          <w:cantSplit/>
        </w:trPr>
        <w:tc>
          <w:tcPr>
            <w:tcW w:w="1406" w:type="pct"/>
            <w:tcBorders>
              <w:top w:val="single" w:sz="4" w:space="0" w:color="auto"/>
              <w:left w:val="single" w:sz="4" w:space="0" w:color="auto"/>
              <w:bottom w:val="single" w:sz="4" w:space="0" w:color="auto"/>
              <w:right w:val="single" w:sz="4" w:space="0" w:color="auto"/>
            </w:tcBorders>
            <w:vAlign w:val="center"/>
          </w:tcPr>
          <w:p w14:paraId="0FE2A9D4" w14:textId="77777777" w:rsidR="00E70C7C" w:rsidRPr="007024DA" w:rsidRDefault="00E70C7C" w:rsidP="00576E48">
            <w:pPr>
              <w:pStyle w:val="Tabletext"/>
            </w:pPr>
            <w:r w:rsidRPr="007024DA">
              <w:t>Adjusted mean number of new/newly enlarging T2 lesions</w:t>
            </w:r>
          </w:p>
        </w:tc>
        <w:tc>
          <w:tcPr>
            <w:tcW w:w="1183" w:type="pct"/>
            <w:tcBorders>
              <w:top w:val="single" w:sz="4" w:space="0" w:color="auto"/>
              <w:left w:val="single" w:sz="4" w:space="0" w:color="auto"/>
              <w:bottom w:val="single" w:sz="4" w:space="0" w:color="auto"/>
              <w:right w:val="single" w:sz="4" w:space="0" w:color="auto"/>
            </w:tcBorders>
            <w:vAlign w:val="center"/>
          </w:tcPr>
          <w:p w14:paraId="0599E7C3" w14:textId="77777777" w:rsidR="00E70C7C" w:rsidRPr="007024DA" w:rsidRDefault="00E70C7C" w:rsidP="00576E48">
            <w:pPr>
              <w:pStyle w:val="Tabletext"/>
            </w:pPr>
            <w:r w:rsidRPr="007024DA">
              <w:t>1.941</w:t>
            </w:r>
          </w:p>
        </w:tc>
        <w:tc>
          <w:tcPr>
            <w:tcW w:w="1081" w:type="pct"/>
            <w:tcBorders>
              <w:top w:val="single" w:sz="4" w:space="0" w:color="auto"/>
              <w:left w:val="single" w:sz="4" w:space="0" w:color="auto"/>
              <w:bottom w:val="single" w:sz="4" w:space="0" w:color="auto"/>
              <w:right w:val="single" w:sz="4" w:space="0" w:color="auto"/>
            </w:tcBorders>
            <w:vAlign w:val="center"/>
          </w:tcPr>
          <w:p w14:paraId="7C5CCAB9" w14:textId="77777777" w:rsidR="00E70C7C" w:rsidRPr="007024DA" w:rsidRDefault="00E70C7C" w:rsidP="00576E48">
            <w:pPr>
              <w:pStyle w:val="Tabletext"/>
            </w:pPr>
            <w:r w:rsidRPr="007024DA">
              <w:t>1.726</w:t>
            </w:r>
          </w:p>
        </w:tc>
        <w:tc>
          <w:tcPr>
            <w:tcW w:w="1330" w:type="pct"/>
            <w:tcBorders>
              <w:top w:val="single" w:sz="4" w:space="0" w:color="auto"/>
              <w:left w:val="single" w:sz="4" w:space="0" w:color="auto"/>
              <w:bottom w:val="single" w:sz="4" w:space="0" w:color="auto"/>
              <w:right w:val="single" w:sz="4" w:space="0" w:color="auto"/>
            </w:tcBorders>
            <w:vAlign w:val="center"/>
          </w:tcPr>
          <w:p w14:paraId="0EDA25D4" w14:textId="77777777" w:rsidR="00E70C7C" w:rsidRPr="007024DA" w:rsidRDefault="00E70C7C" w:rsidP="00576E48">
            <w:pPr>
              <w:pStyle w:val="Tabletext"/>
            </w:pPr>
            <w:r w:rsidRPr="007024DA">
              <w:t xml:space="preserve">Mean ratio: 1.124 </w:t>
            </w:r>
          </w:p>
          <w:p w14:paraId="61E9EAFD" w14:textId="77777777" w:rsidR="00E70C7C" w:rsidRPr="007024DA" w:rsidRDefault="00E70C7C" w:rsidP="00576E48">
            <w:pPr>
              <w:pStyle w:val="Tabletext"/>
            </w:pPr>
            <w:r w:rsidRPr="007024DA">
              <w:t>(95% CI: 0.863-1.464)</w:t>
            </w:r>
          </w:p>
          <w:p w14:paraId="65E8D5DB" w14:textId="77777777" w:rsidR="00E70C7C" w:rsidRPr="007024DA" w:rsidRDefault="00E70C7C" w:rsidP="00576E48">
            <w:pPr>
              <w:pStyle w:val="Tabletext"/>
              <w:rPr>
                <w:rFonts w:cstheme="minorBidi"/>
              </w:rPr>
            </w:pPr>
            <w:r w:rsidRPr="693CB859">
              <w:rPr>
                <w:rFonts w:cstheme="minorBidi"/>
              </w:rPr>
              <w:t>P-value:</w:t>
            </w:r>
            <w:r>
              <w:tab/>
            </w:r>
            <w:r w:rsidRPr="693CB859">
              <w:rPr>
                <w:rFonts w:cstheme="minorBidi"/>
              </w:rPr>
              <w:t>0.384</w:t>
            </w:r>
          </w:p>
        </w:tc>
      </w:tr>
      <w:tr w:rsidR="00E70C7C" w:rsidRPr="007024DA" w14:paraId="276DFAE8" w14:textId="77777777" w:rsidTr="0032503C">
        <w:trPr>
          <w:cantSplit/>
        </w:trPr>
        <w:tc>
          <w:tcPr>
            <w:tcW w:w="1406" w:type="pct"/>
            <w:tcBorders>
              <w:top w:val="single" w:sz="4" w:space="0" w:color="auto"/>
              <w:left w:val="single" w:sz="4" w:space="0" w:color="auto"/>
              <w:bottom w:val="single" w:sz="4" w:space="0" w:color="auto"/>
              <w:right w:val="single" w:sz="4" w:space="0" w:color="auto"/>
            </w:tcBorders>
            <w:vAlign w:val="center"/>
          </w:tcPr>
          <w:p w14:paraId="1AF97F1E" w14:textId="77777777" w:rsidR="00E70C7C" w:rsidRPr="007024DA" w:rsidRDefault="00E70C7C" w:rsidP="00576E48">
            <w:pPr>
              <w:pStyle w:val="Tabletext"/>
            </w:pPr>
            <w:r w:rsidRPr="007024DA">
              <w:t>ARR (95% CI)</w:t>
            </w:r>
          </w:p>
        </w:tc>
        <w:tc>
          <w:tcPr>
            <w:tcW w:w="1183" w:type="pct"/>
            <w:tcBorders>
              <w:top w:val="single" w:sz="4" w:space="0" w:color="auto"/>
              <w:left w:val="single" w:sz="4" w:space="0" w:color="auto"/>
              <w:bottom w:val="single" w:sz="4" w:space="0" w:color="auto"/>
              <w:right w:val="single" w:sz="4" w:space="0" w:color="auto"/>
            </w:tcBorders>
            <w:vAlign w:val="center"/>
          </w:tcPr>
          <w:p w14:paraId="708E73F1" w14:textId="77777777" w:rsidR="00E70C7C" w:rsidRPr="007024DA" w:rsidRDefault="00E70C7C" w:rsidP="00576E48">
            <w:pPr>
              <w:pStyle w:val="Tabletext"/>
              <w:rPr>
                <w:sz w:val="18"/>
              </w:rPr>
            </w:pPr>
            <w:r w:rsidRPr="007024DA">
              <w:rPr>
                <w:sz w:val="18"/>
              </w:rPr>
              <w:t>0.169</w:t>
            </w:r>
          </w:p>
          <w:p w14:paraId="2402E0C9" w14:textId="77777777" w:rsidR="00E70C7C" w:rsidRPr="007024DA" w:rsidRDefault="00E70C7C" w:rsidP="00576E48">
            <w:pPr>
              <w:pStyle w:val="Tabletext"/>
              <w:rPr>
                <w:color w:val="231F20"/>
                <w:spacing w:val="3"/>
                <w:sz w:val="18"/>
              </w:rPr>
            </w:pPr>
            <w:r w:rsidRPr="007024DA">
              <w:rPr>
                <w:color w:val="231F20"/>
                <w:spacing w:val="3"/>
                <w:sz w:val="18"/>
              </w:rPr>
              <w:t>0.109-</w:t>
            </w:r>
          </w:p>
          <w:p w14:paraId="1D7638CB" w14:textId="77777777" w:rsidR="00E70C7C" w:rsidRPr="007024DA" w:rsidRDefault="00E70C7C" w:rsidP="00576E48">
            <w:pPr>
              <w:pStyle w:val="Tabletext"/>
              <w:rPr>
                <w:color w:val="231F20"/>
                <w:sz w:val="18"/>
              </w:rPr>
            </w:pPr>
            <w:r w:rsidRPr="007024DA">
              <w:rPr>
                <w:color w:val="231F20"/>
                <w:sz w:val="18"/>
              </w:rPr>
              <w:t>0.261</w:t>
            </w:r>
          </w:p>
          <w:p w14:paraId="5B6D78F2" w14:textId="77777777" w:rsidR="00E70C7C" w:rsidRPr="007024DA" w:rsidRDefault="00E70C7C" w:rsidP="00576E48">
            <w:pPr>
              <w:pStyle w:val="Tabletext"/>
              <w:rPr>
                <w:color w:val="231F20"/>
                <w:spacing w:val="3"/>
                <w:sz w:val="18"/>
              </w:rPr>
            </w:pPr>
            <w:r w:rsidRPr="007024DA">
              <w:rPr>
                <w:color w:val="231F20"/>
                <w:spacing w:val="3"/>
                <w:sz w:val="18"/>
              </w:rPr>
              <w:t>0.109-</w:t>
            </w:r>
          </w:p>
          <w:p w14:paraId="11C5B468" w14:textId="77777777" w:rsidR="00E70C7C" w:rsidRPr="007024DA" w:rsidRDefault="00E70C7C" w:rsidP="00576E48">
            <w:pPr>
              <w:pStyle w:val="Tabletext"/>
              <w:rPr>
                <w:color w:val="231F20"/>
                <w:sz w:val="18"/>
              </w:rPr>
            </w:pPr>
            <w:r w:rsidRPr="007024DA">
              <w:rPr>
                <w:color w:val="231F20"/>
                <w:sz w:val="18"/>
              </w:rPr>
              <w:t>0.261</w:t>
            </w:r>
          </w:p>
          <w:p w14:paraId="68A6C11C" w14:textId="77777777" w:rsidR="00E70C7C" w:rsidRPr="007024DA" w:rsidRDefault="00E70C7C" w:rsidP="00576E48">
            <w:pPr>
              <w:pStyle w:val="Tabletext"/>
            </w:pPr>
            <w:r w:rsidRPr="007024DA">
              <w:t>(0.109-0.261)</w:t>
            </w:r>
          </w:p>
        </w:tc>
        <w:tc>
          <w:tcPr>
            <w:tcW w:w="1081" w:type="pct"/>
            <w:tcBorders>
              <w:top w:val="single" w:sz="4" w:space="0" w:color="auto"/>
              <w:left w:val="single" w:sz="4" w:space="0" w:color="auto"/>
              <w:bottom w:val="single" w:sz="4" w:space="0" w:color="auto"/>
              <w:right w:val="single" w:sz="4" w:space="0" w:color="auto"/>
            </w:tcBorders>
            <w:vAlign w:val="center"/>
          </w:tcPr>
          <w:p w14:paraId="604B4C60" w14:textId="77777777" w:rsidR="00E70C7C" w:rsidRPr="007024DA" w:rsidRDefault="00E70C7C" w:rsidP="00576E48">
            <w:pPr>
              <w:pStyle w:val="Tabletext"/>
              <w:rPr>
                <w:sz w:val="18"/>
              </w:rPr>
            </w:pPr>
            <w:r w:rsidRPr="007024DA">
              <w:rPr>
                <w:sz w:val="18"/>
              </w:rPr>
              <w:t>0.206</w:t>
            </w:r>
          </w:p>
          <w:p w14:paraId="43BDECB8" w14:textId="77777777" w:rsidR="00E70C7C" w:rsidRPr="007024DA" w:rsidRDefault="00E70C7C" w:rsidP="00576E48">
            <w:pPr>
              <w:pStyle w:val="Tabletext"/>
              <w:rPr>
                <w:color w:val="231F20"/>
                <w:spacing w:val="3"/>
                <w:sz w:val="18"/>
              </w:rPr>
            </w:pPr>
            <w:r w:rsidRPr="007024DA">
              <w:rPr>
                <w:color w:val="231F20"/>
                <w:spacing w:val="3"/>
                <w:sz w:val="18"/>
              </w:rPr>
              <w:t>0.109-</w:t>
            </w:r>
          </w:p>
          <w:p w14:paraId="682F339F" w14:textId="77777777" w:rsidR="00E70C7C" w:rsidRPr="007024DA" w:rsidRDefault="00E70C7C" w:rsidP="00576E48">
            <w:pPr>
              <w:pStyle w:val="Tabletext"/>
              <w:rPr>
                <w:color w:val="231F20"/>
                <w:sz w:val="18"/>
              </w:rPr>
            </w:pPr>
            <w:r w:rsidRPr="007024DA">
              <w:rPr>
                <w:color w:val="231F20"/>
                <w:sz w:val="18"/>
              </w:rPr>
              <w:t>0.261</w:t>
            </w:r>
          </w:p>
          <w:p w14:paraId="75DC405D" w14:textId="77777777" w:rsidR="00E70C7C" w:rsidRPr="007024DA" w:rsidRDefault="00E70C7C" w:rsidP="00576E48">
            <w:pPr>
              <w:pStyle w:val="Tabletext"/>
              <w:rPr>
                <w:color w:val="231F20"/>
                <w:spacing w:val="3"/>
                <w:sz w:val="18"/>
              </w:rPr>
            </w:pPr>
            <w:r w:rsidRPr="007024DA">
              <w:rPr>
                <w:color w:val="231F20"/>
                <w:spacing w:val="3"/>
                <w:sz w:val="18"/>
              </w:rPr>
              <w:t>0.109-</w:t>
            </w:r>
          </w:p>
          <w:p w14:paraId="1D9E1551" w14:textId="77777777" w:rsidR="00E70C7C" w:rsidRPr="007024DA" w:rsidRDefault="00E70C7C" w:rsidP="00576E48">
            <w:pPr>
              <w:pStyle w:val="Tabletext"/>
              <w:rPr>
                <w:color w:val="231F20"/>
                <w:sz w:val="18"/>
              </w:rPr>
            </w:pPr>
            <w:r w:rsidRPr="007024DA">
              <w:rPr>
                <w:color w:val="231F20"/>
                <w:sz w:val="18"/>
              </w:rPr>
              <w:t>0.261</w:t>
            </w:r>
          </w:p>
          <w:p w14:paraId="54A47CB2" w14:textId="77777777" w:rsidR="00E70C7C" w:rsidRPr="007024DA" w:rsidRDefault="00E70C7C" w:rsidP="00576E48">
            <w:pPr>
              <w:pStyle w:val="Tabletext"/>
            </w:pPr>
            <w:r w:rsidRPr="007024DA">
              <w:t>(0.135-0.316)</w:t>
            </w:r>
          </w:p>
        </w:tc>
        <w:tc>
          <w:tcPr>
            <w:tcW w:w="1330" w:type="pct"/>
            <w:tcBorders>
              <w:top w:val="single" w:sz="4" w:space="0" w:color="auto"/>
              <w:left w:val="single" w:sz="4" w:space="0" w:color="auto"/>
              <w:bottom w:val="single" w:sz="4" w:space="0" w:color="auto"/>
              <w:right w:val="single" w:sz="4" w:space="0" w:color="auto"/>
            </w:tcBorders>
            <w:vAlign w:val="center"/>
          </w:tcPr>
          <w:p w14:paraId="4550A250" w14:textId="77777777" w:rsidR="00E70C7C" w:rsidRPr="007024DA" w:rsidRDefault="00E70C7C" w:rsidP="00576E48">
            <w:pPr>
              <w:pStyle w:val="Tabletext"/>
            </w:pPr>
            <w:r w:rsidRPr="007024DA">
              <w:t xml:space="preserve">ARR ratio: 0.819 </w:t>
            </w:r>
          </w:p>
          <w:p w14:paraId="416FB53F" w14:textId="77777777" w:rsidR="00E70C7C" w:rsidRPr="007024DA" w:rsidRDefault="00E70C7C" w:rsidP="00576E48">
            <w:pPr>
              <w:pStyle w:val="Tabletext"/>
            </w:pPr>
            <w:r w:rsidRPr="007024DA">
              <w:t>(95% CI: 0.580-1.155)</w:t>
            </w:r>
          </w:p>
          <w:p w14:paraId="75891816" w14:textId="77777777" w:rsidR="00E70C7C" w:rsidRPr="007024DA" w:rsidRDefault="00E70C7C" w:rsidP="00576E48">
            <w:pPr>
              <w:pStyle w:val="Tabletext"/>
            </w:pPr>
            <w:r w:rsidRPr="007024DA">
              <w:t>P-value:</w:t>
            </w:r>
            <w:r w:rsidRPr="007024DA">
              <w:tab/>
              <w:t>0.255</w:t>
            </w:r>
          </w:p>
        </w:tc>
      </w:tr>
    </w:tbl>
    <w:p w14:paraId="413F53F3" w14:textId="77777777" w:rsidR="00E70C7C" w:rsidRDefault="00E70C7C" w:rsidP="00E70C7C">
      <w:pPr>
        <w:pStyle w:val="3-BodyText"/>
        <w:numPr>
          <w:ilvl w:val="0"/>
          <w:numId w:val="0"/>
        </w:numPr>
        <w:spacing w:after="0"/>
        <w:rPr>
          <w:rFonts w:ascii="Arial Narrow" w:hAnsi="Arial Narrow"/>
          <w:sz w:val="18"/>
        </w:rPr>
      </w:pPr>
      <w:r w:rsidRPr="008F00AB">
        <w:rPr>
          <w:rFonts w:ascii="Arial Narrow" w:hAnsi="Arial Narrow"/>
          <w:sz w:val="18"/>
        </w:rPr>
        <w:t xml:space="preserve">Source: Table 2.9.2, p112 of the </w:t>
      </w:r>
      <w:r>
        <w:rPr>
          <w:rFonts w:ascii="Arial Narrow" w:hAnsi="Arial Narrow"/>
          <w:sz w:val="18"/>
        </w:rPr>
        <w:t>Submission.</w:t>
      </w:r>
      <w:r w:rsidRPr="008F00AB">
        <w:rPr>
          <w:rFonts w:ascii="Arial Narrow" w:hAnsi="Arial Narrow"/>
          <w:sz w:val="18"/>
        </w:rPr>
        <w:t xml:space="preserve"> </w:t>
      </w:r>
    </w:p>
    <w:p w14:paraId="35845790" w14:textId="3B897A84" w:rsidR="00E70C7C" w:rsidRDefault="00E70C7C" w:rsidP="00E70C7C">
      <w:pPr>
        <w:pStyle w:val="3-BodyText"/>
        <w:numPr>
          <w:ilvl w:val="0"/>
          <w:numId w:val="0"/>
        </w:numPr>
        <w:spacing w:after="0"/>
        <w:rPr>
          <w:rFonts w:ascii="Arial Narrow" w:hAnsi="Arial Narrow"/>
          <w:sz w:val="18"/>
        </w:rPr>
      </w:pPr>
      <w:r w:rsidRPr="008F00AB">
        <w:rPr>
          <w:rFonts w:ascii="Arial Narrow" w:hAnsi="Arial Narrow"/>
          <w:sz w:val="18"/>
        </w:rPr>
        <w:t>ARR, adjusted annualised relapse rate; CI, confidence interval; DMF, dimethyl fumarate; DRF, diroximel fumarate; SD, standard deviation</w:t>
      </w:r>
      <w:r w:rsidR="005C74A0">
        <w:rPr>
          <w:rFonts w:ascii="Arial Narrow" w:hAnsi="Arial Narrow"/>
          <w:sz w:val="18"/>
        </w:rPr>
        <w:t>; Gd+, Gadolinium-enhancing</w:t>
      </w:r>
    </w:p>
    <w:p w14:paraId="503A2530" w14:textId="29EB5F59" w:rsidR="00F21A3E" w:rsidRPr="006E4EF0" w:rsidRDefault="0027070F" w:rsidP="0027070F">
      <w:pPr>
        <w:pStyle w:val="4-SubsectionHeading"/>
      </w:pPr>
      <w:bookmarkStart w:id="22" w:name="_Toc93478633"/>
      <w:r>
        <w:t>C</w:t>
      </w:r>
      <w:r w:rsidR="00F21A3E" w:rsidRPr="00C9624D">
        <w:t>omparative harms</w:t>
      </w:r>
      <w:bookmarkEnd w:id="21"/>
      <w:bookmarkEnd w:id="22"/>
    </w:p>
    <w:p w14:paraId="6B7C53C4" w14:textId="1D9BC449" w:rsidR="000507F5" w:rsidRPr="00031CDD" w:rsidRDefault="000C1198" w:rsidP="00CC5699">
      <w:pPr>
        <w:pStyle w:val="3-BodyText"/>
        <w:rPr>
          <w:color w:val="0066FF"/>
        </w:rPr>
      </w:pPr>
      <w:r w:rsidRPr="00CC5699">
        <w:t xml:space="preserve">The </w:t>
      </w:r>
      <w:r w:rsidR="00C961B6">
        <w:t>s</w:t>
      </w:r>
      <w:r w:rsidRPr="00CC5699">
        <w:t xml:space="preserve">ubmission presented the safety evidence in relation to gastrointestinal (GI) tolerability from the EVOLVE-MS-2 trial. </w:t>
      </w:r>
      <w:r w:rsidR="005A5D22">
        <w:t>For the n</w:t>
      </w:r>
      <w:r w:rsidR="005D325A" w:rsidRPr="00CC5699">
        <w:t>umber of days with any IGISIS individual symptom intensity score ≥ 2 relative to exposure days in Parts A [exploratory] and B</w:t>
      </w:r>
      <w:r w:rsidR="005A5D22">
        <w:t>, t</w:t>
      </w:r>
      <w:r w:rsidR="007B25B8" w:rsidRPr="00CC5699">
        <w:t xml:space="preserve">he </w:t>
      </w:r>
      <w:r w:rsidR="00EA095B" w:rsidRPr="00CC5699">
        <w:t xml:space="preserve">adjusted rate ratio </w:t>
      </w:r>
      <w:r w:rsidR="009F46C6" w:rsidRPr="00CC5699">
        <w:t xml:space="preserve">RR (95% </w:t>
      </w:r>
      <w:r w:rsidR="009F46C6">
        <w:t xml:space="preserve">CI) </w:t>
      </w:r>
      <w:r w:rsidR="00EA095B">
        <w:t>was calculated a</w:t>
      </w:r>
      <w:r w:rsidR="00C961B6">
        <w:t>s</w:t>
      </w:r>
      <w:r w:rsidR="00EA095B">
        <w:t xml:space="preserve"> 0.5</w:t>
      </w:r>
      <w:r w:rsidR="009F46C6">
        <w:t xml:space="preserve">4 (0.39-0.75), </w:t>
      </w:r>
      <w:r w:rsidR="007B25B8" w:rsidRPr="007B25B8">
        <w:t>favour</w:t>
      </w:r>
      <w:r w:rsidR="009F46C6">
        <w:t xml:space="preserve">ing </w:t>
      </w:r>
      <w:r w:rsidR="007B25B8" w:rsidRPr="007B25B8">
        <w:t>DRF over DMF treatment (p = 0.0003)</w:t>
      </w:r>
      <w:r w:rsidR="009F46C6">
        <w:t xml:space="preserve">. </w:t>
      </w:r>
      <w:r w:rsidR="005A5D22">
        <w:t>F</w:t>
      </w:r>
      <w:r w:rsidR="003A00FA">
        <w:t>our</w:t>
      </w:r>
      <w:r w:rsidR="005A5D22">
        <w:t xml:space="preserve"> other</w:t>
      </w:r>
      <w:r w:rsidR="003A00FA">
        <w:t xml:space="preserve"> secondary endpoints (out of seven)</w:t>
      </w:r>
      <w:r w:rsidR="00C961B6">
        <w:t xml:space="preserve"> relating to GI symptoms</w:t>
      </w:r>
      <w:r w:rsidR="003A00FA">
        <w:t xml:space="preserve"> also showed</w:t>
      </w:r>
      <w:r w:rsidR="00CC5699">
        <w:t xml:space="preserve"> a statically significan</w:t>
      </w:r>
      <w:r w:rsidR="00E70C7C">
        <w:t>t</w:t>
      </w:r>
      <w:r w:rsidR="00CC5699">
        <w:t xml:space="preserve"> reduction in the DRF group compared to the DMF group</w:t>
      </w:r>
      <w:r w:rsidR="00CC5699" w:rsidRPr="00031CDD">
        <w:t xml:space="preserve">. </w:t>
      </w:r>
      <w:r w:rsidR="005A5D22">
        <w:t>The</w:t>
      </w:r>
      <w:r w:rsidR="005C74A0">
        <w:t xml:space="preserve"> </w:t>
      </w:r>
      <w:r w:rsidR="005C74A0" w:rsidRPr="005C74A0">
        <w:t>Global Gastrointestinal Symptom and Impact Scale</w:t>
      </w:r>
      <w:r w:rsidR="00F0495F" w:rsidRPr="00031CDD">
        <w:t xml:space="preserve"> </w:t>
      </w:r>
      <w:r w:rsidR="005C74A0">
        <w:t>(</w:t>
      </w:r>
      <w:r w:rsidR="00F0495F" w:rsidRPr="00031CDD">
        <w:t>GGISIS</w:t>
      </w:r>
      <w:r w:rsidR="005C74A0">
        <w:t>)</w:t>
      </w:r>
      <w:r w:rsidR="00F0495F" w:rsidRPr="00031CDD">
        <w:t xml:space="preserve"> and</w:t>
      </w:r>
      <w:r w:rsidR="00044A4C">
        <w:t xml:space="preserve"> </w:t>
      </w:r>
      <w:r w:rsidR="00044A4C" w:rsidRPr="00044A4C">
        <w:t>Individual Gastrointestinal Symptom and Impact Scale</w:t>
      </w:r>
      <w:r w:rsidR="00F0495F" w:rsidRPr="00031CDD">
        <w:t xml:space="preserve"> </w:t>
      </w:r>
      <w:r w:rsidR="00044A4C">
        <w:t>(</w:t>
      </w:r>
      <w:r w:rsidR="00F0495F" w:rsidRPr="00031CDD">
        <w:t>IGISIS</w:t>
      </w:r>
      <w:r w:rsidR="00044A4C">
        <w:t>)</w:t>
      </w:r>
      <w:r w:rsidR="00F0495F" w:rsidRPr="00031CDD">
        <w:t xml:space="preserve"> were exploratory measurement tools and ha</w:t>
      </w:r>
      <w:r w:rsidR="00C961B6">
        <w:t>ve</w:t>
      </w:r>
      <w:r w:rsidR="00F0495F" w:rsidRPr="00031CDD">
        <w:t xml:space="preserve"> not been validated or used in previous clinical trials</w:t>
      </w:r>
      <w:r w:rsidR="00E928E9" w:rsidRPr="00031CDD">
        <w:t xml:space="preserve"> (TGA Round 1 CER, p48)</w:t>
      </w:r>
      <w:r w:rsidR="00F0495F" w:rsidRPr="00031CDD">
        <w:t>.</w:t>
      </w:r>
    </w:p>
    <w:p w14:paraId="61B19287" w14:textId="698D8940" w:rsidR="00F21A3E" w:rsidRPr="00D86231" w:rsidRDefault="00F21A3E" w:rsidP="00F21A3E">
      <w:pPr>
        <w:pStyle w:val="3-BodyText"/>
        <w:rPr>
          <w:color w:val="0066FF"/>
        </w:rPr>
      </w:pPr>
      <w:r w:rsidRPr="0080721B">
        <w:t xml:space="preserve">Table </w:t>
      </w:r>
      <w:r w:rsidR="00623B45">
        <w:t xml:space="preserve">5 </w:t>
      </w:r>
      <w:r>
        <w:t>presents a summary of adverse events</w:t>
      </w:r>
      <w:r w:rsidR="00544F05">
        <w:t xml:space="preserve"> (AE)</w:t>
      </w:r>
      <w:r>
        <w:t xml:space="preserve"> in the included randomised trials</w:t>
      </w:r>
      <w:r w:rsidR="005A5D22">
        <w:t>,</w:t>
      </w:r>
      <w:r>
        <w:t xml:space="preserve"> including the bioequivalence studies and </w:t>
      </w:r>
      <w:r w:rsidRPr="00CE3E1D">
        <w:t>EVOLVE-MS-2</w:t>
      </w:r>
      <w:r w:rsidRPr="00AD43FB">
        <w:t>.</w:t>
      </w:r>
      <w:r w:rsidR="00544F05" w:rsidRPr="00AD43FB">
        <w:t xml:space="preserve"> No serious AEs or AEs leading to treatment discontinuation were observed in ALK8700-A103, ALK8700-A104 or ALK8700-A109 and these outcomes are not reported in the table below for brevity reasons.</w:t>
      </w:r>
    </w:p>
    <w:p w14:paraId="54186CC5" w14:textId="77777777" w:rsidR="00E544A2" w:rsidRDefault="00E544A2">
      <w:pPr>
        <w:jc w:val="left"/>
        <w:rPr>
          <w:rFonts w:ascii="Arial Narrow" w:hAnsi="Arial Narrow"/>
          <w:b/>
          <w:bCs/>
          <w:color w:val="000000" w:themeColor="text1"/>
          <w:sz w:val="20"/>
          <w:szCs w:val="20"/>
        </w:rPr>
      </w:pPr>
      <w:r>
        <w:br w:type="page"/>
      </w:r>
    </w:p>
    <w:p w14:paraId="2E3CCD7F" w14:textId="50FBEB7D" w:rsidR="00672337" w:rsidRDefault="00672337" w:rsidP="00672337">
      <w:pPr>
        <w:pStyle w:val="Caption"/>
      </w:pPr>
      <w:r>
        <w:t xml:space="preserve">Table </w:t>
      </w:r>
      <w:fldSimple w:instr=" SEQ Table \* ARABIC ">
        <w:r w:rsidR="00756CE2">
          <w:rPr>
            <w:noProof/>
          </w:rPr>
          <w:t>7</w:t>
        </w:r>
      </w:fldSimple>
      <w:r>
        <w:t xml:space="preserve">: </w:t>
      </w:r>
      <w:r w:rsidRPr="0006725F">
        <w:t>Summary of key adverse events in the trials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227"/>
        <w:gridCol w:w="2224"/>
        <w:gridCol w:w="2214"/>
      </w:tblGrid>
      <w:tr w:rsidR="00F21A3E" w:rsidRPr="00080909" w14:paraId="4860A3A3" w14:textId="77777777" w:rsidTr="00495E3A">
        <w:trPr>
          <w:tblHeader/>
        </w:trPr>
        <w:tc>
          <w:tcPr>
            <w:tcW w:w="2352" w:type="dxa"/>
            <w:vAlign w:val="center"/>
          </w:tcPr>
          <w:p w14:paraId="1E996526" w14:textId="77777777" w:rsidR="00F21A3E" w:rsidRPr="00080909" w:rsidRDefault="00F21A3E" w:rsidP="00495E3A">
            <w:pPr>
              <w:pStyle w:val="In-tableHeading"/>
              <w:keepNext w:val="0"/>
            </w:pPr>
            <w:r>
              <w:t>Trial ID</w:t>
            </w:r>
          </w:p>
        </w:tc>
        <w:tc>
          <w:tcPr>
            <w:tcW w:w="2227" w:type="dxa"/>
            <w:vAlign w:val="center"/>
          </w:tcPr>
          <w:p w14:paraId="7DCA2D5B" w14:textId="77777777" w:rsidR="00F21A3E" w:rsidRDefault="00F21A3E" w:rsidP="00495E3A">
            <w:pPr>
              <w:pStyle w:val="In-tableHeading"/>
              <w:keepNext w:val="0"/>
              <w:jc w:val="center"/>
            </w:pPr>
            <w:r>
              <w:t>DRF</w:t>
            </w:r>
          </w:p>
          <w:p w14:paraId="503AF1FF" w14:textId="77777777" w:rsidR="00F21A3E" w:rsidRPr="00080909" w:rsidRDefault="00F21A3E" w:rsidP="00495E3A">
            <w:pPr>
              <w:pStyle w:val="In-tableHeading"/>
              <w:keepNext w:val="0"/>
              <w:jc w:val="center"/>
            </w:pPr>
            <w:r>
              <w:t>n with event/N (%)</w:t>
            </w:r>
          </w:p>
        </w:tc>
        <w:tc>
          <w:tcPr>
            <w:tcW w:w="2224" w:type="dxa"/>
            <w:vAlign w:val="center"/>
          </w:tcPr>
          <w:p w14:paraId="006299E2" w14:textId="77777777" w:rsidR="00F21A3E" w:rsidRDefault="00F21A3E" w:rsidP="00495E3A">
            <w:pPr>
              <w:pStyle w:val="In-tableHeading"/>
              <w:keepNext w:val="0"/>
              <w:jc w:val="center"/>
            </w:pPr>
            <w:r>
              <w:t>DMF</w:t>
            </w:r>
          </w:p>
          <w:p w14:paraId="61B62933" w14:textId="77777777" w:rsidR="00F21A3E" w:rsidRPr="00080909" w:rsidRDefault="00F21A3E" w:rsidP="00495E3A">
            <w:pPr>
              <w:pStyle w:val="In-tableHeading"/>
              <w:keepNext w:val="0"/>
              <w:jc w:val="center"/>
            </w:pPr>
            <w:r>
              <w:t>n with event/N (%)</w:t>
            </w:r>
          </w:p>
        </w:tc>
        <w:tc>
          <w:tcPr>
            <w:tcW w:w="2214" w:type="dxa"/>
            <w:vAlign w:val="center"/>
          </w:tcPr>
          <w:p w14:paraId="245768EA" w14:textId="77777777" w:rsidR="00F21A3E" w:rsidRPr="00080909" w:rsidRDefault="00F21A3E" w:rsidP="00495E3A">
            <w:pPr>
              <w:pStyle w:val="In-tableHeading"/>
              <w:keepNext w:val="0"/>
              <w:jc w:val="center"/>
            </w:pPr>
            <w:r>
              <w:t>RR (95% CI)</w:t>
            </w:r>
          </w:p>
        </w:tc>
      </w:tr>
      <w:tr w:rsidR="00F21A3E" w14:paraId="48DC3673" w14:textId="77777777" w:rsidTr="00495E3A">
        <w:tc>
          <w:tcPr>
            <w:tcW w:w="9017" w:type="dxa"/>
            <w:gridSpan w:val="4"/>
            <w:vAlign w:val="center"/>
          </w:tcPr>
          <w:p w14:paraId="3E727AC2" w14:textId="77777777" w:rsidR="00F21A3E" w:rsidRPr="0052135A" w:rsidRDefault="00F21A3E" w:rsidP="00495E3A">
            <w:pPr>
              <w:pStyle w:val="TableText0"/>
              <w:keepNext w:val="0"/>
              <w:rPr>
                <w:b/>
                <w:bCs w:val="0"/>
                <w:szCs w:val="20"/>
              </w:rPr>
            </w:pPr>
            <w:r w:rsidRPr="0052135A">
              <w:rPr>
                <w:b/>
                <w:bCs w:val="0"/>
                <w:szCs w:val="20"/>
              </w:rPr>
              <w:t>ALK8700-A103</w:t>
            </w:r>
          </w:p>
        </w:tc>
      </w:tr>
      <w:tr w:rsidR="00F21A3E" w14:paraId="492490B0" w14:textId="77777777" w:rsidTr="00495E3A">
        <w:tc>
          <w:tcPr>
            <w:tcW w:w="2352" w:type="dxa"/>
            <w:tcBorders>
              <w:bottom w:val="single" w:sz="4" w:space="0" w:color="auto"/>
            </w:tcBorders>
            <w:vAlign w:val="center"/>
          </w:tcPr>
          <w:p w14:paraId="4321A8AD" w14:textId="77777777" w:rsidR="00F21A3E" w:rsidRPr="00CF39C5" w:rsidRDefault="00F21A3E" w:rsidP="00495E3A">
            <w:pPr>
              <w:pStyle w:val="TableText0"/>
              <w:keepNext w:val="0"/>
              <w:rPr>
                <w:szCs w:val="20"/>
              </w:rPr>
            </w:pPr>
            <w:r w:rsidRPr="00CF39C5">
              <w:rPr>
                <w:szCs w:val="20"/>
              </w:rPr>
              <w:t>Any TEAE</w:t>
            </w:r>
          </w:p>
        </w:tc>
        <w:tc>
          <w:tcPr>
            <w:tcW w:w="2227" w:type="dxa"/>
            <w:tcBorders>
              <w:bottom w:val="single" w:sz="4" w:space="0" w:color="auto"/>
            </w:tcBorders>
            <w:vAlign w:val="center"/>
          </w:tcPr>
          <w:p w14:paraId="7D50D8F3" w14:textId="77777777" w:rsidR="00F21A3E" w:rsidRPr="00CF39C5" w:rsidRDefault="00F21A3E" w:rsidP="00495E3A">
            <w:pPr>
              <w:pStyle w:val="TableText0"/>
              <w:keepNext w:val="0"/>
              <w:jc w:val="center"/>
              <w:rPr>
                <w:szCs w:val="20"/>
              </w:rPr>
            </w:pPr>
            <w:r w:rsidRPr="00CF39C5">
              <w:rPr>
                <w:szCs w:val="20"/>
              </w:rPr>
              <w:t>16/35 (45.7)</w:t>
            </w:r>
          </w:p>
        </w:tc>
        <w:tc>
          <w:tcPr>
            <w:tcW w:w="2224" w:type="dxa"/>
            <w:tcBorders>
              <w:bottom w:val="single" w:sz="4" w:space="0" w:color="auto"/>
            </w:tcBorders>
            <w:vAlign w:val="center"/>
          </w:tcPr>
          <w:p w14:paraId="219FD5E5" w14:textId="77777777" w:rsidR="00F21A3E" w:rsidRPr="00CF39C5" w:rsidRDefault="00F21A3E" w:rsidP="00495E3A">
            <w:pPr>
              <w:pStyle w:val="TableText0"/>
              <w:keepNext w:val="0"/>
              <w:jc w:val="center"/>
              <w:rPr>
                <w:szCs w:val="20"/>
              </w:rPr>
            </w:pPr>
            <w:r w:rsidRPr="00E7754C">
              <w:rPr>
                <w:szCs w:val="20"/>
              </w:rPr>
              <w:t>19</w:t>
            </w:r>
            <w:r>
              <w:rPr>
                <w:szCs w:val="20"/>
              </w:rPr>
              <w:t>/35</w:t>
            </w:r>
            <w:r w:rsidRPr="00E7754C">
              <w:rPr>
                <w:szCs w:val="20"/>
              </w:rPr>
              <w:t xml:space="preserve"> (54.3)</w:t>
            </w:r>
          </w:p>
        </w:tc>
        <w:tc>
          <w:tcPr>
            <w:tcW w:w="2214" w:type="dxa"/>
            <w:tcBorders>
              <w:bottom w:val="single" w:sz="4" w:space="0" w:color="auto"/>
            </w:tcBorders>
            <w:vAlign w:val="center"/>
          </w:tcPr>
          <w:p w14:paraId="0BDD7029" w14:textId="77777777" w:rsidR="00F21A3E" w:rsidRPr="00CF39C5" w:rsidRDefault="00F21A3E" w:rsidP="00495E3A">
            <w:pPr>
              <w:pStyle w:val="TableText0"/>
              <w:keepNext w:val="0"/>
              <w:jc w:val="center"/>
              <w:rPr>
                <w:szCs w:val="20"/>
              </w:rPr>
            </w:pPr>
            <w:r w:rsidRPr="00E7754C">
              <w:rPr>
                <w:szCs w:val="20"/>
              </w:rPr>
              <w:t>0.84</w:t>
            </w:r>
            <w:r>
              <w:rPr>
                <w:szCs w:val="20"/>
              </w:rPr>
              <w:t xml:space="preserve"> (</w:t>
            </w:r>
            <w:r w:rsidRPr="00E7754C">
              <w:rPr>
                <w:szCs w:val="20"/>
              </w:rPr>
              <w:t>0.37</w:t>
            </w:r>
            <w:r>
              <w:rPr>
                <w:szCs w:val="20"/>
              </w:rPr>
              <w:t xml:space="preserve">, </w:t>
            </w:r>
            <w:r w:rsidRPr="00E7754C">
              <w:rPr>
                <w:szCs w:val="20"/>
              </w:rPr>
              <w:t>1.31</w:t>
            </w:r>
            <w:r>
              <w:rPr>
                <w:szCs w:val="20"/>
              </w:rPr>
              <w:t>)</w:t>
            </w:r>
          </w:p>
        </w:tc>
      </w:tr>
      <w:tr w:rsidR="00F21A3E" w14:paraId="1C3CFB92" w14:textId="77777777" w:rsidTr="00495E3A">
        <w:tc>
          <w:tcPr>
            <w:tcW w:w="2352" w:type="dxa"/>
            <w:tcBorders>
              <w:bottom w:val="nil"/>
            </w:tcBorders>
            <w:vAlign w:val="center"/>
          </w:tcPr>
          <w:p w14:paraId="1ACF87D5" w14:textId="77777777" w:rsidR="00F21A3E" w:rsidRPr="00CF39C5" w:rsidRDefault="00F21A3E" w:rsidP="00495E3A">
            <w:pPr>
              <w:pStyle w:val="TableText0"/>
              <w:keepNext w:val="0"/>
              <w:rPr>
                <w:szCs w:val="20"/>
              </w:rPr>
            </w:pPr>
            <w:r w:rsidRPr="00CF39C5">
              <w:rPr>
                <w:szCs w:val="20"/>
              </w:rPr>
              <w:t>TEAE by highest severity</w:t>
            </w:r>
          </w:p>
        </w:tc>
        <w:tc>
          <w:tcPr>
            <w:tcW w:w="2227" w:type="dxa"/>
            <w:tcBorders>
              <w:bottom w:val="nil"/>
            </w:tcBorders>
            <w:vAlign w:val="center"/>
          </w:tcPr>
          <w:p w14:paraId="269AAC54" w14:textId="77777777" w:rsidR="00F21A3E" w:rsidRPr="00CF39C5" w:rsidRDefault="00F21A3E" w:rsidP="00495E3A">
            <w:pPr>
              <w:pStyle w:val="TableText0"/>
              <w:keepNext w:val="0"/>
              <w:jc w:val="center"/>
              <w:rPr>
                <w:szCs w:val="20"/>
              </w:rPr>
            </w:pPr>
          </w:p>
        </w:tc>
        <w:tc>
          <w:tcPr>
            <w:tcW w:w="2224" w:type="dxa"/>
            <w:tcBorders>
              <w:bottom w:val="nil"/>
            </w:tcBorders>
            <w:vAlign w:val="center"/>
          </w:tcPr>
          <w:p w14:paraId="16D1E3F7" w14:textId="77777777" w:rsidR="00F21A3E" w:rsidRPr="00CF39C5" w:rsidRDefault="00F21A3E" w:rsidP="00495E3A">
            <w:pPr>
              <w:pStyle w:val="TableText0"/>
              <w:keepNext w:val="0"/>
              <w:jc w:val="center"/>
              <w:rPr>
                <w:szCs w:val="20"/>
              </w:rPr>
            </w:pPr>
          </w:p>
        </w:tc>
        <w:tc>
          <w:tcPr>
            <w:tcW w:w="2214" w:type="dxa"/>
            <w:tcBorders>
              <w:bottom w:val="nil"/>
            </w:tcBorders>
            <w:vAlign w:val="center"/>
          </w:tcPr>
          <w:p w14:paraId="0D233F38" w14:textId="77777777" w:rsidR="00F21A3E" w:rsidRPr="00CF39C5" w:rsidRDefault="00F21A3E" w:rsidP="00495E3A">
            <w:pPr>
              <w:pStyle w:val="TableText0"/>
              <w:keepNext w:val="0"/>
              <w:jc w:val="center"/>
              <w:rPr>
                <w:szCs w:val="20"/>
              </w:rPr>
            </w:pPr>
          </w:p>
        </w:tc>
      </w:tr>
      <w:tr w:rsidR="00F21A3E" w14:paraId="6ABCFE7B" w14:textId="77777777" w:rsidTr="00495E3A">
        <w:tc>
          <w:tcPr>
            <w:tcW w:w="2352" w:type="dxa"/>
            <w:tcBorders>
              <w:top w:val="nil"/>
              <w:bottom w:val="nil"/>
            </w:tcBorders>
            <w:vAlign w:val="center"/>
          </w:tcPr>
          <w:p w14:paraId="6A8BDAAA" w14:textId="77777777" w:rsidR="00F21A3E" w:rsidRPr="00CF39C5" w:rsidRDefault="00F21A3E" w:rsidP="00495E3A">
            <w:pPr>
              <w:pStyle w:val="TableText0"/>
              <w:keepNext w:val="0"/>
              <w:rPr>
                <w:szCs w:val="20"/>
              </w:rPr>
            </w:pPr>
            <w:r w:rsidRPr="00CF39C5">
              <w:rPr>
                <w:szCs w:val="20"/>
              </w:rPr>
              <w:tab/>
              <w:t>Mild</w:t>
            </w:r>
          </w:p>
        </w:tc>
        <w:tc>
          <w:tcPr>
            <w:tcW w:w="2227" w:type="dxa"/>
            <w:tcBorders>
              <w:top w:val="nil"/>
              <w:bottom w:val="nil"/>
            </w:tcBorders>
            <w:vAlign w:val="center"/>
          </w:tcPr>
          <w:p w14:paraId="1250A8AB" w14:textId="77777777" w:rsidR="00F21A3E" w:rsidRPr="00CF39C5" w:rsidRDefault="00F21A3E" w:rsidP="00495E3A">
            <w:pPr>
              <w:pStyle w:val="TableText0"/>
              <w:keepNext w:val="0"/>
              <w:jc w:val="center"/>
              <w:rPr>
                <w:szCs w:val="20"/>
              </w:rPr>
            </w:pPr>
            <w:r w:rsidRPr="00CF39C5">
              <w:rPr>
                <w:szCs w:val="20"/>
              </w:rPr>
              <w:t>16/35 (45.7)</w:t>
            </w:r>
          </w:p>
        </w:tc>
        <w:tc>
          <w:tcPr>
            <w:tcW w:w="2224" w:type="dxa"/>
            <w:tcBorders>
              <w:top w:val="nil"/>
              <w:bottom w:val="nil"/>
            </w:tcBorders>
            <w:vAlign w:val="center"/>
          </w:tcPr>
          <w:p w14:paraId="3B6353BB" w14:textId="77777777" w:rsidR="00F21A3E" w:rsidRPr="00CF39C5" w:rsidRDefault="00F21A3E" w:rsidP="00495E3A">
            <w:pPr>
              <w:pStyle w:val="TableText0"/>
              <w:keepNext w:val="0"/>
              <w:jc w:val="center"/>
              <w:rPr>
                <w:szCs w:val="20"/>
              </w:rPr>
            </w:pPr>
            <w:r w:rsidRPr="00CF39C5">
              <w:rPr>
                <w:szCs w:val="20"/>
              </w:rPr>
              <w:t>18/35 (51.4)</w:t>
            </w:r>
          </w:p>
        </w:tc>
        <w:tc>
          <w:tcPr>
            <w:tcW w:w="2214" w:type="dxa"/>
            <w:tcBorders>
              <w:top w:val="nil"/>
              <w:bottom w:val="nil"/>
            </w:tcBorders>
            <w:vAlign w:val="center"/>
          </w:tcPr>
          <w:p w14:paraId="6C8FFBD5" w14:textId="77777777" w:rsidR="00F21A3E" w:rsidRPr="00CF39C5" w:rsidRDefault="00F21A3E" w:rsidP="00495E3A">
            <w:pPr>
              <w:pStyle w:val="TableText0"/>
              <w:keepNext w:val="0"/>
              <w:jc w:val="center"/>
              <w:rPr>
                <w:szCs w:val="20"/>
              </w:rPr>
            </w:pPr>
            <w:r>
              <w:rPr>
                <w:szCs w:val="20"/>
              </w:rPr>
              <w:t xml:space="preserve"> 0.89 (0.41, 1.37)</w:t>
            </w:r>
          </w:p>
        </w:tc>
      </w:tr>
      <w:tr w:rsidR="00F21A3E" w14:paraId="42FCAEAF" w14:textId="77777777" w:rsidTr="00495E3A">
        <w:tc>
          <w:tcPr>
            <w:tcW w:w="2352" w:type="dxa"/>
            <w:tcBorders>
              <w:top w:val="nil"/>
              <w:bottom w:val="nil"/>
            </w:tcBorders>
            <w:vAlign w:val="center"/>
          </w:tcPr>
          <w:p w14:paraId="6F7BA84C" w14:textId="77777777" w:rsidR="00F21A3E" w:rsidRPr="00CF39C5" w:rsidRDefault="00F21A3E" w:rsidP="00495E3A">
            <w:pPr>
              <w:pStyle w:val="TableText0"/>
              <w:keepNext w:val="0"/>
              <w:rPr>
                <w:szCs w:val="20"/>
              </w:rPr>
            </w:pPr>
            <w:r w:rsidRPr="00CF39C5">
              <w:rPr>
                <w:szCs w:val="20"/>
              </w:rPr>
              <w:tab/>
              <w:t>Moderate</w:t>
            </w:r>
          </w:p>
        </w:tc>
        <w:tc>
          <w:tcPr>
            <w:tcW w:w="2227" w:type="dxa"/>
            <w:tcBorders>
              <w:top w:val="nil"/>
              <w:bottom w:val="nil"/>
            </w:tcBorders>
            <w:vAlign w:val="center"/>
          </w:tcPr>
          <w:p w14:paraId="75F44FDC" w14:textId="77777777" w:rsidR="00F21A3E" w:rsidRPr="00CF39C5" w:rsidRDefault="00F21A3E" w:rsidP="00495E3A">
            <w:pPr>
              <w:pStyle w:val="TableText0"/>
              <w:keepNext w:val="0"/>
              <w:jc w:val="center"/>
              <w:rPr>
                <w:szCs w:val="20"/>
              </w:rPr>
            </w:pPr>
            <w:r w:rsidRPr="00CF39C5">
              <w:rPr>
                <w:szCs w:val="20"/>
              </w:rPr>
              <w:t>0</w:t>
            </w:r>
          </w:p>
        </w:tc>
        <w:tc>
          <w:tcPr>
            <w:tcW w:w="2224" w:type="dxa"/>
            <w:tcBorders>
              <w:top w:val="nil"/>
              <w:bottom w:val="nil"/>
            </w:tcBorders>
            <w:vAlign w:val="center"/>
          </w:tcPr>
          <w:p w14:paraId="38A8ACA0" w14:textId="77777777" w:rsidR="00F21A3E" w:rsidRPr="00CF39C5" w:rsidRDefault="00F21A3E" w:rsidP="00495E3A">
            <w:pPr>
              <w:pStyle w:val="TableText0"/>
              <w:keepNext w:val="0"/>
              <w:jc w:val="center"/>
              <w:rPr>
                <w:szCs w:val="20"/>
              </w:rPr>
            </w:pPr>
            <w:r w:rsidRPr="00CF39C5">
              <w:rPr>
                <w:szCs w:val="20"/>
              </w:rPr>
              <w:t>1/35 (2.9)</w:t>
            </w:r>
          </w:p>
        </w:tc>
        <w:tc>
          <w:tcPr>
            <w:tcW w:w="2214" w:type="dxa"/>
            <w:tcBorders>
              <w:top w:val="nil"/>
              <w:bottom w:val="nil"/>
            </w:tcBorders>
            <w:vAlign w:val="center"/>
          </w:tcPr>
          <w:p w14:paraId="39F339C9" w14:textId="77777777" w:rsidR="00F21A3E" w:rsidRPr="00CF39C5" w:rsidRDefault="00F21A3E" w:rsidP="00495E3A">
            <w:pPr>
              <w:pStyle w:val="TableText0"/>
              <w:keepNext w:val="0"/>
              <w:jc w:val="center"/>
              <w:rPr>
                <w:szCs w:val="20"/>
              </w:rPr>
            </w:pPr>
            <w:r>
              <w:rPr>
                <w:szCs w:val="20"/>
              </w:rPr>
              <w:t>-</w:t>
            </w:r>
          </w:p>
        </w:tc>
      </w:tr>
      <w:tr w:rsidR="00F21A3E" w14:paraId="14E359A6" w14:textId="77777777" w:rsidTr="00495E3A">
        <w:tc>
          <w:tcPr>
            <w:tcW w:w="2352" w:type="dxa"/>
            <w:tcBorders>
              <w:top w:val="nil"/>
            </w:tcBorders>
            <w:vAlign w:val="center"/>
          </w:tcPr>
          <w:p w14:paraId="72C6412B" w14:textId="77777777" w:rsidR="00F21A3E" w:rsidRPr="00CF39C5" w:rsidRDefault="00F21A3E" w:rsidP="00495E3A">
            <w:pPr>
              <w:pStyle w:val="TableText0"/>
              <w:keepNext w:val="0"/>
              <w:rPr>
                <w:szCs w:val="20"/>
              </w:rPr>
            </w:pPr>
            <w:r w:rsidRPr="00CF39C5">
              <w:rPr>
                <w:szCs w:val="20"/>
              </w:rPr>
              <w:tab/>
              <w:t>Severe</w:t>
            </w:r>
          </w:p>
        </w:tc>
        <w:tc>
          <w:tcPr>
            <w:tcW w:w="2227" w:type="dxa"/>
            <w:tcBorders>
              <w:top w:val="nil"/>
            </w:tcBorders>
            <w:vAlign w:val="center"/>
          </w:tcPr>
          <w:p w14:paraId="3ABF0768" w14:textId="77777777" w:rsidR="00F21A3E" w:rsidRPr="00CF39C5" w:rsidRDefault="00F21A3E" w:rsidP="00495E3A">
            <w:pPr>
              <w:pStyle w:val="TableText0"/>
              <w:keepNext w:val="0"/>
              <w:jc w:val="center"/>
              <w:rPr>
                <w:szCs w:val="20"/>
              </w:rPr>
            </w:pPr>
            <w:r w:rsidRPr="00CF39C5">
              <w:rPr>
                <w:szCs w:val="20"/>
              </w:rPr>
              <w:t>0</w:t>
            </w:r>
          </w:p>
        </w:tc>
        <w:tc>
          <w:tcPr>
            <w:tcW w:w="2224" w:type="dxa"/>
            <w:tcBorders>
              <w:top w:val="nil"/>
            </w:tcBorders>
            <w:vAlign w:val="center"/>
          </w:tcPr>
          <w:p w14:paraId="4D8BF320" w14:textId="77777777" w:rsidR="00F21A3E" w:rsidRPr="00CF39C5" w:rsidRDefault="00F21A3E" w:rsidP="00495E3A">
            <w:pPr>
              <w:pStyle w:val="TableText0"/>
              <w:keepNext w:val="0"/>
              <w:jc w:val="center"/>
              <w:rPr>
                <w:szCs w:val="20"/>
              </w:rPr>
            </w:pPr>
            <w:r w:rsidRPr="00CF39C5">
              <w:rPr>
                <w:szCs w:val="20"/>
              </w:rPr>
              <w:t>0</w:t>
            </w:r>
          </w:p>
        </w:tc>
        <w:tc>
          <w:tcPr>
            <w:tcW w:w="2214" w:type="dxa"/>
            <w:tcBorders>
              <w:top w:val="nil"/>
            </w:tcBorders>
            <w:vAlign w:val="center"/>
          </w:tcPr>
          <w:p w14:paraId="0CFB045F" w14:textId="77777777" w:rsidR="00F21A3E" w:rsidRPr="00CF39C5" w:rsidRDefault="00F21A3E" w:rsidP="00495E3A">
            <w:pPr>
              <w:pStyle w:val="TableText0"/>
              <w:keepNext w:val="0"/>
              <w:jc w:val="center"/>
              <w:rPr>
                <w:szCs w:val="20"/>
              </w:rPr>
            </w:pPr>
            <w:r>
              <w:rPr>
                <w:szCs w:val="20"/>
              </w:rPr>
              <w:t>-</w:t>
            </w:r>
          </w:p>
        </w:tc>
      </w:tr>
      <w:tr w:rsidR="00F21A3E" w14:paraId="4B69AB07" w14:textId="77777777" w:rsidTr="00495E3A">
        <w:tc>
          <w:tcPr>
            <w:tcW w:w="2352" w:type="dxa"/>
            <w:vAlign w:val="center"/>
          </w:tcPr>
          <w:p w14:paraId="70F3046D" w14:textId="77777777" w:rsidR="00F21A3E" w:rsidRPr="00CF39C5" w:rsidRDefault="00F21A3E" w:rsidP="00495E3A">
            <w:pPr>
              <w:pStyle w:val="TableText0"/>
              <w:keepNext w:val="0"/>
              <w:rPr>
                <w:szCs w:val="20"/>
              </w:rPr>
            </w:pPr>
            <w:r w:rsidRPr="00CF39C5">
              <w:rPr>
                <w:szCs w:val="20"/>
              </w:rPr>
              <w:t xml:space="preserve">Drug-related </w:t>
            </w:r>
            <w:proofErr w:type="spellStart"/>
            <w:r w:rsidRPr="00CF39C5">
              <w:rPr>
                <w:szCs w:val="20"/>
              </w:rPr>
              <w:t>TEAE</w:t>
            </w:r>
            <w:r w:rsidRPr="00CF39C5">
              <w:rPr>
                <w:szCs w:val="20"/>
                <w:vertAlign w:val="superscript"/>
              </w:rPr>
              <w:t>a</w:t>
            </w:r>
            <w:proofErr w:type="spellEnd"/>
          </w:p>
        </w:tc>
        <w:tc>
          <w:tcPr>
            <w:tcW w:w="2227" w:type="dxa"/>
            <w:vAlign w:val="center"/>
          </w:tcPr>
          <w:p w14:paraId="35FDC29C" w14:textId="77777777" w:rsidR="00F21A3E" w:rsidRPr="00CF39C5" w:rsidRDefault="00F21A3E" w:rsidP="00495E3A">
            <w:pPr>
              <w:pStyle w:val="TableText0"/>
              <w:keepNext w:val="0"/>
              <w:jc w:val="center"/>
              <w:rPr>
                <w:szCs w:val="20"/>
              </w:rPr>
            </w:pPr>
            <w:r w:rsidRPr="00CF39C5">
              <w:rPr>
                <w:rFonts w:eastAsia="Times New Roman"/>
                <w:color w:val="000000"/>
                <w:szCs w:val="20"/>
                <w:lang w:val="en-US"/>
              </w:rPr>
              <w:t>15/35 (42.9)</w:t>
            </w:r>
          </w:p>
        </w:tc>
        <w:tc>
          <w:tcPr>
            <w:tcW w:w="2224" w:type="dxa"/>
            <w:vAlign w:val="center"/>
          </w:tcPr>
          <w:p w14:paraId="631F9BA2" w14:textId="77777777" w:rsidR="00F21A3E" w:rsidRPr="00CF39C5" w:rsidRDefault="00F21A3E" w:rsidP="00495E3A">
            <w:pPr>
              <w:pStyle w:val="TableText0"/>
              <w:keepNext w:val="0"/>
              <w:jc w:val="center"/>
              <w:rPr>
                <w:szCs w:val="20"/>
              </w:rPr>
            </w:pPr>
            <w:r w:rsidRPr="00CF39C5">
              <w:rPr>
                <w:rFonts w:eastAsia="Times New Roman"/>
                <w:color w:val="000000"/>
                <w:szCs w:val="20"/>
                <w:lang w:val="en-US"/>
              </w:rPr>
              <w:t>19/35 (54.3)</w:t>
            </w:r>
          </w:p>
        </w:tc>
        <w:tc>
          <w:tcPr>
            <w:tcW w:w="2214" w:type="dxa"/>
            <w:vAlign w:val="center"/>
          </w:tcPr>
          <w:p w14:paraId="4EA28233" w14:textId="77777777" w:rsidR="00F21A3E" w:rsidRPr="00CF39C5" w:rsidRDefault="00F21A3E" w:rsidP="00495E3A">
            <w:pPr>
              <w:pStyle w:val="TableText0"/>
              <w:keepNext w:val="0"/>
              <w:jc w:val="center"/>
              <w:rPr>
                <w:szCs w:val="20"/>
              </w:rPr>
            </w:pPr>
            <w:r w:rsidRPr="002B44BE">
              <w:rPr>
                <w:szCs w:val="20"/>
              </w:rPr>
              <w:t>0.79</w:t>
            </w:r>
            <w:r>
              <w:rPr>
                <w:szCs w:val="20"/>
              </w:rPr>
              <w:t xml:space="preserve"> (</w:t>
            </w:r>
            <w:r w:rsidRPr="002B44BE">
              <w:rPr>
                <w:szCs w:val="20"/>
              </w:rPr>
              <w:t>0.30</w:t>
            </w:r>
            <w:r>
              <w:rPr>
                <w:szCs w:val="20"/>
              </w:rPr>
              <w:t xml:space="preserve">, </w:t>
            </w:r>
            <w:r w:rsidRPr="002B44BE">
              <w:rPr>
                <w:szCs w:val="20"/>
              </w:rPr>
              <w:t>1.28</w:t>
            </w:r>
            <w:r>
              <w:rPr>
                <w:szCs w:val="20"/>
              </w:rPr>
              <w:t>)</w:t>
            </w:r>
          </w:p>
        </w:tc>
      </w:tr>
      <w:tr w:rsidR="00F21A3E" w14:paraId="7CE7B05C" w14:textId="77777777" w:rsidTr="00495E3A">
        <w:tc>
          <w:tcPr>
            <w:tcW w:w="9017" w:type="dxa"/>
            <w:gridSpan w:val="4"/>
            <w:vAlign w:val="center"/>
          </w:tcPr>
          <w:p w14:paraId="314D489E" w14:textId="77777777" w:rsidR="00F21A3E" w:rsidRPr="0052135A" w:rsidRDefault="00F21A3E" w:rsidP="00495E3A">
            <w:pPr>
              <w:pStyle w:val="TableText0"/>
              <w:keepNext w:val="0"/>
              <w:rPr>
                <w:b/>
                <w:bCs w:val="0"/>
                <w:szCs w:val="20"/>
              </w:rPr>
            </w:pPr>
            <w:r w:rsidRPr="0052135A">
              <w:rPr>
                <w:b/>
                <w:bCs w:val="0"/>
                <w:szCs w:val="20"/>
              </w:rPr>
              <w:t>ALK8700-A104</w:t>
            </w:r>
          </w:p>
        </w:tc>
      </w:tr>
      <w:tr w:rsidR="00F21A3E" w14:paraId="7E4A3846" w14:textId="77777777" w:rsidTr="00495E3A">
        <w:tc>
          <w:tcPr>
            <w:tcW w:w="2352" w:type="dxa"/>
            <w:tcBorders>
              <w:bottom w:val="single" w:sz="4" w:space="0" w:color="auto"/>
            </w:tcBorders>
            <w:vAlign w:val="center"/>
          </w:tcPr>
          <w:p w14:paraId="5F65A6E4" w14:textId="77777777" w:rsidR="00F21A3E" w:rsidRPr="00CF39C5" w:rsidRDefault="00F21A3E" w:rsidP="00495E3A">
            <w:pPr>
              <w:pStyle w:val="TableText0"/>
              <w:keepNext w:val="0"/>
              <w:rPr>
                <w:szCs w:val="20"/>
              </w:rPr>
            </w:pPr>
            <w:r w:rsidRPr="00CF39C5">
              <w:rPr>
                <w:szCs w:val="20"/>
              </w:rPr>
              <w:t>Any TEAE</w:t>
            </w:r>
          </w:p>
        </w:tc>
        <w:tc>
          <w:tcPr>
            <w:tcW w:w="2227" w:type="dxa"/>
            <w:tcBorders>
              <w:bottom w:val="single" w:sz="4" w:space="0" w:color="auto"/>
            </w:tcBorders>
            <w:vAlign w:val="center"/>
          </w:tcPr>
          <w:p w14:paraId="59C06134" w14:textId="4E82B945" w:rsidR="00F21A3E" w:rsidRPr="00CF39C5" w:rsidRDefault="00F21A3E" w:rsidP="00495E3A">
            <w:pPr>
              <w:pStyle w:val="TableText0"/>
              <w:keepNext w:val="0"/>
              <w:jc w:val="center"/>
              <w:rPr>
                <w:szCs w:val="20"/>
              </w:rPr>
            </w:pPr>
            <w:r w:rsidRPr="00CF39C5">
              <w:rPr>
                <w:szCs w:val="20"/>
              </w:rPr>
              <w:t>13/42</w:t>
            </w:r>
            <w:r w:rsidR="0063703E">
              <w:rPr>
                <w:szCs w:val="20"/>
              </w:rPr>
              <w:t xml:space="preserve"> </w:t>
            </w:r>
            <w:r w:rsidRPr="00CF39C5">
              <w:rPr>
                <w:szCs w:val="20"/>
              </w:rPr>
              <w:t>(31.0)</w:t>
            </w:r>
          </w:p>
        </w:tc>
        <w:tc>
          <w:tcPr>
            <w:tcW w:w="2224" w:type="dxa"/>
            <w:tcBorders>
              <w:bottom w:val="single" w:sz="4" w:space="0" w:color="auto"/>
            </w:tcBorders>
            <w:vAlign w:val="center"/>
          </w:tcPr>
          <w:p w14:paraId="445DE2B4" w14:textId="77777777" w:rsidR="00F21A3E" w:rsidRPr="00CF39C5" w:rsidRDefault="00F21A3E" w:rsidP="00495E3A">
            <w:pPr>
              <w:pStyle w:val="TableText0"/>
              <w:keepNext w:val="0"/>
              <w:jc w:val="center"/>
              <w:rPr>
                <w:szCs w:val="20"/>
              </w:rPr>
            </w:pPr>
            <w:r w:rsidRPr="00CF39C5">
              <w:rPr>
                <w:szCs w:val="20"/>
              </w:rPr>
              <w:t>14/42 (33.3)</w:t>
            </w:r>
          </w:p>
        </w:tc>
        <w:tc>
          <w:tcPr>
            <w:tcW w:w="2214" w:type="dxa"/>
            <w:tcBorders>
              <w:bottom w:val="single" w:sz="4" w:space="0" w:color="auto"/>
            </w:tcBorders>
            <w:vAlign w:val="center"/>
          </w:tcPr>
          <w:p w14:paraId="60CEF2EC" w14:textId="77777777" w:rsidR="00F21A3E" w:rsidRPr="00CF39C5" w:rsidRDefault="00F21A3E" w:rsidP="00495E3A">
            <w:pPr>
              <w:pStyle w:val="TableText0"/>
              <w:keepNext w:val="0"/>
              <w:jc w:val="center"/>
              <w:rPr>
                <w:szCs w:val="20"/>
              </w:rPr>
            </w:pPr>
            <w:r>
              <w:rPr>
                <w:szCs w:val="20"/>
              </w:rPr>
              <w:t>0.93 (0.31, 1.55)</w:t>
            </w:r>
          </w:p>
        </w:tc>
      </w:tr>
      <w:tr w:rsidR="00F21A3E" w14:paraId="140C661F" w14:textId="77777777" w:rsidTr="00495E3A">
        <w:tc>
          <w:tcPr>
            <w:tcW w:w="2352" w:type="dxa"/>
            <w:tcBorders>
              <w:bottom w:val="nil"/>
            </w:tcBorders>
            <w:vAlign w:val="center"/>
          </w:tcPr>
          <w:p w14:paraId="005DCEE5" w14:textId="77777777" w:rsidR="00F21A3E" w:rsidRPr="00CF39C5" w:rsidRDefault="00F21A3E" w:rsidP="00495E3A">
            <w:pPr>
              <w:pStyle w:val="TableText0"/>
              <w:keepNext w:val="0"/>
              <w:rPr>
                <w:szCs w:val="20"/>
              </w:rPr>
            </w:pPr>
            <w:r w:rsidRPr="00CF39C5">
              <w:rPr>
                <w:szCs w:val="20"/>
              </w:rPr>
              <w:t>TEAE by highest severity</w:t>
            </w:r>
          </w:p>
        </w:tc>
        <w:tc>
          <w:tcPr>
            <w:tcW w:w="2227" w:type="dxa"/>
            <w:tcBorders>
              <w:bottom w:val="nil"/>
            </w:tcBorders>
            <w:vAlign w:val="center"/>
          </w:tcPr>
          <w:p w14:paraId="29D6C53D" w14:textId="77777777" w:rsidR="00F21A3E" w:rsidRPr="00CF39C5" w:rsidRDefault="00F21A3E" w:rsidP="00495E3A">
            <w:pPr>
              <w:pStyle w:val="TableText0"/>
              <w:keepNext w:val="0"/>
              <w:jc w:val="center"/>
              <w:rPr>
                <w:szCs w:val="20"/>
              </w:rPr>
            </w:pPr>
          </w:p>
        </w:tc>
        <w:tc>
          <w:tcPr>
            <w:tcW w:w="2224" w:type="dxa"/>
            <w:tcBorders>
              <w:bottom w:val="nil"/>
            </w:tcBorders>
            <w:vAlign w:val="center"/>
          </w:tcPr>
          <w:p w14:paraId="2F5988C8" w14:textId="77777777" w:rsidR="00F21A3E" w:rsidRPr="00CF39C5" w:rsidRDefault="00F21A3E" w:rsidP="00495E3A">
            <w:pPr>
              <w:pStyle w:val="TableText0"/>
              <w:keepNext w:val="0"/>
              <w:jc w:val="center"/>
              <w:rPr>
                <w:szCs w:val="20"/>
              </w:rPr>
            </w:pPr>
          </w:p>
        </w:tc>
        <w:tc>
          <w:tcPr>
            <w:tcW w:w="2214" w:type="dxa"/>
            <w:tcBorders>
              <w:bottom w:val="nil"/>
            </w:tcBorders>
            <w:vAlign w:val="center"/>
          </w:tcPr>
          <w:p w14:paraId="18E13DCB" w14:textId="77777777" w:rsidR="00F21A3E" w:rsidRPr="00CF39C5" w:rsidRDefault="00F21A3E" w:rsidP="00495E3A">
            <w:pPr>
              <w:pStyle w:val="TableText0"/>
              <w:keepNext w:val="0"/>
              <w:jc w:val="center"/>
              <w:rPr>
                <w:szCs w:val="20"/>
              </w:rPr>
            </w:pPr>
          </w:p>
        </w:tc>
      </w:tr>
      <w:tr w:rsidR="00F21A3E" w14:paraId="58E4F571" w14:textId="77777777" w:rsidTr="00495E3A">
        <w:tc>
          <w:tcPr>
            <w:tcW w:w="2352" w:type="dxa"/>
            <w:tcBorders>
              <w:top w:val="nil"/>
              <w:bottom w:val="nil"/>
            </w:tcBorders>
            <w:vAlign w:val="center"/>
          </w:tcPr>
          <w:p w14:paraId="3AB670C7" w14:textId="77777777" w:rsidR="00F21A3E" w:rsidRPr="00CF39C5" w:rsidRDefault="00F21A3E" w:rsidP="00495E3A">
            <w:pPr>
              <w:pStyle w:val="TableText0"/>
              <w:keepNext w:val="0"/>
              <w:rPr>
                <w:szCs w:val="20"/>
              </w:rPr>
            </w:pPr>
            <w:r w:rsidRPr="00CF39C5">
              <w:rPr>
                <w:szCs w:val="20"/>
              </w:rPr>
              <w:tab/>
              <w:t>Mild</w:t>
            </w:r>
          </w:p>
        </w:tc>
        <w:tc>
          <w:tcPr>
            <w:tcW w:w="2227" w:type="dxa"/>
            <w:tcBorders>
              <w:top w:val="nil"/>
              <w:bottom w:val="nil"/>
            </w:tcBorders>
            <w:vAlign w:val="center"/>
          </w:tcPr>
          <w:p w14:paraId="04116102" w14:textId="77777777" w:rsidR="00F21A3E" w:rsidRPr="00CF39C5" w:rsidRDefault="00F21A3E" w:rsidP="00495E3A">
            <w:pPr>
              <w:pStyle w:val="TableText0"/>
              <w:keepNext w:val="0"/>
              <w:jc w:val="center"/>
              <w:rPr>
                <w:szCs w:val="20"/>
              </w:rPr>
            </w:pPr>
            <w:r w:rsidRPr="00CF39C5">
              <w:rPr>
                <w:szCs w:val="20"/>
              </w:rPr>
              <w:t>13/42 (31.0)</w:t>
            </w:r>
          </w:p>
        </w:tc>
        <w:tc>
          <w:tcPr>
            <w:tcW w:w="2224" w:type="dxa"/>
            <w:tcBorders>
              <w:top w:val="nil"/>
              <w:bottom w:val="nil"/>
            </w:tcBorders>
            <w:vAlign w:val="center"/>
          </w:tcPr>
          <w:p w14:paraId="29C32D9E" w14:textId="77777777" w:rsidR="00F21A3E" w:rsidRPr="00CF39C5" w:rsidRDefault="00F21A3E" w:rsidP="00495E3A">
            <w:pPr>
              <w:pStyle w:val="TableText0"/>
              <w:keepNext w:val="0"/>
              <w:jc w:val="center"/>
              <w:rPr>
                <w:szCs w:val="20"/>
              </w:rPr>
            </w:pPr>
            <w:r w:rsidRPr="00CF39C5">
              <w:rPr>
                <w:szCs w:val="20"/>
              </w:rPr>
              <w:t>14/42 (33.3)</w:t>
            </w:r>
          </w:p>
        </w:tc>
        <w:tc>
          <w:tcPr>
            <w:tcW w:w="2214" w:type="dxa"/>
            <w:tcBorders>
              <w:top w:val="nil"/>
              <w:bottom w:val="nil"/>
            </w:tcBorders>
            <w:vAlign w:val="center"/>
          </w:tcPr>
          <w:p w14:paraId="3FB9E076" w14:textId="77777777" w:rsidR="00F21A3E" w:rsidRPr="00CF39C5" w:rsidRDefault="00F21A3E" w:rsidP="00495E3A">
            <w:pPr>
              <w:pStyle w:val="TableText0"/>
              <w:keepNext w:val="0"/>
              <w:jc w:val="center"/>
              <w:rPr>
                <w:szCs w:val="20"/>
              </w:rPr>
            </w:pPr>
            <w:r>
              <w:rPr>
                <w:szCs w:val="20"/>
              </w:rPr>
              <w:t xml:space="preserve"> 0.93 (0.31, 1.55)</w:t>
            </w:r>
          </w:p>
        </w:tc>
      </w:tr>
      <w:tr w:rsidR="00F21A3E" w14:paraId="781ABEAA" w14:textId="77777777" w:rsidTr="00495E3A">
        <w:tc>
          <w:tcPr>
            <w:tcW w:w="2352" w:type="dxa"/>
            <w:tcBorders>
              <w:top w:val="nil"/>
              <w:bottom w:val="nil"/>
            </w:tcBorders>
            <w:vAlign w:val="center"/>
          </w:tcPr>
          <w:p w14:paraId="62A8E370" w14:textId="77777777" w:rsidR="00F21A3E" w:rsidRPr="00CF39C5" w:rsidRDefault="00F21A3E" w:rsidP="00495E3A">
            <w:pPr>
              <w:pStyle w:val="TableText0"/>
              <w:keepNext w:val="0"/>
              <w:rPr>
                <w:szCs w:val="20"/>
              </w:rPr>
            </w:pPr>
            <w:r w:rsidRPr="00CF39C5">
              <w:rPr>
                <w:szCs w:val="20"/>
              </w:rPr>
              <w:tab/>
              <w:t>Moderate</w:t>
            </w:r>
          </w:p>
        </w:tc>
        <w:tc>
          <w:tcPr>
            <w:tcW w:w="2227" w:type="dxa"/>
            <w:tcBorders>
              <w:top w:val="nil"/>
              <w:bottom w:val="nil"/>
            </w:tcBorders>
            <w:vAlign w:val="center"/>
          </w:tcPr>
          <w:p w14:paraId="042A3567" w14:textId="77777777" w:rsidR="00F21A3E" w:rsidRPr="00CF39C5" w:rsidRDefault="00F21A3E" w:rsidP="00495E3A">
            <w:pPr>
              <w:pStyle w:val="TableText0"/>
              <w:keepNext w:val="0"/>
              <w:jc w:val="center"/>
              <w:rPr>
                <w:szCs w:val="20"/>
              </w:rPr>
            </w:pPr>
            <w:r w:rsidRPr="00CF39C5">
              <w:rPr>
                <w:szCs w:val="20"/>
              </w:rPr>
              <w:t>0</w:t>
            </w:r>
          </w:p>
        </w:tc>
        <w:tc>
          <w:tcPr>
            <w:tcW w:w="2224" w:type="dxa"/>
            <w:tcBorders>
              <w:top w:val="nil"/>
              <w:bottom w:val="nil"/>
            </w:tcBorders>
            <w:vAlign w:val="center"/>
          </w:tcPr>
          <w:p w14:paraId="624F719B" w14:textId="77777777" w:rsidR="00F21A3E" w:rsidRPr="00CF39C5" w:rsidRDefault="00F21A3E" w:rsidP="00495E3A">
            <w:pPr>
              <w:pStyle w:val="TableText0"/>
              <w:keepNext w:val="0"/>
              <w:jc w:val="center"/>
              <w:rPr>
                <w:szCs w:val="20"/>
              </w:rPr>
            </w:pPr>
            <w:r w:rsidRPr="00CF39C5">
              <w:rPr>
                <w:szCs w:val="20"/>
              </w:rPr>
              <w:t>0</w:t>
            </w:r>
          </w:p>
        </w:tc>
        <w:tc>
          <w:tcPr>
            <w:tcW w:w="2214" w:type="dxa"/>
            <w:tcBorders>
              <w:top w:val="nil"/>
              <w:bottom w:val="nil"/>
            </w:tcBorders>
            <w:vAlign w:val="center"/>
          </w:tcPr>
          <w:p w14:paraId="1CC62233" w14:textId="77777777" w:rsidR="00F21A3E" w:rsidRPr="00CF39C5" w:rsidRDefault="00F21A3E" w:rsidP="00495E3A">
            <w:pPr>
              <w:pStyle w:val="TableText0"/>
              <w:keepNext w:val="0"/>
              <w:jc w:val="center"/>
              <w:rPr>
                <w:szCs w:val="20"/>
              </w:rPr>
            </w:pPr>
          </w:p>
        </w:tc>
      </w:tr>
      <w:tr w:rsidR="00F21A3E" w14:paraId="354DB724" w14:textId="77777777" w:rsidTr="00495E3A">
        <w:tc>
          <w:tcPr>
            <w:tcW w:w="2352" w:type="dxa"/>
            <w:tcBorders>
              <w:top w:val="nil"/>
            </w:tcBorders>
            <w:vAlign w:val="center"/>
          </w:tcPr>
          <w:p w14:paraId="35116C2E" w14:textId="77777777" w:rsidR="00F21A3E" w:rsidRPr="00CF39C5" w:rsidRDefault="00F21A3E" w:rsidP="00495E3A">
            <w:pPr>
              <w:pStyle w:val="TableText0"/>
              <w:keepNext w:val="0"/>
              <w:rPr>
                <w:szCs w:val="20"/>
              </w:rPr>
            </w:pPr>
            <w:r w:rsidRPr="00CF39C5">
              <w:rPr>
                <w:szCs w:val="20"/>
              </w:rPr>
              <w:tab/>
              <w:t>Severe</w:t>
            </w:r>
          </w:p>
        </w:tc>
        <w:tc>
          <w:tcPr>
            <w:tcW w:w="2227" w:type="dxa"/>
            <w:tcBorders>
              <w:top w:val="nil"/>
            </w:tcBorders>
            <w:vAlign w:val="center"/>
          </w:tcPr>
          <w:p w14:paraId="786FF441" w14:textId="77777777" w:rsidR="00F21A3E" w:rsidRPr="00CF39C5" w:rsidRDefault="00F21A3E" w:rsidP="00495E3A">
            <w:pPr>
              <w:pStyle w:val="TableText0"/>
              <w:keepNext w:val="0"/>
              <w:jc w:val="center"/>
              <w:rPr>
                <w:szCs w:val="20"/>
              </w:rPr>
            </w:pPr>
            <w:r w:rsidRPr="00CF39C5">
              <w:rPr>
                <w:szCs w:val="20"/>
              </w:rPr>
              <w:t>0</w:t>
            </w:r>
          </w:p>
        </w:tc>
        <w:tc>
          <w:tcPr>
            <w:tcW w:w="2224" w:type="dxa"/>
            <w:tcBorders>
              <w:top w:val="nil"/>
            </w:tcBorders>
            <w:vAlign w:val="center"/>
          </w:tcPr>
          <w:p w14:paraId="79FA4FC1" w14:textId="77777777" w:rsidR="00F21A3E" w:rsidRPr="00CF39C5" w:rsidRDefault="00F21A3E" w:rsidP="00495E3A">
            <w:pPr>
              <w:pStyle w:val="TableText0"/>
              <w:keepNext w:val="0"/>
              <w:jc w:val="center"/>
              <w:rPr>
                <w:szCs w:val="20"/>
              </w:rPr>
            </w:pPr>
            <w:r w:rsidRPr="00CF39C5">
              <w:rPr>
                <w:szCs w:val="20"/>
              </w:rPr>
              <w:t>0</w:t>
            </w:r>
          </w:p>
        </w:tc>
        <w:tc>
          <w:tcPr>
            <w:tcW w:w="2214" w:type="dxa"/>
            <w:tcBorders>
              <w:top w:val="nil"/>
            </w:tcBorders>
            <w:vAlign w:val="center"/>
          </w:tcPr>
          <w:p w14:paraId="12D29FEB" w14:textId="77777777" w:rsidR="00F21A3E" w:rsidRPr="00CF39C5" w:rsidRDefault="00F21A3E" w:rsidP="00495E3A">
            <w:pPr>
              <w:pStyle w:val="TableText0"/>
              <w:keepNext w:val="0"/>
              <w:jc w:val="center"/>
              <w:rPr>
                <w:szCs w:val="20"/>
              </w:rPr>
            </w:pPr>
          </w:p>
        </w:tc>
      </w:tr>
      <w:tr w:rsidR="00F21A3E" w14:paraId="17AF7784" w14:textId="77777777" w:rsidTr="00495E3A">
        <w:tc>
          <w:tcPr>
            <w:tcW w:w="2352" w:type="dxa"/>
            <w:vAlign w:val="center"/>
          </w:tcPr>
          <w:p w14:paraId="01779F79" w14:textId="77777777" w:rsidR="00F21A3E" w:rsidRPr="00CF39C5" w:rsidRDefault="00F21A3E" w:rsidP="00495E3A">
            <w:pPr>
              <w:pStyle w:val="TableText0"/>
              <w:keepNext w:val="0"/>
              <w:rPr>
                <w:szCs w:val="20"/>
              </w:rPr>
            </w:pPr>
            <w:r w:rsidRPr="00CF39C5">
              <w:rPr>
                <w:szCs w:val="20"/>
              </w:rPr>
              <w:t xml:space="preserve">Drug-related </w:t>
            </w:r>
            <w:proofErr w:type="spellStart"/>
            <w:r w:rsidRPr="00CF39C5">
              <w:rPr>
                <w:szCs w:val="20"/>
              </w:rPr>
              <w:t>TEAE</w:t>
            </w:r>
            <w:r w:rsidRPr="00CF39C5">
              <w:rPr>
                <w:szCs w:val="20"/>
                <w:vertAlign w:val="superscript"/>
              </w:rPr>
              <w:t>a</w:t>
            </w:r>
            <w:proofErr w:type="spellEnd"/>
          </w:p>
        </w:tc>
        <w:tc>
          <w:tcPr>
            <w:tcW w:w="2227" w:type="dxa"/>
            <w:vAlign w:val="center"/>
          </w:tcPr>
          <w:p w14:paraId="652D8BB1" w14:textId="77777777" w:rsidR="00F21A3E" w:rsidRPr="00CF39C5" w:rsidRDefault="00F21A3E" w:rsidP="00495E3A">
            <w:pPr>
              <w:pStyle w:val="TableText0"/>
              <w:keepNext w:val="0"/>
              <w:jc w:val="center"/>
              <w:rPr>
                <w:szCs w:val="20"/>
              </w:rPr>
            </w:pPr>
            <w:r w:rsidRPr="00CF39C5">
              <w:rPr>
                <w:szCs w:val="20"/>
              </w:rPr>
              <w:t>11/42 (26.2)</w:t>
            </w:r>
          </w:p>
        </w:tc>
        <w:tc>
          <w:tcPr>
            <w:tcW w:w="2224" w:type="dxa"/>
            <w:vAlign w:val="center"/>
          </w:tcPr>
          <w:p w14:paraId="1F5501FC" w14:textId="77777777" w:rsidR="00F21A3E" w:rsidRPr="00CF39C5" w:rsidRDefault="00F21A3E" w:rsidP="00495E3A">
            <w:pPr>
              <w:pStyle w:val="TableText0"/>
              <w:keepNext w:val="0"/>
              <w:jc w:val="center"/>
              <w:rPr>
                <w:szCs w:val="20"/>
              </w:rPr>
            </w:pPr>
            <w:r w:rsidRPr="00CF39C5">
              <w:rPr>
                <w:szCs w:val="20"/>
              </w:rPr>
              <w:t>13/42 (31.0)</w:t>
            </w:r>
          </w:p>
        </w:tc>
        <w:tc>
          <w:tcPr>
            <w:tcW w:w="2214" w:type="dxa"/>
            <w:vAlign w:val="center"/>
          </w:tcPr>
          <w:p w14:paraId="1B39E914" w14:textId="77777777" w:rsidR="00F21A3E" w:rsidRPr="00CF39C5" w:rsidRDefault="00F21A3E" w:rsidP="00495E3A">
            <w:pPr>
              <w:pStyle w:val="TableText0"/>
              <w:keepNext w:val="0"/>
              <w:jc w:val="center"/>
              <w:rPr>
                <w:szCs w:val="20"/>
              </w:rPr>
            </w:pPr>
            <w:r>
              <w:rPr>
                <w:szCs w:val="20"/>
              </w:rPr>
              <w:t>0.85 (0.17, 1.53)</w:t>
            </w:r>
          </w:p>
        </w:tc>
      </w:tr>
      <w:tr w:rsidR="00F21A3E" w14:paraId="6681D320" w14:textId="77777777" w:rsidTr="00495E3A">
        <w:tc>
          <w:tcPr>
            <w:tcW w:w="9017" w:type="dxa"/>
            <w:gridSpan w:val="4"/>
            <w:vAlign w:val="center"/>
          </w:tcPr>
          <w:p w14:paraId="7A032A7C" w14:textId="77777777" w:rsidR="00F21A3E" w:rsidRPr="0052135A" w:rsidRDefault="00F21A3E" w:rsidP="00495E3A">
            <w:pPr>
              <w:pStyle w:val="TableText0"/>
              <w:keepNext w:val="0"/>
              <w:rPr>
                <w:b/>
                <w:bCs w:val="0"/>
                <w:szCs w:val="20"/>
              </w:rPr>
            </w:pPr>
            <w:r w:rsidRPr="0052135A">
              <w:rPr>
                <w:b/>
                <w:bCs w:val="0"/>
                <w:szCs w:val="20"/>
              </w:rPr>
              <w:t>ALK8700-A109</w:t>
            </w:r>
          </w:p>
        </w:tc>
      </w:tr>
      <w:tr w:rsidR="00F21A3E" w14:paraId="0CAA7728" w14:textId="77777777" w:rsidTr="00495E3A">
        <w:tc>
          <w:tcPr>
            <w:tcW w:w="2352" w:type="dxa"/>
            <w:tcBorders>
              <w:bottom w:val="single" w:sz="4" w:space="0" w:color="auto"/>
            </w:tcBorders>
            <w:vAlign w:val="center"/>
          </w:tcPr>
          <w:p w14:paraId="1D8D6B0A" w14:textId="77777777" w:rsidR="00F21A3E" w:rsidRPr="00CF39C5" w:rsidRDefault="00F21A3E" w:rsidP="00495E3A">
            <w:pPr>
              <w:pStyle w:val="TableText0"/>
              <w:keepNext w:val="0"/>
              <w:rPr>
                <w:szCs w:val="20"/>
              </w:rPr>
            </w:pPr>
            <w:r w:rsidRPr="00CF39C5">
              <w:rPr>
                <w:szCs w:val="20"/>
              </w:rPr>
              <w:t>Any TEAE</w:t>
            </w:r>
          </w:p>
        </w:tc>
        <w:tc>
          <w:tcPr>
            <w:tcW w:w="2227" w:type="dxa"/>
            <w:tcBorders>
              <w:bottom w:val="single" w:sz="4" w:space="0" w:color="auto"/>
            </w:tcBorders>
            <w:vAlign w:val="center"/>
          </w:tcPr>
          <w:p w14:paraId="55500E23" w14:textId="77777777" w:rsidR="00F21A3E" w:rsidRPr="00CF39C5" w:rsidRDefault="00F21A3E" w:rsidP="00495E3A">
            <w:pPr>
              <w:keepLines/>
              <w:jc w:val="center"/>
              <w:rPr>
                <w:rFonts w:ascii="Arial Narrow" w:eastAsiaTheme="majorEastAsia" w:hAnsi="Arial Narrow" w:cstheme="majorBidi"/>
                <w:bCs/>
                <w:sz w:val="20"/>
                <w:szCs w:val="20"/>
              </w:rPr>
            </w:pPr>
            <w:r w:rsidRPr="00CF39C5">
              <w:rPr>
                <w:rFonts w:ascii="Arial Narrow" w:eastAsiaTheme="majorEastAsia" w:hAnsi="Arial Narrow" w:cstheme="majorBidi"/>
                <w:bCs/>
                <w:sz w:val="20"/>
                <w:szCs w:val="20"/>
              </w:rPr>
              <w:t>Fed (low fat/calorie)</w:t>
            </w:r>
          </w:p>
          <w:p w14:paraId="7B3B34B2" w14:textId="77777777" w:rsidR="00F21A3E" w:rsidRPr="00CF39C5" w:rsidRDefault="00F21A3E" w:rsidP="00495E3A">
            <w:pPr>
              <w:keepLines/>
              <w:jc w:val="center"/>
              <w:rPr>
                <w:rFonts w:ascii="Arial Narrow" w:eastAsiaTheme="majorEastAsia" w:hAnsi="Arial Narrow" w:cstheme="majorBidi"/>
                <w:bCs/>
                <w:sz w:val="20"/>
                <w:szCs w:val="20"/>
              </w:rPr>
            </w:pPr>
            <w:r w:rsidRPr="00CF39C5">
              <w:rPr>
                <w:rFonts w:ascii="Arial Narrow" w:eastAsiaTheme="majorEastAsia" w:hAnsi="Arial Narrow" w:cstheme="majorBidi"/>
                <w:bCs/>
                <w:sz w:val="20"/>
                <w:szCs w:val="20"/>
              </w:rPr>
              <w:t>16/48 (33.3)</w:t>
            </w:r>
          </w:p>
          <w:p w14:paraId="296184A8" w14:textId="77777777" w:rsidR="00F21A3E" w:rsidRPr="00CF39C5" w:rsidRDefault="00F21A3E" w:rsidP="00495E3A">
            <w:pPr>
              <w:keepLines/>
              <w:jc w:val="center"/>
              <w:rPr>
                <w:rFonts w:ascii="Arial Narrow" w:eastAsiaTheme="majorEastAsia" w:hAnsi="Arial Narrow" w:cstheme="majorBidi"/>
                <w:bCs/>
                <w:sz w:val="20"/>
                <w:szCs w:val="20"/>
              </w:rPr>
            </w:pPr>
            <w:r w:rsidRPr="00CF39C5">
              <w:rPr>
                <w:rFonts w:ascii="Arial Narrow" w:eastAsiaTheme="majorEastAsia" w:hAnsi="Arial Narrow" w:cstheme="majorBidi"/>
                <w:bCs/>
                <w:sz w:val="20"/>
                <w:szCs w:val="20"/>
              </w:rPr>
              <w:t>Fed (medium fat/calorie)</w:t>
            </w:r>
          </w:p>
          <w:p w14:paraId="1D2ADB67" w14:textId="77777777" w:rsidR="00F21A3E" w:rsidRPr="00CF39C5" w:rsidRDefault="00F21A3E" w:rsidP="00495E3A">
            <w:pPr>
              <w:keepLines/>
              <w:jc w:val="center"/>
              <w:rPr>
                <w:rFonts w:ascii="Arial Narrow" w:eastAsiaTheme="majorEastAsia" w:hAnsi="Arial Narrow" w:cstheme="majorBidi"/>
                <w:bCs/>
                <w:sz w:val="20"/>
                <w:szCs w:val="20"/>
              </w:rPr>
            </w:pPr>
            <w:r w:rsidRPr="00CF39C5">
              <w:rPr>
                <w:rFonts w:ascii="Arial Narrow" w:eastAsiaTheme="majorEastAsia" w:hAnsi="Arial Narrow" w:cstheme="majorBidi"/>
                <w:bCs/>
                <w:sz w:val="20"/>
                <w:szCs w:val="20"/>
              </w:rPr>
              <w:t>20/48 (41.7)</w:t>
            </w:r>
          </w:p>
        </w:tc>
        <w:tc>
          <w:tcPr>
            <w:tcW w:w="2224" w:type="dxa"/>
            <w:tcBorders>
              <w:bottom w:val="single" w:sz="4" w:space="0" w:color="auto"/>
            </w:tcBorders>
            <w:vAlign w:val="center"/>
          </w:tcPr>
          <w:p w14:paraId="102FC501" w14:textId="77777777" w:rsidR="00F21A3E" w:rsidRPr="00CF39C5" w:rsidRDefault="00F21A3E" w:rsidP="00495E3A">
            <w:pPr>
              <w:keepLines/>
              <w:jc w:val="center"/>
              <w:rPr>
                <w:rFonts w:ascii="Arial Narrow" w:eastAsiaTheme="majorEastAsia" w:hAnsi="Arial Narrow" w:cstheme="majorBidi"/>
                <w:bCs/>
                <w:sz w:val="20"/>
                <w:szCs w:val="20"/>
              </w:rPr>
            </w:pPr>
            <w:r w:rsidRPr="00CF39C5">
              <w:rPr>
                <w:rFonts w:ascii="Arial Narrow" w:eastAsiaTheme="majorEastAsia" w:hAnsi="Arial Narrow" w:cstheme="majorBidi"/>
                <w:bCs/>
                <w:sz w:val="20"/>
                <w:szCs w:val="20"/>
              </w:rPr>
              <w:t>Fasted</w:t>
            </w:r>
          </w:p>
          <w:p w14:paraId="13A56EE3" w14:textId="77777777" w:rsidR="00F21A3E" w:rsidRPr="00CF39C5" w:rsidRDefault="00F21A3E" w:rsidP="00495E3A">
            <w:pPr>
              <w:keepLines/>
              <w:jc w:val="center"/>
              <w:rPr>
                <w:rFonts w:ascii="Arial Narrow" w:eastAsiaTheme="majorEastAsia" w:hAnsi="Arial Narrow" w:cstheme="majorBidi"/>
                <w:bCs/>
                <w:sz w:val="20"/>
                <w:szCs w:val="20"/>
              </w:rPr>
            </w:pPr>
            <w:r w:rsidRPr="00CF39C5">
              <w:rPr>
                <w:rFonts w:ascii="Arial Narrow" w:eastAsiaTheme="majorEastAsia" w:hAnsi="Arial Narrow" w:cstheme="majorBidi"/>
                <w:bCs/>
                <w:sz w:val="20"/>
                <w:szCs w:val="20"/>
              </w:rPr>
              <w:t>27/48 (56.3)</w:t>
            </w:r>
          </w:p>
          <w:p w14:paraId="4C9BC4CB" w14:textId="77777777" w:rsidR="00F21A3E" w:rsidRPr="00CF39C5" w:rsidRDefault="00F21A3E" w:rsidP="00495E3A">
            <w:pPr>
              <w:keepLines/>
              <w:jc w:val="center"/>
              <w:rPr>
                <w:rFonts w:ascii="Arial Narrow" w:eastAsiaTheme="majorEastAsia" w:hAnsi="Arial Narrow" w:cstheme="majorBidi"/>
                <w:bCs/>
                <w:sz w:val="20"/>
                <w:szCs w:val="20"/>
              </w:rPr>
            </w:pPr>
            <w:r w:rsidRPr="00CF39C5">
              <w:rPr>
                <w:rFonts w:ascii="Arial Narrow" w:eastAsiaTheme="majorEastAsia" w:hAnsi="Arial Narrow" w:cstheme="majorBidi"/>
                <w:bCs/>
                <w:sz w:val="20"/>
                <w:szCs w:val="20"/>
              </w:rPr>
              <w:t>Fed (high fat/calorie)</w:t>
            </w:r>
          </w:p>
          <w:p w14:paraId="0ED980C8" w14:textId="77777777" w:rsidR="00F21A3E" w:rsidRPr="00CF39C5" w:rsidRDefault="00F21A3E" w:rsidP="00495E3A">
            <w:pPr>
              <w:pStyle w:val="TableText0"/>
              <w:keepNext w:val="0"/>
              <w:jc w:val="center"/>
              <w:rPr>
                <w:szCs w:val="20"/>
              </w:rPr>
            </w:pPr>
            <w:r w:rsidRPr="00CF39C5">
              <w:rPr>
                <w:szCs w:val="20"/>
              </w:rPr>
              <w:t>13/48 (27.1)</w:t>
            </w:r>
          </w:p>
        </w:tc>
        <w:tc>
          <w:tcPr>
            <w:tcW w:w="2214" w:type="dxa"/>
            <w:tcBorders>
              <w:bottom w:val="single" w:sz="4" w:space="0" w:color="auto"/>
            </w:tcBorders>
            <w:vAlign w:val="center"/>
          </w:tcPr>
          <w:p w14:paraId="492E34C0" w14:textId="77777777" w:rsidR="00F21A3E" w:rsidRPr="00CF39C5" w:rsidRDefault="00F21A3E" w:rsidP="00495E3A">
            <w:pPr>
              <w:pStyle w:val="TableText0"/>
              <w:keepNext w:val="0"/>
              <w:jc w:val="center"/>
              <w:rPr>
                <w:szCs w:val="20"/>
              </w:rPr>
            </w:pPr>
            <w:r>
              <w:rPr>
                <w:szCs w:val="20"/>
              </w:rPr>
              <w:t>-</w:t>
            </w:r>
          </w:p>
        </w:tc>
      </w:tr>
      <w:tr w:rsidR="00F21A3E" w14:paraId="289FC1A1" w14:textId="77777777" w:rsidTr="00495E3A">
        <w:tc>
          <w:tcPr>
            <w:tcW w:w="2352" w:type="dxa"/>
            <w:tcBorders>
              <w:bottom w:val="single" w:sz="4" w:space="0" w:color="auto"/>
            </w:tcBorders>
            <w:vAlign w:val="center"/>
          </w:tcPr>
          <w:p w14:paraId="02A9DF00" w14:textId="77777777" w:rsidR="00F21A3E" w:rsidRPr="00CF39C5" w:rsidRDefault="00F21A3E" w:rsidP="00495E3A">
            <w:pPr>
              <w:pStyle w:val="TableText0"/>
              <w:keepNext w:val="0"/>
              <w:rPr>
                <w:szCs w:val="20"/>
              </w:rPr>
            </w:pPr>
            <w:r w:rsidRPr="00CF39C5">
              <w:rPr>
                <w:szCs w:val="20"/>
              </w:rPr>
              <w:t>TEAE by highest severity</w:t>
            </w:r>
          </w:p>
        </w:tc>
        <w:tc>
          <w:tcPr>
            <w:tcW w:w="2227" w:type="dxa"/>
            <w:tcBorders>
              <w:bottom w:val="single" w:sz="4" w:space="0" w:color="auto"/>
            </w:tcBorders>
            <w:vAlign w:val="center"/>
          </w:tcPr>
          <w:p w14:paraId="49DCAF95" w14:textId="77777777" w:rsidR="00F21A3E" w:rsidRPr="00CF39C5" w:rsidRDefault="00F21A3E" w:rsidP="00495E3A">
            <w:pPr>
              <w:pStyle w:val="TableText0"/>
              <w:keepNext w:val="0"/>
              <w:jc w:val="center"/>
              <w:rPr>
                <w:szCs w:val="20"/>
              </w:rPr>
            </w:pPr>
          </w:p>
        </w:tc>
        <w:tc>
          <w:tcPr>
            <w:tcW w:w="2224" w:type="dxa"/>
            <w:tcBorders>
              <w:bottom w:val="single" w:sz="4" w:space="0" w:color="auto"/>
            </w:tcBorders>
            <w:vAlign w:val="center"/>
          </w:tcPr>
          <w:p w14:paraId="3248C3E5" w14:textId="77777777" w:rsidR="00F21A3E" w:rsidRPr="00CF39C5" w:rsidRDefault="00F21A3E" w:rsidP="00495E3A">
            <w:pPr>
              <w:pStyle w:val="TableText0"/>
              <w:keepNext w:val="0"/>
              <w:jc w:val="center"/>
              <w:rPr>
                <w:szCs w:val="20"/>
              </w:rPr>
            </w:pPr>
          </w:p>
        </w:tc>
        <w:tc>
          <w:tcPr>
            <w:tcW w:w="2214" w:type="dxa"/>
            <w:tcBorders>
              <w:bottom w:val="single" w:sz="4" w:space="0" w:color="auto"/>
            </w:tcBorders>
            <w:vAlign w:val="center"/>
          </w:tcPr>
          <w:p w14:paraId="2C8FEDBA" w14:textId="77777777" w:rsidR="00F21A3E" w:rsidRPr="00CF39C5" w:rsidRDefault="00F21A3E" w:rsidP="00495E3A">
            <w:pPr>
              <w:pStyle w:val="TableText0"/>
              <w:keepNext w:val="0"/>
              <w:jc w:val="center"/>
              <w:rPr>
                <w:szCs w:val="20"/>
              </w:rPr>
            </w:pPr>
          </w:p>
        </w:tc>
      </w:tr>
      <w:tr w:rsidR="00F21A3E" w14:paraId="1A43109E" w14:textId="77777777" w:rsidTr="00495E3A">
        <w:tc>
          <w:tcPr>
            <w:tcW w:w="2352" w:type="dxa"/>
            <w:tcBorders>
              <w:top w:val="single" w:sz="4" w:space="0" w:color="auto"/>
              <w:bottom w:val="single" w:sz="4" w:space="0" w:color="auto"/>
            </w:tcBorders>
          </w:tcPr>
          <w:p w14:paraId="15D91A4C" w14:textId="77777777" w:rsidR="00F21A3E" w:rsidRDefault="00F21A3E" w:rsidP="00495E3A">
            <w:pPr>
              <w:pStyle w:val="TableText0"/>
              <w:keepNext w:val="0"/>
              <w:rPr>
                <w:szCs w:val="20"/>
              </w:rPr>
            </w:pPr>
            <w:r w:rsidRPr="00CF39C5">
              <w:rPr>
                <w:szCs w:val="20"/>
              </w:rPr>
              <w:t>Mild</w:t>
            </w:r>
          </w:p>
          <w:p w14:paraId="13D3F4CA" w14:textId="5AD8C4A2" w:rsidR="005C74A0" w:rsidRPr="005C74A0" w:rsidRDefault="005C74A0" w:rsidP="00495E3A">
            <w:pPr>
              <w:pStyle w:val="TableText0"/>
              <w:keepNext w:val="0"/>
              <w:rPr>
                <w:i/>
                <w:iCs/>
                <w:szCs w:val="20"/>
              </w:rPr>
            </w:pPr>
            <w:r>
              <w:rPr>
                <w:i/>
                <w:iCs/>
                <w:szCs w:val="20"/>
              </w:rPr>
              <w:t>(No moderate or severe TEAEs reported)</w:t>
            </w:r>
          </w:p>
        </w:tc>
        <w:tc>
          <w:tcPr>
            <w:tcW w:w="2227" w:type="dxa"/>
            <w:tcBorders>
              <w:top w:val="single" w:sz="4" w:space="0" w:color="auto"/>
              <w:bottom w:val="single" w:sz="4" w:space="0" w:color="auto"/>
            </w:tcBorders>
          </w:tcPr>
          <w:p w14:paraId="45629ECF" w14:textId="77777777" w:rsidR="00F21A3E" w:rsidRPr="00CF39C5" w:rsidRDefault="00F21A3E" w:rsidP="00495E3A">
            <w:pPr>
              <w:keepLines/>
              <w:jc w:val="center"/>
              <w:rPr>
                <w:rFonts w:ascii="Arial Narrow" w:eastAsiaTheme="majorEastAsia" w:hAnsi="Arial Narrow" w:cstheme="majorBidi"/>
                <w:bCs/>
                <w:sz w:val="20"/>
                <w:szCs w:val="20"/>
              </w:rPr>
            </w:pPr>
            <w:r w:rsidRPr="00CF39C5">
              <w:rPr>
                <w:rFonts w:ascii="Arial Narrow" w:eastAsiaTheme="majorEastAsia" w:hAnsi="Arial Narrow" w:cstheme="majorBidi"/>
                <w:bCs/>
                <w:sz w:val="20"/>
                <w:szCs w:val="20"/>
              </w:rPr>
              <w:t>Fed (low fat/calorie)</w:t>
            </w:r>
          </w:p>
          <w:p w14:paraId="7373323A" w14:textId="77777777" w:rsidR="00F21A3E" w:rsidRPr="00CF39C5" w:rsidRDefault="00F21A3E" w:rsidP="00495E3A">
            <w:pPr>
              <w:keepLines/>
              <w:jc w:val="center"/>
              <w:rPr>
                <w:rFonts w:ascii="Arial Narrow" w:eastAsiaTheme="majorEastAsia" w:hAnsi="Arial Narrow" w:cstheme="majorBidi"/>
                <w:bCs/>
                <w:sz w:val="20"/>
                <w:szCs w:val="20"/>
              </w:rPr>
            </w:pPr>
            <w:r w:rsidRPr="00CF39C5">
              <w:rPr>
                <w:rFonts w:ascii="Arial Narrow" w:eastAsiaTheme="majorEastAsia" w:hAnsi="Arial Narrow" w:cstheme="majorBidi"/>
                <w:bCs/>
                <w:sz w:val="20"/>
                <w:szCs w:val="20"/>
              </w:rPr>
              <w:t>16/48 (33.3)</w:t>
            </w:r>
          </w:p>
          <w:p w14:paraId="255AE2C4" w14:textId="77777777" w:rsidR="00F21A3E" w:rsidRPr="00CF39C5" w:rsidRDefault="00F21A3E" w:rsidP="00495E3A">
            <w:pPr>
              <w:keepLines/>
              <w:jc w:val="center"/>
              <w:rPr>
                <w:rFonts w:ascii="Arial Narrow" w:eastAsiaTheme="majorEastAsia" w:hAnsi="Arial Narrow" w:cstheme="majorBidi"/>
                <w:bCs/>
                <w:sz w:val="20"/>
                <w:szCs w:val="20"/>
              </w:rPr>
            </w:pPr>
            <w:r w:rsidRPr="00CF39C5">
              <w:rPr>
                <w:rFonts w:ascii="Arial Narrow" w:eastAsiaTheme="majorEastAsia" w:hAnsi="Arial Narrow" w:cstheme="majorBidi"/>
                <w:bCs/>
                <w:sz w:val="20"/>
                <w:szCs w:val="20"/>
              </w:rPr>
              <w:t>Fed (medium fat/calorie)</w:t>
            </w:r>
          </w:p>
          <w:p w14:paraId="2ABA513F" w14:textId="77777777" w:rsidR="00F21A3E" w:rsidRPr="00CF39C5" w:rsidRDefault="00F21A3E" w:rsidP="00495E3A">
            <w:pPr>
              <w:pStyle w:val="TableText0"/>
              <w:keepNext w:val="0"/>
              <w:jc w:val="center"/>
              <w:rPr>
                <w:szCs w:val="20"/>
              </w:rPr>
            </w:pPr>
            <w:r w:rsidRPr="00CF39C5">
              <w:rPr>
                <w:szCs w:val="20"/>
              </w:rPr>
              <w:t>20/48 (41.7)</w:t>
            </w:r>
          </w:p>
        </w:tc>
        <w:tc>
          <w:tcPr>
            <w:tcW w:w="2224" w:type="dxa"/>
            <w:tcBorders>
              <w:top w:val="single" w:sz="4" w:space="0" w:color="auto"/>
              <w:bottom w:val="single" w:sz="4" w:space="0" w:color="auto"/>
            </w:tcBorders>
          </w:tcPr>
          <w:p w14:paraId="48CBA1C6" w14:textId="77777777" w:rsidR="00F21A3E" w:rsidRPr="00CF39C5" w:rsidRDefault="00F21A3E" w:rsidP="00495E3A">
            <w:pPr>
              <w:pStyle w:val="TableText0"/>
              <w:keepNext w:val="0"/>
              <w:jc w:val="center"/>
              <w:rPr>
                <w:szCs w:val="20"/>
              </w:rPr>
            </w:pPr>
            <w:r w:rsidRPr="00913333">
              <w:rPr>
                <w:szCs w:val="20"/>
              </w:rPr>
              <w:t>Fasted</w:t>
            </w:r>
          </w:p>
          <w:p w14:paraId="4709F222" w14:textId="77777777" w:rsidR="00F21A3E" w:rsidRPr="00913333" w:rsidRDefault="00F21A3E" w:rsidP="00495E3A">
            <w:pPr>
              <w:pStyle w:val="TableText0"/>
              <w:keepNext w:val="0"/>
              <w:jc w:val="center"/>
              <w:rPr>
                <w:szCs w:val="20"/>
              </w:rPr>
            </w:pPr>
            <w:r w:rsidRPr="00CF39C5">
              <w:rPr>
                <w:szCs w:val="20"/>
              </w:rPr>
              <w:t>27/48 (56.3)</w:t>
            </w:r>
          </w:p>
          <w:p w14:paraId="639AEDF2" w14:textId="77777777" w:rsidR="00F21A3E" w:rsidRPr="00913333" w:rsidRDefault="00F21A3E" w:rsidP="00495E3A">
            <w:pPr>
              <w:pStyle w:val="TableText0"/>
              <w:keepNext w:val="0"/>
              <w:jc w:val="center"/>
              <w:rPr>
                <w:szCs w:val="20"/>
              </w:rPr>
            </w:pPr>
            <w:r w:rsidRPr="00913333">
              <w:rPr>
                <w:szCs w:val="20"/>
              </w:rPr>
              <w:t>Fed (high fat/calorie)</w:t>
            </w:r>
          </w:p>
          <w:p w14:paraId="49A756D2" w14:textId="77777777" w:rsidR="00F21A3E" w:rsidRPr="00CF39C5" w:rsidRDefault="00F21A3E" w:rsidP="00495E3A">
            <w:pPr>
              <w:keepLines/>
              <w:jc w:val="center"/>
              <w:rPr>
                <w:rFonts w:ascii="Arial Narrow" w:eastAsiaTheme="majorEastAsia" w:hAnsi="Arial Narrow" w:cstheme="majorBidi"/>
                <w:bCs/>
                <w:sz w:val="20"/>
                <w:szCs w:val="20"/>
              </w:rPr>
            </w:pPr>
            <w:r w:rsidRPr="00CF39C5">
              <w:rPr>
                <w:rFonts w:ascii="Arial Narrow" w:eastAsiaTheme="majorEastAsia" w:hAnsi="Arial Narrow" w:cstheme="majorBidi"/>
                <w:bCs/>
                <w:sz w:val="20"/>
                <w:szCs w:val="20"/>
              </w:rPr>
              <w:t>13/48 (27.1)</w:t>
            </w:r>
          </w:p>
        </w:tc>
        <w:tc>
          <w:tcPr>
            <w:tcW w:w="2214" w:type="dxa"/>
            <w:tcBorders>
              <w:top w:val="single" w:sz="4" w:space="0" w:color="auto"/>
              <w:bottom w:val="single" w:sz="4" w:space="0" w:color="auto"/>
            </w:tcBorders>
            <w:vAlign w:val="center"/>
          </w:tcPr>
          <w:p w14:paraId="33BAA46F" w14:textId="77777777" w:rsidR="00F21A3E" w:rsidRPr="00CF39C5" w:rsidRDefault="00F21A3E" w:rsidP="00495E3A">
            <w:pPr>
              <w:pStyle w:val="TableText0"/>
              <w:keepNext w:val="0"/>
              <w:jc w:val="center"/>
              <w:rPr>
                <w:szCs w:val="20"/>
              </w:rPr>
            </w:pPr>
            <w:r>
              <w:rPr>
                <w:szCs w:val="20"/>
              </w:rPr>
              <w:t>-</w:t>
            </w:r>
          </w:p>
        </w:tc>
      </w:tr>
      <w:tr w:rsidR="00F21A3E" w14:paraId="519F49DB" w14:textId="77777777" w:rsidTr="00495E3A">
        <w:tc>
          <w:tcPr>
            <w:tcW w:w="2352" w:type="dxa"/>
            <w:vAlign w:val="center"/>
          </w:tcPr>
          <w:p w14:paraId="22D33962" w14:textId="77777777" w:rsidR="00F21A3E" w:rsidRPr="00CF39C5" w:rsidRDefault="00F21A3E" w:rsidP="00495E3A">
            <w:pPr>
              <w:pStyle w:val="TableText0"/>
              <w:keepNext w:val="0"/>
              <w:rPr>
                <w:szCs w:val="20"/>
              </w:rPr>
            </w:pPr>
            <w:r w:rsidRPr="00CF39C5">
              <w:rPr>
                <w:szCs w:val="20"/>
              </w:rPr>
              <w:t xml:space="preserve">Drug-related </w:t>
            </w:r>
            <w:proofErr w:type="spellStart"/>
            <w:r w:rsidRPr="00CF39C5">
              <w:rPr>
                <w:szCs w:val="20"/>
              </w:rPr>
              <w:t>TEAE</w:t>
            </w:r>
            <w:r w:rsidRPr="00447A98">
              <w:rPr>
                <w:szCs w:val="20"/>
                <w:vertAlign w:val="superscript"/>
              </w:rPr>
              <w:t>a</w:t>
            </w:r>
            <w:proofErr w:type="spellEnd"/>
          </w:p>
        </w:tc>
        <w:tc>
          <w:tcPr>
            <w:tcW w:w="2227" w:type="dxa"/>
            <w:vAlign w:val="center"/>
          </w:tcPr>
          <w:p w14:paraId="1C4D232B" w14:textId="77777777" w:rsidR="00F21A3E" w:rsidRPr="00CF39C5" w:rsidRDefault="00F21A3E" w:rsidP="00495E3A">
            <w:pPr>
              <w:keepLines/>
              <w:jc w:val="center"/>
              <w:rPr>
                <w:rFonts w:ascii="Arial Narrow" w:eastAsiaTheme="majorEastAsia" w:hAnsi="Arial Narrow" w:cstheme="majorBidi"/>
                <w:bCs/>
                <w:sz w:val="20"/>
                <w:szCs w:val="20"/>
              </w:rPr>
            </w:pPr>
            <w:r w:rsidRPr="00CF39C5">
              <w:rPr>
                <w:rFonts w:ascii="Arial Narrow" w:eastAsiaTheme="majorEastAsia" w:hAnsi="Arial Narrow" w:cstheme="majorBidi"/>
                <w:bCs/>
                <w:sz w:val="20"/>
                <w:szCs w:val="20"/>
              </w:rPr>
              <w:t>Fed (low fat/calorie)</w:t>
            </w:r>
          </w:p>
          <w:p w14:paraId="564AF5CC" w14:textId="77777777" w:rsidR="00F21A3E" w:rsidRPr="00CF39C5" w:rsidRDefault="00F21A3E" w:rsidP="00495E3A">
            <w:pPr>
              <w:keepLines/>
              <w:jc w:val="center"/>
              <w:rPr>
                <w:rFonts w:ascii="Arial Narrow" w:eastAsiaTheme="majorEastAsia" w:hAnsi="Arial Narrow" w:cstheme="majorBidi"/>
                <w:bCs/>
                <w:sz w:val="20"/>
                <w:szCs w:val="20"/>
              </w:rPr>
            </w:pPr>
            <w:r w:rsidRPr="00CF39C5">
              <w:rPr>
                <w:rFonts w:ascii="Arial Narrow" w:eastAsiaTheme="majorEastAsia" w:hAnsi="Arial Narrow" w:cstheme="majorBidi"/>
                <w:bCs/>
                <w:sz w:val="20"/>
                <w:szCs w:val="20"/>
              </w:rPr>
              <w:t>16/48 (33.3)</w:t>
            </w:r>
          </w:p>
          <w:p w14:paraId="14C47066" w14:textId="77777777" w:rsidR="00F21A3E" w:rsidRPr="00CF39C5" w:rsidRDefault="00F21A3E" w:rsidP="00495E3A">
            <w:pPr>
              <w:keepLines/>
              <w:jc w:val="center"/>
              <w:rPr>
                <w:rFonts w:ascii="Arial Narrow" w:eastAsiaTheme="majorEastAsia" w:hAnsi="Arial Narrow" w:cstheme="majorBidi"/>
                <w:bCs/>
                <w:sz w:val="20"/>
                <w:szCs w:val="20"/>
              </w:rPr>
            </w:pPr>
            <w:r w:rsidRPr="00CF39C5">
              <w:rPr>
                <w:rFonts w:ascii="Arial Narrow" w:eastAsiaTheme="majorEastAsia" w:hAnsi="Arial Narrow" w:cstheme="majorBidi"/>
                <w:bCs/>
                <w:sz w:val="20"/>
                <w:szCs w:val="20"/>
              </w:rPr>
              <w:t>Fed (medium fat/calorie)</w:t>
            </w:r>
          </w:p>
          <w:p w14:paraId="4F18B200" w14:textId="77777777" w:rsidR="00F21A3E" w:rsidRPr="00CF39C5" w:rsidRDefault="00F21A3E" w:rsidP="00495E3A">
            <w:pPr>
              <w:pStyle w:val="TableText0"/>
              <w:keepNext w:val="0"/>
              <w:jc w:val="center"/>
              <w:rPr>
                <w:szCs w:val="20"/>
              </w:rPr>
            </w:pPr>
            <w:r w:rsidRPr="00CF39C5">
              <w:rPr>
                <w:szCs w:val="20"/>
              </w:rPr>
              <w:t>20/48 (41.7)</w:t>
            </w:r>
          </w:p>
        </w:tc>
        <w:tc>
          <w:tcPr>
            <w:tcW w:w="2224" w:type="dxa"/>
            <w:vAlign w:val="center"/>
          </w:tcPr>
          <w:p w14:paraId="017185A4" w14:textId="77777777" w:rsidR="00F21A3E" w:rsidRPr="00CF39C5" w:rsidRDefault="00F21A3E" w:rsidP="00495E3A">
            <w:pPr>
              <w:pStyle w:val="TableText0"/>
              <w:keepNext w:val="0"/>
              <w:jc w:val="center"/>
              <w:rPr>
                <w:szCs w:val="20"/>
              </w:rPr>
            </w:pPr>
            <w:r w:rsidRPr="00913333">
              <w:rPr>
                <w:szCs w:val="20"/>
              </w:rPr>
              <w:t>Fasted</w:t>
            </w:r>
          </w:p>
          <w:p w14:paraId="7B209DAC" w14:textId="77777777" w:rsidR="00F21A3E" w:rsidRPr="00913333" w:rsidRDefault="00F21A3E" w:rsidP="00495E3A">
            <w:pPr>
              <w:pStyle w:val="TableText0"/>
              <w:keepNext w:val="0"/>
              <w:jc w:val="center"/>
              <w:rPr>
                <w:szCs w:val="20"/>
              </w:rPr>
            </w:pPr>
            <w:r w:rsidRPr="00CF39C5">
              <w:rPr>
                <w:szCs w:val="20"/>
              </w:rPr>
              <w:t>25/48 (52.1)</w:t>
            </w:r>
          </w:p>
          <w:p w14:paraId="2D4DB910" w14:textId="77777777" w:rsidR="00F21A3E" w:rsidRPr="00913333" w:rsidRDefault="00F21A3E" w:rsidP="00495E3A">
            <w:pPr>
              <w:pStyle w:val="TableText0"/>
              <w:keepNext w:val="0"/>
              <w:jc w:val="center"/>
              <w:rPr>
                <w:szCs w:val="20"/>
              </w:rPr>
            </w:pPr>
            <w:r w:rsidRPr="00913333">
              <w:rPr>
                <w:szCs w:val="20"/>
              </w:rPr>
              <w:t>Fed (high fat/calorie)</w:t>
            </w:r>
          </w:p>
          <w:p w14:paraId="19C15748" w14:textId="77777777" w:rsidR="00F21A3E" w:rsidRPr="00CF39C5" w:rsidRDefault="00F21A3E" w:rsidP="00495E3A">
            <w:pPr>
              <w:pStyle w:val="TableText0"/>
              <w:keepNext w:val="0"/>
              <w:jc w:val="center"/>
              <w:rPr>
                <w:szCs w:val="20"/>
              </w:rPr>
            </w:pPr>
            <w:r w:rsidRPr="00CF39C5">
              <w:rPr>
                <w:szCs w:val="20"/>
              </w:rPr>
              <w:t>11/48 (22.9)</w:t>
            </w:r>
          </w:p>
        </w:tc>
        <w:tc>
          <w:tcPr>
            <w:tcW w:w="2214" w:type="dxa"/>
            <w:vAlign w:val="center"/>
          </w:tcPr>
          <w:p w14:paraId="293E2F0A" w14:textId="77777777" w:rsidR="00F21A3E" w:rsidRPr="00CF39C5" w:rsidRDefault="00F21A3E" w:rsidP="00495E3A">
            <w:pPr>
              <w:pStyle w:val="TableText0"/>
              <w:keepNext w:val="0"/>
              <w:jc w:val="center"/>
              <w:rPr>
                <w:szCs w:val="20"/>
              </w:rPr>
            </w:pPr>
            <w:r>
              <w:rPr>
                <w:szCs w:val="20"/>
              </w:rPr>
              <w:t>-</w:t>
            </w:r>
          </w:p>
        </w:tc>
      </w:tr>
      <w:tr w:rsidR="00F21A3E" w14:paraId="5A24D0DB" w14:textId="77777777" w:rsidTr="00495E3A">
        <w:tc>
          <w:tcPr>
            <w:tcW w:w="9017" w:type="dxa"/>
            <w:gridSpan w:val="4"/>
            <w:vAlign w:val="center"/>
          </w:tcPr>
          <w:p w14:paraId="0D64412B" w14:textId="77777777" w:rsidR="00F21A3E" w:rsidRPr="00447A98" w:rsidRDefault="00F21A3E" w:rsidP="00495E3A">
            <w:pPr>
              <w:pStyle w:val="TableText0"/>
              <w:rPr>
                <w:szCs w:val="20"/>
              </w:rPr>
            </w:pPr>
            <w:bookmarkStart w:id="23" w:name="_Hlk88480708"/>
            <w:r w:rsidRPr="00447A98">
              <w:rPr>
                <w:b/>
                <w:bCs w:val="0"/>
                <w:szCs w:val="20"/>
              </w:rPr>
              <w:t>EVOLVE-MS-2</w:t>
            </w:r>
            <w:bookmarkEnd w:id="23"/>
          </w:p>
        </w:tc>
      </w:tr>
      <w:tr w:rsidR="00F21A3E" w14:paraId="4C9D7EB8" w14:textId="77777777" w:rsidTr="0063703E">
        <w:tc>
          <w:tcPr>
            <w:tcW w:w="2352" w:type="dxa"/>
            <w:tcBorders>
              <w:bottom w:val="single" w:sz="4" w:space="0" w:color="auto"/>
            </w:tcBorders>
            <w:vAlign w:val="center"/>
          </w:tcPr>
          <w:p w14:paraId="516D5147" w14:textId="279241D4" w:rsidR="00F21A3E" w:rsidRPr="00CF39C5" w:rsidRDefault="00F21A3E" w:rsidP="00495E3A">
            <w:pPr>
              <w:pStyle w:val="TableText0"/>
              <w:keepNext w:val="0"/>
            </w:pPr>
            <w:r w:rsidRPr="00CF39C5">
              <w:t>At least one AE, n</w:t>
            </w:r>
            <w:r w:rsidR="0063703E">
              <w:t xml:space="preserve"> </w:t>
            </w:r>
            <w:r w:rsidRPr="00CF39C5">
              <w:t>(%)</w:t>
            </w:r>
          </w:p>
        </w:tc>
        <w:tc>
          <w:tcPr>
            <w:tcW w:w="2227" w:type="dxa"/>
            <w:tcBorders>
              <w:bottom w:val="single" w:sz="4" w:space="0" w:color="auto"/>
            </w:tcBorders>
          </w:tcPr>
          <w:p w14:paraId="69D3E3F6" w14:textId="77777777" w:rsidR="00F21A3E" w:rsidRPr="00447A98" w:rsidRDefault="00F21A3E" w:rsidP="00495E3A">
            <w:pPr>
              <w:pStyle w:val="TableText0"/>
              <w:keepNext w:val="0"/>
              <w:jc w:val="center"/>
              <w:rPr>
                <w:szCs w:val="20"/>
              </w:rPr>
            </w:pPr>
            <w:r w:rsidRPr="00447A98">
              <w:rPr>
                <w:szCs w:val="20"/>
              </w:rPr>
              <w:t>198 (78)</w:t>
            </w:r>
          </w:p>
        </w:tc>
        <w:tc>
          <w:tcPr>
            <w:tcW w:w="2224" w:type="dxa"/>
            <w:tcBorders>
              <w:bottom w:val="single" w:sz="4" w:space="0" w:color="auto"/>
            </w:tcBorders>
          </w:tcPr>
          <w:p w14:paraId="00DD460A" w14:textId="77777777" w:rsidR="00F21A3E" w:rsidRPr="00447A98" w:rsidRDefault="00F21A3E" w:rsidP="00495E3A">
            <w:pPr>
              <w:pStyle w:val="TableText0"/>
              <w:keepNext w:val="0"/>
              <w:jc w:val="center"/>
              <w:rPr>
                <w:szCs w:val="20"/>
              </w:rPr>
            </w:pPr>
            <w:r w:rsidRPr="00447A98">
              <w:rPr>
                <w:szCs w:val="20"/>
              </w:rPr>
              <w:t>210 (84)</w:t>
            </w:r>
          </w:p>
        </w:tc>
        <w:tc>
          <w:tcPr>
            <w:tcW w:w="2214" w:type="dxa"/>
            <w:tcBorders>
              <w:bottom w:val="single" w:sz="4" w:space="0" w:color="auto"/>
            </w:tcBorders>
            <w:vAlign w:val="center"/>
          </w:tcPr>
          <w:p w14:paraId="43D48FCD" w14:textId="77777777" w:rsidR="00F21A3E" w:rsidRPr="00447A98" w:rsidRDefault="00F21A3E" w:rsidP="00495E3A">
            <w:pPr>
              <w:pStyle w:val="TableText0"/>
              <w:keepNext w:val="0"/>
              <w:jc w:val="center"/>
              <w:rPr>
                <w:szCs w:val="20"/>
              </w:rPr>
            </w:pPr>
            <w:r w:rsidRPr="00447A98">
              <w:rPr>
                <w:szCs w:val="20"/>
              </w:rPr>
              <w:t>0.94 (0.86, 1.02)</w:t>
            </w:r>
          </w:p>
        </w:tc>
      </w:tr>
      <w:tr w:rsidR="00F21A3E" w14:paraId="7870D7C1" w14:textId="77777777" w:rsidTr="0063703E">
        <w:tc>
          <w:tcPr>
            <w:tcW w:w="2352" w:type="dxa"/>
            <w:tcBorders>
              <w:bottom w:val="nil"/>
            </w:tcBorders>
            <w:vAlign w:val="center"/>
          </w:tcPr>
          <w:p w14:paraId="51133694" w14:textId="77777777" w:rsidR="00F21A3E" w:rsidRPr="00CF39C5" w:rsidRDefault="00F21A3E" w:rsidP="00495E3A">
            <w:pPr>
              <w:pStyle w:val="TableText0"/>
            </w:pPr>
            <w:r w:rsidRPr="00CF39C5">
              <w:t>AE by severity, n (%)</w:t>
            </w:r>
          </w:p>
        </w:tc>
        <w:tc>
          <w:tcPr>
            <w:tcW w:w="2227" w:type="dxa"/>
            <w:tcBorders>
              <w:bottom w:val="nil"/>
            </w:tcBorders>
            <w:vAlign w:val="center"/>
          </w:tcPr>
          <w:p w14:paraId="6921AE85" w14:textId="77777777" w:rsidR="00F21A3E" w:rsidRPr="00447A98" w:rsidRDefault="00F21A3E" w:rsidP="00495E3A">
            <w:pPr>
              <w:pStyle w:val="TableText0"/>
              <w:jc w:val="center"/>
              <w:rPr>
                <w:szCs w:val="20"/>
              </w:rPr>
            </w:pPr>
          </w:p>
        </w:tc>
        <w:tc>
          <w:tcPr>
            <w:tcW w:w="2224" w:type="dxa"/>
            <w:tcBorders>
              <w:bottom w:val="nil"/>
            </w:tcBorders>
            <w:vAlign w:val="center"/>
          </w:tcPr>
          <w:p w14:paraId="4C310D97" w14:textId="77777777" w:rsidR="00F21A3E" w:rsidRPr="00447A98" w:rsidRDefault="00F21A3E" w:rsidP="00495E3A">
            <w:pPr>
              <w:pStyle w:val="TableText0"/>
              <w:jc w:val="center"/>
              <w:rPr>
                <w:szCs w:val="20"/>
              </w:rPr>
            </w:pPr>
          </w:p>
        </w:tc>
        <w:tc>
          <w:tcPr>
            <w:tcW w:w="2214" w:type="dxa"/>
            <w:tcBorders>
              <w:bottom w:val="nil"/>
            </w:tcBorders>
            <w:vAlign w:val="center"/>
          </w:tcPr>
          <w:p w14:paraId="10E33B91" w14:textId="77777777" w:rsidR="00F21A3E" w:rsidRPr="00447A98" w:rsidRDefault="00F21A3E" w:rsidP="00495E3A">
            <w:pPr>
              <w:pStyle w:val="TableText0"/>
              <w:jc w:val="center"/>
              <w:rPr>
                <w:szCs w:val="20"/>
              </w:rPr>
            </w:pPr>
          </w:p>
        </w:tc>
      </w:tr>
      <w:tr w:rsidR="00F21A3E" w14:paraId="219EE4FF" w14:textId="77777777" w:rsidTr="0063703E">
        <w:tc>
          <w:tcPr>
            <w:tcW w:w="2352" w:type="dxa"/>
            <w:tcBorders>
              <w:top w:val="nil"/>
              <w:bottom w:val="nil"/>
            </w:tcBorders>
            <w:vAlign w:val="center"/>
          </w:tcPr>
          <w:p w14:paraId="1C11FC27" w14:textId="7BC5D345" w:rsidR="00F21A3E" w:rsidRPr="00CF39C5" w:rsidRDefault="00F21A3E" w:rsidP="00495E3A">
            <w:pPr>
              <w:pStyle w:val="TableText0"/>
            </w:pPr>
            <w:r w:rsidRPr="00CF39C5">
              <w:t>Mild</w:t>
            </w:r>
            <w:r w:rsidR="0063703E">
              <w:t>:</w:t>
            </w:r>
            <w:r w:rsidRPr="00CF39C5">
              <w:t xml:space="preserve"> Grade 1 AE</w:t>
            </w:r>
          </w:p>
        </w:tc>
        <w:tc>
          <w:tcPr>
            <w:tcW w:w="2227" w:type="dxa"/>
            <w:tcBorders>
              <w:top w:val="nil"/>
              <w:bottom w:val="nil"/>
            </w:tcBorders>
          </w:tcPr>
          <w:p w14:paraId="79033384" w14:textId="77777777" w:rsidR="00F21A3E" w:rsidRPr="00447A98" w:rsidRDefault="00F21A3E" w:rsidP="00495E3A">
            <w:pPr>
              <w:pStyle w:val="TableText0"/>
              <w:jc w:val="center"/>
              <w:rPr>
                <w:szCs w:val="20"/>
              </w:rPr>
            </w:pPr>
            <w:r w:rsidRPr="00447A98">
              <w:rPr>
                <w:szCs w:val="20"/>
              </w:rPr>
              <w:t>125 (49)</w:t>
            </w:r>
          </w:p>
        </w:tc>
        <w:tc>
          <w:tcPr>
            <w:tcW w:w="2224" w:type="dxa"/>
            <w:tcBorders>
              <w:top w:val="nil"/>
              <w:bottom w:val="nil"/>
            </w:tcBorders>
          </w:tcPr>
          <w:p w14:paraId="0ADC3682" w14:textId="77777777" w:rsidR="00F21A3E" w:rsidRPr="00447A98" w:rsidRDefault="00F21A3E" w:rsidP="00495E3A">
            <w:pPr>
              <w:pStyle w:val="TableText0"/>
              <w:jc w:val="center"/>
              <w:rPr>
                <w:szCs w:val="20"/>
              </w:rPr>
            </w:pPr>
            <w:r w:rsidRPr="00447A98">
              <w:rPr>
                <w:szCs w:val="20"/>
              </w:rPr>
              <w:t>121 (48)</w:t>
            </w:r>
          </w:p>
        </w:tc>
        <w:tc>
          <w:tcPr>
            <w:tcW w:w="2214" w:type="dxa"/>
            <w:tcBorders>
              <w:top w:val="nil"/>
              <w:bottom w:val="nil"/>
            </w:tcBorders>
          </w:tcPr>
          <w:p w14:paraId="3D23CDE7" w14:textId="77777777" w:rsidR="00F21A3E" w:rsidRPr="00447A98" w:rsidRDefault="00F21A3E" w:rsidP="00495E3A">
            <w:pPr>
              <w:pStyle w:val="TableText0"/>
              <w:jc w:val="center"/>
              <w:rPr>
                <w:szCs w:val="20"/>
              </w:rPr>
            </w:pPr>
            <w:r w:rsidRPr="00447A98">
              <w:rPr>
                <w:szCs w:val="20"/>
              </w:rPr>
              <w:t>1.02 (0.86, 1.23)</w:t>
            </w:r>
          </w:p>
        </w:tc>
      </w:tr>
      <w:tr w:rsidR="00F21A3E" w14:paraId="3574484C" w14:textId="77777777" w:rsidTr="0063703E">
        <w:tc>
          <w:tcPr>
            <w:tcW w:w="2352" w:type="dxa"/>
            <w:tcBorders>
              <w:top w:val="nil"/>
              <w:bottom w:val="nil"/>
            </w:tcBorders>
            <w:vAlign w:val="center"/>
          </w:tcPr>
          <w:p w14:paraId="67C3C873" w14:textId="6F470B74" w:rsidR="00F21A3E" w:rsidRPr="00CF39C5" w:rsidRDefault="00F21A3E" w:rsidP="00495E3A">
            <w:pPr>
              <w:pStyle w:val="TableText0"/>
            </w:pPr>
            <w:r w:rsidRPr="00CF39C5">
              <w:t>Moderate</w:t>
            </w:r>
            <w:r w:rsidR="0063703E">
              <w:t>:</w:t>
            </w:r>
            <w:r w:rsidRPr="00CF39C5">
              <w:t xml:space="preserve"> Grade 2 AE</w:t>
            </w:r>
          </w:p>
        </w:tc>
        <w:tc>
          <w:tcPr>
            <w:tcW w:w="2227" w:type="dxa"/>
            <w:tcBorders>
              <w:top w:val="nil"/>
              <w:bottom w:val="nil"/>
            </w:tcBorders>
          </w:tcPr>
          <w:p w14:paraId="5CEDDE5C" w14:textId="77777777" w:rsidR="00F21A3E" w:rsidRPr="00447A98" w:rsidRDefault="00F21A3E" w:rsidP="00495E3A">
            <w:pPr>
              <w:pStyle w:val="TableText0"/>
              <w:jc w:val="center"/>
              <w:rPr>
                <w:szCs w:val="20"/>
              </w:rPr>
            </w:pPr>
            <w:r w:rsidRPr="00447A98">
              <w:rPr>
                <w:szCs w:val="20"/>
              </w:rPr>
              <w:t>68 (27)</w:t>
            </w:r>
          </w:p>
        </w:tc>
        <w:tc>
          <w:tcPr>
            <w:tcW w:w="2224" w:type="dxa"/>
            <w:tcBorders>
              <w:top w:val="nil"/>
              <w:bottom w:val="nil"/>
            </w:tcBorders>
          </w:tcPr>
          <w:p w14:paraId="2C784F8E" w14:textId="77777777" w:rsidR="00F21A3E" w:rsidRPr="00447A98" w:rsidRDefault="00F21A3E" w:rsidP="00495E3A">
            <w:pPr>
              <w:pStyle w:val="TableText0"/>
              <w:jc w:val="center"/>
              <w:rPr>
                <w:szCs w:val="20"/>
              </w:rPr>
            </w:pPr>
            <w:r w:rsidRPr="00447A98">
              <w:rPr>
                <w:szCs w:val="20"/>
              </w:rPr>
              <w:t>75 (30)</w:t>
            </w:r>
          </w:p>
        </w:tc>
        <w:tc>
          <w:tcPr>
            <w:tcW w:w="2214" w:type="dxa"/>
            <w:tcBorders>
              <w:top w:val="nil"/>
              <w:bottom w:val="nil"/>
            </w:tcBorders>
          </w:tcPr>
          <w:p w14:paraId="1E90D627" w14:textId="77777777" w:rsidR="00F21A3E" w:rsidRPr="00447A98" w:rsidRDefault="00F21A3E" w:rsidP="00495E3A">
            <w:pPr>
              <w:pStyle w:val="TableText0"/>
              <w:jc w:val="center"/>
              <w:rPr>
                <w:szCs w:val="20"/>
              </w:rPr>
            </w:pPr>
            <w:r w:rsidRPr="00447A98">
              <w:rPr>
                <w:szCs w:val="20"/>
              </w:rPr>
              <w:t>0.90 (0.68, 1.19)</w:t>
            </w:r>
          </w:p>
        </w:tc>
      </w:tr>
      <w:tr w:rsidR="00F21A3E" w14:paraId="1C0E9A85" w14:textId="77777777" w:rsidTr="0063703E">
        <w:tc>
          <w:tcPr>
            <w:tcW w:w="2352" w:type="dxa"/>
            <w:tcBorders>
              <w:top w:val="nil"/>
            </w:tcBorders>
            <w:vAlign w:val="center"/>
          </w:tcPr>
          <w:p w14:paraId="490652F1" w14:textId="138F580E" w:rsidR="00F21A3E" w:rsidRPr="00CF39C5" w:rsidRDefault="00F21A3E" w:rsidP="00495E3A">
            <w:pPr>
              <w:pStyle w:val="TableText0"/>
            </w:pPr>
            <w:r w:rsidRPr="00CF39C5">
              <w:t>Severe</w:t>
            </w:r>
            <w:r w:rsidR="0063703E">
              <w:t>:</w:t>
            </w:r>
            <w:r w:rsidRPr="00CF39C5">
              <w:t xml:space="preserve"> Grade 3 AE</w:t>
            </w:r>
          </w:p>
        </w:tc>
        <w:tc>
          <w:tcPr>
            <w:tcW w:w="2227" w:type="dxa"/>
            <w:tcBorders>
              <w:top w:val="nil"/>
            </w:tcBorders>
          </w:tcPr>
          <w:p w14:paraId="12A8BE65" w14:textId="77777777" w:rsidR="00F21A3E" w:rsidRPr="00447A98" w:rsidRDefault="00F21A3E" w:rsidP="00495E3A">
            <w:pPr>
              <w:pStyle w:val="TableText0"/>
              <w:jc w:val="center"/>
              <w:rPr>
                <w:szCs w:val="20"/>
              </w:rPr>
            </w:pPr>
            <w:r w:rsidRPr="00447A98">
              <w:rPr>
                <w:szCs w:val="20"/>
              </w:rPr>
              <w:t>5 (2)</w:t>
            </w:r>
          </w:p>
        </w:tc>
        <w:tc>
          <w:tcPr>
            <w:tcW w:w="2224" w:type="dxa"/>
            <w:tcBorders>
              <w:top w:val="nil"/>
            </w:tcBorders>
          </w:tcPr>
          <w:p w14:paraId="6E9CF02C" w14:textId="77777777" w:rsidR="00F21A3E" w:rsidRPr="00447A98" w:rsidRDefault="00F21A3E" w:rsidP="00495E3A">
            <w:pPr>
              <w:pStyle w:val="TableText0"/>
              <w:jc w:val="center"/>
              <w:rPr>
                <w:szCs w:val="20"/>
              </w:rPr>
            </w:pPr>
            <w:r w:rsidRPr="00447A98">
              <w:rPr>
                <w:szCs w:val="20"/>
              </w:rPr>
              <w:t>14 (6)</w:t>
            </w:r>
          </w:p>
        </w:tc>
        <w:tc>
          <w:tcPr>
            <w:tcW w:w="2214" w:type="dxa"/>
            <w:tcBorders>
              <w:top w:val="nil"/>
            </w:tcBorders>
          </w:tcPr>
          <w:p w14:paraId="15B6ACC4" w14:textId="77777777" w:rsidR="00F21A3E" w:rsidRPr="00447A98" w:rsidRDefault="00F21A3E" w:rsidP="00495E3A">
            <w:pPr>
              <w:pStyle w:val="TableText0"/>
              <w:jc w:val="center"/>
              <w:rPr>
                <w:b/>
                <w:bCs w:val="0"/>
                <w:szCs w:val="20"/>
              </w:rPr>
            </w:pPr>
            <w:r w:rsidRPr="00447A98">
              <w:rPr>
                <w:b/>
                <w:bCs w:val="0"/>
                <w:szCs w:val="20"/>
              </w:rPr>
              <w:t>0.35 (0.13, 0.97)</w:t>
            </w:r>
          </w:p>
        </w:tc>
      </w:tr>
      <w:tr w:rsidR="00F21A3E" w14:paraId="4D458933" w14:textId="77777777" w:rsidTr="00495E3A">
        <w:tc>
          <w:tcPr>
            <w:tcW w:w="2352" w:type="dxa"/>
            <w:vAlign w:val="center"/>
          </w:tcPr>
          <w:p w14:paraId="774AA672" w14:textId="30F4218E" w:rsidR="00F21A3E" w:rsidRPr="00CF39C5" w:rsidRDefault="00F21A3E" w:rsidP="00495E3A">
            <w:pPr>
              <w:pStyle w:val="TableText0"/>
            </w:pPr>
            <w:r w:rsidRPr="00CF39C5">
              <w:t>AE related, n</w:t>
            </w:r>
            <w:r w:rsidR="0063703E">
              <w:t xml:space="preserve"> </w:t>
            </w:r>
            <w:r w:rsidRPr="00CF39C5">
              <w:t>(%)</w:t>
            </w:r>
          </w:p>
        </w:tc>
        <w:tc>
          <w:tcPr>
            <w:tcW w:w="2227" w:type="dxa"/>
          </w:tcPr>
          <w:p w14:paraId="05E06438" w14:textId="77777777" w:rsidR="00F21A3E" w:rsidRPr="00447A98" w:rsidRDefault="00F21A3E" w:rsidP="00495E3A">
            <w:pPr>
              <w:pStyle w:val="TableText0"/>
              <w:jc w:val="center"/>
              <w:rPr>
                <w:szCs w:val="20"/>
              </w:rPr>
            </w:pPr>
            <w:r w:rsidRPr="00447A98">
              <w:rPr>
                <w:szCs w:val="20"/>
              </w:rPr>
              <w:t>165 (65)</w:t>
            </w:r>
          </w:p>
        </w:tc>
        <w:tc>
          <w:tcPr>
            <w:tcW w:w="2224" w:type="dxa"/>
          </w:tcPr>
          <w:p w14:paraId="0C71751D" w14:textId="77777777" w:rsidR="00F21A3E" w:rsidRPr="00447A98" w:rsidRDefault="00F21A3E" w:rsidP="00495E3A">
            <w:pPr>
              <w:pStyle w:val="TableText0"/>
              <w:jc w:val="center"/>
              <w:rPr>
                <w:szCs w:val="20"/>
              </w:rPr>
            </w:pPr>
            <w:r w:rsidRPr="00447A98">
              <w:rPr>
                <w:szCs w:val="20"/>
              </w:rPr>
              <w:t>181 (72)</w:t>
            </w:r>
          </w:p>
        </w:tc>
        <w:tc>
          <w:tcPr>
            <w:tcW w:w="2214" w:type="dxa"/>
          </w:tcPr>
          <w:p w14:paraId="77A698EC" w14:textId="77777777" w:rsidR="00F21A3E" w:rsidRPr="00447A98" w:rsidRDefault="00F21A3E" w:rsidP="00495E3A">
            <w:pPr>
              <w:pStyle w:val="TableText0"/>
              <w:jc w:val="center"/>
              <w:rPr>
                <w:szCs w:val="20"/>
              </w:rPr>
            </w:pPr>
            <w:r w:rsidRPr="00447A98">
              <w:rPr>
                <w:szCs w:val="20"/>
              </w:rPr>
              <w:t>0.90 (0.80, 1.02)</w:t>
            </w:r>
          </w:p>
        </w:tc>
      </w:tr>
      <w:tr w:rsidR="00F21A3E" w14:paraId="4CBC6D77" w14:textId="77777777" w:rsidTr="00495E3A">
        <w:tc>
          <w:tcPr>
            <w:tcW w:w="2352" w:type="dxa"/>
            <w:vAlign w:val="center"/>
          </w:tcPr>
          <w:p w14:paraId="7FAD3FEB" w14:textId="20B81FA0" w:rsidR="00F21A3E" w:rsidRPr="00CF39C5" w:rsidRDefault="00F21A3E" w:rsidP="00495E3A">
            <w:pPr>
              <w:pStyle w:val="TableText0"/>
            </w:pPr>
            <w:r w:rsidRPr="00CF39C5">
              <w:t>AE leading to discontinuation of study medication, n</w:t>
            </w:r>
            <w:r w:rsidR="0063703E">
              <w:t xml:space="preserve"> </w:t>
            </w:r>
            <w:r w:rsidRPr="00CF39C5">
              <w:t>(%)</w:t>
            </w:r>
          </w:p>
        </w:tc>
        <w:tc>
          <w:tcPr>
            <w:tcW w:w="2227" w:type="dxa"/>
          </w:tcPr>
          <w:p w14:paraId="347A04C5" w14:textId="77777777" w:rsidR="00F21A3E" w:rsidRPr="00447A98" w:rsidRDefault="00F21A3E" w:rsidP="00495E3A">
            <w:pPr>
              <w:pStyle w:val="TableText0"/>
              <w:jc w:val="center"/>
              <w:rPr>
                <w:szCs w:val="20"/>
              </w:rPr>
            </w:pPr>
            <w:r w:rsidRPr="00447A98">
              <w:rPr>
                <w:szCs w:val="20"/>
              </w:rPr>
              <w:t>4 (2)</w:t>
            </w:r>
          </w:p>
        </w:tc>
        <w:tc>
          <w:tcPr>
            <w:tcW w:w="2224" w:type="dxa"/>
          </w:tcPr>
          <w:p w14:paraId="4815D0B5" w14:textId="77777777" w:rsidR="00F21A3E" w:rsidRPr="00447A98" w:rsidRDefault="00F21A3E" w:rsidP="00495E3A">
            <w:pPr>
              <w:pStyle w:val="TableText0"/>
              <w:jc w:val="center"/>
              <w:rPr>
                <w:szCs w:val="20"/>
              </w:rPr>
            </w:pPr>
            <w:r w:rsidRPr="00447A98">
              <w:rPr>
                <w:szCs w:val="20"/>
              </w:rPr>
              <w:t>15 (6)</w:t>
            </w:r>
          </w:p>
        </w:tc>
        <w:tc>
          <w:tcPr>
            <w:tcW w:w="2214" w:type="dxa"/>
          </w:tcPr>
          <w:p w14:paraId="07F4931D" w14:textId="77777777" w:rsidR="00F21A3E" w:rsidRPr="00447A98" w:rsidRDefault="00F21A3E" w:rsidP="00495E3A">
            <w:pPr>
              <w:pStyle w:val="TableText0"/>
              <w:jc w:val="center"/>
              <w:rPr>
                <w:b/>
                <w:bCs w:val="0"/>
                <w:szCs w:val="20"/>
              </w:rPr>
            </w:pPr>
            <w:r w:rsidRPr="00447A98">
              <w:rPr>
                <w:b/>
                <w:bCs w:val="0"/>
                <w:szCs w:val="20"/>
              </w:rPr>
              <w:t>0.26 (0.09, 0.79)</w:t>
            </w:r>
          </w:p>
        </w:tc>
      </w:tr>
      <w:tr w:rsidR="00F21A3E" w14:paraId="3C09B599" w14:textId="77777777" w:rsidTr="00495E3A">
        <w:tc>
          <w:tcPr>
            <w:tcW w:w="2352" w:type="dxa"/>
            <w:vAlign w:val="center"/>
          </w:tcPr>
          <w:p w14:paraId="73C05554" w14:textId="52A20B33" w:rsidR="00F21A3E" w:rsidRPr="00CF39C5" w:rsidRDefault="00F21A3E" w:rsidP="00495E3A">
            <w:pPr>
              <w:pStyle w:val="TableText0"/>
            </w:pPr>
            <w:r w:rsidRPr="00CF39C5">
              <w:t>GI AEs leading to study discontinuation, n</w:t>
            </w:r>
            <w:r w:rsidR="0063703E">
              <w:t xml:space="preserve"> </w:t>
            </w:r>
            <w:r w:rsidRPr="00CF39C5">
              <w:t>(%)</w:t>
            </w:r>
          </w:p>
        </w:tc>
        <w:tc>
          <w:tcPr>
            <w:tcW w:w="2227" w:type="dxa"/>
          </w:tcPr>
          <w:p w14:paraId="34967552" w14:textId="77777777" w:rsidR="00F21A3E" w:rsidRPr="00447A98" w:rsidRDefault="00F21A3E" w:rsidP="00495E3A">
            <w:pPr>
              <w:pStyle w:val="TableText0"/>
              <w:jc w:val="center"/>
              <w:rPr>
                <w:szCs w:val="20"/>
              </w:rPr>
            </w:pPr>
            <w:r w:rsidRPr="00447A98">
              <w:rPr>
                <w:szCs w:val="20"/>
              </w:rPr>
              <w:t>2 (1)</w:t>
            </w:r>
          </w:p>
        </w:tc>
        <w:tc>
          <w:tcPr>
            <w:tcW w:w="2224" w:type="dxa"/>
          </w:tcPr>
          <w:p w14:paraId="0B1FA3BC" w14:textId="77777777" w:rsidR="00F21A3E" w:rsidRPr="00447A98" w:rsidRDefault="00F21A3E" w:rsidP="00495E3A">
            <w:pPr>
              <w:pStyle w:val="TableText0"/>
              <w:jc w:val="center"/>
              <w:rPr>
                <w:szCs w:val="20"/>
              </w:rPr>
            </w:pPr>
            <w:r w:rsidRPr="00447A98">
              <w:rPr>
                <w:szCs w:val="20"/>
              </w:rPr>
              <w:t>12 (5)</w:t>
            </w:r>
          </w:p>
        </w:tc>
        <w:tc>
          <w:tcPr>
            <w:tcW w:w="2214" w:type="dxa"/>
          </w:tcPr>
          <w:p w14:paraId="57D907B6" w14:textId="77777777" w:rsidR="00F21A3E" w:rsidRPr="00447A98" w:rsidRDefault="00F21A3E" w:rsidP="00495E3A">
            <w:pPr>
              <w:pStyle w:val="TableText0"/>
              <w:jc w:val="center"/>
              <w:rPr>
                <w:b/>
                <w:bCs w:val="0"/>
                <w:szCs w:val="20"/>
              </w:rPr>
            </w:pPr>
            <w:r w:rsidRPr="00447A98">
              <w:rPr>
                <w:b/>
                <w:bCs w:val="0"/>
                <w:szCs w:val="20"/>
              </w:rPr>
              <w:t>0.17 (0.04, 0.73)</w:t>
            </w:r>
          </w:p>
        </w:tc>
      </w:tr>
      <w:tr w:rsidR="00F21A3E" w14:paraId="1C1A428A" w14:textId="77777777" w:rsidTr="0063703E">
        <w:tc>
          <w:tcPr>
            <w:tcW w:w="2352" w:type="dxa"/>
            <w:tcBorders>
              <w:bottom w:val="single" w:sz="4" w:space="0" w:color="auto"/>
            </w:tcBorders>
            <w:vAlign w:val="center"/>
          </w:tcPr>
          <w:p w14:paraId="5B88784F" w14:textId="77777777" w:rsidR="00F21A3E" w:rsidRPr="00CF39C5" w:rsidRDefault="00F21A3E" w:rsidP="00495E3A">
            <w:pPr>
              <w:pStyle w:val="TableText0"/>
            </w:pPr>
            <w:r w:rsidRPr="00CF39C5">
              <w:t>At least one SAE, n (%)</w:t>
            </w:r>
          </w:p>
        </w:tc>
        <w:tc>
          <w:tcPr>
            <w:tcW w:w="2227" w:type="dxa"/>
            <w:tcBorders>
              <w:bottom w:val="single" w:sz="4" w:space="0" w:color="auto"/>
            </w:tcBorders>
          </w:tcPr>
          <w:p w14:paraId="1D7C64B7" w14:textId="77777777" w:rsidR="00F21A3E" w:rsidRPr="00447A98" w:rsidRDefault="00F21A3E" w:rsidP="00495E3A">
            <w:pPr>
              <w:pStyle w:val="TableText0"/>
              <w:jc w:val="center"/>
              <w:rPr>
                <w:szCs w:val="20"/>
              </w:rPr>
            </w:pPr>
            <w:r w:rsidRPr="00447A98">
              <w:rPr>
                <w:szCs w:val="20"/>
              </w:rPr>
              <w:t>4 (2)</w:t>
            </w:r>
          </w:p>
        </w:tc>
        <w:tc>
          <w:tcPr>
            <w:tcW w:w="2224" w:type="dxa"/>
            <w:tcBorders>
              <w:bottom w:val="single" w:sz="4" w:space="0" w:color="auto"/>
            </w:tcBorders>
          </w:tcPr>
          <w:p w14:paraId="4830772E" w14:textId="77777777" w:rsidR="00F21A3E" w:rsidRPr="00447A98" w:rsidRDefault="00F21A3E" w:rsidP="00495E3A">
            <w:pPr>
              <w:pStyle w:val="TableText0"/>
              <w:jc w:val="center"/>
              <w:rPr>
                <w:szCs w:val="20"/>
              </w:rPr>
            </w:pPr>
            <w:r w:rsidRPr="00447A98">
              <w:rPr>
                <w:szCs w:val="20"/>
              </w:rPr>
              <w:t>3 (1)</w:t>
            </w:r>
          </w:p>
        </w:tc>
        <w:tc>
          <w:tcPr>
            <w:tcW w:w="2214" w:type="dxa"/>
            <w:tcBorders>
              <w:bottom w:val="single" w:sz="4" w:space="0" w:color="auto"/>
            </w:tcBorders>
          </w:tcPr>
          <w:p w14:paraId="0658EA1E" w14:textId="77777777" w:rsidR="00F21A3E" w:rsidRPr="00447A98" w:rsidRDefault="00F21A3E" w:rsidP="00495E3A">
            <w:pPr>
              <w:pStyle w:val="TableText0"/>
              <w:jc w:val="center"/>
              <w:rPr>
                <w:szCs w:val="20"/>
              </w:rPr>
            </w:pPr>
            <w:r w:rsidRPr="00447A98">
              <w:rPr>
                <w:szCs w:val="20"/>
              </w:rPr>
              <w:t>1.32 (0.30, 5.85)</w:t>
            </w:r>
          </w:p>
        </w:tc>
      </w:tr>
      <w:tr w:rsidR="00F21A3E" w14:paraId="0CD45733" w14:textId="77777777" w:rsidTr="0063703E">
        <w:tc>
          <w:tcPr>
            <w:tcW w:w="2352" w:type="dxa"/>
            <w:tcBorders>
              <w:bottom w:val="nil"/>
            </w:tcBorders>
            <w:vAlign w:val="center"/>
          </w:tcPr>
          <w:p w14:paraId="3677601B" w14:textId="77777777" w:rsidR="00F21A3E" w:rsidRPr="00CF39C5" w:rsidRDefault="00F21A3E" w:rsidP="00495E3A">
            <w:pPr>
              <w:pStyle w:val="TableText0"/>
            </w:pPr>
            <w:r w:rsidRPr="00CF39C5">
              <w:t>SAE by severity, n (%)</w:t>
            </w:r>
          </w:p>
        </w:tc>
        <w:tc>
          <w:tcPr>
            <w:tcW w:w="2227" w:type="dxa"/>
            <w:tcBorders>
              <w:bottom w:val="nil"/>
            </w:tcBorders>
            <w:vAlign w:val="center"/>
          </w:tcPr>
          <w:p w14:paraId="1CAEB996" w14:textId="77777777" w:rsidR="00F21A3E" w:rsidRPr="00447A98" w:rsidRDefault="00F21A3E" w:rsidP="00495E3A">
            <w:pPr>
              <w:pStyle w:val="TableText0"/>
              <w:jc w:val="center"/>
              <w:rPr>
                <w:szCs w:val="20"/>
              </w:rPr>
            </w:pPr>
          </w:p>
        </w:tc>
        <w:tc>
          <w:tcPr>
            <w:tcW w:w="2224" w:type="dxa"/>
            <w:tcBorders>
              <w:bottom w:val="nil"/>
            </w:tcBorders>
            <w:vAlign w:val="center"/>
          </w:tcPr>
          <w:p w14:paraId="761277CC" w14:textId="77777777" w:rsidR="00F21A3E" w:rsidRPr="00447A98" w:rsidRDefault="00F21A3E" w:rsidP="00495E3A">
            <w:pPr>
              <w:pStyle w:val="TableText0"/>
              <w:jc w:val="center"/>
              <w:rPr>
                <w:szCs w:val="20"/>
              </w:rPr>
            </w:pPr>
          </w:p>
        </w:tc>
        <w:tc>
          <w:tcPr>
            <w:tcW w:w="2214" w:type="dxa"/>
            <w:tcBorders>
              <w:bottom w:val="nil"/>
            </w:tcBorders>
            <w:vAlign w:val="center"/>
          </w:tcPr>
          <w:p w14:paraId="3D8AB1D0" w14:textId="77777777" w:rsidR="00F21A3E" w:rsidRPr="00447A98" w:rsidRDefault="00F21A3E" w:rsidP="00495E3A">
            <w:pPr>
              <w:pStyle w:val="TableText0"/>
              <w:jc w:val="center"/>
              <w:rPr>
                <w:szCs w:val="20"/>
              </w:rPr>
            </w:pPr>
          </w:p>
        </w:tc>
      </w:tr>
      <w:tr w:rsidR="00F21A3E" w14:paraId="6D029C5F" w14:textId="77777777" w:rsidTr="0063703E">
        <w:tc>
          <w:tcPr>
            <w:tcW w:w="2352" w:type="dxa"/>
            <w:tcBorders>
              <w:top w:val="nil"/>
              <w:bottom w:val="nil"/>
            </w:tcBorders>
            <w:vAlign w:val="center"/>
          </w:tcPr>
          <w:p w14:paraId="492202D0" w14:textId="77777777" w:rsidR="00F21A3E" w:rsidRPr="00CF39C5" w:rsidRDefault="00F21A3E" w:rsidP="00495E3A">
            <w:pPr>
              <w:pStyle w:val="TableText0"/>
            </w:pPr>
            <w:r w:rsidRPr="0052135A">
              <w:rPr>
                <w:lang w:val="en-US"/>
              </w:rPr>
              <w:tab/>
            </w:r>
            <w:r w:rsidRPr="00CF39C5">
              <w:t>Mild</w:t>
            </w:r>
            <w:r>
              <w:t xml:space="preserve">: </w:t>
            </w:r>
            <w:r w:rsidRPr="00CF39C5">
              <w:t xml:space="preserve">Grade 1 </w:t>
            </w:r>
          </w:p>
        </w:tc>
        <w:tc>
          <w:tcPr>
            <w:tcW w:w="2227" w:type="dxa"/>
            <w:tcBorders>
              <w:top w:val="nil"/>
              <w:bottom w:val="nil"/>
            </w:tcBorders>
            <w:vAlign w:val="center"/>
          </w:tcPr>
          <w:p w14:paraId="38D2C3C0" w14:textId="77777777" w:rsidR="00F21A3E" w:rsidRPr="00447A98" w:rsidRDefault="00F21A3E" w:rsidP="00495E3A">
            <w:pPr>
              <w:pStyle w:val="TableText0"/>
              <w:jc w:val="center"/>
              <w:rPr>
                <w:szCs w:val="20"/>
              </w:rPr>
            </w:pPr>
            <w:r w:rsidRPr="00447A98">
              <w:rPr>
                <w:rFonts w:eastAsia="Times New Roman" w:cstheme="minorHAnsi"/>
                <w:szCs w:val="20"/>
                <w:lang w:val="en-US"/>
              </w:rPr>
              <w:t>0</w:t>
            </w:r>
          </w:p>
        </w:tc>
        <w:tc>
          <w:tcPr>
            <w:tcW w:w="2224" w:type="dxa"/>
            <w:tcBorders>
              <w:top w:val="nil"/>
              <w:bottom w:val="nil"/>
            </w:tcBorders>
            <w:vAlign w:val="center"/>
          </w:tcPr>
          <w:p w14:paraId="08AC5C98" w14:textId="77777777" w:rsidR="00F21A3E" w:rsidRPr="00447A98" w:rsidRDefault="00F21A3E" w:rsidP="00495E3A">
            <w:pPr>
              <w:pStyle w:val="TableText0"/>
              <w:jc w:val="center"/>
              <w:rPr>
                <w:szCs w:val="20"/>
              </w:rPr>
            </w:pPr>
            <w:r w:rsidRPr="00447A98">
              <w:rPr>
                <w:rFonts w:eastAsia="Times New Roman" w:cstheme="minorHAnsi"/>
                <w:szCs w:val="20"/>
                <w:lang w:val="en-US"/>
              </w:rPr>
              <w:t>1 (0)</w:t>
            </w:r>
          </w:p>
        </w:tc>
        <w:tc>
          <w:tcPr>
            <w:tcW w:w="2214" w:type="dxa"/>
            <w:tcBorders>
              <w:top w:val="nil"/>
              <w:bottom w:val="nil"/>
            </w:tcBorders>
          </w:tcPr>
          <w:p w14:paraId="5768DD67" w14:textId="77777777" w:rsidR="00F21A3E" w:rsidRPr="00447A98" w:rsidRDefault="00F21A3E" w:rsidP="00495E3A">
            <w:pPr>
              <w:pStyle w:val="TableText0"/>
              <w:jc w:val="center"/>
              <w:rPr>
                <w:szCs w:val="20"/>
              </w:rPr>
            </w:pPr>
            <w:r w:rsidRPr="00447A98">
              <w:rPr>
                <w:szCs w:val="20"/>
              </w:rPr>
              <w:t>-</w:t>
            </w:r>
          </w:p>
        </w:tc>
      </w:tr>
      <w:tr w:rsidR="00F21A3E" w14:paraId="083B6CAF" w14:textId="77777777" w:rsidTr="0063703E">
        <w:tc>
          <w:tcPr>
            <w:tcW w:w="2352" w:type="dxa"/>
            <w:tcBorders>
              <w:top w:val="nil"/>
              <w:bottom w:val="nil"/>
            </w:tcBorders>
            <w:vAlign w:val="center"/>
          </w:tcPr>
          <w:p w14:paraId="1835CE31" w14:textId="77777777" w:rsidR="00F21A3E" w:rsidRPr="00CF39C5" w:rsidRDefault="00F21A3E" w:rsidP="00495E3A">
            <w:pPr>
              <w:pStyle w:val="TableText0"/>
            </w:pPr>
            <w:r w:rsidRPr="0052135A">
              <w:rPr>
                <w:lang w:val="en-US"/>
              </w:rPr>
              <w:tab/>
            </w:r>
            <w:r w:rsidRPr="00CF39C5">
              <w:t>Moderate</w:t>
            </w:r>
            <w:r>
              <w:t xml:space="preserve">: </w:t>
            </w:r>
            <w:r w:rsidRPr="00CF39C5">
              <w:t xml:space="preserve">Grade 2 </w:t>
            </w:r>
          </w:p>
        </w:tc>
        <w:tc>
          <w:tcPr>
            <w:tcW w:w="2227" w:type="dxa"/>
            <w:tcBorders>
              <w:top w:val="nil"/>
              <w:bottom w:val="nil"/>
            </w:tcBorders>
            <w:vAlign w:val="center"/>
          </w:tcPr>
          <w:p w14:paraId="6333F402" w14:textId="77777777" w:rsidR="00F21A3E" w:rsidRPr="00447A98" w:rsidRDefault="00F21A3E" w:rsidP="00495E3A">
            <w:pPr>
              <w:pStyle w:val="TableText0"/>
              <w:jc w:val="center"/>
              <w:rPr>
                <w:szCs w:val="20"/>
              </w:rPr>
            </w:pPr>
            <w:r w:rsidRPr="00447A98">
              <w:rPr>
                <w:rFonts w:eastAsia="Times New Roman" w:cstheme="minorHAnsi"/>
                <w:szCs w:val="20"/>
                <w:lang w:val="en-US"/>
              </w:rPr>
              <w:t>3 (1)</w:t>
            </w:r>
          </w:p>
        </w:tc>
        <w:tc>
          <w:tcPr>
            <w:tcW w:w="2224" w:type="dxa"/>
            <w:tcBorders>
              <w:top w:val="nil"/>
              <w:bottom w:val="nil"/>
            </w:tcBorders>
            <w:vAlign w:val="center"/>
          </w:tcPr>
          <w:p w14:paraId="5B24D222" w14:textId="77777777" w:rsidR="00F21A3E" w:rsidRPr="00447A98" w:rsidRDefault="00F21A3E" w:rsidP="00495E3A">
            <w:pPr>
              <w:pStyle w:val="TableText0"/>
              <w:jc w:val="center"/>
              <w:rPr>
                <w:szCs w:val="20"/>
              </w:rPr>
            </w:pPr>
            <w:r w:rsidRPr="00447A98">
              <w:rPr>
                <w:rFonts w:eastAsia="Times New Roman" w:cstheme="minorHAnsi"/>
                <w:szCs w:val="20"/>
                <w:lang w:val="en-US"/>
              </w:rPr>
              <w:t>1 (0)</w:t>
            </w:r>
          </w:p>
        </w:tc>
        <w:tc>
          <w:tcPr>
            <w:tcW w:w="2214" w:type="dxa"/>
            <w:tcBorders>
              <w:top w:val="nil"/>
              <w:bottom w:val="nil"/>
            </w:tcBorders>
          </w:tcPr>
          <w:p w14:paraId="2E9E4149" w14:textId="77777777" w:rsidR="00F21A3E" w:rsidRPr="00447A98" w:rsidRDefault="00F21A3E" w:rsidP="00495E3A">
            <w:pPr>
              <w:pStyle w:val="TableText0"/>
              <w:jc w:val="center"/>
              <w:rPr>
                <w:szCs w:val="20"/>
              </w:rPr>
            </w:pPr>
            <w:r w:rsidRPr="00447A98">
              <w:rPr>
                <w:szCs w:val="20"/>
              </w:rPr>
              <w:t>2.98 (0.31, 28.42)</w:t>
            </w:r>
          </w:p>
        </w:tc>
      </w:tr>
      <w:tr w:rsidR="00F21A3E" w14:paraId="4D26C389" w14:textId="77777777" w:rsidTr="0063703E">
        <w:tc>
          <w:tcPr>
            <w:tcW w:w="2352" w:type="dxa"/>
            <w:tcBorders>
              <w:top w:val="nil"/>
            </w:tcBorders>
            <w:vAlign w:val="center"/>
          </w:tcPr>
          <w:p w14:paraId="6AC51CE9" w14:textId="77777777" w:rsidR="00F21A3E" w:rsidRPr="00CF39C5" w:rsidRDefault="00F21A3E" w:rsidP="00495E3A">
            <w:pPr>
              <w:pStyle w:val="TableText0"/>
            </w:pPr>
            <w:r w:rsidRPr="0052135A">
              <w:rPr>
                <w:lang w:val="en-US"/>
              </w:rPr>
              <w:tab/>
            </w:r>
            <w:r w:rsidRPr="0052135A">
              <w:t>Severe</w:t>
            </w:r>
            <w:r>
              <w:t xml:space="preserve">: </w:t>
            </w:r>
            <w:r w:rsidRPr="0052135A">
              <w:t xml:space="preserve">Grade 3 </w:t>
            </w:r>
          </w:p>
        </w:tc>
        <w:tc>
          <w:tcPr>
            <w:tcW w:w="2227" w:type="dxa"/>
            <w:tcBorders>
              <w:top w:val="nil"/>
            </w:tcBorders>
            <w:vAlign w:val="center"/>
          </w:tcPr>
          <w:p w14:paraId="26F2FE59" w14:textId="77777777" w:rsidR="00F21A3E" w:rsidRPr="00447A98" w:rsidRDefault="00F21A3E" w:rsidP="00495E3A">
            <w:pPr>
              <w:pStyle w:val="TableText0"/>
              <w:jc w:val="center"/>
              <w:rPr>
                <w:szCs w:val="20"/>
              </w:rPr>
            </w:pPr>
            <w:r w:rsidRPr="00447A98">
              <w:rPr>
                <w:rFonts w:eastAsia="Times New Roman" w:cstheme="minorHAnsi"/>
                <w:szCs w:val="20"/>
                <w:lang w:val="en-US"/>
              </w:rPr>
              <w:t>1 (0)</w:t>
            </w:r>
          </w:p>
        </w:tc>
        <w:tc>
          <w:tcPr>
            <w:tcW w:w="2224" w:type="dxa"/>
            <w:tcBorders>
              <w:top w:val="nil"/>
            </w:tcBorders>
            <w:vAlign w:val="center"/>
          </w:tcPr>
          <w:p w14:paraId="53145ECB" w14:textId="77777777" w:rsidR="00F21A3E" w:rsidRPr="00447A98" w:rsidRDefault="00F21A3E" w:rsidP="00495E3A">
            <w:pPr>
              <w:pStyle w:val="TableText0"/>
              <w:jc w:val="center"/>
              <w:rPr>
                <w:szCs w:val="20"/>
              </w:rPr>
            </w:pPr>
            <w:r w:rsidRPr="00447A98">
              <w:rPr>
                <w:rFonts w:eastAsia="Times New Roman" w:cstheme="minorHAnsi"/>
                <w:szCs w:val="20"/>
                <w:lang w:val="en-US"/>
              </w:rPr>
              <w:t>1 (0)</w:t>
            </w:r>
          </w:p>
        </w:tc>
        <w:tc>
          <w:tcPr>
            <w:tcW w:w="2214" w:type="dxa"/>
            <w:tcBorders>
              <w:top w:val="nil"/>
            </w:tcBorders>
          </w:tcPr>
          <w:p w14:paraId="4F857001" w14:textId="77777777" w:rsidR="00F21A3E" w:rsidRPr="00447A98" w:rsidRDefault="00F21A3E" w:rsidP="00495E3A">
            <w:pPr>
              <w:pStyle w:val="TableText0"/>
              <w:jc w:val="center"/>
              <w:rPr>
                <w:szCs w:val="20"/>
              </w:rPr>
            </w:pPr>
            <w:r w:rsidRPr="00447A98">
              <w:rPr>
                <w:szCs w:val="20"/>
              </w:rPr>
              <w:t>0.99 (0.06, 15.77)</w:t>
            </w:r>
          </w:p>
        </w:tc>
      </w:tr>
      <w:tr w:rsidR="00F21A3E" w14:paraId="21FAB302" w14:textId="77777777" w:rsidTr="00495E3A">
        <w:tc>
          <w:tcPr>
            <w:tcW w:w="2352" w:type="dxa"/>
            <w:vAlign w:val="center"/>
          </w:tcPr>
          <w:p w14:paraId="63282B32" w14:textId="2D9487B5" w:rsidR="00F21A3E" w:rsidRPr="00CF39C5" w:rsidRDefault="00F21A3E" w:rsidP="00495E3A">
            <w:pPr>
              <w:pStyle w:val="TableText0"/>
            </w:pPr>
            <w:r w:rsidRPr="0052135A">
              <w:t>SAE related, n</w:t>
            </w:r>
            <w:r w:rsidR="0063703E">
              <w:t xml:space="preserve"> </w:t>
            </w:r>
            <w:r w:rsidRPr="0052135A">
              <w:t>(%)</w:t>
            </w:r>
          </w:p>
        </w:tc>
        <w:tc>
          <w:tcPr>
            <w:tcW w:w="2227" w:type="dxa"/>
            <w:vAlign w:val="center"/>
          </w:tcPr>
          <w:p w14:paraId="170E017F" w14:textId="77777777" w:rsidR="00F21A3E" w:rsidRPr="00447A98" w:rsidRDefault="00F21A3E" w:rsidP="00495E3A">
            <w:pPr>
              <w:pStyle w:val="TableText0"/>
              <w:jc w:val="center"/>
              <w:rPr>
                <w:szCs w:val="20"/>
              </w:rPr>
            </w:pPr>
            <w:r w:rsidRPr="00447A98">
              <w:rPr>
                <w:rFonts w:eastAsia="Times New Roman" w:cstheme="minorHAnsi"/>
                <w:szCs w:val="20"/>
                <w:lang w:val="en-US"/>
              </w:rPr>
              <w:t>0</w:t>
            </w:r>
          </w:p>
        </w:tc>
        <w:tc>
          <w:tcPr>
            <w:tcW w:w="2224" w:type="dxa"/>
            <w:vAlign w:val="center"/>
          </w:tcPr>
          <w:p w14:paraId="0F5C20EF" w14:textId="77777777" w:rsidR="00F21A3E" w:rsidRPr="00447A98" w:rsidRDefault="00F21A3E" w:rsidP="00495E3A">
            <w:pPr>
              <w:pStyle w:val="TableText0"/>
              <w:jc w:val="center"/>
              <w:rPr>
                <w:szCs w:val="20"/>
              </w:rPr>
            </w:pPr>
            <w:r w:rsidRPr="00447A98">
              <w:rPr>
                <w:rFonts w:eastAsia="Times New Roman" w:cstheme="minorHAnsi"/>
                <w:szCs w:val="20"/>
                <w:lang w:val="en-US"/>
              </w:rPr>
              <w:t>0</w:t>
            </w:r>
          </w:p>
        </w:tc>
        <w:tc>
          <w:tcPr>
            <w:tcW w:w="2214" w:type="dxa"/>
          </w:tcPr>
          <w:p w14:paraId="5C68225A" w14:textId="77777777" w:rsidR="00F21A3E" w:rsidRPr="00447A98" w:rsidRDefault="00F21A3E" w:rsidP="00495E3A">
            <w:pPr>
              <w:pStyle w:val="TableText0"/>
              <w:jc w:val="center"/>
              <w:rPr>
                <w:szCs w:val="20"/>
              </w:rPr>
            </w:pPr>
            <w:r w:rsidRPr="00447A98">
              <w:rPr>
                <w:szCs w:val="20"/>
              </w:rPr>
              <w:t>-</w:t>
            </w:r>
          </w:p>
        </w:tc>
      </w:tr>
      <w:tr w:rsidR="00F21A3E" w14:paraId="07629FC1" w14:textId="77777777" w:rsidTr="00495E3A">
        <w:tc>
          <w:tcPr>
            <w:tcW w:w="2352" w:type="dxa"/>
            <w:vAlign w:val="center"/>
          </w:tcPr>
          <w:p w14:paraId="29B2252D" w14:textId="7D31CEC0" w:rsidR="00F21A3E" w:rsidRPr="00CF39C5" w:rsidRDefault="00F21A3E" w:rsidP="00495E3A">
            <w:pPr>
              <w:pStyle w:val="TableText0"/>
            </w:pPr>
            <w:r w:rsidRPr="0052135A">
              <w:t xml:space="preserve">SAE leading to </w:t>
            </w:r>
            <w:r w:rsidR="0063703E">
              <w:t>d</w:t>
            </w:r>
            <w:r w:rsidRPr="0052135A">
              <w:t>eath, n</w:t>
            </w:r>
            <w:r w:rsidR="0063703E">
              <w:t xml:space="preserve"> </w:t>
            </w:r>
            <w:r w:rsidRPr="0052135A">
              <w:t>(%)</w:t>
            </w:r>
          </w:p>
        </w:tc>
        <w:tc>
          <w:tcPr>
            <w:tcW w:w="2227" w:type="dxa"/>
            <w:vAlign w:val="center"/>
          </w:tcPr>
          <w:p w14:paraId="3248F3D5" w14:textId="77777777" w:rsidR="00F21A3E" w:rsidRPr="00447A98" w:rsidRDefault="00F21A3E" w:rsidP="00495E3A">
            <w:pPr>
              <w:pStyle w:val="TableText0"/>
              <w:jc w:val="center"/>
              <w:rPr>
                <w:szCs w:val="20"/>
              </w:rPr>
            </w:pPr>
            <w:r w:rsidRPr="00447A98">
              <w:rPr>
                <w:rFonts w:eastAsia="Times New Roman" w:cstheme="minorHAnsi"/>
                <w:szCs w:val="20"/>
                <w:lang w:val="en-US"/>
              </w:rPr>
              <w:t>0</w:t>
            </w:r>
          </w:p>
        </w:tc>
        <w:tc>
          <w:tcPr>
            <w:tcW w:w="2224" w:type="dxa"/>
            <w:vAlign w:val="center"/>
          </w:tcPr>
          <w:p w14:paraId="33BF0CF8" w14:textId="77777777" w:rsidR="00F21A3E" w:rsidRPr="00447A98" w:rsidRDefault="00F21A3E" w:rsidP="00495E3A">
            <w:pPr>
              <w:pStyle w:val="TableText0"/>
              <w:jc w:val="center"/>
              <w:rPr>
                <w:szCs w:val="20"/>
              </w:rPr>
            </w:pPr>
            <w:r w:rsidRPr="00447A98">
              <w:rPr>
                <w:rFonts w:eastAsia="Times New Roman" w:cstheme="minorHAnsi"/>
                <w:szCs w:val="20"/>
                <w:lang w:val="en-US"/>
              </w:rPr>
              <w:t>0</w:t>
            </w:r>
          </w:p>
        </w:tc>
        <w:tc>
          <w:tcPr>
            <w:tcW w:w="2214" w:type="dxa"/>
          </w:tcPr>
          <w:p w14:paraId="436150B9" w14:textId="77777777" w:rsidR="00F21A3E" w:rsidRPr="00447A98" w:rsidRDefault="00F21A3E" w:rsidP="00495E3A">
            <w:pPr>
              <w:pStyle w:val="TableText0"/>
              <w:jc w:val="center"/>
              <w:rPr>
                <w:szCs w:val="20"/>
              </w:rPr>
            </w:pPr>
            <w:r w:rsidRPr="00447A98">
              <w:rPr>
                <w:szCs w:val="20"/>
              </w:rPr>
              <w:t>-</w:t>
            </w:r>
          </w:p>
        </w:tc>
      </w:tr>
    </w:tbl>
    <w:p w14:paraId="6D975AB8" w14:textId="4343FA53" w:rsidR="00F21A3E" w:rsidRPr="00B1011F" w:rsidRDefault="00F21A3E" w:rsidP="00F21A3E">
      <w:pPr>
        <w:pStyle w:val="TableFigureFooter"/>
        <w:rPr>
          <w:sz w:val="20"/>
        </w:rPr>
      </w:pPr>
      <w:r>
        <w:t xml:space="preserve">Source: Table 2.5.3, p83 and Table 2.86 p106 </w:t>
      </w:r>
      <w:r w:rsidRPr="00D13A3E">
        <w:t xml:space="preserve">of the </w:t>
      </w:r>
      <w:r w:rsidR="00A23FDF">
        <w:t>Submission</w:t>
      </w:r>
      <w:r>
        <w:t>.</w:t>
      </w:r>
      <w:r w:rsidRPr="00AE208E">
        <w:t xml:space="preserve"> </w:t>
      </w:r>
      <w:r>
        <w:t>CSR ALK8700-A103, Table 8 p49; CSR ALK8700-A104 Table 10 p45; CSR ALK8700-A109 Table 15 p55</w:t>
      </w:r>
    </w:p>
    <w:p w14:paraId="62803A1B" w14:textId="3596FD13" w:rsidR="00F21A3E" w:rsidRDefault="00F21A3E" w:rsidP="00F21A3E">
      <w:pPr>
        <w:pStyle w:val="TableFigureFooter"/>
      </w:pPr>
      <w:r>
        <w:t xml:space="preserve">AE, adverse event; </w:t>
      </w:r>
      <w:r w:rsidRPr="00B40358">
        <w:rPr>
          <w:rFonts w:eastAsia="Calibri"/>
        </w:rPr>
        <w:t xml:space="preserve">CI = confidence interval; </w:t>
      </w:r>
      <w:r>
        <w:t xml:space="preserve">DMF, dimethyl fumarate; DRF, diroximel fumarate; </w:t>
      </w:r>
      <w:r w:rsidRPr="00B40358">
        <w:rPr>
          <w:rFonts w:eastAsia="Calibri"/>
        </w:rPr>
        <w:t>n</w:t>
      </w:r>
      <w:r w:rsidR="00623B45">
        <w:rPr>
          <w:rFonts w:eastAsia="Calibri"/>
        </w:rPr>
        <w:t xml:space="preserve">, </w:t>
      </w:r>
      <w:r w:rsidRPr="00B40358">
        <w:rPr>
          <w:rFonts w:eastAsia="Calibri"/>
        </w:rPr>
        <w:t>number of participants reporting data; N</w:t>
      </w:r>
      <w:r w:rsidR="00623B45">
        <w:rPr>
          <w:rFonts w:eastAsia="Calibri"/>
        </w:rPr>
        <w:t xml:space="preserve">, </w:t>
      </w:r>
      <w:r w:rsidRPr="00B40358">
        <w:rPr>
          <w:rFonts w:eastAsia="Calibri"/>
        </w:rPr>
        <w:t>total participants in group</w:t>
      </w:r>
      <w:r>
        <w:rPr>
          <w:rFonts w:eastAsia="Calibri"/>
        </w:rPr>
        <w:t>; RD</w:t>
      </w:r>
      <w:r w:rsidR="00623B45">
        <w:rPr>
          <w:rFonts w:eastAsia="Calibri"/>
        </w:rPr>
        <w:t xml:space="preserve">, </w:t>
      </w:r>
      <w:r>
        <w:rPr>
          <w:rFonts w:eastAsia="Calibri"/>
        </w:rPr>
        <w:t>risk difference; RR</w:t>
      </w:r>
      <w:r w:rsidR="00623B45">
        <w:rPr>
          <w:rFonts w:eastAsia="Calibri"/>
        </w:rPr>
        <w:t xml:space="preserve">, </w:t>
      </w:r>
      <w:r>
        <w:rPr>
          <w:rFonts w:eastAsia="Calibri"/>
        </w:rPr>
        <w:t>relative risk;</w:t>
      </w:r>
      <w:r w:rsidRPr="00AE208E">
        <w:t xml:space="preserve"> </w:t>
      </w:r>
      <w:r>
        <w:t>SAE, serious adverse event; TEAE, treatment emergent adverse event</w:t>
      </w:r>
    </w:p>
    <w:p w14:paraId="6C4201FC" w14:textId="1BD4DC59" w:rsidR="00F21A3E" w:rsidRDefault="00F21A3E" w:rsidP="00F21A3E">
      <w:pPr>
        <w:pStyle w:val="TableFigureFooter"/>
      </w:pPr>
      <w:r>
        <w:t>Notes:</w:t>
      </w:r>
      <w:r w:rsidRPr="00283C9A">
        <w:rPr>
          <w:vertAlign w:val="superscript"/>
        </w:rPr>
        <w:t xml:space="preserve"> </w:t>
      </w:r>
      <w:proofErr w:type="gramStart"/>
      <w:r w:rsidRPr="00283C9A">
        <w:rPr>
          <w:vertAlign w:val="superscript"/>
        </w:rPr>
        <w:t>a</w:t>
      </w:r>
      <w:proofErr w:type="gramEnd"/>
      <w:r>
        <w:t xml:space="preserve"> Related</w:t>
      </w:r>
      <w:r w:rsidR="006205B6">
        <w:t xml:space="preserve"> includes </w:t>
      </w:r>
      <w:r>
        <w:t>definitely related, probably related, or possibly related</w:t>
      </w:r>
    </w:p>
    <w:p w14:paraId="3AA8FDCF" w14:textId="5BC81E56" w:rsidR="00E928E9" w:rsidRPr="00031CDD" w:rsidRDefault="00F21A3E" w:rsidP="003139F0">
      <w:pPr>
        <w:pStyle w:val="3-BodyText"/>
        <w:rPr>
          <w:iCs/>
        </w:rPr>
      </w:pPr>
      <w:r w:rsidRPr="00031CDD">
        <w:rPr>
          <w:iCs/>
        </w:rPr>
        <w:t xml:space="preserve">In EVOLVE-MS-2 a </w:t>
      </w:r>
      <w:r w:rsidR="005A5D22">
        <w:rPr>
          <w:iCs/>
        </w:rPr>
        <w:t xml:space="preserve">nominally </w:t>
      </w:r>
      <w:r w:rsidRPr="00031CDD">
        <w:rPr>
          <w:iCs/>
        </w:rPr>
        <w:t>statistically significantly lower proportion of patients treated with DRF reported severe Grade 3 AEs</w:t>
      </w:r>
      <w:r w:rsidR="00CC3737" w:rsidRPr="00031CDD">
        <w:rPr>
          <w:iCs/>
        </w:rPr>
        <w:t xml:space="preserve">, or AEs (including GI-related AEs) leading to discontinuation of study medication. </w:t>
      </w:r>
    </w:p>
    <w:p w14:paraId="0EFAB57C" w14:textId="1C4F0A14" w:rsidR="006E4EF0" w:rsidRPr="002F1DD8" w:rsidRDefault="00D84436" w:rsidP="00ED2E92">
      <w:pPr>
        <w:pStyle w:val="3-BodyText"/>
      </w:pPr>
      <w:r w:rsidRPr="00C87E87">
        <w:rPr>
          <w:iCs/>
        </w:rPr>
        <w:t>The TGA Round 1 CER reported that the safety profile of DRF is expected to be essentially the same</w:t>
      </w:r>
      <w:r w:rsidR="005C74A0">
        <w:rPr>
          <w:iCs/>
        </w:rPr>
        <w:t xml:space="preserve"> as DMF</w:t>
      </w:r>
      <w:r w:rsidRPr="00C87E87">
        <w:rPr>
          <w:iCs/>
        </w:rPr>
        <w:t>, based on the results from bioequivalence studies (TGA Round 1 CRE, p64).</w:t>
      </w:r>
      <w:r w:rsidRPr="00C87E87">
        <w:rPr>
          <w:i/>
        </w:rPr>
        <w:t xml:space="preserve">  </w:t>
      </w:r>
      <w:r w:rsidR="005A3E31" w:rsidRPr="00C87E87">
        <w:rPr>
          <w:iCs/>
        </w:rPr>
        <w:t xml:space="preserve"> </w:t>
      </w:r>
    </w:p>
    <w:p w14:paraId="02806339" w14:textId="77777777" w:rsidR="00F21A3E" w:rsidRPr="00C9624D" w:rsidRDefault="00F21A3E" w:rsidP="00F21A3E">
      <w:pPr>
        <w:pStyle w:val="4-SubsectionHeading"/>
      </w:pPr>
      <w:bookmarkStart w:id="24" w:name="_Toc22897644"/>
      <w:bookmarkStart w:id="25" w:name="_Toc93478634"/>
      <w:r w:rsidRPr="00C9624D">
        <w:t>Clinical claim</w:t>
      </w:r>
      <w:bookmarkEnd w:id="24"/>
      <w:bookmarkEnd w:id="25"/>
    </w:p>
    <w:p w14:paraId="245D431D" w14:textId="1F42733D" w:rsidR="00D11583" w:rsidRDefault="00D11583" w:rsidP="00D11583">
      <w:pPr>
        <w:pStyle w:val="3-BodyText"/>
      </w:pPr>
      <w:r w:rsidRPr="00EA329A">
        <w:t xml:space="preserve">The </w:t>
      </w:r>
      <w:r w:rsidR="0037584C">
        <w:t>s</w:t>
      </w:r>
      <w:r w:rsidR="00A23FDF">
        <w:t>ubmission</w:t>
      </w:r>
      <w:r w:rsidRPr="00EA329A">
        <w:t xml:space="preserve"> describe</w:t>
      </w:r>
      <w:r w:rsidR="0037584C">
        <w:t>d</w:t>
      </w:r>
      <w:r w:rsidRPr="00EA329A">
        <w:t xml:space="preserve"> </w:t>
      </w:r>
      <w:r>
        <w:t xml:space="preserve">DRF </w:t>
      </w:r>
      <w:r w:rsidRPr="00EA329A">
        <w:t xml:space="preserve">as </w:t>
      </w:r>
      <w:r>
        <w:t xml:space="preserve">non-inferior </w:t>
      </w:r>
      <w:r w:rsidRPr="00EA329A">
        <w:t xml:space="preserve">in terms of efficacy compared to </w:t>
      </w:r>
      <w:r>
        <w:t>DMF</w:t>
      </w:r>
      <w:r w:rsidRPr="00EA329A">
        <w:t>.</w:t>
      </w:r>
      <w:r>
        <w:t xml:space="preserve"> </w:t>
      </w:r>
      <w:r w:rsidRPr="00031CDD">
        <w:t xml:space="preserve">This claim </w:t>
      </w:r>
      <w:r w:rsidR="00C40A25" w:rsidRPr="00031CDD">
        <w:t>was</w:t>
      </w:r>
      <w:r w:rsidRPr="00031CDD">
        <w:t xml:space="preserve"> adequately supported given</w:t>
      </w:r>
      <w:r>
        <w:t xml:space="preserve"> the bioavailability of the active </w:t>
      </w:r>
      <w:r w:rsidR="00133B4B">
        <w:t>metabolite (MMF)</w:t>
      </w:r>
      <w:r w:rsidR="004D766E">
        <w:t xml:space="preserve"> presented in the comparative</w:t>
      </w:r>
      <w:r w:rsidR="00E70C7C">
        <w:t xml:space="preserve"> pharmacokinetic</w:t>
      </w:r>
      <w:r w:rsidR="004D766E">
        <w:t xml:space="preserve"> </w:t>
      </w:r>
      <w:r w:rsidR="00E70C7C">
        <w:t>(</w:t>
      </w:r>
      <w:r w:rsidR="004D766E">
        <w:t>PK</w:t>
      </w:r>
      <w:r w:rsidR="00E70C7C">
        <w:t>)</w:t>
      </w:r>
      <w:r w:rsidR="004D766E">
        <w:t xml:space="preserve"> trials. </w:t>
      </w:r>
    </w:p>
    <w:p w14:paraId="198C4B31" w14:textId="3ADB2DAA" w:rsidR="004D766E" w:rsidRPr="00B81606" w:rsidRDefault="00D11583" w:rsidP="00B02422">
      <w:pPr>
        <w:pStyle w:val="3-BodyText"/>
        <w:ind w:left="709" w:hanging="709"/>
      </w:pPr>
      <w:r w:rsidRPr="00EA329A">
        <w:t xml:space="preserve">The </w:t>
      </w:r>
      <w:r w:rsidR="00116C55">
        <w:t>s</w:t>
      </w:r>
      <w:r w:rsidR="00A23FDF">
        <w:t>ubmission</w:t>
      </w:r>
      <w:r w:rsidRPr="00EA329A">
        <w:t xml:space="preserve"> describe</w:t>
      </w:r>
      <w:r w:rsidR="00D73498">
        <w:t>d</w:t>
      </w:r>
      <w:r w:rsidRPr="00EA329A">
        <w:t xml:space="preserve"> </w:t>
      </w:r>
      <w:r w:rsidR="004D766E">
        <w:t xml:space="preserve">DRF </w:t>
      </w:r>
      <w:r w:rsidRPr="00EA329A">
        <w:t xml:space="preserve">as non-inferior in terms of safety compared to </w:t>
      </w:r>
      <w:r w:rsidR="004D766E">
        <w:t xml:space="preserve">DMF, based on the evidence of adverse events reported in the trials. </w:t>
      </w:r>
      <w:r w:rsidR="00B02422" w:rsidRPr="00031CDD">
        <w:t xml:space="preserve">The </w:t>
      </w:r>
      <w:r w:rsidR="00116C55" w:rsidRPr="00031CDD">
        <w:t>s</w:t>
      </w:r>
      <w:r w:rsidR="00A23FDF" w:rsidRPr="00031CDD">
        <w:t>ubmission</w:t>
      </w:r>
      <w:r w:rsidR="004D766E" w:rsidRPr="00031CDD">
        <w:t xml:space="preserve"> also claim</w:t>
      </w:r>
      <w:r w:rsidR="00D73498" w:rsidRPr="00031CDD">
        <w:t>ed</w:t>
      </w:r>
      <w:r w:rsidR="004D766E" w:rsidRPr="00031CDD">
        <w:t xml:space="preserve"> </w:t>
      </w:r>
      <w:r w:rsidR="00986F05" w:rsidRPr="00031CDD">
        <w:t xml:space="preserve">that DRF has an improved overall safety profile compared to </w:t>
      </w:r>
      <w:r w:rsidR="00B02422" w:rsidRPr="00031CDD">
        <w:t>DMF</w:t>
      </w:r>
      <w:r w:rsidR="00986F05" w:rsidRPr="00031CDD">
        <w:t>, particularly with respect to GI tolerability</w:t>
      </w:r>
      <w:r w:rsidR="004B5BBB" w:rsidRPr="00031CDD">
        <w:t>.</w:t>
      </w:r>
      <w:r w:rsidR="00B26928" w:rsidRPr="00031CDD">
        <w:t xml:space="preserve"> The claim might not be well supported due to the potential bias in the EVOLVE-MS-2 trial.</w:t>
      </w:r>
      <w:r w:rsidR="00B26928">
        <w:rPr>
          <w:i/>
          <w:iCs/>
        </w:rPr>
        <w:t xml:space="preserve"> </w:t>
      </w:r>
    </w:p>
    <w:p w14:paraId="5BA21426" w14:textId="026A1BC7" w:rsidR="00B81606" w:rsidRPr="00AD43FB" w:rsidRDefault="00B81606" w:rsidP="00B81606">
      <w:pPr>
        <w:widowControl w:val="0"/>
        <w:numPr>
          <w:ilvl w:val="1"/>
          <w:numId w:val="1"/>
        </w:numPr>
        <w:spacing w:after="120"/>
        <w:rPr>
          <w:rFonts w:asciiTheme="minorHAnsi" w:hAnsiTheme="minorHAnsi"/>
          <w:snapToGrid w:val="0"/>
          <w:szCs w:val="20"/>
        </w:rPr>
      </w:pPr>
      <w:bookmarkStart w:id="26" w:name="_Hlk76376200"/>
      <w:r w:rsidRPr="00AD43FB">
        <w:rPr>
          <w:rFonts w:asciiTheme="minorHAnsi" w:hAnsiTheme="minorHAnsi"/>
          <w:iCs/>
          <w:snapToGrid w:val="0"/>
        </w:rPr>
        <w:t>The</w:t>
      </w:r>
      <w:r w:rsidRPr="00AD43FB">
        <w:rPr>
          <w:rFonts w:asciiTheme="minorHAnsi" w:hAnsiTheme="minorHAnsi"/>
          <w:snapToGrid w:val="0"/>
          <w:szCs w:val="20"/>
        </w:rPr>
        <w:t xml:space="preserve"> PBAC considered that the claim of non-inferior comparative effectiveness was reasonable</w:t>
      </w:r>
      <w:r w:rsidR="00AD43FB" w:rsidRPr="00AD43FB">
        <w:rPr>
          <w:rFonts w:asciiTheme="minorHAnsi" w:hAnsiTheme="minorHAnsi"/>
          <w:snapToGrid w:val="0"/>
          <w:szCs w:val="20"/>
        </w:rPr>
        <w:t>.</w:t>
      </w:r>
    </w:p>
    <w:p w14:paraId="73EBEBE4" w14:textId="20EA6180" w:rsidR="00B81606" w:rsidRPr="00AD43FB" w:rsidRDefault="00B81606" w:rsidP="00B81606">
      <w:pPr>
        <w:widowControl w:val="0"/>
        <w:numPr>
          <w:ilvl w:val="1"/>
          <w:numId w:val="1"/>
        </w:numPr>
        <w:spacing w:after="120"/>
        <w:rPr>
          <w:rFonts w:asciiTheme="minorHAnsi" w:hAnsiTheme="minorHAnsi"/>
          <w:snapToGrid w:val="0"/>
          <w:szCs w:val="20"/>
        </w:rPr>
      </w:pPr>
      <w:r w:rsidRPr="00AD43FB">
        <w:rPr>
          <w:rFonts w:asciiTheme="minorHAnsi" w:hAnsiTheme="minorHAnsi"/>
          <w:snapToGrid w:val="0"/>
          <w:szCs w:val="20"/>
        </w:rPr>
        <w:t>The PBAC considered that the claim of non-inferior comparative safety was reasonable</w:t>
      </w:r>
      <w:r w:rsidR="00AD43FB" w:rsidRPr="00AD43FB">
        <w:rPr>
          <w:rFonts w:asciiTheme="minorHAnsi" w:hAnsiTheme="minorHAnsi"/>
          <w:snapToGrid w:val="0"/>
          <w:szCs w:val="20"/>
        </w:rPr>
        <w:t>.</w:t>
      </w:r>
    </w:p>
    <w:p w14:paraId="1903AC8D" w14:textId="77777777" w:rsidR="00F21A3E" w:rsidRPr="00C9624D" w:rsidRDefault="00F21A3E" w:rsidP="00F21A3E">
      <w:pPr>
        <w:pStyle w:val="4-SubsectionHeading"/>
      </w:pPr>
      <w:bookmarkStart w:id="27" w:name="_Toc22897645"/>
      <w:bookmarkStart w:id="28" w:name="_Toc93478635"/>
      <w:bookmarkEnd w:id="26"/>
      <w:r w:rsidRPr="00C9624D">
        <w:t>Economic analysis</w:t>
      </w:r>
      <w:bookmarkEnd w:id="27"/>
      <w:bookmarkEnd w:id="28"/>
      <w:r w:rsidRPr="00C9624D">
        <w:t xml:space="preserve"> </w:t>
      </w:r>
    </w:p>
    <w:p w14:paraId="2DFFBDCD" w14:textId="0F6D54F1" w:rsidR="00E139A5" w:rsidRPr="00031CDD" w:rsidRDefault="00E139A5" w:rsidP="00E139A5">
      <w:pPr>
        <w:pStyle w:val="3-BodyText"/>
      </w:pPr>
      <w:r w:rsidRPr="00A12B60">
        <w:t xml:space="preserve">The submission presented a cost-minimisation analysis of </w:t>
      </w:r>
      <w:r>
        <w:t xml:space="preserve">DRF </w:t>
      </w:r>
      <w:r w:rsidRPr="00A12B60">
        <w:t xml:space="preserve">compared to </w:t>
      </w:r>
      <w:r>
        <w:t>DMF</w:t>
      </w:r>
      <w:r w:rsidR="00176FCA">
        <w:t xml:space="preserve">, based on the continuing treatment doses. </w:t>
      </w:r>
      <w:r w:rsidR="0056410B" w:rsidRPr="00031CDD">
        <w:t>The initial phase (7 days for both drugs, half of the maintenance</w:t>
      </w:r>
      <w:r w:rsidR="003E5D1A">
        <w:t xml:space="preserve"> dose</w:t>
      </w:r>
      <w:r w:rsidR="0056410B" w:rsidRPr="00031CDD">
        <w:t>) was not considered in the</w:t>
      </w:r>
      <w:r w:rsidR="00D122BA" w:rsidRPr="00031CDD">
        <w:t xml:space="preserve"> </w:t>
      </w:r>
      <w:r w:rsidR="0056410B" w:rsidRPr="00031CDD">
        <w:t>calculation.</w:t>
      </w:r>
      <w:r w:rsidR="00853EE6">
        <w:t xml:space="preserve"> </w:t>
      </w:r>
    </w:p>
    <w:p w14:paraId="41B41C7B" w14:textId="70606C07" w:rsidR="00C45D5E" w:rsidRDefault="00C45D5E" w:rsidP="00E90447">
      <w:pPr>
        <w:pStyle w:val="3-BodyText"/>
      </w:pPr>
      <w:r>
        <w:t xml:space="preserve">The </w:t>
      </w:r>
      <w:proofErr w:type="spellStart"/>
      <w:r>
        <w:t>equi</w:t>
      </w:r>
      <w:proofErr w:type="spellEnd"/>
      <w:r>
        <w:t xml:space="preserve">-effective dose </w:t>
      </w:r>
      <w:r w:rsidR="00176FCA">
        <w:t xml:space="preserve">for continuing treatment </w:t>
      </w:r>
      <w:r>
        <w:t>was estimated a</w:t>
      </w:r>
      <w:r w:rsidR="00853EE6">
        <w:t>s</w:t>
      </w:r>
      <w:r w:rsidR="00280651">
        <w:t xml:space="preserve">: </w:t>
      </w:r>
    </w:p>
    <w:p w14:paraId="732F3DC3" w14:textId="02D42077" w:rsidR="005951FF" w:rsidRDefault="00C45D5E" w:rsidP="00DD17C1">
      <w:pPr>
        <w:pStyle w:val="3-BodyText"/>
        <w:numPr>
          <w:ilvl w:val="0"/>
          <w:numId w:val="23"/>
        </w:numPr>
      </w:pPr>
      <w:r w:rsidRPr="005861A2">
        <w:t xml:space="preserve">DRF 924 mg daily (2 x 231 mg capsules BID) = DMF 480 mg </w:t>
      </w:r>
      <w:r w:rsidR="00B45BD3">
        <w:t xml:space="preserve">daily </w:t>
      </w:r>
      <w:r w:rsidRPr="005861A2">
        <w:t>(1 x 240 mg capsule BID)</w:t>
      </w:r>
    </w:p>
    <w:p w14:paraId="2BD665D8" w14:textId="0CAC73F9" w:rsidR="00C0054B" w:rsidRPr="00031CDD" w:rsidRDefault="00C0054B" w:rsidP="00C0054B">
      <w:pPr>
        <w:pStyle w:val="3-BodyText"/>
        <w:rPr>
          <w:iCs/>
          <w:snapToGrid/>
          <w:color w:val="0066FF"/>
          <w:lang w:val="en-US"/>
        </w:rPr>
      </w:pPr>
      <w:bookmarkStart w:id="29" w:name="_Toc22897647"/>
      <w:r w:rsidRPr="00031CDD">
        <w:rPr>
          <w:iCs/>
          <w:lang w:val="en-US"/>
        </w:rPr>
        <w:t>In the context of the cost-</w:t>
      </w:r>
      <w:proofErr w:type="spellStart"/>
      <w:r w:rsidRPr="00031CDD">
        <w:rPr>
          <w:iCs/>
          <w:lang w:val="en-US"/>
        </w:rPr>
        <w:t>minimisation</w:t>
      </w:r>
      <w:proofErr w:type="spellEnd"/>
      <w:r w:rsidRPr="00031CDD">
        <w:rPr>
          <w:iCs/>
          <w:lang w:val="en-US"/>
        </w:rPr>
        <w:t xml:space="preserve"> approach taken by the </w:t>
      </w:r>
      <w:r w:rsidR="009E582D" w:rsidRPr="00031CDD">
        <w:rPr>
          <w:iCs/>
          <w:lang w:val="en-US"/>
        </w:rPr>
        <w:t>s</w:t>
      </w:r>
      <w:r w:rsidR="00A23FDF" w:rsidRPr="00031CDD">
        <w:rPr>
          <w:iCs/>
          <w:lang w:val="en-US"/>
        </w:rPr>
        <w:t>ubmission</w:t>
      </w:r>
      <w:r w:rsidRPr="00031CDD">
        <w:rPr>
          <w:iCs/>
          <w:lang w:val="en-US"/>
        </w:rPr>
        <w:t xml:space="preserve">, DRF </w:t>
      </w:r>
      <w:r w:rsidR="003E5D1A">
        <w:rPr>
          <w:iCs/>
          <w:lang w:val="en-US"/>
        </w:rPr>
        <w:t>may be more costly than some of the</w:t>
      </w:r>
      <w:r w:rsidR="00C40A25" w:rsidRPr="00031CDD">
        <w:rPr>
          <w:iCs/>
          <w:lang w:val="en-US"/>
        </w:rPr>
        <w:t xml:space="preserve"> </w:t>
      </w:r>
      <w:r w:rsidR="00A10BF5" w:rsidRPr="00031CDD">
        <w:rPr>
          <w:iCs/>
          <w:lang w:val="en-US"/>
        </w:rPr>
        <w:t>alternative treatment</w:t>
      </w:r>
      <w:r w:rsidR="003E5D1A">
        <w:rPr>
          <w:iCs/>
          <w:lang w:val="en-US"/>
        </w:rPr>
        <w:t>s</w:t>
      </w:r>
      <w:r w:rsidRPr="00031CDD">
        <w:rPr>
          <w:iCs/>
          <w:lang w:val="en-US"/>
        </w:rPr>
        <w:t xml:space="preserve"> (</w:t>
      </w:r>
      <w:r w:rsidR="00C40A25" w:rsidRPr="00031CDD">
        <w:rPr>
          <w:iCs/>
          <w:lang w:val="en-US"/>
        </w:rPr>
        <w:t>i.e.</w:t>
      </w:r>
      <w:r w:rsidR="008326EB" w:rsidRPr="00031CDD">
        <w:rPr>
          <w:iCs/>
          <w:lang w:val="en-US"/>
        </w:rPr>
        <w:t>,</w:t>
      </w:r>
      <w:r w:rsidR="00C40A25" w:rsidRPr="00031CDD">
        <w:rPr>
          <w:iCs/>
          <w:lang w:val="en-US"/>
        </w:rPr>
        <w:t xml:space="preserve"> the </w:t>
      </w:r>
      <w:r w:rsidR="008326EB" w:rsidRPr="00031CDD">
        <w:rPr>
          <w:iCs/>
          <w:lang w:val="en-US"/>
        </w:rPr>
        <w:t>‘</w:t>
      </w:r>
      <w:r w:rsidR="00C40A25" w:rsidRPr="00031CDD">
        <w:rPr>
          <w:iCs/>
          <w:lang w:val="en-US"/>
        </w:rPr>
        <w:t>lower efficacy tier</w:t>
      </w:r>
      <w:r w:rsidR="008326EB" w:rsidRPr="00031CDD">
        <w:rPr>
          <w:iCs/>
          <w:lang w:val="en-US"/>
        </w:rPr>
        <w:t>’</w:t>
      </w:r>
      <w:r w:rsidR="00C40A25" w:rsidRPr="00031CDD">
        <w:rPr>
          <w:iCs/>
          <w:lang w:val="en-US"/>
        </w:rPr>
        <w:t xml:space="preserve"> RRMS DMTs</w:t>
      </w:r>
      <w:r w:rsidRPr="00031CDD">
        <w:rPr>
          <w:iCs/>
          <w:lang w:val="en-US"/>
        </w:rPr>
        <w:t xml:space="preserve">). Since the </w:t>
      </w:r>
      <w:r w:rsidR="009E582D" w:rsidRPr="00031CDD">
        <w:rPr>
          <w:iCs/>
          <w:lang w:val="en-US"/>
        </w:rPr>
        <w:t>s</w:t>
      </w:r>
      <w:r w:rsidRPr="00031CDD">
        <w:rPr>
          <w:iCs/>
          <w:lang w:val="en-US"/>
        </w:rPr>
        <w:t>ubmission only provide</w:t>
      </w:r>
      <w:r w:rsidR="009E582D" w:rsidRPr="00031CDD">
        <w:rPr>
          <w:iCs/>
          <w:lang w:val="en-US"/>
        </w:rPr>
        <w:t>d</w:t>
      </w:r>
      <w:r w:rsidRPr="00031CDD">
        <w:rPr>
          <w:iCs/>
          <w:lang w:val="en-US"/>
        </w:rPr>
        <w:t xml:space="preserve"> clinical evidence for effectiveness and safety of DRF against DMF, it is </w:t>
      </w:r>
      <w:r w:rsidR="001B4ADD" w:rsidRPr="00031CDD">
        <w:rPr>
          <w:iCs/>
          <w:lang w:val="en-US"/>
        </w:rPr>
        <w:t xml:space="preserve">not </w:t>
      </w:r>
      <w:r w:rsidRPr="00031CDD">
        <w:rPr>
          <w:iCs/>
          <w:lang w:val="en-US"/>
        </w:rPr>
        <w:t xml:space="preserve">possible to conclude if DRF provides a significant improvement in efficacy and/or reduction of toxicity over the alternative therapies. </w:t>
      </w:r>
    </w:p>
    <w:p w14:paraId="0CBA64CF" w14:textId="6672D016" w:rsidR="003B6EE5" w:rsidRPr="00031CDD" w:rsidRDefault="003B6EE5" w:rsidP="003B6EE5">
      <w:pPr>
        <w:pStyle w:val="3-BodyText"/>
        <w:rPr>
          <w:iCs/>
        </w:rPr>
      </w:pPr>
      <w:r w:rsidRPr="00031CDD">
        <w:rPr>
          <w:rFonts w:ascii="Calibri" w:hAnsi="Calibri"/>
          <w:iCs/>
          <w:snapToGrid/>
        </w:rPr>
        <w:t>The cost mini</w:t>
      </w:r>
      <w:r w:rsidR="00D260B1" w:rsidRPr="00031CDD">
        <w:rPr>
          <w:rFonts w:ascii="Calibri" w:hAnsi="Calibri"/>
          <w:iCs/>
          <w:snapToGrid/>
        </w:rPr>
        <w:t>mi</w:t>
      </w:r>
      <w:r w:rsidRPr="00031CDD">
        <w:rPr>
          <w:rFonts w:ascii="Calibri" w:hAnsi="Calibri"/>
          <w:iCs/>
          <w:snapToGrid/>
        </w:rPr>
        <w:t xml:space="preserve">sation calculation comes from the direct translation of daily </w:t>
      </w:r>
      <w:proofErr w:type="spellStart"/>
      <w:r w:rsidRPr="00031CDD">
        <w:rPr>
          <w:rFonts w:ascii="Calibri" w:hAnsi="Calibri"/>
          <w:iCs/>
          <w:snapToGrid/>
        </w:rPr>
        <w:t>equi</w:t>
      </w:r>
      <w:proofErr w:type="spellEnd"/>
      <w:r w:rsidRPr="00031CDD">
        <w:rPr>
          <w:rFonts w:ascii="Calibri" w:hAnsi="Calibri"/>
          <w:iCs/>
          <w:snapToGrid/>
        </w:rPr>
        <w:t xml:space="preserve">-effective dose to yearly </w:t>
      </w:r>
      <w:proofErr w:type="spellStart"/>
      <w:r w:rsidRPr="00031CDD">
        <w:rPr>
          <w:rFonts w:ascii="Calibri" w:hAnsi="Calibri"/>
          <w:iCs/>
          <w:snapToGrid/>
        </w:rPr>
        <w:t>equi</w:t>
      </w:r>
      <w:proofErr w:type="spellEnd"/>
      <w:r w:rsidRPr="00031CDD">
        <w:rPr>
          <w:rFonts w:ascii="Calibri" w:hAnsi="Calibri"/>
          <w:iCs/>
          <w:snapToGrid/>
        </w:rPr>
        <w:t xml:space="preserve">-effective dose, thus the (annual) price parity. </w:t>
      </w:r>
      <w:r w:rsidR="003E5D1A">
        <w:rPr>
          <w:rFonts w:ascii="Calibri" w:hAnsi="Calibri"/>
          <w:iCs/>
          <w:snapToGrid/>
        </w:rPr>
        <w:t>No differences in</w:t>
      </w:r>
      <w:r w:rsidRPr="00031CDD">
        <w:rPr>
          <w:rFonts w:ascii="Calibri" w:hAnsi="Calibri"/>
          <w:iCs/>
          <w:snapToGrid/>
        </w:rPr>
        <w:t xml:space="preserve"> adherence </w:t>
      </w:r>
      <w:r w:rsidR="003E5D1A">
        <w:rPr>
          <w:rFonts w:ascii="Calibri" w:hAnsi="Calibri"/>
          <w:iCs/>
          <w:snapToGrid/>
        </w:rPr>
        <w:t>or</w:t>
      </w:r>
      <w:r w:rsidR="003E5D1A" w:rsidRPr="00031CDD">
        <w:rPr>
          <w:rFonts w:ascii="Calibri" w:hAnsi="Calibri"/>
          <w:iCs/>
          <w:snapToGrid/>
        </w:rPr>
        <w:t xml:space="preserve"> </w:t>
      </w:r>
      <w:r w:rsidRPr="00031CDD">
        <w:rPr>
          <w:rFonts w:ascii="Calibri" w:hAnsi="Calibri"/>
          <w:iCs/>
          <w:snapToGrid/>
        </w:rPr>
        <w:t xml:space="preserve">discontinuation </w:t>
      </w:r>
      <w:r w:rsidR="00105238" w:rsidRPr="00031CDD">
        <w:rPr>
          <w:rFonts w:ascii="Calibri" w:hAnsi="Calibri"/>
          <w:iCs/>
          <w:snapToGrid/>
        </w:rPr>
        <w:t>rate</w:t>
      </w:r>
      <w:r w:rsidR="003E5D1A">
        <w:rPr>
          <w:rFonts w:ascii="Calibri" w:hAnsi="Calibri"/>
          <w:iCs/>
          <w:snapToGrid/>
        </w:rPr>
        <w:t>s for</w:t>
      </w:r>
      <w:r w:rsidR="00105238" w:rsidRPr="00031CDD">
        <w:rPr>
          <w:rFonts w:ascii="Calibri" w:hAnsi="Calibri"/>
          <w:iCs/>
          <w:snapToGrid/>
        </w:rPr>
        <w:t xml:space="preserve"> DRF (due to improved GI tolerability of DRF compared to DMF) </w:t>
      </w:r>
      <w:r w:rsidR="003E5D1A">
        <w:rPr>
          <w:rFonts w:ascii="Calibri" w:hAnsi="Calibri"/>
          <w:iCs/>
          <w:snapToGrid/>
        </w:rPr>
        <w:t>were assumed</w:t>
      </w:r>
      <w:r w:rsidR="00105238" w:rsidRPr="00031CDD">
        <w:rPr>
          <w:rFonts w:ascii="Calibri" w:hAnsi="Calibri"/>
          <w:iCs/>
          <w:snapToGrid/>
        </w:rPr>
        <w:t xml:space="preserve">. </w:t>
      </w:r>
      <w:r w:rsidR="003E5D1A">
        <w:rPr>
          <w:rFonts w:ascii="Calibri" w:hAnsi="Calibri"/>
          <w:iCs/>
          <w:snapToGrid/>
        </w:rPr>
        <w:t>T</w:t>
      </w:r>
      <w:r w:rsidR="00114474" w:rsidRPr="00031CDD">
        <w:rPr>
          <w:rFonts w:ascii="Calibri" w:hAnsi="Calibri"/>
          <w:iCs/>
          <w:snapToGrid/>
        </w:rPr>
        <w:t xml:space="preserve">he two drugs have </w:t>
      </w:r>
      <w:r w:rsidR="003E5D1A">
        <w:rPr>
          <w:rFonts w:ascii="Calibri" w:hAnsi="Calibri"/>
          <w:iCs/>
          <w:snapToGrid/>
        </w:rPr>
        <w:t>the same</w:t>
      </w:r>
      <w:r w:rsidR="003E5D1A" w:rsidRPr="00031CDD">
        <w:rPr>
          <w:rFonts w:ascii="Calibri" w:hAnsi="Calibri"/>
          <w:iCs/>
          <w:snapToGrid/>
        </w:rPr>
        <w:t xml:space="preserve"> </w:t>
      </w:r>
      <w:r w:rsidR="00114474" w:rsidRPr="00031CDD">
        <w:rPr>
          <w:rFonts w:ascii="Calibri" w:hAnsi="Calibri"/>
          <w:iCs/>
          <w:snapToGrid/>
        </w:rPr>
        <w:t xml:space="preserve">administration route </w:t>
      </w:r>
      <w:r w:rsidR="00DD4BD5" w:rsidRPr="00031CDD">
        <w:rPr>
          <w:rFonts w:ascii="Calibri" w:hAnsi="Calibri"/>
          <w:iCs/>
          <w:snapToGrid/>
        </w:rPr>
        <w:t xml:space="preserve">(oral) </w:t>
      </w:r>
      <w:r w:rsidR="00114474" w:rsidRPr="00031CDD">
        <w:rPr>
          <w:rFonts w:ascii="Calibri" w:hAnsi="Calibri"/>
          <w:iCs/>
          <w:snapToGrid/>
        </w:rPr>
        <w:t>and schedule</w:t>
      </w:r>
      <w:r w:rsidR="00DD4BD5" w:rsidRPr="00031CDD">
        <w:rPr>
          <w:rFonts w:ascii="Calibri" w:hAnsi="Calibri"/>
          <w:iCs/>
          <w:snapToGrid/>
        </w:rPr>
        <w:t xml:space="preserve"> (twice per day)</w:t>
      </w:r>
      <w:r w:rsidR="00114474" w:rsidRPr="00031CDD">
        <w:rPr>
          <w:rFonts w:ascii="Calibri" w:hAnsi="Calibri"/>
          <w:iCs/>
          <w:snapToGrid/>
        </w:rPr>
        <w:t xml:space="preserve">, leading to minimal (if any) difference </w:t>
      </w:r>
      <w:r w:rsidR="00DD4BD5" w:rsidRPr="00031CDD">
        <w:rPr>
          <w:rFonts w:ascii="Calibri" w:hAnsi="Calibri"/>
          <w:iCs/>
          <w:snapToGrid/>
        </w:rPr>
        <w:t xml:space="preserve">in drug administration cost. </w:t>
      </w:r>
    </w:p>
    <w:p w14:paraId="65BA00D6" w14:textId="2F1682C7" w:rsidR="003B6EE5" w:rsidRPr="00031CDD" w:rsidRDefault="003B6EE5" w:rsidP="003B6EE5">
      <w:pPr>
        <w:pStyle w:val="3-BodyText"/>
        <w:rPr>
          <w:iCs/>
        </w:rPr>
      </w:pPr>
      <w:r w:rsidRPr="00031CDD">
        <w:rPr>
          <w:rFonts w:ascii="Calibri" w:hAnsi="Calibri"/>
          <w:iCs/>
          <w:snapToGrid/>
        </w:rPr>
        <w:t xml:space="preserve">Total drug acquisition costs for both DRF and DMF </w:t>
      </w:r>
      <w:r w:rsidR="00176FCA" w:rsidRPr="00031CDD">
        <w:rPr>
          <w:rFonts w:ascii="Calibri" w:hAnsi="Calibri"/>
          <w:iCs/>
          <w:snapToGrid/>
        </w:rPr>
        <w:t xml:space="preserve">will </w:t>
      </w:r>
      <w:r w:rsidRPr="00031CDD">
        <w:rPr>
          <w:rFonts w:ascii="Calibri" w:hAnsi="Calibri"/>
          <w:iCs/>
          <w:snapToGrid/>
        </w:rPr>
        <w:t>be directly influenced by the maintenance dose titration (due to adverse events) and temporary discontinuation/dose adherence. The submission implicitly assumed that there is no deviation from the recommended dosage for both drugs but did not fully justify this assumption.</w:t>
      </w:r>
      <w:r w:rsidR="00176FCA" w:rsidRPr="00031CDD">
        <w:rPr>
          <w:rFonts w:ascii="Calibri" w:hAnsi="Calibri"/>
          <w:iCs/>
          <w:snapToGrid/>
        </w:rPr>
        <w:t xml:space="preserve"> </w:t>
      </w:r>
    </w:p>
    <w:p w14:paraId="2BBEEEF4" w14:textId="3D764275" w:rsidR="003B6EE5" w:rsidRDefault="003B6EE5" w:rsidP="003B6EE5">
      <w:pPr>
        <w:pStyle w:val="3-BodyText"/>
      </w:pPr>
      <w:r>
        <w:t>The submission argued that, in theory, DRF ha</w:t>
      </w:r>
      <w:r w:rsidR="00C21371">
        <w:t>s</w:t>
      </w:r>
      <w:r>
        <w:t xml:space="preserve"> superior safety that leads to potential cost savings due to reduced health services, as follow:</w:t>
      </w:r>
    </w:p>
    <w:p w14:paraId="56E1DEFB" w14:textId="15CC180E" w:rsidR="003B6EE5" w:rsidRPr="00A17104" w:rsidRDefault="003B6EE5" w:rsidP="00DD17C1">
      <w:pPr>
        <w:pStyle w:val="ListParagraph"/>
        <w:numPr>
          <w:ilvl w:val="0"/>
          <w:numId w:val="19"/>
        </w:numPr>
      </w:pPr>
      <w:r>
        <w:t>T</w:t>
      </w:r>
      <w:r w:rsidRPr="005C31C9">
        <w:t xml:space="preserve">he significantly reduced incidence of GI </w:t>
      </w:r>
      <w:r>
        <w:t xml:space="preserve">adverse events, which leads to a </w:t>
      </w:r>
      <w:r w:rsidRPr="005C31C9">
        <w:t xml:space="preserve">reduced cost of hospital admissions on a ‘per treated patient’ basis. </w:t>
      </w:r>
    </w:p>
    <w:p w14:paraId="323422F1" w14:textId="5795B965" w:rsidR="003B6EE5" w:rsidRDefault="003B6EE5" w:rsidP="00DD17C1">
      <w:pPr>
        <w:pStyle w:val="ListParagraph"/>
        <w:numPr>
          <w:ilvl w:val="0"/>
          <w:numId w:val="19"/>
        </w:numPr>
      </w:pPr>
      <w:r>
        <w:t>T</w:t>
      </w:r>
      <w:r w:rsidRPr="002D3A40">
        <w:t>he</w:t>
      </w:r>
      <w:r>
        <w:t xml:space="preserve"> </w:t>
      </w:r>
      <w:r w:rsidRPr="002D3A40">
        <w:t>significantly reduced treatment discontinuations</w:t>
      </w:r>
      <w:r>
        <w:t xml:space="preserve"> through </w:t>
      </w:r>
      <w:r w:rsidRPr="002D3A40">
        <w:t>cost savings related to fewer neurologist consultations and MRI scans required when ceasing/switching treatments.</w:t>
      </w:r>
    </w:p>
    <w:p w14:paraId="2CC3884A" w14:textId="25F62E63" w:rsidR="003B6EE5" w:rsidRPr="00031CDD" w:rsidRDefault="003B6EE5" w:rsidP="00D122BA">
      <w:pPr>
        <w:pStyle w:val="3-BodyText"/>
      </w:pPr>
      <w:r w:rsidRPr="00031CDD">
        <w:t xml:space="preserve">However, these </w:t>
      </w:r>
      <w:r w:rsidR="003E5D1A">
        <w:t>costs</w:t>
      </w:r>
      <w:r w:rsidR="003E5D1A" w:rsidRPr="00031CDD">
        <w:t xml:space="preserve"> </w:t>
      </w:r>
      <w:r w:rsidRPr="00031CDD">
        <w:t xml:space="preserve">were not included in the CMA. </w:t>
      </w:r>
    </w:p>
    <w:p w14:paraId="7E4D2E98" w14:textId="0E23531E" w:rsidR="00F57083" w:rsidRPr="00D122BA" w:rsidRDefault="00F57083" w:rsidP="00F57083">
      <w:pPr>
        <w:pStyle w:val="3-BodyText"/>
        <w:rPr>
          <w:i/>
          <w:iCs/>
        </w:rPr>
      </w:pPr>
      <w:r w:rsidRPr="00031CDD">
        <w:t xml:space="preserve">The </w:t>
      </w:r>
      <w:r w:rsidR="008C7C4D">
        <w:t xml:space="preserve">relevant </w:t>
      </w:r>
      <w:r w:rsidRPr="00031CDD">
        <w:t>PBS-listed alternative</w:t>
      </w:r>
      <w:r w:rsidR="008C7C4D">
        <w:t xml:space="preserve"> treatment</w:t>
      </w:r>
      <w:r w:rsidRPr="00031CDD">
        <w:t>s for the target population, apart from DMF, include ABCR therapies (including Interferon beta-1a and 1b, and glatiramer acetate), peginterferon beta-1a, and teriflunomide</w:t>
      </w:r>
      <w:r w:rsidRPr="00F57083">
        <w:rPr>
          <w:i/>
          <w:iCs/>
        </w:rPr>
        <w:t>.</w:t>
      </w:r>
    </w:p>
    <w:p w14:paraId="5829E50A" w14:textId="0BA852D7" w:rsidR="00F57083" w:rsidRPr="00031CDD" w:rsidRDefault="00F57083" w:rsidP="00280651">
      <w:pPr>
        <w:pStyle w:val="3-BodyText"/>
      </w:pPr>
      <w:r w:rsidRPr="00031CDD">
        <w:t xml:space="preserve">The daily </w:t>
      </w:r>
      <w:proofErr w:type="spellStart"/>
      <w:r w:rsidRPr="00031CDD">
        <w:t>equi</w:t>
      </w:r>
      <w:proofErr w:type="spellEnd"/>
      <w:r w:rsidRPr="00031CDD">
        <w:t>-effective maintenance dose for DRF and alternative treatments</w:t>
      </w:r>
      <w:r w:rsidR="005E3351" w:rsidRPr="00031CDD">
        <w:t xml:space="preserve"> are</w:t>
      </w:r>
      <w:r w:rsidRPr="00031CDD">
        <w:t>:</w:t>
      </w:r>
    </w:p>
    <w:p w14:paraId="600D35A9" w14:textId="51E489FC" w:rsidR="005951FF" w:rsidRPr="00031CDD" w:rsidRDefault="005951FF" w:rsidP="00DD17C1">
      <w:pPr>
        <w:pStyle w:val="3-BodyText"/>
        <w:numPr>
          <w:ilvl w:val="0"/>
          <w:numId w:val="24"/>
        </w:numPr>
        <w:ind w:left="1080"/>
      </w:pPr>
      <w:r w:rsidRPr="00031CDD">
        <w:t>DRF 924 mg per day (2 x 231 mg capsules BID) = Teriflunomide 14 mg per day (1 x 14 mg capsule QD)</w:t>
      </w:r>
      <w:r w:rsidR="00D122BA" w:rsidRPr="00031CDD">
        <w:t xml:space="preserve">. At established </w:t>
      </w:r>
      <w:proofErr w:type="spellStart"/>
      <w:r w:rsidR="00D122BA" w:rsidRPr="00031CDD">
        <w:t>equi</w:t>
      </w:r>
      <w:proofErr w:type="spellEnd"/>
      <w:r w:rsidR="00D122BA" w:rsidRPr="00031CDD">
        <w:t>-effective doses, teriflunomide is currently the least costly alternative at published prices.</w:t>
      </w:r>
    </w:p>
    <w:p w14:paraId="75D0871B" w14:textId="77777777" w:rsidR="005951FF" w:rsidRPr="00031CDD" w:rsidRDefault="005951FF" w:rsidP="00DD17C1">
      <w:pPr>
        <w:pStyle w:val="3-BodyText"/>
        <w:numPr>
          <w:ilvl w:val="0"/>
          <w:numId w:val="24"/>
        </w:numPr>
        <w:ind w:left="1080"/>
      </w:pPr>
      <w:r w:rsidRPr="00031CDD">
        <w:t xml:space="preserve">DRF 924 mg per day (2 x 231 mg capsules BID) = Glatiramer acetate 17.14 mg per day (40mg/mL subcutaneous injection, for 3-times-per-week, at least 48 hours apart) </w:t>
      </w:r>
    </w:p>
    <w:p w14:paraId="5BDC1A88" w14:textId="77777777" w:rsidR="005951FF" w:rsidRPr="00031CDD" w:rsidRDefault="005951FF" w:rsidP="00DD17C1">
      <w:pPr>
        <w:pStyle w:val="3-BodyText"/>
        <w:numPr>
          <w:ilvl w:val="0"/>
          <w:numId w:val="24"/>
        </w:numPr>
        <w:ind w:left="1080"/>
      </w:pPr>
      <w:r w:rsidRPr="00031CDD">
        <w:t xml:space="preserve">DRF 924 mg per day (2 x 231 mg capsules BID) = Interferon beta-1a 18.86 mcg per day if subcutaneous injection (44 mcg/mL subcutaneous injection, for 3-times-per-week) OR Interferon beta-1a 4.29 mcg per day (30 mcg/mL intramuscular injection, once per week) </w:t>
      </w:r>
    </w:p>
    <w:p w14:paraId="25F2B9D6" w14:textId="77777777" w:rsidR="005951FF" w:rsidRPr="00031CDD" w:rsidRDefault="005951FF" w:rsidP="00DD17C1">
      <w:pPr>
        <w:pStyle w:val="3-BodyText"/>
        <w:numPr>
          <w:ilvl w:val="0"/>
          <w:numId w:val="24"/>
        </w:numPr>
        <w:ind w:left="1080"/>
      </w:pPr>
      <w:r w:rsidRPr="00031CDD">
        <w:t xml:space="preserve">DRF 924 mg per day (2 x 231 mg capsules BID) = Interferon beta-1b 125 mcg per day (250 mcg subcutaneous injection, every two day)  </w:t>
      </w:r>
    </w:p>
    <w:p w14:paraId="2BFAF930" w14:textId="3D641CB2" w:rsidR="007F08C4" w:rsidRPr="00031CDD" w:rsidRDefault="005951FF" w:rsidP="00DD17C1">
      <w:pPr>
        <w:pStyle w:val="3-BodyText"/>
        <w:numPr>
          <w:ilvl w:val="0"/>
          <w:numId w:val="24"/>
        </w:numPr>
        <w:ind w:left="1080"/>
      </w:pPr>
      <w:r w:rsidRPr="00031CDD">
        <w:t>DRF 924 mg per day (2 x 231 mg capsules BID) = Peginterferon beta-1a 8.93 mcg per day (125 mcg subcutaneous injection, every two weeks)</w:t>
      </w:r>
    </w:p>
    <w:p w14:paraId="1A49B696" w14:textId="35F16A5C" w:rsidR="00544863" w:rsidRDefault="00AD43FB" w:rsidP="00651BC3">
      <w:pPr>
        <w:pStyle w:val="3-BodyText"/>
        <w:rPr>
          <w:rFonts w:ascii="Arial Narrow" w:hAnsi="Arial Narrow"/>
          <w:b/>
          <w:bCs/>
          <w:color w:val="000000" w:themeColor="text1"/>
          <w:sz w:val="20"/>
          <w:szCs w:val="20"/>
        </w:rPr>
      </w:pPr>
      <w:r w:rsidRPr="00651BC3">
        <w:rPr>
          <w:iCs/>
        </w:rPr>
        <w:t xml:space="preserve">At the time of the submission DMF was the most expensive amongst these PBS-listed drugs. </w:t>
      </w:r>
      <w:r w:rsidRPr="00224F1A">
        <w:t xml:space="preserve">On 1 February 2022, </w:t>
      </w:r>
      <w:r w:rsidR="008C7C4D">
        <w:t>DMF</w:t>
      </w:r>
      <w:r w:rsidRPr="00224F1A">
        <w:t xml:space="preserve"> and glatiramer acetate were both subject to statutory price reductions associated with the listing of first generic brands for each of these therapies.</w:t>
      </w:r>
      <w:r w:rsidR="005F2B71">
        <w:t xml:space="preserve"> Any Special Pricing Arrangements applied to these therapies also ceased at this time.</w:t>
      </w:r>
      <w:r w:rsidRPr="00224F1A">
        <w:t xml:space="preserve"> Revised cost minimisation analyses using the evaluation methodology (based on continuing treatment doses</w:t>
      </w:r>
      <w:r w:rsidR="005F2B71">
        <w:t xml:space="preserve"> only</w:t>
      </w:r>
      <w:r w:rsidRPr="00224F1A">
        <w:t>) and the 1 February 2022 prices are presented in the table below for all lower efficacy tier therapies.</w:t>
      </w:r>
    </w:p>
    <w:p w14:paraId="35874AB8" w14:textId="0623E9B4" w:rsidR="009B08A5" w:rsidRDefault="009B08A5" w:rsidP="009B08A5">
      <w:pPr>
        <w:pStyle w:val="Caption"/>
      </w:pPr>
      <w:r>
        <w:t xml:space="preserve">Table </w:t>
      </w:r>
      <w:fldSimple w:instr=" SEQ Table \* ARABIC ">
        <w:r w:rsidR="00756CE2">
          <w:rPr>
            <w:noProof/>
          </w:rPr>
          <w:t>8</w:t>
        </w:r>
      </w:fldSimple>
      <w:r>
        <w:t xml:space="preserve">:  Cost minimisation of DRF versus </w:t>
      </w:r>
      <w:r w:rsidR="00D84436">
        <w:t>‘lower efficacy tier’ therapies (based on 1 February 2022 prices)</w:t>
      </w:r>
    </w:p>
    <w:tbl>
      <w:tblPr>
        <w:tblW w:w="5000" w:type="pct"/>
        <w:tblLayout w:type="fixed"/>
        <w:tblCellMar>
          <w:left w:w="0" w:type="dxa"/>
          <w:right w:w="0" w:type="dxa"/>
        </w:tblCellMar>
        <w:tblLook w:val="04A0" w:firstRow="1" w:lastRow="0" w:firstColumn="1" w:lastColumn="0" w:noHBand="0" w:noVBand="1"/>
      </w:tblPr>
      <w:tblGrid>
        <w:gridCol w:w="3957"/>
        <w:gridCol w:w="1420"/>
        <w:gridCol w:w="1135"/>
        <w:gridCol w:w="1095"/>
        <w:gridCol w:w="1400"/>
      </w:tblGrid>
      <w:tr w:rsidR="00974EF1" w:rsidRPr="00AD43FB" w14:paraId="6C7A2242" w14:textId="327AD234" w:rsidTr="00974EF1">
        <w:trPr>
          <w:trHeight w:val="300"/>
          <w:tblHeader/>
        </w:trPr>
        <w:tc>
          <w:tcPr>
            <w:tcW w:w="2197" w:type="pct"/>
            <w:tcBorders>
              <w:top w:val="single" w:sz="8" w:space="0" w:color="auto"/>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24A3AC1" w14:textId="143C3708" w:rsidR="00974EF1" w:rsidRPr="00AD43FB" w:rsidRDefault="00974EF1" w:rsidP="0080797A">
            <w:pPr>
              <w:pStyle w:val="tabletext1"/>
              <w:rPr>
                <w:sz w:val="20"/>
                <w:szCs w:val="20"/>
              </w:rPr>
            </w:pPr>
            <w:r w:rsidRPr="00AD43FB">
              <w:rPr>
                <w:b/>
                <w:bCs/>
                <w:sz w:val="20"/>
                <w:szCs w:val="20"/>
              </w:rPr>
              <w:t>PBS item</w:t>
            </w:r>
          </w:p>
        </w:tc>
        <w:tc>
          <w:tcPr>
            <w:tcW w:w="788"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0B2715" w14:textId="5EAA2FBB" w:rsidR="00974EF1" w:rsidRPr="00AD43FB" w:rsidRDefault="00974EF1" w:rsidP="0080797A">
            <w:pPr>
              <w:pStyle w:val="tabletext1"/>
              <w:jc w:val="center"/>
              <w:rPr>
                <w:sz w:val="20"/>
                <w:szCs w:val="20"/>
              </w:rPr>
            </w:pPr>
            <w:r w:rsidRPr="00AD43FB">
              <w:rPr>
                <w:b/>
                <w:bCs/>
                <w:color w:val="000000"/>
                <w:sz w:val="20"/>
                <w:szCs w:val="20"/>
              </w:rPr>
              <w:t xml:space="preserve">Pack size </w:t>
            </w:r>
            <w:r w:rsidRPr="00AD43FB">
              <w:rPr>
                <w:b/>
                <w:bCs/>
                <w:color w:val="000000"/>
                <w:sz w:val="20"/>
                <w:szCs w:val="20"/>
              </w:rPr>
              <w:br/>
              <w:t>(days covered)</w:t>
            </w:r>
          </w:p>
        </w:tc>
        <w:tc>
          <w:tcPr>
            <w:tcW w:w="63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E72C6B" w14:textId="1640E725" w:rsidR="00974EF1" w:rsidRPr="00AD43FB" w:rsidRDefault="00974EF1" w:rsidP="0080797A">
            <w:pPr>
              <w:pStyle w:val="tabletext1"/>
              <w:jc w:val="center"/>
              <w:rPr>
                <w:sz w:val="20"/>
                <w:szCs w:val="20"/>
              </w:rPr>
            </w:pPr>
            <w:r w:rsidRPr="00AD43FB">
              <w:rPr>
                <w:b/>
                <w:bCs/>
                <w:color w:val="000000"/>
                <w:sz w:val="20"/>
                <w:szCs w:val="20"/>
              </w:rPr>
              <w:t>Daily drug cost</w:t>
            </w:r>
          </w:p>
        </w:tc>
        <w:tc>
          <w:tcPr>
            <w:tcW w:w="608"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D9FCBE7" w14:textId="62AA4C5C" w:rsidR="00974EF1" w:rsidRPr="00AD43FB" w:rsidRDefault="00974EF1" w:rsidP="0080797A">
            <w:pPr>
              <w:pStyle w:val="tabletext1"/>
              <w:jc w:val="center"/>
              <w:rPr>
                <w:sz w:val="20"/>
                <w:szCs w:val="20"/>
              </w:rPr>
            </w:pPr>
            <w:r w:rsidRPr="00AD43FB">
              <w:rPr>
                <w:b/>
                <w:bCs/>
                <w:color w:val="000000"/>
                <w:sz w:val="20"/>
                <w:szCs w:val="20"/>
              </w:rPr>
              <w:t>Annual cost</w:t>
            </w:r>
          </w:p>
        </w:tc>
        <w:tc>
          <w:tcPr>
            <w:tcW w:w="777" w:type="pct"/>
            <w:tcBorders>
              <w:top w:val="single" w:sz="8" w:space="0" w:color="auto"/>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65E3E40" w14:textId="512EB7D3" w:rsidR="00974EF1" w:rsidRPr="00AD43FB" w:rsidRDefault="00974EF1" w:rsidP="0080797A">
            <w:pPr>
              <w:pStyle w:val="tabletext1"/>
              <w:jc w:val="center"/>
              <w:rPr>
                <w:sz w:val="20"/>
                <w:szCs w:val="20"/>
              </w:rPr>
            </w:pPr>
            <w:r w:rsidRPr="00AD43FB">
              <w:rPr>
                <w:b/>
                <w:bCs/>
                <w:color w:val="000000"/>
                <w:sz w:val="20"/>
                <w:szCs w:val="20"/>
              </w:rPr>
              <w:t>ex-manufacturer</w:t>
            </w:r>
          </w:p>
          <w:p w14:paraId="7886F536" w14:textId="5A66BD58" w:rsidR="00974EF1" w:rsidRPr="00AD43FB" w:rsidRDefault="00974EF1" w:rsidP="0080797A">
            <w:pPr>
              <w:pStyle w:val="tabletext1"/>
              <w:jc w:val="center"/>
              <w:rPr>
                <w:sz w:val="20"/>
                <w:szCs w:val="20"/>
              </w:rPr>
            </w:pPr>
            <w:r w:rsidRPr="00AD43FB">
              <w:rPr>
                <w:b/>
                <w:bCs/>
                <w:color w:val="000000"/>
                <w:sz w:val="20"/>
                <w:szCs w:val="20"/>
              </w:rPr>
              <w:t>price</w:t>
            </w:r>
          </w:p>
        </w:tc>
      </w:tr>
      <w:tr w:rsidR="00974EF1" w:rsidRPr="00AD43FB" w14:paraId="1879BCCC" w14:textId="28C8B69B" w:rsidTr="00974EF1">
        <w:trPr>
          <w:trHeight w:val="300"/>
        </w:trPr>
        <w:tc>
          <w:tcPr>
            <w:tcW w:w="5000" w:type="pct"/>
            <w:gridSpan w:val="5"/>
            <w:tcBorders>
              <w:top w:val="single" w:sz="8" w:space="0" w:color="auto"/>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tcPr>
          <w:p w14:paraId="08113DBA" w14:textId="7EDE1496" w:rsidR="00974EF1" w:rsidRPr="00AD43FB" w:rsidRDefault="00974EF1" w:rsidP="00974EF1">
            <w:pPr>
              <w:pStyle w:val="tabletext1"/>
              <w:rPr>
                <w:b/>
                <w:bCs/>
                <w:color w:val="000000"/>
                <w:sz w:val="20"/>
                <w:szCs w:val="20"/>
              </w:rPr>
            </w:pPr>
            <w:r w:rsidRPr="00AD43FB">
              <w:rPr>
                <w:b/>
                <w:sz w:val="20"/>
                <w:szCs w:val="20"/>
              </w:rPr>
              <w:t>DRF against Teriflunomide</w:t>
            </w:r>
          </w:p>
        </w:tc>
      </w:tr>
      <w:tr w:rsidR="00974EF1" w:rsidRPr="00AD43FB" w14:paraId="4D2DE1D6" w14:textId="5C00C018" w:rsidTr="00974EF1">
        <w:trPr>
          <w:trHeight w:val="300"/>
        </w:trPr>
        <w:tc>
          <w:tcPr>
            <w:tcW w:w="2197" w:type="pct"/>
            <w:tcBorders>
              <w:top w:val="single" w:sz="8" w:space="0" w:color="auto"/>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tcPr>
          <w:p w14:paraId="046BF618" w14:textId="4B57E44F" w:rsidR="00974EF1" w:rsidRPr="00AD43FB" w:rsidRDefault="00974EF1" w:rsidP="00974EF1">
            <w:pPr>
              <w:pStyle w:val="Tabletext"/>
              <w:widowControl w:val="0"/>
              <w:rPr>
                <w:szCs w:val="20"/>
              </w:rPr>
            </w:pPr>
            <w:r w:rsidRPr="00AD43FB">
              <w:rPr>
                <w:szCs w:val="20"/>
              </w:rPr>
              <w:t xml:space="preserve">DIROXIMEL FUMARATE, </w:t>
            </w:r>
          </w:p>
          <w:p w14:paraId="5339091E" w14:textId="50B88C77" w:rsidR="00974EF1" w:rsidRPr="00AD43FB" w:rsidRDefault="00974EF1" w:rsidP="00544863">
            <w:pPr>
              <w:pStyle w:val="Tabletext"/>
              <w:widowControl w:val="0"/>
              <w:rPr>
                <w:szCs w:val="20"/>
              </w:rPr>
            </w:pPr>
            <w:r w:rsidRPr="00AD43FB">
              <w:rPr>
                <w:szCs w:val="20"/>
              </w:rPr>
              <w:t>231 mg capsules</w:t>
            </w:r>
            <w:r w:rsidR="00544863" w:rsidRPr="00AD43FB">
              <w:rPr>
                <w:szCs w:val="20"/>
              </w:rPr>
              <w:t xml:space="preserve"> </w:t>
            </w:r>
            <w:r w:rsidRPr="00AD43FB">
              <w:rPr>
                <w:szCs w:val="20"/>
              </w:rPr>
              <w:t>(continuing)</w:t>
            </w:r>
          </w:p>
        </w:tc>
        <w:tc>
          <w:tcPr>
            <w:tcW w:w="788"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17E8591C" w14:textId="1A25C40C" w:rsidR="00974EF1" w:rsidRPr="00AD43FB" w:rsidRDefault="00974EF1" w:rsidP="00974EF1">
            <w:pPr>
              <w:pStyle w:val="tabletext1"/>
              <w:jc w:val="center"/>
              <w:rPr>
                <w:color w:val="000000"/>
                <w:sz w:val="20"/>
                <w:szCs w:val="20"/>
              </w:rPr>
            </w:pPr>
            <w:r w:rsidRPr="00AD43FB">
              <w:rPr>
                <w:color w:val="000000"/>
                <w:sz w:val="20"/>
                <w:szCs w:val="20"/>
              </w:rPr>
              <w:t>30</w:t>
            </w:r>
          </w:p>
        </w:tc>
        <w:tc>
          <w:tcPr>
            <w:tcW w:w="63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47AF351A" w14:textId="3C3883D2" w:rsidR="00974EF1" w:rsidRPr="00AD43FB" w:rsidRDefault="00974EF1" w:rsidP="00974EF1">
            <w:pPr>
              <w:pStyle w:val="tabletext1"/>
              <w:jc w:val="center"/>
              <w:rPr>
                <w:color w:val="000000"/>
                <w:sz w:val="20"/>
                <w:szCs w:val="20"/>
              </w:rPr>
            </w:pPr>
            <w:r w:rsidRPr="00AD43FB">
              <w:rPr>
                <w:color w:val="000000"/>
                <w:sz w:val="20"/>
                <w:szCs w:val="20"/>
              </w:rPr>
              <w:t>$15.53</w:t>
            </w:r>
          </w:p>
        </w:tc>
        <w:tc>
          <w:tcPr>
            <w:tcW w:w="608"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27950D8C" w14:textId="499BE91F" w:rsidR="00974EF1" w:rsidRPr="00AD43FB" w:rsidRDefault="00974EF1" w:rsidP="00974EF1">
            <w:pPr>
              <w:pStyle w:val="tabletext1"/>
              <w:jc w:val="center"/>
              <w:rPr>
                <w:color w:val="000000"/>
                <w:sz w:val="20"/>
                <w:szCs w:val="20"/>
              </w:rPr>
            </w:pPr>
            <w:r w:rsidRPr="00AD43FB">
              <w:rPr>
                <w:color w:val="000000"/>
                <w:sz w:val="20"/>
                <w:szCs w:val="20"/>
              </w:rPr>
              <w:t>$5,670.77</w:t>
            </w:r>
          </w:p>
        </w:tc>
        <w:tc>
          <w:tcPr>
            <w:tcW w:w="777" w:type="pct"/>
            <w:tcBorders>
              <w:top w:val="single" w:sz="8" w:space="0" w:color="auto"/>
              <w:left w:val="nil"/>
              <w:bottom w:val="single" w:sz="8" w:space="0" w:color="auto"/>
              <w:right w:val="single" w:sz="8" w:space="0" w:color="auto"/>
            </w:tcBorders>
            <w:shd w:val="clear" w:color="auto" w:fill="FFFFFF"/>
            <w:noWrap/>
            <w:tcMar>
              <w:top w:w="0" w:type="dxa"/>
              <w:left w:w="57" w:type="dxa"/>
              <w:bottom w:w="0" w:type="dxa"/>
              <w:right w:w="57" w:type="dxa"/>
            </w:tcMar>
            <w:vAlign w:val="center"/>
          </w:tcPr>
          <w:p w14:paraId="1C358B4E" w14:textId="466CEE5A" w:rsidR="00974EF1" w:rsidRPr="00AD43FB" w:rsidRDefault="00974EF1" w:rsidP="00974EF1">
            <w:pPr>
              <w:pStyle w:val="tabletext1"/>
              <w:jc w:val="center"/>
              <w:rPr>
                <w:color w:val="000000"/>
                <w:sz w:val="20"/>
                <w:szCs w:val="20"/>
              </w:rPr>
            </w:pPr>
            <w:r w:rsidRPr="00AD43FB">
              <w:rPr>
                <w:color w:val="000000"/>
                <w:sz w:val="20"/>
                <w:szCs w:val="20"/>
              </w:rPr>
              <w:t>$465.77</w:t>
            </w:r>
          </w:p>
        </w:tc>
      </w:tr>
      <w:tr w:rsidR="00974EF1" w:rsidRPr="00AD43FB" w14:paraId="6DC77898" w14:textId="53D89137" w:rsidTr="00974EF1">
        <w:trPr>
          <w:trHeight w:val="300"/>
        </w:trPr>
        <w:tc>
          <w:tcPr>
            <w:tcW w:w="2197" w:type="pct"/>
            <w:tcBorders>
              <w:top w:val="single" w:sz="8" w:space="0" w:color="auto"/>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tcPr>
          <w:p w14:paraId="7DC9B1B2" w14:textId="6F049F96" w:rsidR="00974EF1" w:rsidRPr="00AD43FB" w:rsidRDefault="00974EF1" w:rsidP="00974EF1">
            <w:pPr>
              <w:pStyle w:val="Tabletext"/>
              <w:widowControl w:val="0"/>
              <w:rPr>
                <w:szCs w:val="20"/>
              </w:rPr>
            </w:pPr>
            <w:r w:rsidRPr="00AD43FB">
              <w:rPr>
                <w:szCs w:val="20"/>
              </w:rPr>
              <w:t>PBS item 2898M</w:t>
            </w:r>
          </w:p>
          <w:p w14:paraId="3DB2F958" w14:textId="709AC270" w:rsidR="00974EF1" w:rsidRPr="00AD43FB" w:rsidRDefault="00974EF1" w:rsidP="00974EF1">
            <w:pPr>
              <w:pStyle w:val="Tabletext"/>
              <w:widowControl w:val="0"/>
              <w:rPr>
                <w:szCs w:val="20"/>
              </w:rPr>
            </w:pPr>
            <w:r w:rsidRPr="00AD43FB">
              <w:rPr>
                <w:szCs w:val="20"/>
              </w:rPr>
              <w:t>TERIFLUNOMIDE</w:t>
            </w:r>
          </w:p>
          <w:p w14:paraId="037F153D" w14:textId="47545E89" w:rsidR="00974EF1" w:rsidRPr="00AD43FB" w:rsidRDefault="00974EF1" w:rsidP="00544863">
            <w:pPr>
              <w:pStyle w:val="Tabletext"/>
              <w:widowControl w:val="0"/>
              <w:rPr>
                <w:szCs w:val="20"/>
              </w:rPr>
            </w:pPr>
            <w:r w:rsidRPr="00AD43FB">
              <w:rPr>
                <w:szCs w:val="20"/>
              </w:rPr>
              <w:t>Tablet 14 mg</w:t>
            </w:r>
            <w:r w:rsidR="00544863" w:rsidRPr="00AD43FB">
              <w:rPr>
                <w:szCs w:val="20"/>
              </w:rPr>
              <w:t xml:space="preserve"> </w:t>
            </w:r>
            <w:r w:rsidRPr="00AD43FB">
              <w:rPr>
                <w:szCs w:val="20"/>
              </w:rPr>
              <w:t>(continuing)</w:t>
            </w:r>
          </w:p>
        </w:tc>
        <w:tc>
          <w:tcPr>
            <w:tcW w:w="788"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59345736" w14:textId="56E10242" w:rsidR="00974EF1" w:rsidRPr="00AD43FB" w:rsidRDefault="00974EF1" w:rsidP="00974EF1">
            <w:pPr>
              <w:pStyle w:val="tabletext1"/>
              <w:jc w:val="center"/>
              <w:rPr>
                <w:color w:val="000000"/>
                <w:sz w:val="20"/>
                <w:szCs w:val="20"/>
              </w:rPr>
            </w:pPr>
            <w:r w:rsidRPr="00AD43FB">
              <w:rPr>
                <w:color w:val="000000"/>
                <w:sz w:val="20"/>
                <w:szCs w:val="20"/>
              </w:rPr>
              <w:t>28</w:t>
            </w:r>
          </w:p>
        </w:tc>
        <w:tc>
          <w:tcPr>
            <w:tcW w:w="63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480294D9" w14:textId="2608D9F2" w:rsidR="00974EF1" w:rsidRPr="00AD43FB" w:rsidRDefault="00974EF1" w:rsidP="00974EF1">
            <w:pPr>
              <w:pStyle w:val="tabletext1"/>
              <w:jc w:val="center"/>
              <w:rPr>
                <w:color w:val="000000"/>
                <w:sz w:val="20"/>
                <w:szCs w:val="20"/>
              </w:rPr>
            </w:pPr>
            <w:r w:rsidRPr="00AD43FB">
              <w:rPr>
                <w:color w:val="000000"/>
                <w:sz w:val="20"/>
                <w:szCs w:val="20"/>
              </w:rPr>
              <w:t>$15.53</w:t>
            </w:r>
          </w:p>
        </w:tc>
        <w:tc>
          <w:tcPr>
            <w:tcW w:w="608"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261527B1" w14:textId="0D6921FC" w:rsidR="00974EF1" w:rsidRPr="00AD43FB" w:rsidRDefault="00974EF1" w:rsidP="00974EF1">
            <w:pPr>
              <w:pStyle w:val="tabletext1"/>
              <w:jc w:val="center"/>
              <w:rPr>
                <w:color w:val="000000"/>
                <w:sz w:val="20"/>
                <w:szCs w:val="20"/>
              </w:rPr>
            </w:pPr>
            <w:r w:rsidRPr="00AD43FB">
              <w:rPr>
                <w:color w:val="000000"/>
                <w:sz w:val="20"/>
                <w:szCs w:val="20"/>
              </w:rPr>
              <w:t>$5,670.77</w:t>
            </w:r>
          </w:p>
        </w:tc>
        <w:tc>
          <w:tcPr>
            <w:tcW w:w="777" w:type="pct"/>
            <w:tcBorders>
              <w:top w:val="single" w:sz="8" w:space="0" w:color="auto"/>
              <w:left w:val="nil"/>
              <w:bottom w:val="single" w:sz="8" w:space="0" w:color="auto"/>
              <w:right w:val="single" w:sz="8" w:space="0" w:color="auto"/>
            </w:tcBorders>
            <w:shd w:val="clear" w:color="auto" w:fill="FFFFFF"/>
            <w:noWrap/>
            <w:tcMar>
              <w:top w:w="0" w:type="dxa"/>
              <w:left w:w="57" w:type="dxa"/>
              <w:bottom w:w="0" w:type="dxa"/>
              <w:right w:w="57" w:type="dxa"/>
            </w:tcMar>
            <w:vAlign w:val="center"/>
          </w:tcPr>
          <w:p w14:paraId="14A0897F" w14:textId="3FD7C620" w:rsidR="00974EF1" w:rsidRPr="00AD43FB" w:rsidRDefault="00974EF1" w:rsidP="00974EF1">
            <w:pPr>
              <w:pStyle w:val="tabletext1"/>
              <w:jc w:val="center"/>
              <w:rPr>
                <w:color w:val="000000"/>
                <w:sz w:val="20"/>
                <w:szCs w:val="20"/>
              </w:rPr>
            </w:pPr>
            <w:r w:rsidRPr="00AD43FB">
              <w:rPr>
                <w:color w:val="000000"/>
                <w:sz w:val="20"/>
                <w:szCs w:val="20"/>
              </w:rPr>
              <w:t>$434.72</w:t>
            </w:r>
          </w:p>
        </w:tc>
      </w:tr>
      <w:tr w:rsidR="00974EF1" w:rsidRPr="00AD43FB" w14:paraId="4EDD684D" w14:textId="68C0AED7" w:rsidTr="00974EF1">
        <w:trPr>
          <w:trHeight w:val="300"/>
        </w:trPr>
        <w:tc>
          <w:tcPr>
            <w:tcW w:w="5000" w:type="pct"/>
            <w:gridSpan w:val="5"/>
            <w:tcBorders>
              <w:top w:val="single" w:sz="8" w:space="0" w:color="auto"/>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tcPr>
          <w:p w14:paraId="27359D39" w14:textId="7C47C796" w:rsidR="00974EF1" w:rsidRPr="00AD43FB" w:rsidRDefault="00974EF1" w:rsidP="00974EF1">
            <w:pPr>
              <w:pStyle w:val="tabletext1"/>
              <w:rPr>
                <w:color w:val="000000"/>
                <w:sz w:val="20"/>
                <w:szCs w:val="20"/>
              </w:rPr>
            </w:pPr>
            <w:r w:rsidRPr="00AD43FB">
              <w:rPr>
                <w:b/>
                <w:bCs/>
                <w:color w:val="000000"/>
                <w:sz w:val="20"/>
                <w:szCs w:val="20"/>
              </w:rPr>
              <w:t>DRF against Glatiramer acetate</w:t>
            </w:r>
          </w:p>
        </w:tc>
      </w:tr>
      <w:tr w:rsidR="00974EF1" w:rsidRPr="00AD43FB" w14:paraId="25F34C1F" w14:textId="25F512EF" w:rsidTr="00974EF1">
        <w:trPr>
          <w:trHeight w:val="300"/>
        </w:trPr>
        <w:tc>
          <w:tcPr>
            <w:tcW w:w="2197"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2E28B03" w14:textId="7F13C6B8" w:rsidR="00974EF1" w:rsidRPr="00AD43FB" w:rsidRDefault="00974EF1" w:rsidP="00974EF1">
            <w:pPr>
              <w:pStyle w:val="tabletext1"/>
              <w:rPr>
                <w:sz w:val="20"/>
                <w:szCs w:val="20"/>
              </w:rPr>
            </w:pPr>
            <w:r w:rsidRPr="00AD43FB">
              <w:rPr>
                <w:color w:val="000000"/>
                <w:sz w:val="20"/>
                <w:szCs w:val="20"/>
              </w:rPr>
              <w:t xml:space="preserve">DIROXIMEL FUMARATE, </w:t>
            </w:r>
          </w:p>
          <w:p w14:paraId="519D3D34" w14:textId="701AF738" w:rsidR="00974EF1" w:rsidRPr="00AD43FB" w:rsidRDefault="00974EF1" w:rsidP="00974EF1">
            <w:pPr>
              <w:pStyle w:val="tabletext1"/>
              <w:rPr>
                <w:sz w:val="20"/>
                <w:szCs w:val="20"/>
              </w:rPr>
            </w:pPr>
            <w:r w:rsidRPr="00AD43FB">
              <w:rPr>
                <w:color w:val="000000"/>
                <w:sz w:val="20"/>
                <w:szCs w:val="20"/>
              </w:rPr>
              <w:t>231 mg capsules</w:t>
            </w:r>
            <w:r w:rsidR="00544863" w:rsidRPr="00AD43FB">
              <w:rPr>
                <w:color w:val="000000"/>
                <w:sz w:val="20"/>
                <w:szCs w:val="20"/>
              </w:rPr>
              <w:t xml:space="preserve"> </w:t>
            </w:r>
            <w:r w:rsidRPr="00AD43FB">
              <w:rPr>
                <w:color w:val="000000"/>
                <w:sz w:val="20"/>
                <w:szCs w:val="20"/>
              </w:rPr>
              <w:t>(continuing)</w:t>
            </w:r>
          </w:p>
        </w:tc>
        <w:tc>
          <w:tcPr>
            <w:tcW w:w="78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EA51818" w14:textId="5509B265" w:rsidR="00974EF1" w:rsidRPr="00AD43FB" w:rsidRDefault="00974EF1" w:rsidP="00974EF1">
            <w:pPr>
              <w:pStyle w:val="tabletext1"/>
              <w:jc w:val="center"/>
              <w:rPr>
                <w:sz w:val="20"/>
                <w:szCs w:val="20"/>
              </w:rPr>
            </w:pPr>
            <w:r w:rsidRPr="00AD43FB">
              <w:rPr>
                <w:color w:val="000000"/>
                <w:sz w:val="20"/>
                <w:szCs w:val="20"/>
              </w:rPr>
              <w:t>30</w:t>
            </w:r>
          </w:p>
        </w:tc>
        <w:tc>
          <w:tcPr>
            <w:tcW w:w="63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9A59D7" w14:textId="5A3878DB" w:rsidR="00974EF1" w:rsidRPr="00AD43FB" w:rsidRDefault="00974EF1" w:rsidP="00974EF1">
            <w:pPr>
              <w:pStyle w:val="tabletext1"/>
              <w:jc w:val="center"/>
              <w:rPr>
                <w:color w:val="000000" w:themeColor="text1"/>
                <w:sz w:val="20"/>
                <w:szCs w:val="20"/>
              </w:rPr>
            </w:pPr>
            <w:r w:rsidRPr="00AD43FB">
              <w:rPr>
                <w:color w:val="000000" w:themeColor="text1"/>
                <w:sz w:val="20"/>
                <w:szCs w:val="20"/>
              </w:rPr>
              <w:t>$20.88</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75502B" w14:textId="545C0B30" w:rsidR="00974EF1" w:rsidRPr="00AD43FB" w:rsidRDefault="00974EF1" w:rsidP="00974EF1">
            <w:pPr>
              <w:pStyle w:val="tabletext1"/>
              <w:jc w:val="center"/>
              <w:rPr>
                <w:color w:val="000000" w:themeColor="text1"/>
                <w:sz w:val="20"/>
                <w:szCs w:val="20"/>
              </w:rPr>
            </w:pPr>
            <w:r w:rsidRPr="00AD43FB">
              <w:rPr>
                <w:color w:val="000000" w:themeColor="text1"/>
                <w:sz w:val="20"/>
                <w:szCs w:val="20"/>
              </w:rPr>
              <w:t>$7,627.39</w:t>
            </w:r>
          </w:p>
        </w:tc>
        <w:tc>
          <w:tcPr>
            <w:tcW w:w="77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9914AE8" w14:textId="50429904" w:rsidR="00974EF1" w:rsidRPr="00AD43FB" w:rsidRDefault="00974EF1" w:rsidP="00974EF1">
            <w:pPr>
              <w:pStyle w:val="tabletext1"/>
              <w:jc w:val="center"/>
              <w:rPr>
                <w:color w:val="000000" w:themeColor="text1"/>
                <w:sz w:val="20"/>
                <w:szCs w:val="20"/>
              </w:rPr>
            </w:pPr>
            <w:r w:rsidRPr="00AD43FB">
              <w:rPr>
                <w:color w:val="000000" w:themeColor="text1"/>
                <w:sz w:val="20"/>
                <w:szCs w:val="20"/>
              </w:rPr>
              <w:t>$626.48</w:t>
            </w:r>
          </w:p>
        </w:tc>
      </w:tr>
      <w:tr w:rsidR="00974EF1" w:rsidRPr="00AD43FB" w14:paraId="08E201EA" w14:textId="1752CB94" w:rsidTr="00974EF1">
        <w:trPr>
          <w:trHeight w:val="300"/>
        </w:trPr>
        <w:tc>
          <w:tcPr>
            <w:tcW w:w="2197"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1BC10B1" w14:textId="17CDB754" w:rsidR="00974EF1" w:rsidRPr="00AD43FB" w:rsidRDefault="00974EF1" w:rsidP="00974EF1">
            <w:pPr>
              <w:pStyle w:val="tabletext1"/>
              <w:rPr>
                <w:sz w:val="20"/>
                <w:szCs w:val="20"/>
              </w:rPr>
            </w:pPr>
            <w:r w:rsidRPr="00AD43FB">
              <w:rPr>
                <w:color w:val="000000"/>
                <w:sz w:val="20"/>
                <w:szCs w:val="20"/>
              </w:rPr>
              <w:t>PBS item 10416F</w:t>
            </w:r>
          </w:p>
          <w:p w14:paraId="26D8F818" w14:textId="4FF75D81" w:rsidR="00974EF1" w:rsidRPr="00AD43FB" w:rsidRDefault="00974EF1" w:rsidP="00974EF1">
            <w:pPr>
              <w:pStyle w:val="tabletext1"/>
              <w:rPr>
                <w:sz w:val="20"/>
                <w:szCs w:val="20"/>
              </w:rPr>
            </w:pPr>
            <w:r w:rsidRPr="00AD43FB">
              <w:rPr>
                <w:color w:val="000000"/>
                <w:sz w:val="20"/>
                <w:szCs w:val="20"/>
              </w:rPr>
              <w:t xml:space="preserve">GLATIRAMER ACETATE </w:t>
            </w:r>
          </w:p>
          <w:p w14:paraId="6CB2877C" w14:textId="06BEBAE3" w:rsidR="00974EF1" w:rsidRPr="00AD43FB" w:rsidRDefault="00974EF1" w:rsidP="00974EF1">
            <w:pPr>
              <w:pStyle w:val="tabletext1"/>
              <w:rPr>
                <w:sz w:val="20"/>
                <w:szCs w:val="20"/>
              </w:rPr>
            </w:pPr>
            <w:r w:rsidRPr="00AD43FB">
              <w:rPr>
                <w:color w:val="000000"/>
                <w:sz w:val="20"/>
                <w:szCs w:val="20"/>
              </w:rPr>
              <w:t>SC injection 40 mg/mL single dose pre-filled syringe</w:t>
            </w:r>
          </w:p>
          <w:p w14:paraId="18049DEE" w14:textId="4D064178" w:rsidR="00974EF1" w:rsidRPr="00AD43FB" w:rsidRDefault="00974EF1" w:rsidP="00974EF1">
            <w:pPr>
              <w:pStyle w:val="tabletext1"/>
              <w:rPr>
                <w:sz w:val="20"/>
                <w:szCs w:val="20"/>
              </w:rPr>
            </w:pPr>
            <w:r w:rsidRPr="00AD43FB">
              <w:rPr>
                <w:color w:val="000000"/>
                <w:sz w:val="20"/>
                <w:szCs w:val="20"/>
              </w:rPr>
              <w:t>(continuing)</w:t>
            </w:r>
          </w:p>
        </w:tc>
        <w:tc>
          <w:tcPr>
            <w:tcW w:w="78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F8A691" w14:textId="223362B6" w:rsidR="00974EF1" w:rsidRPr="00AD43FB" w:rsidRDefault="00974EF1" w:rsidP="00974EF1">
            <w:pPr>
              <w:pStyle w:val="tabletext1"/>
              <w:jc w:val="center"/>
              <w:rPr>
                <w:sz w:val="20"/>
                <w:szCs w:val="20"/>
              </w:rPr>
            </w:pPr>
            <w:r w:rsidRPr="00AD43FB">
              <w:rPr>
                <w:color w:val="000000"/>
                <w:sz w:val="20"/>
                <w:szCs w:val="20"/>
              </w:rPr>
              <w:t>28</w:t>
            </w:r>
          </w:p>
        </w:tc>
        <w:tc>
          <w:tcPr>
            <w:tcW w:w="63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31ACE82" w14:textId="512B4A8D" w:rsidR="00974EF1" w:rsidRPr="00AD43FB" w:rsidRDefault="00974EF1" w:rsidP="00974EF1">
            <w:pPr>
              <w:pStyle w:val="tabletext1"/>
              <w:jc w:val="center"/>
              <w:rPr>
                <w:color w:val="000000" w:themeColor="text1"/>
                <w:sz w:val="20"/>
                <w:szCs w:val="20"/>
              </w:rPr>
            </w:pPr>
            <w:r w:rsidRPr="00AD43FB">
              <w:rPr>
                <w:color w:val="000000" w:themeColor="text1"/>
                <w:sz w:val="20"/>
                <w:szCs w:val="20"/>
              </w:rPr>
              <w:t>$20.88</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6713627" w14:textId="69CC8F06" w:rsidR="00974EF1" w:rsidRPr="00AD43FB" w:rsidRDefault="00974EF1" w:rsidP="00974EF1">
            <w:pPr>
              <w:pStyle w:val="tabletext1"/>
              <w:jc w:val="center"/>
              <w:rPr>
                <w:color w:val="000000" w:themeColor="text1"/>
                <w:sz w:val="20"/>
                <w:szCs w:val="20"/>
              </w:rPr>
            </w:pPr>
            <w:r w:rsidRPr="00AD43FB">
              <w:rPr>
                <w:color w:val="000000" w:themeColor="text1"/>
                <w:sz w:val="20"/>
                <w:szCs w:val="20"/>
              </w:rPr>
              <w:t>$7,627.39</w:t>
            </w:r>
          </w:p>
        </w:tc>
        <w:tc>
          <w:tcPr>
            <w:tcW w:w="77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03769C9" w14:textId="44875849" w:rsidR="00974EF1" w:rsidRPr="00AD43FB" w:rsidRDefault="00974EF1" w:rsidP="00974EF1">
            <w:pPr>
              <w:pStyle w:val="tabletext1"/>
              <w:jc w:val="center"/>
              <w:rPr>
                <w:color w:val="000000" w:themeColor="text1"/>
                <w:sz w:val="20"/>
                <w:szCs w:val="20"/>
              </w:rPr>
            </w:pPr>
            <w:r w:rsidRPr="00AD43FB">
              <w:rPr>
                <w:color w:val="000000" w:themeColor="text1"/>
                <w:sz w:val="20"/>
                <w:szCs w:val="20"/>
              </w:rPr>
              <w:t>$584.71</w:t>
            </w:r>
          </w:p>
        </w:tc>
      </w:tr>
      <w:tr w:rsidR="00974EF1" w:rsidRPr="00AD43FB" w14:paraId="4540F4D5" w14:textId="0A217057" w:rsidTr="00974EF1">
        <w:trPr>
          <w:trHeight w:val="300"/>
        </w:trPr>
        <w:tc>
          <w:tcPr>
            <w:tcW w:w="5000" w:type="pct"/>
            <w:gridSpan w:val="5"/>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tcPr>
          <w:p w14:paraId="2A5CCD69" w14:textId="09C5F3AA" w:rsidR="00974EF1" w:rsidRPr="00AD43FB" w:rsidRDefault="00974EF1" w:rsidP="00974EF1">
            <w:pPr>
              <w:pStyle w:val="tabletext1"/>
              <w:rPr>
                <w:color w:val="000000" w:themeColor="text1"/>
                <w:sz w:val="20"/>
                <w:szCs w:val="20"/>
              </w:rPr>
            </w:pPr>
            <w:r w:rsidRPr="00AD43FB">
              <w:rPr>
                <w:b/>
                <w:bCs/>
                <w:color w:val="000000" w:themeColor="text1"/>
                <w:sz w:val="20"/>
                <w:szCs w:val="20"/>
              </w:rPr>
              <w:t>DRF against Dimethyl fumarate (DMF)</w:t>
            </w:r>
          </w:p>
        </w:tc>
      </w:tr>
      <w:tr w:rsidR="00974EF1" w:rsidRPr="00AD43FB" w14:paraId="17F51624" w14:textId="2D5570D7" w:rsidTr="00974EF1">
        <w:trPr>
          <w:trHeight w:val="300"/>
        </w:trPr>
        <w:tc>
          <w:tcPr>
            <w:tcW w:w="2197"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80ED544" w14:textId="7B5F99AA" w:rsidR="00974EF1" w:rsidRPr="00AD43FB" w:rsidRDefault="00974EF1" w:rsidP="00974EF1">
            <w:pPr>
              <w:pStyle w:val="tabletext1"/>
              <w:rPr>
                <w:sz w:val="20"/>
                <w:szCs w:val="20"/>
              </w:rPr>
            </w:pPr>
            <w:r w:rsidRPr="00AD43FB">
              <w:rPr>
                <w:color w:val="000000"/>
                <w:sz w:val="20"/>
                <w:szCs w:val="20"/>
              </w:rPr>
              <w:t xml:space="preserve">DIROXIMEL FUMARATE, </w:t>
            </w:r>
          </w:p>
          <w:p w14:paraId="4F27AD93" w14:textId="0A7D1A14" w:rsidR="00974EF1" w:rsidRPr="00AD43FB" w:rsidRDefault="00974EF1" w:rsidP="00974EF1">
            <w:pPr>
              <w:pStyle w:val="tabletext1"/>
              <w:rPr>
                <w:sz w:val="20"/>
                <w:szCs w:val="20"/>
              </w:rPr>
            </w:pPr>
            <w:r w:rsidRPr="00AD43FB">
              <w:rPr>
                <w:color w:val="000000"/>
                <w:sz w:val="20"/>
                <w:szCs w:val="20"/>
              </w:rPr>
              <w:t>231 mg capsules</w:t>
            </w:r>
            <w:r w:rsidR="00544863" w:rsidRPr="00AD43FB">
              <w:rPr>
                <w:color w:val="000000"/>
                <w:sz w:val="20"/>
                <w:szCs w:val="20"/>
              </w:rPr>
              <w:t xml:space="preserve"> </w:t>
            </w:r>
            <w:r w:rsidRPr="00AD43FB">
              <w:rPr>
                <w:color w:val="000000"/>
                <w:sz w:val="20"/>
                <w:szCs w:val="20"/>
              </w:rPr>
              <w:t>(continuing)</w:t>
            </w:r>
          </w:p>
        </w:tc>
        <w:tc>
          <w:tcPr>
            <w:tcW w:w="78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D8C316" w14:textId="4124D0AC" w:rsidR="00974EF1" w:rsidRPr="00AD43FB" w:rsidRDefault="00974EF1" w:rsidP="00974EF1">
            <w:pPr>
              <w:pStyle w:val="tabletext1"/>
              <w:jc w:val="center"/>
              <w:rPr>
                <w:sz w:val="20"/>
                <w:szCs w:val="20"/>
              </w:rPr>
            </w:pPr>
            <w:r w:rsidRPr="00AD43FB">
              <w:rPr>
                <w:color w:val="000000"/>
                <w:sz w:val="20"/>
                <w:szCs w:val="20"/>
              </w:rPr>
              <w:t>30</w:t>
            </w:r>
          </w:p>
        </w:tc>
        <w:tc>
          <w:tcPr>
            <w:tcW w:w="63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C0EBF9" w14:textId="25AA396B" w:rsidR="00974EF1" w:rsidRPr="00AD43FB" w:rsidRDefault="00974EF1" w:rsidP="00974EF1">
            <w:pPr>
              <w:pStyle w:val="tabletext1"/>
              <w:jc w:val="center"/>
              <w:rPr>
                <w:color w:val="000000" w:themeColor="text1"/>
                <w:sz w:val="20"/>
                <w:szCs w:val="20"/>
              </w:rPr>
            </w:pPr>
            <w:r w:rsidRPr="00AD43FB">
              <w:rPr>
                <w:color w:val="000000" w:themeColor="text1"/>
                <w:sz w:val="20"/>
                <w:szCs w:val="20"/>
              </w:rPr>
              <w:t>$24.</w:t>
            </w:r>
            <w:r w:rsidR="00224F1A" w:rsidRPr="00AD43FB">
              <w:rPr>
                <w:color w:val="000000" w:themeColor="text1"/>
                <w:sz w:val="20"/>
                <w:szCs w:val="20"/>
              </w:rPr>
              <w:t>79</w:t>
            </w:r>
          </w:p>
        </w:tc>
        <w:tc>
          <w:tcPr>
            <w:tcW w:w="608"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B298627" w14:textId="7FF180B2" w:rsidR="00974EF1" w:rsidRPr="00AD43FB" w:rsidRDefault="00974EF1" w:rsidP="00974EF1">
            <w:pPr>
              <w:pStyle w:val="tabletext1"/>
              <w:jc w:val="center"/>
              <w:rPr>
                <w:color w:val="000000" w:themeColor="text1"/>
                <w:sz w:val="20"/>
                <w:szCs w:val="20"/>
              </w:rPr>
            </w:pPr>
            <w:r w:rsidRPr="00AD43FB">
              <w:rPr>
                <w:color w:val="000000" w:themeColor="text1"/>
                <w:sz w:val="20"/>
                <w:szCs w:val="20"/>
              </w:rPr>
              <w:t>$9,096.55</w:t>
            </w:r>
          </w:p>
        </w:tc>
        <w:tc>
          <w:tcPr>
            <w:tcW w:w="777"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30C3FB6" w14:textId="193BFC94" w:rsidR="00974EF1" w:rsidRPr="00AD43FB" w:rsidRDefault="00974EF1" w:rsidP="00974EF1">
            <w:pPr>
              <w:pStyle w:val="tabletext1"/>
              <w:jc w:val="center"/>
              <w:rPr>
                <w:color w:val="000000" w:themeColor="text1"/>
                <w:sz w:val="20"/>
                <w:szCs w:val="20"/>
              </w:rPr>
            </w:pPr>
            <w:r w:rsidRPr="00AD43FB">
              <w:rPr>
                <w:color w:val="000000" w:themeColor="text1"/>
                <w:sz w:val="20"/>
                <w:szCs w:val="20"/>
              </w:rPr>
              <w:t>$74</w:t>
            </w:r>
            <w:r w:rsidR="00224F1A" w:rsidRPr="00AD43FB">
              <w:rPr>
                <w:color w:val="000000" w:themeColor="text1"/>
                <w:sz w:val="20"/>
                <w:szCs w:val="20"/>
              </w:rPr>
              <w:t>3</w:t>
            </w:r>
            <w:r w:rsidRPr="00AD43FB">
              <w:rPr>
                <w:color w:val="000000" w:themeColor="text1"/>
                <w:sz w:val="20"/>
                <w:szCs w:val="20"/>
              </w:rPr>
              <w:t>.</w:t>
            </w:r>
            <w:r w:rsidR="00224F1A" w:rsidRPr="00AD43FB">
              <w:rPr>
                <w:color w:val="000000" w:themeColor="text1"/>
                <w:sz w:val="20"/>
                <w:szCs w:val="20"/>
              </w:rPr>
              <w:t>94</w:t>
            </w:r>
          </w:p>
        </w:tc>
      </w:tr>
      <w:tr w:rsidR="00974EF1" w:rsidRPr="00AD43FB" w14:paraId="5D398156" w14:textId="70E8621D" w:rsidTr="00974EF1">
        <w:trPr>
          <w:trHeight w:val="300"/>
        </w:trPr>
        <w:tc>
          <w:tcPr>
            <w:tcW w:w="2197" w:type="pct"/>
            <w:tcBorders>
              <w:top w:val="nil"/>
              <w:left w:val="single" w:sz="8" w:space="0" w:color="auto"/>
              <w:bottom w:val="single" w:sz="4" w:space="0" w:color="auto"/>
              <w:right w:val="single" w:sz="8" w:space="0" w:color="auto"/>
            </w:tcBorders>
            <w:shd w:val="clear" w:color="auto" w:fill="FFFFFF"/>
            <w:noWrap/>
            <w:tcMar>
              <w:top w:w="0" w:type="dxa"/>
              <w:left w:w="57" w:type="dxa"/>
              <w:bottom w:w="0" w:type="dxa"/>
              <w:right w:w="57" w:type="dxa"/>
            </w:tcMar>
            <w:vAlign w:val="center"/>
            <w:hideMark/>
          </w:tcPr>
          <w:p w14:paraId="305F2192" w14:textId="083A0227" w:rsidR="00974EF1" w:rsidRPr="00AD43FB" w:rsidRDefault="00974EF1" w:rsidP="00974EF1">
            <w:pPr>
              <w:pStyle w:val="tabletext1"/>
              <w:rPr>
                <w:sz w:val="20"/>
                <w:szCs w:val="20"/>
              </w:rPr>
            </w:pPr>
            <w:r w:rsidRPr="00AD43FB">
              <w:rPr>
                <w:color w:val="000000"/>
                <w:sz w:val="20"/>
                <w:szCs w:val="20"/>
              </w:rPr>
              <w:t>PBS item 2966D</w:t>
            </w:r>
          </w:p>
          <w:p w14:paraId="4C97A43F" w14:textId="482C0692" w:rsidR="00974EF1" w:rsidRPr="00AD43FB" w:rsidRDefault="00974EF1" w:rsidP="00974EF1">
            <w:pPr>
              <w:pStyle w:val="tabletext1"/>
              <w:rPr>
                <w:sz w:val="20"/>
                <w:szCs w:val="20"/>
              </w:rPr>
            </w:pPr>
            <w:r w:rsidRPr="00AD43FB">
              <w:rPr>
                <w:color w:val="000000"/>
                <w:sz w:val="20"/>
                <w:szCs w:val="20"/>
              </w:rPr>
              <w:t>DIMETHYL FUMARATE,</w:t>
            </w:r>
          </w:p>
          <w:p w14:paraId="3583AA2E" w14:textId="441349A7" w:rsidR="00974EF1" w:rsidRPr="00AD43FB" w:rsidRDefault="00974EF1" w:rsidP="00974EF1">
            <w:pPr>
              <w:pStyle w:val="tabletext1"/>
              <w:rPr>
                <w:sz w:val="20"/>
                <w:szCs w:val="20"/>
              </w:rPr>
            </w:pPr>
            <w:r w:rsidRPr="00AD43FB">
              <w:rPr>
                <w:color w:val="000000"/>
                <w:sz w:val="20"/>
                <w:szCs w:val="20"/>
              </w:rPr>
              <w:t>240 mg capsules (continuing)</w:t>
            </w:r>
          </w:p>
        </w:tc>
        <w:tc>
          <w:tcPr>
            <w:tcW w:w="788"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hideMark/>
          </w:tcPr>
          <w:p w14:paraId="22665CB6" w14:textId="3B8B5C29" w:rsidR="00974EF1" w:rsidRPr="00AD43FB" w:rsidRDefault="00974EF1" w:rsidP="00974EF1">
            <w:pPr>
              <w:pStyle w:val="tabletext1"/>
              <w:jc w:val="center"/>
              <w:rPr>
                <w:sz w:val="20"/>
                <w:szCs w:val="20"/>
              </w:rPr>
            </w:pPr>
            <w:r w:rsidRPr="00AD43FB">
              <w:rPr>
                <w:color w:val="000000"/>
                <w:sz w:val="20"/>
                <w:szCs w:val="20"/>
              </w:rPr>
              <w:t>28</w:t>
            </w:r>
          </w:p>
        </w:tc>
        <w:tc>
          <w:tcPr>
            <w:tcW w:w="630"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hideMark/>
          </w:tcPr>
          <w:p w14:paraId="4BFF7507" w14:textId="47469FA3" w:rsidR="00974EF1" w:rsidRPr="00AD43FB" w:rsidRDefault="00974EF1" w:rsidP="00974EF1">
            <w:pPr>
              <w:pStyle w:val="tabletext1"/>
              <w:jc w:val="center"/>
              <w:rPr>
                <w:color w:val="000000" w:themeColor="text1"/>
                <w:sz w:val="20"/>
                <w:szCs w:val="20"/>
              </w:rPr>
            </w:pPr>
            <w:r w:rsidRPr="00AD43FB">
              <w:rPr>
                <w:color w:val="000000" w:themeColor="text1"/>
                <w:sz w:val="20"/>
                <w:szCs w:val="20"/>
              </w:rPr>
              <w:t>$24.</w:t>
            </w:r>
            <w:r w:rsidR="00224F1A" w:rsidRPr="00AD43FB">
              <w:rPr>
                <w:color w:val="000000" w:themeColor="text1"/>
                <w:sz w:val="20"/>
                <w:szCs w:val="20"/>
              </w:rPr>
              <w:t>79</w:t>
            </w:r>
          </w:p>
        </w:tc>
        <w:tc>
          <w:tcPr>
            <w:tcW w:w="608"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hideMark/>
          </w:tcPr>
          <w:p w14:paraId="22396F40" w14:textId="392AC194" w:rsidR="00974EF1" w:rsidRPr="00AD43FB" w:rsidRDefault="00974EF1" w:rsidP="00974EF1">
            <w:pPr>
              <w:pStyle w:val="tabletext1"/>
              <w:jc w:val="center"/>
              <w:rPr>
                <w:color w:val="000000" w:themeColor="text1"/>
                <w:sz w:val="20"/>
                <w:szCs w:val="20"/>
              </w:rPr>
            </w:pPr>
            <w:r w:rsidRPr="00AD43FB">
              <w:rPr>
                <w:color w:val="000000" w:themeColor="text1"/>
                <w:sz w:val="20"/>
                <w:szCs w:val="20"/>
              </w:rPr>
              <w:t>$9,096.55</w:t>
            </w:r>
          </w:p>
        </w:tc>
        <w:tc>
          <w:tcPr>
            <w:tcW w:w="777" w:type="pct"/>
            <w:tcBorders>
              <w:top w:val="nil"/>
              <w:left w:val="nil"/>
              <w:bottom w:val="single" w:sz="4" w:space="0" w:color="auto"/>
              <w:right w:val="single" w:sz="8" w:space="0" w:color="auto"/>
            </w:tcBorders>
            <w:shd w:val="clear" w:color="auto" w:fill="FFFFFF"/>
            <w:noWrap/>
            <w:tcMar>
              <w:top w:w="0" w:type="dxa"/>
              <w:left w:w="57" w:type="dxa"/>
              <w:bottom w:w="0" w:type="dxa"/>
              <w:right w:w="57" w:type="dxa"/>
            </w:tcMar>
            <w:vAlign w:val="center"/>
            <w:hideMark/>
          </w:tcPr>
          <w:p w14:paraId="106DBEB3" w14:textId="25A2C83C" w:rsidR="00974EF1" w:rsidRPr="00AD43FB" w:rsidRDefault="00974EF1" w:rsidP="00974EF1">
            <w:pPr>
              <w:pStyle w:val="tabletext1"/>
              <w:jc w:val="center"/>
              <w:rPr>
                <w:color w:val="000000" w:themeColor="text1"/>
                <w:sz w:val="20"/>
                <w:szCs w:val="20"/>
              </w:rPr>
            </w:pPr>
            <w:r w:rsidRPr="00AD43FB">
              <w:rPr>
                <w:color w:val="000000" w:themeColor="text1"/>
                <w:sz w:val="20"/>
                <w:szCs w:val="20"/>
              </w:rPr>
              <w:t>$69</w:t>
            </w:r>
            <w:r w:rsidR="00224F1A" w:rsidRPr="00AD43FB">
              <w:rPr>
                <w:color w:val="000000" w:themeColor="text1"/>
                <w:sz w:val="20"/>
                <w:szCs w:val="20"/>
              </w:rPr>
              <w:t>4</w:t>
            </w:r>
            <w:r w:rsidRPr="00AD43FB">
              <w:rPr>
                <w:color w:val="000000" w:themeColor="text1"/>
                <w:sz w:val="20"/>
                <w:szCs w:val="20"/>
              </w:rPr>
              <w:t>.34</w:t>
            </w:r>
          </w:p>
        </w:tc>
      </w:tr>
      <w:tr w:rsidR="00974EF1" w:rsidRPr="00AD43FB" w14:paraId="328668E1" w14:textId="7254A1E4" w:rsidTr="00974EF1">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0A8885EC" w14:textId="53DA21EF" w:rsidR="00974EF1" w:rsidRPr="00AD43FB" w:rsidRDefault="00974EF1" w:rsidP="00974EF1">
            <w:pPr>
              <w:pStyle w:val="tabletext1"/>
              <w:rPr>
                <w:color w:val="000000" w:themeColor="text1"/>
                <w:sz w:val="20"/>
                <w:szCs w:val="20"/>
              </w:rPr>
            </w:pPr>
            <w:r w:rsidRPr="00AD43FB">
              <w:rPr>
                <w:b/>
                <w:sz w:val="20"/>
                <w:szCs w:val="20"/>
              </w:rPr>
              <w:t>DRF against interferon beta-1a</w:t>
            </w:r>
          </w:p>
        </w:tc>
      </w:tr>
      <w:tr w:rsidR="00544863" w:rsidRPr="00AD43FB" w14:paraId="03E2DB22" w14:textId="671EE4BC" w:rsidTr="00974EF1">
        <w:trPr>
          <w:trHeight w:val="300"/>
        </w:trPr>
        <w:tc>
          <w:tcPr>
            <w:tcW w:w="2197" w:type="pct"/>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028093A" w14:textId="58BCD9D8" w:rsidR="00544863" w:rsidRPr="00AD43FB" w:rsidRDefault="00544863" w:rsidP="00544863">
            <w:pPr>
              <w:pStyle w:val="Tabletext"/>
              <w:widowControl w:val="0"/>
              <w:rPr>
                <w:szCs w:val="20"/>
              </w:rPr>
            </w:pPr>
            <w:r w:rsidRPr="00AD43FB">
              <w:rPr>
                <w:szCs w:val="20"/>
              </w:rPr>
              <w:t xml:space="preserve">DIROXIMEL FUMARATE, </w:t>
            </w:r>
          </w:p>
          <w:p w14:paraId="23034D45" w14:textId="33069353" w:rsidR="00544863" w:rsidRPr="00AD43FB" w:rsidRDefault="00544863" w:rsidP="00544863">
            <w:pPr>
              <w:pStyle w:val="Tabletext"/>
              <w:widowControl w:val="0"/>
              <w:rPr>
                <w:szCs w:val="20"/>
              </w:rPr>
            </w:pPr>
            <w:r w:rsidRPr="00AD43FB">
              <w:rPr>
                <w:szCs w:val="20"/>
              </w:rPr>
              <w:t>231 mg capsules (continuing)</w:t>
            </w:r>
          </w:p>
        </w:tc>
        <w:tc>
          <w:tcPr>
            <w:tcW w:w="78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0B80424" w14:textId="49FD480F" w:rsidR="00544863" w:rsidRPr="00AD43FB" w:rsidRDefault="00544863" w:rsidP="00544863">
            <w:pPr>
              <w:pStyle w:val="tabletext1"/>
              <w:jc w:val="center"/>
              <w:rPr>
                <w:color w:val="000000"/>
                <w:sz w:val="20"/>
                <w:szCs w:val="20"/>
              </w:rPr>
            </w:pPr>
            <w:r w:rsidRPr="00AD43FB">
              <w:rPr>
                <w:color w:val="000000"/>
                <w:sz w:val="20"/>
                <w:szCs w:val="20"/>
              </w:rPr>
              <w:t>30</w:t>
            </w:r>
          </w:p>
        </w:tc>
        <w:tc>
          <w:tcPr>
            <w:tcW w:w="63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E83BC22" w14:textId="7D5D8DE2" w:rsidR="00544863" w:rsidRPr="00AD43FB" w:rsidRDefault="00544863" w:rsidP="00544863">
            <w:pPr>
              <w:pStyle w:val="tabletext1"/>
              <w:jc w:val="center"/>
              <w:rPr>
                <w:color w:val="000000" w:themeColor="text1"/>
                <w:sz w:val="20"/>
                <w:szCs w:val="20"/>
              </w:rPr>
            </w:pPr>
            <w:r w:rsidRPr="00AD43FB">
              <w:rPr>
                <w:sz w:val="20"/>
                <w:szCs w:val="20"/>
              </w:rPr>
              <w:t>$27.27</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ED54322" w14:textId="2485A727" w:rsidR="00544863" w:rsidRPr="00AD43FB" w:rsidRDefault="00544863" w:rsidP="00544863">
            <w:pPr>
              <w:pStyle w:val="tabletext1"/>
              <w:jc w:val="center"/>
              <w:rPr>
                <w:color w:val="000000" w:themeColor="text1"/>
                <w:sz w:val="20"/>
                <w:szCs w:val="20"/>
              </w:rPr>
            </w:pPr>
            <w:r w:rsidRPr="00AD43FB">
              <w:rPr>
                <w:sz w:val="20"/>
                <w:szCs w:val="20"/>
              </w:rPr>
              <w:t>$9,959.85</w:t>
            </w:r>
          </w:p>
        </w:tc>
        <w:tc>
          <w:tcPr>
            <w:tcW w:w="777" w:type="pct"/>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67D66F0" w14:textId="288A9265" w:rsidR="00544863" w:rsidRPr="00AD43FB" w:rsidRDefault="00544863" w:rsidP="00544863">
            <w:pPr>
              <w:pStyle w:val="tabletext1"/>
              <w:jc w:val="center"/>
              <w:rPr>
                <w:color w:val="000000" w:themeColor="text1"/>
                <w:sz w:val="20"/>
                <w:szCs w:val="20"/>
              </w:rPr>
            </w:pPr>
            <w:r w:rsidRPr="00AD43FB">
              <w:rPr>
                <w:sz w:val="20"/>
                <w:szCs w:val="20"/>
              </w:rPr>
              <w:t>$818.06</w:t>
            </w:r>
          </w:p>
        </w:tc>
      </w:tr>
      <w:tr w:rsidR="00544863" w:rsidRPr="00AD43FB" w14:paraId="37BE9FDE" w14:textId="3C30ACA9" w:rsidTr="00974EF1">
        <w:trPr>
          <w:trHeight w:val="300"/>
        </w:trPr>
        <w:tc>
          <w:tcPr>
            <w:tcW w:w="2197" w:type="pct"/>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7C2B079" w14:textId="766E88F7" w:rsidR="00544863" w:rsidRPr="00AD43FB" w:rsidRDefault="00544863" w:rsidP="00544863">
            <w:pPr>
              <w:pStyle w:val="Tabletext"/>
              <w:widowControl w:val="0"/>
              <w:rPr>
                <w:szCs w:val="20"/>
              </w:rPr>
            </w:pPr>
            <w:r w:rsidRPr="00AD43FB">
              <w:rPr>
                <w:szCs w:val="20"/>
              </w:rPr>
              <w:t>PBS item 8968B, 8403G</w:t>
            </w:r>
          </w:p>
          <w:p w14:paraId="02F902E1" w14:textId="73EDF062" w:rsidR="00544863" w:rsidRPr="00AD43FB" w:rsidRDefault="00544863" w:rsidP="00544863">
            <w:pPr>
              <w:pStyle w:val="Tabletext"/>
              <w:widowControl w:val="0"/>
              <w:rPr>
                <w:szCs w:val="20"/>
              </w:rPr>
            </w:pPr>
            <w:r w:rsidRPr="00AD43FB">
              <w:rPr>
                <w:szCs w:val="20"/>
              </w:rPr>
              <w:t>INTERFERON BETA-1A</w:t>
            </w:r>
          </w:p>
          <w:p w14:paraId="549C77E5" w14:textId="4E50A081" w:rsidR="00544863" w:rsidRPr="00AD43FB" w:rsidRDefault="00544863" w:rsidP="00544863">
            <w:pPr>
              <w:pStyle w:val="Tabletext"/>
              <w:widowControl w:val="0"/>
              <w:rPr>
                <w:szCs w:val="20"/>
              </w:rPr>
            </w:pPr>
            <w:r w:rsidRPr="00AD43FB">
              <w:rPr>
                <w:szCs w:val="20"/>
              </w:rPr>
              <w:t>SC injection 44 mcg/0.5 mL single dose pre-filled syringe (continuing)</w:t>
            </w:r>
          </w:p>
        </w:tc>
        <w:tc>
          <w:tcPr>
            <w:tcW w:w="78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1B081FB" w14:textId="1FEF0301" w:rsidR="00544863" w:rsidRPr="00AD43FB" w:rsidRDefault="00544863" w:rsidP="00544863">
            <w:pPr>
              <w:pStyle w:val="tabletext1"/>
              <w:jc w:val="center"/>
              <w:rPr>
                <w:color w:val="000000"/>
                <w:sz w:val="20"/>
                <w:szCs w:val="20"/>
              </w:rPr>
            </w:pPr>
            <w:r w:rsidRPr="00AD43FB">
              <w:rPr>
                <w:color w:val="000000"/>
                <w:sz w:val="20"/>
                <w:szCs w:val="20"/>
              </w:rPr>
              <w:t>28</w:t>
            </w:r>
          </w:p>
        </w:tc>
        <w:tc>
          <w:tcPr>
            <w:tcW w:w="63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B774257" w14:textId="1F60B214" w:rsidR="00544863" w:rsidRPr="00AD43FB" w:rsidRDefault="00544863" w:rsidP="00544863">
            <w:pPr>
              <w:pStyle w:val="tabletext1"/>
              <w:jc w:val="center"/>
              <w:rPr>
                <w:color w:val="000000" w:themeColor="text1"/>
                <w:sz w:val="20"/>
                <w:szCs w:val="20"/>
              </w:rPr>
            </w:pPr>
            <w:r w:rsidRPr="00AD43FB">
              <w:rPr>
                <w:sz w:val="20"/>
                <w:szCs w:val="20"/>
              </w:rPr>
              <w:t>$27.27</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938DA5F" w14:textId="18AD160D" w:rsidR="00544863" w:rsidRPr="00AD43FB" w:rsidRDefault="00544863" w:rsidP="00544863">
            <w:pPr>
              <w:pStyle w:val="tabletext1"/>
              <w:jc w:val="center"/>
              <w:rPr>
                <w:color w:val="000000" w:themeColor="text1"/>
                <w:sz w:val="20"/>
                <w:szCs w:val="20"/>
              </w:rPr>
            </w:pPr>
            <w:r w:rsidRPr="00AD43FB">
              <w:rPr>
                <w:sz w:val="20"/>
                <w:szCs w:val="20"/>
              </w:rPr>
              <w:t>$9,959.85</w:t>
            </w:r>
          </w:p>
        </w:tc>
        <w:tc>
          <w:tcPr>
            <w:tcW w:w="777" w:type="pct"/>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451E5563" w14:textId="31C70C53" w:rsidR="00544863" w:rsidRPr="00AD43FB" w:rsidRDefault="00544863" w:rsidP="00544863">
            <w:pPr>
              <w:pStyle w:val="tabletext1"/>
              <w:jc w:val="center"/>
              <w:rPr>
                <w:color w:val="000000" w:themeColor="text1"/>
                <w:sz w:val="20"/>
                <w:szCs w:val="20"/>
              </w:rPr>
            </w:pPr>
            <w:r w:rsidRPr="00AD43FB">
              <w:rPr>
                <w:sz w:val="20"/>
                <w:szCs w:val="20"/>
              </w:rPr>
              <w:t>$763.52</w:t>
            </w:r>
          </w:p>
        </w:tc>
      </w:tr>
      <w:tr w:rsidR="00544863" w:rsidRPr="00AD43FB" w14:paraId="489BC830" w14:textId="77DBC173" w:rsidTr="00974EF1">
        <w:trPr>
          <w:trHeight w:val="300"/>
        </w:trPr>
        <w:tc>
          <w:tcPr>
            <w:tcW w:w="2197" w:type="pct"/>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C7C35EF" w14:textId="27903793" w:rsidR="00544863" w:rsidRPr="00AD43FB" w:rsidRDefault="00544863" w:rsidP="00544863">
            <w:pPr>
              <w:pStyle w:val="Tabletext"/>
              <w:widowControl w:val="0"/>
              <w:rPr>
                <w:szCs w:val="20"/>
              </w:rPr>
            </w:pPr>
            <w:r w:rsidRPr="00AD43FB">
              <w:rPr>
                <w:szCs w:val="20"/>
              </w:rPr>
              <w:t>PBS item 8805K</w:t>
            </w:r>
          </w:p>
          <w:p w14:paraId="342DCA65" w14:textId="337FE4E8" w:rsidR="00544863" w:rsidRPr="00AD43FB" w:rsidRDefault="00544863" w:rsidP="00544863">
            <w:pPr>
              <w:pStyle w:val="Tabletext"/>
              <w:widowControl w:val="0"/>
              <w:rPr>
                <w:szCs w:val="20"/>
              </w:rPr>
            </w:pPr>
            <w:r w:rsidRPr="00AD43FB">
              <w:rPr>
                <w:szCs w:val="20"/>
              </w:rPr>
              <w:t>INTERFERON BETA-1A</w:t>
            </w:r>
          </w:p>
          <w:p w14:paraId="67ADD54C" w14:textId="029E6BCD" w:rsidR="00544863" w:rsidRPr="00AD43FB" w:rsidRDefault="00544863" w:rsidP="00544863">
            <w:pPr>
              <w:pStyle w:val="Tabletext"/>
              <w:widowControl w:val="0"/>
              <w:rPr>
                <w:szCs w:val="20"/>
              </w:rPr>
            </w:pPr>
            <w:r w:rsidRPr="00AD43FB">
              <w:rPr>
                <w:szCs w:val="20"/>
              </w:rPr>
              <w:t>Intramuscular injection 30 mcg/0.5 mL single dose pre-filled syringe (continuing)</w:t>
            </w:r>
          </w:p>
        </w:tc>
        <w:tc>
          <w:tcPr>
            <w:tcW w:w="78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2DCB621" w14:textId="444B5D2D" w:rsidR="00544863" w:rsidRPr="00AD43FB" w:rsidRDefault="00544863" w:rsidP="00544863">
            <w:pPr>
              <w:pStyle w:val="tabletext1"/>
              <w:jc w:val="center"/>
              <w:rPr>
                <w:color w:val="000000"/>
                <w:sz w:val="20"/>
                <w:szCs w:val="20"/>
              </w:rPr>
            </w:pPr>
            <w:r w:rsidRPr="00AD43FB">
              <w:rPr>
                <w:color w:val="000000"/>
                <w:sz w:val="20"/>
                <w:szCs w:val="20"/>
              </w:rPr>
              <w:t>28</w:t>
            </w:r>
          </w:p>
        </w:tc>
        <w:tc>
          <w:tcPr>
            <w:tcW w:w="63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843CA95" w14:textId="7F43E3DB" w:rsidR="00544863" w:rsidRPr="00AD43FB" w:rsidRDefault="00544863" w:rsidP="00544863">
            <w:pPr>
              <w:pStyle w:val="tabletext1"/>
              <w:jc w:val="center"/>
              <w:rPr>
                <w:color w:val="000000" w:themeColor="text1"/>
                <w:sz w:val="20"/>
                <w:szCs w:val="20"/>
              </w:rPr>
            </w:pPr>
            <w:r w:rsidRPr="00AD43FB">
              <w:rPr>
                <w:sz w:val="20"/>
                <w:szCs w:val="20"/>
              </w:rPr>
              <w:t>$27.27</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BBF919E" w14:textId="30518BA9" w:rsidR="00544863" w:rsidRPr="00AD43FB" w:rsidRDefault="00544863" w:rsidP="00544863">
            <w:pPr>
              <w:pStyle w:val="tabletext1"/>
              <w:jc w:val="center"/>
              <w:rPr>
                <w:color w:val="000000" w:themeColor="text1"/>
                <w:sz w:val="20"/>
                <w:szCs w:val="20"/>
              </w:rPr>
            </w:pPr>
            <w:r w:rsidRPr="00AD43FB">
              <w:rPr>
                <w:sz w:val="20"/>
                <w:szCs w:val="20"/>
              </w:rPr>
              <w:t>$9,959.85</w:t>
            </w:r>
          </w:p>
        </w:tc>
        <w:tc>
          <w:tcPr>
            <w:tcW w:w="777" w:type="pct"/>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F422BEC" w14:textId="77399A27" w:rsidR="00544863" w:rsidRPr="00AD43FB" w:rsidRDefault="00544863" w:rsidP="00544863">
            <w:pPr>
              <w:pStyle w:val="tabletext1"/>
              <w:jc w:val="center"/>
              <w:rPr>
                <w:color w:val="000000" w:themeColor="text1"/>
                <w:sz w:val="20"/>
                <w:szCs w:val="20"/>
              </w:rPr>
            </w:pPr>
            <w:r w:rsidRPr="00AD43FB">
              <w:rPr>
                <w:sz w:val="20"/>
                <w:szCs w:val="20"/>
              </w:rPr>
              <w:t>$763.52</w:t>
            </w:r>
          </w:p>
        </w:tc>
      </w:tr>
      <w:tr w:rsidR="00544863" w:rsidRPr="00AD43FB" w14:paraId="5DD3FC92" w14:textId="26130C3D" w:rsidTr="00974EF1">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703F4D3" w14:textId="1B68FF33" w:rsidR="00544863" w:rsidRPr="00AD43FB" w:rsidRDefault="00544863" w:rsidP="00544863">
            <w:pPr>
              <w:pStyle w:val="tabletext1"/>
              <w:rPr>
                <w:color w:val="000000" w:themeColor="text1"/>
                <w:sz w:val="20"/>
                <w:szCs w:val="20"/>
              </w:rPr>
            </w:pPr>
            <w:r w:rsidRPr="00AD43FB">
              <w:rPr>
                <w:b/>
                <w:sz w:val="20"/>
                <w:szCs w:val="20"/>
              </w:rPr>
              <w:t>DRF against interferon beta-1b</w:t>
            </w:r>
          </w:p>
        </w:tc>
      </w:tr>
      <w:tr w:rsidR="00544863" w:rsidRPr="00AD43FB" w14:paraId="06609A69" w14:textId="2BB51AF4" w:rsidTr="00974EF1">
        <w:trPr>
          <w:trHeight w:val="300"/>
        </w:trPr>
        <w:tc>
          <w:tcPr>
            <w:tcW w:w="2197" w:type="pct"/>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E520B38" w14:textId="4D07F941" w:rsidR="00544863" w:rsidRPr="00AD43FB" w:rsidRDefault="00544863" w:rsidP="00544863">
            <w:pPr>
              <w:pStyle w:val="Tabletext"/>
              <w:widowControl w:val="0"/>
              <w:rPr>
                <w:szCs w:val="20"/>
              </w:rPr>
            </w:pPr>
            <w:r w:rsidRPr="00AD43FB">
              <w:rPr>
                <w:szCs w:val="20"/>
              </w:rPr>
              <w:t xml:space="preserve">DIROXIMEL FUMARATE, </w:t>
            </w:r>
          </w:p>
          <w:p w14:paraId="119E6EC1" w14:textId="74D12D69" w:rsidR="00544863" w:rsidRPr="00AD43FB" w:rsidRDefault="00544863" w:rsidP="00544863">
            <w:pPr>
              <w:pStyle w:val="Tabletext"/>
              <w:widowControl w:val="0"/>
              <w:rPr>
                <w:szCs w:val="20"/>
              </w:rPr>
            </w:pPr>
            <w:r w:rsidRPr="00AD43FB">
              <w:rPr>
                <w:szCs w:val="20"/>
              </w:rPr>
              <w:t>231 mg capsules (continuing)</w:t>
            </w:r>
          </w:p>
        </w:tc>
        <w:tc>
          <w:tcPr>
            <w:tcW w:w="78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60BA481" w14:textId="6E896FE0" w:rsidR="00544863" w:rsidRPr="00AD43FB" w:rsidRDefault="00544863" w:rsidP="00544863">
            <w:pPr>
              <w:pStyle w:val="tabletext1"/>
              <w:jc w:val="center"/>
              <w:rPr>
                <w:color w:val="000000"/>
                <w:sz w:val="20"/>
                <w:szCs w:val="20"/>
              </w:rPr>
            </w:pPr>
            <w:r w:rsidRPr="00AD43FB">
              <w:rPr>
                <w:color w:val="000000"/>
                <w:sz w:val="20"/>
                <w:szCs w:val="20"/>
              </w:rPr>
              <w:t>30</w:t>
            </w:r>
          </w:p>
        </w:tc>
        <w:tc>
          <w:tcPr>
            <w:tcW w:w="63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7B299CC" w14:textId="72F69B8C" w:rsidR="00544863" w:rsidRPr="00AD43FB" w:rsidRDefault="00544863" w:rsidP="00544863">
            <w:pPr>
              <w:pStyle w:val="tabletext1"/>
              <w:jc w:val="center"/>
              <w:rPr>
                <w:color w:val="000000" w:themeColor="text1"/>
                <w:sz w:val="20"/>
                <w:szCs w:val="20"/>
              </w:rPr>
            </w:pPr>
            <w:r w:rsidRPr="00AD43FB">
              <w:rPr>
                <w:sz w:val="20"/>
                <w:szCs w:val="20"/>
              </w:rPr>
              <w:t>$29.64</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9C2CBAC" w14:textId="781A57C4" w:rsidR="00544863" w:rsidRPr="00AD43FB" w:rsidRDefault="00544863" w:rsidP="00544863">
            <w:pPr>
              <w:pStyle w:val="tabletext1"/>
              <w:jc w:val="center"/>
              <w:rPr>
                <w:color w:val="000000" w:themeColor="text1"/>
                <w:sz w:val="20"/>
                <w:szCs w:val="20"/>
              </w:rPr>
            </w:pPr>
            <w:r w:rsidRPr="00AD43FB">
              <w:rPr>
                <w:sz w:val="20"/>
                <w:szCs w:val="20"/>
              </w:rPr>
              <w:t>$10,826.86</w:t>
            </w:r>
          </w:p>
        </w:tc>
        <w:tc>
          <w:tcPr>
            <w:tcW w:w="777" w:type="pct"/>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10C77E6" w14:textId="67F7E265" w:rsidR="00544863" w:rsidRPr="00AD43FB" w:rsidRDefault="00544863" w:rsidP="00544863">
            <w:pPr>
              <w:pStyle w:val="tabletext1"/>
              <w:jc w:val="center"/>
              <w:rPr>
                <w:color w:val="000000" w:themeColor="text1"/>
                <w:sz w:val="20"/>
                <w:szCs w:val="20"/>
              </w:rPr>
            </w:pPr>
            <w:r w:rsidRPr="00AD43FB">
              <w:rPr>
                <w:sz w:val="20"/>
                <w:szCs w:val="20"/>
              </w:rPr>
              <w:t>$889.27</w:t>
            </w:r>
          </w:p>
        </w:tc>
      </w:tr>
      <w:tr w:rsidR="00544863" w:rsidRPr="00AD43FB" w14:paraId="0D8E254B" w14:textId="4294475C" w:rsidTr="00974EF1">
        <w:trPr>
          <w:trHeight w:val="300"/>
        </w:trPr>
        <w:tc>
          <w:tcPr>
            <w:tcW w:w="2197" w:type="pct"/>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2D95B830" w14:textId="3A580D34" w:rsidR="00544863" w:rsidRPr="00AD43FB" w:rsidRDefault="00544863" w:rsidP="00544863">
            <w:pPr>
              <w:pStyle w:val="Tabletext"/>
              <w:widowControl w:val="0"/>
              <w:rPr>
                <w:szCs w:val="20"/>
              </w:rPr>
            </w:pPr>
            <w:r w:rsidRPr="00AD43FB">
              <w:rPr>
                <w:szCs w:val="20"/>
              </w:rPr>
              <w:t>PBS item 8101J</w:t>
            </w:r>
          </w:p>
          <w:p w14:paraId="63C7E406" w14:textId="074E0E81" w:rsidR="00544863" w:rsidRPr="00AD43FB" w:rsidRDefault="00544863" w:rsidP="00544863">
            <w:pPr>
              <w:pStyle w:val="Tabletext"/>
              <w:widowControl w:val="0"/>
              <w:rPr>
                <w:szCs w:val="20"/>
              </w:rPr>
            </w:pPr>
            <w:r w:rsidRPr="00AD43FB">
              <w:rPr>
                <w:szCs w:val="20"/>
              </w:rPr>
              <w:t xml:space="preserve">INTERFERON BETA-1B </w:t>
            </w:r>
          </w:p>
          <w:p w14:paraId="22C0B0CF" w14:textId="054104A5" w:rsidR="00544863" w:rsidRPr="00AD43FB" w:rsidRDefault="00544863" w:rsidP="00544863">
            <w:pPr>
              <w:pStyle w:val="Tabletext"/>
              <w:widowControl w:val="0"/>
              <w:rPr>
                <w:szCs w:val="20"/>
              </w:rPr>
            </w:pPr>
            <w:r w:rsidRPr="00AD43FB">
              <w:rPr>
                <w:szCs w:val="20"/>
              </w:rPr>
              <w:t>SC injection set [15 vials] of 250mcg (continuing)</w:t>
            </w:r>
          </w:p>
        </w:tc>
        <w:tc>
          <w:tcPr>
            <w:tcW w:w="78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54BAD9F" w14:textId="20A1A608" w:rsidR="00544863" w:rsidRPr="00AD43FB" w:rsidRDefault="00544863" w:rsidP="00544863">
            <w:pPr>
              <w:pStyle w:val="tabletext1"/>
              <w:jc w:val="center"/>
              <w:rPr>
                <w:color w:val="000000"/>
                <w:sz w:val="20"/>
                <w:szCs w:val="20"/>
              </w:rPr>
            </w:pPr>
            <w:r w:rsidRPr="00AD43FB">
              <w:rPr>
                <w:color w:val="000000"/>
                <w:sz w:val="20"/>
                <w:szCs w:val="20"/>
              </w:rPr>
              <w:t>30</w:t>
            </w:r>
          </w:p>
        </w:tc>
        <w:tc>
          <w:tcPr>
            <w:tcW w:w="63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3507DFC" w14:textId="4FE223FB" w:rsidR="00544863" w:rsidRPr="00AD43FB" w:rsidRDefault="00544863" w:rsidP="00544863">
            <w:pPr>
              <w:pStyle w:val="tabletext1"/>
              <w:jc w:val="center"/>
              <w:rPr>
                <w:color w:val="000000" w:themeColor="text1"/>
                <w:sz w:val="20"/>
                <w:szCs w:val="20"/>
              </w:rPr>
            </w:pPr>
            <w:r w:rsidRPr="00AD43FB">
              <w:rPr>
                <w:sz w:val="20"/>
                <w:szCs w:val="20"/>
              </w:rPr>
              <w:t>$29.64</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1FE027D" w14:textId="42F2F38B" w:rsidR="00544863" w:rsidRPr="00AD43FB" w:rsidRDefault="00544863" w:rsidP="00544863">
            <w:pPr>
              <w:pStyle w:val="tabletext1"/>
              <w:jc w:val="center"/>
              <w:rPr>
                <w:color w:val="000000" w:themeColor="text1"/>
                <w:sz w:val="20"/>
                <w:szCs w:val="20"/>
              </w:rPr>
            </w:pPr>
            <w:r w:rsidRPr="00AD43FB">
              <w:rPr>
                <w:sz w:val="20"/>
                <w:szCs w:val="20"/>
              </w:rPr>
              <w:t>$10,826.86</w:t>
            </w:r>
          </w:p>
        </w:tc>
        <w:tc>
          <w:tcPr>
            <w:tcW w:w="777" w:type="pct"/>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18B25C5D" w14:textId="2FAE08CC" w:rsidR="00544863" w:rsidRPr="00AD43FB" w:rsidRDefault="00544863" w:rsidP="00544863">
            <w:pPr>
              <w:pStyle w:val="tabletext1"/>
              <w:jc w:val="center"/>
              <w:rPr>
                <w:color w:val="000000" w:themeColor="text1"/>
                <w:sz w:val="20"/>
                <w:szCs w:val="20"/>
              </w:rPr>
            </w:pPr>
            <w:r w:rsidRPr="00AD43FB">
              <w:rPr>
                <w:sz w:val="20"/>
                <w:szCs w:val="20"/>
              </w:rPr>
              <w:t>$889.27</w:t>
            </w:r>
          </w:p>
        </w:tc>
      </w:tr>
      <w:tr w:rsidR="00544863" w:rsidRPr="00AD43FB" w14:paraId="143BB450" w14:textId="6FDD1547" w:rsidTr="00974EF1">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3E245E20" w14:textId="215C600A" w:rsidR="00544863" w:rsidRPr="00AD43FB" w:rsidRDefault="00544863" w:rsidP="00544863">
            <w:pPr>
              <w:pStyle w:val="tabletext1"/>
              <w:rPr>
                <w:color w:val="000000" w:themeColor="text1"/>
                <w:sz w:val="20"/>
                <w:szCs w:val="20"/>
              </w:rPr>
            </w:pPr>
            <w:r w:rsidRPr="00AD43FB">
              <w:rPr>
                <w:b/>
                <w:sz w:val="20"/>
                <w:szCs w:val="20"/>
              </w:rPr>
              <w:t>DRF against peginterferon beta-1a</w:t>
            </w:r>
          </w:p>
        </w:tc>
      </w:tr>
      <w:tr w:rsidR="00544863" w:rsidRPr="00AD43FB" w14:paraId="4C9540E3" w14:textId="6D8DE624" w:rsidTr="00974EF1">
        <w:trPr>
          <w:trHeight w:val="300"/>
        </w:trPr>
        <w:tc>
          <w:tcPr>
            <w:tcW w:w="2197" w:type="pct"/>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56C724AE" w14:textId="2D6238C4" w:rsidR="00544863" w:rsidRPr="00AD43FB" w:rsidRDefault="00544863" w:rsidP="00544863">
            <w:pPr>
              <w:pStyle w:val="Tabletext"/>
              <w:widowControl w:val="0"/>
              <w:rPr>
                <w:szCs w:val="20"/>
              </w:rPr>
            </w:pPr>
            <w:r w:rsidRPr="00AD43FB">
              <w:rPr>
                <w:szCs w:val="20"/>
              </w:rPr>
              <w:t xml:space="preserve">DIROXIMEL FUMARATE, </w:t>
            </w:r>
          </w:p>
          <w:p w14:paraId="66D4960E" w14:textId="16F91A6B" w:rsidR="00544863" w:rsidRPr="00AD43FB" w:rsidRDefault="00544863" w:rsidP="00544863">
            <w:pPr>
              <w:pStyle w:val="Tabletext"/>
              <w:widowControl w:val="0"/>
              <w:rPr>
                <w:szCs w:val="20"/>
              </w:rPr>
            </w:pPr>
            <w:r w:rsidRPr="00AD43FB">
              <w:rPr>
                <w:szCs w:val="20"/>
              </w:rPr>
              <w:t>231 mg capsules (continuing)</w:t>
            </w:r>
          </w:p>
        </w:tc>
        <w:tc>
          <w:tcPr>
            <w:tcW w:w="78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48D731A" w14:textId="13253C62" w:rsidR="00544863" w:rsidRPr="00AD43FB" w:rsidRDefault="00544863" w:rsidP="00544863">
            <w:pPr>
              <w:pStyle w:val="tabletext1"/>
              <w:jc w:val="center"/>
              <w:rPr>
                <w:color w:val="000000"/>
                <w:sz w:val="20"/>
                <w:szCs w:val="20"/>
              </w:rPr>
            </w:pPr>
            <w:r w:rsidRPr="00AD43FB">
              <w:rPr>
                <w:color w:val="000000"/>
                <w:sz w:val="20"/>
                <w:szCs w:val="20"/>
              </w:rPr>
              <w:t>30</w:t>
            </w:r>
          </w:p>
        </w:tc>
        <w:tc>
          <w:tcPr>
            <w:tcW w:w="63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41856205" w14:textId="4E98DFCC" w:rsidR="00544863" w:rsidRPr="00AD43FB" w:rsidRDefault="00544863" w:rsidP="00544863">
            <w:pPr>
              <w:pStyle w:val="tabletext1"/>
              <w:jc w:val="center"/>
              <w:rPr>
                <w:color w:val="000000" w:themeColor="text1"/>
                <w:sz w:val="20"/>
                <w:szCs w:val="20"/>
              </w:rPr>
            </w:pPr>
            <w:r w:rsidRPr="00AD43FB">
              <w:rPr>
                <w:sz w:val="20"/>
                <w:szCs w:val="20"/>
              </w:rPr>
              <w:t>$31.89</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50E2EC9" w14:textId="62ADCD7A" w:rsidR="00544863" w:rsidRPr="00AD43FB" w:rsidRDefault="00544863" w:rsidP="00544863">
            <w:pPr>
              <w:pStyle w:val="tabletext1"/>
              <w:jc w:val="center"/>
              <w:rPr>
                <w:color w:val="000000" w:themeColor="text1"/>
                <w:sz w:val="20"/>
                <w:szCs w:val="20"/>
              </w:rPr>
            </w:pPr>
            <w:r w:rsidRPr="00AD43FB">
              <w:rPr>
                <w:sz w:val="20"/>
                <w:szCs w:val="20"/>
              </w:rPr>
              <w:t>$11,649.00</w:t>
            </w:r>
          </w:p>
        </w:tc>
        <w:tc>
          <w:tcPr>
            <w:tcW w:w="777" w:type="pct"/>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C25AE1B" w14:textId="563C9786" w:rsidR="00544863" w:rsidRPr="00AD43FB" w:rsidRDefault="00544863" w:rsidP="00544863">
            <w:pPr>
              <w:pStyle w:val="tabletext1"/>
              <w:jc w:val="center"/>
              <w:rPr>
                <w:color w:val="000000" w:themeColor="text1"/>
                <w:sz w:val="20"/>
                <w:szCs w:val="20"/>
              </w:rPr>
            </w:pPr>
            <w:r w:rsidRPr="00AD43FB">
              <w:rPr>
                <w:sz w:val="20"/>
                <w:szCs w:val="20"/>
              </w:rPr>
              <w:t>$956.80</w:t>
            </w:r>
          </w:p>
        </w:tc>
      </w:tr>
      <w:tr w:rsidR="00544863" w:rsidRPr="00AD43FB" w14:paraId="6ACF3983" w14:textId="4B1EDB60" w:rsidTr="00974EF1">
        <w:trPr>
          <w:trHeight w:val="300"/>
        </w:trPr>
        <w:tc>
          <w:tcPr>
            <w:tcW w:w="2197" w:type="pct"/>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6C442E9C" w14:textId="083BF989" w:rsidR="00544863" w:rsidRPr="00AD43FB" w:rsidRDefault="00544863" w:rsidP="00544863">
            <w:pPr>
              <w:pStyle w:val="Tabletext"/>
              <w:widowControl w:val="0"/>
              <w:rPr>
                <w:szCs w:val="20"/>
              </w:rPr>
            </w:pPr>
            <w:r w:rsidRPr="00AD43FB">
              <w:rPr>
                <w:szCs w:val="20"/>
              </w:rPr>
              <w:t>PBS item 10212L, 10220X</w:t>
            </w:r>
          </w:p>
          <w:p w14:paraId="0EBD0605" w14:textId="6C4E961B" w:rsidR="00544863" w:rsidRPr="00AD43FB" w:rsidRDefault="00544863" w:rsidP="00544863">
            <w:pPr>
              <w:pStyle w:val="Tabletext"/>
              <w:widowControl w:val="0"/>
              <w:rPr>
                <w:szCs w:val="20"/>
              </w:rPr>
            </w:pPr>
            <w:r w:rsidRPr="00AD43FB">
              <w:rPr>
                <w:szCs w:val="20"/>
              </w:rPr>
              <w:t>PEGINTERFERON BETA-1A</w:t>
            </w:r>
          </w:p>
          <w:p w14:paraId="33C1A724" w14:textId="6CC99141" w:rsidR="00544863" w:rsidRPr="00AD43FB" w:rsidRDefault="00544863" w:rsidP="00544863">
            <w:pPr>
              <w:pStyle w:val="Tabletext"/>
              <w:widowControl w:val="0"/>
              <w:rPr>
                <w:szCs w:val="20"/>
              </w:rPr>
            </w:pPr>
            <w:r w:rsidRPr="00AD43FB">
              <w:rPr>
                <w:szCs w:val="20"/>
              </w:rPr>
              <w:t>Single use injection pen 125 mcg/0.5mL (continuing)</w:t>
            </w:r>
          </w:p>
        </w:tc>
        <w:tc>
          <w:tcPr>
            <w:tcW w:w="78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2735DDEE" w14:textId="385FED31" w:rsidR="00544863" w:rsidRPr="00AD43FB" w:rsidRDefault="00544863" w:rsidP="00544863">
            <w:pPr>
              <w:pStyle w:val="tabletext1"/>
              <w:jc w:val="center"/>
              <w:rPr>
                <w:color w:val="000000"/>
                <w:sz w:val="20"/>
                <w:szCs w:val="20"/>
              </w:rPr>
            </w:pPr>
            <w:r w:rsidRPr="00AD43FB">
              <w:rPr>
                <w:color w:val="000000"/>
                <w:sz w:val="20"/>
                <w:szCs w:val="20"/>
              </w:rPr>
              <w:t>28</w:t>
            </w:r>
          </w:p>
        </w:tc>
        <w:tc>
          <w:tcPr>
            <w:tcW w:w="63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588FC2BC" w14:textId="59B4DF9E" w:rsidR="00544863" w:rsidRPr="00AD43FB" w:rsidRDefault="00544863" w:rsidP="00544863">
            <w:pPr>
              <w:pStyle w:val="tabletext1"/>
              <w:jc w:val="center"/>
              <w:rPr>
                <w:color w:val="000000" w:themeColor="text1"/>
                <w:sz w:val="20"/>
                <w:szCs w:val="20"/>
              </w:rPr>
            </w:pPr>
            <w:r w:rsidRPr="00AD43FB">
              <w:rPr>
                <w:sz w:val="20"/>
                <w:szCs w:val="20"/>
              </w:rPr>
              <w:t>$31.89</w:t>
            </w:r>
          </w:p>
        </w:tc>
        <w:tc>
          <w:tcPr>
            <w:tcW w:w="608"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E2E86E2" w14:textId="3FC84CC4" w:rsidR="00544863" w:rsidRPr="00AD43FB" w:rsidRDefault="00544863" w:rsidP="00544863">
            <w:pPr>
              <w:pStyle w:val="tabletext1"/>
              <w:jc w:val="center"/>
              <w:rPr>
                <w:color w:val="000000" w:themeColor="text1"/>
                <w:sz w:val="20"/>
                <w:szCs w:val="20"/>
              </w:rPr>
            </w:pPr>
            <w:r w:rsidRPr="00AD43FB">
              <w:rPr>
                <w:sz w:val="20"/>
                <w:szCs w:val="20"/>
              </w:rPr>
              <w:t>$11,649.00</w:t>
            </w:r>
          </w:p>
        </w:tc>
        <w:tc>
          <w:tcPr>
            <w:tcW w:w="777" w:type="pct"/>
            <w:tcBorders>
              <w:top w:val="single" w:sz="4" w:space="0" w:color="auto"/>
              <w:left w:val="single" w:sz="4" w:space="0" w:color="auto"/>
              <w:bottom w:val="single" w:sz="4" w:space="0" w:color="auto"/>
              <w:right w:val="single" w:sz="4" w:space="0" w:color="auto"/>
            </w:tcBorders>
            <w:shd w:val="clear" w:color="auto" w:fill="FFFFFF"/>
            <w:noWrap/>
            <w:tcMar>
              <w:top w:w="0" w:type="dxa"/>
              <w:left w:w="57" w:type="dxa"/>
              <w:bottom w:w="0" w:type="dxa"/>
              <w:right w:w="57" w:type="dxa"/>
            </w:tcMar>
            <w:vAlign w:val="center"/>
          </w:tcPr>
          <w:p w14:paraId="79F944BF" w14:textId="6779EA50" w:rsidR="00544863" w:rsidRPr="00AD43FB" w:rsidRDefault="00544863" w:rsidP="00544863">
            <w:pPr>
              <w:pStyle w:val="tabletext1"/>
              <w:jc w:val="center"/>
              <w:rPr>
                <w:color w:val="000000" w:themeColor="text1"/>
                <w:sz w:val="20"/>
                <w:szCs w:val="20"/>
              </w:rPr>
            </w:pPr>
            <w:r w:rsidRPr="00AD43FB">
              <w:rPr>
                <w:sz w:val="20"/>
                <w:szCs w:val="20"/>
              </w:rPr>
              <w:t>$893.01</w:t>
            </w:r>
          </w:p>
        </w:tc>
      </w:tr>
    </w:tbl>
    <w:p w14:paraId="0223B5CF" w14:textId="49AEA370" w:rsidR="009B08A5" w:rsidRPr="00AD43FB" w:rsidRDefault="009B08A5" w:rsidP="009B08A5">
      <w:pPr>
        <w:pStyle w:val="TableFigureFooter"/>
        <w:rPr>
          <w:szCs w:val="18"/>
        </w:rPr>
      </w:pPr>
      <w:r>
        <w:rPr>
          <w:szCs w:val="18"/>
        </w:rPr>
        <w:t xml:space="preserve">Source: </w:t>
      </w:r>
      <w:r w:rsidR="00974EF1" w:rsidRPr="00974EF1">
        <w:rPr>
          <w:szCs w:val="18"/>
        </w:rPr>
        <w:t>Conducted during the evaluation</w:t>
      </w:r>
      <w:r w:rsidR="00974EF1">
        <w:rPr>
          <w:i/>
          <w:iCs/>
          <w:szCs w:val="18"/>
        </w:rPr>
        <w:t xml:space="preserve">. </w:t>
      </w:r>
      <w:r w:rsidR="00974EF1" w:rsidRPr="00AD43FB">
        <w:rPr>
          <w:szCs w:val="18"/>
        </w:rPr>
        <w:t>Updated</w:t>
      </w:r>
      <w:r w:rsidRPr="00AD43FB">
        <w:rPr>
          <w:szCs w:val="18"/>
        </w:rPr>
        <w:t xml:space="preserve"> by the</w:t>
      </w:r>
      <w:r w:rsidR="00974EF1" w:rsidRPr="00AD43FB">
        <w:rPr>
          <w:szCs w:val="18"/>
        </w:rPr>
        <w:t xml:space="preserve"> PBAC</w:t>
      </w:r>
      <w:r w:rsidRPr="00AD43FB">
        <w:rPr>
          <w:szCs w:val="18"/>
        </w:rPr>
        <w:t xml:space="preserve"> Secretariat following 1 February 2022 price publication</w:t>
      </w:r>
      <w:r w:rsidR="00AD43FB">
        <w:rPr>
          <w:szCs w:val="18"/>
        </w:rPr>
        <w:t xml:space="preserve"> (accounting for a correction to the DMF price noted in the Pre-PBAC Response)</w:t>
      </w:r>
      <w:r w:rsidRPr="00AD43FB">
        <w:rPr>
          <w:szCs w:val="18"/>
        </w:rPr>
        <w:t>.</w:t>
      </w:r>
    </w:p>
    <w:p w14:paraId="2F027974" w14:textId="033AA6E3" w:rsidR="009B08A5" w:rsidRPr="005966CD" w:rsidRDefault="009B08A5" w:rsidP="009B08A5">
      <w:pPr>
        <w:pStyle w:val="TableFigureFooter"/>
        <w:rPr>
          <w:szCs w:val="18"/>
        </w:rPr>
      </w:pPr>
      <w:r>
        <w:rPr>
          <w:szCs w:val="18"/>
        </w:rPr>
        <w:t xml:space="preserve">Abbreviations: </w:t>
      </w:r>
      <w:r w:rsidR="00974EF1" w:rsidRPr="00974EF1">
        <w:rPr>
          <w:szCs w:val="18"/>
        </w:rPr>
        <w:t>AEMP, approved ex-manufacturer price; mg, milligram; mcg, microgram; PBS, Pharmaceutical Benefits Scheme; qty, quantity; SC, subcutaneous</w:t>
      </w:r>
    </w:p>
    <w:p w14:paraId="1C832F19" w14:textId="77777777" w:rsidR="005E2886" w:rsidRDefault="005E2886" w:rsidP="005E2886">
      <w:pPr>
        <w:pStyle w:val="4-SubsectionHeading"/>
      </w:pPr>
      <w:bookmarkStart w:id="30" w:name="_Toc22897646"/>
      <w:bookmarkStart w:id="31" w:name="_Toc93478636"/>
      <w:r>
        <w:t xml:space="preserve">Drug </w:t>
      </w:r>
      <w:r w:rsidRPr="002C2775">
        <w:t>cost/patient/year</w:t>
      </w:r>
      <w:bookmarkEnd w:id="30"/>
      <w:bookmarkEnd w:id="31"/>
    </w:p>
    <w:p w14:paraId="2DBB2649" w14:textId="13F451C3" w:rsidR="00D20992" w:rsidRDefault="00D20992" w:rsidP="00D20992">
      <w:pPr>
        <w:pStyle w:val="3-BodyText"/>
      </w:pPr>
      <w:r>
        <w:t xml:space="preserve">The </w:t>
      </w:r>
      <w:r w:rsidR="00D122BA">
        <w:t>s</w:t>
      </w:r>
      <w:r w:rsidR="00A23FDF">
        <w:t>ubmission</w:t>
      </w:r>
      <w:r>
        <w:t xml:space="preserve"> </w:t>
      </w:r>
      <w:r w:rsidR="00552C47">
        <w:t>estimate</w:t>
      </w:r>
      <w:r w:rsidR="00D73498">
        <w:t>d</w:t>
      </w:r>
      <w:r w:rsidR="00552C47">
        <w:t xml:space="preserve"> </w:t>
      </w:r>
      <w:r>
        <w:t>the annual cost of DRF</w:t>
      </w:r>
      <w:r w:rsidR="00552C47">
        <w:t xml:space="preserve"> maintenance</w:t>
      </w:r>
      <w:r>
        <w:t xml:space="preserve">, based on the </w:t>
      </w:r>
      <w:r w:rsidR="00552C47">
        <w:t xml:space="preserve">proposed </w:t>
      </w:r>
      <w:r w:rsidR="00914DA1">
        <w:t xml:space="preserve">published </w:t>
      </w:r>
      <w:r>
        <w:t>AEMP, as</w:t>
      </w:r>
      <w:r w:rsidR="00552C47">
        <w:t xml:space="preserve">: </w:t>
      </w:r>
    </w:p>
    <w:p w14:paraId="7FB886F9" w14:textId="3DB8D3BF" w:rsidR="00D20992" w:rsidRDefault="00D20992" w:rsidP="00D20992">
      <w:pPr>
        <w:pStyle w:val="ListParagraph"/>
        <w:ind w:left="1077" w:hanging="357"/>
      </w:pPr>
      <w:r w:rsidRPr="00B8508D">
        <w:t>$</w:t>
      </w:r>
      <w:r w:rsidR="00552C47" w:rsidRPr="00552C47">
        <w:t>15,254.41</w:t>
      </w:r>
      <w:r>
        <w:t xml:space="preserve"> per patient per year, for </w:t>
      </w:r>
      <w:r w:rsidR="00973A67" w:rsidRPr="00973A67">
        <w:rPr>
          <w:iCs/>
        </w:rPr>
        <w:t>924 mg per day (2 x 231 mg capsules BID)</w:t>
      </w:r>
      <w:r>
        <w:t xml:space="preserve">. </w:t>
      </w:r>
    </w:p>
    <w:p w14:paraId="310235F8" w14:textId="25486B2F" w:rsidR="005E2886" w:rsidRPr="0084008F" w:rsidRDefault="00244D38" w:rsidP="0084008F">
      <w:pPr>
        <w:pStyle w:val="3-BodyText"/>
      </w:pPr>
      <w:r w:rsidRPr="005F2B71">
        <w:t>Based on 1 February 2022 prices</w:t>
      </w:r>
      <w:r>
        <w:rPr>
          <w:i/>
          <w:iCs/>
        </w:rPr>
        <w:t xml:space="preserve">, </w:t>
      </w:r>
      <w:r w:rsidR="00651BC3">
        <w:t>i</w:t>
      </w:r>
      <w:r w:rsidR="005E3351" w:rsidRPr="00031CDD">
        <w:t>f DRF is cost-minimised against other alternative treatments for the same target population, the annual cost per patient would range from $</w:t>
      </w:r>
      <w:r w:rsidR="00651BC3" w:rsidRPr="00031CDD">
        <w:t xml:space="preserve">5,670.77 </w:t>
      </w:r>
      <w:r w:rsidR="005E3351" w:rsidRPr="00031CDD">
        <w:t xml:space="preserve">(cost minimised against </w:t>
      </w:r>
      <w:r w:rsidR="005F4837">
        <w:t>t</w:t>
      </w:r>
      <w:r w:rsidR="005E3351" w:rsidRPr="00031CDD">
        <w:t>eriflunomide</w:t>
      </w:r>
      <w:r w:rsidR="005F2B71">
        <w:t>)</w:t>
      </w:r>
      <w:r w:rsidR="005E3351" w:rsidRPr="00031CDD">
        <w:t xml:space="preserve"> to </w:t>
      </w:r>
      <w:r w:rsidR="00850292" w:rsidRPr="00031CDD">
        <w:t xml:space="preserve">$11,649.00 </w:t>
      </w:r>
      <w:r w:rsidR="005E3351" w:rsidRPr="00031CDD">
        <w:t xml:space="preserve">(cost minimised against </w:t>
      </w:r>
      <w:r w:rsidR="005F4837">
        <w:t>p</w:t>
      </w:r>
      <w:r w:rsidR="005E3351" w:rsidRPr="00031CDD">
        <w:t>eginterferon beta-1a</w:t>
      </w:r>
      <w:r w:rsidR="00651BC3">
        <w:t>)</w:t>
      </w:r>
      <w:r w:rsidR="0027070F" w:rsidRPr="00031CDD">
        <w:t xml:space="preserve">. </w:t>
      </w:r>
      <w:r w:rsidR="00E64DDD" w:rsidRPr="0084008F">
        <w:rPr>
          <w:i/>
          <w:iCs/>
        </w:rPr>
        <w:t xml:space="preserve">                                                   </w:t>
      </w:r>
      <w:r w:rsidR="00A360C0" w:rsidRPr="0084008F">
        <w:rPr>
          <w:i/>
          <w:iCs/>
        </w:rPr>
        <w:t xml:space="preserve">            </w:t>
      </w:r>
    </w:p>
    <w:p w14:paraId="4784EBDA" w14:textId="78BA7A6D" w:rsidR="00F21A3E" w:rsidRPr="00C9624D" w:rsidRDefault="00F21A3E" w:rsidP="00F21A3E">
      <w:pPr>
        <w:pStyle w:val="4-SubsectionHeading"/>
      </w:pPr>
      <w:bookmarkStart w:id="32" w:name="_Toc93478637"/>
      <w:r w:rsidRPr="00C9624D">
        <w:t>Estimated PBS usage &amp; financial implications</w:t>
      </w:r>
      <w:bookmarkEnd w:id="29"/>
      <w:bookmarkEnd w:id="32"/>
    </w:p>
    <w:p w14:paraId="0773A00F" w14:textId="69F4F194" w:rsidR="0027070F" w:rsidRPr="00772C4A" w:rsidRDefault="00F21A3E" w:rsidP="00F21A3E">
      <w:pPr>
        <w:pStyle w:val="3-BodyText"/>
        <w:rPr>
          <w:color w:val="0066FF"/>
        </w:rPr>
      </w:pPr>
      <w:r>
        <w:t xml:space="preserve">This </w:t>
      </w:r>
      <w:r w:rsidR="00854DF6">
        <w:t>s</w:t>
      </w:r>
      <w:r w:rsidR="00A23FDF">
        <w:t>ubmission</w:t>
      </w:r>
      <w:r w:rsidRPr="00772C4A">
        <w:t xml:space="preserve"> w</w:t>
      </w:r>
      <w:r w:rsidR="0095758D">
        <w:t>as</w:t>
      </w:r>
      <w:r w:rsidRPr="00772C4A">
        <w:t xml:space="preserve"> not considered by DUSC</w:t>
      </w:r>
      <w:r w:rsidRPr="00772C4A">
        <w:rPr>
          <w:color w:val="0070C0"/>
        </w:rPr>
        <w:t xml:space="preserve">. </w:t>
      </w:r>
    </w:p>
    <w:p w14:paraId="5158F558" w14:textId="70D6833A" w:rsidR="00F21A3E" w:rsidRPr="00BB60F3" w:rsidRDefault="00BB60F3" w:rsidP="00F21A3E">
      <w:pPr>
        <w:pStyle w:val="3-BodyText"/>
        <w:rPr>
          <w:color w:val="0066FF"/>
        </w:rPr>
      </w:pPr>
      <w:r w:rsidRPr="008175BF">
        <w:t xml:space="preserve">The </w:t>
      </w:r>
      <w:r w:rsidR="00854DF6">
        <w:t>s</w:t>
      </w:r>
      <w:r w:rsidR="00A23FDF">
        <w:t>ubmission</w:t>
      </w:r>
      <w:r>
        <w:t xml:space="preserve"> applied a market share approach (based on PBS and RPBS prescriptions</w:t>
      </w:r>
      <w:r>
        <w:rPr>
          <w:rFonts w:eastAsia="SimSun"/>
          <w:lang w:eastAsia="zh-CN"/>
        </w:rPr>
        <w:t xml:space="preserve">) </w:t>
      </w:r>
      <w:r>
        <w:t xml:space="preserve">to estimate the impact of DRF use on the PBS budget. </w:t>
      </w:r>
    </w:p>
    <w:p w14:paraId="476E00B1" w14:textId="7692C0DD" w:rsidR="00BB60F3" w:rsidRPr="00BB60F3" w:rsidRDefault="00AC2A6D" w:rsidP="00BB60F3">
      <w:pPr>
        <w:pStyle w:val="3-BodyText"/>
      </w:pPr>
      <w:r>
        <w:t xml:space="preserve">The data sources and key inputs are shown in Table </w:t>
      </w:r>
      <w:r w:rsidR="001B63D0">
        <w:t>8</w:t>
      </w:r>
      <w:r>
        <w:t xml:space="preserve"> below. </w:t>
      </w:r>
      <w:r w:rsidR="00BB60F3" w:rsidRPr="00BB60F3">
        <w:t xml:space="preserve">The key assumptions </w:t>
      </w:r>
      <w:r w:rsidR="00BB60F3">
        <w:t xml:space="preserve">of the financial estimates </w:t>
      </w:r>
      <w:r w:rsidR="00BB60F3" w:rsidRPr="00BB60F3">
        <w:t xml:space="preserve">include: </w:t>
      </w:r>
    </w:p>
    <w:p w14:paraId="08C98307" w14:textId="7C3130D9" w:rsidR="00BB60F3" w:rsidRPr="00031CDD" w:rsidRDefault="00BB60F3" w:rsidP="00DD17C1">
      <w:pPr>
        <w:pStyle w:val="3-BodyText"/>
        <w:numPr>
          <w:ilvl w:val="0"/>
          <w:numId w:val="25"/>
        </w:numPr>
      </w:pPr>
      <w:r w:rsidRPr="00BB60F3">
        <w:t>DRF will only impact the market share of DMF</w:t>
      </w:r>
      <w:r>
        <w:t>, and that t</w:t>
      </w:r>
      <w:r w:rsidRPr="00BB60F3">
        <w:t>he introduction of DRF will only impact on number of prescriptions of DRF.</w:t>
      </w:r>
      <w:r w:rsidRPr="00031CDD">
        <w:t xml:space="preserve"> The </w:t>
      </w:r>
      <w:r w:rsidR="001B63D0" w:rsidRPr="00031CDD">
        <w:t>s</w:t>
      </w:r>
      <w:r w:rsidR="00A23FDF" w:rsidRPr="00031CDD">
        <w:t>ubmission</w:t>
      </w:r>
      <w:r w:rsidRPr="00031CDD">
        <w:t xml:space="preserve"> did not discuss the potential switch from DRF to any of the other drugs for the same target RRMS population. </w:t>
      </w:r>
      <w:r w:rsidR="007E20EC">
        <w:t>A</w:t>
      </w:r>
      <w:r w:rsidRPr="00031CDD">
        <w:t xml:space="preserve"> CMA of DRF against DMF </w:t>
      </w:r>
      <w:r w:rsidR="007E20EC">
        <w:t>will result in</w:t>
      </w:r>
      <w:r w:rsidR="007E20EC" w:rsidRPr="00031CDD">
        <w:t xml:space="preserve"> </w:t>
      </w:r>
      <w:r w:rsidRPr="00031CDD">
        <w:t xml:space="preserve">DRF </w:t>
      </w:r>
      <w:r w:rsidR="007E20EC">
        <w:t>being more</w:t>
      </w:r>
      <w:r w:rsidRPr="00031CDD">
        <w:t xml:space="preserve"> expensive </w:t>
      </w:r>
      <w:r w:rsidR="007E20EC">
        <w:t xml:space="preserve">than other </w:t>
      </w:r>
      <w:r w:rsidRPr="00031CDD">
        <w:t xml:space="preserve">treatment option for </w:t>
      </w:r>
      <w:r w:rsidR="008D64EB" w:rsidRPr="00031CDD">
        <w:t>these</w:t>
      </w:r>
      <w:r w:rsidRPr="00031CDD">
        <w:t xml:space="preserve"> RRMS patients. If patients switch from other (less expensive) drugs to DRF, this </w:t>
      </w:r>
      <w:r w:rsidR="00443973" w:rsidRPr="00031CDD">
        <w:t>will</w:t>
      </w:r>
      <w:r w:rsidRPr="00031CDD">
        <w:t xml:space="preserve"> result in an increased cost to Government.</w:t>
      </w:r>
    </w:p>
    <w:p w14:paraId="51F23206" w14:textId="197FE289" w:rsidR="00BB60F3" w:rsidRDefault="00BB60F3" w:rsidP="00DD17C1">
      <w:pPr>
        <w:pStyle w:val="3-BodyText"/>
        <w:numPr>
          <w:ilvl w:val="0"/>
          <w:numId w:val="25"/>
        </w:numPr>
      </w:pPr>
      <w:r w:rsidRPr="00031CDD">
        <w:t xml:space="preserve">Compliance will not be substantially different between DMF and DRF. The assumption of equivalent compliance is uncertain. The </w:t>
      </w:r>
      <w:r w:rsidR="001B63D0" w:rsidRPr="00031CDD">
        <w:t>s</w:t>
      </w:r>
      <w:r w:rsidR="00A23FDF" w:rsidRPr="00031CDD">
        <w:t>ubmission</w:t>
      </w:r>
      <w:r w:rsidRPr="00031CDD">
        <w:t xml:space="preserve"> stated that</w:t>
      </w:r>
      <w:r w:rsidRPr="00EF126D">
        <w:t xml:space="preserve"> significantly shorter and less intense GI symptoms with DRF therapy compared to DMF leads to improved adherence.</w:t>
      </w:r>
      <w:r w:rsidRPr="00BB60F3">
        <w:t xml:space="preserve"> </w:t>
      </w:r>
    </w:p>
    <w:p w14:paraId="228EA262" w14:textId="5ACE0D91" w:rsidR="001E1AE8" w:rsidRPr="00BB60F3" w:rsidRDefault="001E1AE8" w:rsidP="00DD17C1">
      <w:pPr>
        <w:pStyle w:val="3-BodyText"/>
        <w:numPr>
          <w:ilvl w:val="0"/>
          <w:numId w:val="25"/>
        </w:numPr>
      </w:pPr>
      <w:r w:rsidRPr="001E1AE8">
        <w:t>Market growth of DMF therapy is based on</w:t>
      </w:r>
      <w:r w:rsidR="00803AA3">
        <w:t xml:space="preserve"> the</w:t>
      </w:r>
      <w:r w:rsidRPr="001E1AE8">
        <w:t xml:space="preserve"> observed trend of DMF script volumes 2016 – 2021. </w:t>
      </w:r>
      <w:r w:rsidRPr="00031CDD">
        <w:t>While the growth rate has stabilised in the past few years, when DMF was introduced to the market, there w</w:t>
      </w:r>
      <w:r w:rsidR="008D64EB" w:rsidRPr="00031CDD">
        <w:t>as</w:t>
      </w:r>
      <w:r w:rsidRPr="00031CDD">
        <w:t xml:space="preserve"> a period of high growth in market share when patient</w:t>
      </w:r>
      <w:r w:rsidR="008D64EB" w:rsidRPr="00031CDD">
        <w:t>s</w:t>
      </w:r>
      <w:r w:rsidRPr="00031CDD">
        <w:t xml:space="preserve"> switched from other treatment options to DMF. </w:t>
      </w:r>
      <w:r w:rsidR="00257515" w:rsidRPr="00031CDD">
        <w:t xml:space="preserve">This might reflect the </w:t>
      </w:r>
      <w:r w:rsidRPr="00031CDD">
        <w:t xml:space="preserve">strong tendency to switch to newer therapies in recent years. </w:t>
      </w:r>
      <w:r w:rsidR="00257515" w:rsidRPr="00031CDD">
        <w:t>Additionally, there has been</w:t>
      </w:r>
      <w:r w:rsidR="00B84668" w:rsidRPr="00031CDD">
        <w:t xml:space="preserve"> an</w:t>
      </w:r>
      <w:r w:rsidR="00257515" w:rsidRPr="00031CDD">
        <w:t xml:space="preserve"> overall increasing prevalent population being treated for RRMS (Figure 1, Ocrelizumab RRMS 2020 DUSC Public Release Document</w:t>
      </w:r>
      <w:r w:rsidR="00257515" w:rsidRPr="00031CDD">
        <w:rPr>
          <w:rStyle w:val="FootnoteReference"/>
        </w:rPr>
        <w:footnoteReference w:id="2"/>
      </w:r>
      <w:r w:rsidR="00257515" w:rsidRPr="00031CDD">
        <w:t xml:space="preserve">). </w:t>
      </w:r>
      <w:r w:rsidR="008A171A" w:rsidRPr="00031CDD">
        <w:t>Therefore, while a</w:t>
      </w:r>
      <w:r w:rsidRPr="00031CDD">
        <w:t>ssuming there is no market growth for DRF</w:t>
      </w:r>
      <w:r w:rsidR="00257515" w:rsidRPr="00031CDD">
        <w:t xml:space="preserve"> </w:t>
      </w:r>
      <w:r w:rsidR="008A171A" w:rsidRPr="00031CDD">
        <w:t>(</w:t>
      </w:r>
      <w:r w:rsidR="00257515" w:rsidRPr="00031CDD">
        <w:t>based on the</w:t>
      </w:r>
      <w:r w:rsidR="008A171A" w:rsidRPr="00031CDD">
        <w:t xml:space="preserve"> stable trend of the DMF script</w:t>
      </w:r>
      <w:r w:rsidR="00FF39AC" w:rsidRPr="00031CDD">
        <w:t>s</w:t>
      </w:r>
      <w:r w:rsidR="008A171A" w:rsidRPr="00031CDD">
        <w:t xml:space="preserve"> in recent years) might be reasonable, </w:t>
      </w:r>
      <w:r w:rsidR="00E71D00">
        <w:t>consideration of</w:t>
      </w:r>
      <w:r w:rsidR="00704717" w:rsidRPr="00031CDD">
        <w:t xml:space="preserve"> a higher growth rate in </w:t>
      </w:r>
      <w:r w:rsidR="00E71D00">
        <w:t>a</w:t>
      </w:r>
      <w:r w:rsidR="00E71D00" w:rsidRPr="00031CDD">
        <w:t xml:space="preserve"> </w:t>
      </w:r>
      <w:r w:rsidR="00704717" w:rsidRPr="00031CDD">
        <w:t>sensitivity analysis</w:t>
      </w:r>
      <w:r w:rsidR="00E71D00">
        <w:t xml:space="preserve"> would have been informative</w:t>
      </w:r>
      <w:r w:rsidR="00704717" w:rsidRPr="00031CDD">
        <w:t>.</w:t>
      </w:r>
      <w:r w:rsidR="00704717">
        <w:rPr>
          <w:i/>
          <w:iCs/>
        </w:rPr>
        <w:t xml:space="preserve"> </w:t>
      </w:r>
    </w:p>
    <w:p w14:paraId="4571305A" w14:textId="3F6D6260" w:rsidR="007E6B52" w:rsidRPr="00031CDD" w:rsidRDefault="00BB60F3" w:rsidP="00AC2A6D">
      <w:pPr>
        <w:pStyle w:val="3-BodyText"/>
      </w:pPr>
      <w:bookmarkStart w:id="33" w:name="_Hlk104989246"/>
      <w:r w:rsidRPr="00BB60F3">
        <w:t xml:space="preserve">The key driver of utilisation estimates </w:t>
      </w:r>
      <w:r w:rsidR="00EF126D">
        <w:t xml:space="preserve">is the </w:t>
      </w:r>
      <w:r w:rsidR="007E6B52">
        <w:t xml:space="preserve">(expected) </w:t>
      </w:r>
      <w:r w:rsidR="00EF126D">
        <w:t>s</w:t>
      </w:r>
      <w:r w:rsidRPr="00BB60F3">
        <w:t>ubstitution rate of DRF for DMF.</w:t>
      </w:r>
      <w:r w:rsidR="007E6B52" w:rsidRPr="007E6B52">
        <w:t xml:space="preserve"> </w:t>
      </w:r>
      <w:r w:rsidR="007E6B52">
        <w:t xml:space="preserve">Substitution rates were estimated to start at </w:t>
      </w:r>
      <w:proofErr w:type="gramStart"/>
      <w:r w:rsidR="00815F0B" w:rsidRPr="00756CE2">
        <w:rPr>
          <w:color w:val="000000"/>
          <w:w w:val="15"/>
          <w:shd w:val="solid" w:color="000000" w:fill="000000"/>
          <w:fitText w:val="-20" w:id="-1500819709"/>
          <w14:textFill>
            <w14:solidFill>
              <w14:srgbClr w14:val="000000">
                <w14:alpha w14:val="100000"/>
              </w14:srgbClr>
            </w14:solidFill>
          </w14:textFill>
        </w:rPr>
        <w:t xml:space="preserve">|  </w:t>
      </w:r>
      <w:r w:rsidR="00815F0B" w:rsidRPr="00756CE2">
        <w:rPr>
          <w:color w:val="000000"/>
          <w:spacing w:val="-69"/>
          <w:w w:val="15"/>
          <w:shd w:val="solid" w:color="000000" w:fill="000000"/>
          <w:fitText w:val="-20" w:id="-1500819709"/>
          <w14:textFill>
            <w14:solidFill>
              <w14:srgbClr w14:val="000000">
                <w14:alpha w14:val="100000"/>
              </w14:srgbClr>
            </w14:solidFill>
          </w14:textFill>
        </w:rPr>
        <w:t>|</w:t>
      </w:r>
      <w:proofErr w:type="gramEnd"/>
      <w:r w:rsidR="007E6B52">
        <w:t xml:space="preserve">% in 2022 and increasing each year to </w:t>
      </w:r>
      <w:r w:rsidR="00815F0B" w:rsidRPr="00756CE2">
        <w:rPr>
          <w:color w:val="000000"/>
          <w:w w:val="15"/>
          <w:shd w:val="solid" w:color="000000" w:fill="000000"/>
          <w:fitText w:val="-20" w:id="-1500819708"/>
          <w14:textFill>
            <w14:solidFill>
              <w14:srgbClr w14:val="000000">
                <w14:alpha w14:val="100000"/>
              </w14:srgbClr>
            </w14:solidFill>
          </w14:textFill>
        </w:rPr>
        <w:t xml:space="preserve">|  </w:t>
      </w:r>
      <w:r w:rsidR="00815F0B" w:rsidRPr="00756CE2">
        <w:rPr>
          <w:color w:val="000000"/>
          <w:spacing w:val="-69"/>
          <w:w w:val="15"/>
          <w:shd w:val="solid" w:color="000000" w:fill="000000"/>
          <w:fitText w:val="-20" w:id="-1500819708"/>
          <w14:textFill>
            <w14:solidFill>
              <w14:srgbClr w14:val="000000">
                <w14:alpha w14:val="100000"/>
              </w14:srgbClr>
            </w14:solidFill>
          </w14:textFill>
        </w:rPr>
        <w:t>|</w:t>
      </w:r>
      <w:r w:rsidR="007E6B52">
        <w:t xml:space="preserve">% in </w:t>
      </w:r>
      <w:r w:rsidR="00BD4383">
        <w:t>2027</w:t>
      </w:r>
      <w:r w:rsidR="007E6B52">
        <w:t xml:space="preserve">. The substitution rates from DMF to DRF </w:t>
      </w:r>
      <w:r w:rsidR="00040A62">
        <w:t>were</w:t>
      </w:r>
      <w:r w:rsidR="007E6B52">
        <w:t xml:space="preserve"> based on an i</w:t>
      </w:r>
      <w:r w:rsidR="007E6B52" w:rsidRPr="003F7BC5">
        <w:t xml:space="preserve">nternal market analysis by </w:t>
      </w:r>
      <w:r w:rsidR="007E6B52">
        <w:t xml:space="preserve">the </w:t>
      </w:r>
      <w:r w:rsidR="007E6B52" w:rsidRPr="003F7BC5">
        <w:t>Sponsor</w:t>
      </w:r>
      <w:r w:rsidR="007E6B52">
        <w:t>.</w:t>
      </w:r>
      <w:r w:rsidR="007E6B52" w:rsidRPr="00031CDD">
        <w:t xml:space="preserve"> </w:t>
      </w:r>
    </w:p>
    <w:bookmarkEnd w:id="33"/>
    <w:p w14:paraId="20A2FCF9" w14:textId="63639498" w:rsidR="00FF3722" w:rsidRDefault="00FF3722" w:rsidP="00FF3722">
      <w:pPr>
        <w:pStyle w:val="Caption"/>
      </w:pPr>
      <w:r>
        <w:t xml:space="preserve">Table </w:t>
      </w:r>
      <w:fldSimple w:instr=" SEQ Table \* ARABIC ">
        <w:r w:rsidR="00756CE2">
          <w:rPr>
            <w:noProof/>
          </w:rPr>
          <w:t>9</w:t>
        </w:r>
      </w:fldSimple>
      <w:r>
        <w:t xml:space="preserve">: </w:t>
      </w:r>
      <w:r w:rsidRPr="00B8510D">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396"/>
        <w:gridCol w:w="3204"/>
        <w:gridCol w:w="2962"/>
      </w:tblGrid>
      <w:tr w:rsidR="00AC2A6D" w:rsidRPr="00914C77" w14:paraId="02B797DF" w14:textId="77777777" w:rsidTr="0032503C">
        <w:trPr>
          <w:tblHeader/>
        </w:trPr>
        <w:tc>
          <w:tcPr>
            <w:tcW w:w="1526" w:type="dxa"/>
            <w:vAlign w:val="center"/>
          </w:tcPr>
          <w:p w14:paraId="649F21C8" w14:textId="77777777" w:rsidR="00AC2A6D" w:rsidRPr="00914C77" w:rsidRDefault="00AC2A6D" w:rsidP="00495E3A">
            <w:pPr>
              <w:pStyle w:val="In-tableHeading"/>
              <w:keepNext w:val="0"/>
              <w:jc w:val="center"/>
            </w:pPr>
            <w:r w:rsidRPr="00914C77">
              <w:t>Data</w:t>
            </w:r>
          </w:p>
        </w:tc>
        <w:tc>
          <w:tcPr>
            <w:tcW w:w="1459" w:type="dxa"/>
            <w:vAlign w:val="center"/>
          </w:tcPr>
          <w:p w14:paraId="47DFD7E3" w14:textId="77777777" w:rsidR="00AC2A6D" w:rsidRPr="00914C77" w:rsidRDefault="00AC2A6D" w:rsidP="00495E3A">
            <w:pPr>
              <w:pStyle w:val="In-tableHeading"/>
              <w:keepNext w:val="0"/>
              <w:jc w:val="center"/>
            </w:pPr>
            <w:r w:rsidRPr="00914C77">
              <w:t>Value</w:t>
            </w:r>
          </w:p>
        </w:tc>
        <w:tc>
          <w:tcPr>
            <w:tcW w:w="3219" w:type="dxa"/>
            <w:vAlign w:val="center"/>
          </w:tcPr>
          <w:p w14:paraId="7169FE52" w14:textId="77777777" w:rsidR="00AC2A6D" w:rsidRPr="00914C77" w:rsidRDefault="00AC2A6D" w:rsidP="00495E3A">
            <w:pPr>
              <w:pStyle w:val="In-tableHeading"/>
              <w:keepNext w:val="0"/>
              <w:jc w:val="center"/>
            </w:pPr>
            <w:r w:rsidRPr="00914C77">
              <w:t>Source</w:t>
            </w:r>
          </w:p>
        </w:tc>
        <w:tc>
          <w:tcPr>
            <w:tcW w:w="2976" w:type="dxa"/>
            <w:vAlign w:val="center"/>
          </w:tcPr>
          <w:p w14:paraId="0A4E8E59" w14:textId="77777777" w:rsidR="00AC2A6D" w:rsidRPr="00031CDD" w:rsidRDefault="00AC2A6D" w:rsidP="00495E3A">
            <w:pPr>
              <w:pStyle w:val="In-tableHeading"/>
              <w:keepNext w:val="0"/>
              <w:jc w:val="center"/>
            </w:pPr>
            <w:r w:rsidRPr="00031CDD">
              <w:t>Comment</w:t>
            </w:r>
          </w:p>
        </w:tc>
      </w:tr>
      <w:tr w:rsidR="00AC2A6D" w14:paraId="264600FF" w14:textId="77777777" w:rsidTr="0032503C">
        <w:tc>
          <w:tcPr>
            <w:tcW w:w="9180" w:type="dxa"/>
            <w:gridSpan w:val="4"/>
            <w:vAlign w:val="center"/>
          </w:tcPr>
          <w:p w14:paraId="5849E794" w14:textId="77777777" w:rsidR="00AC2A6D" w:rsidRPr="00031CDD" w:rsidRDefault="00AC2A6D" w:rsidP="00495E3A">
            <w:pPr>
              <w:pStyle w:val="In-tableHeading"/>
              <w:keepNext w:val="0"/>
            </w:pPr>
            <w:r w:rsidRPr="00031CDD">
              <w:t>PBS dispensed script volumes</w:t>
            </w:r>
          </w:p>
        </w:tc>
      </w:tr>
      <w:tr w:rsidR="00AC2A6D" w14:paraId="19AF09C7" w14:textId="77777777" w:rsidTr="0032503C">
        <w:tc>
          <w:tcPr>
            <w:tcW w:w="1526" w:type="dxa"/>
            <w:vAlign w:val="center"/>
          </w:tcPr>
          <w:p w14:paraId="66A0F427" w14:textId="77777777" w:rsidR="00AC2A6D" w:rsidRDefault="00AC2A6D" w:rsidP="00495E3A">
            <w:pPr>
              <w:pStyle w:val="TableText0"/>
              <w:keepNext w:val="0"/>
            </w:pPr>
            <w:r>
              <w:t>PBS/RPBS DMF market data</w:t>
            </w:r>
          </w:p>
        </w:tc>
        <w:tc>
          <w:tcPr>
            <w:tcW w:w="1459" w:type="dxa"/>
            <w:vAlign w:val="center"/>
          </w:tcPr>
          <w:p w14:paraId="47C35AE1" w14:textId="7EC34A55" w:rsidR="00AC2A6D" w:rsidRDefault="00AC2A6D" w:rsidP="00495E3A">
            <w:pPr>
              <w:pStyle w:val="TableText0"/>
              <w:keepNext w:val="0"/>
            </w:pPr>
            <w:r>
              <w:t xml:space="preserve">Table 4.2.1 in </w:t>
            </w:r>
            <w:r w:rsidR="00A23FDF">
              <w:t>Submission</w:t>
            </w:r>
          </w:p>
        </w:tc>
        <w:tc>
          <w:tcPr>
            <w:tcW w:w="3219" w:type="dxa"/>
            <w:vAlign w:val="center"/>
          </w:tcPr>
          <w:p w14:paraId="2C8233FE" w14:textId="77777777" w:rsidR="00AC2A6D" w:rsidRDefault="00AC2A6D" w:rsidP="00495E3A">
            <w:pPr>
              <w:pStyle w:val="TableText0"/>
              <w:keepNext w:val="0"/>
            </w:pPr>
            <w:r w:rsidRPr="00316213">
              <w:t>PBS and RPBS utilisation statistics. Accessed from http://medicarestatistics.humanservices.</w:t>
            </w:r>
            <w:r>
              <w:t xml:space="preserve"> </w:t>
            </w:r>
            <w:r w:rsidRPr="00316213">
              <w:t>gov.au/statistics/</w:t>
            </w:r>
            <w:proofErr w:type="spellStart"/>
            <w:r w:rsidRPr="00316213">
              <w:t>pbs_item.jsp</w:t>
            </w:r>
            <w:proofErr w:type="spellEnd"/>
            <w:r w:rsidRPr="00316213">
              <w:t xml:space="preserve"> on 22nd September 2021</w:t>
            </w:r>
          </w:p>
          <w:p w14:paraId="2A35D6D2" w14:textId="4E1E9F13" w:rsidR="00AC2A6D" w:rsidRPr="003852C3" w:rsidRDefault="00AC2A6D" w:rsidP="00495E3A">
            <w:pPr>
              <w:pStyle w:val="TableText0"/>
              <w:keepNext w:val="0"/>
              <w:rPr>
                <w:i/>
                <w:iCs/>
              </w:rPr>
            </w:pPr>
          </w:p>
        </w:tc>
        <w:tc>
          <w:tcPr>
            <w:tcW w:w="2976" w:type="dxa"/>
            <w:vAlign w:val="center"/>
          </w:tcPr>
          <w:p w14:paraId="6E7F0350" w14:textId="77777777" w:rsidR="00AC2A6D" w:rsidRPr="00031CDD" w:rsidRDefault="00AC2A6D" w:rsidP="00495E3A">
            <w:pPr>
              <w:pStyle w:val="TableText0"/>
              <w:keepNext w:val="0"/>
            </w:pPr>
            <w:r w:rsidRPr="00031CDD">
              <w:t>This data is reasonable and accurate.</w:t>
            </w:r>
          </w:p>
        </w:tc>
      </w:tr>
      <w:tr w:rsidR="00AC2A6D" w14:paraId="667EA171" w14:textId="77777777" w:rsidTr="0032503C">
        <w:tc>
          <w:tcPr>
            <w:tcW w:w="9180" w:type="dxa"/>
            <w:gridSpan w:val="4"/>
            <w:vAlign w:val="center"/>
          </w:tcPr>
          <w:p w14:paraId="6B16D88E" w14:textId="77777777" w:rsidR="00AC2A6D" w:rsidRPr="00031CDD" w:rsidRDefault="00AC2A6D" w:rsidP="00495E3A">
            <w:pPr>
              <w:pStyle w:val="TableText0"/>
              <w:keepNext w:val="0"/>
              <w:rPr>
                <w:b/>
              </w:rPr>
            </w:pPr>
            <w:r w:rsidRPr="00031CDD">
              <w:rPr>
                <w:b/>
              </w:rPr>
              <w:t>Treatment utilisation</w:t>
            </w:r>
          </w:p>
        </w:tc>
      </w:tr>
      <w:tr w:rsidR="00AC2A6D" w14:paraId="3E798C82" w14:textId="77777777" w:rsidTr="0032503C">
        <w:tc>
          <w:tcPr>
            <w:tcW w:w="1526" w:type="dxa"/>
            <w:vAlign w:val="center"/>
          </w:tcPr>
          <w:p w14:paraId="23044E95" w14:textId="77777777" w:rsidR="00AC2A6D" w:rsidRDefault="00AC2A6D" w:rsidP="00495E3A">
            <w:pPr>
              <w:pStyle w:val="TableText0"/>
              <w:keepNext w:val="0"/>
            </w:pPr>
            <w:r w:rsidRPr="007059CB">
              <w:rPr>
                <w:rFonts w:cs="Calibri"/>
              </w:rPr>
              <w:t>Substitution (uptake) rates with DRF</w:t>
            </w:r>
          </w:p>
        </w:tc>
        <w:tc>
          <w:tcPr>
            <w:tcW w:w="1459" w:type="dxa"/>
            <w:vAlign w:val="center"/>
          </w:tcPr>
          <w:p w14:paraId="77477E7F" w14:textId="67E58E25" w:rsidR="00AC2A6D" w:rsidRDefault="00AC2A6D" w:rsidP="00495E3A">
            <w:pPr>
              <w:pStyle w:val="TableText0"/>
              <w:keepNext w:val="0"/>
            </w:pPr>
            <w:proofErr w:type="spellStart"/>
            <w:r>
              <w:t>Yr</w:t>
            </w:r>
            <w:proofErr w:type="spellEnd"/>
            <w:r>
              <w:t xml:space="preserve"> 1: </w:t>
            </w:r>
            <w:r w:rsidR="00815F0B" w:rsidRPr="00815F0B">
              <w:rPr>
                <w:color w:val="000000"/>
                <w:spacing w:val="53"/>
                <w:shd w:val="solid" w:color="000000" w:fill="000000"/>
                <w:fitText w:val="332" w:id="-1500819707"/>
                <w14:textFill>
                  <w14:solidFill>
                    <w14:srgbClr w14:val="000000">
                      <w14:alpha w14:val="100000"/>
                    </w14:srgbClr>
                  </w14:solidFill>
                </w14:textFill>
              </w:rPr>
              <w:t>|||</w:t>
            </w:r>
            <w:r w:rsidR="00815F0B" w:rsidRPr="00815F0B">
              <w:rPr>
                <w:color w:val="000000"/>
                <w:spacing w:val="3"/>
                <w:shd w:val="solid" w:color="000000" w:fill="000000"/>
                <w:fitText w:val="332" w:id="-1500819707"/>
                <w14:textFill>
                  <w14:solidFill>
                    <w14:srgbClr w14:val="000000">
                      <w14:alpha w14:val="100000"/>
                    </w14:srgbClr>
                  </w14:solidFill>
                </w14:textFill>
              </w:rPr>
              <w:t>|</w:t>
            </w:r>
            <w:r>
              <w:t>%</w:t>
            </w:r>
          </w:p>
          <w:p w14:paraId="0CCCBC36" w14:textId="10B41623" w:rsidR="00AC2A6D" w:rsidRDefault="00AC2A6D" w:rsidP="00495E3A">
            <w:pPr>
              <w:pStyle w:val="TableText0"/>
              <w:keepNext w:val="0"/>
            </w:pPr>
            <w:proofErr w:type="spellStart"/>
            <w:r>
              <w:t>Yr</w:t>
            </w:r>
            <w:proofErr w:type="spellEnd"/>
            <w:r>
              <w:t xml:space="preserve"> 2: </w:t>
            </w:r>
            <w:r w:rsidR="00815F0B" w:rsidRPr="00815F0B">
              <w:rPr>
                <w:color w:val="000000"/>
                <w:spacing w:val="53"/>
                <w:shd w:val="solid" w:color="000000" w:fill="000000"/>
                <w:fitText w:val="332" w:id="-1500819706"/>
                <w14:textFill>
                  <w14:solidFill>
                    <w14:srgbClr w14:val="000000">
                      <w14:alpha w14:val="100000"/>
                    </w14:srgbClr>
                  </w14:solidFill>
                </w14:textFill>
              </w:rPr>
              <w:t>|||</w:t>
            </w:r>
            <w:r w:rsidR="00815F0B" w:rsidRPr="00815F0B">
              <w:rPr>
                <w:color w:val="000000"/>
                <w:spacing w:val="3"/>
                <w:shd w:val="solid" w:color="000000" w:fill="000000"/>
                <w:fitText w:val="332" w:id="-1500819706"/>
                <w14:textFill>
                  <w14:solidFill>
                    <w14:srgbClr w14:val="000000">
                      <w14:alpha w14:val="100000"/>
                    </w14:srgbClr>
                  </w14:solidFill>
                </w14:textFill>
              </w:rPr>
              <w:t>|</w:t>
            </w:r>
            <w:r>
              <w:t>%</w:t>
            </w:r>
          </w:p>
          <w:p w14:paraId="255D10A7" w14:textId="30F26563" w:rsidR="00AC2A6D" w:rsidRDefault="00AC2A6D" w:rsidP="00495E3A">
            <w:pPr>
              <w:pStyle w:val="TableText0"/>
              <w:keepNext w:val="0"/>
            </w:pPr>
            <w:proofErr w:type="spellStart"/>
            <w:r>
              <w:t>Yr</w:t>
            </w:r>
            <w:proofErr w:type="spellEnd"/>
            <w:r>
              <w:t xml:space="preserve"> 3: </w:t>
            </w:r>
            <w:r w:rsidR="00815F0B" w:rsidRPr="00815F0B">
              <w:rPr>
                <w:color w:val="000000"/>
                <w:spacing w:val="53"/>
                <w:shd w:val="solid" w:color="000000" w:fill="000000"/>
                <w:fitText w:val="332" w:id="-1500819705"/>
                <w14:textFill>
                  <w14:solidFill>
                    <w14:srgbClr w14:val="000000">
                      <w14:alpha w14:val="100000"/>
                    </w14:srgbClr>
                  </w14:solidFill>
                </w14:textFill>
              </w:rPr>
              <w:t>|||</w:t>
            </w:r>
            <w:r w:rsidR="00815F0B" w:rsidRPr="00815F0B">
              <w:rPr>
                <w:color w:val="000000"/>
                <w:spacing w:val="3"/>
                <w:shd w:val="solid" w:color="000000" w:fill="000000"/>
                <w:fitText w:val="332" w:id="-1500819705"/>
                <w14:textFill>
                  <w14:solidFill>
                    <w14:srgbClr w14:val="000000">
                      <w14:alpha w14:val="100000"/>
                    </w14:srgbClr>
                  </w14:solidFill>
                </w14:textFill>
              </w:rPr>
              <w:t>|</w:t>
            </w:r>
            <w:r>
              <w:t>%</w:t>
            </w:r>
          </w:p>
          <w:p w14:paraId="7E549082" w14:textId="1F7B9BE5" w:rsidR="00AC2A6D" w:rsidRDefault="00AC2A6D" w:rsidP="00495E3A">
            <w:pPr>
              <w:pStyle w:val="TableText0"/>
              <w:keepNext w:val="0"/>
            </w:pPr>
            <w:proofErr w:type="spellStart"/>
            <w:r>
              <w:t>Yr</w:t>
            </w:r>
            <w:proofErr w:type="spellEnd"/>
            <w:r>
              <w:t xml:space="preserve"> 4: </w:t>
            </w:r>
            <w:r w:rsidR="00815F0B" w:rsidRPr="00815F0B">
              <w:rPr>
                <w:color w:val="000000"/>
                <w:spacing w:val="53"/>
                <w:shd w:val="solid" w:color="000000" w:fill="000000"/>
                <w:fitText w:val="332" w:id="-1500819704"/>
                <w14:textFill>
                  <w14:solidFill>
                    <w14:srgbClr w14:val="000000">
                      <w14:alpha w14:val="100000"/>
                    </w14:srgbClr>
                  </w14:solidFill>
                </w14:textFill>
              </w:rPr>
              <w:t>|||</w:t>
            </w:r>
            <w:r w:rsidR="00815F0B" w:rsidRPr="00815F0B">
              <w:rPr>
                <w:color w:val="000000"/>
                <w:spacing w:val="3"/>
                <w:shd w:val="solid" w:color="000000" w:fill="000000"/>
                <w:fitText w:val="332" w:id="-1500819704"/>
                <w14:textFill>
                  <w14:solidFill>
                    <w14:srgbClr w14:val="000000">
                      <w14:alpha w14:val="100000"/>
                    </w14:srgbClr>
                  </w14:solidFill>
                </w14:textFill>
              </w:rPr>
              <w:t>|</w:t>
            </w:r>
            <w:r>
              <w:t>%</w:t>
            </w:r>
          </w:p>
          <w:p w14:paraId="0D38D420" w14:textId="068FC430" w:rsidR="00AC2A6D" w:rsidRDefault="00AC2A6D" w:rsidP="00495E3A">
            <w:pPr>
              <w:pStyle w:val="TableText0"/>
              <w:keepNext w:val="0"/>
            </w:pPr>
            <w:proofErr w:type="spellStart"/>
            <w:r>
              <w:t>Yr</w:t>
            </w:r>
            <w:proofErr w:type="spellEnd"/>
            <w:r>
              <w:t xml:space="preserve"> 5: </w:t>
            </w:r>
            <w:r w:rsidR="00815F0B" w:rsidRPr="00815F0B">
              <w:rPr>
                <w:color w:val="000000"/>
                <w:spacing w:val="53"/>
                <w:shd w:val="solid" w:color="000000" w:fill="000000"/>
                <w:fitText w:val="332" w:id="-1500819703"/>
                <w14:textFill>
                  <w14:solidFill>
                    <w14:srgbClr w14:val="000000">
                      <w14:alpha w14:val="100000"/>
                    </w14:srgbClr>
                  </w14:solidFill>
                </w14:textFill>
              </w:rPr>
              <w:t>|||</w:t>
            </w:r>
            <w:r w:rsidR="00815F0B" w:rsidRPr="00815F0B">
              <w:rPr>
                <w:color w:val="000000"/>
                <w:spacing w:val="3"/>
                <w:shd w:val="solid" w:color="000000" w:fill="000000"/>
                <w:fitText w:val="332" w:id="-1500819703"/>
                <w14:textFill>
                  <w14:solidFill>
                    <w14:srgbClr w14:val="000000">
                      <w14:alpha w14:val="100000"/>
                    </w14:srgbClr>
                  </w14:solidFill>
                </w14:textFill>
              </w:rPr>
              <w:t>|</w:t>
            </w:r>
            <w:r>
              <w:t>%</w:t>
            </w:r>
          </w:p>
          <w:p w14:paraId="582E7DB4" w14:textId="4CA3816C" w:rsidR="00AC2A6D" w:rsidRDefault="00AC2A6D" w:rsidP="00495E3A">
            <w:pPr>
              <w:pStyle w:val="TableText0"/>
              <w:keepNext w:val="0"/>
            </w:pPr>
            <w:proofErr w:type="spellStart"/>
            <w:r>
              <w:t>Yr</w:t>
            </w:r>
            <w:proofErr w:type="spellEnd"/>
            <w:r>
              <w:t xml:space="preserve"> 6: </w:t>
            </w:r>
            <w:r w:rsidR="00815F0B" w:rsidRPr="00815F0B">
              <w:rPr>
                <w:color w:val="000000"/>
                <w:spacing w:val="53"/>
                <w:shd w:val="solid" w:color="000000" w:fill="000000"/>
                <w:fitText w:val="332" w:id="-1500819702"/>
                <w14:textFill>
                  <w14:solidFill>
                    <w14:srgbClr w14:val="000000">
                      <w14:alpha w14:val="100000"/>
                    </w14:srgbClr>
                  </w14:solidFill>
                </w14:textFill>
              </w:rPr>
              <w:t>|||</w:t>
            </w:r>
            <w:r w:rsidR="00815F0B" w:rsidRPr="00815F0B">
              <w:rPr>
                <w:color w:val="000000"/>
                <w:spacing w:val="3"/>
                <w:shd w:val="solid" w:color="000000" w:fill="000000"/>
                <w:fitText w:val="332" w:id="-1500819702"/>
                <w14:textFill>
                  <w14:solidFill>
                    <w14:srgbClr w14:val="000000">
                      <w14:alpha w14:val="100000"/>
                    </w14:srgbClr>
                  </w14:solidFill>
                </w14:textFill>
              </w:rPr>
              <w:t>|</w:t>
            </w:r>
            <w:r>
              <w:t>%</w:t>
            </w:r>
          </w:p>
        </w:tc>
        <w:tc>
          <w:tcPr>
            <w:tcW w:w="3219" w:type="dxa"/>
            <w:vAlign w:val="center"/>
          </w:tcPr>
          <w:p w14:paraId="0A99576F" w14:textId="77777777" w:rsidR="00AC2A6D" w:rsidRDefault="00AC2A6D" w:rsidP="00495E3A">
            <w:pPr>
              <w:pStyle w:val="TableText0"/>
              <w:keepNext w:val="0"/>
            </w:pPr>
            <w:r w:rsidRPr="007059CB">
              <w:rPr>
                <w:rFonts w:cs="Calibri"/>
              </w:rPr>
              <w:t>Internal market analysis by Sponsor in consultation with Key Opinion Leaders.</w:t>
            </w:r>
          </w:p>
        </w:tc>
        <w:tc>
          <w:tcPr>
            <w:tcW w:w="2976" w:type="dxa"/>
            <w:vAlign w:val="center"/>
          </w:tcPr>
          <w:p w14:paraId="37BBE629" w14:textId="05187BDB" w:rsidR="00AC2A6D" w:rsidRPr="00031CDD" w:rsidRDefault="00AC2A6D" w:rsidP="00E71D00">
            <w:pPr>
              <w:pStyle w:val="TableText0"/>
              <w:keepNext w:val="0"/>
            </w:pPr>
            <w:r w:rsidRPr="00031CDD">
              <w:t xml:space="preserve">The information </w:t>
            </w:r>
            <w:r w:rsidR="00E71D00">
              <w:t>could not</w:t>
            </w:r>
            <w:r w:rsidR="00E71D00" w:rsidRPr="00031CDD">
              <w:t xml:space="preserve"> </w:t>
            </w:r>
            <w:r w:rsidRPr="00031CDD">
              <w:t xml:space="preserve">be verified. The estimate </w:t>
            </w:r>
            <w:r w:rsidR="00443973" w:rsidRPr="00031CDD">
              <w:t xml:space="preserve">is </w:t>
            </w:r>
            <w:r w:rsidRPr="00031CDD">
              <w:t xml:space="preserve">uncertain. </w:t>
            </w:r>
          </w:p>
        </w:tc>
      </w:tr>
      <w:tr w:rsidR="00AC2A6D" w14:paraId="0109832A" w14:textId="77777777" w:rsidTr="0032503C">
        <w:tc>
          <w:tcPr>
            <w:tcW w:w="1526" w:type="dxa"/>
            <w:vAlign w:val="center"/>
          </w:tcPr>
          <w:p w14:paraId="58103A5B" w14:textId="77777777" w:rsidR="00AC2A6D" w:rsidRDefault="00AC2A6D" w:rsidP="00495E3A">
            <w:pPr>
              <w:pStyle w:val="TableText0"/>
              <w:keepNext w:val="0"/>
            </w:pPr>
            <w:r w:rsidRPr="007059CB">
              <w:rPr>
                <w:rFonts w:cs="Calibri"/>
              </w:rPr>
              <w:t>Market growth of RRMS therapies</w:t>
            </w:r>
          </w:p>
        </w:tc>
        <w:tc>
          <w:tcPr>
            <w:tcW w:w="1459" w:type="dxa"/>
            <w:vAlign w:val="center"/>
          </w:tcPr>
          <w:p w14:paraId="019B9AD1" w14:textId="790DB913" w:rsidR="00AC2A6D" w:rsidRDefault="00AC2A6D" w:rsidP="00495E3A">
            <w:pPr>
              <w:pStyle w:val="TableText0"/>
              <w:keepNext w:val="0"/>
            </w:pPr>
            <w:proofErr w:type="spellStart"/>
            <w:r>
              <w:t>Yr</w:t>
            </w:r>
            <w:proofErr w:type="spellEnd"/>
            <w:r>
              <w:t xml:space="preserve"> 1</w:t>
            </w:r>
            <w:r w:rsidR="00803AA3">
              <w:t>-6</w:t>
            </w:r>
            <w:r>
              <w:t>: 0.0%</w:t>
            </w:r>
          </w:p>
          <w:p w14:paraId="7D3CFF54" w14:textId="1E90F7FD" w:rsidR="00AC2A6D" w:rsidRDefault="00AC2A6D" w:rsidP="00495E3A">
            <w:pPr>
              <w:pStyle w:val="TableText0"/>
              <w:keepNext w:val="0"/>
            </w:pPr>
          </w:p>
        </w:tc>
        <w:tc>
          <w:tcPr>
            <w:tcW w:w="3219" w:type="dxa"/>
            <w:vAlign w:val="center"/>
          </w:tcPr>
          <w:p w14:paraId="281C3B49" w14:textId="786F4EFC" w:rsidR="00AC2A6D" w:rsidRDefault="00AC2A6D" w:rsidP="00495E3A">
            <w:pPr>
              <w:pStyle w:val="Tabletext"/>
              <w:rPr>
                <w:rFonts w:cs="Calibri"/>
              </w:rPr>
            </w:pPr>
            <w:r w:rsidRPr="0002055A">
              <w:t xml:space="preserve">DUSC </w:t>
            </w:r>
            <w:r w:rsidRPr="007059CB">
              <w:rPr>
                <w:rFonts w:cs="Calibri"/>
              </w:rPr>
              <w:t xml:space="preserve">2020 ocrelizumab </w:t>
            </w:r>
            <w:proofErr w:type="gramStart"/>
            <w:r w:rsidRPr="007059CB">
              <w:rPr>
                <w:rFonts w:cs="Calibri"/>
              </w:rPr>
              <w:t>report</w:t>
            </w:r>
            <w:r w:rsidR="00E31F87">
              <w:rPr>
                <w:rFonts w:cs="Calibri"/>
              </w:rPr>
              <w:t>;</w:t>
            </w:r>
            <w:proofErr w:type="gramEnd"/>
          </w:p>
          <w:p w14:paraId="613611F4" w14:textId="2F4AB90C" w:rsidR="005C74A0" w:rsidRPr="007059CB" w:rsidRDefault="005C74A0" w:rsidP="00495E3A">
            <w:pPr>
              <w:pStyle w:val="Tabletext"/>
              <w:rPr>
                <w:rFonts w:cs="Calibri"/>
              </w:rPr>
            </w:pPr>
            <w:r>
              <w:rPr>
                <w:rFonts w:cs="Calibri"/>
              </w:rPr>
              <w:t>and</w:t>
            </w:r>
          </w:p>
          <w:p w14:paraId="5E1B1AF0" w14:textId="788DF4A6" w:rsidR="00AC2A6D" w:rsidRDefault="00AC2A6D" w:rsidP="00495E3A">
            <w:pPr>
              <w:pStyle w:val="TableText0"/>
              <w:keepNext w:val="0"/>
            </w:pPr>
            <w:r w:rsidRPr="007059CB">
              <w:rPr>
                <w:rFonts w:cs="Calibri"/>
              </w:rPr>
              <w:t>DMF PSD Nov-19</w:t>
            </w:r>
            <w:r w:rsidR="005C74A0">
              <w:rPr>
                <w:rFonts w:cs="Calibri"/>
              </w:rPr>
              <w:t>,</w:t>
            </w:r>
            <w:r w:rsidRPr="007059CB">
              <w:rPr>
                <w:rFonts w:cs="Calibri"/>
              </w:rPr>
              <w:t xml:space="preserve"> para</w:t>
            </w:r>
            <w:r w:rsidR="005C74A0">
              <w:rPr>
                <w:rFonts w:cs="Calibri"/>
              </w:rPr>
              <w:t>graph</w:t>
            </w:r>
            <w:r w:rsidRPr="007059CB">
              <w:rPr>
                <w:rFonts w:cs="Calibri"/>
              </w:rPr>
              <w:t>.5.3</w:t>
            </w:r>
          </w:p>
        </w:tc>
        <w:tc>
          <w:tcPr>
            <w:tcW w:w="2976" w:type="dxa"/>
            <w:vAlign w:val="center"/>
          </w:tcPr>
          <w:p w14:paraId="50E54499" w14:textId="3B442914" w:rsidR="00AC2A6D" w:rsidRPr="00031CDD" w:rsidRDefault="00AC2A6D" w:rsidP="00495E3A">
            <w:pPr>
              <w:pStyle w:val="TableText0"/>
              <w:keepNext w:val="0"/>
              <w:rPr>
                <w:rFonts w:cs="Calibri"/>
              </w:rPr>
            </w:pPr>
            <w:r w:rsidRPr="00031CDD">
              <w:t>The report referenced shows that introducing a new drug (</w:t>
            </w:r>
            <w:r w:rsidRPr="00031CDD">
              <w:rPr>
                <w:rFonts w:cs="Calibri"/>
              </w:rPr>
              <w:t>ocrelizumab) did</w:t>
            </w:r>
            <w:r w:rsidR="00854DF6">
              <w:rPr>
                <w:rFonts w:cs="Calibri"/>
              </w:rPr>
              <w:t xml:space="preserve"> </w:t>
            </w:r>
            <w:r w:rsidRPr="00031CDD">
              <w:rPr>
                <w:rFonts w:cs="Calibri"/>
              </w:rPr>
              <w:t>n</w:t>
            </w:r>
            <w:r w:rsidR="00854DF6">
              <w:rPr>
                <w:rFonts w:cs="Calibri"/>
              </w:rPr>
              <w:t>o</w:t>
            </w:r>
            <w:r w:rsidRPr="00031CDD">
              <w:rPr>
                <w:rFonts w:cs="Calibri"/>
              </w:rPr>
              <w:t xml:space="preserve">t cause the RRMS market to increase from 2018 to 2020. </w:t>
            </w:r>
          </w:p>
          <w:p w14:paraId="06859281" w14:textId="77777777" w:rsidR="00AC2A6D" w:rsidRPr="00031CDD" w:rsidRDefault="00AC2A6D" w:rsidP="00495E3A">
            <w:pPr>
              <w:pStyle w:val="TableText0"/>
              <w:keepNext w:val="0"/>
              <w:rPr>
                <w:rFonts w:cs="Calibri"/>
              </w:rPr>
            </w:pPr>
            <w:r w:rsidRPr="00031CDD">
              <w:rPr>
                <w:rFonts w:cs="Calibri"/>
              </w:rPr>
              <w:t xml:space="preserve">However, the DRF evaluation considers 2022 to 2027. </w:t>
            </w:r>
          </w:p>
          <w:p w14:paraId="4D520813" w14:textId="77777777" w:rsidR="00AC2A6D" w:rsidRPr="00031CDD" w:rsidRDefault="00AC2A6D" w:rsidP="00495E3A">
            <w:pPr>
              <w:pStyle w:val="TableText0"/>
              <w:keepNext w:val="0"/>
              <w:rPr>
                <w:rFonts w:cs="Calibri"/>
              </w:rPr>
            </w:pPr>
          </w:p>
          <w:p w14:paraId="5F0C96FE" w14:textId="69E5C3F4" w:rsidR="00AC2A6D" w:rsidRPr="00031CDD" w:rsidRDefault="00AC2A6D" w:rsidP="00495E3A">
            <w:pPr>
              <w:pStyle w:val="TableText0"/>
              <w:keepNext w:val="0"/>
            </w:pPr>
            <w:r w:rsidRPr="00031CDD">
              <w:rPr>
                <w:rFonts w:cs="Calibri"/>
              </w:rPr>
              <w:t>The evaluator cross checked against past market growth</w:t>
            </w:r>
            <w:r w:rsidR="00DB787D" w:rsidRPr="00031CDD">
              <w:rPr>
                <w:rFonts w:cs="Calibri"/>
              </w:rPr>
              <w:t xml:space="preserve">. This </w:t>
            </w:r>
            <w:r w:rsidR="004A17C8" w:rsidRPr="00031CDD">
              <w:rPr>
                <w:rFonts w:cs="Calibri"/>
              </w:rPr>
              <w:t xml:space="preserve">may be a reasonable assumption for the impacts of the listing of DRF, but as noted in paragraph 6.35 above, the prevalent RRMS treated population is increasing. </w:t>
            </w:r>
            <w:r w:rsidR="00DB787D" w:rsidRPr="00031CDD">
              <w:rPr>
                <w:rFonts w:cs="Calibri"/>
              </w:rPr>
              <w:t xml:space="preserve"> </w:t>
            </w:r>
          </w:p>
        </w:tc>
      </w:tr>
      <w:tr w:rsidR="00AC2A6D" w14:paraId="6751622E" w14:textId="77777777" w:rsidTr="0032503C">
        <w:tc>
          <w:tcPr>
            <w:tcW w:w="1526" w:type="dxa"/>
            <w:vAlign w:val="center"/>
          </w:tcPr>
          <w:p w14:paraId="64F9A385" w14:textId="77777777" w:rsidR="00AC2A6D" w:rsidRDefault="00AC2A6D" w:rsidP="00495E3A">
            <w:pPr>
              <w:pStyle w:val="TableText0"/>
              <w:keepNext w:val="0"/>
            </w:pPr>
            <w:r w:rsidRPr="007059CB">
              <w:rPr>
                <w:rFonts w:cs="Calibri"/>
              </w:rPr>
              <w:t>Market growth of DMF therapy</w:t>
            </w:r>
          </w:p>
        </w:tc>
        <w:tc>
          <w:tcPr>
            <w:tcW w:w="1459" w:type="dxa"/>
            <w:vAlign w:val="center"/>
          </w:tcPr>
          <w:p w14:paraId="5803072C" w14:textId="77777777" w:rsidR="00AC2A6D" w:rsidRDefault="00AC2A6D" w:rsidP="00495E3A">
            <w:pPr>
              <w:pStyle w:val="TableText0"/>
              <w:keepNext w:val="0"/>
            </w:pPr>
            <w:proofErr w:type="spellStart"/>
            <w:r>
              <w:t>Yr</w:t>
            </w:r>
            <w:proofErr w:type="spellEnd"/>
            <w:r>
              <w:t xml:space="preserve"> 1: 0.0%</w:t>
            </w:r>
          </w:p>
          <w:p w14:paraId="073710D5" w14:textId="77777777" w:rsidR="00AC2A6D" w:rsidRDefault="00AC2A6D" w:rsidP="00495E3A">
            <w:pPr>
              <w:pStyle w:val="TableText0"/>
              <w:keepNext w:val="0"/>
            </w:pPr>
            <w:proofErr w:type="spellStart"/>
            <w:r>
              <w:t>Yr</w:t>
            </w:r>
            <w:proofErr w:type="spellEnd"/>
            <w:r>
              <w:t xml:space="preserve"> 2: -2.8%</w:t>
            </w:r>
          </w:p>
          <w:p w14:paraId="668D79CB" w14:textId="77777777" w:rsidR="00AC2A6D" w:rsidRDefault="00AC2A6D" w:rsidP="00495E3A">
            <w:pPr>
              <w:pStyle w:val="TableText0"/>
              <w:keepNext w:val="0"/>
            </w:pPr>
            <w:proofErr w:type="spellStart"/>
            <w:r>
              <w:t>Yr</w:t>
            </w:r>
            <w:proofErr w:type="spellEnd"/>
            <w:r>
              <w:t xml:space="preserve"> 3: -1.0%</w:t>
            </w:r>
          </w:p>
          <w:p w14:paraId="5C864659" w14:textId="77777777" w:rsidR="00AC2A6D" w:rsidRDefault="00AC2A6D" w:rsidP="00495E3A">
            <w:pPr>
              <w:pStyle w:val="TableText0"/>
              <w:keepNext w:val="0"/>
            </w:pPr>
            <w:proofErr w:type="spellStart"/>
            <w:r>
              <w:t>Yr</w:t>
            </w:r>
            <w:proofErr w:type="spellEnd"/>
            <w:r>
              <w:t xml:space="preserve"> 4: -1.0%</w:t>
            </w:r>
          </w:p>
          <w:p w14:paraId="2645A9DD" w14:textId="77777777" w:rsidR="00AC2A6D" w:rsidRDefault="00AC2A6D" w:rsidP="00495E3A">
            <w:pPr>
              <w:pStyle w:val="TableText0"/>
              <w:keepNext w:val="0"/>
            </w:pPr>
            <w:proofErr w:type="spellStart"/>
            <w:r>
              <w:t>Yr</w:t>
            </w:r>
            <w:proofErr w:type="spellEnd"/>
            <w:r>
              <w:t xml:space="preserve"> 5: -2.0%</w:t>
            </w:r>
          </w:p>
          <w:p w14:paraId="59923B7B" w14:textId="77777777" w:rsidR="00AC2A6D" w:rsidRDefault="00AC2A6D" w:rsidP="00495E3A">
            <w:pPr>
              <w:pStyle w:val="TableText0"/>
              <w:keepNext w:val="0"/>
            </w:pPr>
            <w:proofErr w:type="spellStart"/>
            <w:r>
              <w:t>Yr</w:t>
            </w:r>
            <w:proofErr w:type="spellEnd"/>
            <w:r>
              <w:t xml:space="preserve"> 6: -1.6%</w:t>
            </w:r>
          </w:p>
        </w:tc>
        <w:tc>
          <w:tcPr>
            <w:tcW w:w="3219" w:type="dxa"/>
            <w:vAlign w:val="center"/>
          </w:tcPr>
          <w:p w14:paraId="5A00C05D" w14:textId="77777777" w:rsidR="00AC2A6D" w:rsidRDefault="00AC2A6D" w:rsidP="00495E3A">
            <w:pPr>
              <w:pStyle w:val="TableText0"/>
              <w:keepNext w:val="0"/>
            </w:pPr>
            <w:r w:rsidRPr="007059CB">
              <w:rPr>
                <w:rFonts w:cs="Calibri"/>
              </w:rPr>
              <w:t>Internal market analysis by Sponsor based on observed trend of DMF script volumes 2016 – 2021.</w:t>
            </w:r>
          </w:p>
        </w:tc>
        <w:tc>
          <w:tcPr>
            <w:tcW w:w="2976" w:type="dxa"/>
            <w:vAlign w:val="center"/>
          </w:tcPr>
          <w:p w14:paraId="69E09217" w14:textId="175443FF" w:rsidR="00AC2A6D" w:rsidRPr="00031CDD" w:rsidRDefault="00AC2A6D" w:rsidP="00E71D00">
            <w:pPr>
              <w:pStyle w:val="TableText0"/>
              <w:keepNext w:val="0"/>
            </w:pPr>
            <w:r w:rsidRPr="00031CDD">
              <w:t xml:space="preserve">The information </w:t>
            </w:r>
            <w:r w:rsidR="00E71D00">
              <w:t>could not</w:t>
            </w:r>
            <w:r w:rsidR="00E71D00" w:rsidRPr="00031CDD">
              <w:t xml:space="preserve"> </w:t>
            </w:r>
            <w:r w:rsidRPr="00031CDD">
              <w:t xml:space="preserve">be verified. </w:t>
            </w:r>
            <w:r w:rsidRPr="00031CDD">
              <w:rPr>
                <w:rFonts w:cs="Calibri"/>
              </w:rPr>
              <w:t xml:space="preserve">The evaluator cross checked against past market growth. The claim appeared to be reasonable. </w:t>
            </w:r>
          </w:p>
        </w:tc>
      </w:tr>
      <w:tr w:rsidR="00AC2A6D" w14:paraId="36A452A3" w14:textId="77777777" w:rsidTr="0032503C">
        <w:tc>
          <w:tcPr>
            <w:tcW w:w="9180" w:type="dxa"/>
            <w:gridSpan w:val="4"/>
            <w:vAlign w:val="center"/>
          </w:tcPr>
          <w:p w14:paraId="38307925" w14:textId="77777777" w:rsidR="00AC2A6D" w:rsidRPr="00031CDD" w:rsidRDefault="00AC2A6D" w:rsidP="00495E3A">
            <w:pPr>
              <w:pStyle w:val="TableText0"/>
              <w:keepNext w:val="0"/>
              <w:rPr>
                <w:b/>
              </w:rPr>
            </w:pPr>
            <w:r w:rsidRPr="00031CDD">
              <w:rPr>
                <w:b/>
              </w:rPr>
              <w:t>Costs</w:t>
            </w:r>
          </w:p>
        </w:tc>
      </w:tr>
      <w:tr w:rsidR="00AC2A6D" w14:paraId="4EB3A8C4" w14:textId="77777777" w:rsidTr="0032503C">
        <w:tc>
          <w:tcPr>
            <w:tcW w:w="1526" w:type="dxa"/>
            <w:vAlign w:val="center"/>
          </w:tcPr>
          <w:p w14:paraId="59031B05" w14:textId="77777777" w:rsidR="00AC2A6D" w:rsidRDefault="00AC2A6D" w:rsidP="00495E3A">
            <w:pPr>
              <w:pStyle w:val="TableText0"/>
              <w:keepNext w:val="0"/>
            </w:pPr>
            <w:r>
              <w:t>Drug prices</w:t>
            </w:r>
          </w:p>
        </w:tc>
        <w:tc>
          <w:tcPr>
            <w:tcW w:w="1459" w:type="dxa"/>
            <w:vAlign w:val="center"/>
          </w:tcPr>
          <w:p w14:paraId="6730668E" w14:textId="05C3C12A" w:rsidR="00AC2A6D" w:rsidRDefault="00AC2A6D" w:rsidP="00495E3A">
            <w:pPr>
              <w:pStyle w:val="TableText0"/>
              <w:keepNext w:val="0"/>
            </w:pPr>
            <w:r>
              <w:t xml:space="preserve">Table 4.1.3 in </w:t>
            </w:r>
            <w:r w:rsidR="00A23FDF">
              <w:t>Submission</w:t>
            </w:r>
          </w:p>
        </w:tc>
        <w:tc>
          <w:tcPr>
            <w:tcW w:w="3219" w:type="dxa"/>
            <w:vAlign w:val="center"/>
          </w:tcPr>
          <w:p w14:paraId="46DB4A53" w14:textId="40E8C885" w:rsidR="00AC2A6D" w:rsidRPr="00430251" w:rsidRDefault="00AC2A6D" w:rsidP="00495E3A">
            <w:pPr>
              <w:pStyle w:val="Tabletext"/>
              <w:rPr>
                <w:rFonts w:cs="Calibri"/>
              </w:rPr>
            </w:pPr>
          </w:p>
          <w:p w14:paraId="65BF2BD7" w14:textId="77777777" w:rsidR="00AC2A6D" w:rsidRPr="00430251" w:rsidRDefault="00AC2A6D" w:rsidP="00495E3A">
            <w:pPr>
              <w:pStyle w:val="TableText0"/>
              <w:keepNext w:val="0"/>
              <w:rPr>
                <w:rFonts w:cs="Calibri"/>
              </w:rPr>
            </w:pPr>
            <w:r w:rsidRPr="00430251">
              <w:rPr>
                <w:rFonts w:cs="Calibri"/>
              </w:rPr>
              <w:t xml:space="preserve">PBS online. Accessed from </w:t>
            </w:r>
            <w:hyperlink r:id="rId8" w:history="1">
              <w:r w:rsidRPr="00430251">
                <w:rPr>
                  <w:rStyle w:val="Hyperlink"/>
                  <w:rFonts w:cs="Calibri"/>
                </w:rPr>
                <w:t>www.pbs.gov.au</w:t>
              </w:r>
            </w:hyperlink>
            <w:r w:rsidRPr="00430251">
              <w:rPr>
                <w:rFonts w:cs="Calibri"/>
              </w:rPr>
              <w:t xml:space="preserve"> on 1</w:t>
            </w:r>
            <w:r w:rsidRPr="00430251">
              <w:rPr>
                <w:rFonts w:cs="Calibri"/>
                <w:vertAlign w:val="superscript"/>
              </w:rPr>
              <w:t>st</w:t>
            </w:r>
            <w:r w:rsidRPr="00430251">
              <w:rPr>
                <w:rFonts w:cs="Calibri"/>
              </w:rPr>
              <w:t xml:space="preserve"> September 2021.</w:t>
            </w:r>
          </w:p>
          <w:p w14:paraId="7201C134" w14:textId="77777777" w:rsidR="00AC2A6D" w:rsidRPr="00430251" w:rsidRDefault="00AC2A6D" w:rsidP="00495E3A">
            <w:pPr>
              <w:pStyle w:val="TableText0"/>
              <w:keepNext w:val="0"/>
              <w:rPr>
                <w:rFonts w:cs="Calibri"/>
              </w:rPr>
            </w:pPr>
          </w:p>
          <w:p w14:paraId="4125AE48" w14:textId="5D9BD7D2" w:rsidR="00430251" w:rsidRPr="00430251" w:rsidRDefault="00430251" w:rsidP="00495E3A">
            <w:pPr>
              <w:pStyle w:val="TableText0"/>
              <w:keepNext w:val="0"/>
            </w:pPr>
          </w:p>
          <w:p w14:paraId="3EB3810F" w14:textId="5C952D23" w:rsidR="00430251" w:rsidRPr="00430251" w:rsidRDefault="00430251" w:rsidP="00495E3A">
            <w:pPr>
              <w:pStyle w:val="TableText0"/>
              <w:keepNext w:val="0"/>
            </w:pPr>
            <w:r w:rsidRPr="00430251">
              <w:t>Updated alongside Pre-PBAC Response to account for price changes effective 1 February 2022.</w:t>
            </w:r>
          </w:p>
          <w:p w14:paraId="5108E73B" w14:textId="77777777" w:rsidR="00AC2A6D" w:rsidRPr="00430251" w:rsidRDefault="00AC2A6D" w:rsidP="00495E3A">
            <w:pPr>
              <w:pStyle w:val="TableText0"/>
              <w:keepNext w:val="0"/>
            </w:pPr>
          </w:p>
        </w:tc>
        <w:tc>
          <w:tcPr>
            <w:tcW w:w="2976" w:type="dxa"/>
            <w:vAlign w:val="center"/>
          </w:tcPr>
          <w:p w14:paraId="5D9B9C32" w14:textId="77777777" w:rsidR="00AC2A6D" w:rsidRPr="00031CDD" w:rsidRDefault="00AC2A6D" w:rsidP="00495E3A">
            <w:pPr>
              <w:pStyle w:val="TableText0"/>
              <w:keepNext w:val="0"/>
            </w:pPr>
            <w:r w:rsidRPr="00031CDD">
              <w:t xml:space="preserve">Data accessed via </w:t>
            </w:r>
            <w:hyperlink r:id="rId9" w:history="1">
              <w:r w:rsidRPr="00031CDD">
                <w:rPr>
                  <w:rStyle w:val="Hyperlink"/>
                </w:rPr>
                <w:t>https://www.pbs.gov.au/pbs/industry/ pricing/ex-manufacturer-price</w:t>
              </w:r>
            </w:hyperlink>
            <w:r w:rsidRPr="00031CDD">
              <w:t xml:space="preserve">; Max qty (packs) accessed via </w:t>
            </w:r>
            <w:hyperlink r:id="rId10" w:history="1">
              <w:r w:rsidRPr="00031CDD">
                <w:rPr>
                  <w:rStyle w:val="Hyperlink"/>
                  <w:rFonts w:cs="Calibri"/>
                </w:rPr>
                <w:t>www.pbs.gov.au</w:t>
              </w:r>
            </w:hyperlink>
            <w:r w:rsidRPr="00031CDD">
              <w:t xml:space="preserve">. </w:t>
            </w:r>
          </w:p>
          <w:p w14:paraId="35C41B3B" w14:textId="77777777" w:rsidR="00AC2A6D" w:rsidRPr="00031CDD" w:rsidRDefault="00AC2A6D" w:rsidP="00495E3A">
            <w:pPr>
              <w:pStyle w:val="TableText0"/>
              <w:keepNext w:val="0"/>
            </w:pPr>
          </w:p>
          <w:p w14:paraId="3F5583F2" w14:textId="77777777" w:rsidR="00AC2A6D" w:rsidRPr="00031CDD" w:rsidRDefault="00AC2A6D" w:rsidP="00495E3A">
            <w:pPr>
              <w:pStyle w:val="TableText0"/>
              <w:keepNext w:val="0"/>
            </w:pPr>
            <w:r w:rsidRPr="00031CDD">
              <w:t>This data is reasonable and accurate.</w:t>
            </w:r>
          </w:p>
        </w:tc>
      </w:tr>
      <w:tr w:rsidR="00AC2A6D" w14:paraId="025CC6E8" w14:textId="77777777" w:rsidTr="0032503C">
        <w:tc>
          <w:tcPr>
            <w:tcW w:w="9180" w:type="dxa"/>
            <w:gridSpan w:val="4"/>
            <w:vAlign w:val="center"/>
          </w:tcPr>
          <w:p w14:paraId="5D5E367A" w14:textId="77777777" w:rsidR="00AC2A6D" w:rsidRPr="00031CDD" w:rsidRDefault="00AC2A6D" w:rsidP="00495E3A">
            <w:pPr>
              <w:pStyle w:val="TableText0"/>
              <w:keepNext w:val="0"/>
              <w:rPr>
                <w:b/>
                <w:bCs w:val="0"/>
              </w:rPr>
            </w:pPr>
            <w:r w:rsidRPr="00031CDD">
              <w:rPr>
                <w:b/>
                <w:bCs w:val="0"/>
              </w:rPr>
              <w:t>Population</w:t>
            </w:r>
          </w:p>
        </w:tc>
      </w:tr>
      <w:tr w:rsidR="00AC2A6D" w14:paraId="27D1069B" w14:textId="77777777" w:rsidTr="0032503C">
        <w:tc>
          <w:tcPr>
            <w:tcW w:w="1526" w:type="dxa"/>
            <w:vAlign w:val="center"/>
          </w:tcPr>
          <w:p w14:paraId="3C476AED" w14:textId="77777777" w:rsidR="00AC2A6D" w:rsidRDefault="00AC2A6D" w:rsidP="00495E3A">
            <w:pPr>
              <w:pStyle w:val="TableText0"/>
              <w:keepNext w:val="0"/>
            </w:pPr>
            <w:r w:rsidRPr="007059CB">
              <w:rPr>
                <w:rFonts w:cs="Calibri"/>
                <w:lang w:val="en-US"/>
              </w:rPr>
              <w:t>Population growth for Australian adults</w:t>
            </w:r>
          </w:p>
        </w:tc>
        <w:tc>
          <w:tcPr>
            <w:tcW w:w="1459" w:type="dxa"/>
            <w:vAlign w:val="center"/>
          </w:tcPr>
          <w:p w14:paraId="1ADDEC3B" w14:textId="77777777" w:rsidR="00AC2A6D" w:rsidRDefault="00AC2A6D" w:rsidP="00495E3A">
            <w:pPr>
              <w:pStyle w:val="TableText0"/>
              <w:keepNext w:val="0"/>
            </w:pPr>
            <w:proofErr w:type="spellStart"/>
            <w:r>
              <w:t>Yr</w:t>
            </w:r>
            <w:proofErr w:type="spellEnd"/>
            <w:r>
              <w:t xml:space="preserve"> 1: 1.6%</w:t>
            </w:r>
          </w:p>
          <w:p w14:paraId="4EBC4DA7" w14:textId="77777777" w:rsidR="00AC2A6D" w:rsidRDefault="00AC2A6D" w:rsidP="00495E3A">
            <w:pPr>
              <w:pStyle w:val="TableText0"/>
              <w:keepNext w:val="0"/>
            </w:pPr>
            <w:proofErr w:type="spellStart"/>
            <w:r>
              <w:t>Yr</w:t>
            </w:r>
            <w:proofErr w:type="spellEnd"/>
            <w:r>
              <w:t xml:space="preserve"> 2: 1.6%</w:t>
            </w:r>
          </w:p>
          <w:p w14:paraId="28FBDEAE" w14:textId="77777777" w:rsidR="00AC2A6D" w:rsidRDefault="00AC2A6D" w:rsidP="00495E3A">
            <w:pPr>
              <w:pStyle w:val="TableText0"/>
              <w:keepNext w:val="0"/>
            </w:pPr>
            <w:proofErr w:type="spellStart"/>
            <w:r>
              <w:t>Yr</w:t>
            </w:r>
            <w:proofErr w:type="spellEnd"/>
            <w:r>
              <w:t xml:space="preserve"> 3: 1.6%</w:t>
            </w:r>
          </w:p>
          <w:p w14:paraId="619A78F9" w14:textId="77777777" w:rsidR="00AC2A6D" w:rsidRDefault="00AC2A6D" w:rsidP="00495E3A">
            <w:pPr>
              <w:pStyle w:val="TableText0"/>
              <w:keepNext w:val="0"/>
            </w:pPr>
            <w:proofErr w:type="spellStart"/>
            <w:r>
              <w:t>Yr</w:t>
            </w:r>
            <w:proofErr w:type="spellEnd"/>
            <w:r>
              <w:t xml:space="preserve"> 4: 1.6%</w:t>
            </w:r>
          </w:p>
          <w:p w14:paraId="7E1FD865" w14:textId="77777777" w:rsidR="00AC2A6D" w:rsidRDefault="00AC2A6D" w:rsidP="00495E3A">
            <w:pPr>
              <w:pStyle w:val="TableText0"/>
              <w:keepNext w:val="0"/>
            </w:pPr>
            <w:proofErr w:type="spellStart"/>
            <w:r>
              <w:t>Yr</w:t>
            </w:r>
            <w:proofErr w:type="spellEnd"/>
            <w:r>
              <w:t xml:space="preserve"> 5: 1.5%</w:t>
            </w:r>
          </w:p>
          <w:p w14:paraId="26BDA922" w14:textId="77777777" w:rsidR="00AC2A6D" w:rsidRDefault="00AC2A6D" w:rsidP="00495E3A">
            <w:pPr>
              <w:pStyle w:val="TableText0"/>
              <w:keepNext w:val="0"/>
            </w:pPr>
            <w:proofErr w:type="spellStart"/>
            <w:r>
              <w:t>Yr</w:t>
            </w:r>
            <w:proofErr w:type="spellEnd"/>
            <w:r>
              <w:t xml:space="preserve"> 6: 1.4%</w:t>
            </w:r>
          </w:p>
        </w:tc>
        <w:tc>
          <w:tcPr>
            <w:tcW w:w="3219" w:type="dxa"/>
            <w:vAlign w:val="center"/>
          </w:tcPr>
          <w:p w14:paraId="550E3C5E" w14:textId="77777777" w:rsidR="00AC2A6D" w:rsidRDefault="00AC2A6D" w:rsidP="00495E3A">
            <w:pPr>
              <w:pStyle w:val="Tabletext"/>
              <w:rPr>
                <w:rFonts w:cs="Calibri"/>
              </w:rPr>
            </w:pPr>
            <w:r w:rsidRPr="00C438D9">
              <w:rPr>
                <w:rFonts w:cs="Calibri"/>
              </w:rPr>
              <w:t>ABS population projections. 3222.0- population projections, Australia, 2017 (base) to 2066 (Series B)</w:t>
            </w:r>
            <w:r>
              <w:rPr>
                <w:rFonts w:cs="Calibri"/>
              </w:rPr>
              <w:t>.</w:t>
            </w:r>
          </w:p>
          <w:p w14:paraId="1E2EB2C6" w14:textId="77777777" w:rsidR="00AC2A6D" w:rsidRDefault="00AC2A6D" w:rsidP="00495E3A">
            <w:pPr>
              <w:pStyle w:val="Tabletext"/>
              <w:rPr>
                <w:rFonts w:cs="Calibri"/>
              </w:rPr>
            </w:pPr>
          </w:p>
          <w:p w14:paraId="008D1A7E" w14:textId="394EDE5A" w:rsidR="00AC2A6D" w:rsidRPr="00430251" w:rsidRDefault="00AC2A6D" w:rsidP="00495E3A">
            <w:pPr>
              <w:pStyle w:val="Tabletext"/>
              <w:rPr>
                <w:rFonts w:cs="Calibri"/>
              </w:rPr>
            </w:pPr>
          </w:p>
        </w:tc>
        <w:tc>
          <w:tcPr>
            <w:tcW w:w="2976" w:type="dxa"/>
            <w:vAlign w:val="center"/>
          </w:tcPr>
          <w:p w14:paraId="403E0EF8" w14:textId="77777777" w:rsidR="00AC2A6D" w:rsidRPr="00031CDD" w:rsidRDefault="00AC2A6D" w:rsidP="00495E3A">
            <w:pPr>
              <w:pStyle w:val="TableText0"/>
              <w:keepNext w:val="0"/>
            </w:pPr>
            <w:r w:rsidRPr="00031CDD">
              <w:t>This data is reasonable and accurate.</w:t>
            </w:r>
          </w:p>
        </w:tc>
      </w:tr>
    </w:tbl>
    <w:p w14:paraId="18F72454" w14:textId="4006D28C" w:rsidR="00AC2A6D" w:rsidRDefault="00AC2A6D" w:rsidP="00AC2A6D">
      <w:pPr>
        <w:pStyle w:val="TableFigureFooter"/>
      </w:pPr>
      <w:r>
        <w:t xml:space="preserve">Source: Table 4.1.1, p128 of the </w:t>
      </w:r>
      <w:r w:rsidR="00A23FDF">
        <w:t>Submission</w:t>
      </w:r>
      <w:r>
        <w:t xml:space="preserve">, and compiled during the evaluation. </w:t>
      </w:r>
    </w:p>
    <w:p w14:paraId="5C3970F2" w14:textId="21B4FEEF" w:rsidR="00AC2A6D" w:rsidRDefault="00AC2A6D" w:rsidP="00AC2A6D">
      <w:pPr>
        <w:pStyle w:val="TableFigureFooter"/>
      </w:pPr>
      <w:r>
        <w:t xml:space="preserve">PBS, Pharmaceutical Benefit Scheme; ABS, Australian Bureau of Statistics; </w:t>
      </w:r>
      <w:proofErr w:type="spellStart"/>
      <w:r>
        <w:t>Yr</w:t>
      </w:r>
      <w:proofErr w:type="spellEnd"/>
      <w:r>
        <w:t>, year; qty, quantity; DMF, dimethyl fumarate; DRF</w:t>
      </w:r>
      <w:r w:rsidR="001B63D0">
        <w:t xml:space="preserve">, </w:t>
      </w:r>
      <w:r>
        <w:t xml:space="preserve">diroximel fumarate; RRMS, </w:t>
      </w:r>
      <w:r w:rsidRPr="00FB70E9">
        <w:t>relapsing-remitting multiple sclerosis</w:t>
      </w:r>
      <w:r>
        <w:t xml:space="preserve">; </w:t>
      </w:r>
      <w:r w:rsidRPr="009249DE">
        <w:t xml:space="preserve">DUSC, Drug Utilisation Sub-Committee; PSD, Public Summary Document; RPBS, Repatriation Pharmaceutical Benefits </w:t>
      </w:r>
      <w:proofErr w:type="gramStart"/>
      <w:r w:rsidRPr="009249DE">
        <w:t>Scheme;</w:t>
      </w:r>
      <w:r w:rsidR="00854DF6">
        <w:t>.</w:t>
      </w:r>
      <w:proofErr w:type="gramEnd"/>
    </w:p>
    <w:p w14:paraId="05F3E11F" w14:textId="5DFA757C" w:rsidR="006C15E2" w:rsidRPr="00E51D20" w:rsidRDefault="006C15E2" w:rsidP="006C15E2">
      <w:pPr>
        <w:pStyle w:val="3-BodyText"/>
        <w:rPr>
          <w:i/>
          <w:iCs/>
        </w:rPr>
      </w:pPr>
      <w:r w:rsidRPr="006C15E2">
        <w:t xml:space="preserve">DRF has a different pack size to DMF, for both initiating and continuing phases. A substitution rate </w:t>
      </w:r>
      <w:r w:rsidR="00E71D00">
        <w:t>wa</w:t>
      </w:r>
      <w:r w:rsidRPr="006C15E2">
        <w:t>s calculated to adjust for the difference in pack size, equating</w:t>
      </w:r>
      <w:r w:rsidR="00854DF6">
        <w:t xml:space="preserve"> to</w:t>
      </w:r>
      <w:r w:rsidRPr="006C15E2">
        <w:t xml:space="preserve"> the number of days the pack will last. The initiating script for DMF and DRF both </w:t>
      </w:r>
      <w:r w:rsidR="00FB37AA">
        <w:t>provide</w:t>
      </w:r>
      <w:r w:rsidR="00FB37AA" w:rsidRPr="006C15E2">
        <w:t xml:space="preserve"> </w:t>
      </w:r>
      <w:r w:rsidRPr="006C15E2">
        <w:t xml:space="preserve">two capsules per day for seven days, after which the dose doubles. The initiating pack size for both DMF (28 capsules) and DRF (120 capsules) are greater than the 14 capsules needed for the initiating dose (7 days). </w:t>
      </w:r>
      <w:r w:rsidRPr="00031CDD">
        <w:t xml:space="preserve">The </w:t>
      </w:r>
      <w:r w:rsidR="001B63D0" w:rsidRPr="00031CDD">
        <w:t>s</w:t>
      </w:r>
      <w:r w:rsidR="00A23FDF" w:rsidRPr="00031CDD">
        <w:t>ubmission</w:t>
      </w:r>
      <w:r w:rsidRPr="00031CDD">
        <w:t xml:space="preserve"> did</w:t>
      </w:r>
      <w:r w:rsidR="00981888">
        <w:t xml:space="preserve"> </w:t>
      </w:r>
      <w:r w:rsidRPr="00031CDD">
        <w:t>n</w:t>
      </w:r>
      <w:r w:rsidR="00981888">
        <w:t>o</w:t>
      </w:r>
      <w:r w:rsidRPr="00031CDD">
        <w:t xml:space="preserve">t account for the adjusted dose after the first seven days when calculating the number of days covered by the initiating pack. The error </w:t>
      </w:r>
      <w:r w:rsidR="00E31F87">
        <w:t>was</w:t>
      </w:r>
      <w:r w:rsidRPr="00031CDD">
        <w:t xml:space="preserve"> corrected </w:t>
      </w:r>
      <w:r w:rsidR="00E51D20">
        <w:t>during the evaluation.</w:t>
      </w:r>
    </w:p>
    <w:p w14:paraId="3F6B5E14" w14:textId="0D8C69EC" w:rsidR="00E51D20" w:rsidRPr="006C15E2" w:rsidRDefault="00E51D20" w:rsidP="006C15E2">
      <w:pPr>
        <w:pStyle w:val="3-BodyText"/>
        <w:rPr>
          <w:i/>
          <w:iCs/>
        </w:rPr>
      </w:pPr>
      <w:r>
        <w:t>The Pre-PBAC Response presented updated utilisation and financial estimates, accounting for price changes to DMF and glatiramer acetate which took effect on 1 February 2022, using a placeholder DRF price of $626.48 (the cost minimised price of DRF to glatiramer acetate noted in Table 8 above). These updated estimates were not independently evaluated.</w:t>
      </w:r>
    </w:p>
    <w:p w14:paraId="4A9568E8" w14:textId="77656568" w:rsidR="00DA6E9D" w:rsidRDefault="00FF3722" w:rsidP="0026761F">
      <w:pPr>
        <w:pStyle w:val="Caption"/>
      </w:pPr>
      <w:r>
        <w:t xml:space="preserve">Table </w:t>
      </w:r>
      <w:r w:rsidR="00B6547D">
        <w:rPr>
          <w:b w:val="0"/>
          <w:bCs w:val="0"/>
        </w:rPr>
        <w:fldChar w:fldCharType="begin"/>
      </w:r>
      <w:r w:rsidR="00B6547D">
        <w:rPr>
          <w:b w:val="0"/>
          <w:bCs w:val="0"/>
        </w:rPr>
        <w:instrText xml:space="preserve"> SEQ Table \* ARABIC </w:instrText>
      </w:r>
      <w:r w:rsidR="00B6547D">
        <w:rPr>
          <w:b w:val="0"/>
          <w:bCs w:val="0"/>
        </w:rPr>
        <w:fldChar w:fldCharType="separate"/>
      </w:r>
      <w:r w:rsidR="00756CE2">
        <w:rPr>
          <w:b w:val="0"/>
          <w:bCs w:val="0"/>
          <w:noProof/>
        </w:rPr>
        <w:t>10</w:t>
      </w:r>
      <w:r w:rsidR="00B6547D">
        <w:rPr>
          <w:b w:val="0"/>
          <w:bCs w:val="0"/>
          <w:noProof/>
        </w:rPr>
        <w:fldChar w:fldCharType="end"/>
      </w:r>
      <w:r>
        <w:t xml:space="preserve">: </w:t>
      </w:r>
      <w:r w:rsidRPr="00042637">
        <w:t>Estimated net cost of DRF to the PBS/RPBS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6"/>
        <w:gridCol w:w="940"/>
        <w:gridCol w:w="1163"/>
        <w:gridCol w:w="1163"/>
        <w:gridCol w:w="1163"/>
        <w:gridCol w:w="1163"/>
        <w:gridCol w:w="1019"/>
      </w:tblGrid>
      <w:tr w:rsidR="00642E3D" w:rsidRPr="00995E4C" w14:paraId="680FEEE2" w14:textId="77777777" w:rsidTr="00D05AB0">
        <w:trPr>
          <w:tblHeader/>
        </w:trPr>
        <w:tc>
          <w:tcPr>
            <w:tcW w:w="1334" w:type="pct"/>
            <w:shd w:val="clear" w:color="auto" w:fill="auto"/>
            <w:vAlign w:val="center"/>
          </w:tcPr>
          <w:p w14:paraId="7D6E59AE" w14:textId="77777777" w:rsidR="00642E3D" w:rsidRPr="00995E4C" w:rsidRDefault="00642E3D" w:rsidP="00040A62">
            <w:pPr>
              <w:pStyle w:val="In-tableHeading"/>
              <w:rPr>
                <w:szCs w:val="20"/>
              </w:rPr>
            </w:pPr>
          </w:p>
        </w:tc>
        <w:tc>
          <w:tcPr>
            <w:tcW w:w="521" w:type="pct"/>
            <w:shd w:val="clear" w:color="auto" w:fill="auto"/>
            <w:vAlign w:val="center"/>
          </w:tcPr>
          <w:p w14:paraId="0D735336" w14:textId="77777777" w:rsidR="00642E3D" w:rsidRPr="00995E4C" w:rsidRDefault="00642E3D" w:rsidP="00040A62">
            <w:pPr>
              <w:pStyle w:val="In-tableHeading"/>
              <w:jc w:val="center"/>
              <w:rPr>
                <w:szCs w:val="20"/>
              </w:rPr>
            </w:pPr>
            <w:r w:rsidRPr="00995E4C">
              <w:rPr>
                <w:szCs w:val="20"/>
              </w:rPr>
              <w:t>Year 1</w:t>
            </w:r>
          </w:p>
        </w:tc>
        <w:tc>
          <w:tcPr>
            <w:tcW w:w="645" w:type="pct"/>
            <w:shd w:val="clear" w:color="auto" w:fill="auto"/>
            <w:vAlign w:val="center"/>
          </w:tcPr>
          <w:p w14:paraId="1C4C00C8" w14:textId="77777777" w:rsidR="00642E3D" w:rsidRPr="00995E4C" w:rsidRDefault="00642E3D" w:rsidP="00040A62">
            <w:pPr>
              <w:pStyle w:val="In-tableHeading"/>
              <w:jc w:val="center"/>
              <w:rPr>
                <w:szCs w:val="20"/>
              </w:rPr>
            </w:pPr>
            <w:r w:rsidRPr="00995E4C">
              <w:rPr>
                <w:szCs w:val="20"/>
              </w:rPr>
              <w:t>Year 2</w:t>
            </w:r>
          </w:p>
        </w:tc>
        <w:tc>
          <w:tcPr>
            <w:tcW w:w="645" w:type="pct"/>
            <w:shd w:val="clear" w:color="auto" w:fill="auto"/>
            <w:vAlign w:val="center"/>
          </w:tcPr>
          <w:p w14:paraId="2AC6BB0B" w14:textId="77777777" w:rsidR="00642E3D" w:rsidRPr="00995E4C" w:rsidRDefault="00642E3D" w:rsidP="00040A62">
            <w:pPr>
              <w:pStyle w:val="In-tableHeading"/>
              <w:jc w:val="center"/>
              <w:rPr>
                <w:szCs w:val="20"/>
              </w:rPr>
            </w:pPr>
            <w:r w:rsidRPr="00995E4C">
              <w:rPr>
                <w:szCs w:val="20"/>
              </w:rPr>
              <w:t>Year 3</w:t>
            </w:r>
          </w:p>
        </w:tc>
        <w:tc>
          <w:tcPr>
            <w:tcW w:w="645" w:type="pct"/>
            <w:shd w:val="clear" w:color="auto" w:fill="auto"/>
            <w:vAlign w:val="center"/>
          </w:tcPr>
          <w:p w14:paraId="25026C4A" w14:textId="77777777" w:rsidR="00642E3D" w:rsidRPr="00995E4C" w:rsidRDefault="00642E3D" w:rsidP="00040A62">
            <w:pPr>
              <w:pStyle w:val="In-tableHeading"/>
              <w:jc w:val="center"/>
              <w:rPr>
                <w:szCs w:val="20"/>
              </w:rPr>
            </w:pPr>
            <w:r w:rsidRPr="00995E4C">
              <w:rPr>
                <w:szCs w:val="20"/>
              </w:rPr>
              <w:t>Year 4</w:t>
            </w:r>
          </w:p>
        </w:tc>
        <w:tc>
          <w:tcPr>
            <w:tcW w:w="645" w:type="pct"/>
            <w:shd w:val="clear" w:color="auto" w:fill="auto"/>
            <w:vAlign w:val="center"/>
          </w:tcPr>
          <w:p w14:paraId="69011DCF" w14:textId="77777777" w:rsidR="00642E3D" w:rsidRPr="00995E4C" w:rsidRDefault="00642E3D" w:rsidP="00040A62">
            <w:pPr>
              <w:pStyle w:val="In-tableHeading"/>
              <w:jc w:val="center"/>
              <w:rPr>
                <w:szCs w:val="20"/>
              </w:rPr>
            </w:pPr>
            <w:r w:rsidRPr="00995E4C">
              <w:rPr>
                <w:szCs w:val="20"/>
              </w:rPr>
              <w:t>Year 5</w:t>
            </w:r>
          </w:p>
        </w:tc>
        <w:tc>
          <w:tcPr>
            <w:tcW w:w="566" w:type="pct"/>
            <w:shd w:val="clear" w:color="auto" w:fill="auto"/>
            <w:vAlign w:val="center"/>
          </w:tcPr>
          <w:p w14:paraId="6AE1809D" w14:textId="77777777" w:rsidR="00642E3D" w:rsidRPr="00995E4C" w:rsidRDefault="00642E3D" w:rsidP="00040A62">
            <w:pPr>
              <w:pStyle w:val="In-tableHeading"/>
              <w:jc w:val="center"/>
              <w:rPr>
                <w:szCs w:val="20"/>
              </w:rPr>
            </w:pPr>
            <w:r w:rsidRPr="00995E4C">
              <w:rPr>
                <w:szCs w:val="20"/>
              </w:rPr>
              <w:t>Year 6</w:t>
            </w:r>
          </w:p>
        </w:tc>
      </w:tr>
      <w:tr w:rsidR="00642E3D" w:rsidRPr="00995E4C" w14:paraId="77E6960B" w14:textId="77777777" w:rsidTr="00040A62">
        <w:trPr>
          <w:tblHeader/>
        </w:trPr>
        <w:tc>
          <w:tcPr>
            <w:tcW w:w="5000" w:type="pct"/>
            <w:gridSpan w:val="7"/>
            <w:shd w:val="clear" w:color="auto" w:fill="auto"/>
            <w:vAlign w:val="center"/>
          </w:tcPr>
          <w:p w14:paraId="464C4B03" w14:textId="77777777" w:rsidR="00642E3D" w:rsidRPr="00995E4C" w:rsidRDefault="00642E3D" w:rsidP="00040A62">
            <w:pPr>
              <w:pStyle w:val="In-tableHeading"/>
              <w:rPr>
                <w:szCs w:val="20"/>
              </w:rPr>
            </w:pPr>
            <w:r w:rsidRPr="00995E4C">
              <w:rPr>
                <w:szCs w:val="20"/>
              </w:rPr>
              <w:t>Total scrips numbers - DRF</w:t>
            </w:r>
          </w:p>
        </w:tc>
      </w:tr>
      <w:tr w:rsidR="00642E3D" w:rsidRPr="00995E4C" w14:paraId="047657E7" w14:textId="77777777" w:rsidTr="00D05AB0">
        <w:trPr>
          <w:tblHeader/>
        </w:trPr>
        <w:tc>
          <w:tcPr>
            <w:tcW w:w="1334" w:type="pct"/>
            <w:shd w:val="clear" w:color="auto" w:fill="auto"/>
            <w:vAlign w:val="center"/>
          </w:tcPr>
          <w:p w14:paraId="641709AC" w14:textId="77777777" w:rsidR="00642E3D" w:rsidRPr="00995E4C" w:rsidRDefault="00642E3D" w:rsidP="00040A62">
            <w:pPr>
              <w:pStyle w:val="In-tableHeading"/>
              <w:rPr>
                <w:b w:val="0"/>
                <w:bCs/>
                <w:szCs w:val="20"/>
                <w:vertAlign w:val="superscript"/>
              </w:rPr>
            </w:pPr>
            <w:r w:rsidRPr="00995E4C">
              <w:rPr>
                <w:b w:val="0"/>
                <w:bCs/>
                <w:szCs w:val="20"/>
              </w:rPr>
              <w:t>Initial</w:t>
            </w:r>
          </w:p>
        </w:tc>
        <w:tc>
          <w:tcPr>
            <w:tcW w:w="521" w:type="pct"/>
            <w:shd w:val="clear" w:color="auto" w:fill="auto"/>
            <w:vAlign w:val="center"/>
          </w:tcPr>
          <w:p w14:paraId="62DAF80E" w14:textId="39115F62" w:rsidR="00642E3D" w:rsidRPr="00995E4C" w:rsidRDefault="00642E3D" w:rsidP="00040A62">
            <w:pPr>
              <w:pStyle w:val="In-tableHeading"/>
              <w:jc w:val="center"/>
              <w:rPr>
                <w:b w:val="0"/>
                <w:bCs/>
                <w:szCs w:val="20"/>
              </w:rPr>
            </w:pPr>
            <w:r w:rsidRPr="00995E4C">
              <w:rPr>
                <w:b w:val="0"/>
                <w:bCs/>
                <w:szCs w:val="20"/>
              </w:rPr>
              <w:t xml:space="preserve"> </w:t>
            </w:r>
            <w:r w:rsidR="00815F0B" w:rsidRPr="00815F0B">
              <w:rPr>
                <w:b w:val="0"/>
                <w:bCs/>
                <w:color w:val="000000"/>
                <w:spacing w:val="76"/>
                <w:szCs w:val="20"/>
                <w:shd w:val="solid" w:color="000000" w:fill="000000"/>
                <w:fitText w:val="162" w:id="-1500819701"/>
                <w14:textFill>
                  <w14:solidFill>
                    <w14:srgbClr w14:val="000000">
                      <w14:alpha w14:val="100000"/>
                    </w14:srgbClr>
                  </w14:solidFill>
                </w14:textFill>
              </w:rPr>
              <w:t>|</w:t>
            </w:r>
            <w:r w:rsidR="00815F0B" w:rsidRPr="00815F0B">
              <w:rPr>
                <w:b w:val="0"/>
                <w:bCs/>
                <w:color w:val="000000"/>
                <w:spacing w:val="1"/>
                <w:szCs w:val="20"/>
                <w:shd w:val="solid" w:color="000000" w:fill="000000"/>
                <w:fitText w:val="162" w:id="-1500819701"/>
                <w14:textFill>
                  <w14:solidFill>
                    <w14:srgbClr w14:val="000000">
                      <w14:alpha w14:val="100000"/>
                    </w14:srgbClr>
                  </w14:solidFill>
                </w14:textFill>
              </w:rPr>
              <w:t>|</w:t>
            </w:r>
            <w:r w:rsidR="00D05AB0">
              <w:rPr>
                <w:b w:val="0"/>
                <w:bCs/>
                <w:szCs w:val="20"/>
                <w:vertAlign w:val="superscript"/>
              </w:rPr>
              <w:t>1</w:t>
            </w:r>
          </w:p>
        </w:tc>
        <w:tc>
          <w:tcPr>
            <w:tcW w:w="645" w:type="pct"/>
            <w:shd w:val="clear" w:color="auto" w:fill="auto"/>
            <w:vAlign w:val="center"/>
          </w:tcPr>
          <w:p w14:paraId="056B127F" w14:textId="37CC7726" w:rsidR="00642E3D" w:rsidRPr="00995E4C" w:rsidRDefault="00642E3D" w:rsidP="00040A62">
            <w:pPr>
              <w:pStyle w:val="In-tableHeading"/>
              <w:jc w:val="center"/>
              <w:rPr>
                <w:b w:val="0"/>
                <w:bCs/>
                <w:szCs w:val="20"/>
              </w:rPr>
            </w:pPr>
            <w:r w:rsidRPr="00995E4C">
              <w:rPr>
                <w:b w:val="0"/>
                <w:bCs/>
                <w:szCs w:val="20"/>
              </w:rPr>
              <w:t xml:space="preserve"> </w:t>
            </w:r>
            <w:r w:rsidR="00815F0B" w:rsidRPr="00815F0B">
              <w:rPr>
                <w:rFonts w:hint="eastAsia"/>
                <w:b w:val="0"/>
                <w:bCs/>
                <w:color w:val="000000"/>
                <w:w w:val="15"/>
                <w:szCs w:val="20"/>
                <w:shd w:val="solid" w:color="000000" w:fill="000000"/>
                <w:fitText w:val="39" w:id="-1500819700"/>
                <w14:textFill>
                  <w14:solidFill>
                    <w14:srgbClr w14:val="000000">
                      <w14:alpha w14:val="100000"/>
                    </w14:srgbClr>
                  </w14:solidFill>
                </w14:textFill>
              </w:rPr>
              <w:t xml:space="preserve">　</w:t>
            </w:r>
            <w:r w:rsidR="00815F0B" w:rsidRPr="00815F0B">
              <w:rPr>
                <w:b w:val="0"/>
                <w:bCs/>
                <w:color w:val="000000"/>
                <w:w w:val="15"/>
                <w:szCs w:val="20"/>
                <w:shd w:val="solid" w:color="000000" w:fill="000000"/>
                <w:fitText w:val="39" w:id="-1500819700"/>
                <w14:textFill>
                  <w14:solidFill>
                    <w14:srgbClr w14:val="000000">
                      <w14:alpha w14:val="100000"/>
                    </w14:srgbClr>
                  </w14:solidFill>
                </w14:textFill>
              </w:rPr>
              <w:t>|</w:t>
            </w:r>
            <w:r w:rsidR="00815F0B" w:rsidRPr="00815F0B">
              <w:rPr>
                <w:rFonts w:hint="eastAsia"/>
                <w:b w:val="0"/>
                <w:bCs/>
                <w:color w:val="000000"/>
                <w:spacing w:val="-26"/>
                <w:w w:val="15"/>
                <w:szCs w:val="20"/>
                <w:shd w:val="solid" w:color="000000" w:fill="000000"/>
                <w:fitText w:val="39" w:id="-1500819700"/>
                <w14:textFill>
                  <w14:solidFill>
                    <w14:srgbClr w14:val="000000">
                      <w14:alpha w14:val="100000"/>
                    </w14:srgbClr>
                  </w14:solidFill>
                </w14:textFill>
              </w:rPr>
              <w:t xml:space="preserve">　</w:t>
            </w:r>
            <w:r w:rsidR="00D05AB0">
              <w:rPr>
                <w:b w:val="0"/>
                <w:bCs/>
                <w:szCs w:val="20"/>
                <w:vertAlign w:val="superscript"/>
              </w:rPr>
              <w:t>1</w:t>
            </w:r>
            <w:r w:rsidRPr="00995E4C">
              <w:rPr>
                <w:b w:val="0"/>
                <w:bCs/>
                <w:szCs w:val="20"/>
              </w:rPr>
              <w:t xml:space="preserve"> </w:t>
            </w:r>
          </w:p>
        </w:tc>
        <w:tc>
          <w:tcPr>
            <w:tcW w:w="645" w:type="pct"/>
            <w:shd w:val="clear" w:color="auto" w:fill="auto"/>
            <w:vAlign w:val="center"/>
          </w:tcPr>
          <w:p w14:paraId="77B14AB4" w14:textId="78B33BEF" w:rsidR="00642E3D" w:rsidRPr="00995E4C" w:rsidRDefault="00642E3D" w:rsidP="00040A62">
            <w:pPr>
              <w:pStyle w:val="In-tableHeading"/>
              <w:jc w:val="center"/>
              <w:rPr>
                <w:b w:val="0"/>
                <w:bCs/>
                <w:szCs w:val="20"/>
              </w:rPr>
            </w:pPr>
            <w:r w:rsidRPr="00995E4C">
              <w:rPr>
                <w:b w:val="0"/>
                <w:bCs/>
                <w:szCs w:val="20"/>
              </w:rPr>
              <w:t xml:space="preserve"> </w:t>
            </w:r>
            <w:r w:rsidR="00815F0B" w:rsidRPr="00815F0B">
              <w:rPr>
                <w:rFonts w:hint="eastAsia"/>
                <w:b w:val="0"/>
                <w:bCs/>
                <w:color w:val="000000"/>
                <w:w w:val="15"/>
                <w:szCs w:val="20"/>
                <w:shd w:val="solid" w:color="000000" w:fill="000000"/>
                <w:fitText w:val="39" w:id="-1500819699"/>
                <w14:textFill>
                  <w14:solidFill>
                    <w14:srgbClr w14:val="000000">
                      <w14:alpha w14:val="100000"/>
                    </w14:srgbClr>
                  </w14:solidFill>
                </w14:textFill>
              </w:rPr>
              <w:t xml:space="preserve">　</w:t>
            </w:r>
            <w:r w:rsidR="00815F0B" w:rsidRPr="00815F0B">
              <w:rPr>
                <w:b w:val="0"/>
                <w:bCs/>
                <w:color w:val="000000"/>
                <w:w w:val="15"/>
                <w:szCs w:val="20"/>
                <w:shd w:val="solid" w:color="000000" w:fill="000000"/>
                <w:fitText w:val="39" w:id="-1500819699"/>
                <w14:textFill>
                  <w14:solidFill>
                    <w14:srgbClr w14:val="000000">
                      <w14:alpha w14:val="100000"/>
                    </w14:srgbClr>
                  </w14:solidFill>
                </w14:textFill>
              </w:rPr>
              <w:t>|</w:t>
            </w:r>
            <w:r w:rsidR="00815F0B" w:rsidRPr="00815F0B">
              <w:rPr>
                <w:rFonts w:hint="eastAsia"/>
                <w:b w:val="0"/>
                <w:bCs/>
                <w:color w:val="000000"/>
                <w:spacing w:val="-26"/>
                <w:w w:val="15"/>
                <w:szCs w:val="20"/>
                <w:shd w:val="solid" w:color="000000" w:fill="000000"/>
                <w:fitText w:val="39" w:id="-1500819699"/>
                <w14:textFill>
                  <w14:solidFill>
                    <w14:srgbClr w14:val="000000">
                      <w14:alpha w14:val="100000"/>
                    </w14:srgbClr>
                  </w14:solidFill>
                </w14:textFill>
              </w:rPr>
              <w:t xml:space="preserve">　</w:t>
            </w:r>
            <w:r w:rsidR="00D05AB0" w:rsidRPr="00BC4308">
              <w:rPr>
                <w:b w:val="0"/>
                <w:bCs/>
                <w:szCs w:val="20"/>
                <w:vertAlign w:val="superscript"/>
              </w:rPr>
              <w:t>1</w:t>
            </w:r>
          </w:p>
        </w:tc>
        <w:tc>
          <w:tcPr>
            <w:tcW w:w="645" w:type="pct"/>
            <w:shd w:val="clear" w:color="auto" w:fill="auto"/>
            <w:vAlign w:val="center"/>
          </w:tcPr>
          <w:p w14:paraId="678BE0E9" w14:textId="10B5F436" w:rsidR="00642E3D" w:rsidRPr="00995E4C" w:rsidRDefault="00642E3D" w:rsidP="00040A62">
            <w:pPr>
              <w:pStyle w:val="In-tableHeading"/>
              <w:jc w:val="center"/>
              <w:rPr>
                <w:b w:val="0"/>
                <w:bCs/>
                <w:szCs w:val="20"/>
              </w:rPr>
            </w:pPr>
            <w:r w:rsidRPr="00995E4C">
              <w:rPr>
                <w:b w:val="0"/>
                <w:bCs/>
                <w:szCs w:val="20"/>
              </w:rPr>
              <w:t xml:space="preserve"> </w:t>
            </w:r>
            <w:r w:rsidR="00815F0B" w:rsidRPr="00815F0B">
              <w:rPr>
                <w:rFonts w:hint="eastAsia"/>
                <w:b w:val="0"/>
                <w:bCs/>
                <w:color w:val="000000"/>
                <w:w w:val="15"/>
                <w:szCs w:val="20"/>
                <w:shd w:val="solid" w:color="000000" w:fill="000000"/>
                <w:fitText w:val="39" w:id="-1500819698"/>
                <w14:textFill>
                  <w14:solidFill>
                    <w14:srgbClr w14:val="000000">
                      <w14:alpha w14:val="100000"/>
                    </w14:srgbClr>
                  </w14:solidFill>
                </w14:textFill>
              </w:rPr>
              <w:t xml:space="preserve">　</w:t>
            </w:r>
            <w:r w:rsidR="00815F0B" w:rsidRPr="00815F0B">
              <w:rPr>
                <w:b w:val="0"/>
                <w:bCs/>
                <w:color w:val="000000"/>
                <w:w w:val="15"/>
                <w:szCs w:val="20"/>
                <w:shd w:val="solid" w:color="000000" w:fill="000000"/>
                <w:fitText w:val="39" w:id="-1500819698"/>
                <w14:textFill>
                  <w14:solidFill>
                    <w14:srgbClr w14:val="000000">
                      <w14:alpha w14:val="100000"/>
                    </w14:srgbClr>
                  </w14:solidFill>
                </w14:textFill>
              </w:rPr>
              <w:t>|</w:t>
            </w:r>
            <w:r w:rsidR="00815F0B" w:rsidRPr="00815F0B">
              <w:rPr>
                <w:rFonts w:hint="eastAsia"/>
                <w:b w:val="0"/>
                <w:bCs/>
                <w:color w:val="000000"/>
                <w:spacing w:val="-26"/>
                <w:w w:val="15"/>
                <w:szCs w:val="20"/>
                <w:shd w:val="solid" w:color="000000" w:fill="000000"/>
                <w:fitText w:val="39" w:id="-1500819698"/>
                <w14:textFill>
                  <w14:solidFill>
                    <w14:srgbClr w14:val="000000">
                      <w14:alpha w14:val="100000"/>
                    </w14:srgbClr>
                  </w14:solidFill>
                </w14:textFill>
              </w:rPr>
              <w:t xml:space="preserve">　</w:t>
            </w:r>
            <w:r w:rsidR="00D05AB0">
              <w:rPr>
                <w:b w:val="0"/>
                <w:bCs/>
                <w:szCs w:val="20"/>
                <w:vertAlign w:val="superscript"/>
              </w:rPr>
              <w:t>1</w:t>
            </w:r>
            <w:r w:rsidRPr="00995E4C">
              <w:rPr>
                <w:b w:val="0"/>
                <w:bCs/>
                <w:szCs w:val="20"/>
              </w:rPr>
              <w:t xml:space="preserve"> </w:t>
            </w:r>
          </w:p>
        </w:tc>
        <w:tc>
          <w:tcPr>
            <w:tcW w:w="645" w:type="pct"/>
            <w:shd w:val="clear" w:color="auto" w:fill="auto"/>
            <w:vAlign w:val="center"/>
          </w:tcPr>
          <w:p w14:paraId="7C403EDB" w14:textId="57142CB5" w:rsidR="00642E3D" w:rsidRPr="00995E4C" w:rsidRDefault="00642E3D" w:rsidP="00040A62">
            <w:pPr>
              <w:pStyle w:val="In-tableHeading"/>
              <w:jc w:val="center"/>
              <w:rPr>
                <w:b w:val="0"/>
                <w:bCs/>
                <w:szCs w:val="20"/>
              </w:rPr>
            </w:pPr>
            <w:r w:rsidRPr="00995E4C">
              <w:rPr>
                <w:b w:val="0"/>
                <w:bCs/>
                <w:szCs w:val="20"/>
              </w:rPr>
              <w:t xml:space="preserve"> </w:t>
            </w:r>
            <w:r w:rsidR="00815F0B" w:rsidRPr="00815F0B">
              <w:rPr>
                <w:rFonts w:hint="eastAsia"/>
                <w:b w:val="0"/>
                <w:bCs/>
                <w:color w:val="000000"/>
                <w:w w:val="15"/>
                <w:szCs w:val="20"/>
                <w:shd w:val="solid" w:color="000000" w:fill="000000"/>
                <w:fitText w:val="38" w:id="-1500819697"/>
                <w14:textFill>
                  <w14:solidFill>
                    <w14:srgbClr w14:val="000000">
                      <w14:alpha w14:val="100000"/>
                    </w14:srgbClr>
                  </w14:solidFill>
                </w14:textFill>
              </w:rPr>
              <w:t xml:space="preserve">　</w:t>
            </w:r>
            <w:r w:rsidR="00815F0B" w:rsidRPr="00815F0B">
              <w:rPr>
                <w:b w:val="0"/>
                <w:bCs/>
                <w:color w:val="000000"/>
                <w:w w:val="15"/>
                <w:szCs w:val="20"/>
                <w:shd w:val="solid" w:color="000000" w:fill="000000"/>
                <w:fitText w:val="38" w:id="-1500819697"/>
                <w14:textFill>
                  <w14:solidFill>
                    <w14:srgbClr w14:val="000000">
                      <w14:alpha w14:val="100000"/>
                    </w14:srgbClr>
                  </w14:solidFill>
                </w14:textFill>
              </w:rPr>
              <w:t>|</w:t>
            </w:r>
            <w:r w:rsidR="00815F0B" w:rsidRPr="00815F0B">
              <w:rPr>
                <w:rFonts w:hint="eastAsia"/>
                <w:b w:val="0"/>
                <w:bCs/>
                <w:color w:val="000000"/>
                <w:spacing w:val="-27"/>
                <w:w w:val="15"/>
                <w:szCs w:val="20"/>
                <w:shd w:val="solid" w:color="000000" w:fill="000000"/>
                <w:fitText w:val="38" w:id="-1500819697"/>
                <w14:textFill>
                  <w14:solidFill>
                    <w14:srgbClr w14:val="000000">
                      <w14:alpha w14:val="100000"/>
                    </w14:srgbClr>
                  </w14:solidFill>
                </w14:textFill>
              </w:rPr>
              <w:t xml:space="preserve">　</w:t>
            </w:r>
            <w:r w:rsidR="00D05AB0">
              <w:rPr>
                <w:b w:val="0"/>
                <w:bCs/>
                <w:szCs w:val="20"/>
                <w:vertAlign w:val="superscript"/>
              </w:rPr>
              <w:t>1</w:t>
            </w:r>
            <w:r w:rsidRPr="00995E4C">
              <w:rPr>
                <w:b w:val="0"/>
                <w:bCs/>
                <w:szCs w:val="20"/>
              </w:rPr>
              <w:t xml:space="preserve"> </w:t>
            </w:r>
          </w:p>
        </w:tc>
        <w:tc>
          <w:tcPr>
            <w:tcW w:w="566" w:type="pct"/>
            <w:shd w:val="clear" w:color="auto" w:fill="auto"/>
            <w:vAlign w:val="center"/>
          </w:tcPr>
          <w:p w14:paraId="47B84D32" w14:textId="40EE717C" w:rsidR="00642E3D" w:rsidRPr="00995E4C" w:rsidRDefault="00642E3D" w:rsidP="00040A62">
            <w:pPr>
              <w:pStyle w:val="In-tableHeading"/>
              <w:jc w:val="center"/>
              <w:rPr>
                <w:b w:val="0"/>
                <w:bCs/>
                <w:szCs w:val="20"/>
              </w:rPr>
            </w:pPr>
            <w:r w:rsidRPr="00995E4C">
              <w:rPr>
                <w:b w:val="0"/>
                <w:bCs/>
                <w:szCs w:val="20"/>
              </w:rPr>
              <w:t xml:space="preserve"> </w:t>
            </w:r>
            <w:r w:rsidR="00815F0B" w:rsidRPr="00815F0B">
              <w:rPr>
                <w:rFonts w:hint="eastAsia"/>
                <w:b w:val="0"/>
                <w:bCs/>
                <w:color w:val="000000"/>
                <w:w w:val="27"/>
                <w:szCs w:val="20"/>
                <w:shd w:val="solid" w:color="000000" w:fill="000000"/>
                <w:fitText w:val="123" w:id="-1500819696"/>
                <w14:textFill>
                  <w14:solidFill>
                    <w14:srgbClr w14:val="000000">
                      <w14:alpha w14:val="100000"/>
                    </w14:srgbClr>
                  </w14:solidFill>
                </w14:textFill>
              </w:rPr>
              <w:t xml:space="preserve">　</w:t>
            </w:r>
            <w:r w:rsidR="00815F0B" w:rsidRPr="00815F0B">
              <w:rPr>
                <w:b w:val="0"/>
                <w:bCs/>
                <w:color w:val="000000"/>
                <w:w w:val="27"/>
                <w:szCs w:val="20"/>
                <w:shd w:val="solid" w:color="000000" w:fill="000000"/>
                <w:fitText w:val="123" w:id="-1500819696"/>
                <w14:textFill>
                  <w14:solidFill>
                    <w14:srgbClr w14:val="000000">
                      <w14:alpha w14:val="100000"/>
                    </w14:srgbClr>
                  </w14:solidFill>
                </w14:textFill>
              </w:rPr>
              <w:t>|</w:t>
            </w:r>
            <w:r w:rsidR="00815F0B" w:rsidRPr="00815F0B">
              <w:rPr>
                <w:rFonts w:hint="eastAsia"/>
                <w:b w:val="0"/>
                <w:bCs/>
                <w:color w:val="000000"/>
                <w:spacing w:val="5"/>
                <w:w w:val="27"/>
                <w:szCs w:val="20"/>
                <w:shd w:val="solid" w:color="000000" w:fill="000000"/>
                <w:fitText w:val="123" w:id="-1500819696"/>
                <w14:textFill>
                  <w14:solidFill>
                    <w14:srgbClr w14:val="000000">
                      <w14:alpha w14:val="100000"/>
                    </w14:srgbClr>
                  </w14:solidFill>
                </w14:textFill>
              </w:rPr>
              <w:t xml:space="preserve">　</w:t>
            </w:r>
            <w:r w:rsidR="00D05AB0">
              <w:rPr>
                <w:b w:val="0"/>
                <w:bCs/>
                <w:szCs w:val="20"/>
                <w:vertAlign w:val="superscript"/>
              </w:rPr>
              <w:t>1</w:t>
            </w:r>
            <w:r w:rsidRPr="00995E4C">
              <w:rPr>
                <w:b w:val="0"/>
                <w:bCs/>
                <w:szCs w:val="20"/>
              </w:rPr>
              <w:t xml:space="preserve"> </w:t>
            </w:r>
          </w:p>
        </w:tc>
      </w:tr>
      <w:tr w:rsidR="00642E3D" w:rsidRPr="00995E4C" w14:paraId="7714F73B" w14:textId="77777777" w:rsidTr="00D05AB0">
        <w:trPr>
          <w:tblHeader/>
        </w:trPr>
        <w:tc>
          <w:tcPr>
            <w:tcW w:w="1334" w:type="pct"/>
            <w:shd w:val="clear" w:color="auto" w:fill="auto"/>
            <w:vAlign w:val="center"/>
          </w:tcPr>
          <w:p w14:paraId="4B16D923" w14:textId="77777777" w:rsidR="00642E3D" w:rsidRPr="00995E4C" w:rsidRDefault="00642E3D" w:rsidP="00040A62">
            <w:pPr>
              <w:pStyle w:val="In-tableHeading"/>
              <w:rPr>
                <w:b w:val="0"/>
                <w:bCs/>
                <w:szCs w:val="20"/>
              </w:rPr>
            </w:pPr>
            <w:r w:rsidRPr="00995E4C">
              <w:rPr>
                <w:b w:val="0"/>
                <w:bCs/>
                <w:szCs w:val="20"/>
              </w:rPr>
              <w:t xml:space="preserve">Continuing  </w:t>
            </w:r>
          </w:p>
        </w:tc>
        <w:tc>
          <w:tcPr>
            <w:tcW w:w="521" w:type="pct"/>
            <w:shd w:val="clear" w:color="auto" w:fill="auto"/>
            <w:vAlign w:val="center"/>
          </w:tcPr>
          <w:p w14:paraId="4694F19A" w14:textId="22C66563" w:rsidR="00642E3D" w:rsidRPr="00D05AB0" w:rsidRDefault="00815F0B" w:rsidP="00040A62">
            <w:pPr>
              <w:pStyle w:val="In-tableHeading"/>
              <w:jc w:val="center"/>
              <w:rPr>
                <w:b w:val="0"/>
                <w:bCs/>
                <w:szCs w:val="20"/>
                <w:vertAlign w:val="superscript"/>
              </w:rPr>
            </w:pPr>
            <w:r w:rsidRPr="00815F0B">
              <w:rPr>
                <w:rFonts w:hint="eastAsia"/>
                <w:b w:val="0"/>
                <w:bCs/>
                <w:color w:val="000000"/>
                <w:w w:val="31"/>
                <w:szCs w:val="20"/>
                <w:shd w:val="solid" w:color="000000" w:fill="000000"/>
                <w:fitText w:val="139" w:id="-1500819712"/>
                <w14:textFill>
                  <w14:solidFill>
                    <w14:srgbClr w14:val="000000">
                      <w14:alpha w14:val="100000"/>
                    </w14:srgbClr>
                  </w14:solidFill>
                </w14:textFill>
              </w:rPr>
              <w:t xml:space="preserve">　</w:t>
            </w:r>
            <w:r w:rsidRPr="00815F0B">
              <w:rPr>
                <w:b w:val="0"/>
                <w:bCs/>
                <w:color w:val="000000"/>
                <w:w w:val="31"/>
                <w:szCs w:val="20"/>
                <w:shd w:val="solid" w:color="000000" w:fill="000000"/>
                <w:fitText w:val="139" w:id="-1500819712"/>
                <w14:textFill>
                  <w14:solidFill>
                    <w14:srgbClr w14:val="000000">
                      <w14:alpha w14:val="100000"/>
                    </w14:srgbClr>
                  </w14:solidFill>
                </w14:textFill>
              </w:rPr>
              <w:t>|</w:t>
            </w:r>
            <w:r w:rsidRPr="00815F0B">
              <w:rPr>
                <w:rFonts w:hint="eastAsia"/>
                <w:b w:val="0"/>
                <w:bCs/>
                <w:color w:val="000000"/>
                <w:spacing w:val="3"/>
                <w:w w:val="31"/>
                <w:szCs w:val="20"/>
                <w:shd w:val="solid" w:color="000000" w:fill="000000"/>
                <w:fitText w:val="139" w:id="-1500819712"/>
                <w14:textFill>
                  <w14:solidFill>
                    <w14:srgbClr w14:val="000000">
                      <w14:alpha w14:val="100000"/>
                    </w14:srgbClr>
                  </w14:solidFill>
                </w14:textFill>
              </w:rPr>
              <w:t xml:space="preserve">　</w:t>
            </w:r>
            <w:r w:rsidR="00D05AB0">
              <w:rPr>
                <w:b w:val="0"/>
                <w:bCs/>
                <w:szCs w:val="20"/>
                <w:vertAlign w:val="superscript"/>
              </w:rPr>
              <w:t>2</w:t>
            </w:r>
          </w:p>
        </w:tc>
        <w:tc>
          <w:tcPr>
            <w:tcW w:w="645" w:type="pct"/>
            <w:shd w:val="clear" w:color="auto" w:fill="auto"/>
            <w:vAlign w:val="center"/>
          </w:tcPr>
          <w:p w14:paraId="5B056B46" w14:textId="53AC79B2" w:rsidR="00642E3D" w:rsidRPr="00E65EEA" w:rsidRDefault="00815F0B" w:rsidP="00040A62">
            <w:pPr>
              <w:pStyle w:val="In-tableHeading"/>
              <w:jc w:val="center"/>
              <w:rPr>
                <w:b w:val="0"/>
                <w:bCs/>
                <w:szCs w:val="20"/>
              </w:rPr>
            </w:pPr>
            <w:r w:rsidRPr="00756CE2">
              <w:rPr>
                <w:rFonts w:hint="eastAsia"/>
                <w:b w:val="0"/>
                <w:bCs/>
                <w:color w:val="000000"/>
                <w:w w:val="15"/>
                <w:szCs w:val="20"/>
                <w:shd w:val="solid" w:color="000000" w:fill="000000"/>
                <w:fitText w:val="16" w:id="-1500819711"/>
                <w14:textFill>
                  <w14:solidFill>
                    <w14:srgbClr w14:val="000000">
                      <w14:alpha w14:val="100000"/>
                    </w14:srgbClr>
                  </w14:solidFill>
                </w14:textFill>
              </w:rPr>
              <w:t xml:space="preserve">　</w:t>
            </w:r>
            <w:r w:rsidRPr="00756CE2">
              <w:rPr>
                <w:b w:val="0"/>
                <w:bCs/>
                <w:color w:val="000000"/>
                <w:w w:val="15"/>
                <w:szCs w:val="20"/>
                <w:shd w:val="solid" w:color="000000" w:fill="000000"/>
                <w:fitText w:val="16" w:id="-1500819711"/>
                <w14:textFill>
                  <w14:solidFill>
                    <w14:srgbClr w14:val="000000">
                      <w14:alpha w14:val="100000"/>
                    </w14:srgbClr>
                  </w14:solidFill>
                </w14:textFill>
              </w:rPr>
              <w:t>|</w:t>
            </w:r>
            <w:r w:rsidRPr="00756CE2">
              <w:rPr>
                <w:rFonts w:hint="eastAsia"/>
                <w:b w:val="0"/>
                <w:bCs/>
                <w:color w:val="000000"/>
                <w:spacing w:val="-49"/>
                <w:w w:val="15"/>
                <w:szCs w:val="20"/>
                <w:shd w:val="solid" w:color="000000" w:fill="000000"/>
                <w:fitText w:val="16" w:id="-1500819711"/>
                <w14:textFill>
                  <w14:solidFill>
                    <w14:srgbClr w14:val="000000">
                      <w14:alpha w14:val="100000"/>
                    </w14:srgbClr>
                  </w14:solidFill>
                </w14:textFill>
              </w:rPr>
              <w:t xml:space="preserve">　</w:t>
            </w:r>
            <w:r w:rsidR="00E65EEA" w:rsidRPr="00E65EEA">
              <w:rPr>
                <w:b w:val="0"/>
                <w:bCs/>
                <w:szCs w:val="20"/>
                <w:vertAlign w:val="superscript"/>
              </w:rPr>
              <w:t>2</w:t>
            </w:r>
          </w:p>
        </w:tc>
        <w:tc>
          <w:tcPr>
            <w:tcW w:w="645" w:type="pct"/>
            <w:shd w:val="clear" w:color="auto" w:fill="auto"/>
            <w:vAlign w:val="center"/>
          </w:tcPr>
          <w:p w14:paraId="79F13D75" w14:textId="33CD37E2" w:rsidR="00642E3D" w:rsidRPr="00E65EEA" w:rsidRDefault="00815F0B" w:rsidP="00040A62">
            <w:pPr>
              <w:pStyle w:val="In-tableHeading"/>
              <w:jc w:val="center"/>
              <w:rPr>
                <w:b w:val="0"/>
                <w:bCs/>
                <w:szCs w:val="20"/>
                <w:vertAlign w:val="superscript"/>
              </w:rPr>
            </w:pPr>
            <w:r w:rsidRPr="00756CE2">
              <w:rPr>
                <w:rFonts w:hint="eastAsia"/>
                <w:b w:val="0"/>
                <w:bCs/>
                <w:color w:val="000000"/>
                <w:w w:val="15"/>
                <w:szCs w:val="20"/>
                <w:shd w:val="solid" w:color="000000" w:fill="000000"/>
                <w:fitText w:val="16" w:id="-1500819710"/>
                <w14:textFill>
                  <w14:solidFill>
                    <w14:srgbClr w14:val="000000">
                      <w14:alpha w14:val="100000"/>
                    </w14:srgbClr>
                  </w14:solidFill>
                </w14:textFill>
              </w:rPr>
              <w:t xml:space="preserve">　</w:t>
            </w:r>
            <w:r w:rsidRPr="00756CE2">
              <w:rPr>
                <w:b w:val="0"/>
                <w:bCs/>
                <w:color w:val="000000"/>
                <w:w w:val="15"/>
                <w:szCs w:val="20"/>
                <w:shd w:val="solid" w:color="000000" w:fill="000000"/>
                <w:fitText w:val="16" w:id="-1500819710"/>
                <w14:textFill>
                  <w14:solidFill>
                    <w14:srgbClr w14:val="000000">
                      <w14:alpha w14:val="100000"/>
                    </w14:srgbClr>
                  </w14:solidFill>
                </w14:textFill>
              </w:rPr>
              <w:t>|</w:t>
            </w:r>
            <w:r w:rsidRPr="00756CE2">
              <w:rPr>
                <w:rFonts w:hint="eastAsia"/>
                <w:b w:val="0"/>
                <w:bCs/>
                <w:color w:val="000000"/>
                <w:spacing w:val="-49"/>
                <w:w w:val="15"/>
                <w:szCs w:val="20"/>
                <w:shd w:val="solid" w:color="000000" w:fill="000000"/>
                <w:fitText w:val="16" w:id="-1500819710"/>
                <w14:textFill>
                  <w14:solidFill>
                    <w14:srgbClr w14:val="000000">
                      <w14:alpha w14:val="100000"/>
                    </w14:srgbClr>
                  </w14:solidFill>
                </w14:textFill>
              </w:rPr>
              <w:t xml:space="preserve">　</w:t>
            </w:r>
            <w:r w:rsidR="00E65EEA">
              <w:rPr>
                <w:b w:val="0"/>
                <w:bCs/>
                <w:szCs w:val="20"/>
                <w:vertAlign w:val="superscript"/>
              </w:rPr>
              <w:t>3</w:t>
            </w:r>
          </w:p>
        </w:tc>
        <w:tc>
          <w:tcPr>
            <w:tcW w:w="645" w:type="pct"/>
            <w:shd w:val="clear" w:color="auto" w:fill="auto"/>
            <w:vAlign w:val="center"/>
          </w:tcPr>
          <w:p w14:paraId="36CFBA53" w14:textId="018F4FB6" w:rsidR="00642E3D" w:rsidRPr="00995E4C" w:rsidRDefault="00815F0B" w:rsidP="00040A62">
            <w:pPr>
              <w:pStyle w:val="In-tableHeading"/>
              <w:jc w:val="center"/>
              <w:rPr>
                <w:b w:val="0"/>
                <w:bCs/>
                <w:szCs w:val="20"/>
              </w:rPr>
            </w:pPr>
            <w:r w:rsidRPr="00756CE2">
              <w:rPr>
                <w:rFonts w:hint="eastAsia"/>
                <w:b w:val="0"/>
                <w:bCs/>
                <w:color w:val="000000"/>
                <w:w w:val="15"/>
                <w:szCs w:val="20"/>
                <w:shd w:val="solid" w:color="000000" w:fill="000000"/>
                <w:fitText w:val="15" w:id="-1500819709"/>
                <w14:textFill>
                  <w14:solidFill>
                    <w14:srgbClr w14:val="000000">
                      <w14:alpha w14:val="100000"/>
                    </w14:srgbClr>
                  </w14:solidFill>
                </w14:textFill>
              </w:rPr>
              <w:t xml:space="preserve">　</w:t>
            </w:r>
            <w:r w:rsidRPr="00756CE2">
              <w:rPr>
                <w:b w:val="0"/>
                <w:bCs/>
                <w:color w:val="000000"/>
                <w:w w:val="15"/>
                <w:szCs w:val="20"/>
                <w:shd w:val="solid" w:color="000000" w:fill="000000"/>
                <w:fitText w:val="15" w:id="-1500819709"/>
                <w14:textFill>
                  <w14:solidFill>
                    <w14:srgbClr w14:val="000000">
                      <w14:alpha w14:val="100000"/>
                    </w14:srgbClr>
                  </w14:solidFill>
                </w14:textFill>
              </w:rPr>
              <w:t>|</w:t>
            </w:r>
            <w:r w:rsidRPr="00756CE2">
              <w:rPr>
                <w:rFonts w:hint="eastAsia"/>
                <w:b w:val="0"/>
                <w:bCs/>
                <w:color w:val="000000"/>
                <w:spacing w:val="-50"/>
                <w:w w:val="15"/>
                <w:szCs w:val="20"/>
                <w:shd w:val="solid" w:color="000000" w:fill="000000"/>
                <w:fitText w:val="15" w:id="-1500819709"/>
                <w14:textFill>
                  <w14:solidFill>
                    <w14:srgbClr w14:val="000000">
                      <w14:alpha w14:val="100000"/>
                    </w14:srgbClr>
                  </w14:solidFill>
                </w14:textFill>
              </w:rPr>
              <w:t xml:space="preserve">　</w:t>
            </w:r>
            <w:r w:rsidR="00E65EEA" w:rsidRPr="00E65EEA">
              <w:rPr>
                <w:b w:val="0"/>
                <w:bCs/>
                <w:szCs w:val="20"/>
                <w:vertAlign w:val="superscript"/>
              </w:rPr>
              <w:t>3</w:t>
            </w:r>
          </w:p>
        </w:tc>
        <w:tc>
          <w:tcPr>
            <w:tcW w:w="645" w:type="pct"/>
            <w:shd w:val="clear" w:color="auto" w:fill="auto"/>
            <w:vAlign w:val="center"/>
          </w:tcPr>
          <w:p w14:paraId="5A2BCFB4" w14:textId="1A4950FD" w:rsidR="00642E3D" w:rsidRPr="00995E4C" w:rsidRDefault="00815F0B" w:rsidP="00040A62">
            <w:pPr>
              <w:pStyle w:val="In-tableHeading"/>
              <w:jc w:val="center"/>
              <w:rPr>
                <w:b w:val="0"/>
                <w:bCs/>
                <w:szCs w:val="20"/>
              </w:rPr>
            </w:pPr>
            <w:r w:rsidRPr="00756CE2">
              <w:rPr>
                <w:rFonts w:hint="eastAsia"/>
                <w:b w:val="0"/>
                <w:bCs/>
                <w:color w:val="000000"/>
                <w:w w:val="15"/>
                <w:szCs w:val="20"/>
                <w:shd w:val="solid" w:color="000000" w:fill="000000"/>
                <w:fitText w:val="15" w:id="-1500819708"/>
                <w14:textFill>
                  <w14:solidFill>
                    <w14:srgbClr w14:val="000000">
                      <w14:alpha w14:val="100000"/>
                    </w14:srgbClr>
                  </w14:solidFill>
                </w14:textFill>
              </w:rPr>
              <w:t xml:space="preserve">　</w:t>
            </w:r>
            <w:r w:rsidRPr="00756CE2">
              <w:rPr>
                <w:b w:val="0"/>
                <w:bCs/>
                <w:color w:val="000000"/>
                <w:w w:val="15"/>
                <w:szCs w:val="20"/>
                <w:shd w:val="solid" w:color="000000" w:fill="000000"/>
                <w:fitText w:val="15" w:id="-1500819708"/>
                <w14:textFill>
                  <w14:solidFill>
                    <w14:srgbClr w14:val="000000">
                      <w14:alpha w14:val="100000"/>
                    </w14:srgbClr>
                  </w14:solidFill>
                </w14:textFill>
              </w:rPr>
              <w:t>|</w:t>
            </w:r>
            <w:r w:rsidRPr="00756CE2">
              <w:rPr>
                <w:rFonts w:hint="eastAsia"/>
                <w:b w:val="0"/>
                <w:bCs/>
                <w:color w:val="000000"/>
                <w:spacing w:val="-50"/>
                <w:w w:val="15"/>
                <w:szCs w:val="20"/>
                <w:shd w:val="solid" w:color="000000" w:fill="000000"/>
                <w:fitText w:val="15" w:id="-1500819708"/>
                <w14:textFill>
                  <w14:solidFill>
                    <w14:srgbClr w14:val="000000">
                      <w14:alpha w14:val="100000"/>
                    </w14:srgbClr>
                  </w14:solidFill>
                </w14:textFill>
              </w:rPr>
              <w:t xml:space="preserve">　</w:t>
            </w:r>
            <w:r w:rsidR="00E65EEA" w:rsidRPr="00E65EEA">
              <w:rPr>
                <w:b w:val="0"/>
                <w:bCs/>
                <w:szCs w:val="20"/>
                <w:vertAlign w:val="superscript"/>
              </w:rPr>
              <w:t>3</w:t>
            </w:r>
          </w:p>
        </w:tc>
        <w:tc>
          <w:tcPr>
            <w:tcW w:w="566" w:type="pct"/>
            <w:shd w:val="clear" w:color="auto" w:fill="auto"/>
            <w:vAlign w:val="center"/>
          </w:tcPr>
          <w:p w14:paraId="5DCC0627" w14:textId="592B7AE6" w:rsidR="00642E3D" w:rsidRPr="00995E4C" w:rsidRDefault="00815F0B" w:rsidP="00040A62">
            <w:pPr>
              <w:pStyle w:val="In-tableHeading"/>
              <w:jc w:val="center"/>
              <w:rPr>
                <w:b w:val="0"/>
                <w:bCs/>
                <w:szCs w:val="20"/>
              </w:rPr>
            </w:pPr>
            <w:r w:rsidRPr="00815F0B">
              <w:rPr>
                <w:rFonts w:hint="eastAsia"/>
                <w:b w:val="0"/>
                <w:bCs/>
                <w:color w:val="000000"/>
                <w:w w:val="22"/>
                <w:szCs w:val="20"/>
                <w:shd w:val="solid" w:color="000000" w:fill="000000"/>
                <w:fitText w:val="101" w:id="-1500819707"/>
                <w14:textFill>
                  <w14:solidFill>
                    <w14:srgbClr w14:val="000000">
                      <w14:alpha w14:val="100000"/>
                    </w14:srgbClr>
                  </w14:solidFill>
                </w14:textFill>
              </w:rPr>
              <w:t xml:space="preserve">　</w:t>
            </w:r>
            <w:r w:rsidRPr="00815F0B">
              <w:rPr>
                <w:b w:val="0"/>
                <w:bCs/>
                <w:color w:val="000000"/>
                <w:w w:val="22"/>
                <w:szCs w:val="20"/>
                <w:shd w:val="solid" w:color="000000" w:fill="000000"/>
                <w:fitText w:val="101" w:id="-1500819707"/>
                <w14:textFill>
                  <w14:solidFill>
                    <w14:srgbClr w14:val="000000">
                      <w14:alpha w14:val="100000"/>
                    </w14:srgbClr>
                  </w14:solidFill>
                </w14:textFill>
              </w:rPr>
              <w:t>|</w:t>
            </w:r>
            <w:r w:rsidRPr="00815F0B">
              <w:rPr>
                <w:rFonts w:hint="eastAsia"/>
                <w:b w:val="0"/>
                <w:bCs/>
                <w:color w:val="000000"/>
                <w:spacing w:val="4"/>
                <w:w w:val="22"/>
                <w:szCs w:val="20"/>
                <w:shd w:val="solid" w:color="000000" w:fill="000000"/>
                <w:fitText w:val="101" w:id="-1500819707"/>
                <w14:textFill>
                  <w14:solidFill>
                    <w14:srgbClr w14:val="000000">
                      <w14:alpha w14:val="100000"/>
                    </w14:srgbClr>
                  </w14:solidFill>
                </w14:textFill>
              </w:rPr>
              <w:t xml:space="preserve">　</w:t>
            </w:r>
            <w:r w:rsidR="00E65EEA" w:rsidRPr="00E65EEA">
              <w:rPr>
                <w:b w:val="0"/>
                <w:bCs/>
                <w:szCs w:val="20"/>
                <w:vertAlign w:val="superscript"/>
              </w:rPr>
              <w:t>3</w:t>
            </w:r>
          </w:p>
        </w:tc>
      </w:tr>
      <w:tr w:rsidR="00642E3D" w:rsidRPr="00995E4C" w14:paraId="39F18911" w14:textId="77777777" w:rsidTr="00D05AB0">
        <w:trPr>
          <w:tblHeader/>
        </w:trPr>
        <w:tc>
          <w:tcPr>
            <w:tcW w:w="1334" w:type="pct"/>
            <w:shd w:val="clear" w:color="auto" w:fill="auto"/>
            <w:vAlign w:val="center"/>
          </w:tcPr>
          <w:p w14:paraId="7A5D964E" w14:textId="77777777" w:rsidR="00642E3D" w:rsidRPr="00995E4C" w:rsidRDefault="00642E3D" w:rsidP="00040A62">
            <w:pPr>
              <w:pStyle w:val="In-tableHeading"/>
              <w:rPr>
                <w:b w:val="0"/>
                <w:bCs/>
                <w:szCs w:val="20"/>
              </w:rPr>
            </w:pPr>
            <w:r w:rsidRPr="00995E4C">
              <w:rPr>
                <w:b w:val="0"/>
                <w:bCs/>
                <w:szCs w:val="20"/>
              </w:rPr>
              <w:t>Total prescriptions</w:t>
            </w:r>
          </w:p>
        </w:tc>
        <w:tc>
          <w:tcPr>
            <w:tcW w:w="521" w:type="pct"/>
            <w:shd w:val="clear" w:color="auto" w:fill="auto"/>
            <w:vAlign w:val="center"/>
          </w:tcPr>
          <w:p w14:paraId="735C228C" w14:textId="5CC7EAC6" w:rsidR="00642E3D" w:rsidRPr="00995E4C" w:rsidRDefault="00815F0B" w:rsidP="00040A62">
            <w:pPr>
              <w:pStyle w:val="In-tableHeading"/>
              <w:jc w:val="center"/>
              <w:rPr>
                <w:b w:val="0"/>
                <w:bCs/>
                <w:szCs w:val="20"/>
              </w:rPr>
            </w:pPr>
            <w:r w:rsidRPr="00815F0B">
              <w:rPr>
                <w:rFonts w:hint="eastAsia"/>
                <w:b w:val="0"/>
                <w:bCs/>
                <w:color w:val="000000"/>
                <w:w w:val="31"/>
                <w:szCs w:val="20"/>
                <w:shd w:val="solid" w:color="000000" w:fill="000000"/>
                <w:fitText w:val="139" w:id="-1500819706"/>
                <w14:textFill>
                  <w14:solidFill>
                    <w14:srgbClr w14:val="000000">
                      <w14:alpha w14:val="100000"/>
                    </w14:srgbClr>
                  </w14:solidFill>
                </w14:textFill>
              </w:rPr>
              <w:t xml:space="preserve">　</w:t>
            </w:r>
            <w:r w:rsidRPr="00815F0B">
              <w:rPr>
                <w:b w:val="0"/>
                <w:bCs/>
                <w:color w:val="000000"/>
                <w:w w:val="31"/>
                <w:szCs w:val="20"/>
                <w:shd w:val="solid" w:color="000000" w:fill="000000"/>
                <w:fitText w:val="139" w:id="-1500819706"/>
                <w14:textFill>
                  <w14:solidFill>
                    <w14:srgbClr w14:val="000000">
                      <w14:alpha w14:val="100000"/>
                    </w14:srgbClr>
                  </w14:solidFill>
                </w14:textFill>
              </w:rPr>
              <w:t>|</w:t>
            </w:r>
            <w:r w:rsidRPr="00815F0B">
              <w:rPr>
                <w:rFonts w:hint="eastAsia"/>
                <w:b w:val="0"/>
                <w:bCs/>
                <w:color w:val="000000"/>
                <w:spacing w:val="3"/>
                <w:w w:val="31"/>
                <w:szCs w:val="20"/>
                <w:shd w:val="solid" w:color="000000" w:fill="000000"/>
                <w:fitText w:val="139" w:id="-1500819706"/>
                <w14:textFill>
                  <w14:solidFill>
                    <w14:srgbClr w14:val="000000">
                      <w14:alpha w14:val="100000"/>
                    </w14:srgbClr>
                  </w14:solidFill>
                </w14:textFill>
              </w:rPr>
              <w:t xml:space="preserve">　</w:t>
            </w:r>
            <w:r w:rsidR="00E65EEA" w:rsidRPr="00E65EEA">
              <w:rPr>
                <w:b w:val="0"/>
                <w:bCs/>
                <w:szCs w:val="20"/>
                <w:vertAlign w:val="superscript"/>
              </w:rPr>
              <w:t>2</w:t>
            </w:r>
          </w:p>
        </w:tc>
        <w:tc>
          <w:tcPr>
            <w:tcW w:w="645" w:type="pct"/>
            <w:shd w:val="clear" w:color="auto" w:fill="auto"/>
            <w:vAlign w:val="center"/>
          </w:tcPr>
          <w:p w14:paraId="30A64A93" w14:textId="76164357" w:rsidR="00642E3D" w:rsidRPr="00995E4C" w:rsidRDefault="00815F0B" w:rsidP="00040A62">
            <w:pPr>
              <w:pStyle w:val="In-tableHeading"/>
              <w:jc w:val="center"/>
              <w:rPr>
                <w:b w:val="0"/>
                <w:bCs/>
                <w:szCs w:val="20"/>
              </w:rPr>
            </w:pPr>
            <w:r w:rsidRPr="00756CE2">
              <w:rPr>
                <w:rFonts w:hint="eastAsia"/>
                <w:b w:val="0"/>
                <w:bCs/>
                <w:color w:val="000000"/>
                <w:w w:val="15"/>
                <w:szCs w:val="20"/>
                <w:shd w:val="solid" w:color="000000" w:fill="000000"/>
                <w:fitText w:val="16" w:id="-1500819705"/>
                <w14:textFill>
                  <w14:solidFill>
                    <w14:srgbClr w14:val="000000">
                      <w14:alpha w14:val="100000"/>
                    </w14:srgbClr>
                  </w14:solidFill>
                </w14:textFill>
              </w:rPr>
              <w:t xml:space="preserve">　</w:t>
            </w:r>
            <w:r w:rsidRPr="00756CE2">
              <w:rPr>
                <w:b w:val="0"/>
                <w:bCs/>
                <w:color w:val="000000"/>
                <w:w w:val="15"/>
                <w:szCs w:val="20"/>
                <w:shd w:val="solid" w:color="000000" w:fill="000000"/>
                <w:fitText w:val="16" w:id="-1500819705"/>
                <w14:textFill>
                  <w14:solidFill>
                    <w14:srgbClr w14:val="000000">
                      <w14:alpha w14:val="100000"/>
                    </w14:srgbClr>
                  </w14:solidFill>
                </w14:textFill>
              </w:rPr>
              <w:t>|</w:t>
            </w:r>
            <w:r w:rsidRPr="00756CE2">
              <w:rPr>
                <w:rFonts w:hint="eastAsia"/>
                <w:b w:val="0"/>
                <w:bCs/>
                <w:color w:val="000000"/>
                <w:spacing w:val="-49"/>
                <w:w w:val="15"/>
                <w:szCs w:val="20"/>
                <w:shd w:val="solid" w:color="000000" w:fill="000000"/>
                <w:fitText w:val="16" w:id="-1500819705"/>
                <w14:textFill>
                  <w14:solidFill>
                    <w14:srgbClr w14:val="000000">
                      <w14:alpha w14:val="100000"/>
                    </w14:srgbClr>
                  </w14:solidFill>
                </w14:textFill>
              </w:rPr>
              <w:t xml:space="preserve">　</w:t>
            </w:r>
            <w:r w:rsidR="001A4C03">
              <w:rPr>
                <w:b w:val="0"/>
                <w:bCs/>
                <w:szCs w:val="20"/>
                <w:vertAlign w:val="superscript"/>
              </w:rPr>
              <w:t>2</w:t>
            </w:r>
          </w:p>
        </w:tc>
        <w:tc>
          <w:tcPr>
            <w:tcW w:w="645" w:type="pct"/>
            <w:shd w:val="clear" w:color="auto" w:fill="auto"/>
            <w:vAlign w:val="center"/>
          </w:tcPr>
          <w:p w14:paraId="7687AAA9" w14:textId="353DDCAB" w:rsidR="00642E3D" w:rsidRPr="00995E4C" w:rsidRDefault="00815F0B" w:rsidP="00040A62">
            <w:pPr>
              <w:pStyle w:val="In-tableHeading"/>
              <w:jc w:val="center"/>
              <w:rPr>
                <w:b w:val="0"/>
                <w:bCs/>
                <w:szCs w:val="20"/>
              </w:rPr>
            </w:pPr>
            <w:r w:rsidRPr="00756CE2">
              <w:rPr>
                <w:rFonts w:hint="eastAsia"/>
                <w:b w:val="0"/>
                <w:bCs/>
                <w:color w:val="000000"/>
                <w:w w:val="15"/>
                <w:szCs w:val="20"/>
                <w:shd w:val="solid" w:color="000000" w:fill="000000"/>
                <w:fitText w:val="16" w:id="-1500819704"/>
                <w14:textFill>
                  <w14:solidFill>
                    <w14:srgbClr w14:val="000000">
                      <w14:alpha w14:val="100000"/>
                    </w14:srgbClr>
                  </w14:solidFill>
                </w14:textFill>
              </w:rPr>
              <w:t xml:space="preserve">　</w:t>
            </w:r>
            <w:r w:rsidRPr="00756CE2">
              <w:rPr>
                <w:b w:val="0"/>
                <w:bCs/>
                <w:color w:val="000000"/>
                <w:w w:val="15"/>
                <w:szCs w:val="20"/>
                <w:shd w:val="solid" w:color="000000" w:fill="000000"/>
                <w:fitText w:val="16" w:id="-1500819704"/>
                <w14:textFill>
                  <w14:solidFill>
                    <w14:srgbClr w14:val="000000">
                      <w14:alpha w14:val="100000"/>
                    </w14:srgbClr>
                  </w14:solidFill>
                </w14:textFill>
              </w:rPr>
              <w:t>|</w:t>
            </w:r>
            <w:r w:rsidRPr="00756CE2">
              <w:rPr>
                <w:rFonts w:hint="eastAsia"/>
                <w:b w:val="0"/>
                <w:bCs/>
                <w:color w:val="000000"/>
                <w:spacing w:val="-49"/>
                <w:w w:val="15"/>
                <w:szCs w:val="20"/>
                <w:shd w:val="solid" w:color="000000" w:fill="000000"/>
                <w:fitText w:val="16" w:id="-1500819704"/>
                <w14:textFill>
                  <w14:solidFill>
                    <w14:srgbClr w14:val="000000">
                      <w14:alpha w14:val="100000"/>
                    </w14:srgbClr>
                  </w14:solidFill>
                </w14:textFill>
              </w:rPr>
              <w:t xml:space="preserve">　</w:t>
            </w:r>
            <w:r w:rsidR="001A4C03" w:rsidRPr="001A4C03">
              <w:rPr>
                <w:b w:val="0"/>
                <w:bCs/>
                <w:szCs w:val="20"/>
                <w:vertAlign w:val="superscript"/>
              </w:rPr>
              <w:t>3</w:t>
            </w:r>
          </w:p>
        </w:tc>
        <w:tc>
          <w:tcPr>
            <w:tcW w:w="645" w:type="pct"/>
            <w:shd w:val="clear" w:color="auto" w:fill="auto"/>
            <w:vAlign w:val="center"/>
          </w:tcPr>
          <w:p w14:paraId="4DAB1D9D" w14:textId="2E8B3F0B" w:rsidR="00642E3D" w:rsidRPr="00995E4C" w:rsidRDefault="00815F0B" w:rsidP="00040A62">
            <w:pPr>
              <w:pStyle w:val="In-tableHeading"/>
              <w:jc w:val="center"/>
              <w:rPr>
                <w:b w:val="0"/>
                <w:bCs/>
                <w:szCs w:val="20"/>
              </w:rPr>
            </w:pPr>
            <w:r w:rsidRPr="00756CE2">
              <w:rPr>
                <w:rFonts w:hint="eastAsia"/>
                <w:b w:val="0"/>
                <w:bCs/>
                <w:color w:val="000000"/>
                <w:w w:val="15"/>
                <w:szCs w:val="20"/>
                <w:shd w:val="solid" w:color="000000" w:fill="000000"/>
                <w:fitText w:val="15" w:id="-1500819703"/>
                <w14:textFill>
                  <w14:solidFill>
                    <w14:srgbClr w14:val="000000">
                      <w14:alpha w14:val="100000"/>
                    </w14:srgbClr>
                  </w14:solidFill>
                </w14:textFill>
              </w:rPr>
              <w:t xml:space="preserve">　</w:t>
            </w:r>
            <w:r w:rsidRPr="00756CE2">
              <w:rPr>
                <w:b w:val="0"/>
                <w:bCs/>
                <w:color w:val="000000"/>
                <w:w w:val="15"/>
                <w:szCs w:val="20"/>
                <w:shd w:val="solid" w:color="000000" w:fill="000000"/>
                <w:fitText w:val="15" w:id="-1500819703"/>
                <w14:textFill>
                  <w14:solidFill>
                    <w14:srgbClr w14:val="000000">
                      <w14:alpha w14:val="100000"/>
                    </w14:srgbClr>
                  </w14:solidFill>
                </w14:textFill>
              </w:rPr>
              <w:t>|</w:t>
            </w:r>
            <w:r w:rsidRPr="00756CE2">
              <w:rPr>
                <w:rFonts w:hint="eastAsia"/>
                <w:b w:val="0"/>
                <w:bCs/>
                <w:color w:val="000000"/>
                <w:spacing w:val="-50"/>
                <w:w w:val="15"/>
                <w:szCs w:val="20"/>
                <w:shd w:val="solid" w:color="000000" w:fill="000000"/>
                <w:fitText w:val="15" w:id="-1500819703"/>
                <w14:textFill>
                  <w14:solidFill>
                    <w14:srgbClr w14:val="000000">
                      <w14:alpha w14:val="100000"/>
                    </w14:srgbClr>
                  </w14:solidFill>
                </w14:textFill>
              </w:rPr>
              <w:t xml:space="preserve">　</w:t>
            </w:r>
            <w:r w:rsidR="001A4C03" w:rsidRPr="001A4C03">
              <w:rPr>
                <w:b w:val="0"/>
                <w:bCs/>
                <w:szCs w:val="20"/>
                <w:vertAlign w:val="superscript"/>
              </w:rPr>
              <w:t>3</w:t>
            </w:r>
          </w:p>
        </w:tc>
        <w:tc>
          <w:tcPr>
            <w:tcW w:w="645" w:type="pct"/>
            <w:shd w:val="clear" w:color="auto" w:fill="auto"/>
            <w:vAlign w:val="center"/>
          </w:tcPr>
          <w:p w14:paraId="389BF291" w14:textId="22370C29" w:rsidR="00642E3D" w:rsidRPr="00995E4C" w:rsidRDefault="00815F0B" w:rsidP="00040A62">
            <w:pPr>
              <w:pStyle w:val="In-tableHeading"/>
              <w:jc w:val="center"/>
              <w:rPr>
                <w:b w:val="0"/>
                <w:bCs/>
                <w:szCs w:val="20"/>
              </w:rPr>
            </w:pPr>
            <w:r w:rsidRPr="00756CE2">
              <w:rPr>
                <w:rFonts w:hint="eastAsia"/>
                <w:b w:val="0"/>
                <w:bCs/>
                <w:color w:val="000000"/>
                <w:w w:val="15"/>
                <w:szCs w:val="20"/>
                <w:shd w:val="solid" w:color="000000" w:fill="000000"/>
                <w:fitText w:val="15" w:id="-1500819702"/>
                <w14:textFill>
                  <w14:solidFill>
                    <w14:srgbClr w14:val="000000">
                      <w14:alpha w14:val="100000"/>
                    </w14:srgbClr>
                  </w14:solidFill>
                </w14:textFill>
              </w:rPr>
              <w:t xml:space="preserve">　</w:t>
            </w:r>
            <w:r w:rsidRPr="00756CE2">
              <w:rPr>
                <w:b w:val="0"/>
                <w:bCs/>
                <w:color w:val="000000"/>
                <w:w w:val="15"/>
                <w:szCs w:val="20"/>
                <w:shd w:val="solid" w:color="000000" w:fill="000000"/>
                <w:fitText w:val="15" w:id="-1500819702"/>
                <w14:textFill>
                  <w14:solidFill>
                    <w14:srgbClr w14:val="000000">
                      <w14:alpha w14:val="100000"/>
                    </w14:srgbClr>
                  </w14:solidFill>
                </w14:textFill>
              </w:rPr>
              <w:t>|</w:t>
            </w:r>
            <w:r w:rsidRPr="00756CE2">
              <w:rPr>
                <w:rFonts w:hint="eastAsia"/>
                <w:b w:val="0"/>
                <w:bCs/>
                <w:color w:val="000000"/>
                <w:spacing w:val="-50"/>
                <w:w w:val="15"/>
                <w:szCs w:val="20"/>
                <w:shd w:val="solid" w:color="000000" w:fill="000000"/>
                <w:fitText w:val="15" w:id="-1500819702"/>
                <w14:textFill>
                  <w14:solidFill>
                    <w14:srgbClr w14:val="000000">
                      <w14:alpha w14:val="100000"/>
                    </w14:srgbClr>
                  </w14:solidFill>
                </w14:textFill>
              </w:rPr>
              <w:t xml:space="preserve">　</w:t>
            </w:r>
            <w:r w:rsidR="001A4C03" w:rsidRPr="001A4C03">
              <w:rPr>
                <w:b w:val="0"/>
                <w:bCs/>
                <w:szCs w:val="20"/>
                <w:vertAlign w:val="superscript"/>
              </w:rPr>
              <w:t>3</w:t>
            </w:r>
          </w:p>
        </w:tc>
        <w:tc>
          <w:tcPr>
            <w:tcW w:w="566" w:type="pct"/>
            <w:shd w:val="clear" w:color="auto" w:fill="auto"/>
            <w:vAlign w:val="center"/>
          </w:tcPr>
          <w:p w14:paraId="51B5790B" w14:textId="082AA61B" w:rsidR="00642E3D" w:rsidRPr="00995E4C" w:rsidRDefault="00815F0B" w:rsidP="00040A62">
            <w:pPr>
              <w:pStyle w:val="In-tableHeading"/>
              <w:jc w:val="center"/>
              <w:rPr>
                <w:b w:val="0"/>
                <w:bCs/>
                <w:szCs w:val="20"/>
              </w:rPr>
            </w:pPr>
            <w:r w:rsidRPr="00815F0B">
              <w:rPr>
                <w:rFonts w:hint="eastAsia"/>
                <w:b w:val="0"/>
                <w:bCs/>
                <w:color w:val="000000"/>
                <w:w w:val="22"/>
                <w:szCs w:val="20"/>
                <w:shd w:val="solid" w:color="000000" w:fill="000000"/>
                <w:fitText w:val="101" w:id="-1500819701"/>
                <w14:textFill>
                  <w14:solidFill>
                    <w14:srgbClr w14:val="000000">
                      <w14:alpha w14:val="100000"/>
                    </w14:srgbClr>
                  </w14:solidFill>
                </w14:textFill>
              </w:rPr>
              <w:t xml:space="preserve">　</w:t>
            </w:r>
            <w:r w:rsidRPr="00815F0B">
              <w:rPr>
                <w:b w:val="0"/>
                <w:bCs/>
                <w:color w:val="000000"/>
                <w:w w:val="22"/>
                <w:szCs w:val="20"/>
                <w:shd w:val="solid" w:color="000000" w:fill="000000"/>
                <w:fitText w:val="101" w:id="-1500819701"/>
                <w14:textFill>
                  <w14:solidFill>
                    <w14:srgbClr w14:val="000000">
                      <w14:alpha w14:val="100000"/>
                    </w14:srgbClr>
                  </w14:solidFill>
                </w14:textFill>
              </w:rPr>
              <w:t>|</w:t>
            </w:r>
            <w:r w:rsidRPr="00815F0B">
              <w:rPr>
                <w:rFonts w:hint="eastAsia"/>
                <w:b w:val="0"/>
                <w:bCs/>
                <w:color w:val="000000"/>
                <w:spacing w:val="4"/>
                <w:w w:val="22"/>
                <w:szCs w:val="20"/>
                <w:shd w:val="solid" w:color="000000" w:fill="000000"/>
                <w:fitText w:val="101" w:id="-1500819701"/>
                <w14:textFill>
                  <w14:solidFill>
                    <w14:srgbClr w14:val="000000">
                      <w14:alpha w14:val="100000"/>
                    </w14:srgbClr>
                  </w14:solidFill>
                </w14:textFill>
              </w:rPr>
              <w:t xml:space="preserve">　</w:t>
            </w:r>
            <w:r w:rsidR="001A4C03" w:rsidRPr="001A4C03">
              <w:rPr>
                <w:b w:val="0"/>
                <w:bCs/>
                <w:szCs w:val="20"/>
                <w:vertAlign w:val="superscript"/>
              </w:rPr>
              <w:t>3</w:t>
            </w:r>
            <w:r w:rsidR="00642E3D" w:rsidRPr="001A4C03">
              <w:rPr>
                <w:b w:val="0"/>
                <w:bCs/>
                <w:szCs w:val="20"/>
                <w:vertAlign w:val="superscript"/>
              </w:rPr>
              <w:t xml:space="preserve"> </w:t>
            </w:r>
          </w:p>
        </w:tc>
      </w:tr>
      <w:tr w:rsidR="00642E3D" w:rsidRPr="00995E4C" w14:paraId="3F98F560" w14:textId="77777777" w:rsidTr="00040A62">
        <w:trPr>
          <w:tblHeader/>
        </w:trPr>
        <w:tc>
          <w:tcPr>
            <w:tcW w:w="5000" w:type="pct"/>
            <w:gridSpan w:val="7"/>
            <w:shd w:val="clear" w:color="auto" w:fill="auto"/>
            <w:vAlign w:val="center"/>
          </w:tcPr>
          <w:p w14:paraId="02242480" w14:textId="77777777" w:rsidR="00642E3D" w:rsidRPr="00995E4C" w:rsidRDefault="00642E3D" w:rsidP="00040A62">
            <w:pPr>
              <w:pStyle w:val="In-tableHeading"/>
              <w:rPr>
                <w:b w:val="0"/>
                <w:bCs/>
                <w:szCs w:val="20"/>
              </w:rPr>
            </w:pPr>
            <w:r w:rsidRPr="00995E4C">
              <w:rPr>
                <w:szCs w:val="20"/>
              </w:rPr>
              <w:t xml:space="preserve">PBS/RPBS cost estimates </w:t>
            </w:r>
          </w:p>
        </w:tc>
      </w:tr>
      <w:tr w:rsidR="00642E3D" w:rsidRPr="00995E4C" w14:paraId="244C07D6" w14:textId="77777777" w:rsidTr="00D05AB0">
        <w:tc>
          <w:tcPr>
            <w:tcW w:w="1334" w:type="pct"/>
            <w:shd w:val="clear" w:color="auto" w:fill="auto"/>
            <w:vAlign w:val="center"/>
          </w:tcPr>
          <w:p w14:paraId="6A0A4A87" w14:textId="1CDAF9CD" w:rsidR="00642E3D" w:rsidRPr="00995E4C" w:rsidRDefault="00642E3D" w:rsidP="00040A62">
            <w:pPr>
              <w:pStyle w:val="TableText0"/>
              <w:rPr>
                <w:szCs w:val="20"/>
              </w:rPr>
            </w:pPr>
            <w:r w:rsidRPr="00995E4C">
              <w:rPr>
                <w:szCs w:val="20"/>
              </w:rPr>
              <w:t>PBS/RPBS cost (eff)</w:t>
            </w:r>
            <w:r w:rsidR="00D05AB0">
              <w:rPr>
                <w:szCs w:val="20"/>
              </w:rPr>
              <w:t xml:space="preserve"> </w:t>
            </w:r>
            <w:r w:rsidR="006959AD">
              <w:rPr>
                <w:szCs w:val="20"/>
              </w:rPr>
              <w:t>$</w:t>
            </w:r>
          </w:p>
        </w:tc>
        <w:tc>
          <w:tcPr>
            <w:tcW w:w="521" w:type="pct"/>
            <w:shd w:val="clear" w:color="auto" w:fill="auto"/>
          </w:tcPr>
          <w:p w14:paraId="27DA080B" w14:textId="5B2CF9E6" w:rsidR="00642E3D" w:rsidRPr="00995E4C" w:rsidRDefault="00815F0B" w:rsidP="00040A62">
            <w:pPr>
              <w:pStyle w:val="TableText0"/>
              <w:jc w:val="center"/>
              <w:rPr>
                <w:szCs w:val="20"/>
              </w:rPr>
            </w:pPr>
            <w:r w:rsidRPr="00815F0B">
              <w:rPr>
                <w:rFonts w:hint="eastAsia"/>
                <w:color w:val="000000"/>
                <w:w w:val="31"/>
                <w:shd w:val="solid" w:color="000000" w:fill="000000"/>
                <w:fitText w:val="139" w:id="-1500819700"/>
                <w14:textFill>
                  <w14:solidFill>
                    <w14:srgbClr w14:val="000000">
                      <w14:alpha w14:val="100000"/>
                    </w14:srgbClr>
                  </w14:solidFill>
                </w14:textFill>
              </w:rPr>
              <w:t xml:space="preserve">　</w:t>
            </w:r>
            <w:r w:rsidRPr="00815F0B">
              <w:rPr>
                <w:color w:val="000000"/>
                <w:w w:val="31"/>
                <w:shd w:val="solid" w:color="000000" w:fill="000000"/>
                <w:fitText w:val="139" w:id="-1500819700"/>
                <w14:textFill>
                  <w14:solidFill>
                    <w14:srgbClr w14:val="000000">
                      <w14:alpha w14:val="100000"/>
                    </w14:srgbClr>
                  </w14:solidFill>
                </w14:textFill>
              </w:rPr>
              <w:t>|</w:t>
            </w:r>
            <w:r w:rsidRPr="00815F0B">
              <w:rPr>
                <w:rFonts w:hint="eastAsia"/>
                <w:color w:val="000000"/>
                <w:spacing w:val="3"/>
                <w:w w:val="31"/>
                <w:shd w:val="solid" w:color="000000" w:fill="000000"/>
                <w:fitText w:val="139" w:id="-1500819700"/>
                <w14:textFill>
                  <w14:solidFill>
                    <w14:srgbClr w14:val="000000">
                      <w14:alpha w14:val="100000"/>
                    </w14:srgbClr>
                  </w14:solidFill>
                </w14:textFill>
              </w:rPr>
              <w:t xml:space="preserve">　</w:t>
            </w:r>
            <w:r w:rsidR="001A4C03" w:rsidRPr="001A4C03">
              <w:rPr>
                <w:vertAlign w:val="superscript"/>
              </w:rPr>
              <w:t>4</w:t>
            </w:r>
          </w:p>
        </w:tc>
        <w:tc>
          <w:tcPr>
            <w:tcW w:w="645" w:type="pct"/>
            <w:shd w:val="clear" w:color="auto" w:fill="auto"/>
          </w:tcPr>
          <w:p w14:paraId="72735028" w14:textId="6D6394DA" w:rsidR="00642E3D" w:rsidRPr="001A4C03" w:rsidRDefault="00815F0B" w:rsidP="00040A62">
            <w:pPr>
              <w:pStyle w:val="TableText0"/>
              <w:jc w:val="center"/>
              <w:rPr>
                <w:szCs w:val="20"/>
                <w:vertAlign w:val="superscript"/>
              </w:rPr>
            </w:pPr>
            <w:r w:rsidRPr="00756CE2">
              <w:rPr>
                <w:rFonts w:hint="eastAsia"/>
                <w:color w:val="000000"/>
                <w:w w:val="15"/>
                <w:shd w:val="solid" w:color="000000" w:fill="000000"/>
                <w:fitText w:val="16" w:id="-1500819699"/>
                <w14:textFill>
                  <w14:solidFill>
                    <w14:srgbClr w14:val="000000">
                      <w14:alpha w14:val="100000"/>
                    </w14:srgbClr>
                  </w14:solidFill>
                </w14:textFill>
              </w:rPr>
              <w:t xml:space="preserve">　</w:t>
            </w:r>
            <w:r w:rsidRPr="00756CE2">
              <w:rPr>
                <w:color w:val="000000"/>
                <w:w w:val="15"/>
                <w:shd w:val="solid" w:color="000000" w:fill="000000"/>
                <w:fitText w:val="16" w:id="-1500819699"/>
                <w14:textFill>
                  <w14:solidFill>
                    <w14:srgbClr w14:val="000000">
                      <w14:alpha w14:val="100000"/>
                    </w14:srgbClr>
                  </w14:solidFill>
                </w14:textFill>
              </w:rPr>
              <w:t>|</w:t>
            </w:r>
            <w:r w:rsidRPr="00756CE2">
              <w:rPr>
                <w:rFonts w:hint="eastAsia"/>
                <w:color w:val="000000"/>
                <w:spacing w:val="-49"/>
                <w:w w:val="15"/>
                <w:shd w:val="solid" w:color="000000" w:fill="000000"/>
                <w:fitText w:val="16" w:id="-1500819699"/>
                <w14:textFill>
                  <w14:solidFill>
                    <w14:srgbClr w14:val="000000">
                      <w14:alpha w14:val="100000"/>
                    </w14:srgbClr>
                  </w14:solidFill>
                </w14:textFill>
              </w:rPr>
              <w:t xml:space="preserve">　</w:t>
            </w:r>
            <w:r w:rsidR="001A4C03">
              <w:rPr>
                <w:vertAlign w:val="superscript"/>
              </w:rPr>
              <w:t>4</w:t>
            </w:r>
          </w:p>
        </w:tc>
        <w:tc>
          <w:tcPr>
            <w:tcW w:w="645" w:type="pct"/>
            <w:shd w:val="clear" w:color="auto" w:fill="auto"/>
          </w:tcPr>
          <w:p w14:paraId="4CD6F748" w14:textId="6EF3D4C4" w:rsidR="00642E3D" w:rsidRPr="001A4C03" w:rsidRDefault="00815F0B" w:rsidP="00040A62">
            <w:pPr>
              <w:pStyle w:val="TableText0"/>
              <w:jc w:val="center"/>
              <w:rPr>
                <w:szCs w:val="20"/>
                <w:vertAlign w:val="superscript"/>
              </w:rPr>
            </w:pPr>
            <w:r w:rsidRPr="00756CE2">
              <w:rPr>
                <w:rFonts w:hint="eastAsia"/>
                <w:color w:val="000000"/>
                <w:w w:val="15"/>
                <w:shd w:val="solid" w:color="000000" w:fill="000000"/>
                <w:fitText w:val="16" w:id="-1500819698"/>
                <w14:textFill>
                  <w14:solidFill>
                    <w14:srgbClr w14:val="000000">
                      <w14:alpha w14:val="100000"/>
                    </w14:srgbClr>
                  </w14:solidFill>
                </w14:textFill>
              </w:rPr>
              <w:t xml:space="preserve">　</w:t>
            </w:r>
            <w:r w:rsidRPr="00756CE2">
              <w:rPr>
                <w:color w:val="000000"/>
                <w:w w:val="15"/>
                <w:shd w:val="solid" w:color="000000" w:fill="000000"/>
                <w:fitText w:val="16" w:id="-1500819698"/>
                <w14:textFill>
                  <w14:solidFill>
                    <w14:srgbClr w14:val="000000">
                      <w14:alpha w14:val="100000"/>
                    </w14:srgbClr>
                  </w14:solidFill>
                </w14:textFill>
              </w:rPr>
              <w:t>|</w:t>
            </w:r>
            <w:r w:rsidRPr="00756CE2">
              <w:rPr>
                <w:rFonts w:hint="eastAsia"/>
                <w:color w:val="000000"/>
                <w:spacing w:val="-49"/>
                <w:w w:val="15"/>
                <w:shd w:val="solid" w:color="000000" w:fill="000000"/>
                <w:fitText w:val="16" w:id="-1500819698"/>
                <w14:textFill>
                  <w14:solidFill>
                    <w14:srgbClr w14:val="000000">
                      <w14:alpha w14:val="100000"/>
                    </w14:srgbClr>
                  </w14:solidFill>
                </w14:textFill>
              </w:rPr>
              <w:t xml:space="preserve">　</w:t>
            </w:r>
            <w:r w:rsidR="001A4C03">
              <w:rPr>
                <w:vertAlign w:val="superscript"/>
              </w:rPr>
              <w:t>4</w:t>
            </w:r>
          </w:p>
        </w:tc>
        <w:tc>
          <w:tcPr>
            <w:tcW w:w="645" w:type="pct"/>
            <w:shd w:val="clear" w:color="auto" w:fill="auto"/>
          </w:tcPr>
          <w:p w14:paraId="6DD95C98" w14:textId="70BA129E" w:rsidR="00642E3D" w:rsidRPr="001A4C03" w:rsidRDefault="00815F0B" w:rsidP="00040A62">
            <w:pPr>
              <w:pStyle w:val="TableText0"/>
              <w:jc w:val="center"/>
              <w:rPr>
                <w:szCs w:val="20"/>
                <w:vertAlign w:val="superscript"/>
              </w:rPr>
            </w:pPr>
            <w:r w:rsidRPr="00756CE2">
              <w:rPr>
                <w:rFonts w:hint="eastAsia"/>
                <w:color w:val="000000"/>
                <w:w w:val="15"/>
                <w:shd w:val="solid" w:color="000000" w:fill="000000"/>
                <w:fitText w:val="15" w:id="-1500819697"/>
                <w14:textFill>
                  <w14:solidFill>
                    <w14:srgbClr w14:val="000000">
                      <w14:alpha w14:val="100000"/>
                    </w14:srgbClr>
                  </w14:solidFill>
                </w14:textFill>
              </w:rPr>
              <w:t xml:space="preserve">　</w:t>
            </w:r>
            <w:r w:rsidRPr="00756CE2">
              <w:rPr>
                <w:color w:val="000000"/>
                <w:w w:val="15"/>
                <w:shd w:val="solid" w:color="000000" w:fill="000000"/>
                <w:fitText w:val="15" w:id="-1500819697"/>
                <w14:textFill>
                  <w14:solidFill>
                    <w14:srgbClr w14:val="000000">
                      <w14:alpha w14:val="100000"/>
                    </w14:srgbClr>
                  </w14:solidFill>
                </w14:textFill>
              </w:rPr>
              <w:t>|</w:t>
            </w:r>
            <w:r w:rsidRPr="00756CE2">
              <w:rPr>
                <w:rFonts w:hint="eastAsia"/>
                <w:color w:val="000000"/>
                <w:spacing w:val="-50"/>
                <w:w w:val="15"/>
                <w:shd w:val="solid" w:color="000000" w:fill="000000"/>
                <w:fitText w:val="15" w:id="-1500819697"/>
                <w14:textFill>
                  <w14:solidFill>
                    <w14:srgbClr w14:val="000000">
                      <w14:alpha w14:val="100000"/>
                    </w14:srgbClr>
                  </w14:solidFill>
                </w14:textFill>
              </w:rPr>
              <w:t xml:space="preserve">　</w:t>
            </w:r>
            <w:r w:rsidR="001A4C03">
              <w:rPr>
                <w:vertAlign w:val="superscript"/>
              </w:rPr>
              <w:t>4</w:t>
            </w:r>
          </w:p>
        </w:tc>
        <w:tc>
          <w:tcPr>
            <w:tcW w:w="645" w:type="pct"/>
            <w:shd w:val="clear" w:color="auto" w:fill="auto"/>
          </w:tcPr>
          <w:p w14:paraId="46C23272" w14:textId="1FC8EA1C" w:rsidR="00642E3D" w:rsidRPr="001A4C03" w:rsidRDefault="00815F0B" w:rsidP="00040A62">
            <w:pPr>
              <w:pStyle w:val="TableText0"/>
              <w:jc w:val="center"/>
              <w:rPr>
                <w:szCs w:val="20"/>
                <w:vertAlign w:val="superscript"/>
              </w:rPr>
            </w:pPr>
            <w:r w:rsidRPr="00756CE2">
              <w:rPr>
                <w:rFonts w:hint="eastAsia"/>
                <w:color w:val="000000"/>
                <w:w w:val="15"/>
                <w:shd w:val="solid" w:color="000000" w:fill="000000"/>
                <w:fitText w:val="15" w:id="-1500819696"/>
                <w14:textFill>
                  <w14:solidFill>
                    <w14:srgbClr w14:val="000000">
                      <w14:alpha w14:val="100000"/>
                    </w14:srgbClr>
                  </w14:solidFill>
                </w14:textFill>
              </w:rPr>
              <w:t xml:space="preserve">　</w:t>
            </w:r>
            <w:r w:rsidRPr="00756CE2">
              <w:rPr>
                <w:color w:val="000000"/>
                <w:w w:val="15"/>
                <w:shd w:val="solid" w:color="000000" w:fill="000000"/>
                <w:fitText w:val="15" w:id="-1500819696"/>
                <w14:textFill>
                  <w14:solidFill>
                    <w14:srgbClr w14:val="000000">
                      <w14:alpha w14:val="100000"/>
                    </w14:srgbClr>
                  </w14:solidFill>
                </w14:textFill>
              </w:rPr>
              <w:t>|</w:t>
            </w:r>
            <w:r w:rsidRPr="00756CE2">
              <w:rPr>
                <w:rFonts w:hint="eastAsia"/>
                <w:color w:val="000000"/>
                <w:spacing w:val="-50"/>
                <w:w w:val="15"/>
                <w:shd w:val="solid" w:color="000000" w:fill="000000"/>
                <w:fitText w:val="15" w:id="-1500819696"/>
                <w14:textFill>
                  <w14:solidFill>
                    <w14:srgbClr w14:val="000000">
                      <w14:alpha w14:val="100000"/>
                    </w14:srgbClr>
                  </w14:solidFill>
                </w14:textFill>
              </w:rPr>
              <w:t xml:space="preserve">　</w:t>
            </w:r>
            <w:r w:rsidR="001A4C03">
              <w:rPr>
                <w:vertAlign w:val="superscript"/>
              </w:rPr>
              <w:t>4</w:t>
            </w:r>
          </w:p>
        </w:tc>
        <w:tc>
          <w:tcPr>
            <w:tcW w:w="566" w:type="pct"/>
            <w:shd w:val="clear" w:color="auto" w:fill="auto"/>
          </w:tcPr>
          <w:p w14:paraId="231629BD" w14:textId="2F3FAE6B" w:rsidR="00642E3D" w:rsidRPr="001A4C03" w:rsidRDefault="00815F0B" w:rsidP="00040A62">
            <w:pPr>
              <w:pStyle w:val="TableText0"/>
              <w:jc w:val="center"/>
              <w:rPr>
                <w:szCs w:val="20"/>
                <w:vertAlign w:val="superscript"/>
              </w:rPr>
            </w:pPr>
            <w:r w:rsidRPr="00815F0B">
              <w:rPr>
                <w:rFonts w:hint="eastAsia"/>
                <w:color w:val="000000"/>
                <w:w w:val="22"/>
                <w:shd w:val="solid" w:color="000000" w:fill="000000"/>
                <w:fitText w:val="101" w:id="-1500819712"/>
                <w14:textFill>
                  <w14:solidFill>
                    <w14:srgbClr w14:val="000000">
                      <w14:alpha w14:val="100000"/>
                    </w14:srgbClr>
                  </w14:solidFill>
                </w14:textFill>
              </w:rPr>
              <w:t xml:space="preserve">　</w:t>
            </w:r>
            <w:r w:rsidRPr="00815F0B">
              <w:rPr>
                <w:color w:val="000000"/>
                <w:w w:val="22"/>
                <w:shd w:val="solid" w:color="000000" w:fill="000000"/>
                <w:fitText w:val="101" w:id="-1500819712"/>
                <w14:textFill>
                  <w14:solidFill>
                    <w14:srgbClr w14:val="000000">
                      <w14:alpha w14:val="100000"/>
                    </w14:srgbClr>
                  </w14:solidFill>
                </w14:textFill>
              </w:rPr>
              <w:t>|</w:t>
            </w:r>
            <w:r w:rsidRPr="00815F0B">
              <w:rPr>
                <w:rFonts w:hint="eastAsia"/>
                <w:color w:val="000000"/>
                <w:spacing w:val="4"/>
                <w:w w:val="22"/>
                <w:shd w:val="solid" w:color="000000" w:fill="000000"/>
                <w:fitText w:val="101" w:id="-1500819712"/>
                <w14:textFill>
                  <w14:solidFill>
                    <w14:srgbClr w14:val="000000">
                      <w14:alpha w14:val="100000"/>
                    </w14:srgbClr>
                  </w14:solidFill>
                </w14:textFill>
              </w:rPr>
              <w:t xml:space="preserve">　</w:t>
            </w:r>
            <w:r w:rsidR="001A4C03">
              <w:rPr>
                <w:vertAlign w:val="superscript"/>
              </w:rPr>
              <w:t>4</w:t>
            </w:r>
          </w:p>
        </w:tc>
      </w:tr>
      <w:tr w:rsidR="00642E3D" w:rsidRPr="00995E4C" w14:paraId="2283A528" w14:textId="77777777" w:rsidTr="00D05AB0">
        <w:tc>
          <w:tcPr>
            <w:tcW w:w="1334" w:type="pct"/>
            <w:shd w:val="clear" w:color="auto" w:fill="auto"/>
            <w:vAlign w:val="center"/>
          </w:tcPr>
          <w:p w14:paraId="13D55DDC" w14:textId="5B43C014" w:rsidR="00642E3D" w:rsidRPr="00995E4C" w:rsidRDefault="00642E3D" w:rsidP="00040A62">
            <w:pPr>
              <w:pStyle w:val="TableText0"/>
              <w:rPr>
                <w:szCs w:val="20"/>
              </w:rPr>
            </w:pPr>
            <w:r w:rsidRPr="00995E4C">
              <w:rPr>
                <w:szCs w:val="20"/>
              </w:rPr>
              <w:t xml:space="preserve">Less patient </w:t>
            </w:r>
            <w:proofErr w:type="spellStart"/>
            <w:r w:rsidRPr="00995E4C">
              <w:rPr>
                <w:szCs w:val="20"/>
              </w:rPr>
              <w:t>copayments</w:t>
            </w:r>
            <w:proofErr w:type="spellEnd"/>
            <w:r w:rsidR="0026761F">
              <w:rPr>
                <w:szCs w:val="20"/>
              </w:rPr>
              <w:t xml:space="preserve"> </w:t>
            </w:r>
            <w:r w:rsidR="006959AD">
              <w:rPr>
                <w:szCs w:val="20"/>
              </w:rPr>
              <w:t>$</w:t>
            </w:r>
          </w:p>
        </w:tc>
        <w:tc>
          <w:tcPr>
            <w:tcW w:w="521" w:type="pct"/>
            <w:shd w:val="clear" w:color="auto" w:fill="auto"/>
          </w:tcPr>
          <w:p w14:paraId="7B7E6E7A" w14:textId="20AEA074" w:rsidR="00642E3D" w:rsidRPr="001A4C03" w:rsidRDefault="00642E3D" w:rsidP="00040A62">
            <w:pPr>
              <w:pStyle w:val="TableText0"/>
              <w:jc w:val="center"/>
              <w:rPr>
                <w:szCs w:val="20"/>
                <w:vertAlign w:val="superscript"/>
              </w:rPr>
            </w:pPr>
            <w:r w:rsidRPr="006959AD">
              <w:t>-</w:t>
            </w:r>
            <w:r w:rsidR="00815F0B" w:rsidRPr="00815F0B">
              <w:rPr>
                <w:color w:val="000000"/>
                <w:spacing w:val="76"/>
                <w:shd w:val="solid" w:color="000000" w:fill="000000"/>
                <w:fitText w:val="162" w:id="-1500819711"/>
                <w14:textFill>
                  <w14:solidFill>
                    <w14:srgbClr w14:val="000000">
                      <w14:alpha w14:val="100000"/>
                    </w14:srgbClr>
                  </w14:solidFill>
                </w14:textFill>
              </w:rPr>
              <w:t>|</w:t>
            </w:r>
            <w:r w:rsidR="00815F0B" w:rsidRPr="00815F0B">
              <w:rPr>
                <w:color w:val="000000"/>
                <w:spacing w:val="1"/>
                <w:shd w:val="solid" w:color="000000" w:fill="000000"/>
                <w:fitText w:val="162" w:id="-1500819711"/>
                <w14:textFill>
                  <w14:solidFill>
                    <w14:srgbClr w14:val="000000">
                      <w14:alpha w14:val="100000"/>
                    </w14:srgbClr>
                  </w14:solidFill>
                </w14:textFill>
              </w:rPr>
              <w:t>|</w:t>
            </w:r>
            <w:r w:rsidR="001A4C03">
              <w:rPr>
                <w:vertAlign w:val="superscript"/>
              </w:rPr>
              <w:t>4</w:t>
            </w:r>
          </w:p>
        </w:tc>
        <w:tc>
          <w:tcPr>
            <w:tcW w:w="645" w:type="pct"/>
            <w:shd w:val="clear" w:color="auto" w:fill="auto"/>
          </w:tcPr>
          <w:p w14:paraId="3C6128F2" w14:textId="295E724B" w:rsidR="00642E3D" w:rsidRPr="001A4C03" w:rsidRDefault="00642E3D" w:rsidP="00040A62">
            <w:pPr>
              <w:pStyle w:val="TableText0"/>
              <w:jc w:val="center"/>
              <w:rPr>
                <w:szCs w:val="20"/>
                <w:vertAlign w:val="superscript"/>
              </w:rPr>
            </w:pPr>
            <w:r w:rsidRPr="006959AD">
              <w:t>-</w:t>
            </w:r>
            <w:r w:rsidR="00815F0B" w:rsidRPr="00815F0B">
              <w:rPr>
                <w:rFonts w:hint="eastAsia"/>
                <w:color w:val="000000"/>
                <w:w w:val="15"/>
                <w:shd w:val="solid" w:color="000000" w:fill="000000"/>
                <w:fitText w:val="54" w:id="-1500819710"/>
                <w14:textFill>
                  <w14:solidFill>
                    <w14:srgbClr w14:val="000000">
                      <w14:alpha w14:val="100000"/>
                    </w14:srgbClr>
                  </w14:solidFill>
                </w14:textFill>
              </w:rPr>
              <w:t xml:space="preserve">　</w:t>
            </w:r>
            <w:r w:rsidR="00815F0B" w:rsidRPr="00815F0B">
              <w:rPr>
                <w:color w:val="000000"/>
                <w:w w:val="15"/>
                <w:shd w:val="solid" w:color="000000" w:fill="000000"/>
                <w:fitText w:val="54" w:id="-1500819710"/>
                <w14:textFill>
                  <w14:solidFill>
                    <w14:srgbClr w14:val="000000">
                      <w14:alpha w14:val="100000"/>
                    </w14:srgbClr>
                  </w14:solidFill>
                </w14:textFill>
              </w:rPr>
              <w:t>|</w:t>
            </w:r>
            <w:r w:rsidR="00815F0B" w:rsidRPr="00815F0B">
              <w:rPr>
                <w:rFonts w:hint="eastAsia"/>
                <w:color w:val="000000"/>
                <w:spacing w:val="-11"/>
                <w:w w:val="15"/>
                <w:shd w:val="solid" w:color="000000" w:fill="000000"/>
                <w:fitText w:val="54" w:id="-1500819710"/>
                <w14:textFill>
                  <w14:solidFill>
                    <w14:srgbClr w14:val="000000">
                      <w14:alpha w14:val="100000"/>
                    </w14:srgbClr>
                  </w14:solidFill>
                </w14:textFill>
              </w:rPr>
              <w:t xml:space="preserve">　</w:t>
            </w:r>
            <w:r w:rsidR="001A4C03">
              <w:rPr>
                <w:vertAlign w:val="superscript"/>
              </w:rPr>
              <w:t>4</w:t>
            </w:r>
          </w:p>
        </w:tc>
        <w:tc>
          <w:tcPr>
            <w:tcW w:w="645" w:type="pct"/>
            <w:shd w:val="clear" w:color="auto" w:fill="auto"/>
          </w:tcPr>
          <w:p w14:paraId="766C91AB" w14:textId="22AE8A83" w:rsidR="00642E3D" w:rsidRPr="001A4C03" w:rsidRDefault="00642E3D" w:rsidP="00040A62">
            <w:pPr>
              <w:pStyle w:val="TableText0"/>
              <w:jc w:val="center"/>
              <w:rPr>
                <w:szCs w:val="20"/>
                <w:vertAlign w:val="superscript"/>
              </w:rPr>
            </w:pPr>
            <w:r w:rsidRPr="006959AD">
              <w:t>-</w:t>
            </w:r>
            <w:r w:rsidR="00815F0B" w:rsidRPr="00815F0B">
              <w:rPr>
                <w:rFonts w:hint="eastAsia"/>
                <w:color w:val="000000"/>
                <w:w w:val="15"/>
                <w:shd w:val="solid" w:color="000000" w:fill="000000"/>
                <w:fitText w:val="54" w:id="-1500819709"/>
                <w14:textFill>
                  <w14:solidFill>
                    <w14:srgbClr w14:val="000000">
                      <w14:alpha w14:val="100000"/>
                    </w14:srgbClr>
                  </w14:solidFill>
                </w14:textFill>
              </w:rPr>
              <w:t xml:space="preserve">　</w:t>
            </w:r>
            <w:r w:rsidR="00815F0B" w:rsidRPr="00815F0B">
              <w:rPr>
                <w:color w:val="000000"/>
                <w:w w:val="15"/>
                <w:shd w:val="solid" w:color="000000" w:fill="000000"/>
                <w:fitText w:val="54" w:id="-1500819709"/>
                <w14:textFill>
                  <w14:solidFill>
                    <w14:srgbClr w14:val="000000">
                      <w14:alpha w14:val="100000"/>
                    </w14:srgbClr>
                  </w14:solidFill>
                </w14:textFill>
              </w:rPr>
              <w:t>|</w:t>
            </w:r>
            <w:r w:rsidR="00815F0B" w:rsidRPr="00815F0B">
              <w:rPr>
                <w:rFonts w:hint="eastAsia"/>
                <w:color w:val="000000"/>
                <w:spacing w:val="-11"/>
                <w:w w:val="15"/>
                <w:shd w:val="solid" w:color="000000" w:fill="000000"/>
                <w:fitText w:val="54" w:id="-1500819709"/>
                <w14:textFill>
                  <w14:solidFill>
                    <w14:srgbClr w14:val="000000">
                      <w14:alpha w14:val="100000"/>
                    </w14:srgbClr>
                  </w14:solidFill>
                </w14:textFill>
              </w:rPr>
              <w:t xml:space="preserve">　</w:t>
            </w:r>
            <w:r w:rsidR="001A4C03">
              <w:rPr>
                <w:vertAlign w:val="superscript"/>
              </w:rPr>
              <w:t>4</w:t>
            </w:r>
          </w:p>
        </w:tc>
        <w:tc>
          <w:tcPr>
            <w:tcW w:w="645" w:type="pct"/>
            <w:shd w:val="clear" w:color="auto" w:fill="auto"/>
          </w:tcPr>
          <w:p w14:paraId="3E1D5172" w14:textId="0E726D1E" w:rsidR="00642E3D" w:rsidRPr="001A4C03" w:rsidRDefault="00642E3D" w:rsidP="00040A62">
            <w:pPr>
              <w:pStyle w:val="TableText0"/>
              <w:jc w:val="center"/>
              <w:rPr>
                <w:szCs w:val="20"/>
                <w:vertAlign w:val="superscript"/>
              </w:rPr>
            </w:pPr>
            <w:r w:rsidRPr="006959AD">
              <w:t>-</w:t>
            </w:r>
            <w:r w:rsidR="00815F0B" w:rsidRPr="00815F0B">
              <w:rPr>
                <w:rFonts w:hint="eastAsia"/>
                <w:color w:val="000000"/>
                <w:w w:val="15"/>
                <w:shd w:val="solid" w:color="000000" w:fill="000000"/>
                <w:fitText w:val="54" w:id="-1500819708"/>
                <w14:textFill>
                  <w14:solidFill>
                    <w14:srgbClr w14:val="000000">
                      <w14:alpha w14:val="100000"/>
                    </w14:srgbClr>
                  </w14:solidFill>
                </w14:textFill>
              </w:rPr>
              <w:t xml:space="preserve">　</w:t>
            </w:r>
            <w:r w:rsidR="00815F0B" w:rsidRPr="00815F0B">
              <w:rPr>
                <w:color w:val="000000"/>
                <w:w w:val="15"/>
                <w:shd w:val="solid" w:color="000000" w:fill="000000"/>
                <w:fitText w:val="54" w:id="-1500819708"/>
                <w14:textFill>
                  <w14:solidFill>
                    <w14:srgbClr w14:val="000000">
                      <w14:alpha w14:val="100000"/>
                    </w14:srgbClr>
                  </w14:solidFill>
                </w14:textFill>
              </w:rPr>
              <w:t>|</w:t>
            </w:r>
            <w:r w:rsidR="00815F0B" w:rsidRPr="00815F0B">
              <w:rPr>
                <w:rFonts w:hint="eastAsia"/>
                <w:color w:val="000000"/>
                <w:spacing w:val="-11"/>
                <w:w w:val="15"/>
                <w:shd w:val="solid" w:color="000000" w:fill="000000"/>
                <w:fitText w:val="54" w:id="-1500819708"/>
                <w14:textFill>
                  <w14:solidFill>
                    <w14:srgbClr w14:val="000000">
                      <w14:alpha w14:val="100000"/>
                    </w14:srgbClr>
                  </w14:solidFill>
                </w14:textFill>
              </w:rPr>
              <w:t xml:space="preserve">　</w:t>
            </w:r>
            <w:r w:rsidR="001A4C03">
              <w:rPr>
                <w:vertAlign w:val="superscript"/>
              </w:rPr>
              <w:t>4</w:t>
            </w:r>
          </w:p>
        </w:tc>
        <w:tc>
          <w:tcPr>
            <w:tcW w:w="645" w:type="pct"/>
            <w:shd w:val="clear" w:color="auto" w:fill="auto"/>
          </w:tcPr>
          <w:p w14:paraId="05CA53DD" w14:textId="718A33A9" w:rsidR="00642E3D" w:rsidRPr="001A4C03" w:rsidRDefault="00642E3D" w:rsidP="00040A62">
            <w:pPr>
              <w:pStyle w:val="TableText0"/>
              <w:jc w:val="center"/>
              <w:rPr>
                <w:szCs w:val="20"/>
                <w:vertAlign w:val="superscript"/>
              </w:rPr>
            </w:pPr>
            <w:r w:rsidRPr="006959AD">
              <w:t>-</w:t>
            </w:r>
            <w:r w:rsidR="00815F0B" w:rsidRPr="00815F0B">
              <w:rPr>
                <w:rFonts w:hint="eastAsia"/>
                <w:color w:val="000000"/>
                <w:w w:val="15"/>
                <w:shd w:val="solid" w:color="000000" w:fill="000000"/>
                <w:fitText w:val="54" w:id="-1500819456"/>
                <w14:textFill>
                  <w14:solidFill>
                    <w14:srgbClr w14:val="000000">
                      <w14:alpha w14:val="100000"/>
                    </w14:srgbClr>
                  </w14:solidFill>
                </w14:textFill>
              </w:rPr>
              <w:t xml:space="preserve">　</w:t>
            </w:r>
            <w:r w:rsidR="00815F0B" w:rsidRPr="00815F0B">
              <w:rPr>
                <w:color w:val="000000"/>
                <w:w w:val="15"/>
                <w:shd w:val="solid" w:color="000000" w:fill="000000"/>
                <w:fitText w:val="54" w:id="-1500819456"/>
                <w14:textFill>
                  <w14:solidFill>
                    <w14:srgbClr w14:val="000000">
                      <w14:alpha w14:val="100000"/>
                    </w14:srgbClr>
                  </w14:solidFill>
                </w14:textFill>
              </w:rPr>
              <w:t>|</w:t>
            </w:r>
            <w:r w:rsidR="00815F0B" w:rsidRPr="00815F0B">
              <w:rPr>
                <w:rFonts w:hint="eastAsia"/>
                <w:color w:val="000000"/>
                <w:spacing w:val="-11"/>
                <w:w w:val="15"/>
                <w:shd w:val="solid" w:color="000000" w:fill="000000"/>
                <w:fitText w:val="54" w:id="-1500819456"/>
                <w14:textFill>
                  <w14:solidFill>
                    <w14:srgbClr w14:val="000000">
                      <w14:alpha w14:val="100000"/>
                    </w14:srgbClr>
                  </w14:solidFill>
                </w14:textFill>
              </w:rPr>
              <w:t xml:space="preserve">　</w:t>
            </w:r>
            <w:r w:rsidR="001A4C03">
              <w:rPr>
                <w:vertAlign w:val="superscript"/>
              </w:rPr>
              <w:t>4</w:t>
            </w:r>
          </w:p>
        </w:tc>
        <w:tc>
          <w:tcPr>
            <w:tcW w:w="566" w:type="pct"/>
            <w:shd w:val="clear" w:color="auto" w:fill="auto"/>
          </w:tcPr>
          <w:p w14:paraId="3E0009C5" w14:textId="409F11C0" w:rsidR="00642E3D" w:rsidRPr="001A4C03" w:rsidRDefault="00642E3D" w:rsidP="00040A62">
            <w:pPr>
              <w:pStyle w:val="TableText0"/>
              <w:jc w:val="center"/>
              <w:rPr>
                <w:szCs w:val="20"/>
                <w:vertAlign w:val="superscript"/>
              </w:rPr>
            </w:pPr>
            <w:r w:rsidRPr="006959AD">
              <w:t>-</w:t>
            </w:r>
            <w:r w:rsidR="00815F0B" w:rsidRPr="00815F0B">
              <w:rPr>
                <w:rFonts w:hint="eastAsia"/>
                <w:color w:val="000000"/>
                <w:w w:val="27"/>
                <w:shd w:val="solid" w:color="000000" w:fill="000000"/>
                <w:fitText w:val="123" w:id="-1500819455"/>
                <w14:textFill>
                  <w14:solidFill>
                    <w14:srgbClr w14:val="000000">
                      <w14:alpha w14:val="100000"/>
                    </w14:srgbClr>
                  </w14:solidFill>
                </w14:textFill>
              </w:rPr>
              <w:t xml:space="preserve">　</w:t>
            </w:r>
            <w:r w:rsidR="00815F0B" w:rsidRPr="00815F0B">
              <w:rPr>
                <w:color w:val="000000"/>
                <w:w w:val="27"/>
                <w:shd w:val="solid" w:color="000000" w:fill="000000"/>
                <w:fitText w:val="123" w:id="-1500819455"/>
                <w14:textFill>
                  <w14:solidFill>
                    <w14:srgbClr w14:val="000000">
                      <w14:alpha w14:val="100000"/>
                    </w14:srgbClr>
                  </w14:solidFill>
                </w14:textFill>
              </w:rPr>
              <w:t>|</w:t>
            </w:r>
            <w:r w:rsidR="00815F0B" w:rsidRPr="00815F0B">
              <w:rPr>
                <w:rFonts w:hint="eastAsia"/>
                <w:color w:val="000000"/>
                <w:spacing w:val="5"/>
                <w:w w:val="27"/>
                <w:shd w:val="solid" w:color="000000" w:fill="000000"/>
                <w:fitText w:val="123" w:id="-1500819455"/>
                <w14:textFill>
                  <w14:solidFill>
                    <w14:srgbClr w14:val="000000">
                      <w14:alpha w14:val="100000"/>
                    </w14:srgbClr>
                  </w14:solidFill>
                </w14:textFill>
              </w:rPr>
              <w:t xml:space="preserve">　</w:t>
            </w:r>
            <w:r w:rsidR="001A4C03">
              <w:rPr>
                <w:vertAlign w:val="superscript"/>
              </w:rPr>
              <w:t>4</w:t>
            </w:r>
          </w:p>
        </w:tc>
      </w:tr>
      <w:tr w:rsidR="00642E3D" w:rsidRPr="00995E4C" w14:paraId="6958C3AD" w14:textId="77777777" w:rsidTr="00D05AB0">
        <w:tc>
          <w:tcPr>
            <w:tcW w:w="1334" w:type="pct"/>
            <w:shd w:val="clear" w:color="auto" w:fill="auto"/>
            <w:vAlign w:val="center"/>
          </w:tcPr>
          <w:p w14:paraId="2F63BA29" w14:textId="06B523C5" w:rsidR="00642E3D" w:rsidRPr="00995E4C" w:rsidRDefault="00642E3D" w:rsidP="00040A62">
            <w:pPr>
              <w:pStyle w:val="TableText0"/>
              <w:rPr>
                <w:szCs w:val="20"/>
              </w:rPr>
            </w:pPr>
            <w:r w:rsidRPr="00995E4C">
              <w:rPr>
                <w:szCs w:val="20"/>
              </w:rPr>
              <w:t xml:space="preserve">Total PBS/RPBS cost (eff) </w:t>
            </w:r>
            <w:r w:rsidR="006959AD">
              <w:rPr>
                <w:szCs w:val="20"/>
              </w:rPr>
              <w:t>$</w:t>
            </w:r>
          </w:p>
        </w:tc>
        <w:tc>
          <w:tcPr>
            <w:tcW w:w="521" w:type="pct"/>
            <w:shd w:val="clear" w:color="auto" w:fill="auto"/>
          </w:tcPr>
          <w:p w14:paraId="1FE98D70" w14:textId="4E7D69A1" w:rsidR="00642E3D" w:rsidRPr="001A4C03" w:rsidRDefault="00815F0B" w:rsidP="00040A62">
            <w:pPr>
              <w:pStyle w:val="TableText0"/>
              <w:jc w:val="center"/>
              <w:rPr>
                <w:szCs w:val="20"/>
                <w:vertAlign w:val="superscript"/>
              </w:rPr>
            </w:pPr>
            <w:r w:rsidRPr="00815F0B">
              <w:rPr>
                <w:rFonts w:hint="eastAsia"/>
                <w:color w:val="000000"/>
                <w:w w:val="31"/>
                <w:shd w:val="solid" w:color="000000" w:fill="000000"/>
                <w:fitText w:val="139" w:id="-1500819454"/>
                <w14:textFill>
                  <w14:solidFill>
                    <w14:srgbClr w14:val="000000">
                      <w14:alpha w14:val="100000"/>
                    </w14:srgbClr>
                  </w14:solidFill>
                </w14:textFill>
              </w:rPr>
              <w:t xml:space="preserve">　</w:t>
            </w:r>
            <w:r w:rsidRPr="00815F0B">
              <w:rPr>
                <w:color w:val="000000"/>
                <w:w w:val="31"/>
                <w:shd w:val="solid" w:color="000000" w:fill="000000"/>
                <w:fitText w:val="139" w:id="-1500819454"/>
                <w14:textFill>
                  <w14:solidFill>
                    <w14:srgbClr w14:val="000000">
                      <w14:alpha w14:val="100000"/>
                    </w14:srgbClr>
                  </w14:solidFill>
                </w14:textFill>
              </w:rPr>
              <w:t>|</w:t>
            </w:r>
            <w:r w:rsidRPr="00815F0B">
              <w:rPr>
                <w:rFonts w:hint="eastAsia"/>
                <w:color w:val="000000"/>
                <w:spacing w:val="3"/>
                <w:w w:val="31"/>
                <w:shd w:val="solid" w:color="000000" w:fill="000000"/>
                <w:fitText w:val="139" w:id="-1500819454"/>
                <w14:textFill>
                  <w14:solidFill>
                    <w14:srgbClr w14:val="000000">
                      <w14:alpha w14:val="100000"/>
                    </w14:srgbClr>
                  </w14:solidFill>
                </w14:textFill>
              </w:rPr>
              <w:t xml:space="preserve">　</w:t>
            </w:r>
            <w:r w:rsidR="001A4C03">
              <w:rPr>
                <w:vertAlign w:val="superscript"/>
              </w:rPr>
              <w:t>4</w:t>
            </w:r>
          </w:p>
        </w:tc>
        <w:tc>
          <w:tcPr>
            <w:tcW w:w="645" w:type="pct"/>
            <w:shd w:val="clear" w:color="auto" w:fill="auto"/>
          </w:tcPr>
          <w:p w14:paraId="5DE3D3A8" w14:textId="39D99A25" w:rsidR="00642E3D" w:rsidRPr="001A4C03" w:rsidRDefault="00815F0B" w:rsidP="00040A62">
            <w:pPr>
              <w:pStyle w:val="TableText0"/>
              <w:jc w:val="center"/>
              <w:rPr>
                <w:szCs w:val="20"/>
                <w:vertAlign w:val="superscript"/>
              </w:rPr>
            </w:pPr>
            <w:r w:rsidRPr="00756CE2">
              <w:rPr>
                <w:rFonts w:hint="eastAsia"/>
                <w:color w:val="000000"/>
                <w:w w:val="15"/>
                <w:shd w:val="solid" w:color="000000" w:fill="000000"/>
                <w:fitText w:val="16" w:id="-1500819453"/>
                <w14:textFill>
                  <w14:solidFill>
                    <w14:srgbClr w14:val="000000">
                      <w14:alpha w14:val="100000"/>
                    </w14:srgbClr>
                  </w14:solidFill>
                </w14:textFill>
              </w:rPr>
              <w:t xml:space="preserve">　</w:t>
            </w:r>
            <w:r w:rsidRPr="00756CE2">
              <w:rPr>
                <w:color w:val="000000"/>
                <w:w w:val="15"/>
                <w:shd w:val="solid" w:color="000000" w:fill="000000"/>
                <w:fitText w:val="16" w:id="-1500819453"/>
                <w14:textFill>
                  <w14:solidFill>
                    <w14:srgbClr w14:val="000000">
                      <w14:alpha w14:val="100000"/>
                    </w14:srgbClr>
                  </w14:solidFill>
                </w14:textFill>
              </w:rPr>
              <w:t>|</w:t>
            </w:r>
            <w:r w:rsidRPr="00756CE2">
              <w:rPr>
                <w:rFonts w:hint="eastAsia"/>
                <w:color w:val="000000"/>
                <w:spacing w:val="-49"/>
                <w:w w:val="15"/>
                <w:shd w:val="solid" w:color="000000" w:fill="000000"/>
                <w:fitText w:val="16" w:id="-1500819453"/>
                <w14:textFill>
                  <w14:solidFill>
                    <w14:srgbClr w14:val="000000">
                      <w14:alpha w14:val="100000"/>
                    </w14:srgbClr>
                  </w14:solidFill>
                </w14:textFill>
              </w:rPr>
              <w:t xml:space="preserve">　</w:t>
            </w:r>
            <w:r w:rsidR="001A4C03">
              <w:rPr>
                <w:vertAlign w:val="superscript"/>
              </w:rPr>
              <w:t>4</w:t>
            </w:r>
          </w:p>
        </w:tc>
        <w:tc>
          <w:tcPr>
            <w:tcW w:w="645" w:type="pct"/>
            <w:shd w:val="clear" w:color="auto" w:fill="auto"/>
          </w:tcPr>
          <w:p w14:paraId="083BC94C" w14:textId="6BCE5BAC" w:rsidR="00642E3D" w:rsidRPr="001A4C03" w:rsidRDefault="00815F0B" w:rsidP="00040A62">
            <w:pPr>
              <w:pStyle w:val="TableText0"/>
              <w:jc w:val="center"/>
              <w:rPr>
                <w:szCs w:val="20"/>
                <w:vertAlign w:val="superscript"/>
              </w:rPr>
            </w:pPr>
            <w:r w:rsidRPr="00756CE2">
              <w:rPr>
                <w:rFonts w:hint="eastAsia"/>
                <w:color w:val="000000"/>
                <w:w w:val="15"/>
                <w:shd w:val="solid" w:color="000000" w:fill="000000"/>
                <w:fitText w:val="16" w:id="-1500819452"/>
                <w14:textFill>
                  <w14:solidFill>
                    <w14:srgbClr w14:val="000000">
                      <w14:alpha w14:val="100000"/>
                    </w14:srgbClr>
                  </w14:solidFill>
                </w14:textFill>
              </w:rPr>
              <w:t xml:space="preserve">　</w:t>
            </w:r>
            <w:r w:rsidRPr="00756CE2">
              <w:rPr>
                <w:color w:val="000000"/>
                <w:w w:val="15"/>
                <w:shd w:val="solid" w:color="000000" w:fill="000000"/>
                <w:fitText w:val="16" w:id="-1500819452"/>
                <w14:textFill>
                  <w14:solidFill>
                    <w14:srgbClr w14:val="000000">
                      <w14:alpha w14:val="100000"/>
                    </w14:srgbClr>
                  </w14:solidFill>
                </w14:textFill>
              </w:rPr>
              <w:t>|</w:t>
            </w:r>
            <w:r w:rsidRPr="00756CE2">
              <w:rPr>
                <w:rFonts w:hint="eastAsia"/>
                <w:color w:val="000000"/>
                <w:spacing w:val="-49"/>
                <w:w w:val="15"/>
                <w:shd w:val="solid" w:color="000000" w:fill="000000"/>
                <w:fitText w:val="16" w:id="-1500819452"/>
                <w14:textFill>
                  <w14:solidFill>
                    <w14:srgbClr w14:val="000000">
                      <w14:alpha w14:val="100000"/>
                    </w14:srgbClr>
                  </w14:solidFill>
                </w14:textFill>
              </w:rPr>
              <w:t xml:space="preserve">　</w:t>
            </w:r>
            <w:r w:rsidR="001A4C03">
              <w:rPr>
                <w:vertAlign w:val="superscript"/>
              </w:rPr>
              <w:t>4</w:t>
            </w:r>
          </w:p>
        </w:tc>
        <w:tc>
          <w:tcPr>
            <w:tcW w:w="645" w:type="pct"/>
            <w:shd w:val="clear" w:color="auto" w:fill="auto"/>
          </w:tcPr>
          <w:p w14:paraId="78A62659" w14:textId="10368639" w:rsidR="00642E3D" w:rsidRPr="001A4C03" w:rsidRDefault="00815F0B" w:rsidP="00040A62">
            <w:pPr>
              <w:pStyle w:val="TableText0"/>
              <w:jc w:val="center"/>
              <w:rPr>
                <w:szCs w:val="20"/>
                <w:vertAlign w:val="superscript"/>
              </w:rPr>
            </w:pPr>
            <w:r w:rsidRPr="00756CE2">
              <w:rPr>
                <w:rFonts w:hint="eastAsia"/>
                <w:color w:val="000000"/>
                <w:w w:val="15"/>
                <w:shd w:val="solid" w:color="000000" w:fill="000000"/>
                <w:fitText w:val="15" w:id="-1500819451"/>
                <w14:textFill>
                  <w14:solidFill>
                    <w14:srgbClr w14:val="000000">
                      <w14:alpha w14:val="100000"/>
                    </w14:srgbClr>
                  </w14:solidFill>
                </w14:textFill>
              </w:rPr>
              <w:t xml:space="preserve">　</w:t>
            </w:r>
            <w:r w:rsidRPr="00756CE2">
              <w:rPr>
                <w:color w:val="000000"/>
                <w:w w:val="15"/>
                <w:shd w:val="solid" w:color="000000" w:fill="000000"/>
                <w:fitText w:val="15" w:id="-1500819451"/>
                <w14:textFill>
                  <w14:solidFill>
                    <w14:srgbClr w14:val="000000">
                      <w14:alpha w14:val="100000"/>
                    </w14:srgbClr>
                  </w14:solidFill>
                </w14:textFill>
              </w:rPr>
              <w:t>|</w:t>
            </w:r>
            <w:r w:rsidRPr="00756CE2">
              <w:rPr>
                <w:rFonts w:hint="eastAsia"/>
                <w:color w:val="000000"/>
                <w:spacing w:val="-50"/>
                <w:w w:val="15"/>
                <w:shd w:val="solid" w:color="000000" w:fill="000000"/>
                <w:fitText w:val="15" w:id="-1500819451"/>
                <w14:textFill>
                  <w14:solidFill>
                    <w14:srgbClr w14:val="000000">
                      <w14:alpha w14:val="100000"/>
                    </w14:srgbClr>
                  </w14:solidFill>
                </w14:textFill>
              </w:rPr>
              <w:t xml:space="preserve">　</w:t>
            </w:r>
            <w:r w:rsidR="001A4C03">
              <w:rPr>
                <w:vertAlign w:val="superscript"/>
              </w:rPr>
              <w:t>4</w:t>
            </w:r>
          </w:p>
        </w:tc>
        <w:tc>
          <w:tcPr>
            <w:tcW w:w="645" w:type="pct"/>
            <w:shd w:val="clear" w:color="auto" w:fill="auto"/>
          </w:tcPr>
          <w:p w14:paraId="191A17F3" w14:textId="0E505292" w:rsidR="00642E3D" w:rsidRPr="001A4C03" w:rsidRDefault="00815F0B" w:rsidP="00040A62">
            <w:pPr>
              <w:pStyle w:val="TableText0"/>
              <w:jc w:val="center"/>
              <w:rPr>
                <w:szCs w:val="20"/>
                <w:vertAlign w:val="superscript"/>
              </w:rPr>
            </w:pPr>
            <w:r w:rsidRPr="00756CE2">
              <w:rPr>
                <w:rFonts w:hint="eastAsia"/>
                <w:color w:val="000000"/>
                <w:w w:val="15"/>
                <w:shd w:val="solid" w:color="000000" w:fill="000000"/>
                <w:fitText w:val="15" w:id="-1500819450"/>
                <w14:textFill>
                  <w14:solidFill>
                    <w14:srgbClr w14:val="000000">
                      <w14:alpha w14:val="100000"/>
                    </w14:srgbClr>
                  </w14:solidFill>
                </w14:textFill>
              </w:rPr>
              <w:t xml:space="preserve">　</w:t>
            </w:r>
            <w:r w:rsidRPr="00756CE2">
              <w:rPr>
                <w:color w:val="000000"/>
                <w:w w:val="15"/>
                <w:shd w:val="solid" w:color="000000" w:fill="000000"/>
                <w:fitText w:val="15" w:id="-1500819450"/>
                <w14:textFill>
                  <w14:solidFill>
                    <w14:srgbClr w14:val="000000">
                      <w14:alpha w14:val="100000"/>
                    </w14:srgbClr>
                  </w14:solidFill>
                </w14:textFill>
              </w:rPr>
              <w:t>|</w:t>
            </w:r>
            <w:r w:rsidRPr="00756CE2">
              <w:rPr>
                <w:rFonts w:hint="eastAsia"/>
                <w:color w:val="000000"/>
                <w:spacing w:val="-50"/>
                <w:w w:val="15"/>
                <w:shd w:val="solid" w:color="000000" w:fill="000000"/>
                <w:fitText w:val="15" w:id="-1500819450"/>
                <w14:textFill>
                  <w14:solidFill>
                    <w14:srgbClr w14:val="000000">
                      <w14:alpha w14:val="100000"/>
                    </w14:srgbClr>
                  </w14:solidFill>
                </w14:textFill>
              </w:rPr>
              <w:t xml:space="preserve">　</w:t>
            </w:r>
            <w:r w:rsidR="001A4C03">
              <w:rPr>
                <w:vertAlign w:val="superscript"/>
              </w:rPr>
              <w:t>4</w:t>
            </w:r>
          </w:p>
        </w:tc>
        <w:tc>
          <w:tcPr>
            <w:tcW w:w="566" w:type="pct"/>
            <w:shd w:val="clear" w:color="auto" w:fill="auto"/>
          </w:tcPr>
          <w:p w14:paraId="1915833F" w14:textId="2D58F377" w:rsidR="00642E3D" w:rsidRPr="001A4C03" w:rsidRDefault="00815F0B" w:rsidP="00040A62">
            <w:pPr>
              <w:pStyle w:val="TableText0"/>
              <w:jc w:val="center"/>
              <w:rPr>
                <w:szCs w:val="20"/>
                <w:vertAlign w:val="superscript"/>
              </w:rPr>
            </w:pPr>
            <w:r w:rsidRPr="00815F0B">
              <w:rPr>
                <w:rFonts w:hint="eastAsia"/>
                <w:color w:val="000000"/>
                <w:w w:val="22"/>
                <w:shd w:val="solid" w:color="000000" w:fill="000000"/>
                <w:fitText w:val="101" w:id="-1500819449"/>
                <w14:textFill>
                  <w14:solidFill>
                    <w14:srgbClr w14:val="000000">
                      <w14:alpha w14:val="100000"/>
                    </w14:srgbClr>
                  </w14:solidFill>
                </w14:textFill>
              </w:rPr>
              <w:t xml:space="preserve">　</w:t>
            </w:r>
            <w:r w:rsidRPr="00815F0B">
              <w:rPr>
                <w:color w:val="000000"/>
                <w:w w:val="22"/>
                <w:shd w:val="solid" w:color="000000" w:fill="000000"/>
                <w:fitText w:val="101" w:id="-1500819449"/>
                <w14:textFill>
                  <w14:solidFill>
                    <w14:srgbClr w14:val="000000">
                      <w14:alpha w14:val="100000"/>
                    </w14:srgbClr>
                  </w14:solidFill>
                </w14:textFill>
              </w:rPr>
              <w:t>|</w:t>
            </w:r>
            <w:r w:rsidRPr="00815F0B">
              <w:rPr>
                <w:rFonts w:hint="eastAsia"/>
                <w:color w:val="000000"/>
                <w:spacing w:val="4"/>
                <w:w w:val="22"/>
                <w:shd w:val="solid" w:color="000000" w:fill="000000"/>
                <w:fitText w:val="101" w:id="-1500819449"/>
                <w14:textFill>
                  <w14:solidFill>
                    <w14:srgbClr w14:val="000000">
                      <w14:alpha w14:val="100000"/>
                    </w14:srgbClr>
                  </w14:solidFill>
                </w14:textFill>
              </w:rPr>
              <w:t xml:space="preserve">　</w:t>
            </w:r>
            <w:r w:rsidR="001A4C03">
              <w:rPr>
                <w:vertAlign w:val="superscript"/>
              </w:rPr>
              <w:t>4</w:t>
            </w:r>
          </w:p>
        </w:tc>
      </w:tr>
      <w:tr w:rsidR="00642E3D" w:rsidRPr="00995E4C" w14:paraId="7ABE3BC1" w14:textId="77777777" w:rsidTr="00040A62">
        <w:tc>
          <w:tcPr>
            <w:tcW w:w="5000" w:type="pct"/>
            <w:gridSpan w:val="7"/>
            <w:shd w:val="clear" w:color="auto" w:fill="auto"/>
            <w:vAlign w:val="center"/>
          </w:tcPr>
          <w:p w14:paraId="0D57C21B" w14:textId="77777777" w:rsidR="00642E3D" w:rsidRPr="00995E4C" w:rsidRDefault="00642E3D" w:rsidP="00040A62">
            <w:pPr>
              <w:pStyle w:val="TableText0"/>
              <w:rPr>
                <w:b/>
                <w:szCs w:val="20"/>
              </w:rPr>
            </w:pPr>
            <w:r w:rsidRPr="00995E4C">
              <w:rPr>
                <w:rStyle w:val="CommentReference"/>
                <w:b w:val="0"/>
                <w:szCs w:val="20"/>
              </w:rPr>
              <w:t>Estimated net cost (eff) of to the PBS/RPBS</w:t>
            </w:r>
          </w:p>
        </w:tc>
      </w:tr>
      <w:tr w:rsidR="00642E3D" w:rsidRPr="00995E4C" w14:paraId="48D805B9" w14:textId="77777777" w:rsidTr="00D05AB0">
        <w:tc>
          <w:tcPr>
            <w:tcW w:w="1334" w:type="pct"/>
            <w:shd w:val="clear" w:color="auto" w:fill="auto"/>
          </w:tcPr>
          <w:p w14:paraId="6F0752EC" w14:textId="59580E43" w:rsidR="00642E3D" w:rsidRPr="00995E4C" w:rsidRDefault="00642E3D" w:rsidP="00040A62">
            <w:pPr>
              <w:pStyle w:val="TableText0"/>
              <w:rPr>
                <w:szCs w:val="20"/>
              </w:rPr>
            </w:pPr>
            <w:r w:rsidRPr="00995E4C">
              <w:rPr>
                <w:szCs w:val="20"/>
              </w:rPr>
              <w:t>Total net cost to PBS</w:t>
            </w:r>
            <w:r w:rsidR="006959AD">
              <w:rPr>
                <w:szCs w:val="20"/>
              </w:rPr>
              <w:t xml:space="preserve"> $</w:t>
            </w:r>
          </w:p>
        </w:tc>
        <w:tc>
          <w:tcPr>
            <w:tcW w:w="521" w:type="pct"/>
            <w:shd w:val="clear" w:color="auto" w:fill="auto"/>
          </w:tcPr>
          <w:p w14:paraId="070512A9" w14:textId="05103C55" w:rsidR="00642E3D" w:rsidRPr="001A4C03" w:rsidRDefault="00642E3D" w:rsidP="00040A62">
            <w:pPr>
              <w:pStyle w:val="TableText0"/>
              <w:jc w:val="center"/>
              <w:rPr>
                <w:szCs w:val="20"/>
                <w:vertAlign w:val="superscript"/>
              </w:rPr>
            </w:pPr>
            <w:r w:rsidRPr="006959AD">
              <w:rPr>
                <w:szCs w:val="20"/>
              </w:rPr>
              <w:t>-</w:t>
            </w:r>
            <w:r w:rsidR="00815F0B" w:rsidRPr="00815F0B">
              <w:rPr>
                <w:color w:val="000000"/>
                <w:spacing w:val="76"/>
                <w:szCs w:val="20"/>
                <w:shd w:val="solid" w:color="000000" w:fill="000000"/>
                <w:fitText w:val="162" w:id="-1500819448"/>
                <w14:textFill>
                  <w14:solidFill>
                    <w14:srgbClr w14:val="000000">
                      <w14:alpha w14:val="100000"/>
                    </w14:srgbClr>
                  </w14:solidFill>
                </w14:textFill>
              </w:rPr>
              <w:t>|</w:t>
            </w:r>
            <w:r w:rsidR="00815F0B" w:rsidRPr="00815F0B">
              <w:rPr>
                <w:color w:val="000000"/>
                <w:spacing w:val="1"/>
                <w:szCs w:val="20"/>
                <w:shd w:val="solid" w:color="000000" w:fill="000000"/>
                <w:fitText w:val="162" w:id="-1500819448"/>
                <w14:textFill>
                  <w14:solidFill>
                    <w14:srgbClr w14:val="000000">
                      <w14:alpha w14:val="100000"/>
                    </w14:srgbClr>
                  </w14:solidFill>
                </w14:textFill>
              </w:rPr>
              <w:t>|</w:t>
            </w:r>
            <w:r w:rsidR="001A4C03">
              <w:rPr>
                <w:szCs w:val="20"/>
                <w:vertAlign w:val="superscript"/>
              </w:rPr>
              <w:t>4</w:t>
            </w:r>
          </w:p>
        </w:tc>
        <w:tc>
          <w:tcPr>
            <w:tcW w:w="645" w:type="pct"/>
            <w:shd w:val="clear" w:color="auto" w:fill="auto"/>
          </w:tcPr>
          <w:p w14:paraId="68A998A9" w14:textId="1C6F25DA" w:rsidR="00642E3D" w:rsidRPr="001A4C03" w:rsidRDefault="00642E3D" w:rsidP="00040A62">
            <w:pPr>
              <w:pStyle w:val="TableText0"/>
              <w:jc w:val="center"/>
              <w:rPr>
                <w:szCs w:val="20"/>
                <w:vertAlign w:val="superscript"/>
              </w:rPr>
            </w:pPr>
            <w:r w:rsidRPr="006959AD">
              <w:rPr>
                <w:szCs w:val="20"/>
              </w:rPr>
              <w:t>-</w:t>
            </w:r>
            <w:r w:rsidR="00815F0B" w:rsidRPr="00815F0B">
              <w:rPr>
                <w:rFonts w:hint="eastAsia"/>
                <w:color w:val="000000"/>
                <w:w w:val="15"/>
                <w:szCs w:val="20"/>
                <w:shd w:val="solid" w:color="000000" w:fill="000000"/>
                <w:fitText w:val="54" w:id="-1500819447"/>
                <w14:textFill>
                  <w14:solidFill>
                    <w14:srgbClr w14:val="000000">
                      <w14:alpha w14:val="100000"/>
                    </w14:srgbClr>
                  </w14:solidFill>
                </w14:textFill>
              </w:rPr>
              <w:t xml:space="preserve">　</w:t>
            </w:r>
            <w:r w:rsidR="00815F0B" w:rsidRPr="00815F0B">
              <w:rPr>
                <w:color w:val="000000"/>
                <w:w w:val="15"/>
                <w:szCs w:val="20"/>
                <w:shd w:val="solid" w:color="000000" w:fill="000000"/>
                <w:fitText w:val="54" w:id="-1500819447"/>
                <w14:textFill>
                  <w14:solidFill>
                    <w14:srgbClr w14:val="000000">
                      <w14:alpha w14:val="100000"/>
                    </w14:srgbClr>
                  </w14:solidFill>
                </w14:textFill>
              </w:rPr>
              <w:t>|</w:t>
            </w:r>
            <w:r w:rsidR="00815F0B" w:rsidRPr="00815F0B">
              <w:rPr>
                <w:rFonts w:hint="eastAsia"/>
                <w:color w:val="000000"/>
                <w:spacing w:val="-11"/>
                <w:w w:val="15"/>
                <w:szCs w:val="20"/>
                <w:shd w:val="solid" w:color="000000" w:fill="000000"/>
                <w:fitText w:val="54" w:id="-1500819447"/>
                <w14:textFill>
                  <w14:solidFill>
                    <w14:srgbClr w14:val="000000">
                      <w14:alpha w14:val="100000"/>
                    </w14:srgbClr>
                  </w14:solidFill>
                </w14:textFill>
              </w:rPr>
              <w:t xml:space="preserve">　</w:t>
            </w:r>
            <w:r w:rsidR="001A4C03">
              <w:rPr>
                <w:szCs w:val="20"/>
                <w:vertAlign w:val="superscript"/>
              </w:rPr>
              <w:t>4</w:t>
            </w:r>
          </w:p>
        </w:tc>
        <w:tc>
          <w:tcPr>
            <w:tcW w:w="645" w:type="pct"/>
            <w:shd w:val="clear" w:color="auto" w:fill="auto"/>
          </w:tcPr>
          <w:p w14:paraId="4D527F3C" w14:textId="14963F86" w:rsidR="00642E3D" w:rsidRPr="001A4C03" w:rsidRDefault="00642E3D" w:rsidP="00040A62">
            <w:pPr>
              <w:pStyle w:val="TableText0"/>
              <w:jc w:val="center"/>
              <w:rPr>
                <w:szCs w:val="20"/>
                <w:vertAlign w:val="superscript"/>
              </w:rPr>
            </w:pPr>
            <w:r w:rsidRPr="006959AD">
              <w:rPr>
                <w:szCs w:val="20"/>
              </w:rPr>
              <w:t>-</w:t>
            </w:r>
            <w:r w:rsidR="00815F0B" w:rsidRPr="00815F0B">
              <w:rPr>
                <w:rFonts w:hint="eastAsia"/>
                <w:color w:val="000000"/>
                <w:w w:val="15"/>
                <w:szCs w:val="20"/>
                <w:shd w:val="solid" w:color="000000" w:fill="000000"/>
                <w:fitText w:val="54" w:id="-1500819446"/>
                <w14:textFill>
                  <w14:solidFill>
                    <w14:srgbClr w14:val="000000">
                      <w14:alpha w14:val="100000"/>
                    </w14:srgbClr>
                  </w14:solidFill>
                </w14:textFill>
              </w:rPr>
              <w:t xml:space="preserve">　</w:t>
            </w:r>
            <w:r w:rsidR="00815F0B" w:rsidRPr="00815F0B">
              <w:rPr>
                <w:color w:val="000000"/>
                <w:w w:val="15"/>
                <w:szCs w:val="20"/>
                <w:shd w:val="solid" w:color="000000" w:fill="000000"/>
                <w:fitText w:val="54" w:id="-1500819446"/>
                <w14:textFill>
                  <w14:solidFill>
                    <w14:srgbClr w14:val="000000">
                      <w14:alpha w14:val="100000"/>
                    </w14:srgbClr>
                  </w14:solidFill>
                </w14:textFill>
              </w:rPr>
              <w:t>|</w:t>
            </w:r>
            <w:r w:rsidR="00815F0B" w:rsidRPr="00815F0B">
              <w:rPr>
                <w:rFonts w:hint="eastAsia"/>
                <w:color w:val="000000"/>
                <w:spacing w:val="-11"/>
                <w:w w:val="15"/>
                <w:szCs w:val="20"/>
                <w:shd w:val="solid" w:color="000000" w:fill="000000"/>
                <w:fitText w:val="54" w:id="-1500819446"/>
                <w14:textFill>
                  <w14:solidFill>
                    <w14:srgbClr w14:val="000000">
                      <w14:alpha w14:val="100000"/>
                    </w14:srgbClr>
                  </w14:solidFill>
                </w14:textFill>
              </w:rPr>
              <w:t xml:space="preserve">　</w:t>
            </w:r>
            <w:r w:rsidR="001A4C03">
              <w:rPr>
                <w:szCs w:val="20"/>
                <w:vertAlign w:val="superscript"/>
              </w:rPr>
              <w:t>4</w:t>
            </w:r>
          </w:p>
        </w:tc>
        <w:tc>
          <w:tcPr>
            <w:tcW w:w="645" w:type="pct"/>
            <w:shd w:val="clear" w:color="auto" w:fill="auto"/>
          </w:tcPr>
          <w:p w14:paraId="70E7F397" w14:textId="69513B3F" w:rsidR="00642E3D" w:rsidRPr="001A4C03" w:rsidRDefault="00642E3D" w:rsidP="00040A62">
            <w:pPr>
              <w:pStyle w:val="TableText0"/>
              <w:jc w:val="center"/>
              <w:rPr>
                <w:szCs w:val="20"/>
                <w:vertAlign w:val="superscript"/>
              </w:rPr>
            </w:pPr>
            <w:r w:rsidRPr="006959AD">
              <w:rPr>
                <w:szCs w:val="20"/>
              </w:rPr>
              <w:t>-</w:t>
            </w:r>
            <w:r w:rsidR="00815F0B" w:rsidRPr="00815F0B">
              <w:rPr>
                <w:rFonts w:hint="eastAsia"/>
                <w:color w:val="000000"/>
                <w:w w:val="15"/>
                <w:szCs w:val="20"/>
                <w:shd w:val="solid" w:color="000000" w:fill="000000"/>
                <w:fitText w:val="54" w:id="-1500819445"/>
                <w14:textFill>
                  <w14:solidFill>
                    <w14:srgbClr w14:val="000000">
                      <w14:alpha w14:val="100000"/>
                    </w14:srgbClr>
                  </w14:solidFill>
                </w14:textFill>
              </w:rPr>
              <w:t xml:space="preserve">　</w:t>
            </w:r>
            <w:r w:rsidR="00815F0B" w:rsidRPr="00815F0B">
              <w:rPr>
                <w:color w:val="000000"/>
                <w:w w:val="15"/>
                <w:szCs w:val="20"/>
                <w:shd w:val="solid" w:color="000000" w:fill="000000"/>
                <w:fitText w:val="54" w:id="-1500819445"/>
                <w14:textFill>
                  <w14:solidFill>
                    <w14:srgbClr w14:val="000000">
                      <w14:alpha w14:val="100000"/>
                    </w14:srgbClr>
                  </w14:solidFill>
                </w14:textFill>
              </w:rPr>
              <w:t>|</w:t>
            </w:r>
            <w:r w:rsidR="00815F0B" w:rsidRPr="00815F0B">
              <w:rPr>
                <w:rFonts w:hint="eastAsia"/>
                <w:color w:val="000000"/>
                <w:spacing w:val="-11"/>
                <w:w w:val="15"/>
                <w:szCs w:val="20"/>
                <w:shd w:val="solid" w:color="000000" w:fill="000000"/>
                <w:fitText w:val="54" w:id="-1500819445"/>
                <w14:textFill>
                  <w14:solidFill>
                    <w14:srgbClr w14:val="000000">
                      <w14:alpha w14:val="100000"/>
                    </w14:srgbClr>
                  </w14:solidFill>
                </w14:textFill>
              </w:rPr>
              <w:t xml:space="preserve">　</w:t>
            </w:r>
            <w:r w:rsidR="001A4C03">
              <w:rPr>
                <w:szCs w:val="20"/>
                <w:vertAlign w:val="superscript"/>
              </w:rPr>
              <w:t>4</w:t>
            </w:r>
          </w:p>
        </w:tc>
        <w:tc>
          <w:tcPr>
            <w:tcW w:w="645" w:type="pct"/>
            <w:shd w:val="clear" w:color="auto" w:fill="auto"/>
          </w:tcPr>
          <w:p w14:paraId="0D78DD0C" w14:textId="49FE1908" w:rsidR="00642E3D" w:rsidRPr="001A4C03" w:rsidRDefault="00642E3D" w:rsidP="00040A62">
            <w:pPr>
              <w:pStyle w:val="TableText0"/>
              <w:jc w:val="center"/>
              <w:rPr>
                <w:szCs w:val="20"/>
                <w:vertAlign w:val="superscript"/>
              </w:rPr>
            </w:pPr>
            <w:r w:rsidRPr="006959AD">
              <w:rPr>
                <w:szCs w:val="20"/>
              </w:rPr>
              <w:t>-</w:t>
            </w:r>
            <w:r w:rsidR="00815F0B" w:rsidRPr="00815F0B">
              <w:rPr>
                <w:rFonts w:hint="eastAsia"/>
                <w:color w:val="000000"/>
                <w:w w:val="15"/>
                <w:szCs w:val="20"/>
                <w:shd w:val="solid" w:color="000000" w:fill="000000"/>
                <w:fitText w:val="54" w:id="-1500819444"/>
                <w14:textFill>
                  <w14:solidFill>
                    <w14:srgbClr w14:val="000000">
                      <w14:alpha w14:val="100000"/>
                    </w14:srgbClr>
                  </w14:solidFill>
                </w14:textFill>
              </w:rPr>
              <w:t xml:space="preserve">　</w:t>
            </w:r>
            <w:r w:rsidR="00815F0B" w:rsidRPr="00815F0B">
              <w:rPr>
                <w:color w:val="000000"/>
                <w:w w:val="15"/>
                <w:szCs w:val="20"/>
                <w:shd w:val="solid" w:color="000000" w:fill="000000"/>
                <w:fitText w:val="54" w:id="-1500819444"/>
                <w14:textFill>
                  <w14:solidFill>
                    <w14:srgbClr w14:val="000000">
                      <w14:alpha w14:val="100000"/>
                    </w14:srgbClr>
                  </w14:solidFill>
                </w14:textFill>
              </w:rPr>
              <w:t>|</w:t>
            </w:r>
            <w:r w:rsidR="00815F0B" w:rsidRPr="00815F0B">
              <w:rPr>
                <w:rFonts w:hint="eastAsia"/>
                <w:color w:val="000000"/>
                <w:spacing w:val="-11"/>
                <w:w w:val="15"/>
                <w:szCs w:val="20"/>
                <w:shd w:val="solid" w:color="000000" w:fill="000000"/>
                <w:fitText w:val="54" w:id="-1500819444"/>
                <w14:textFill>
                  <w14:solidFill>
                    <w14:srgbClr w14:val="000000">
                      <w14:alpha w14:val="100000"/>
                    </w14:srgbClr>
                  </w14:solidFill>
                </w14:textFill>
              </w:rPr>
              <w:t xml:space="preserve">　</w:t>
            </w:r>
            <w:r w:rsidR="001A4C03">
              <w:rPr>
                <w:szCs w:val="20"/>
                <w:vertAlign w:val="superscript"/>
              </w:rPr>
              <w:t>4</w:t>
            </w:r>
          </w:p>
        </w:tc>
        <w:tc>
          <w:tcPr>
            <w:tcW w:w="566" w:type="pct"/>
            <w:shd w:val="clear" w:color="auto" w:fill="auto"/>
          </w:tcPr>
          <w:p w14:paraId="70C4CC21" w14:textId="4F912F20" w:rsidR="00642E3D" w:rsidRPr="001A4C03" w:rsidRDefault="00642E3D" w:rsidP="00040A62">
            <w:pPr>
              <w:pStyle w:val="TableText0"/>
              <w:jc w:val="center"/>
              <w:rPr>
                <w:szCs w:val="20"/>
                <w:vertAlign w:val="superscript"/>
              </w:rPr>
            </w:pPr>
            <w:r w:rsidRPr="006959AD">
              <w:rPr>
                <w:szCs w:val="20"/>
              </w:rPr>
              <w:t>-</w:t>
            </w:r>
            <w:r w:rsidR="00815F0B" w:rsidRPr="00815F0B">
              <w:rPr>
                <w:rFonts w:hint="eastAsia"/>
                <w:color w:val="000000"/>
                <w:w w:val="27"/>
                <w:szCs w:val="20"/>
                <w:shd w:val="solid" w:color="000000" w:fill="000000"/>
                <w:fitText w:val="123" w:id="-1500819443"/>
                <w14:textFill>
                  <w14:solidFill>
                    <w14:srgbClr w14:val="000000">
                      <w14:alpha w14:val="100000"/>
                    </w14:srgbClr>
                  </w14:solidFill>
                </w14:textFill>
              </w:rPr>
              <w:t xml:space="preserve">　</w:t>
            </w:r>
            <w:r w:rsidR="00815F0B" w:rsidRPr="00815F0B">
              <w:rPr>
                <w:color w:val="000000"/>
                <w:w w:val="27"/>
                <w:szCs w:val="20"/>
                <w:shd w:val="solid" w:color="000000" w:fill="000000"/>
                <w:fitText w:val="123" w:id="-1500819443"/>
                <w14:textFill>
                  <w14:solidFill>
                    <w14:srgbClr w14:val="000000">
                      <w14:alpha w14:val="100000"/>
                    </w14:srgbClr>
                  </w14:solidFill>
                </w14:textFill>
              </w:rPr>
              <w:t>|</w:t>
            </w:r>
            <w:r w:rsidR="00815F0B" w:rsidRPr="00815F0B">
              <w:rPr>
                <w:rFonts w:hint="eastAsia"/>
                <w:color w:val="000000"/>
                <w:spacing w:val="5"/>
                <w:w w:val="27"/>
                <w:szCs w:val="20"/>
                <w:shd w:val="solid" w:color="000000" w:fill="000000"/>
                <w:fitText w:val="123" w:id="-1500819443"/>
                <w14:textFill>
                  <w14:solidFill>
                    <w14:srgbClr w14:val="000000">
                      <w14:alpha w14:val="100000"/>
                    </w14:srgbClr>
                  </w14:solidFill>
                </w14:textFill>
              </w:rPr>
              <w:t xml:space="preserve">　</w:t>
            </w:r>
            <w:r w:rsidR="001A4C03">
              <w:rPr>
                <w:szCs w:val="20"/>
                <w:vertAlign w:val="superscript"/>
              </w:rPr>
              <w:t>4</w:t>
            </w:r>
          </w:p>
        </w:tc>
      </w:tr>
      <w:tr w:rsidR="00642E3D" w:rsidRPr="00995E4C" w14:paraId="3D0BF402" w14:textId="77777777" w:rsidTr="00D05AB0">
        <w:tc>
          <w:tcPr>
            <w:tcW w:w="1334" w:type="pct"/>
            <w:shd w:val="clear" w:color="auto" w:fill="auto"/>
          </w:tcPr>
          <w:p w14:paraId="22606E3D" w14:textId="75676957" w:rsidR="00642E3D" w:rsidRPr="00995E4C" w:rsidRDefault="00642E3D" w:rsidP="00040A62">
            <w:pPr>
              <w:pStyle w:val="TableText0"/>
              <w:rPr>
                <w:szCs w:val="20"/>
              </w:rPr>
            </w:pPr>
            <w:r w:rsidRPr="00995E4C">
              <w:rPr>
                <w:szCs w:val="20"/>
              </w:rPr>
              <w:t>Total net cost to RPBS</w:t>
            </w:r>
            <w:r w:rsidR="006959AD">
              <w:rPr>
                <w:szCs w:val="20"/>
              </w:rPr>
              <w:t xml:space="preserve"> $</w:t>
            </w:r>
          </w:p>
        </w:tc>
        <w:tc>
          <w:tcPr>
            <w:tcW w:w="521" w:type="pct"/>
            <w:shd w:val="clear" w:color="auto" w:fill="auto"/>
          </w:tcPr>
          <w:p w14:paraId="6871E071" w14:textId="3F39535F" w:rsidR="00642E3D" w:rsidRPr="001A4C03" w:rsidRDefault="00642E3D" w:rsidP="00040A62">
            <w:pPr>
              <w:pStyle w:val="TableText0"/>
              <w:jc w:val="center"/>
              <w:rPr>
                <w:szCs w:val="20"/>
                <w:vertAlign w:val="superscript"/>
              </w:rPr>
            </w:pPr>
            <w:r w:rsidRPr="006959AD">
              <w:rPr>
                <w:szCs w:val="20"/>
              </w:rPr>
              <w:t>-</w:t>
            </w:r>
            <w:r w:rsidR="00815F0B" w:rsidRPr="00815F0B">
              <w:rPr>
                <w:color w:val="000000"/>
                <w:spacing w:val="76"/>
                <w:szCs w:val="20"/>
                <w:shd w:val="solid" w:color="000000" w:fill="000000"/>
                <w:fitText w:val="162" w:id="-1500819442"/>
                <w14:textFill>
                  <w14:solidFill>
                    <w14:srgbClr w14:val="000000">
                      <w14:alpha w14:val="100000"/>
                    </w14:srgbClr>
                  </w14:solidFill>
                </w14:textFill>
              </w:rPr>
              <w:t>|</w:t>
            </w:r>
            <w:r w:rsidR="00815F0B" w:rsidRPr="00815F0B">
              <w:rPr>
                <w:color w:val="000000"/>
                <w:spacing w:val="1"/>
                <w:szCs w:val="20"/>
                <w:shd w:val="solid" w:color="000000" w:fill="000000"/>
                <w:fitText w:val="162" w:id="-1500819442"/>
                <w14:textFill>
                  <w14:solidFill>
                    <w14:srgbClr w14:val="000000">
                      <w14:alpha w14:val="100000"/>
                    </w14:srgbClr>
                  </w14:solidFill>
                </w14:textFill>
              </w:rPr>
              <w:t>|</w:t>
            </w:r>
            <w:r w:rsidR="001A4C03">
              <w:rPr>
                <w:szCs w:val="20"/>
                <w:vertAlign w:val="superscript"/>
              </w:rPr>
              <w:t>4</w:t>
            </w:r>
          </w:p>
        </w:tc>
        <w:tc>
          <w:tcPr>
            <w:tcW w:w="645" w:type="pct"/>
            <w:shd w:val="clear" w:color="auto" w:fill="auto"/>
          </w:tcPr>
          <w:p w14:paraId="73BC376C" w14:textId="4BF7FDC4" w:rsidR="00642E3D" w:rsidRPr="001A4C03" w:rsidRDefault="00642E3D" w:rsidP="00040A62">
            <w:pPr>
              <w:pStyle w:val="TableText0"/>
              <w:jc w:val="center"/>
              <w:rPr>
                <w:szCs w:val="20"/>
                <w:vertAlign w:val="superscript"/>
              </w:rPr>
            </w:pPr>
            <w:r w:rsidRPr="006959AD">
              <w:rPr>
                <w:szCs w:val="20"/>
              </w:rPr>
              <w:t>-</w:t>
            </w:r>
            <w:r w:rsidR="00815F0B" w:rsidRPr="00815F0B">
              <w:rPr>
                <w:rFonts w:hint="eastAsia"/>
                <w:color w:val="000000"/>
                <w:w w:val="15"/>
                <w:szCs w:val="20"/>
                <w:shd w:val="solid" w:color="000000" w:fill="000000"/>
                <w:fitText w:val="54" w:id="-1500819441"/>
                <w14:textFill>
                  <w14:solidFill>
                    <w14:srgbClr w14:val="000000">
                      <w14:alpha w14:val="100000"/>
                    </w14:srgbClr>
                  </w14:solidFill>
                </w14:textFill>
              </w:rPr>
              <w:t xml:space="preserve">　</w:t>
            </w:r>
            <w:r w:rsidR="00815F0B" w:rsidRPr="00815F0B">
              <w:rPr>
                <w:color w:val="000000"/>
                <w:w w:val="15"/>
                <w:szCs w:val="20"/>
                <w:shd w:val="solid" w:color="000000" w:fill="000000"/>
                <w:fitText w:val="54" w:id="-1500819441"/>
                <w14:textFill>
                  <w14:solidFill>
                    <w14:srgbClr w14:val="000000">
                      <w14:alpha w14:val="100000"/>
                    </w14:srgbClr>
                  </w14:solidFill>
                </w14:textFill>
              </w:rPr>
              <w:t>|</w:t>
            </w:r>
            <w:r w:rsidR="00815F0B" w:rsidRPr="00815F0B">
              <w:rPr>
                <w:rFonts w:hint="eastAsia"/>
                <w:color w:val="000000"/>
                <w:spacing w:val="-11"/>
                <w:w w:val="15"/>
                <w:szCs w:val="20"/>
                <w:shd w:val="solid" w:color="000000" w:fill="000000"/>
                <w:fitText w:val="54" w:id="-1500819441"/>
                <w14:textFill>
                  <w14:solidFill>
                    <w14:srgbClr w14:val="000000">
                      <w14:alpha w14:val="100000"/>
                    </w14:srgbClr>
                  </w14:solidFill>
                </w14:textFill>
              </w:rPr>
              <w:t xml:space="preserve">　</w:t>
            </w:r>
            <w:r w:rsidR="001A4C03">
              <w:rPr>
                <w:szCs w:val="20"/>
                <w:vertAlign w:val="superscript"/>
              </w:rPr>
              <w:t>4</w:t>
            </w:r>
          </w:p>
        </w:tc>
        <w:tc>
          <w:tcPr>
            <w:tcW w:w="645" w:type="pct"/>
            <w:shd w:val="clear" w:color="auto" w:fill="auto"/>
          </w:tcPr>
          <w:p w14:paraId="16A72B6A" w14:textId="4AFEF100" w:rsidR="00642E3D" w:rsidRPr="001A4C03" w:rsidRDefault="00642E3D" w:rsidP="00040A62">
            <w:pPr>
              <w:pStyle w:val="TableText0"/>
              <w:jc w:val="center"/>
              <w:rPr>
                <w:szCs w:val="20"/>
                <w:vertAlign w:val="superscript"/>
              </w:rPr>
            </w:pPr>
            <w:r w:rsidRPr="006959AD">
              <w:rPr>
                <w:szCs w:val="20"/>
              </w:rPr>
              <w:t>-</w:t>
            </w:r>
            <w:r w:rsidR="00815F0B" w:rsidRPr="00815F0B">
              <w:rPr>
                <w:rFonts w:hint="eastAsia"/>
                <w:color w:val="000000"/>
                <w:w w:val="15"/>
                <w:szCs w:val="20"/>
                <w:shd w:val="solid" w:color="000000" w:fill="000000"/>
                <w:fitText w:val="54" w:id="-1500819440"/>
                <w14:textFill>
                  <w14:solidFill>
                    <w14:srgbClr w14:val="000000">
                      <w14:alpha w14:val="100000"/>
                    </w14:srgbClr>
                  </w14:solidFill>
                </w14:textFill>
              </w:rPr>
              <w:t xml:space="preserve">　</w:t>
            </w:r>
            <w:r w:rsidR="00815F0B" w:rsidRPr="00815F0B">
              <w:rPr>
                <w:color w:val="000000"/>
                <w:w w:val="15"/>
                <w:szCs w:val="20"/>
                <w:shd w:val="solid" w:color="000000" w:fill="000000"/>
                <w:fitText w:val="54" w:id="-1500819440"/>
                <w14:textFill>
                  <w14:solidFill>
                    <w14:srgbClr w14:val="000000">
                      <w14:alpha w14:val="100000"/>
                    </w14:srgbClr>
                  </w14:solidFill>
                </w14:textFill>
              </w:rPr>
              <w:t>|</w:t>
            </w:r>
            <w:r w:rsidR="00815F0B" w:rsidRPr="00815F0B">
              <w:rPr>
                <w:rFonts w:hint="eastAsia"/>
                <w:color w:val="000000"/>
                <w:spacing w:val="-11"/>
                <w:w w:val="15"/>
                <w:szCs w:val="20"/>
                <w:shd w:val="solid" w:color="000000" w:fill="000000"/>
                <w:fitText w:val="54" w:id="-1500819440"/>
                <w14:textFill>
                  <w14:solidFill>
                    <w14:srgbClr w14:val="000000">
                      <w14:alpha w14:val="100000"/>
                    </w14:srgbClr>
                  </w14:solidFill>
                </w14:textFill>
              </w:rPr>
              <w:t xml:space="preserve">　</w:t>
            </w:r>
            <w:r w:rsidR="001A4C03">
              <w:rPr>
                <w:szCs w:val="20"/>
                <w:vertAlign w:val="superscript"/>
              </w:rPr>
              <w:t>4</w:t>
            </w:r>
          </w:p>
        </w:tc>
        <w:tc>
          <w:tcPr>
            <w:tcW w:w="645" w:type="pct"/>
            <w:shd w:val="clear" w:color="auto" w:fill="auto"/>
          </w:tcPr>
          <w:p w14:paraId="26393AAE" w14:textId="740C75C7" w:rsidR="00642E3D" w:rsidRPr="001A4C03" w:rsidRDefault="00642E3D" w:rsidP="00040A62">
            <w:pPr>
              <w:pStyle w:val="TableText0"/>
              <w:jc w:val="center"/>
              <w:rPr>
                <w:szCs w:val="20"/>
                <w:vertAlign w:val="superscript"/>
              </w:rPr>
            </w:pPr>
            <w:r w:rsidRPr="006959AD">
              <w:rPr>
                <w:szCs w:val="20"/>
              </w:rPr>
              <w:t>-</w:t>
            </w:r>
            <w:r w:rsidR="00815F0B" w:rsidRPr="00815F0B">
              <w:rPr>
                <w:rFonts w:hint="eastAsia"/>
                <w:color w:val="000000"/>
                <w:w w:val="15"/>
                <w:szCs w:val="20"/>
                <w:shd w:val="solid" w:color="000000" w:fill="000000"/>
                <w:fitText w:val="54" w:id="-1500819456"/>
                <w14:textFill>
                  <w14:solidFill>
                    <w14:srgbClr w14:val="000000">
                      <w14:alpha w14:val="100000"/>
                    </w14:srgbClr>
                  </w14:solidFill>
                </w14:textFill>
              </w:rPr>
              <w:t xml:space="preserve">　</w:t>
            </w:r>
            <w:r w:rsidR="00815F0B" w:rsidRPr="00815F0B">
              <w:rPr>
                <w:color w:val="000000"/>
                <w:w w:val="15"/>
                <w:szCs w:val="20"/>
                <w:shd w:val="solid" w:color="000000" w:fill="000000"/>
                <w:fitText w:val="54" w:id="-1500819456"/>
                <w14:textFill>
                  <w14:solidFill>
                    <w14:srgbClr w14:val="000000">
                      <w14:alpha w14:val="100000"/>
                    </w14:srgbClr>
                  </w14:solidFill>
                </w14:textFill>
              </w:rPr>
              <w:t>|</w:t>
            </w:r>
            <w:r w:rsidR="00815F0B" w:rsidRPr="00815F0B">
              <w:rPr>
                <w:rFonts w:hint="eastAsia"/>
                <w:color w:val="000000"/>
                <w:spacing w:val="-11"/>
                <w:w w:val="15"/>
                <w:szCs w:val="20"/>
                <w:shd w:val="solid" w:color="000000" w:fill="000000"/>
                <w:fitText w:val="54" w:id="-1500819456"/>
                <w14:textFill>
                  <w14:solidFill>
                    <w14:srgbClr w14:val="000000">
                      <w14:alpha w14:val="100000"/>
                    </w14:srgbClr>
                  </w14:solidFill>
                </w14:textFill>
              </w:rPr>
              <w:t xml:space="preserve">　</w:t>
            </w:r>
            <w:r w:rsidR="001A4C03">
              <w:rPr>
                <w:szCs w:val="20"/>
                <w:vertAlign w:val="superscript"/>
              </w:rPr>
              <w:t>4</w:t>
            </w:r>
          </w:p>
        </w:tc>
        <w:tc>
          <w:tcPr>
            <w:tcW w:w="645" w:type="pct"/>
            <w:shd w:val="clear" w:color="auto" w:fill="auto"/>
          </w:tcPr>
          <w:p w14:paraId="7C8CEF63" w14:textId="6DAF830D" w:rsidR="00642E3D" w:rsidRPr="001A4C03" w:rsidRDefault="00642E3D" w:rsidP="00040A62">
            <w:pPr>
              <w:pStyle w:val="TableText0"/>
              <w:jc w:val="center"/>
              <w:rPr>
                <w:szCs w:val="20"/>
                <w:vertAlign w:val="superscript"/>
              </w:rPr>
            </w:pPr>
            <w:r w:rsidRPr="006959AD">
              <w:rPr>
                <w:szCs w:val="20"/>
              </w:rPr>
              <w:t>-</w:t>
            </w:r>
            <w:r w:rsidR="00815F0B" w:rsidRPr="00815F0B">
              <w:rPr>
                <w:rFonts w:hint="eastAsia"/>
                <w:color w:val="000000"/>
                <w:w w:val="15"/>
                <w:szCs w:val="20"/>
                <w:shd w:val="solid" w:color="000000" w:fill="000000"/>
                <w:fitText w:val="54" w:id="-1500819455"/>
                <w14:textFill>
                  <w14:solidFill>
                    <w14:srgbClr w14:val="000000">
                      <w14:alpha w14:val="100000"/>
                    </w14:srgbClr>
                  </w14:solidFill>
                </w14:textFill>
              </w:rPr>
              <w:t xml:space="preserve">　</w:t>
            </w:r>
            <w:r w:rsidR="00815F0B" w:rsidRPr="00815F0B">
              <w:rPr>
                <w:color w:val="000000"/>
                <w:w w:val="15"/>
                <w:szCs w:val="20"/>
                <w:shd w:val="solid" w:color="000000" w:fill="000000"/>
                <w:fitText w:val="54" w:id="-1500819455"/>
                <w14:textFill>
                  <w14:solidFill>
                    <w14:srgbClr w14:val="000000">
                      <w14:alpha w14:val="100000"/>
                    </w14:srgbClr>
                  </w14:solidFill>
                </w14:textFill>
              </w:rPr>
              <w:t>|</w:t>
            </w:r>
            <w:r w:rsidR="00815F0B" w:rsidRPr="00815F0B">
              <w:rPr>
                <w:rFonts w:hint="eastAsia"/>
                <w:color w:val="000000"/>
                <w:spacing w:val="-11"/>
                <w:w w:val="15"/>
                <w:szCs w:val="20"/>
                <w:shd w:val="solid" w:color="000000" w:fill="000000"/>
                <w:fitText w:val="54" w:id="-1500819455"/>
                <w14:textFill>
                  <w14:solidFill>
                    <w14:srgbClr w14:val="000000">
                      <w14:alpha w14:val="100000"/>
                    </w14:srgbClr>
                  </w14:solidFill>
                </w14:textFill>
              </w:rPr>
              <w:t xml:space="preserve">　</w:t>
            </w:r>
            <w:r w:rsidR="001A4C03">
              <w:rPr>
                <w:szCs w:val="20"/>
                <w:vertAlign w:val="superscript"/>
              </w:rPr>
              <w:t>4</w:t>
            </w:r>
          </w:p>
        </w:tc>
        <w:tc>
          <w:tcPr>
            <w:tcW w:w="566" w:type="pct"/>
            <w:shd w:val="clear" w:color="auto" w:fill="auto"/>
          </w:tcPr>
          <w:p w14:paraId="45C8A26C" w14:textId="44339B17" w:rsidR="00642E3D" w:rsidRPr="001A4C03" w:rsidRDefault="00642E3D" w:rsidP="00040A62">
            <w:pPr>
              <w:pStyle w:val="TableText0"/>
              <w:jc w:val="center"/>
              <w:rPr>
                <w:szCs w:val="20"/>
                <w:vertAlign w:val="superscript"/>
              </w:rPr>
            </w:pPr>
            <w:r w:rsidRPr="006959AD">
              <w:rPr>
                <w:szCs w:val="20"/>
              </w:rPr>
              <w:t>-</w:t>
            </w:r>
            <w:r w:rsidR="00815F0B" w:rsidRPr="00815F0B">
              <w:rPr>
                <w:rFonts w:hint="eastAsia"/>
                <w:color w:val="000000"/>
                <w:w w:val="27"/>
                <w:szCs w:val="20"/>
                <w:shd w:val="solid" w:color="000000" w:fill="000000"/>
                <w:fitText w:val="123" w:id="-1500819454"/>
                <w14:textFill>
                  <w14:solidFill>
                    <w14:srgbClr w14:val="000000">
                      <w14:alpha w14:val="100000"/>
                    </w14:srgbClr>
                  </w14:solidFill>
                </w14:textFill>
              </w:rPr>
              <w:t xml:space="preserve">　</w:t>
            </w:r>
            <w:r w:rsidR="00815F0B" w:rsidRPr="00815F0B">
              <w:rPr>
                <w:color w:val="000000"/>
                <w:w w:val="27"/>
                <w:szCs w:val="20"/>
                <w:shd w:val="solid" w:color="000000" w:fill="000000"/>
                <w:fitText w:val="123" w:id="-1500819454"/>
                <w14:textFill>
                  <w14:solidFill>
                    <w14:srgbClr w14:val="000000">
                      <w14:alpha w14:val="100000"/>
                    </w14:srgbClr>
                  </w14:solidFill>
                </w14:textFill>
              </w:rPr>
              <w:t>|</w:t>
            </w:r>
            <w:r w:rsidR="00815F0B" w:rsidRPr="00815F0B">
              <w:rPr>
                <w:rFonts w:hint="eastAsia"/>
                <w:color w:val="000000"/>
                <w:spacing w:val="5"/>
                <w:w w:val="27"/>
                <w:szCs w:val="20"/>
                <w:shd w:val="solid" w:color="000000" w:fill="000000"/>
                <w:fitText w:val="123" w:id="-1500819454"/>
                <w14:textFill>
                  <w14:solidFill>
                    <w14:srgbClr w14:val="000000">
                      <w14:alpha w14:val="100000"/>
                    </w14:srgbClr>
                  </w14:solidFill>
                </w14:textFill>
              </w:rPr>
              <w:t xml:space="preserve">　</w:t>
            </w:r>
            <w:r w:rsidR="001A4C03">
              <w:rPr>
                <w:szCs w:val="20"/>
                <w:vertAlign w:val="superscript"/>
              </w:rPr>
              <w:t>4</w:t>
            </w:r>
          </w:p>
        </w:tc>
      </w:tr>
      <w:tr w:rsidR="00642E3D" w:rsidRPr="00995E4C" w14:paraId="1ABA79AF" w14:textId="77777777" w:rsidTr="00D05AB0">
        <w:tc>
          <w:tcPr>
            <w:tcW w:w="1334" w:type="pct"/>
            <w:shd w:val="clear" w:color="auto" w:fill="auto"/>
            <w:vAlign w:val="center"/>
          </w:tcPr>
          <w:p w14:paraId="0E9CC45A" w14:textId="2FDE3F3D" w:rsidR="00642E3D" w:rsidRPr="00995E4C" w:rsidRDefault="00642E3D" w:rsidP="00040A62">
            <w:pPr>
              <w:pStyle w:val="TableText0"/>
              <w:rPr>
                <w:b/>
                <w:szCs w:val="20"/>
              </w:rPr>
            </w:pPr>
            <w:r w:rsidRPr="00995E4C">
              <w:rPr>
                <w:b/>
                <w:szCs w:val="20"/>
              </w:rPr>
              <w:t>Total net cost to PBS/RPBS</w:t>
            </w:r>
            <w:r w:rsidR="006959AD">
              <w:rPr>
                <w:b/>
                <w:szCs w:val="20"/>
              </w:rPr>
              <w:t xml:space="preserve"> $</w:t>
            </w:r>
          </w:p>
        </w:tc>
        <w:tc>
          <w:tcPr>
            <w:tcW w:w="521" w:type="pct"/>
            <w:shd w:val="clear" w:color="auto" w:fill="auto"/>
          </w:tcPr>
          <w:p w14:paraId="2F255915" w14:textId="01D5A35E" w:rsidR="00642E3D" w:rsidRPr="001A4C03" w:rsidRDefault="00642E3D" w:rsidP="00040A62">
            <w:pPr>
              <w:pStyle w:val="TableText0"/>
              <w:jc w:val="center"/>
              <w:rPr>
                <w:b/>
                <w:szCs w:val="20"/>
                <w:vertAlign w:val="superscript"/>
              </w:rPr>
            </w:pPr>
            <w:r w:rsidRPr="006959AD">
              <w:rPr>
                <w:b/>
                <w:szCs w:val="20"/>
              </w:rPr>
              <w:t>-</w:t>
            </w:r>
            <w:r w:rsidR="00815F0B" w:rsidRPr="00815F0B">
              <w:rPr>
                <w:b/>
                <w:color w:val="000000"/>
                <w:spacing w:val="116"/>
                <w:szCs w:val="20"/>
                <w:shd w:val="solid" w:color="000000" w:fill="000000"/>
                <w:fitText w:val="208" w:id="-1500819453"/>
                <w14:textFill>
                  <w14:solidFill>
                    <w14:srgbClr w14:val="000000">
                      <w14:alpha w14:val="100000"/>
                    </w14:srgbClr>
                  </w14:solidFill>
                </w14:textFill>
              </w:rPr>
              <w:t>|</w:t>
            </w:r>
            <w:r w:rsidR="00815F0B" w:rsidRPr="00815F0B">
              <w:rPr>
                <w:b/>
                <w:color w:val="000000"/>
                <w:spacing w:val="1"/>
                <w:szCs w:val="20"/>
                <w:shd w:val="solid" w:color="000000" w:fill="000000"/>
                <w:fitText w:val="208" w:id="-1500819453"/>
                <w14:textFill>
                  <w14:solidFill>
                    <w14:srgbClr w14:val="000000">
                      <w14:alpha w14:val="100000"/>
                    </w14:srgbClr>
                  </w14:solidFill>
                </w14:textFill>
              </w:rPr>
              <w:t>|</w:t>
            </w:r>
            <w:r w:rsidR="001A4C03">
              <w:rPr>
                <w:b/>
                <w:szCs w:val="20"/>
                <w:vertAlign w:val="superscript"/>
              </w:rPr>
              <w:t>4</w:t>
            </w:r>
          </w:p>
        </w:tc>
        <w:tc>
          <w:tcPr>
            <w:tcW w:w="645" w:type="pct"/>
            <w:shd w:val="clear" w:color="auto" w:fill="auto"/>
          </w:tcPr>
          <w:p w14:paraId="46D750CC" w14:textId="6143FC58" w:rsidR="00642E3D" w:rsidRPr="001A4C03" w:rsidRDefault="00642E3D" w:rsidP="00040A62">
            <w:pPr>
              <w:pStyle w:val="TableText0"/>
              <w:jc w:val="center"/>
              <w:rPr>
                <w:b/>
                <w:szCs w:val="20"/>
                <w:vertAlign w:val="superscript"/>
              </w:rPr>
            </w:pPr>
            <w:r w:rsidRPr="006959AD">
              <w:rPr>
                <w:b/>
                <w:szCs w:val="20"/>
              </w:rPr>
              <w:t>-</w:t>
            </w:r>
            <w:r w:rsidR="00815F0B" w:rsidRPr="00815F0B">
              <w:rPr>
                <w:rFonts w:hint="eastAsia"/>
                <w:b/>
                <w:color w:val="000000"/>
                <w:w w:val="20"/>
                <w:szCs w:val="20"/>
                <w:shd w:val="solid" w:color="000000" w:fill="000000"/>
                <w:fitText w:val="92" w:id="-1500819452"/>
                <w14:textFill>
                  <w14:solidFill>
                    <w14:srgbClr w14:val="000000">
                      <w14:alpha w14:val="100000"/>
                    </w14:srgbClr>
                  </w14:solidFill>
                </w14:textFill>
              </w:rPr>
              <w:t xml:space="preserve">　</w:t>
            </w:r>
            <w:r w:rsidR="00815F0B" w:rsidRPr="00815F0B">
              <w:rPr>
                <w:b/>
                <w:color w:val="000000"/>
                <w:w w:val="20"/>
                <w:szCs w:val="20"/>
                <w:shd w:val="solid" w:color="000000" w:fill="000000"/>
                <w:fitText w:val="92" w:id="-1500819452"/>
                <w14:textFill>
                  <w14:solidFill>
                    <w14:srgbClr w14:val="000000">
                      <w14:alpha w14:val="100000"/>
                    </w14:srgbClr>
                  </w14:solidFill>
                </w14:textFill>
              </w:rPr>
              <w:t>|</w:t>
            </w:r>
            <w:r w:rsidR="00815F0B" w:rsidRPr="00815F0B">
              <w:rPr>
                <w:rFonts w:hint="eastAsia"/>
                <w:b/>
                <w:color w:val="000000"/>
                <w:spacing w:val="4"/>
                <w:w w:val="20"/>
                <w:szCs w:val="20"/>
                <w:shd w:val="solid" w:color="000000" w:fill="000000"/>
                <w:fitText w:val="92" w:id="-1500819452"/>
                <w14:textFill>
                  <w14:solidFill>
                    <w14:srgbClr w14:val="000000">
                      <w14:alpha w14:val="100000"/>
                    </w14:srgbClr>
                  </w14:solidFill>
                </w14:textFill>
              </w:rPr>
              <w:t xml:space="preserve">　</w:t>
            </w:r>
            <w:r w:rsidR="001A4C03">
              <w:rPr>
                <w:b/>
                <w:szCs w:val="20"/>
                <w:vertAlign w:val="superscript"/>
              </w:rPr>
              <w:t>4</w:t>
            </w:r>
          </w:p>
        </w:tc>
        <w:tc>
          <w:tcPr>
            <w:tcW w:w="645" w:type="pct"/>
            <w:shd w:val="clear" w:color="auto" w:fill="auto"/>
          </w:tcPr>
          <w:p w14:paraId="4D43779A" w14:textId="6020DFC8" w:rsidR="00642E3D" w:rsidRPr="001A4C03" w:rsidRDefault="00642E3D" w:rsidP="00040A62">
            <w:pPr>
              <w:pStyle w:val="TableText0"/>
              <w:jc w:val="center"/>
              <w:rPr>
                <w:b/>
                <w:szCs w:val="20"/>
                <w:vertAlign w:val="superscript"/>
              </w:rPr>
            </w:pPr>
            <w:r w:rsidRPr="00323394">
              <w:rPr>
                <w:b/>
                <w:szCs w:val="20"/>
              </w:rPr>
              <w:t>-</w:t>
            </w:r>
            <w:r w:rsidR="00815F0B" w:rsidRPr="00815F0B">
              <w:rPr>
                <w:rFonts w:hint="eastAsia"/>
                <w:b/>
                <w:color w:val="000000"/>
                <w:w w:val="20"/>
                <w:szCs w:val="20"/>
                <w:shd w:val="solid" w:color="000000" w:fill="000000"/>
                <w:fitText w:val="92" w:id="-1500819451"/>
                <w14:textFill>
                  <w14:solidFill>
                    <w14:srgbClr w14:val="000000">
                      <w14:alpha w14:val="100000"/>
                    </w14:srgbClr>
                  </w14:solidFill>
                </w14:textFill>
              </w:rPr>
              <w:t xml:space="preserve">　</w:t>
            </w:r>
            <w:r w:rsidR="00815F0B" w:rsidRPr="00815F0B">
              <w:rPr>
                <w:b/>
                <w:color w:val="000000"/>
                <w:w w:val="20"/>
                <w:szCs w:val="20"/>
                <w:shd w:val="solid" w:color="000000" w:fill="000000"/>
                <w:fitText w:val="92" w:id="-1500819451"/>
                <w14:textFill>
                  <w14:solidFill>
                    <w14:srgbClr w14:val="000000">
                      <w14:alpha w14:val="100000"/>
                    </w14:srgbClr>
                  </w14:solidFill>
                </w14:textFill>
              </w:rPr>
              <w:t>|</w:t>
            </w:r>
            <w:r w:rsidR="00815F0B" w:rsidRPr="00815F0B">
              <w:rPr>
                <w:rFonts w:hint="eastAsia"/>
                <w:b/>
                <w:color w:val="000000"/>
                <w:spacing w:val="4"/>
                <w:w w:val="20"/>
                <w:szCs w:val="20"/>
                <w:shd w:val="solid" w:color="000000" w:fill="000000"/>
                <w:fitText w:val="92" w:id="-1500819451"/>
                <w14:textFill>
                  <w14:solidFill>
                    <w14:srgbClr w14:val="000000">
                      <w14:alpha w14:val="100000"/>
                    </w14:srgbClr>
                  </w14:solidFill>
                </w14:textFill>
              </w:rPr>
              <w:t xml:space="preserve">　</w:t>
            </w:r>
            <w:r w:rsidR="001A4C03">
              <w:rPr>
                <w:b/>
                <w:szCs w:val="20"/>
                <w:vertAlign w:val="superscript"/>
              </w:rPr>
              <w:t>4</w:t>
            </w:r>
          </w:p>
        </w:tc>
        <w:tc>
          <w:tcPr>
            <w:tcW w:w="645" w:type="pct"/>
            <w:shd w:val="clear" w:color="auto" w:fill="auto"/>
          </w:tcPr>
          <w:p w14:paraId="30503274" w14:textId="418B46F1" w:rsidR="00642E3D" w:rsidRPr="001A4C03" w:rsidRDefault="00642E3D" w:rsidP="00040A62">
            <w:pPr>
              <w:pStyle w:val="TableText0"/>
              <w:jc w:val="center"/>
              <w:rPr>
                <w:b/>
                <w:szCs w:val="20"/>
                <w:vertAlign w:val="superscript"/>
              </w:rPr>
            </w:pPr>
            <w:r w:rsidRPr="00323394">
              <w:rPr>
                <w:b/>
                <w:szCs w:val="20"/>
              </w:rPr>
              <w:t>-</w:t>
            </w:r>
            <w:r w:rsidR="00815F0B" w:rsidRPr="00815F0B">
              <w:rPr>
                <w:rFonts w:hint="eastAsia"/>
                <w:b/>
                <w:color w:val="000000"/>
                <w:w w:val="20"/>
                <w:szCs w:val="20"/>
                <w:shd w:val="solid" w:color="000000" w:fill="000000"/>
                <w:fitText w:val="93" w:id="-1500819450"/>
                <w14:textFill>
                  <w14:solidFill>
                    <w14:srgbClr w14:val="000000">
                      <w14:alpha w14:val="100000"/>
                    </w14:srgbClr>
                  </w14:solidFill>
                </w14:textFill>
              </w:rPr>
              <w:t xml:space="preserve">　</w:t>
            </w:r>
            <w:r w:rsidR="00815F0B" w:rsidRPr="00815F0B">
              <w:rPr>
                <w:b/>
                <w:color w:val="000000"/>
                <w:w w:val="20"/>
                <w:szCs w:val="20"/>
                <w:shd w:val="solid" w:color="000000" w:fill="000000"/>
                <w:fitText w:val="93" w:id="-1500819450"/>
                <w14:textFill>
                  <w14:solidFill>
                    <w14:srgbClr w14:val="000000">
                      <w14:alpha w14:val="100000"/>
                    </w14:srgbClr>
                  </w14:solidFill>
                </w14:textFill>
              </w:rPr>
              <w:t>|</w:t>
            </w:r>
            <w:r w:rsidR="00815F0B" w:rsidRPr="00815F0B">
              <w:rPr>
                <w:rFonts w:hint="eastAsia"/>
                <w:b/>
                <w:color w:val="000000"/>
                <w:spacing w:val="5"/>
                <w:w w:val="20"/>
                <w:szCs w:val="20"/>
                <w:shd w:val="solid" w:color="000000" w:fill="000000"/>
                <w:fitText w:val="93" w:id="-1500819450"/>
                <w14:textFill>
                  <w14:solidFill>
                    <w14:srgbClr w14:val="000000">
                      <w14:alpha w14:val="100000"/>
                    </w14:srgbClr>
                  </w14:solidFill>
                </w14:textFill>
              </w:rPr>
              <w:t xml:space="preserve">　</w:t>
            </w:r>
            <w:r w:rsidR="001A4C03">
              <w:rPr>
                <w:b/>
                <w:szCs w:val="20"/>
                <w:vertAlign w:val="superscript"/>
              </w:rPr>
              <w:t>4</w:t>
            </w:r>
          </w:p>
        </w:tc>
        <w:tc>
          <w:tcPr>
            <w:tcW w:w="645" w:type="pct"/>
            <w:shd w:val="clear" w:color="auto" w:fill="auto"/>
          </w:tcPr>
          <w:p w14:paraId="0FAC4803" w14:textId="4985B961" w:rsidR="00642E3D" w:rsidRPr="001A4C03" w:rsidRDefault="00642E3D" w:rsidP="00040A62">
            <w:pPr>
              <w:pStyle w:val="TableText0"/>
              <w:jc w:val="center"/>
              <w:rPr>
                <w:b/>
                <w:szCs w:val="20"/>
                <w:vertAlign w:val="superscript"/>
              </w:rPr>
            </w:pPr>
            <w:r w:rsidRPr="00323394">
              <w:rPr>
                <w:b/>
                <w:szCs w:val="20"/>
              </w:rPr>
              <w:t>-</w:t>
            </w:r>
            <w:r w:rsidR="00815F0B" w:rsidRPr="00815F0B">
              <w:rPr>
                <w:rFonts w:hint="eastAsia"/>
                <w:b/>
                <w:color w:val="000000"/>
                <w:w w:val="20"/>
                <w:szCs w:val="20"/>
                <w:shd w:val="solid" w:color="000000" w:fill="000000"/>
                <w:fitText w:val="93" w:id="-1500819449"/>
                <w14:textFill>
                  <w14:solidFill>
                    <w14:srgbClr w14:val="000000">
                      <w14:alpha w14:val="100000"/>
                    </w14:srgbClr>
                  </w14:solidFill>
                </w14:textFill>
              </w:rPr>
              <w:t xml:space="preserve">　</w:t>
            </w:r>
            <w:r w:rsidR="00815F0B" w:rsidRPr="00815F0B">
              <w:rPr>
                <w:b/>
                <w:color w:val="000000"/>
                <w:w w:val="20"/>
                <w:szCs w:val="20"/>
                <w:shd w:val="solid" w:color="000000" w:fill="000000"/>
                <w:fitText w:val="93" w:id="-1500819449"/>
                <w14:textFill>
                  <w14:solidFill>
                    <w14:srgbClr w14:val="000000">
                      <w14:alpha w14:val="100000"/>
                    </w14:srgbClr>
                  </w14:solidFill>
                </w14:textFill>
              </w:rPr>
              <w:t>|</w:t>
            </w:r>
            <w:r w:rsidR="00815F0B" w:rsidRPr="00815F0B">
              <w:rPr>
                <w:rFonts w:hint="eastAsia"/>
                <w:b/>
                <w:color w:val="000000"/>
                <w:spacing w:val="5"/>
                <w:w w:val="20"/>
                <w:szCs w:val="20"/>
                <w:shd w:val="solid" w:color="000000" w:fill="000000"/>
                <w:fitText w:val="93" w:id="-1500819449"/>
                <w14:textFill>
                  <w14:solidFill>
                    <w14:srgbClr w14:val="000000">
                      <w14:alpha w14:val="100000"/>
                    </w14:srgbClr>
                  </w14:solidFill>
                </w14:textFill>
              </w:rPr>
              <w:t xml:space="preserve">　</w:t>
            </w:r>
            <w:r w:rsidR="001A4C03">
              <w:rPr>
                <w:b/>
                <w:szCs w:val="20"/>
                <w:vertAlign w:val="superscript"/>
              </w:rPr>
              <w:t>4</w:t>
            </w:r>
          </w:p>
        </w:tc>
        <w:tc>
          <w:tcPr>
            <w:tcW w:w="566" w:type="pct"/>
            <w:shd w:val="clear" w:color="auto" w:fill="auto"/>
          </w:tcPr>
          <w:p w14:paraId="5F535396" w14:textId="01AFEAE3" w:rsidR="00642E3D" w:rsidRPr="001A4C03" w:rsidRDefault="00642E3D" w:rsidP="00040A62">
            <w:pPr>
              <w:pStyle w:val="TableText0"/>
              <w:jc w:val="center"/>
              <w:rPr>
                <w:b/>
                <w:szCs w:val="20"/>
                <w:vertAlign w:val="superscript"/>
              </w:rPr>
            </w:pPr>
            <w:r w:rsidRPr="006959AD">
              <w:rPr>
                <w:b/>
                <w:szCs w:val="20"/>
              </w:rPr>
              <w:t>-</w:t>
            </w:r>
            <w:r w:rsidR="00815F0B" w:rsidRPr="00815F0B">
              <w:rPr>
                <w:b/>
                <w:color w:val="000000"/>
                <w:spacing w:val="77"/>
                <w:szCs w:val="20"/>
                <w:shd w:val="solid" w:color="000000" w:fill="000000"/>
                <w:fitText w:val="169" w:id="-1500819448"/>
                <w14:textFill>
                  <w14:solidFill>
                    <w14:srgbClr w14:val="000000">
                      <w14:alpha w14:val="100000"/>
                    </w14:srgbClr>
                  </w14:solidFill>
                </w14:textFill>
              </w:rPr>
              <w:t>|</w:t>
            </w:r>
            <w:r w:rsidR="00815F0B" w:rsidRPr="00815F0B">
              <w:rPr>
                <w:b/>
                <w:color w:val="000000"/>
                <w:szCs w:val="20"/>
                <w:shd w:val="solid" w:color="000000" w:fill="000000"/>
                <w:fitText w:val="169" w:id="-1500819448"/>
                <w14:textFill>
                  <w14:solidFill>
                    <w14:srgbClr w14:val="000000">
                      <w14:alpha w14:val="100000"/>
                    </w14:srgbClr>
                  </w14:solidFill>
                </w14:textFill>
              </w:rPr>
              <w:t>|</w:t>
            </w:r>
            <w:r w:rsidR="001A4C03">
              <w:rPr>
                <w:b/>
                <w:szCs w:val="20"/>
                <w:vertAlign w:val="superscript"/>
              </w:rPr>
              <w:t>4</w:t>
            </w:r>
          </w:p>
        </w:tc>
      </w:tr>
    </w:tbl>
    <w:p w14:paraId="7EDB0064" w14:textId="77777777" w:rsidR="00642E3D" w:rsidRPr="00995E4C" w:rsidRDefault="00642E3D" w:rsidP="00642E3D">
      <w:pPr>
        <w:pStyle w:val="TableFigureFooter"/>
      </w:pPr>
      <w:r w:rsidRPr="00995E4C">
        <w:t xml:space="preserve">DMF, dimethyl fumarate; PBS, Pharmaceutical Benefit Scheme; RBPS, Repatriation Pharmaceutical Benefits Scheme; </w:t>
      </w:r>
      <w:proofErr w:type="gramStart"/>
      <w:r w:rsidRPr="00995E4C">
        <w:t>eff</w:t>
      </w:r>
      <w:proofErr w:type="gramEnd"/>
      <w:r w:rsidRPr="00995E4C">
        <w:t>, effective</w:t>
      </w:r>
    </w:p>
    <w:p w14:paraId="32AB0A05" w14:textId="77777777" w:rsidR="00642E3D" w:rsidRPr="00995E4C" w:rsidRDefault="00642E3D" w:rsidP="00642E3D">
      <w:pPr>
        <w:pStyle w:val="TableFigureFooter"/>
      </w:pPr>
      <w:r w:rsidRPr="00995E4C">
        <w:t xml:space="preserve">Prescription numbers and costs using only the corrected initial script substitution rates for 120 mg strength (0.31) are presented. Total prescription numbers differ to those presented in the ESC </w:t>
      </w:r>
      <w:r>
        <w:t>Advice</w:t>
      </w:r>
      <w:r w:rsidRPr="00995E4C">
        <w:t xml:space="preserve"> Table 10 by 1 script for Year 2 – 6 (presumably due to rounding). The difference is negligible </w:t>
      </w:r>
      <w:r>
        <w:t>on the cost savings.</w:t>
      </w:r>
    </w:p>
    <w:p w14:paraId="66AC27DF" w14:textId="77777777" w:rsidR="00642E3D" w:rsidRPr="00995E4C" w:rsidRDefault="00642E3D" w:rsidP="00642E3D">
      <w:pPr>
        <w:pStyle w:val="TableFigureFooter"/>
        <w:spacing w:after="0"/>
      </w:pPr>
      <w:r w:rsidRPr="00995E4C">
        <w:t>Source: Attachment 9 Utilisation and cost workbook v4.0 (February 2022)</w:t>
      </w:r>
    </w:p>
    <w:p w14:paraId="5820D61D" w14:textId="77777777" w:rsidR="00D05AB0" w:rsidRPr="00F7678D" w:rsidRDefault="00D05AB0" w:rsidP="00F7678D">
      <w:pPr>
        <w:rPr>
          <w:rFonts w:ascii="Arial Narrow" w:hAnsi="Arial Narrow"/>
          <w:i/>
          <w:sz w:val="18"/>
          <w:szCs w:val="18"/>
        </w:rPr>
      </w:pPr>
      <w:bookmarkStart w:id="34" w:name="_Hlk102748847"/>
      <w:bookmarkStart w:id="35" w:name="_Hlk103087914"/>
      <w:r w:rsidRPr="00F7678D">
        <w:rPr>
          <w:rFonts w:ascii="Arial Narrow" w:hAnsi="Arial Narrow"/>
          <w:i/>
          <w:sz w:val="18"/>
          <w:szCs w:val="18"/>
        </w:rPr>
        <w:t xml:space="preserve">The redacted values correspond to the following ranges: </w:t>
      </w:r>
    </w:p>
    <w:bookmarkEnd w:id="34"/>
    <w:p w14:paraId="7EC2F458" w14:textId="4D6F0FAF" w:rsidR="00D05AB0" w:rsidRPr="00F7678D" w:rsidRDefault="00D05AB0" w:rsidP="00F7678D">
      <w:pPr>
        <w:rPr>
          <w:rFonts w:ascii="Arial Narrow" w:hAnsi="Arial Narrow"/>
          <w:i/>
          <w:sz w:val="18"/>
          <w:szCs w:val="18"/>
        </w:rPr>
      </w:pPr>
      <w:r w:rsidRPr="00F7678D">
        <w:rPr>
          <w:rFonts w:ascii="Arial Narrow" w:hAnsi="Arial Narrow"/>
          <w:i/>
          <w:sz w:val="18"/>
          <w:szCs w:val="18"/>
          <w:vertAlign w:val="superscript"/>
        </w:rPr>
        <w:t>1</w:t>
      </w:r>
      <w:r w:rsidRPr="00F7678D">
        <w:rPr>
          <w:rFonts w:ascii="Arial Narrow" w:hAnsi="Arial Narrow"/>
          <w:i/>
          <w:sz w:val="18"/>
          <w:szCs w:val="18"/>
        </w:rPr>
        <w:t xml:space="preserve"> &lt; 500</w:t>
      </w:r>
    </w:p>
    <w:p w14:paraId="1824BDB2" w14:textId="72F66771" w:rsidR="00D05AB0" w:rsidRPr="00F7678D" w:rsidRDefault="00D05AB0" w:rsidP="00F7678D">
      <w:pPr>
        <w:rPr>
          <w:rFonts w:ascii="Arial Narrow" w:hAnsi="Arial Narrow"/>
          <w:i/>
          <w:sz w:val="18"/>
          <w:szCs w:val="18"/>
        </w:rPr>
      </w:pPr>
      <w:r w:rsidRPr="00F7678D">
        <w:rPr>
          <w:rFonts w:ascii="Arial Narrow" w:hAnsi="Arial Narrow"/>
          <w:i/>
          <w:sz w:val="18"/>
          <w:szCs w:val="18"/>
          <w:vertAlign w:val="superscript"/>
        </w:rPr>
        <w:t>2</w:t>
      </w:r>
      <w:r w:rsidRPr="00F7678D">
        <w:rPr>
          <w:rFonts w:ascii="Arial Narrow" w:hAnsi="Arial Narrow"/>
          <w:i/>
          <w:sz w:val="18"/>
          <w:szCs w:val="18"/>
        </w:rPr>
        <w:t xml:space="preserve"> 500 &lt; 5,000</w:t>
      </w:r>
    </w:p>
    <w:p w14:paraId="6BE83EC5" w14:textId="77777777" w:rsidR="00F7678D" w:rsidRPr="00F7678D" w:rsidRDefault="00E65EEA" w:rsidP="00F7678D">
      <w:pPr>
        <w:rPr>
          <w:rFonts w:ascii="Arial Narrow" w:hAnsi="Arial Narrow"/>
          <w:i/>
          <w:sz w:val="18"/>
          <w:szCs w:val="18"/>
        </w:rPr>
      </w:pPr>
      <w:r w:rsidRPr="00F7678D">
        <w:rPr>
          <w:rFonts w:ascii="Arial Narrow" w:hAnsi="Arial Narrow"/>
          <w:i/>
          <w:sz w:val="18"/>
          <w:szCs w:val="18"/>
          <w:vertAlign w:val="superscript"/>
        </w:rPr>
        <w:t xml:space="preserve">3 </w:t>
      </w:r>
      <w:r w:rsidRPr="00F7678D">
        <w:rPr>
          <w:rFonts w:ascii="Arial Narrow" w:hAnsi="Arial Narrow"/>
          <w:i/>
          <w:sz w:val="18"/>
          <w:szCs w:val="18"/>
        </w:rPr>
        <w:t>5,000 to &lt; 10,000</w:t>
      </w:r>
    </w:p>
    <w:p w14:paraId="613173E5" w14:textId="4DB38544" w:rsidR="00ED5D67" w:rsidRPr="00AB30F9" w:rsidRDefault="00E65EEA" w:rsidP="00D05AB0">
      <w:pPr>
        <w:rPr>
          <w:rFonts w:ascii="Arial Narrow" w:hAnsi="Arial Narrow"/>
          <w:i/>
          <w:sz w:val="18"/>
          <w:szCs w:val="18"/>
        </w:rPr>
      </w:pPr>
      <w:r w:rsidRPr="00F7678D">
        <w:rPr>
          <w:rFonts w:ascii="Arial Narrow" w:hAnsi="Arial Narrow"/>
          <w:i/>
          <w:sz w:val="18"/>
          <w:szCs w:val="18"/>
          <w:vertAlign w:val="superscript"/>
        </w:rPr>
        <w:t>4</w:t>
      </w:r>
      <w:r w:rsidR="00D05AB0" w:rsidRPr="00F7678D">
        <w:rPr>
          <w:rFonts w:ascii="Arial Narrow" w:hAnsi="Arial Narrow"/>
          <w:i/>
          <w:sz w:val="18"/>
          <w:szCs w:val="18"/>
        </w:rPr>
        <w:t xml:space="preserve"> $0 to &lt; $10 million</w:t>
      </w:r>
      <w:bookmarkEnd w:id="35"/>
    </w:p>
    <w:p w14:paraId="22BFD568" w14:textId="7EC81CFC" w:rsidR="00F21A3E" w:rsidRPr="00031CDD" w:rsidRDefault="00642E3D" w:rsidP="00F21A3E">
      <w:pPr>
        <w:pStyle w:val="3-BodyText"/>
      </w:pPr>
      <w:r>
        <w:t>Based on the updated estimates provided in the Pre-PBAC Response, t</w:t>
      </w:r>
      <w:r w:rsidR="00F21A3E" w:rsidRPr="000902D9">
        <w:t xml:space="preserve">he total cost to the PBS/RPBS of listing </w:t>
      </w:r>
      <w:r w:rsidR="00237F58">
        <w:t xml:space="preserve">DRF </w:t>
      </w:r>
      <w:r w:rsidR="00F21A3E" w:rsidRPr="00031CDD">
        <w:t>was estimated to be $</w:t>
      </w:r>
      <w:bookmarkStart w:id="36" w:name="_Hlk103089198"/>
      <w:r w:rsidR="00AB30F9">
        <w:t xml:space="preserve">0 to &lt; $10 million </w:t>
      </w:r>
      <w:bookmarkEnd w:id="36"/>
      <w:r w:rsidR="00F21A3E" w:rsidRPr="00031CDD">
        <w:t>in Year 6, and a total of $</w:t>
      </w:r>
      <w:r w:rsidR="00AB30F9">
        <w:t>20 million to &lt; $30 million</w:t>
      </w:r>
      <w:r w:rsidR="00F21A3E" w:rsidRPr="00031CDD">
        <w:t xml:space="preserve"> in the first 6 years of listing</w:t>
      </w:r>
      <w:r w:rsidR="00F21A3E" w:rsidRPr="00031CDD">
        <w:rPr>
          <w:color w:val="3366FF"/>
        </w:rPr>
        <w:t xml:space="preserve">. </w:t>
      </w:r>
      <w:r w:rsidR="00F21A3E" w:rsidRPr="00031CDD">
        <w:t xml:space="preserve">The net </w:t>
      </w:r>
      <w:proofErr w:type="gramStart"/>
      <w:r w:rsidR="004F14F1">
        <w:t>save</w:t>
      </w:r>
      <w:proofErr w:type="gramEnd"/>
      <w:r w:rsidR="004F14F1" w:rsidRPr="00031CDD">
        <w:t xml:space="preserve"> </w:t>
      </w:r>
      <w:r w:rsidR="00F21A3E" w:rsidRPr="00031CDD">
        <w:t xml:space="preserve">to the PBS using the </w:t>
      </w:r>
      <w:r>
        <w:t xml:space="preserve">revised </w:t>
      </w:r>
      <w:r w:rsidR="004F14F1">
        <w:t>cost minimised price to glatiramer acetate (paragraph 6.40 refers) and</w:t>
      </w:r>
      <w:r w:rsidR="00D34809" w:rsidRPr="00031CDD">
        <w:t xml:space="preserve"> the corrected initial prescription substitution rate of 0.31 (compared to</w:t>
      </w:r>
      <w:r w:rsidR="00D22DDB" w:rsidRPr="00031CDD">
        <w:t xml:space="preserve"> 0.23)</w:t>
      </w:r>
      <w:r w:rsidR="004F14F1">
        <w:t xml:space="preserve"> over the first 6 years of listing was approximately $</w:t>
      </w:r>
      <w:r w:rsidR="00AB30F9">
        <w:t>0 to &lt; $10 million</w:t>
      </w:r>
      <w:r w:rsidR="00057417" w:rsidRPr="00031CDD">
        <w:t xml:space="preserve">. The estimates assume </w:t>
      </w:r>
      <w:r w:rsidR="00FB37AA">
        <w:t xml:space="preserve">substitution for DMF only and </w:t>
      </w:r>
      <w:r w:rsidR="00057417" w:rsidRPr="00031CDD">
        <w:t>no impact on the MBS and/or hospital budgets.</w:t>
      </w:r>
      <w:r w:rsidR="004F14F1">
        <w:t xml:space="preserve"> The proposed savings are driven by the </w:t>
      </w:r>
      <w:r w:rsidR="00E31F87">
        <w:t>calculated</w:t>
      </w:r>
      <w:r w:rsidR="004F14F1">
        <w:t xml:space="preserve"> lower price of DRF compared to DMF.</w:t>
      </w:r>
    </w:p>
    <w:p w14:paraId="569D9A7A" w14:textId="7FBB740F" w:rsidR="002F498D" w:rsidRPr="00031CDD" w:rsidRDefault="002F498D" w:rsidP="004F14F1">
      <w:pPr>
        <w:pStyle w:val="3-BodyText"/>
      </w:pPr>
      <w:r w:rsidRPr="00031CDD">
        <w:t xml:space="preserve">The </w:t>
      </w:r>
      <w:r w:rsidR="00C726A0" w:rsidRPr="00031CDD">
        <w:t>s</w:t>
      </w:r>
      <w:r w:rsidR="00A23FDF" w:rsidRPr="00031CDD">
        <w:t>ubmission</w:t>
      </w:r>
      <w:r w:rsidRPr="00031CDD">
        <w:t xml:space="preserve"> state</w:t>
      </w:r>
      <w:r w:rsidR="00D73498" w:rsidRPr="00031CDD">
        <w:t xml:space="preserve">d </w:t>
      </w:r>
      <w:r w:rsidRPr="00031CDD">
        <w:t xml:space="preserve">that significantly shorter and less intense GI symptoms with DRF therapy compared to DMF leads to improved adherence. However, the financial estimates assumes that </w:t>
      </w:r>
      <w:r w:rsidR="001E4D6C">
        <w:t>adherence</w:t>
      </w:r>
      <w:r w:rsidR="001E4D6C" w:rsidRPr="00031CDD">
        <w:t xml:space="preserve"> </w:t>
      </w:r>
      <w:r w:rsidRPr="00031CDD">
        <w:t xml:space="preserve">will not be substantially different between DMF and DRF. </w:t>
      </w:r>
    </w:p>
    <w:p w14:paraId="6CE2856F" w14:textId="18FCAEDE" w:rsidR="00F841D0" w:rsidRPr="00011402" w:rsidRDefault="006B517E" w:rsidP="00F841D0">
      <w:pPr>
        <w:pStyle w:val="3-BodyText"/>
      </w:pPr>
      <w:r w:rsidRPr="00011402">
        <w:t>The ESC advised that the methods used to derive the utilisation and financial estimates and the structure of the estimates model were reliable for decision-making and agreed that, if listed on a cost minimisation basis to the least costly relevant alternative, the listing of DRF was likely to be cost neutral or modestly cost saving to the PBS</w:t>
      </w:r>
      <w:r w:rsidR="0000455E" w:rsidRPr="00011402">
        <w:t>.</w:t>
      </w:r>
      <w:r w:rsidRPr="00011402">
        <w:t xml:space="preserve">  </w:t>
      </w:r>
      <w:r w:rsidR="0000455E" w:rsidRPr="00011402">
        <w:t xml:space="preserve"> </w:t>
      </w:r>
    </w:p>
    <w:p w14:paraId="205F6056" w14:textId="77581F80" w:rsidR="00F21A3E" w:rsidRPr="00C9624D" w:rsidRDefault="00F21A3E" w:rsidP="00F21A3E">
      <w:pPr>
        <w:pStyle w:val="4-SubsectionHeading"/>
      </w:pPr>
      <w:bookmarkStart w:id="37" w:name="_Toc22897649"/>
      <w:bookmarkStart w:id="38" w:name="_Toc93478638"/>
      <w:r w:rsidRPr="00C9624D">
        <w:t>Financial Management – Risk Sharing Arrangements</w:t>
      </w:r>
      <w:bookmarkEnd w:id="37"/>
      <w:bookmarkEnd w:id="38"/>
    </w:p>
    <w:p w14:paraId="6094373B" w14:textId="5B8F4F01" w:rsidR="00F21A3E" w:rsidRDefault="003F465B" w:rsidP="00F21A3E">
      <w:pPr>
        <w:pStyle w:val="ListParagraph"/>
        <w:numPr>
          <w:ilvl w:val="1"/>
          <w:numId w:val="1"/>
        </w:numPr>
      </w:pPr>
      <w:r w:rsidRPr="003F465B">
        <w:t xml:space="preserve">The </w:t>
      </w:r>
      <w:r w:rsidR="00C726A0">
        <w:t>s</w:t>
      </w:r>
      <w:r w:rsidR="00A23FDF">
        <w:t>ubmission</w:t>
      </w:r>
      <w:r w:rsidRPr="003F465B">
        <w:t xml:space="preserve"> </w:t>
      </w:r>
      <w:r>
        <w:t>request</w:t>
      </w:r>
      <w:r w:rsidR="00C726A0">
        <w:t>ed</w:t>
      </w:r>
      <w:r>
        <w:t xml:space="preserve"> a </w:t>
      </w:r>
      <w:r w:rsidR="00E31F87">
        <w:t xml:space="preserve">special </w:t>
      </w:r>
      <w:r w:rsidRPr="003F465B">
        <w:t xml:space="preserve">pricing arrangement </w:t>
      </w:r>
      <w:r>
        <w:t xml:space="preserve">for </w:t>
      </w:r>
      <w:r w:rsidR="00B61BA6">
        <w:t>DRF</w:t>
      </w:r>
      <w:r w:rsidRPr="003F465B">
        <w:t>.</w:t>
      </w:r>
      <w:bookmarkStart w:id="39" w:name="_Toc380746195"/>
      <w:bookmarkStart w:id="40" w:name="_Toc380746321"/>
      <w:bookmarkStart w:id="41" w:name="_Toc380746602"/>
    </w:p>
    <w:p w14:paraId="05902F0B" w14:textId="13D3BC59" w:rsidR="00953C5F" w:rsidRPr="00C33D30" w:rsidRDefault="00953C5F" w:rsidP="00953C5F">
      <w:pPr>
        <w:ind w:firstLine="709"/>
        <w:rPr>
          <w:rFonts w:asciiTheme="minorHAnsi" w:hAnsiTheme="minorHAnsi"/>
          <w:i/>
        </w:rPr>
      </w:pPr>
      <w:r w:rsidRPr="00C33D30">
        <w:rPr>
          <w:rFonts w:asciiTheme="minorHAnsi" w:hAnsiTheme="minorHAnsi"/>
          <w:i/>
        </w:rPr>
        <w:t>For more detail on PBAC’s view, see section 7 PBAC outcom</w:t>
      </w:r>
      <w:r w:rsidR="00D0487D">
        <w:rPr>
          <w:rFonts w:asciiTheme="minorHAnsi" w:hAnsiTheme="minorHAnsi"/>
          <w:i/>
        </w:rPr>
        <w:t>e</w:t>
      </w:r>
      <w:r w:rsidRPr="00C33D30">
        <w:rPr>
          <w:rFonts w:asciiTheme="minorHAnsi" w:hAnsiTheme="minorHAnsi"/>
          <w:i/>
        </w:rPr>
        <w:t>.</w:t>
      </w:r>
    </w:p>
    <w:p w14:paraId="25B42D7A" w14:textId="77777777" w:rsidR="00B81606" w:rsidRPr="005F5FEC" w:rsidRDefault="00B81606" w:rsidP="005F5FEC">
      <w:pPr>
        <w:pStyle w:val="2-SectionHeading"/>
      </w:pPr>
      <w:bookmarkStart w:id="42" w:name="_Hlk76381249"/>
      <w:bookmarkStart w:id="43" w:name="_Hlk76377955"/>
      <w:r w:rsidRPr="005F5FEC">
        <w:t>PBAC Outcome</w:t>
      </w:r>
    </w:p>
    <w:p w14:paraId="1B3A0823" w14:textId="719D267B" w:rsidR="00233574" w:rsidRPr="005F4131" w:rsidRDefault="00AC342C" w:rsidP="005C74A0">
      <w:pPr>
        <w:widowControl w:val="0"/>
        <w:numPr>
          <w:ilvl w:val="1"/>
          <w:numId w:val="1"/>
        </w:numPr>
        <w:spacing w:after="120"/>
        <w:rPr>
          <w:rFonts w:asciiTheme="minorHAnsi" w:hAnsiTheme="minorHAnsi"/>
          <w:snapToGrid w:val="0"/>
          <w:lang w:val="en-GB"/>
        </w:rPr>
      </w:pPr>
      <w:r w:rsidRPr="005F4131">
        <w:rPr>
          <w:rFonts w:asciiTheme="minorHAnsi" w:hAnsiTheme="minorHAnsi"/>
          <w:snapToGrid w:val="0"/>
          <w:lang w:val="en-GB"/>
        </w:rPr>
        <w:t xml:space="preserve">The PBAC recommended the Authority Required (STREAMLINED) listing of </w:t>
      </w:r>
      <w:r w:rsidR="000E0003" w:rsidRPr="005F4131">
        <w:rPr>
          <w:rFonts w:asciiTheme="minorHAnsi" w:hAnsiTheme="minorHAnsi"/>
          <w:snapToGrid w:val="0"/>
          <w:lang w:val="en-GB"/>
        </w:rPr>
        <w:t>diroximel fumarate (DRF) for the treatment of relapsing-remitting multiple sclerosis (RRMS)</w:t>
      </w:r>
      <w:r w:rsidR="00C228AB" w:rsidRPr="005F4131">
        <w:rPr>
          <w:rFonts w:asciiTheme="minorHAnsi" w:hAnsiTheme="minorHAnsi"/>
          <w:snapToGrid w:val="0"/>
          <w:lang w:val="en-GB"/>
        </w:rPr>
        <w:t xml:space="preserve">. The PBAC considered the claim of non-inferior effectiveness and safety to dimethyl fumarate (DMF) was reasonable. However, </w:t>
      </w:r>
      <w:r w:rsidR="00C228AB" w:rsidRPr="005F4131">
        <w:rPr>
          <w:iCs/>
        </w:rPr>
        <w:t xml:space="preserve">the PBAC considered for </w:t>
      </w:r>
      <w:r w:rsidR="00C228AB" w:rsidRPr="005F4131">
        <w:rPr>
          <w:bCs/>
        </w:rPr>
        <w:t xml:space="preserve">purposes of satisfying Section 101(3B) of the </w:t>
      </w:r>
      <w:r w:rsidR="00C228AB" w:rsidRPr="005F4131">
        <w:rPr>
          <w:bCs/>
          <w:i/>
        </w:rPr>
        <w:t>National Health Act 1953</w:t>
      </w:r>
      <w:r w:rsidR="00C228AB" w:rsidRPr="005F4131">
        <w:rPr>
          <w:bCs/>
        </w:rPr>
        <w:t xml:space="preserve">, </w:t>
      </w:r>
      <w:r w:rsidR="00C228AB" w:rsidRPr="005F4131">
        <w:rPr>
          <w:rFonts w:asciiTheme="minorHAnsi" w:hAnsiTheme="minorHAnsi"/>
          <w:snapToGrid w:val="0"/>
          <w:lang w:val="en-GB"/>
        </w:rPr>
        <w:t xml:space="preserve">glatiramer acetate, interferon beta-1a (both subcutaneous and intramuscular forms), interferon beta-1b and peg-interferon beta-1a are </w:t>
      </w:r>
      <w:r w:rsidR="003F53F3">
        <w:rPr>
          <w:rFonts w:asciiTheme="minorHAnsi" w:hAnsiTheme="minorHAnsi"/>
          <w:snapToGrid w:val="0"/>
          <w:lang w:val="en-GB"/>
        </w:rPr>
        <w:t xml:space="preserve">also </w:t>
      </w:r>
      <w:r w:rsidR="00C228AB" w:rsidRPr="005F4131">
        <w:rPr>
          <w:rFonts w:asciiTheme="minorHAnsi" w:hAnsiTheme="minorHAnsi"/>
          <w:snapToGrid w:val="0"/>
          <w:lang w:val="en-GB"/>
        </w:rPr>
        <w:t xml:space="preserve">relevant alternative therapies. </w:t>
      </w:r>
      <w:r w:rsidR="00C228AB" w:rsidRPr="005F4131">
        <w:rPr>
          <w:rFonts w:eastAsia="Calibri" w:cstheme="minorHAnsi"/>
          <w:lang w:eastAsia="en-US"/>
        </w:rPr>
        <w:t>The PBAC’s recommendation was therefore, among other matters, based on its assessment that the cost of DRF should be no greater than the cost of DMF or the alternative therapies</w:t>
      </w:r>
      <w:r w:rsidR="005E624A">
        <w:rPr>
          <w:rFonts w:eastAsia="Calibri" w:cstheme="minorHAnsi"/>
          <w:lang w:eastAsia="en-US"/>
        </w:rPr>
        <w:t>.</w:t>
      </w:r>
    </w:p>
    <w:p w14:paraId="6E02E491" w14:textId="44104185" w:rsidR="00897601" w:rsidRDefault="00897601" w:rsidP="00B81606">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it was reasonable to align the </w:t>
      </w:r>
      <w:r w:rsidR="00E40008">
        <w:rPr>
          <w:rFonts w:asciiTheme="minorHAnsi" w:hAnsiTheme="minorHAnsi"/>
          <w:snapToGrid w:val="0"/>
          <w:lang w:val="en-GB"/>
        </w:rPr>
        <w:t>restriction wording of DRF with that of DMF, however considered as there is only one dose form and pack size for DRF</w:t>
      </w:r>
      <w:r w:rsidR="003A2DA1">
        <w:rPr>
          <w:rFonts w:asciiTheme="minorHAnsi" w:hAnsiTheme="minorHAnsi"/>
          <w:snapToGrid w:val="0"/>
          <w:lang w:val="en-GB"/>
        </w:rPr>
        <w:t xml:space="preserve"> (including for temporary dose reductions due to adverse events)</w:t>
      </w:r>
      <w:r w:rsidR="00E40008">
        <w:rPr>
          <w:rFonts w:asciiTheme="minorHAnsi" w:hAnsiTheme="minorHAnsi"/>
          <w:snapToGrid w:val="0"/>
          <w:lang w:val="en-GB"/>
        </w:rPr>
        <w:t>, that it was reasonable to have one listing</w:t>
      </w:r>
      <w:r w:rsidR="003A2DA1">
        <w:rPr>
          <w:rFonts w:asciiTheme="minorHAnsi" w:hAnsiTheme="minorHAnsi"/>
          <w:snapToGrid w:val="0"/>
          <w:lang w:val="en-GB"/>
        </w:rPr>
        <w:t xml:space="preserve"> for DRF, with 5 repeats that would facilitate both initial and continuing treatment. The Committee agreed that, </w:t>
      </w:r>
      <w:proofErr w:type="gramStart"/>
      <w:r w:rsidR="003A2DA1">
        <w:rPr>
          <w:rFonts w:asciiTheme="minorHAnsi" w:hAnsiTheme="minorHAnsi"/>
          <w:snapToGrid w:val="0"/>
          <w:lang w:val="en-GB"/>
        </w:rPr>
        <w:t>similar to</w:t>
      </w:r>
      <w:proofErr w:type="gramEnd"/>
      <w:r w:rsidR="003A2DA1">
        <w:rPr>
          <w:rFonts w:asciiTheme="minorHAnsi" w:hAnsiTheme="minorHAnsi"/>
          <w:snapToGrid w:val="0"/>
          <w:lang w:val="en-GB"/>
        </w:rPr>
        <w:t xml:space="preserve"> the listing of DMF, an age restriction was not required in the listing of DRF.</w:t>
      </w:r>
      <w:r w:rsidR="00532905">
        <w:rPr>
          <w:rFonts w:asciiTheme="minorHAnsi" w:hAnsiTheme="minorHAnsi"/>
          <w:snapToGrid w:val="0"/>
          <w:lang w:val="en-GB"/>
        </w:rPr>
        <w:t xml:space="preserve"> The PBAC noted a gr</w:t>
      </w:r>
      <w:r w:rsidR="00011402">
        <w:rPr>
          <w:rFonts w:asciiTheme="minorHAnsi" w:hAnsiTheme="minorHAnsi"/>
          <w:snapToGrid w:val="0"/>
          <w:lang w:val="en-GB"/>
        </w:rPr>
        <w:t>andfather restriction was requested for DRF and considered this was reasonable and should be reviewed after 12 months post-listing, per standard practice.</w:t>
      </w:r>
    </w:p>
    <w:p w14:paraId="45684A50" w14:textId="686B3A3C" w:rsidR="005F4131" w:rsidRPr="00CE42B4" w:rsidRDefault="00044273" w:rsidP="005F4131">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w:t>
      </w:r>
      <w:r w:rsidR="005F4131">
        <w:rPr>
          <w:rFonts w:asciiTheme="minorHAnsi" w:hAnsiTheme="minorHAnsi"/>
          <w:snapToGrid w:val="0"/>
          <w:lang w:val="en-GB"/>
        </w:rPr>
        <w:t xml:space="preserve">he PBAC considered the nominated primary comparator of DMF, which is chemically </w:t>
      </w:r>
      <w:proofErr w:type="gramStart"/>
      <w:r w:rsidR="005F4131">
        <w:rPr>
          <w:rFonts w:asciiTheme="minorHAnsi" w:hAnsiTheme="minorHAnsi"/>
          <w:snapToGrid w:val="0"/>
          <w:lang w:val="en-GB"/>
        </w:rPr>
        <w:t>similar to</w:t>
      </w:r>
      <w:proofErr w:type="gramEnd"/>
      <w:r w:rsidR="005F4131">
        <w:rPr>
          <w:rFonts w:asciiTheme="minorHAnsi" w:hAnsiTheme="minorHAnsi"/>
          <w:snapToGrid w:val="0"/>
          <w:lang w:val="en-GB"/>
        </w:rPr>
        <w:t xml:space="preserve"> DRF, was reasonable. </w:t>
      </w:r>
      <w:r w:rsidR="007146B8" w:rsidRPr="005F4131">
        <w:rPr>
          <w:rFonts w:asciiTheme="minorHAnsi" w:hAnsiTheme="minorHAnsi"/>
          <w:snapToGrid w:val="0"/>
          <w:lang w:val="en-GB"/>
        </w:rPr>
        <w:t xml:space="preserve">However, </w:t>
      </w:r>
      <w:r w:rsidR="007146B8" w:rsidRPr="005F4131">
        <w:rPr>
          <w:iCs/>
        </w:rPr>
        <w:t xml:space="preserve">the PBAC considered for </w:t>
      </w:r>
      <w:r w:rsidR="007146B8" w:rsidRPr="005F4131">
        <w:rPr>
          <w:bCs/>
        </w:rPr>
        <w:t xml:space="preserve">purposes of satisfying Section 101(3B) of the </w:t>
      </w:r>
      <w:r w:rsidR="007146B8" w:rsidRPr="005F4131">
        <w:rPr>
          <w:bCs/>
          <w:i/>
        </w:rPr>
        <w:t>National Health Act 1953</w:t>
      </w:r>
      <w:r w:rsidR="007146B8" w:rsidRPr="005F4131">
        <w:rPr>
          <w:bCs/>
        </w:rPr>
        <w:t xml:space="preserve">, </w:t>
      </w:r>
      <w:r w:rsidR="007146B8">
        <w:rPr>
          <w:bCs/>
        </w:rPr>
        <w:t xml:space="preserve">that </w:t>
      </w:r>
      <w:r w:rsidR="005F4131">
        <w:rPr>
          <w:rFonts w:asciiTheme="minorHAnsi" w:hAnsiTheme="minorHAnsi"/>
          <w:snapToGrid w:val="0"/>
          <w:lang w:val="en-GB"/>
        </w:rPr>
        <w:t xml:space="preserve">other relevant alternative therapies include the ‘lower efficacy tier’ of RRMS therapies, </w:t>
      </w:r>
      <w:r w:rsidR="00FF29EF">
        <w:rPr>
          <w:rFonts w:asciiTheme="minorHAnsi" w:hAnsiTheme="minorHAnsi"/>
          <w:snapToGrid w:val="0"/>
          <w:lang w:val="en-GB"/>
        </w:rPr>
        <w:t xml:space="preserve">including </w:t>
      </w:r>
      <w:r w:rsidR="005F4131">
        <w:rPr>
          <w:rFonts w:asciiTheme="minorHAnsi" w:hAnsiTheme="minorHAnsi"/>
          <w:snapToGrid w:val="0"/>
          <w:lang w:val="en-GB"/>
        </w:rPr>
        <w:t xml:space="preserve">glatiramer acetate, interferon beta-1a (both subcutaneous and intramuscular forms), interferon beta-1b and peginterferon beta-1a. </w:t>
      </w:r>
      <w:r>
        <w:rPr>
          <w:rFonts w:asciiTheme="minorHAnsi" w:hAnsiTheme="minorHAnsi"/>
          <w:snapToGrid w:val="0"/>
          <w:lang w:val="en-GB"/>
        </w:rPr>
        <w:t>The Committee noted the arguments in the PSCR that teriflunomide, another low</w:t>
      </w:r>
      <w:r w:rsidR="00044A4C">
        <w:rPr>
          <w:rFonts w:asciiTheme="minorHAnsi" w:hAnsiTheme="minorHAnsi"/>
          <w:snapToGrid w:val="0"/>
          <w:lang w:val="en-GB"/>
        </w:rPr>
        <w:t>er</w:t>
      </w:r>
      <w:r>
        <w:rPr>
          <w:rFonts w:asciiTheme="minorHAnsi" w:hAnsiTheme="minorHAnsi"/>
          <w:snapToGrid w:val="0"/>
          <w:lang w:val="en-GB"/>
        </w:rPr>
        <w:t xml:space="preserve"> efficacy tier therapy, is not a relevant alternative therapy </w:t>
      </w:r>
      <w:proofErr w:type="gramStart"/>
      <w:r>
        <w:rPr>
          <w:rFonts w:asciiTheme="minorHAnsi" w:hAnsiTheme="minorHAnsi"/>
          <w:snapToGrid w:val="0"/>
          <w:lang w:val="en-GB"/>
        </w:rPr>
        <w:t>on the basis of</w:t>
      </w:r>
      <w:proofErr w:type="gramEnd"/>
      <w:r>
        <w:rPr>
          <w:rFonts w:asciiTheme="minorHAnsi" w:hAnsiTheme="minorHAnsi"/>
          <w:snapToGrid w:val="0"/>
          <w:lang w:val="en-GB"/>
        </w:rPr>
        <w:t xml:space="preserve"> it being classified as a Pregnancy Category X drug</w:t>
      </w:r>
      <w:r w:rsidR="00FF29EF">
        <w:rPr>
          <w:rFonts w:asciiTheme="minorHAnsi" w:hAnsiTheme="minorHAnsi"/>
          <w:snapToGrid w:val="0"/>
          <w:lang w:val="en-GB"/>
        </w:rPr>
        <w:t xml:space="preserve"> and additional safety concerns, including hepatotoxicity. The PBAC noted pregnancy category may be a relevant consideration in a significant proportion of the MS population given its prevalence in women of childbearing age. The PBAC also noted the safety concerns for teriflunomide, </w:t>
      </w:r>
      <w:r w:rsidR="00044A4C">
        <w:rPr>
          <w:rFonts w:asciiTheme="minorHAnsi" w:hAnsiTheme="minorHAnsi"/>
          <w:snapToGrid w:val="0"/>
          <w:lang w:val="en-GB"/>
        </w:rPr>
        <w:t>particularly</w:t>
      </w:r>
      <w:r w:rsidR="00FF29EF">
        <w:rPr>
          <w:rFonts w:asciiTheme="minorHAnsi" w:hAnsiTheme="minorHAnsi"/>
          <w:snapToGrid w:val="0"/>
          <w:lang w:val="en-GB"/>
        </w:rPr>
        <w:t xml:space="preserve"> the potential for liver injury and the associated requirement for</w:t>
      </w:r>
      <w:r w:rsidR="00492223">
        <w:rPr>
          <w:rFonts w:asciiTheme="minorHAnsi" w:hAnsiTheme="minorHAnsi"/>
          <w:snapToGrid w:val="0"/>
          <w:lang w:val="en-GB"/>
        </w:rPr>
        <w:t xml:space="preserve"> frequent</w:t>
      </w:r>
      <w:r w:rsidR="00FF29EF">
        <w:rPr>
          <w:rFonts w:asciiTheme="minorHAnsi" w:hAnsiTheme="minorHAnsi"/>
          <w:snapToGrid w:val="0"/>
          <w:lang w:val="en-GB"/>
        </w:rPr>
        <w:t xml:space="preserve"> monitoring of liver function. Overall, the PBAC considered for the </w:t>
      </w:r>
      <w:r w:rsidR="00FF29EF" w:rsidRPr="005F4131">
        <w:rPr>
          <w:bCs/>
        </w:rPr>
        <w:t xml:space="preserve">purposes of satisfying Section 101(3B) of the </w:t>
      </w:r>
      <w:r w:rsidR="00FF29EF" w:rsidRPr="005F4131">
        <w:rPr>
          <w:bCs/>
          <w:i/>
        </w:rPr>
        <w:t>National Health Act 1953</w:t>
      </w:r>
      <w:r w:rsidR="00FF29EF">
        <w:rPr>
          <w:bCs/>
          <w:i/>
        </w:rPr>
        <w:t xml:space="preserve"> </w:t>
      </w:r>
      <w:r w:rsidR="00FF29EF">
        <w:rPr>
          <w:bCs/>
          <w:iCs/>
        </w:rPr>
        <w:t>that teriflunomide was not a</w:t>
      </w:r>
      <w:r w:rsidR="00492223">
        <w:rPr>
          <w:bCs/>
          <w:iCs/>
        </w:rPr>
        <w:t xml:space="preserve"> relevant</w:t>
      </w:r>
      <w:r w:rsidR="00FF29EF">
        <w:rPr>
          <w:bCs/>
          <w:iCs/>
        </w:rPr>
        <w:t xml:space="preserve"> alternative therapy.</w:t>
      </w:r>
    </w:p>
    <w:p w14:paraId="0578176B" w14:textId="4BE0000D" w:rsidR="00B81606" w:rsidRPr="00CE42B4" w:rsidRDefault="00011402" w:rsidP="00B81606">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B</w:t>
      </w:r>
      <w:r w:rsidR="00D770B2">
        <w:rPr>
          <w:rFonts w:asciiTheme="minorHAnsi" w:hAnsiTheme="minorHAnsi"/>
          <w:snapToGrid w:val="0"/>
          <w:lang w:val="en-GB"/>
        </w:rPr>
        <w:t xml:space="preserve">ased on the evidence presented, which included pharmacokinetic studies, one phase III study (EVOLVE-MS2) and a supportive propensity score-matched </w:t>
      </w:r>
      <w:r w:rsidR="00B45BD3">
        <w:rPr>
          <w:rFonts w:asciiTheme="minorHAnsi" w:hAnsiTheme="minorHAnsi"/>
          <w:snapToGrid w:val="0"/>
          <w:lang w:val="en-GB"/>
        </w:rPr>
        <w:t xml:space="preserve">indirect </w:t>
      </w:r>
      <w:r w:rsidR="00D770B2">
        <w:rPr>
          <w:rFonts w:asciiTheme="minorHAnsi" w:hAnsiTheme="minorHAnsi"/>
          <w:snapToGrid w:val="0"/>
          <w:lang w:val="en-GB"/>
        </w:rPr>
        <w:t>analysis of DRF and DMF studies, the</w:t>
      </w:r>
      <w:r>
        <w:rPr>
          <w:rFonts w:asciiTheme="minorHAnsi" w:hAnsiTheme="minorHAnsi"/>
          <w:snapToGrid w:val="0"/>
          <w:lang w:val="en-GB"/>
        </w:rPr>
        <w:t xml:space="preserve"> PBAC considered the</w:t>
      </w:r>
      <w:r w:rsidR="00D770B2">
        <w:rPr>
          <w:rFonts w:asciiTheme="minorHAnsi" w:hAnsiTheme="minorHAnsi"/>
          <w:snapToGrid w:val="0"/>
          <w:lang w:val="en-GB"/>
        </w:rPr>
        <w:t xml:space="preserve"> claim of non-inferior comparative effectiveness to DMF was adequately supported. The PBAC also noted </w:t>
      </w:r>
      <w:r w:rsidR="00492223">
        <w:rPr>
          <w:rFonts w:asciiTheme="minorHAnsi" w:hAnsiTheme="minorHAnsi"/>
          <w:snapToGrid w:val="0"/>
          <w:lang w:val="en-GB"/>
        </w:rPr>
        <w:t xml:space="preserve">that </w:t>
      </w:r>
      <w:r w:rsidR="00D770B2">
        <w:rPr>
          <w:rFonts w:asciiTheme="minorHAnsi" w:hAnsiTheme="minorHAnsi"/>
          <w:snapToGrid w:val="0"/>
          <w:lang w:val="en-GB"/>
        </w:rPr>
        <w:t xml:space="preserve">the TGA Delegate was satisfied that DRF and DMF appeared to be bioequivalent in terms of the active metabolite monomethyl fumarate (MMF), through which DRF and DMF exert their effects in RRMS. </w:t>
      </w:r>
    </w:p>
    <w:p w14:paraId="56F0D3AC" w14:textId="656906FD" w:rsidR="005F4131" w:rsidRDefault="00185D46" w:rsidP="00B81606">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that, based on the evidence presented, the claim of non-inferior comparative safety to DMF was adequately supported. The Committee noted there was some evidence to suggest some patients may experience a benefit with DRF treatment in terms of gastrointestinal tolerability compared to D</w:t>
      </w:r>
      <w:r w:rsidR="00040A62">
        <w:rPr>
          <w:rFonts w:asciiTheme="minorHAnsi" w:hAnsiTheme="minorHAnsi"/>
          <w:snapToGrid w:val="0"/>
          <w:lang w:val="en-GB"/>
        </w:rPr>
        <w:t>MF</w:t>
      </w:r>
      <w:r w:rsidR="00492223">
        <w:rPr>
          <w:rFonts w:asciiTheme="minorHAnsi" w:hAnsiTheme="minorHAnsi"/>
          <w:snapToGrid w:val="0"/>
          <w:lang w:val="en-GB"/>
        </w:rPr>
        <w:t>,</w:t>
      </w:r>
      <w:r w:rsidR="00040A62">
        <w:rPr>
          <w:rFonts w:asciiTheme="minorHAnsi" w:hAnsiTheme="minorHAnsi"/>
          <w:snapToGrid w:val="0"/>
          <w:lang w:val="en-GB"/>
        </w:rPr>
        <w:t xml:space="preserve"> </w:t>
      </w:r>
      <w:proofErr w:type="gramStart"/>
      <w:r w:rsidR="00040A62">
        <w:rPr>
          <w:rFonts w:asciiTheme="minorHAnsi" w:hAnsiTheme="minorHAnsi"/>
          <w:snapToGrid w:val="0"/>
          <w:lang w:val="en-GB"/>
        </w:rPr>
        <w:t>and also</w:t>
      </w:r>
      <w:proofErr w:type="gramEnd"/>
      <w:r w:rsidR="00040A62">
        <w:rPr>
          <w:rFonts w:asciiTheme="minorHAnsi" w:hAnsiTheme="minorHAnsi"/>
          <w:snapToGrid w:val="0"/>
          <w:lang w:val="en-GB"/>
        </w:rPr>
        <w:t xml:space="preserve"> noted the consumer comments were supportive of the listing of DRF as an alternative to DMF on that basis</w:t>
      </w:r>
      <w:r>
        <w:rPr>
          <w:rFonts w:asciiTheme="minorHAnsi" w:hAnsiTheme="minorHAnsi"/>
          <w:snapToGrid w:val="0"/>
          <w:lang w:val="en-GB"/>
        </w:rPr>
        <w:t xml:space="preserve">. </w:t>
      </w:r>
    </w:p>
    <w:p w14:paraId="7CF14626" w14:textId="1227B2DB" w:rsidR="005F4131" w:rsidRPr="00A44335" w:rsidRDefault="005F4131" w:rsidP="00A44335">
      <w:pPr>
        <w:widowControl w:val="0"/>
        <w:numPr>
          <w:ilvl w:val="1"/>
          <w:numId w:val="1"/>
        </w:numPr>
        <w:spacing w:after="120"/>
        <w:rPr>
          <w:lang w:val="en-GB"/>
        </w:rPr>
      </w:pPr>
      <w:r w:rsidRPr="00492223">
        <w:rPr>
          <w:rFonts w:asciiTheme="minorHAnsi" w:hAnsiTheme="minorHAnsi"/>
          <w:snapToGrid w:val="0"/>
          <w:lang w:val="en-GB"/>
        </w:rPr>
        <w:t xml:space="preserve">The PBAC </w:t>
      </w:r>
      <w:r w:rsidR="00FF29EF" w:rsidRPr="00492223">
        <w:rPr>
          <w:rFonts w:asciiTheme="minorHAnsi" w:hAnsiTheme="minorHAnsi"/>
          <w:snapToGrid w:val="0"/>
          <w:lang w:val="en-GB"/>
        </w:rPr>
        <w:t xml:space="preserve">noted the submission presented a cost-minimisation analysis </w:t>
      </w:r>
      <w:r w:rsidR="00A44335" w:rsidRPr="00492223">
        <w:rPr>
          <w:rFonts w:asciiTheme="minorHAnsi" w:hAnsiTheme="minorHAnsi"/>
          <w:snapToGrid w:val="0"/>
          <w:lang w:val="en-GB"/>
        </w:rPr>
        <w:t xml:space="preserve">with </w:t>
      </w:r>
      <w:r w:rsidRPr="00492223">
        <w:rPr>
          <w:rFonts w:asciiTheme="minorHAnsi" w:hAnsiTheme="minorHAnsi"/>
          <w:snapToGrid w:val="0"/>
          <w:lang w:val="en-GB"/>
        </w:rPr>
        <w:t xml:space="preserve">the </w:t>
      </w:r>
      <w:proofErr w:type="spellStart"/>
      <w:r w:rsidRPr="00492223">
        <w:rPr>
          <w:rFonts w:asciiTheme="minorHAnsi" w:hAnsiTheme="minorHAnsi"/>
          <w:snapToGrid w:val="0"/>
          <w:lang w:val="en-GB"/>
        </w:rPr>
        <w:t>equi</w:t>
      </w:r>
      <w:proofErr w:type="spellEnd"/>
      <w:r w:rsidR="005F5FEC">
        <w:rPr>
          <w:rFonts w:asciiTheme="minorHAnsi" w:hAnsiTheme="minorHAnsi"/>
          <w:snapToGrid w:val="0"/>
          <w:lang w:val="en-GB"/>
        </w:rPr>
        <w:noBreakHyphen/>
      </w:r>
      <w:r w:rsidRPr="00492223">
        <w:rPr>
          <w:rFonts w:asciiTheme="minorHAnsi" w:hAnsiTheme="minorHAnsi"/>
          <w:snapToGrid w:val="0"/>
          <w:lang w:val="en-GB"/>
        </w:rPr>
        <w:t xml:space="preserve">effective doses </w:t>
      </w:r>
      <w:r w:rsidR="00A44335" w:rsidRPr="00492223">
        <w:rPr>
          <w:rFonts w:asciiTheme="minorHAnsi" w:hAnsiTheme="minorHAnsi"/>
          <w:snapToGrid w:val="0"/>
          <w:lang w:val="en-GB"/>
        </w:rPr>
        <w:t xml:space="preserve">being </w:t>
      </w:r>
      <w:r w:rsidRPr="00A44335">
        <w:rPr>
          <w:lang w:val="en-GB"/>
        </w:rPr>
        <w:t xml:space="preserve">DRF 924 mg daily </w:t>
      </w:r>
      <w:r w:rsidR="00A44335" w:rsidRPr="00A44335">
        <w:rPr>
          <w:lang w:val="en-GB"/>
        </w:rPr>
        <w:t xml:space="preserve">and DMF </w:t>
      </w:r>
      <w:r w:rsidR="00A44335" w:rsidRPr="005861A2">
        <w:t xml:space="preserve">480 mg </w:t>
      </w:r>
      <w:r w:rsidR="00A44335">
        <w:t>daily</w:t>
      </w:r>
      <w:r w:rsidRPr="00A44335">
        <w:rPr>
          <w:lang w:val="en-GB"/>
        </w:rPr>
        <w:t>.</w:t>
      </w:r>
      <w:r w:rsidR="00A44335">
        <w:rPr>
          <w:lang w:val="en-GB"/>
        </w:rPr>
        <w:t xml:space="preserve"> The PBAC noted </w:t>
      </w:r>
      <w:r w:rsidR="00DE31AC">
        <w:rPr>
          <w:lang w:val="en-GB"/>
        </w:rPr>
        <w:t xml:space="preserve">that </w:t>
      </w:r>
      <w:r w:rsidR="00A44335">
        <w:rPr>
          <w:lang w:val="en-GB"/>
        </w:rPr>
        <w:t>it was proposed in the pre</w:t>
      </w:r>
      <w:r w:rsidR="005C74A0">
        <w:rPr>
          <w:lang w:val="en-GB"/>
        </w:rPr>
        <w:t>-</w:t>
      </w:r>
      <w:r w:rsidR="00A44335">
        <w:rPr>
          <w:lang w:val="en-GB"/>
        </w:rPr>
        <w:t>PBAC response for the daily cost of DRF to be the same as the daily cost of glatiramer acetate, and that based on current prices</w:t>
      </w:r>
      <w:r w:rsidR="00492223">
        <w:rPr>
          <w:lang w:val="en-GB"/>
        </w:rPr>
        <w:t>,</w:t>
      </w:r>
      <w:r w:rsidR="00A44335">
        <w:rPr>
          <w:lang w:val="en-GB"/>
        </w:rPr>
        <w:t xml:space="preserve"> this resulted in a lower price</w:t>
      </w:r>
      <w:r w:rsidR="00DE31AC">
        <w:rPr>
          <w:lang w:val="en-GB"/>
        </w:rPr>
        <w:t xml:space="preserve"> for DRF</w:t>
      </w:r>
      <w:r w:rsidR="00A44335">
        <w:rPr>
          <w:lang w:val="en-GB"/>
        </w:rPr>
        <w:t>. The PBAC considered</w:t>
      </w:r>
      <w:r w:rsidR="00A44335" w:rsidRPr="00A44335">
        <w:rPr>
          <w:rFonts w:eastAsia="Calibri" w:cstheme="minorHAnsi"/>
          <w:lang w:eastAsia="en-US"/>
        </w:rPr>
        <w:t xml:space="preserve"> </w:t>
      </w:r>
      <w:r w:rsidR="00A44335" w:rsidRPr="005F4131">
        <w:rPr>
          <w:rFonts w:eastAsia="Calibri" w:cstheme="minorHAnsi"/>
          <w:lang w:eastAsia="en-US"/>
        </w:rPr>
        <w:t xml:space="preserve">the cost of DRF should be no greater than the cost of DMF or </w:t>
      </w:r>
      <w:r w:rsidR="00A44335">
        <w:rPr>
          <w:rFonts w:eastAsia="Calibri" w:cstheme="minorHAnsi"/>
          <w:lang w:eastAsia="en-US"/>
        </w:rPr>
        <w:t xml:space="preserve">any of </w:t>
      </w:r>
      <w:r w:rsidR="00A44335" w:rsidRPr="005F4131">
        <w:rPr>
          <w:rFonts w:eastAsia="Calibri" w:cstheme="minorHAnsi"/>
          <w:lang w:eastAsia="en-US"/>
        </w:rPr>
        <w:t>the alternative therapies</w:t>
      </w:r>
      <w:r w:rsidR="00A44335">
        <w:rPr>
          <w:rFonts w:eastAsia="Calibri" w:cstheme="minorHAnsi"/>
          <w:lang w:eastAsia="en-US"/>
        </w:rPr>
        <w:t xml:space="preserve"> noted in paragraph 7.</w:t>
      </w:r>
      <w:r w:rsidR="00242527">
        <w:rPr>
          <w:rFonts w:eastAsia="Calibri" w:cstheme="minorHAnsi"/>
          <w:lang w:eastAsia="en-US"/>
        </w:rPr>
        <w:t>3</w:t>
      </w:r>
      <w:r w:rsidR="00A44335" w:rsidRPr="005F4131">
        <w:rPr>
          <w:rFonts w:eastAsia="Calibri" w:cstheme="minorHAnsi"/>
          <w:lang w:eastAsia="en-US"/>
        </w:rPr>
        <w:t xml:space="preserve"> at comparable daily doses</w:t>
      </w:r>
      <w:r w:rsidR="00A44335">
        <w:rPr>
          <w:rFonts w:eastAsia="Calibri" w:cstheme="minorHAnsi"/>
          <w:lang w:eastAsia="en-US"/>
        </w:rPr>
        <w:t xml:space="preserve"> </w:t>
      </w:r>
      <w:r w:rsidR="00DE31AC">
        <w:rPr>
          <w:rFonts w:eastAsia="Calibri" w:cstheme="minorHAnsi"/>
          <w:lang w:eastAsia="en-US"/>
        </w:rPr>
        <w:t>as outlined in</w:t>
      </w:r>
      <w:r w:rsidR="00A44335">
        <w:rPr>
          <w:rFonts w:eastAsia="Calibri" w:cstheme="minorHAnsi"/>
          <w:lang w:eastAsia="en-US"/>
        </w:rPr>
        <w:t xml:space="preserve"> paragraph 6.</w:t>
      </w:r>
      <w:r w:rsidR="00242527">
        <w:rPr>
          <w:rFonts w:eastAsia="Calibri" w:cstheme="minorHAnsi"/>
          <w:lang w:eastAsia="en-US"/>
        </w:rPr>
        <w:t>30</w:t>
      </w:r>
      <w:r w:rsidR="00A44335">
        <w:rPr>
          <w:rFonts w:eastAsia="Calibri" w:cstheme="minorHAnsi"/>
          <w:lang w:eastAsia="en-US"/>
        </w:rPr>
        <w:t>.</w:t>
      </w:r>
    </w:p>
    <w:p w14:paraId="35625B80" w14:textId="29598DB8" w:rsidR="00B81606" w:rsidRPr="00CE42B4" w:rsidRDefault="007146B8" w:rsidP="00B81606">
      <w:pPr>
        <w:widowControl w:val="0"/>
        <w:numPr>
          <w:ilvl w:val="1"/>
          <w:numId w:val="1"/>
        </w:numPr>
        <w:spacing w:after="120"/>
      </w:pPr>
      <w:r>
        <w:rPr>
          <w:rFonts w:asciiTheme="minorHAnsi" w:hAnsiTheme="minorHAnsi"/>
          <w:snapToGrid w:val="0"/>
          <w:lang w:val="en-GB"/>
        </w:rPr>
        <w:t>T</w:t>
      </w:r>
      <w:r w:rsidR="00011402">
        <w:rPr>
          <w:rFonts w:asciiTheme="minorHAnsi" w:hAnsiTheme="minorHAnsi"/>
          <w:snapToGrid w:val="0"/>
          <w:lang w:val="en-GB"/>
        </w:rPr>
        <w:t>he PBAC considered the listing of DRF for RRMS was likely to be</w:t>
      </w:r>
      <w:r w:rsidR="005F4131">
        <w:rPr>
          <w:rFonts w:asciiTheme="minorHAnsi" w:hAnsiTheme="minorHAnsi"/>
          <w:snapToGrid w:val="0"/>
          <w:lang w:val="en-GB"/>
        </w:rPr>
        <w:t xml:space="preserve"> cost neutral</w:t>
      </w:r>
      <w:r w:rsidR="00011402">
        <w:rPr>
          <w:rFonts w:asciiTheme="minorHAnsi" w:hAnsiTheme="minorHAnsi"/>
          <w:snapToGrid w:val="0"/>
          <w:lang w:val="en-GB"/>
        </w:rPr>
        <w:t xml:space="preserve"> </w:t>
      </w:r>
      <w:r>
        <w:rPr>
          <w:rFonts w:asciiTheme="minorHAnsi" w:hAnsiTheme="minorHAnsi"/>
          <w:snapToGrid w:val="0"/>
          <w:lang w:val="en-GB"/>
        </w:rPr>
        <w:t xml:space="preserve">or </w:t>
      </w:r>
      <w:r w:rsidR="00011402">
        <w:rPr>
          <w:rFonts w:asciiTheme="minorHAnsi" w:hAnsiTheme="minorHAnsi"/>
          <w:snapToGrid w:val="0"/>
          <w:lang w:val="en-GB"/>
        </w:rPr>
        <w:t>modestly cost saving to the PBS</w:t>
      </w:r>
      <w:r w:rsidR="00AD43FB">
        <w:rPr>
          <w:rFonts w:asciiTheme="minorHAnsi" w:hAnsiTheme="minorHAnsi"/>
          <w:snapToGrid w:val="0"/>
          <w:lang w:val="en-GB"/>
        </w:rPr>
        <w:t>,</w:t>
      </w:r>
      <w:r w:rsidR="004F14F1">
        <w:rPr>
          <w:rFonts w:asciiTheme="minorHAnsi" w:hAnsiTheme="minorHAnsi"/>
          <w:snapToGrid w:val="0"/>
          <w:lang w:val="en-GB"/>
        </w:rPr>
        <w:t xml:space="preserve"> as it will predominantly replace DMF</w:t>
      </w:r>
      <w:r w:rsidRPr="007146B8">
        <w:rPr>
          <w:rFonts w:asciiTheme="minorHAnsi" w:hAnsiTheme="minorHAnsi"/>
          <w:snapToGrid w:val="0"/>
          <w:lang w:val="en-GB"/>
        </w:rPr>
        <w:t xml:space="preserve"> </w:t>
      </w:r>
      <w:r>
        <w:rPr>
          <w:rFonts w:asciiTheme="minorHAnsi" w:hAnsiTheme="minorHAnsi"/>
          <w:snapToGrid w:val="0"/>
          <w:lang w:val="en-GB"/>
        </w:rPr>
        <w:t>given the similarity of the two agents</w:t>
      </w:r>
      <w:r w:rsidR="004F14F1">
        <w:rPr>
          <w:rFonts w:asciiTheme="minorHAnsi" w:hAnsiTheme="minorHAnsi"/>
          <w:snapToGrid w:val="0"/>
          <w:lang w:val="en-GB"/>
        </w:rPr>
        <w:t xml:space="preserve">, and to a lesser extent, </w:t>
      </w:r>
      <w:r>
        <w:rPr>
          <w:rFonts w:asciiTheme="minorHAnsi" w:hAnsiTheme="minorHAnsi"/>
          <w:snapToGrid w:val="0"/>
          <w:lang w:val="en-GB"/>
        </w:rPr>
        <w:t xml:space="preserve">the </w:t>
      </w:r>
      <w:r w:rsidR="004F14F1">
        <w:rPr>
          <w:rFonts w:asciiTheme="minorHAnsi" w:hAnsiTheme="minorHAnsi"/>
          <w:snapToGrid w:val="0"/>
          <w:lang w:val="en-GB"/>
        </w:rPr>
        <w:t xml:space="preserve">other </w:t>
      </w:r>
      <w:r>
        <w:rPr>
          <w:rFonts w:asciiTheme="minorHAnsi" w:hAnsiTheme="minorHAnsi"/>
          <w:snapToGrid w:val="0"/>
          <w:lang w:val="en-GB"/>
        </w:rPr>
        <w:t xml:space="preserve">noted </w:t>
      </w:r>
      <w:r w:rsidR="004F14F1">
        <w:rPr>
          <w:rFonts w:asciiTheme="minorHAnsi" w:hAnsiTheme="minorHAnsi"/>
          <w:snapToGrid w:val="0"/>
          <w:lang w:val="en-GB"/>
        </w:rPr>
        <w:t>alternative therapies</w:t>
      </w:r>
      <w:r w:rsidR="00AF2CF2">
        <w:rPr>
          <w:rFonts w:asciiTheme="minorHAnsi" w:hAnsiTheme="minorHAnsi"/>
          <w:snapToGrid w:val="0"/>
          <w:lang w:val="en-GB"/>
        </w:rPr>
        <w:t>.</w:t>
      </w:r>
    </w:p>
    <w:p w14:paraId="4DE1918C" w14:textId="2ABF2E73" w:rsidR="00B81606" w:rsidRPr="003A2DA1" w:rsidRDefault="00B81606" w:rsidP="003A2DA1">
      <w:pPr>
        <w:widowControl w:val="0"/>
        <w:numPr>
          <w:ilvl w:val="1"/>
          <w:numId w:val="1"/>
        </w:numPr>
        <w:spacing w:after="120"/>
        <w:rPr>
          <w:rFonts w:asciiTheme="minorHAnsi" w:hAnsiTheme="minorHAnsi"/>
          <w:bCs/>
          <w:snapToGrid w:val="0"/>
          <w:lang w:val="en-GB"/>
        </w:rPr>
      </w:pPr>
      <w:r w:rsidRPr="003A2DA1">
        <w:rPr>
          <w:rFonts w:asciiTheme="minorHAnsi" w:hAnsiTheme="minorHAnsi"/>
          <w:bCs/>
          <w:snapToGrid w:val="0"/>
          <w:lang w:val="en-GB"/>
        </w:rPr>
        <w:t xml:space="preserve">The PBAC recommended that </w:t>
      </w:r>
      <w:r w:rsidR="003A2DA1">
        <w:rPr>
          <w:rFonts w:asciiTheme="minorHAnsi" w:hAnsiTheme="minorHAnsi"/>
          <w:bCs/>
          <w:snapToGrid w:val="0"/>
          <w:lang w:val="en-GB"/>
        </w:rPr>
        <w:t>DRF</w:t>
      </w:r>
      <w:r w:rsidRPr="003A2DA1">
        <w:rPr>
          <w:rFonts w:asciiTheme="minorHAnsi" w:hAnsiTheme="minorHAnsi"/>
          <w:bCs/>
          <w:snapToGrid w:val="0"/>
          <w:lang w:val="en-GB"/>
        </w:rPr>
        <w:t xml:space="preserve"> should be treated as interchangeable on an individual patient basis with </w:t>
      </w:r>
      <w:r w:rsidR="003A2DA1">
        <w:rPr>
          <w:rFonts w:asciiTheme="minorHAnsi" w:hAnsiTheme="minorHAnsi"/>
          <w:bCs/>
          <w:snapToGrid w:val="0"/>
          <w:lang w:val="en-GB"/>
        </w:rPr>
        <w:t>DMF, glatiramer acetate</w:t>
      </w:r>
      <w:r w:rsidR="008019EF">
        <w:rPr>
          <w:rFonts w:asciiTheme="minorHAnsi" w:hAnsiTheme="minorHAnsi"/>
          <w:bCs/>
          <w:snapToGrid w:val="0"/>
          <w:lang w:val="en-GB"/>
        </w:rPr>
        <w:t>, interferon beta-1a (both subcutaneous and intramuscular forms), interferon beta-1b and peginterferon beta-1a.</w:t>
      </w:r>
    </w:p>
    <w:p w14:paraId="5AB51846" w14:textId="49435BE6" w:rsidR="00B81606" w:rsidRPr="00525B39" w:rsidRDefault="00B81606" w:rsidP="00B81606">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The PBAC advised that</w:t>
      </w:r>
      <w:r w:rsidR="00AF2CF2">
        <w:rPr>
          <w:rFonts w:asciiTheme="minorHAnsi" w:hAnsiTheme="minorHAnsi"/>
          <w:bCs/>
          <w:snapToGrid w:val="0"/>
          <w:lang w:val="en-GB"/>
        </w:rPr>
        <w:t xml:space="preserve"> DRF</w:t>
      </w:r>
      <w:r w:rsidRPr="00525B39">
        <w:rPr>
          <w:rFonts w:asciiTheme="minorHAnsi" w:hAnsiTheme="minorHAnsi"/>
          <w:bCs/>
          <w:snapToGrid w:val="0"/>
          <w:lang w:val="en-GB"/>
        </w:rPr>
        <w:t xml:space="preserve"> is not suitable for presc</w:t>
      </w:r>
      <w:r>
        <w:rPr>
          <w:rFonts w:asciiTheme="minorHAnsi" w:hAnsiTheme="minorHAnsi"/>
          <w:bCs/>
          <w:snapToGrid w:val="0"/>
          <w:lang w:val="en-GB"/>
        </w:rPr>
        <w:t>ribing by nurse practitioners</w:t>
      </w:r>
      <w:r w:rsidR="00532905">
        <w:rPr>
          <w:rFonts w:asciiTheme="minorHAnsi" w:hAnsiTheme="minorHAnsi"/>
          <w:bCs/>
          <w:snapToGrid w:val="0"/>
          <w:lang w:val="en-GB"/>
        </w:rPr>
        <w:t>, consistent with other PBS listed therapies for RRMS</w:t>
      </w:r>
      <w:r>
        <w:rPr>
          <w:rFonts w:asciiTheme="minorHAnsi" w:hAnsiTheme="minorHAnsi"/>
          <w:bCs/>
          <w:snapToGrid w:val="0"/>
          <w:lang w:val="en-GB"/>
        </w:rPr>
        <w:t xml:space="preserve">. </w:t>
      </w:r>
    </w:p>
    <w:p w14:paraId="70711988" w14:textId="0126F95A" w:rsidR="00B81606" w:rsidRPr="00525B39" w:rsidRDefault="00B81606" w:rsidP="00B81606">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The PBAC recommended that the Early Supply Rule should apply.</w:t>
      </w:r>
    </w:p>
    <w:p w14:paraId="04F49345" w14:textId="36E7110D" w:rsidR="00B81606" w:rsidRPr="00532905" w:rsidRDefault="00B81606" w:rsidP="00532905">
      <w:pPr>
        <w:widowControl w:val="0"/>
        <w:numPr>
          <w:ilvl w:val="1"/>
          <w:numId w:val="1"/>
        </w:numPr>
        <w:spacing w:after="160"/>
        <w:rPr>
          <w:rFonts w:asciiTheme="minorHAnsi" w:hAnsiTheme="minorHAnsi"/>
          <w:b/>
          <w:bCs/>
          <w:lang w:val="en-GB"/>
        </w:rPr>
      </w:pPr>
      <w:r w:rsidRPr="00D121C5">
        <w:rPr>
          <w:rFonts w:asciiTheme="minorHAnsi" w:hAnsiTheme="minorHAnsi" w:cstheme="minorHAnsi"/>
          <w:lang w:val="en-GB"/>
        </w:rPr>
        <w:t xml:space="preserve">The PBAC noted that its recommendation was on a cost-minimisation basis and advised that, because </w:t>
      </w:r>
      <w:r w:rsidR="00532905">
        <w:rPr>
          <w:rFonts w:asciiTheme="minorHAnsi" w:hAnsiTheme="minorHAnsi" w:cstheme="minorHAnsi"/>
          <w:lang w:val="en-GB"/>
        </w:rPr>
        <w:t xml:space="preserve">DRF </w:t>
      </w:r>
      <w:r w:rsidRPr="00D121C5">
        <w:rPr>
          <w:rFonts w:asciiTheme="minorHAnsi" w:hAnsiTheme="minorHAnsi" w:cstheme="minorHAnsi"/>
          <w:lang w:val="en-GB"/>
        </w:rPr>
        <w:t>is not expected to provide a substantial</w:t>
      </w:r>
      <w:r w:rsidRPr="00D121C5">
        <w:rPr>
          <w:rFonts w:asciiTheme="minorHAnsi" w:hAnsiTheme="minorHAnsi"/>
          <w:bCs/>
          <w:lang w:val="en-GB"/>
        </w:rPr>
        <w:t xml:space="preserve"> and</w:t>
      </w:r>
      <w:r w:rsidRPr="00531A05">
        <w:rPr>
          <w:rFonts w:asciiTheme="minorHAnsi" w:hAnsiTheme="minorHAnsi"/>
          <w:bCs/>
          <w:lang w:val="en-GB"/>
        </w:rPr>
        <w:t xml:space="preserve"> clinically relevant improvement in efficacy, or reduction of toxicity, over </w:t>
      </w:r>
      <w:r w:rsidR="00532905">
        <w:rPr>
          <w:rFonts w:asciiTheme="minorHAnsi" w:hAnsiTheme="minorHAnsi"/>
          <w:bCs/>
          <w:lang w:val="en-GB"/>
        </w:rPr>
        <w:t xml:space="preserve">DMF </w:t>
      </w:r>
      <w:r w:rsidRPr="00531A05">
        <w:rPr>
          <w:rFonts w:asciiTheme="minorHAnsi" w:hAnsiTheme="minorHAnsi"/>
          <w:bCs/>
          <w:lang w:val="en-GB"/>
        </w:rPr>
        <w:t xml:space="preserve">or not expected to address a high and urgent unmet clinical need given the presence of an alternative therapy, the criteria prescribed by the </w:t>
      </w:r>
      <w:r w:rsidRPr="007A5703">
        <w:rPr>
          <w:rFonts w:asciiTheme="minorHAnsi" w:hAnsiTheme="minorHAnsi"/>
          <w:bCs/>
          <w:i/>
          <w:lang w:val="en-GB"/>
        </w:rPr>
        <w:t>National Health (Pharmaceuticals and Vaccines – Cost Recovery) Regulations 2009</w:t>
      </w:r>
      <w:r w:rsidRPr="00531A05">
        <w:rPr>
          <w:rFonts w:asciiTheme="minorHAnsi" w:hAnsiTheme="minorHAnsi"/>
          <w:bCs/>
          <w:lang w:val="en-GB"/>
        </w:rPr>
        <w:t xml:space="preserve"> for Pricing Pathway A were not met.</w:t>
      </w:r>
    </w:p>
    <w:p w14:paraId="58D14A75" w14:textId="4B4D99F9" w:rsidR="00532905" w:rsidRPr="00532905" w:rsidRDefault="00B81606" w:rsidP="00532905">
      <w:pPr>
        <w:widowControl w:val="0"/>
        <w:numPr>
          <w:ilvl w:val="1"/>
          <w:numId w:val="1"/>
        </w:numPr>
        <w:spacing w:after="120"/>
        <w:rPr>
          <w:rFonts w:asciiTheme="minorHAnsi" w:hAnsiTheme="minorHAnsi"/>
          <w:b/>
          <w:bCs/>
          <w:snapToGrid w:val="0"/>
          <w:lang w:val="en-GB"/>
        </w:rPr>
      </w:pPr>
      <w:r w:rsidRPr="00525B39">
        <w:rPr>
          <w:rFonts w:asciiTheme="minorHAnsi" w:hAnsiTheme="minorHAnsi"/>
          <w:bCs/>
          <w:snapToGrid w:val="0"/>
          <w:lang w:val="en-GB"/>
        </w:rPr>
        <w:t>The PBAC noted that this submission is not eligible for an Independent Review</w:t>
      </w:r>
      <w:r w:rsidR="00532905">
        <w:rPr>
          <w:rFonts w:asciiTheme="minorHAnsi" w:hAnsiTheme="minorHAnsi"/>
          <w:bCs/>
          <w:snapToGrid w:val="0"/>
          <w:lang w:val="en-GB"/>
        </w:rPr>
        <w:t xml:space="preserve"> as it received a positive recommendation</w:t>
      </w:r>
      <w:r w:rsidRPr="00525B39">
        <w:rPr>
          <w:rFonts w:asciiTheme="minorHAnsi" w:hAnsiTheme="minorHAnsi"/>
          <w:bCs/>
          <w:snapToGrid w:val="0"/>
          <w:lang w:val="en-GB"/>
        </w:rPr>
        <w:t xml:space="preserve">. </w:t>
      </w:r>
    </w:p>
    <w:p w14:paraId="7F53B186" w14:textId="5860A24D" w:rsidR="00B81606" w:rsidRDefault="00B81606" w:rsidP="00532905">
      <w:pPr>
        <w:widowControl w:val="0"/>
        <w:spacing w:after="120"/>
        <w:rPr>
          <w:rFonts w:asciiTheme="minorHAnsi" w:hAnsiTheme="minorHAnsi"/>
          <w:snapToGrid w:val="0"/>
          <w:lang w:val="en-GB"/>
        </w:rPr>
      </w:pPr>
      <w:r w:rsidRPr="00525B39">
        <w:rPr>
          <w:rFonts w:asciiTheme="minorHAnsi" w:hAnsiTheme="minorHAnsi"/>
          <w:b/>
          <w:bCs/>
          <w:snapToGrid w:val="0"/>
          <w:lang w:val="en-GB"/>
        </w:rPr>
        <w:t>Outcome:</w:t>
      </w:r>
      <w:r w:rsidR="00532905">
        <w:rPr>
          <w:rFonts w:asciiTheme="minorHAnsi" w:hAnsiTheme="minorHAnsi"/>
          <w:b/>
          <w:bCs/>
          <w:snapToGrid w:val="0"/>
          <w:lang w:val="en-GB"/>
        </w:rPr>
        <w:t xml:space="preserve"> </w:t>
      </w:r>
      <w:r w:rsidR="00532905">
        <w:rPr>
          <w:rFonts w:asciiTheme="minorHAnsi" w:hAnsiTheme="minorHAnsi"/>
          <w:b/>
          <w:bCs/>
          <w:snapToGrid w:val="0"/>
          <w:lang w:val="en-GB"/>
        </w:rPr>
        <w:br/>
      </w:r>
      <w:r w:rsidR="00532905">
        <w:rPr>
          <w:rFonts w:asciiTheme="minorHAnsi" w:hAnsiTheme="minorHAnsi"/>
          <w:snapToGrid w:val="0"/>
          <w:lang w:val="en-GB"/>
        </w:rPr>
        <w:t>Recommended</w:t>
      </w:r>
    </w:p>
    <w:bookmarkEnd w:id="42"/>
    <w:p w14:paraId="4A9A5D9A" w14:textId="77777777" w:rsidR="00B81606" w:rsidRPr="005F5FEC" w:rsidRDefault="00B81606" w:rsidP="005F5FEC">
      <w:pPr>
        <w:pStyle w:val="2-SectionHeading"/>
      </w:pPr>
      <w:r w:rsidRPr="005F5FEC">
        <w:t>Recommended listing</w:t>
      </w:r>
    </w:p>
    <w:p w14:paraId="38E06A18" w14:textId="17DBCBF0" w:rsidR="00B81606" w:rsidRPr="00AF2CF2" w:rsidRDefault="00B81606" w:rsidP="00AF2CF2">
      <w:pPr>
        <w:widowControl w:val="0"/>
        <w:numPr>
          <w:ilvl w:val="1"/>
          <w:numId w:val="1"/>
        </w:numPr>
        <w:spacing w:after="120"/>
        <w:contextualSpacing/>
        <w:rPr>
          <w:rFonts w:asciiTheme="minorHAnsi" w:hAnsiTheme="minorHAnsi"/>
          <w:b/>
          <w:bCs/>
          <w:snapToGrid w:val="0"/>
        </w:rPr>
      </w:pPr>
      <w:r w:rsidRPr="00AF2CF2">
        <w:rPr>
          <w:rFonts w:asciiTheme="minorHAnsi" w:hAnsiTheme="minorHAnsi"/>
          <w:bCs/>
          <w:snapToGrid w:val="0"/>
        </w:rPr>
        <w:t>Add new item:</w:t>
      </w:r>
    </w:p>
    <w:p w14:paraId="662B6CBC" w14:textId="6915366C" w:rsidR="00AF2CF2" w:rsidRDefault="00AF2CF2" w:rsidP="00AF2CF2">
      <w:pPr>
        <w:widowControl w:val="0"/>
        <w:spacing w:after="120"/>
        <w:ind w:left="720"/>
        <w:contextualSpacing/>
        <w:rPr>
          <w:rFonts w:asciiTheme="minorHAnsi" w:hAnsiTheme="minorHAnsi"/>
          <w:bCs/>
          <w:snapToGrid w:val="0"/>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AF2CF2" w:rsidRPr="0084008F" w14:paraId="2D980481" w14:textId="77777777" w:rsidTr="00C551BB">
        <w:trPr>
          <w:cantSplit/>
          <w:trHeight w:val="471"/>
        </w:trPr>
        <w:tc>
          <w:tcPr>
            <w:tcW w:w="2689" w:type="dxa"/>
          </w:tcPr>
          <w:p w14:paraId="3258B7F8" w14:textId="77777777" w:rsidR="00AF2CF2" w:rsidRPr="0084008F" w:rsidRDefault="00AF2CF2" w:rsidP="00C551BB">
            <w:pPr>
              <w:keepNext/>
              <w:ind w:left="-108"/>
              <w:rPr>
                <w:rFonts w:ascii="Arial Narrow" w:hAnsi="Arial Narrow"/>
                <w:b/>
                <w:sz w:val="20"/>
                <w:szCs w:val="20"/>
              </w:rPr>
            </w:pPr>
            <w:r w:rsidRPr="0084008F">
              <w:rPr>
                <w:rFonts w:ascii="Arial Narrow" w:hAnsi="Arial Narrow"/>
                <w:b/>
                <w:sz w:val="20"/>
                <w:szCs w:val="20"/>
              </w:rPr>
              <w:t>Name, Restriction,</w:t>
            </w:r>
          </w:p>
          <w:p w14:paraId="10967259" w14:textId="77777777" w:rsidR="00AF2CF2" w:rsidRPr="0084008F" w:rsidRDefault="00AF2CF2" w:rsidP="00C551BB">
            <w:pPr>
              <w:keepNext/>
              <w:ind w:left="-108"/>
              <w:rPr>
                <w:rFonts w:ascii="Arial Narrow" w:hAnsi="Arial Narrow"/>
                <w:b/>
                <w:sz w:val="20"/>
                <w:szCs w:val="20"/>
              </w:rPr>
            </w:pPr>
            <w:r w:rsidRPr="0084008F">
              <w:rPr>
                <w:rFonts w:ascii="Arial Narrow" w:hAnsi="Arial Narrow"/>
                <w:b/>
                <w:sz w:val="20"/>
                <w:szCs w:val="20"/>
              </w:rPr>
              <w:t>Manner of administration and form</w:t>
            </w:r>
          </w:p>
        </w:tc>
        <w:tc>
          <w:tcPr>
            <w:tcW w:w="1275" w:type="dxa"/>
          </w:tcPr>
          <w:p w14:paraId="76AD7E38" w14:textId="77777777" w:rsidR="00AF2CF2" w:rsidRPr="0084008F" w:rsidRDefault="00AF2CF2" w:rsidP="00C551BB">
            <w:pPr>
              <w:keepNext/>
              <w:ind w:left="-108"/>
              <w:jc w:val="center"/>
              <w:rPr>
                <w:rFonts w:ascii="Arial Narrow" w:hAnsi="Arial Narrow"/>
                <w:b/>
                <w:sz w:val="20"/>
                <w:szCs w:val="20"/>
              </w:rPr>
            </w:pPr>
            <w:r w:rsidRPr="0084008F">
              <w:rPr>
                <w:rFonts w:ascii="Arial Narrow" w:hAnsi="Arial Narrow"/>
                <w:b/>
                <w:sz w:val="20"/>
                <w:szCs w:val="20"/>
              </w:rPr>
              <w:t>PBS item code</w:t>
            </w:r>
          </w:p>
        </w:tc>
        <w:tc>
          <w:tcPr>
            <w:tcW w:w="851" w:type="dxa"/>
          </w:tcPr>
          <w:p w14:paraId="78D02BE4" w14:textId="77777777" w:rsidR="00AF2CF2" w:rsidRPr="0084008F" w:rsidRDefault="00AF2CF2" w:rsidP="00C551BB">
            <w:pPr>
              <w:keepNext/>
              <w:ind w:left="-108"/>
              <w:jc w:val="center"/>
              <w:rPr>
                <w:rFonts w:ascii="Arial Narrow" w:hAnsi="Arial Narrow"/>
                <w:b/>
                <w:sz w:val="20"/>
                <w:szCs w:val="20"/>
              </w:rPr>
            </w:pPr>
            <w:r w:rsidRPr="0084008F">
              <w:rPr>
                <w:rFonts w:ascii="Arial Narrow" w:hAnsi="Arial Narrow"/>
                <w:b/>
                <w:sz w:val="20"/>
                <w:szCs w:val="20"/>
              </w:rPr>
              <w:t>Max. qty packs</w:t>
            </w:r>
          </w:p>
        </w:tc>
        <w:tc>
          <w:tcPr>
            <w:tcW w:w="850" w:type="dxa"/>
          </w:tcPr>
          <w:p w14:paraId="6530CC47" w14:textId="77777777" w:rsidR="00AF2CF2" w:rsidRPr="0084008F" w:rsidRDefault="00AF2CF2" w:rsidP="00C551BB">
            <w:pPr>
              <w:keepNext/>
              <w:ind w:left="-108"/>
              <w:jc w:val="center"/>
              <w:rPr>
                <w:rFonts w:ascii="Arial Narrow" w:hAnsi="Arial Narrow"/>
                <w:b/>
                <w:sz w:val="20"/>
                <w:szCs w:val="20"/>
              </w:rPr>
            </w:pPr>
            <w:r w:rsidRPr="0084008F">
              <w:rPr>
                <w:rFonts w:ascii="Arial Narrow" w:hAnsi="Arial Narrow"/>
                <w:b/>
                <w:sz w:val="20"/>
                <w:szCs w:val="20"/>
              </w:rPr>
              <w:t>Max. qty units</w:t>
            </w:r>
          </w:p>
        </w:tc>
        <w:tc>
          <w:tcPr>
            <w:tcW w:w="709" w:type="dxa"/>
          </w:tcPr>
          <w:p w14:paraId="1C19A2C7" w14:textId="77777777" w:rsidR="00AF2CF2" w:rsidRPr="0084008F" w:rsidRDefault="00AF2CF2" w:rsidP="00C551BB">
            <w:pPr>
              <w:keepNext/>
              <w:ind w:left="-108"/>
              <w:jc w:val="center"/>
              <w:rPr>
                <w:rFonts w:ascii="Arial Narrow" w:hAnsi="Arial Narrow"/>
                <w:b/>
                <w:sz w:val="20"/>
                <w:szCs w:val="20"/>
              </w:rPr>
            </w:pPr>
            <w:proofErr w:type="gramStart"/>
            <w:r w:rsidRPr="0084008F">
              <w:rPr>
                <w:rFonts w:ascii="Arial Narrow" w:hAnsi="Arial Narrow"/>
                <w:b/>
                <w:sz w:val="20"/>
                <w:szCs w:val="20"/>
              </w:rPr>
              <w:t>№.of</w:t>
            </w:r>
            <w:proofErr w:type="gramEnd"/>
          </w:p>
          <w:p w14:paraId="1E865DBF" w14:textId="77777777" w:rsidR="00AF2CF2" w:rsidRPr="0084008F" w:rsidRDefault="00AF2CF2" w:rsidP="00C551BB">
            <w:pPr>
              <w:keepNext/>
              <w:ind w:left="-108"/>
              <w:jc w:val="center"/>
              <w:rPr>
                <w:rFonts w:ascii="Arial Narrow" w:hAnsi="Arial Narrow"/>
                <w:b/>
                <w:sz w:val="20"/>
                <w:szCs w:val="20"/>
              </w:rPr>
            </w:pPr>
            <w:proofErr w:type="spellStart"/>
            <w:r w:rsidRPr="0084008F">
              <w:rPr>
                <w:rFonts w:ascii="Arial Narrow" w:hAnsi="Arial Narrow"/>
                <w:b/>
                <w:sz w:val="20"/>
                <w:szCs w:val="20"/>
              </w:rPr>
              <w:t>Rpts</w:t>
            </w:r>
            <w:proofErr w:type="spellEnd"/>
          </w:p>
        </w:tc>
        <w:tc>
          <w:tcPr>
            <w:tcW w:w="2551" w:type="dxa"/>
            <w:gridSpan w:val="2"/>
          </w:tcPr>
          <w:p w14:paraId="23C73DBB" w14:textId="77777777" w:rsidR="00AF2CF2" w:rsidRPr="0084008F" w:rsidRDefault="00AF2CF2" w:rsidP="00C551BB">
            <w:pPr>
              <w:keepNext/>
              <w:rPr>
                <w:rFonts w:ascii="Arial Narrow" w:hAnsi="Arial Narrow"/>
                <w:b/>
                <w:sz w:val="20"/>
                <w:szCs w:val="20"/>
                <w:lang w:val="fr-FR"/>
              </w:rPr>
            </w:pPr>
            <w:r w:rsidRPr="0084008F">
              <w:rPr>
                <w:rFonts w:ascii="Arial Narrow" w:hAnsi="Arial Narrow"/>
                <w:b/>
                <w:sz w:val="20"/>
                <w:szCs w:val="20"/>
              </w:rPr>
              <w:t>Proprietary Name and Manufacturer</w:t>
            </w:r>
          </w:p>
        </w:tc>
      </w:tr>
      <w:tr w:rsidR="00AF2CF2" w:rsidRPr="0084008F" w14:paraId="54AECA2F" w14:textId="77777777" w:rsidTr="00C551BB">
        <w:trPr>
          <w:cantSplit/>
          <w:trHeight w:val="761"/>
        </w:trPr>
        <w:tc>
          <w:tcPr>
            <w:tcW w:w="2689" w:type="dxa"/>
          </w:tcPr>
          <w:p w14:paraId="3BF18CF9" w14:textId="77777777" w:rsidR="00AF2CF2" w:rsidRPr="0084008F" w:rsidRDefault="00AF2CF2" w:rsidP="00C551BB">
            <w:pPr>
              <w:keepNext/>
              <w:ind w:left="-108"/>
              <w:rPr>
                <w:rFonts w:ascii="Arial Narrow" w:hAnsi="Arial Narrow"/>
                <w:sz w:val="20"/>
                <w:szCs w:val="20"/>
              </w:rPr>
            </w:pPr>
            <w:r w:rsidRPr="0084008F">
              <w:rPr>
                <w:rFonts w:ascii="Arial Narrow" w:hAnsi="Arial Narrow"/>
                <w:sz w:val="20"/>
                <w:szCs w:val="20"/>
              </w:rPr>
              <w:t>DIROXIMEL FUMARATE</w:t>
            </w:r>
          </w:p>
          <w:p w14:paraId="3CBA0A91" w14:textId="77777777" w:rsidR="00AF2CF2" w:rsidRPr="0084008F" w:rsidRDefault="00AF2CF2" w:rsidP="00C551BB">
            <w:pPr>
              <w:keepNext/>
              <w:ind w:left="-108"/>
              <w:rPr>
                <w:rFonts w:ascii="Arial Narrow" w:hAnsi="Arial Narrow"/>
                <w:sz w:val="20"/>
                <w:szCs w:val="20"/>
              </w:rPr>
            </w:pPr>
          </w:p>
          <w:p w14:paraId="48343BE9" w14:textId="77777777" w:rsidR="00AF2CF2" w:rsidRPr="0084008F" w:rsidRDefault="00AF2CF2" w:rsidP="00C551BB">
            <w:pPr>
              <w:keepNext/>
              <w:ind w:left="-108"/>
              <w:rPr>
                <w:rFonts w:ascii="Arial Narrow" w:hAnsi="Arial Narrow"/>
                <w:sz w:val="20"/>
                <w:szCs w:val="20"/>
              </w:rPr>
            </w:pPr>
            <w:r w:rsidRPr="0084008F">
              <w:rPr>
                <w:rFonts w:ascii="Arial Narrow" w:hAnsi="Arial Narrow"/>
                <w:sz w:val="20"/>
                <w:szCs w:val="20"/>
              </w:rPr>
              <w:t>Capsule 231 mg, 120</w:t>
            </w:r>
          </w:p>
        </w:tc>
        <w:tc>
          <w:tcPr>
            <w:tcW w:w="1275" w:type="dxa"/>
          </w:tcPr>
          <w:p w14:paraId="16EB2E51" w14:textId="77777777" w:rsidR="00AF2CF2" w:rsidRPr="0084008F" w:rsidRDefault="00AF2CF2" w:rsidP="00C551BB">
            <w:pPr>
              <w:keepNext/>
              <w:ind w:left="-108"/>
              <w:jc w:val="center"/>
              <w:rPr>
                <w:rFonts w:ascii="Arial Narrow" w:hAnsi="Arial Narrow"/>
                <w:sz w:val="20"/>
                <w:szCs w:val="20"/>
              </w:rPr>
            </w:pPr>
          </w:p>
          <w:p w14:paraId="575C96A4" w14:textId="77777777" w:rsidR="00AF2CF2" w:rsidRPr="0084008F" w:rsidRDefault="00AF2CF2" w:rsidP="00C551BB">
            <w:pPr>
              <w:keepNext/>
              <w:ind w:left="-108"/>
              <w:jc w:val="center"/>
              <w:rPr>
                <w:rFonts w:ascii="Arial Narrow" w:hAnsi="Arial Narrow"/>
                <w:sz w:val="20"/>
                <w:szCs w:val="20"/>
              </w:rPr>
            </w:pPr>
            <w:r w:rsidRPr="0084008F">
              <w:rPr>
                <w:rFonts w:ascii="Arial Narrow" w:hAnsi="Arial Narrow"/>
                <w:sz w:val="20"/>
                <w:szCs w:val="20"/>
              </w:rPr>
              <w:t>NEW</w:t>
            </w:r>
          </w:p>
        </w:tc>
        <w:tc>
          <w:tcPr>
            <w:tcW w:w="851" w:type="dxa"/>
          </w:tcPr>
          <w:p w14:paraId="160BFAC8" w14:textId="77777777" w:rsidR="00AF2CF2" w:rsidRPr="0084008F" w:rsidRDefault="00AF2CF2" w:rsidP="00C551BB">
            <w:pPr>
              <w:keepNext/>
              <w:jc w:val="center"/>
              <w:rPr>
                <w:rFonts w:ascii="Arial Narrow" w:hAnsi="Arial Narrow"/>
                <w:sz w:val="20"/>
                <w:szCs w:val="20"/>
              </w:rPr>
            </w:pPr>
          </w:p>
          <w:p w14:paraId="64A07F07" w14:textId="77777777" w:rsidR="00AF2CF2" w:rsidRPr="0084008F" w:rsidRDefault="00AF2CF2" w:rsidP="00C551BB">
            <w:pPr>
              <w:keepNext/>
              <w:ind w:left="-108"/>
              <w:jc w:val="center"/>
              <w:rPr>
                <w:rFonts w:ascii="Arial Narrow" w:hAnsi="Arial Narrow"/>
                <w:sz w:val="20"/>
                <w:szCs w:val="20"/>
              </w:rPr>
            </w:pPr>
          </w:p>
          <w:p w14:paraId="7C362E78" w14:textId="77777777" w:rsidR="00AF2CF2" w:rsidRPr="0084008F" w:rsidRDefault="00AF2CF2" w:rsidP="00C551BB">
            <w:pPr>
              <w:keepNext/>
              <w:jc w:val="center"/>
              <w:rPr>
                <w:rFonts w:ascii="Arial Narrow" w:hAnsi="Arial Narrow"/>
                <w:sz w:val="20"/>
                <w:szCs w:val="20"/>
              </w:rPr>
            </w:pPr>
            <w:r w:rsidRPr="0084008F">
              <w:rPr>
                <w:rFonts w:ascii="Arial Narrow" w:hAnsi="Arial Narrow"/>
                <w:sz w:val="20"/>
                <w:szCs w:val="20"/>
              </w:rPr>
              <w:t>1</w:t>
            </w:r>
          </w:p>
        </w:tc>
        <w:tc>
          <w:tcPr>
            <w:tcW w:w="850" w:type="dxa"/>
          </w:tcPr>
          <w:p w14:paraId="45A1A642" w14:textId="77777777" w:rsidR="00AF2CF2" w:rsidRPr="0084008F" w:rsidRDefault="00AF2CF2" w:rsidP="00C551BB">
            <w:pPr>
              <w:keepNext/>
              <w:ind w:left="-108"/>
              <w:jc w:val="center"/>
              <w:rPr>
                <w:rFonts w:ascii="Arial Narrow" w:hAnsi="Arial Narrow"/>
                <w:sz w:val="20"/>
                <w:szCs w:val="20"/>
              </w:rPr>
            </w:pPr>
          </w:p>
          <w:p w14:paraId="657404C5" w14:textId="77777777" w:rsidR="00AF2CF2" w:rsidRPr="0084008F" w:rsidRDefault="00AF2CF2" w:rsidP="00C551BB">
            <w:pPr>
              <w:keepNext/>
              <w:rPr>
                <w:rFonts w:ascii="Arial Narrow" w:hAnsi="Arial Narrow"/>
                <w:sz w:val="20"/>
                <w:szCs w:val="20"/>
              </w:rPr>
            </w:pPr>
          </w:p>
          <w:p w14:paraId="2EE7EEC1" w14:textId="77777777" w:rsidR="00AF2CF2" w:rsidRPr="0084008F" w:rsidRDefault="00AF2CF2" w:rsidP="00C551BB">
            <w:pPr>
              <w:keepNext/>
              <w:ind w:left="-108"/>
              <w:jc w:val="center"/>
              <w:rPr>
                <w:rFonts w:ascii="Arial Narrow" w:hAnsi="Arial Narrow"/>
                <w:sz w:val="20"/>
                <w:szCs w:val="20"/>
              </w:rPr>
            </w:pPr>
            <w:r w:rsidRPr="0084008F">
              <w:rPr>
                <w:rFonts w:ascii="Arial Narrow" w:hAnsi="Arial Narrow"/>
                <w:sz w:val="20"/>
                <w:szCs w:val="20"/>
              </w:rPr>
              <w:t>120</w:t>
            </w:r>
          </w:p>
        </w:tc>
        <w:tc>
          <w:tcPr>
            <w:tcW w:w="709" w:type="dxa"/>
          </w:tcPr>
          <w:p w14:paraId="12BF3F41" w14:textId="77777777" w:rsidR="00AF2CF2" w:rsidRPr="0084008F" w:rsidRDefault="00AF2CF2" w:rsidP="00C551BB">
            <w:pPr>
              <w:keepNext/>
              <w:ind w:left="-108"/>
              <w:jc w:val="center"/>
              <w:rPr>
                <w:rFonts w:ascii="Arial Narrow" w:hAnsi="Arial Narrow"/>
                <w:sz w:val="20"/>
                <w:szCs w:val="20"/>
              </w:rPr>
            </w:pPr>
          </w:p>
          <w:p w14:paraId="4DEA4B9F" w14:textId="77777777" w:rsidR="00AF2CF2" w:rsidRPr="0084008F" w:rsidRDefault="00AF2CF2" w:rsidP="00C551BB">
            <w:pPr>
              <w:keepNext/>
              <w:ind w:left="-108"/>
              <w:jc w:val="center"/>
              <w:rPr>
                <w:rFonts w:ascii="Arial Narrow" w:hAnsi="Arial Narrow"/>
                <w:sz w:val="20"/>
                <w:szCs w:val="20"/>
              </w:rPr>
            </w:pPr>
          </w:p>
          <w:p w14:paraId="3063F6A4" w14:textId="77777777" w:rsidR="00AF2CF2" w:rsidRPr="0084008F" w:rsidRDefault="00AF2CF2" w:rsidP="00C551BB">
            <w:pPr>
              <w:keepNext/>
              <w:ind w:left="-108"/>
              <w:jc w:val="center"/>
              <w:rPr>
                <w:rFonts w:ascii="Arial Narrow" w:hAnsi="Arial Narrow"/>
                <w:sz w:val="20"/>
                <w:szCs w:val="20"/>
              </w:rPr>
            </w:pPr>
            <w:r w:rsidRPr="0084008F">
              <w:rPr>
                <w:rFonts w:ascii="Arial Narrow" w:hAnsi="Arial Narrow"/>
                <w:sz w:val="20"/>
                <w:szCs w:val="20"/>
              </w:rPr>
              <w:t>5</w:t>
            </w:r>
          </w:p>
          <w:p w14:paraId="05F9D04B" w14:textId="77777777" w:rsidR="00AF2CF2" w:rsidRPr="0084008F" w:rsidRDefault="00AF2CF2" w:rsidP="00C551BB">
            <w:pPr>
              <w:keepNext/>
              <w:rPr>
                <w:rFonts w:ascii="Arial Narrow" w:hAnsi="Arial Narrow"/>
                <w:sz w:val="20"/>
                <w:szCs w:val="20"/>
              </w:rPr>
            </w:pPr>
          </w:p>
        </w:tc>
        <w:tc>
          <w:tcPr>
            <w:tcW w:w="1134" w:type="dxa"/>
          </w:tcPr>
          <w:p w14:paraId="5BB87123" w14:textId="77777777" w:rsidR="00AF2CF2" w:rsidRPr="0084008F" w:rsidRDefault="00AF2CF2" w:rsidP="00C551BB">
            <w:pPr>
              <w:keepNext/>
              <w:rPr>
                <w:rFonts w:ascii="Arial Narrow" w:hAnsi="Arial Narrow"/>
                <w:sz w:val="20"/>
                <w:szCs w:val="20"/>
              </w:rPr>
            </w:pPr>
          </w:p>
          <w:p w14:paraId="4DD925C7" w14:textId="77777777" w:rsidR="00AF2CF2" w:rsidRPr="0084008F" w:rsidRDefault="00AF2CF2" w:rsidP="00C551BB">
            <w:pPr>
              <w:keepNext/>
              <w:rPr>
                <w:rFonts w:ascii="Arial Narrow" w:hAnsi="Arial Narrow"/>
                <w:sz w:val="20"/>
                <w:szCs w:val="20"/>
              </w:rPr>
            </w:pPr>
          </w:p>
          <w:p w14:paraId="1E8B29DF" w14:textId="77777777" w:rsidR="00AF2CF2" w:rsidRPr="0084008F" w:rsidRDefault="00AF2CF2" w:rsidP="00C551BB">
            <w:pPr>
              <w:keepNext/>
              <w:rPr>
                <w:rFonts w:ascii="Arial Narrow" w:hAnsi="Arial Narrow"/>
                <w:sz w:val="20"/>
                <w:szCs w:val="20"/>
              </w:rPr>
            </w:pPr>
            <w:proofErr w:type="spellStart"/>
            <w:r w:rsidRPr="0084008F">
              <w:rPr>
                <w:rFonts w:ascii="Arial Narrow" w:hAnsi="Arial Narrow"/>
                <w:sz w:val="20"/>
                <w:szCs w:val="20"/>
              </w:rPr>
              <w:t>Vumerity</w:t>
            </w:r>
            <w:proofErr w:type="spellEnd"/>
            <w:r w:rsidRPr="0084008F">
              <w:rPr>
                <w:rFonts w:ascii="Arial Narrow" w:hAnsi="Arial Narrow"/>
                <w:sz w:val="20"/>
                <w:szCs w:val="20"/>
                <w:vertAlign w:val="superscript"/>
              </w:rPr>
              <w:t>®</w:t>
            </w:r>
          </w:p>
        </w:tc>
        <w:tc>
          <w:tcPr>
            <w:tcW w:w="1417" w:type="dxa"/>
          </w:tcPr>
          <w:p w14:paraId="5BD21D09" w14:textId="77777777" w:rsidR="00AF2CF2" w:rsidRPr="0084008F" w:rsidRDefault="00AF2CF2" w:rsidP="00C551BB">
            <w:pPr>
              <w:keepNext/>
              <w:rPr>
                <w:rFonts w:ascii="Arial Narrow" w:hAnsi="Arial Narrow"/>
                <w:sz w:val="20"/>
                <w:szCs w:val="20"/>
              </w:rPr>
            </w:pPr>
          </w:p>
          <w:p w14:paraId="26B0D7FC" w14:textId="77777777" w:rsidR="00AF2CF2" w:rsidRPr="0084008F" w:rsidRDefault="00AF2CF2" w:rsidP="00C551BB">
            <w:pPr>
              <w:keepNext/>
              <w:rPr>
                <w:rFonts w:ascii="Arial Narrow" w:hAnsi="Arial Narrow"/>
                <w:sz w:val="20"/>
                <w:szCs w:val="20"/>
              </w:rPr>
            </w:pPr>
          </w:p>
          <w:p w14:paraId="695A9FBB" w14:textId="77777777" w:rsidR="00AF2CF2" w:rsidRPr="0084008F" w:rsidRDefault="00AF2CF2" w:rsidP="00C551BB">
            <w:pPr>
              <w:keepNext/>
              <w:rPr>
                <w:rFonts w:ascii="Arial Narrow" w:hAnsi="Arial Narrow"/>
                <w:sz w:val="20"/>
                <w:szCs w:val="20"/>
              </w:rPr>
            </w:pPr>
            <w:r w:rsidRPr="0084008F">
              <w:rPr>
                <w:rFonts w:ascii="Arial Narrow" w:hAnsi="Arial Narrow"/>
                <w:sz w:val="20"/>
                <w:szCs w:val="20"/>
              </w:rPr>
              <w:t>Biogen Australia Pty Ltd</w:t>
            </w:r>
          </w:p>
        </w:tc>
      </w:tr>
    </w:tbl>
    <w:p w14:paraId="508F5393" w14:textId="77777777" w:rsidR="00AF2CF2" w:rsidRPr="0084008F" w:rsidRDefault="00AF2CF2" w:rsidP="00AF2CF2">
      <w:pPr>
        <w:rPr>
          <w:sz w:val="20"/>
          <w:szCs w:val="20"/>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AF2CF2" w:rsidRPr="0084008F" w14:paraId="12A29ED4" w14:textId="77777777" w:rsidTr="00C551BB">
        <w:tc>
          <w:tcPr>
            <w:tcW w:w="553" w:type="pct"/>
            <w:tcBorders>
              <w:top w:val="single" w:sz="4" w:space="0" w:color="auto"/>
              <w:left w:val="single" w:sz="4" w:space="0" w:color="auto"/>
              <w:bottom w:val="single" w:sz="4" w:space="0" w:color="auto"/>
              <w:right w:val="single" w:sz="4" w:space="0" w:color="auto"/>
            </w:tcBorders>
          </w:tcPr>
          <w:p w14:paraId="25861AD3" w14:textId="5E0CDD51" w:rsidR="00AF2CF2" w:rsidRPr="0084008F" w:rsidRDefault="00AF2CF2" w:rsidP="00C551BB">
            <w:pPr>
              <w:jc w:val="center"/>
              <w:rPr>
                <w:rFonts w:ascii="Arial Narrow" w:hAnsi="Arial Narrow"/>
                <w:b/>
                <w:sz w:val="20"/>
                <w:szCs w:val="20"/>
              </w:rPr>
            </w:pPr>
          </w:p>
        </w:tc>
        <w:tc>
          <w:tcPr>
            <w:tcW w:w="4447" w:type="pct"/>
            <w:tcBorders>
              <w:top w:val="single" w:sz="4" w:space="0" w:color="auto"/>
              <w:left w:val="single" w:sz="4" w:space="0" w:color="auto"/>
              <w:bottom w:val="single" w:sz="4" w:space="0" w:color="auto"/>
              <w:right w:val="single" w:sz="4" w:space="0" w:color="auto"/>
            </w:tcBorders>
          </w:tcPr>
          <w:p w14:paraId="24BFE420" w14:textId="77777777" w:rsidR="00AF2CF2" w:rsidRPr="0084008F" w:rsidRDefault="00AF2CF2" w:rsidP="00C551BB">
            <w:pPr>
              <w:rPr>
                <w:rFonts w:ascii="Arial Narrow" w:hAnsi="Arial Narrow"/>
                <w:sz w:val="20"/>
                <w:szCs w:val="20"/>
              </w:rPr>
            </w:pPr>
            <w:r w:rsidRPr="0084008F">
              <w:rPr>
                <w:rFonts w:ascii="Arial Narrow" w:hAnsi="Arial Narrow"/>
                <w:b/>
                <w:sz w:val="20"/>
                <w:szCs w:val="20"/>
              </w:rPr>
              <w:t xml:space="preserve">Category / Program:   </w:t>
            </w:r>
          </w:p>
          <w:p w14:paraId="709F606F" w14:textId="77777777" w:rsidR="00AF2CF2" w:rsidRPr="0084008F" w:rsidRDefault="00AF2CF2" w:rsidP="00C551BB">
            <w:pPr>
              <w:rPr>
                <w:rFonts w:ascii="Arial Narrow" w:hAnsi="Arial Narrow"/>
                <w:sz w:val="20"/>
                <w:szCs w:val="20"/>
              </w:rPr>
            </w:pPr>
            <w:r w:rsidRPr="0084008F">
              <w:rPr>
                <w:rFonts w:ascii="Arial Narrow" w:hAnsi="Arial Narrow"/>
                <w:sz w:val="20"/>
                <w:szCs w:val="20"/>
              </w:rPr>
              <w:t>GENERAL – General Schedule (Code GE)</w:t>
            </w:r>
          </w:p>
          <w:p w14:paraId="2D438719" w14:textId="77777777" w:rsidR="00AF2CF2" w:rsidRPr="0084008F" w:rsidRDefault="00AF2CF2" w:rsidP="00C551BB">
            <w:pPr>
              <w:rPr>
                <w:rFonts w:ascii="Arial Narrow" w:hAnsi="Arial Narrow"/>
                <w:sz w:val="20"/>
                <w:szCs w:val="20"/>
              </w:rPr>
            </w:pPr>
            <w:r w:rsidRPr="0084008F">
              <w:rPr>
                <w:rFonts w:ascii="Arial Narrow" w:hAnsi="Arial Narrow"/>
                <w:sz w:val="20"/>
                <w:szCs w:val="20"/>
              </w:rPr>
              <w:t xml:space="preserve"> </w:t>
            </w:r>
          </w:p>
        </w:tc>
      </w:tr>
      <w:tr w:rsidR="00AF2CF2" w:rsidRPr="0084008F" w14:paraId="0EA9816D" w14:textId="77777777" w:rsidTr="00C551BB">
        <w:trPr>
          <w:trHeight w:val="366"/>
        </w:trPr>
        <w:tc>
          <w:tcPr>
            <w:tcW w:w="553" w:type="pct"/>
            <w:tcBorders>
              <w:top w:val="single" w:sz="4" w:space="0" w:color="auto"/>
              <w:left w:val="single" w:sz="4" w:space="0" w:color="auto"/>
              <w:bottom w:val="single" w:sz="4" w:space="0" w:color="auto"/>
              <w:right w:val="single" w:sz="4" w:space="0" w:color="auto"/>
            </w:tcBorders>
          </w:tcPr>
          <w:p w14:paraId="03B3EF34" w14:textId="77777777" w:rsidR="00AF2CF2" w:rsidRPr="0084008F" w:rsidRDefault="00AF2CF2" w:rsidP="00C551BB">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28EC5C9B" w14:textId="77777777" w:rsidR="00AF2CF2" w:rsidRPr="0084008F" w:rsidRDefault="00AF2CF2" w:rsidP="00C551BB">
            <w:pPr>
              <w:rPr>
                <w:rFonts w:ascii="Arial Narrow" w:hAnsi="Arial Narrow"/>
                <w:sz w:val="20"/>
                <w:szCs w:val="20"/>
              </w:rPr>
            </w:pPr>
            <w:r w:rsidRPr="0084008F">
              <w:rPr>
                <w:rFonts w:ascii="Arial Narrow" w:hAnsi="Arial Narrow"/>
                <w:b/>
                <w:sz w:val="20"/>
                <w:szCs w:val="20"/>
              </w:rPr>
              <w:t xml:space="preserve">Prescriber type:  </w:t>
            </w:r>
            <w:r w:rsidRPr="0084008F">
              <w:rPr>
                <w:rFonts w:ascii="Arial Narrow" w:hAnsi="Arial Narrow"/>
                <w:sz w:val="20"/>
                <w:szCs w:val="20"/>
              </w:rPr>
              <w:fldChar w:fldCharType="begin">
                <w:ffData>
                  <w:name w:val="Check1"/>
                  <w:enabled/>
                  <w:calcOnExit w:val="0"/>
                  <w:checkBox>
                    <w:sizeAuto/>
                    <w:default w:val="0"/>
                  </w:checkBox>
                </w:ffData>
              </w:fldChar>
            </w:r>
            <w:r w:rsidRPr="0084008F">
              <w:rPr>
                <w:rFonts w:ascii="Arial Narrow" w:hAnsi="Arial Narrow"/>
                <w:sz w:val="20"/>
                <w:szCs w:val="20"/>
              </w:rPr>
              <w:instrText xml:space="preserve"> FORMCHECKBOX </w:instrText>
            </w:r>
            <w:r w:rsidR="00756CE2">
              <w:rPr>
                <w:rFonts w:ascii="Arial Narrow" w:hAnsi="Arial Narrow"/>
                <w:sz w:val="20"/>
                <w:szCs w:val="20"/>
              </w:rPr>
            </w:r>
            <w:r w:rsidR="00756CE2">
              <w:rPr>
                <w:rFonts w:ascii="Arial Narrow" w:hAnsi="Arial Narrow"/>
                <w:sz w:val="20"/>
                <w:szCs w:val="20"/>
              </w:rPr>
              <w:fldChar w:fldCharType="separate"/>
            </w:r>
            <w:r w:rsidRPr="0084008F">
              <w:rPr>
                <w:rFonts w:ascii="Arial Narrow" w:hAnsi="Arial Narrow"/>
                <w:sz w:val="20"/>
                <w:szCs w:val="20"/>
              </w:rPr>
              <w:fldChar w:fldCharType="end"/>
            </w:r>
            <w:r w:rsidRPr="0084008F">
              <w:rPr>
                <w:rFonts w:ascii="Arial Narrow" w:hAnsi="Arial Narrow"/>
                <w:sz w:val="20"/>
                <w:szCs w:val="20"/>
              </w:rPr>
              <w:t xml:space="preserve">Dental  </w:t>
            </w:r>
            <w:r w:rsidRPr="0084008F">
              <w:rPr>
                <w:rFonts w:ascii="Arial Narrow" w:hAnsi="Arial Narrow"/>
                <w:sz w:val="20"/>
                <w:szCs w:val="20"/>
              </w:rPr>
              <w:fldChar w:fldCharType="begin">
                <w:ffData>
                  <w:name w:val=""/>
                  <w:enabled/>
                  <w:calcOnExit w:val="0"/>
                  <w:checkBox>
                    <w:sizeAuto/>
                    <w:default w:val="1"/>
                  </w:checkBox>
                </w:ffData>
              </w:fldChar>
            </w:r>
            <w:r w:rsidRPr="0084008F">
              <w:rPr>
                <w:rFonts w:ascii="Arial Narrow" w:hAnsi="Arial Narrow"/>
                <w:sz w:val="20"/>
                <w:szCs w:val="20"/>
              </w:rPr>
              <w:instrText xml:space="preserve"> FORMCHECKBOX </w:instrText>
            </w:r>
            <w:r w:rsidR="00756CE2">
              <w:rPr>
                <w:rFonts w:ascii="Arial Narrow" w:hAnsi="Arial Narrow"/>
                <w:sz w:val="20"/>
                <w:szCs w:val="20"/>
              </w:rPr>
            </w:r>
            <w:r w:rsidR="00756CE2">
              <w:rPr>
                <w:rFonts w:ascii="Arial Narrow" w:hAnsi="Arial Narrow"/>
                <w:sz w:val="20"/>
                <w:szCs w:val="20"/>
              </w:rPr>
              <w:fldChar w:fldCharType="separate"/>
            </w:r>
            <w:r w:rsidRPr="0084008F">
              <w:rPr>
                <w:rFonts w:ascii="Arial Narrow" w:hAnsi="Arial Narrow"/>
                <w:sz w:val="20"/>
                <w:szCs w:val="20"/>
              </w:rPr>
              <w:fldChar w:fldCharType="end"/>
            </w:r>
            <w:r w:rsidRPr="0084008F">
              <w:rPr>
                <w:rFonts w:ascii="Arial Narrow" w:hAnsi="Arial Narrow"/>
                <w:sz w:val="20"/>
                <w:szCs w:val="20"/>
              </w:rPr>
              <w:t xml:space="preserve">Medical Practitioners  </w:t>
            </w:r>
            <w:r w:rsidRPr="0084008F">
              <w:rPr>
                <w:rFonts w:ascii="Arial Narrow" w:hAnsi="Arial Narrow"/>
                <w:sz w:val="20"/>
                <w:szCs w:val="20"/>
              </w:rPr>
              <w:fldChar w:fldCharType="begin">
                <w:ffData>
                  <w:name w:val="Check3"/>
                  <w:enabled/>
                  <w:calcOnExit w:val="0"/>
                  <w:checkBox>
                    <w:sizeAuto/>
                    <w:default w:val="0"/>
                  </w:checkBox>
                </w:ffData>
              </w:fldChar>
            </w:r>
            <w:r w:rsidRPr="0084008F">
              <w:rPr>
                <w:rFonts w:ascii="Arial Narrow" w:hAnsi="Arial Narrow"/>
                <w:sz w:val="20"/>
                <w:szCs w:val="20"/>
              </w:rPr>
              <w:instrText xml:space="preserve"> FORMCHECKBOX </w:instrText>
            </w:r>
            <w:r w:rsidR="00756CE2">
              <w:rPr>
                <w:rFonts w:ascii="Arial Narrow" w:hAnsi="Arial Narrow"/>
                <w:sz w:val="20"/>
                <w:szCs w:val="20"/>
              </w:rPr>
            </w:r>
            <w:r w:rsidR="00756CE2">
              <w:rPr>
                <w:rFonts w:ascii="Arial Narrow" w:hAnsi="Arial Narrow"/>
                <w:sz w:val="20"/>
                <w:szCs w:val="20"/>
              </w:rPr>
              <w:fldChar w:fldCharType="separate"/>
            </w:r>
            <w:r w:rsidRPr="0084008F">
              <w:rPr>
                <w:rFonts w:ascii="Arial Narrow" w:hAnsi="Arial Narrow"/>
                <w:sz w:val="20"/>
                <w:szCs w:val="20"/>
              </w:rPr>
              <w:fldChar w:fldCharType="end"/>
            </w:r>
            <w:r w:rsidRPr="0084008F">
              <w:rPr>
                <w:rFonts w:ascii="Arial Narrow" w:hAnsi="Arial Narrow"/>
                <w:sz w:val="20"/>
                <w:szCs w:val="20"/>
              </w:rPr>
              <w:t xml:space="preserve">Nurse practitioners  </w:t>
            </w:r>
            <w:r w:rsidRPr="0084008F">
              <w:rPr>
                <w:rFonts w:ascii="Arial Narrow" w:hAnsi="Arial Narrow"/>
                <w:sz w:val="20"/>
                <w:szCs w:val="20"/>
              </w:rPr>
              <w:fldChar w:fldCharType="begin">
                <w:ffData>
                  <w:name w:val=""/>
                  <w:enabled/>
                  <w:calcOnExit w:val="0"/>
                  <w:checkBox>
                    <w:sizeAuto/>
                    <w:default w:val="0"/>
                  </w:checkBox>
                </w:ffData>
              </w:fldChar>
            </w:r>
            <w:r w:rsidRPr="0084008F">
              <w:rPr>
                <w:rFonts w:ascii="Arial Narrow" w:hAnsi="Arial Narrow"/>
                <w:sz w:val="20"/>
                <w:szCs w:val="20"/>
              </w:rPr>
              <w:instrText xml:space="preserve"> FORMCHECKBOX </w:instrText>
            </w:r>
            <w:r w:rsidR="00756CE2">
              <w:rPr>
                <w:rFonts w:ascii="Arial Narrow" w:hAnsi="Arial Narrow"/>
                <w:sz w:val="20"/>
                <w:szCs w:val="20"/>
              </w:rPr>
            </w:r>
            <w:r w:rsidR="00756CE2">
              <w:rPr>
                <w:rFonts w:ascii="Arial Narrow" w:hAnsi="Arial Narrow"/>
                <w:sz w:val="20"/>
                <w:szCs w:val="20"/>
              </w:rPr>
              <w:fldChar w:fldCharType="separate"/>
            </w:r>
            <w:r w:rsidRPr="0084008F">
              <w:rPr>
                <w:rFonts w:ascii="Arial Narrow" w:hAnsi="Arial Narrow"/>
                <w:sz w:val="20"/>
                <w:szCs w:val="20"/>
              </w:rPr>
              <w:fldChar w:fldCharType="end"/>
            </w:r>
            <w:r w:rsidRPr="0084008F">
              <w:rPr>
                <w:rFonts w:ascii="Arial Narrow" w:hAnsi="Arial Narrow"/>
                <w:sz w:val="20"/>
                <w:szCs w:val="20"/>
              </w:rPr>
              <w:t xml:space="preserve">Optometrists    </w:t>
            </w:r>
            <w:r w:rsidRPr="0084008F">
              <w:rPr>
                <w:rFonts w:ascii="Arial Narrow" w:hAnsi="Arial Narrow"/>
                <w:sz w:val="20"/>
                <w:szCs w:val="20"/>
              </w:rPr>
              <w:fldChar w:fldCharType="begin">
                <w:ffData>
                  <w:name w:val="Check5"/>
                  <w:enabled/>
                  <w:calcOnExit w:val="0"/>
                  <w:checkBox>
                    <w:sizeAuto/>
                    <w:default w:val="0"/>
                  </w:checkBox>
                </w:ffData>
              </w:fldChar>
            </w:r>
            <w:r w:rsidRPr="0084008F">
              <w:rPr>
                <w:rFonts w:ascii="Arial Narrow" w:hAnsi="Arial Narrow"/>
                <w:sz w:val="20"/>
                <w:szCs w:val="20"/>
              </w:rPr>
              <w:instrText xml:space="preserve"> FORMCHECKBOX </w:instrText>
            </w:r>
            <w:r w:rsidR="00756CE2">
              <w:rPr>
                <w:rFonts w:ascii="Arial Narrow" w:hAnsi="Arial Narrow"/>
                <w:sz w:val="20"/>
                <w:szCs w:val="20"/>
              </w:rPr>
            </w:r>
            <w:r w:rsidR="00756CE2">
              <w:rPr>
                <w:rFonts w:ascii="Arial Narrow" w:hAnsi="Arial Narrow"/>
                <w:sz w:val="20"/>
                <w:szCs w:val="20"/>
              </w:rPr>
              <w:fldChar w:fldCharType="separate"/>
            </w:r>
            <w:r w:rsidRPr="0084008F">
              <w:rPr>
                <w:rFonts w:ascii="Arial Narrow" w:hAnsi="Arial Narrow"/>
                <w:sz w:val="20"/>
                <w:szCs w:val="20"/>
              </w:rPr>
              <w:fldChar w:fldCharType="end"/>
            </w:r>
            <w:r w:rsidRPr="0084008F">
              <w:rPr>
                <w:rFonts w:ascii="Arial Narrow" w:hAnsi="Arial Narrow"/>
                <w:sz w:val="20"/>
                <w:szCs w:val="20"/>
              </w:rPr>
              <w:t>Midwives</w:t>
            </w:r>
          </w:p>
        </w:tc>
      </w:tr>
      <w:tr w:rsidR="00AF2CF2" w:rsidRPr="0084008F" w14:paraId="7901F197" w14:textId="77777777" w:rsidTr="00C551BB">
        <w:tc>
          <w:tcPr>
            <w:tcW w:w="553" w:type="pct"/>
            <w:tcBorders>
              <w:top w:val="single" w:sz="4" w:space="0" w:color="auto"/>
              <w:left w:val="single" w:sz="4" w:space="0" w:color="auto"/>
              <w:bottom w:val="single" w:sz="4" w:space="0" w:color="auto"/>
              <w:right w:val="single" w:sz="4" w:space="0" w:color="auto"/>
            </w:tcBorders>
          </w:tcPr>
          <w:p w14:paraId="298D40DA" w14:textId="77777777" w:rsidR="00AF2CF2" w:rsidRPr="0084008F" w:rsidRDefault="00AF2CF2" w:rsidP="00C551BB">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2AFDBFCA" w14:textId="77777777" w:rsidR="00AF2CF2" w:rsidRPr="0084008F" w:rsidRDefault="00AF2CF2" w:rsidP="00C551BB">
            <w:pPr>
              <w:rPr>
                <w:rFonts w:ascii="Arial Narrow" w:hAnsi="Arial Narrow"/>
                <w:b/>
                <w:sz w:val="20"/>
                <w:szCs w:val="20"/>
              </w:rPr>
            </w:pPr>
            <w:r w:rsidRPr="0084008F">
              <w:rPr>
                <w:rFonts w:ascii="Arial Narrow" w:hAnsi="Arial Narrow"/>
                <w:b/>
                <w:sz w:val="20"/>
                <w:szCs w:val="20"/>
              </w:rPr>
              <w:t>Restriction Level / Method:</w:t>
            </w:r>
          </w:p>
          <w:p w14:paraId="63B384FE" w14:textId="77777777" w:rsidR="00AF2CF2" w:rsidRPr="0084008F" w:rsidRDefault="00AF2CF2" w:rsidP="00C551BB">
            <w:pPr>
              <w:rPr>
                <w:rFonts w:ascii="Arial Narrow" w:hAnsi="Arial Narrow"/>
                <w:sz w:val="20"/>
                <w:szCs w:val="20"/>
              </w:rPr>
            </w:pPr>
            <w:r w:rsidRPr="0084008F">
              <w:rPr>
                <w:rFonts w:ascii="Arial Narrow" w:hAnsi="Arial Narrow"/>
                <w:sz w:val="20"/>
                <w:szCs w:val="20"/>
              </w:rPr>
              <w:fldChar w:fldCharType="begin">
                <w:ffData>
                  <w:name w:val=""/>
                  <w:enabled/>
                  <w:calcOnExit w:val="0"/>
                  <w:checkBox>
                    <w:sizeAuto/>
                    <w:default w:val="1"/>
                  </w:checkBox>
                </w:ffData>
              </w:fldChar>
            </w:r>
            <w:r w:rsidRPr="0084008F">
              <w:rPr>
                <w:rFonts w:ascii="Arial Narrow" w:hAnsi="Arial Narrow"/>
                <w:sz w:val="20"/>
                <w:szCs w:val="20"/>
              </w:rPr>
              <w:instrText xml:space="preserve"> FORMCHECKBOX </w:instrText>
            </w:r>
            <w:r w:rsidR="00756CE2">
              <w:rPr>
                <w:rFonts w:ascii="Arial Narrow" w:hAnsi="Arial Narrow"/>
                <w:sz w:val="20"/>
                <w:szCs w:val="20"/>
              </w:rPr>
            </w:r>
            <w:r w:rsidR="00756CE2">
              <w:rPr>
                <w:rFonts w:ascii="Arial Narrow" w:hAnsi="Arial Narrow"/>
                <w:sz w:val="20"/>
                <w:szCs w:val="20"/>
              </w:rPr>
              <w:fldChar w:fldCharType="separate"/>
            </w:r>
            <w:r w:rsidRPr="0084008F">
              <w:rPr>
                <w:rFonts w:ascii="Arial Narrow" w:hAnsi="Arial Narrow"/>
                <w:sz w:val="20"/>
                <w:szCs w:val="20"/>
              </w:rPr>
              <w:fldChar w:fldCharType="end"/>
            </w:r>
            <w:r w:rsidRPr="0084008F">
              <w:rPr>
                <w:rFonts w:ascii="Arial Narrow" w:hAnsi="Arial Narrow"/>
                <w:sz w:val="20"/>
                <w:szCs w:val="20"/>
              </w:rPr>
              <w:t>Authority Required - Streamlined</w:t>
            </w:r>
          </w:p>
        </w:tc>
      </w:tr>
      <w:tr w:rsidR="00AF2CF2" w:rsidRPr="0084008F" w14:paraId="4D3FDF18" w14:textId="77777777" w:rsidTr="00C551BB">
        <w:tc>
          <w:tcPr>
            <w:tcW w:w="553" w:type="pct"/>
            <w:vAlign w:val="center"/>
          </w:tcPr>
          <w:p w14:paraId="5A9E2E95" w14:textId="2E934A50" w:rsidR="00AF2CF2" w:rsidRPr="0084008F" w:rsidRDefault="00AF2CF2" w:rsidP="00C551BB">
            <w:pPr>
              <w:jc w:val="center"/>
              <w:rPr>
                <w:rFonts w:ascii="Arial Narrow" w:hAnsi="Arial Narrow"/>
                <w:color w:val="333333"/>
                <w:sz w:val="20"/>
                <w:szCs w:val="20"/>
              </w:rPr>
            </w:pPr>
          </w:p>
        </w:tc>
        <w:tc>
          <w:tcPr>
            <w:tcW w:w="4447" w:type="pct"/>
            <w:vAlign w:val="center"/>
          </w:tcPr>
          <w:p w14:paraId="016DE65F" w14:textId="77777777" w:rsidR="00AF2CF2" w:rsidRPr="0084008F" w:rsidRDefault="00AF2CF2" w:rsidP="00C551BB">
            <w:pPr>
              <w:rPr>
                <w:rFonts w:ascii="Arial Narrow" w:hAnsi="Arial Narrow"/>
                <w:b/>
                <w:bCs/>
                <w:color w:val="333333"/>
                <w:sz w:val="20"/>
                <w:szCs w:val="20"/>
              </w:rPr>
            </w:pPr>
            <w:r w:rsidRPr="0084008F">
              <w:rPr>
                <w:rFonts w:ascii="Arial Narrow" w:hAnsi="Arial Narrow"/>
                <w:b/>
                <w:bCs/>
                <w:color w:val="333333"/>
                <w:sz w:val="20"/>
                <w:szCs w:val="20"/>
              </w:rPr>
              <w:t>Administrative Advice:</w:t>
            </w:r>
          </w:p>
          <w:p w14:paraId="702B6EA0"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No increase in the maximum quantity or number of units may be authorised.</w:t>
            </w:r>
          </w:p>
        </w:tc>
      </w:tr>
      <w:tr w:rsidR="00AF2CF2" w:rsidRPr="0084008F" w14:paraId="0A6C5FD7" w14:textId="77777777" w:rsidTr="00C551BB">
        <w:tc>
          <w:tcPr>
            <w:tcW w:w="553" w:type="pct"/>
            <w:vAlign w:val="center"/>
          </w:tcPr>
          <w:p w14:paraId="265E818C" w14:textId="6396A964" w:rsidR="00AF2CF2" w:rsidRPr="0084008F" w:rsidRDefault="00AF2CF2" w:rsidP="00C551BB">
            <w:pPr>
              <w:jc w:val="center"/>
              <w:rPr>
                <w:rFonts w:ascii="Arial Narrow" w:hAnsi="Arial Narrow"/>
                <w:color w:val="333333"/>
                <w:sz w:val="20"/>
                <w:szCs w:val="20"/>
              </w:rPr>
            </w:pPr>
          </w:p>
        </w:tc>
        <w:tc>
          <w:tcPr>
            <w:tcW w:w="4447" w:type="pct"/>
            <w:vAlign w:val="center"/>
          </w:tcPr>
          <w:p w14:paraId="129CABEF" w14:textId="77777777" w:rsidR="00AF2CF2" w:rsidRPr="0084008F" w:rsidRDefault="00AF2CF2" w:rsidP="00C551BB">
            <w:pPr>
              <w:rPr>
                <w:rFonts w:ascii="Arial Narrow" w:hAnsi="Arial Narrow"/>
                <w:b/>
                <w:bCs/>
                <w:color w:val="333333"/>
                <w:sz w:val="20"/>
                <w:szCs w:val="20"/>
              </w:rPr>
            </w:pPr>
            <w:r w:rsidRPr="0084008F">
              <w:rPr>
                <w:rFonts w:ascii="Arial Narrow" w:hAnsi="Arial Narrow"/>
                <w:b/>
                <w:bCs/>
                <w:color w:val="333333"/>
                <w:sz w:val="20"/>
                <w:szCs w:val="20"/>
              </w:rPr>
              <w:t>Administrative Advice:</w:t>
            </w:r>
          </w:p>
          <w:p w14:paraId="1F7C9BA9"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No increase in the maximum number of repeats may be authorised.</w:t>
            </w:r>
          </w:p>
        </w:tc>
      </w:tr>
      <w:tr w:rsidR="00AF2CF2" w:rsidRPr="0084008F" w14:paraId="3E48C693" w14:textId="77777777" w:rsidTr="00C551BB">
        <w:tc>
          <w:tcPr>
            <w:tcW w:w="553" w:type="pct"/>
            <w:vAlign w:val="center"/>
          </w:tcPr>
          <w:p w14:paraId="7AA56C7B" w14:textId="25ED425D" w:rsidR="00AF2CF2" w:rsidRPr="0084008F" w:rsidRDefault="00AF2CF2" w:rsidP="00C551BB">
            <w:pPr>
              <w:jc w:val="center"/>
              <w:rPr>
                <w:rFonts w:ascii="Arial Narrow" w:hAnsi="Arial Narrow"/>
                <w:color w:val="333333"/>
                <w:sz w:val="20"/>
                <w:szCs w:val="20"/>
              </w:rPr>
            </w:pPr>
          </w:p>
        </w:tc>
        <w:tc>
          <w:tcPr>
            <w:tcW w:w="4447" w:type="pct"/>
            <w:vAlign w:val="center"/>
          </w:tcPr>
          <w:p w14:paraId="373F9F6C" w14:textId="77777777" w:rsidR="00AF2CF2" w:rsidRPr="0084008F" w:rsidRDefault="00AF2CF2" w:rsidP="00C551BB">
            <w:pPr>
              <w:rPr>
                <w:rFonts w:ascii="Arial Narrow" w:hAnsi="Arial Narrow"/>
                <w:b/>
                <w:bCs/>
                <w:color w:val="333333"/>
                <w:sz w:val="20"/>
                <w:szCs w:val="20"/>
              </w:rPr>
            </w:pPr>
            <w:r w:rsidRPr="0084008F">
              <w:rPr>
                <w:rFonts w:ascii="Arial Narrow" w:hAnsi="Arial Narrow"/>
                <w:b/>
                <w:bCs/>
                <w:color w:val="333333"/>
                <w:sz w:val="20"/>
                <w:szCs w:val="20"/>
              </w:rPr>
              <w:t>Administrative Advice:</w:t>
            </w:r>
          </w:p>
          <w:p w14:paraId="1ED3CC13" w14:textId="77777777" w:rsidR="00AF2CF2" w:rsidRPr="0084008F" w:rsidRDefault="00AF2CF2" w:rsidP="00C551BB">
            <w:pPr>
              <w:rPr>
                <w:rFonts w:ascii="Arial Narrow" w:hAnsi="Arial Narrow"/>
                <w:b/>
                <w:bCs/>
                <w:color w:val="333333"/>
                <w:sz w:val="20"/>
                <w:szCs w:val="20"/>
              </w:rPr>
            </w:pPr>
            <w:r w:rsidRPr="0084008F">
              <w:rPr>
                <w:rFonts w:ascii="Arial Narrow" w:hAnsi="Arial Narrow"/>
                <w:color w:val="333333"/>
                <w:sz w:val="20"/>
                <w:szCs w:val="20"/>
              </w:rPr>
              <w:t>Special Pricing Arrangements apply.</w:t>
            </w:r>
          </w:p>
        </w:tc>
      </w:tr>
      <w:tr w:rsidR="00AF2CF2" w:rsidRPr="0084008F" w14:paraId="56398F35" w14:textId="77777777" w:rsidTr="00C551BB">
        <w:tc>
          <w:tcPr>
            <w:tcW w:w="553" w:type="pct"/>
            <w:vAlign w:val="center"/>
          </w:tcPr>
          <w:p w14:paraId="08F6CECC" w14:textId="77777777" w:rsidR="00AF2CF2" w:rsidRPr="0084008F" w:rsidRDefault="00AF2CF2" w:rsidP="00C551BB">
            <w:pPr>
              <w:jc w:val="center"/>
              <w:rPr>
                <w:rFonts w:ascii="Arial Narrow" w:hAnsi="Arial Narrow"/>
                <w:color w:val="333333"/>
                <w:sz w:val="20"/>
                <w:szCs w:val="20"/>
              </w:rPr>
            </w:pPr>
          </w:p>
        </w:tc>
        <w:tc>
          <w:tcPr>
            <w:tcW w:w="4447" w:type="pct"/>
            <w:vAlign w:val="center"/>
          </w:tcPr>
          <w:p w14:paraId="7F680FF8" w14:textId="77777777" w:rsidR="00AF2CF2" w:rsidRPr="0084008F" w:rsidRDefault="00AF2CF2" w:rsidP="00C551BB">
            <w:pPr>
              <w:rPr>
                <w:rFonts w:ascii="Arial Narrow" w:hAnsi="Arial Narrow"/>
                <w:b/>
                <w:bCs/>
                <w:color w:val="333333"/>
                <w:sz w:val="20"/>
                <w:szCs w:val="20"/>
              </w:rPr>
            </w:pPr>
            <w:r w:rsidRPr="0084008F">
              <w:rPr>
                <w:rFonts w:ascii="Arial Narrow" w:hAnsi="Arial Narrow"/>
                <w:b/>
                <w:bCs/>
                <w:color w:val="333333"/>
                <w:sz w:val="20"/>
                <w:szCs w:val="20"/>
              </w:rPr>
              <w:t xml:space="preserve">Condition: </w:t>
            </w:r>
            <w:r w:rsidRPr="0084008F">
              <w:rPr>
                <w:rFonts w:ascii="Arial Narrow" w:hAnsi="Arial Narrow"/>
                <w:bCs/>
                <w:color w:val="333333"/>
                <w:sz w:val="20"/>
                <w:szCs w:val="20"/>
              </w:rPr>
              <w:t>Multiple sclerosis</w:t>
            </w:r>
          </w:p>
        </w:tc>
      </w:tr>
      <w:tr w:rsidR="00AF2CF2" w:rsidRPr="0084008F" w14:paraId="40103201" w14:textId="77777777" w:rsidTr="00BC4308">
        <w:tc>
          <w:tcPr>
            <w:tcW w:w="553" w:type="pct"/>
            <w:vAlign w:val="center"/>
          </w:tcPr>
          <w:p w14:paraId="7937D6AB" w14:textId="1A17A5E1" w:rsidR="00AF2CF2" w:rsidRPr="0084008F" w:rsidRDefault="00AF2CF2" w:rsidP="00C551BB">
            <w:pPr>
              <w:jc w:val="center"/>
              <w:rPr>
                <w:rFonts w:ascii="Arial Narrow" w:hAnsi="Arial Narrow"/>
                <w:color w:val="333333"/>
                <w:sz w:val="20"/>
                <w:szCs w:val="20"/>
              </w:rPr>
            </w:pPr>
          </w:p>
        </w:tc>
        <w:tc>
          <w:tcPr>
            <w:tcW w:w="4447" w:type="pct"/>
            <w:vAlign w:val="center"/>
            <w:hideMark/>
          </w:tcPr>
          <w:p w14:paraId="6E3345F8"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Indication:</w:t>
            </w:r>
            <w:r w:rsidRPr="0084008F">
              <w:rPr>
                <w:rFonts w:ascii="Arial Narrow" w:hAnsi="Arial Narrow"/>
                <w:color w:val="333333"/>
                <w:sz w:val="20"/>
                <w:szCs w:val="20"/>
              </w:rPr>
              <w:t xml:space="preserve"> </w:t>
            </w:r>
            <w:r w:rsidRPr="0084008F">
              <w:rPr>
                <w:rFonts w:ascii="Arial Narrow" w:hAnsi="Arial Narrow"/>
                <w:bCs/>
                <w:color w:val="333333"/>
                <w:sz w:val="20"/>
                <w:szCs w:val="20"/>
              </w:rPr>
              <w:t>Multiple sclerosis</w:t>
            </w:r>
          </w:p>
        </w:tc>
      </w:tr>
      <w:tr w:rsidR="00AF2CF2" w:rsidRPr="0084008F" w14:paraId="09C554D6" w14:textId="77777777" w:rsidTr="00BC4308">
        <w:tc>
          <w:tcPr>
            <w:tcW w:w="553" w:type="pct"/>
            <w:vAlign w:val="center"/>
          </w:tcPr>
          <w:p w14:paraId="485B3464" w14:textId="77777777" w:rsidR="00AF2CF2" w:rsidRPr="0084008F" w:rsidRDefault="00AF2CF2" w:rsidP="00C551BB">
            <w:pPr>
              <w:jc w:val="center"/>
              <w:rPr>
                <w:rFonts w:ascii="Arial Narrow" w:hAnsi="Arial Narrow"/>
                <w:color w:val="333333"/>
                <w:sz w:val="20"/>
                <w:szCs w:val="20"/>
              </w:rPr>
            </w:pPr>
          </w:p>
        </w:tc>
        <w:tc>
          <w:tcPr>
            <w:tcW w:w="4447" w:type="pct"/>
            <w:vAlign w:val="center"/>
            <w:hideMark/>
          </w:tcPr>
          <w:p w14:paraId="6DF5CCF9"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Treatment Phase:</w:t>
            </w:r>
            <w:r w:rsidRPr="0084008F">
              <w:rPr>
                <w:rFonts w:ascii="Arial Narrow" w:hAnsi="Arial Narrow"/>
                <w:color w:val="333333"/>
                <w:sz w:val="20"/>
                <w:szCs w:val="20"/>
              </w:rPr>
              <w:t xml:space="preserve"> Initial treatment</w:t>
            </w:r>
          </w:p>
        </w:tc>
      </w:tr>
      <w:tr w:rsidR="00AF2CF2" w:rsidRPr="0084008F" w14:paraId="14B22C51" w14:textId="77777777" w:rsidTr="00BC4308">
        <w:tc>
          <w:tcPr>
            <w:tcW w:w="553" w:type="pct"/>
            <w:vAlign w:val="center"/>
          </w:tcPr>
          <w:p w14:paraId="72544A44" w14:textId="18437624" w:rsidR="00AF2CF2" w:rsidRPr="0084008F" w:rsidRDefault="00AF2CF2" w:rsidP="00C551BB">
            <w:pPr>
              <w:jc w:val="center"/>
              <w:rPr>
                <w:rFonts w:ascii="Arial Narrow" w:hAnsi="Arial Narrow"/>
                <w:color w:val="333333"/>
                <w:sz w:val="20"/>
                <w:szCs w:val="20"/>
              </w:rPr>
            </w:pPr>
          </w:p>
        </w:tc>
        <w:tc>
          <w:tcPr>
            <w:tcW w:w="4447" w:type="pct"/>
            <w:vAlign w:val="center"/>
            <w:hideMark/>
          </w:tcPr>
          <w:p w14:paraId="26B1F935" w14:textId="77777777" w:rsidR="00AF2CF2" w:rsidRPr="0084008F" w:rsidRDefault="00AF2CF2" w:rsidP="00C551BB">
            <w:pPr>
              <w:rPr>
                <w:rFonts w:ascii="Arial Narrow" w:hAnsi="Arial Narrow"/>
                <w:b/>
                <w:bCs/>
                <w:color w:val="333333"/>
                <w:sz w:val="20"/>
                <w:szCs w:val="20"/>
              </w:rPr>
            </w:pPr>
            <w:r w:rsidRPr="0084008F">
              <w:rPr>
                <w:rFonts w:ascii="Arial Narrow" w:hAnsi="Arial Narrow"/>
                <w:b/>
                <w:bCs/>
                <w:color w:val="333333"/>
                <w:sz w:val="20"/>
                <w:szCs w:val="20"/>
              </w:rPr>
              <w:t>Clinical criteria:</w:t>
            </w:r>
          </w:p>
        </w:tc>
      </w:tr>
      <w:tr w:rsidR="00AF2CF2" w:rsidRPr="0084008F" w14:paraId="0460A1D1" w14:textId="77777777" w:rsidTr="00BC4308">
        <w:tc>
          <w:tcPr>
            <w:tcW w:w="553" w:type="pct"/>
            <w:vAlign w:val="center"/>
          </w:tcPr>
          <w:p w14:paraId="40656495" w14:textId="6F180EE7" w:rsidR="00AF2CF2" w:rsidRPr="0084008F" w:rsidRDefault="00AF2CF2" w:rsidP="00C551BB">
            <w:pPr>
              <w:jc w:val="center"/>
              <w:rPr>
                <w:rFonts w:ascii="Arial Narrow" w:hAnsi="Arial Narrow"/>
                <w:color w:val="333333"/>
                <w:sz w:val="20"/>
                <w:szCs w:val="20"/>
              </w:rPr>
            </w:pPr>
          </w:p>
        </w:tc>
        <w:tc>
          <w:tcPr>
            <w:tcW w:w="4447" w:type="pct"/>
            <w:vAlign w:val="center"/>
            <w:hideMark/>
          </w:tcPr>
          <w:p w14:paraId="0CD0868B"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 xml:space="preserve">The condition must be diagnosed as clinically definite relapsing-remitting multiple sclerosis by magnetic resonance imaging of the brain and/or spinal </w:t>
            </w:r>
            <w:proofErr w:type="gramStart"/>
            <w:r w:rsidRPr="0084008F">
              <w:rPr>
                <w:rFonts w:ascii="Arial Narrow" w:hAnsi="Arial Narrow"/>
                <w:color w:val="333333"/>
                <w:sz w:val="20"/>
                <w:szCs w:val="20"/>
              </w:rPr>
              <w:t>cord;</w:t>
            </w:r>
            <w:proofErr w:type="gramEnd"/>
          </w:p>
          <w:p w14:paraId="36C630E1"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OR</w:t>
            </w:r>
          </w:p>
          <w:p w14:paraId="6C4DEBEC"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tc>
      </w:tr>
      <w:tr w:rsidR="00AF2CF2" w:rsidRPr="0084008F" w14:paraId="3DD96CC7" w14:textId="77777777" w:rsidTr="00BC4308">
        <w:tc>
          <w:tcPr>
            <w:tcW w:w="553" w:type="pct"/>
            <w:vAlign w:val="center"/>
          </w:tcPr>
          <w:p w14:paraId="0A2C83C1" w14:textId="77777777" w:rsidR="00AF2CF2" w:rsidRPr="0084008F" w:rsidRDefault="00AF2CF2" w:rsidP="00C551BB">
            <w:pPr>
              <w:jc w:val="center"/>
              <w:rPr>
                <w:rFonts w:ascii="Arial Narrow" w:hAnsi="Arial Narrow"/>
                <w:color w:val="333333"/>
                <w:sz w:val="20"/>
                <w:szCs w:val="20"/>
              </w:rPr>
            </w:pPr>
          </w:p>
        </w:tc>
        <w:tc>
          <w:tcPr>
            <w:tcW w:w="4447" w:type="pct"/>
            <w:vAlign w:val="center"/>
            <w:hideMark/>
          </w:tcPr>
          <w:p w14:paraId="68C738C3"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AND</w:t>
            </w:r>
          </w:p>
        </w:tc>
      </w:tr>
      <w:tr w:rsidR="00AF2CF2" w:rsidRPr="0084008F" w14:paraId="588706AD" w14:textId="77777777" w:rsidTr="00C551BB">
        <w:tc>
          <w:tcPr>
            <w:tcW w:w="553" w:type="pct"/>
            <w:vAlign w:val="center"/>
          </w:tcPr>
          <w:p w14:paraId="592EE343" w14:textId="0900AD3B" w:rsidR="00AF2CF2" w:rsidRPr="0084008F" w:rsidRDefault="00AF2CF2" w:rsidP="00C551BB">
            <w:pPr>
              <w:jc w:val="center"/>
              <w:rPr>
                <w:rFonts w:ascii="Arial Narrow" w:hAnsi="Arial Narrow"/>
                <w:color w:val="333333"/>
                <w:sz w:val="20"/>
                <w:szCs w:val="20"/>
              </w:rPr>
            </w:pPr>
          </w:p>
        </w:tc>
        <w:tc>
          <w:tcPr>
            <w:tcW w:w="4447" w:type="pct"/>
            <w:vAlign w:val="center"/>
            <w:hideMark/>
          </w:tcPr>
          <w:p w14:paraId="76D15A6D"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AF2CF2" w:rsidRPr="0084008F" w14:paraId="6766D78F" w14:textId="77777777" w:rsidTr="00C551BB">
        <w:tc>
          <w:tcPr>
            <w:tcW w:w="553" w:type="pct"/>
            <w:vAlign w:val="center"/>
          </w:tcPr>
          <w:p w14:paraId="4F17F715" w14:textId="7A0266E7" w:rsidR="00AF2CF2" w:rsidRPr="0084008F" w:rsidRDefault="00AF2CF2" w:rsidP="00C551BB">
            <w:pPr>
              <w:jc w:val="center"/>
              <w:rPr>
                <w:rFonts w:ascii="Arial Narrow" w:hAnsi="Arial Narrow"/>
                <w:color w:val="333333"/>
                <w:sz w:val="20"/>
                <w:szCs w:val="20"/>
              </w:rPr>
            </w:pPr>
          </w:p>
        </w:tc>
        <w:tc>
          <w:tcPr>
            <w:tcW w:w="4447" w:type="pct"/>
            <w:vAlign w:val="center"/>
            <w:hideMark/>
          </w:tcPr>
          <w:p w14:paraId="656ED178"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The treatment must be the sole PBS-subsidised disease modifying therapy for this condition.</w:t>
            </w:r>
          </w:p>
        </w:tc>
      </w:tr>
      <w:tr w:rsidR="00AF2CF2" w:rsidRPr="0084008F" w14:paraId="3AA31906" w14:textId="77777777" w:rsidTr="00C551BB">
        <w:tc>
          <w:tcPr>
            <w:tcW w:w="553" w:type="pct"/>
            <w:vAlign w:val="center"/>
          </w:tcPr>
          <w:p w14:paraId="6F688986" w14:textId="77777777" w:rsidR="00AF2CF2" w:rsidRPr="0084008F" w:rsidRDefault="00AF2CF2" w:rsidP="00C551BB">
            <w:pPr>
              <w:jc w:val="center"/>
              <w:rPr>
                <w:rFonts w:ascii="Arial Narrow" w:hAnsi="Arial Narrow"/>
                <w:color w:val="333333"/>
                <w:sz w:val="20"/>
                <w:szCs w:val="20"/>
              </w:rPr>
            </w:pPr>
          </w:p>
        </w:tc>
        <w:tc>
          <w:tcPr>
            <w:tcW w:w="4447" w:type="pct"/>
            <w:vAlign w:val="center"/>
          </w:tcPr>
          <w:p w14:paraId="1870CE32"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AND</w:t>
            </w:r>
          </w:p>
        </w:tc>
      </w:tr>
      <w:tr w:rsidR="00AF2CF2" w:rsidRPr="0084008F" w14:paraId="52A930D8" w14:textId="77777777" w:rsidTr="00C551BB">
        <w:tc>
          <w:tcPr>
            <w:tcW w:w="553" w:type="pct"/>
            <w:vAlign w:val="center"/>
          </w:tcPr>
          <w:p w14:paraId="1E03D240" w14:textId="4932AE25" w:rsidR="00AF2CF2" w:rsidRPr="0084008F" w:rsidRDefault="00AF2CF2" w:rsidP="00C551BB">
            <w:pPr>
              <w:jc w:val="center"/>
              <w:rPr>
                <w:rFonts w:ascii="Arial Narrow" w:hAnsi="Arial Narrow"/>
                <w:color w:val="333333"/>
                <w:sz w:val="20"/>
                <w:szCs w:val="20"/>
              </w:rPr>
            </w:pPr>
          </w:p>
        </w:tc>
        <w:tc>
          <w:tcPr>
            <w:tcW w:w="4447" w:type="pct"/>
            <w:vAlign w:val="center"/>
          </w:tcPr>
          <w:p w14:paraId="13A59747"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AF2CF2" w:rsidRPr="0084008F" w14:paraId="0EF62B19" w14:textId="77777777" w:rsidTr="00C551BB">
        <w:tc>
          <w:tcPr>
            <w:tcW w:w="553" w:type="pct"/>
            <w:vAlign w:val="center"/>
          </w:tcPr>
          <w:p w14:paraId="3FC3B532" w14:textId="384F8F98" w:rsidR="00AF2CF2" w:rsidRPr="0084008F" w:rsidRDefault="00AF2CF2" w:rsidP="00C551BB">
            <w:pPr>
              <w:jc w:val="center"/>
              <w:rPr>
                <w:rFonts w:ascii="Arial Narrow" w:hAnsi="Arial Narrow"/>
                <w:color w:val="333333"/>
                <w:sz w:val="20"/>
                <w:szCs w:val="20"/>
              </w:rPr>
            </w:pPr>
          </w:p>
        </w:tc>
        <w:tc>
          <w:tcPr>
            <w:tcW w:w="4447" w:type="pct"/>
            <w:vAlign w:val="center"/>
          </w:tcPr>
          <w:p w14:paraId="520B1A20"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Patient must have experienced at least 2 documented attacks of neurological dysfunction, believed to be due to multiple sclerosis, in the preceding 2 years of commencing a PBS-subsidised disease modifying therapy for this condition.</w:t>
            </w:r>
          </w:p>
        </w:tc>
      </w:tr>
      <w:tr w:rsidR="00AF2CF2" w:rsidRPr="0084008F" w14:paraId="2E7FBE0D" w14:textId="77777777" w:rsidTr="00C551BB">
        <w:tc>
          <w:tcPr>
            <w:tcW w:w="553" w:type="pct"/>
            <w:vAlign w:val="center"/>
          </w:tcPr>
          <w:p w14:paraId="14E02006" w14:textId="77777777" w:rsidR="00AF2CF2" w:rsidRPr="0084008F" w:rsidRDefault="00AF2CF2" w:rsidP="00C551BB">
            <w:pPr>
              <w:jc w:val="center"/>
              <w:rPr>
                <w:rFonts w:ascii="Arial Narrow" w:hAnsi="Arial Narrow"/>
                <w:color w:val="333333"/>
                <w:sz w:val="20"/>
                <w:szCs w:val="20"/>
              </w:rPr>
            </w:pPr>
          </w:p>
        </w:tc>
        <w:tc>
          <w:tcPr>
            <w:tcW w:w="4447" w:type="pct"/>
            <w:vAlign w:val="center"/>
            <w:hideMark/>
          </w:tcPr>
          <w:p w14:paraId="753933A9"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AND</w:t>
            </w:r>
          </w:p>
        </w:tc>
      </w:tr>
      <w:tr w:rsidR="00AF2CF2" w:rsidRPr="0084008F" w14:paraId="6D887F43" w14:textId="77777777" w:rsidTr="00C551BB">
        <w:tc>
          <w:tcPr>
            <w:tcW w:w="553" w:type="pct"/>
            <w:vAlign w:val="center"/>
          </w:tcPr>
          <w:p w14:paraId="75AAC2AD" w14:textId="5F447F00" w:rsidR="00AF2CF2" w:rsidRPr="0084008F" w:rsidRDefault="00AF2CF2" w:rsidP="00C551BB">
            <w:pPr>
              <w:jc w:val="center"/>
              <w:rPr>
                <w:rFonts w:ascii="Arial Narrow" w:hAnsi="Arial Narrow"/>
                <w:color w:val="333333"/>
                <w:sz w:val="20"/>
                <w:szCs w:val="20"/>
              </w:rPr>
            </w:pPr>
          </w:p>
        </w:tc>
        <w:tc>
          <w:tcPr>
            <w:tcW w:w="4447" w:type="pct"/>
            <w:vAlign w:val="center"/>
            <w:hideMark/>
          </w:tcPr>
          <w:p w14:paraId="32FB4B67"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AF2CF2" w:rsidRPr="0084008F" w14:paraId="7EF19C4C" w14:textId="77777777" w:rsidTr="00C551BB">
        <w:tc>
          <w:tcPr>
            <w:tcW w:w="553" w:type="pct"/>
            <w:vAlign w:val="center"/>
          </w:tcPr>
          <w:p w14:paraId="28872D2B" w14:textId="61C91976" w:rsidR="00AF2CF2" w:rsidRPr="0084008F" w:rsidRDefault="00AF2CF2" w:rsidP="00C551BB">
            <w:pPr>
              <w:jc w:val="center"/>
              <w:rPr>
                <w:rFonts w:ascii="Arial Narrow" w:hAnsi="Arial Narrow"/>
                <w:color w:val="333333"/>
                <w:sz w:val="20"/>
                <w:szCs w:val="20"/>
              </w:rPr>
            </w:pPr>
          </w:p>
        </w:tc>
        <w:tc>
          <w:tcPr>
            <w:tcW w:w="4447" w:type="pct"/>
            <w:vAlign w:val="center"/>
            <w:hideMark/>
          </w:tcPr>
          <w:p w14:paraId="64DC9FF6"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Patient must be ambulatory (without assistance or support)</w:t>
            </w:r>
          </w:p>
        </w:tc>
      </w:tr>
      <w:tr w:rsidR="00AF2CF2" w:rsidRPr="0084008F" w14:paraId="0AB272C5" w14:textId="77777777" w:rsidTr="00C551BB">
        <w:tc>
          <w:tcPr>
            <w:tcW w:w="553" w:type="pct"/>
            <w:vAlign w:val="center"/>
          </w:tcPr>
          <w:p w14:paraId="1605FA16" w14:textId="77777777" w:rsidR="00AF2CF2" w:rsidRPr="0084008F" w:rsidRDefault="00AF2CF2" w:rsidP="00C551BB">
            <w:pPr>
              <w:jc w:val="center"/>
              <w:rPr>
                <w:rFonts w:ascii="Arial Narrow" w:hAnsi="Arial Narrow"/>
                <w:color w:val="333333"/>
                <w:sz w:val="20"/>
                <w:szCs w:val="20"/>
              </w:rPr>
            </w:pPr>
          </w:p>
        </w:tc>
        <w:tc>
          <w:tcPr>
            <w:tcW w:w="4447" w:type="pct"/>
            <w:vAlign w:val="center"/>
            <w:hideMark/>
          </w:tcPr>
          <w:p w14:paraId="7E57D5CF"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AND</w:t>
            </w:r>
          </w:p>
        </w:tc>
      </w:tr>
      <w:tr w:rsidR="00AF2CF2" w:rsidRPr="0084008F" w14:paraId="0F333994" w14:textId="77777777" w:rsidTr="00BC4308">
        <w:tc>
          <w:tcPr>
            <w:tcW w:w="553" w:type="pct"/>
            <w:vAlign w:val="center"/>
          </w:tcPr>
          <w:p w14:paraId="7AE999BF" w14:textId="7AE2A45F" w:rsidR="00AF2CF2" w:rsidRPr="0084008F" w:rsidRDefault="00AF2CF2" w:rsidP="00C551BB">
            <w:pPr>
              <w:jc w:val="center"/>
              <w:rPr>
                <w:rFonts w:ascii="Arial Narrow" w:hAnsi="Arial Narrow"/>
                <w:color w:val="333333"/>
                <w:sz w:val="20"/>
                <w:szCs w:val="20"/>
              </w:rPr>
            </w:pPr>
          </w:p>
        </w:tc>
        <w:tc>
          <w:tcPr>
            <w:tcW w:w="4447" w:type="pct"/>
            <w:vAlign w:val="center"/>
            <w:hideMark/>
          </w:tcPr>
          <w:p w14:paraId="6EBC3EB4" w14:textId="77777777" w:rsidR="00AF2CF2" w:rsidRPr="0084008F" w:rsidRDefault="00AF2CF2" w:rsidP="00C551BB">
            <w:pPr>
              <w:rPr>
                <w:rFonts w:ascii="Arial Narrow" w:hAnsi="Arial Narrow"/>
                <w:b/>
                <w:bCs/>
                <w:color w:val="333333"/>
                <w:sz w:val="20"/>
                <w:szCs w:val="20"/>
              </w:rPr>
            </w:pPr>
            <w:r w:rsidRPr="0084008F">
              <w:rPr>
                <w:rFonts w:ascii="Arial Narrow" w:hAnsi="Arial Narrow"/>
                <w:b/>
                <w:bCs/>
                <w:color w:val="333333"/>
                <w:sz w:val="20"/>
                <w:szCs w:val="20"/>
              </w:rPr>
              <w:t xml:space="preserve">Prescribing Instructions: </w:t>
            </w:r>
          </w:p>
          <w:p w14:paraId="46BE6538" w14:textId="77777777" w:rsidR="00AF2CF2" w:rsidRPr="0084008F" w:rsidRDefault="00AF2CF2" w:rsidP="00C551BB">
            <w:pPr>
              <w:rPr>
                <w:rFonts w:ascii="Arial Narrow" w:hAnsi="Arial Narrow"/>
                <w:color w:val="333333"/>
                <w:sz w:val="20"/>
                <w:szCs w:val="20"/>
              </w:rPr>
            </w:pPr>
            <w:r w:rsidRPr="0084008F">
              <w:rPr>
                <w:rFonts w:ascii="Arial Narrow" w:hAnsi="Arial Narrow"/>
                <w:bCs/>
                <w:color w:val="333333"/>
                <w:sz w:val="20"/>
                <w:szCs w:val="20"/>
              </w:rPr>
              <w:t>Where applicable, the date of the magnetic resonance imaging scan must be recorded in the patient's medical records.</w:t>
            </w:r>
          </w:p>
          <w:p w14:paraId="113DE97E" w14:textId="77777777" w:rsidR="00AF2CF2" w:rsidRPr="0084008F" w:rsidRDefault="00AF2CF2" w:rsidP="00C551BB">
            <w:pPr>
              <w:rPr>
                <w:rFonts w:ascii="Arial Narrow" w:hAnsi="Arial Narrow"/>
                <w:color w:val="333333"/>
                <w:sz w:val="20"/>
                <w:szCs w:val="20"/>
              </w:rPr>
            </w:pPr>
          </w:p>
        </w:tc>
      </w:tr>
    </w:tbl>
    <w:p w14:paraId="3B349C16" w14:textId="77777777" w:rsidR="00AF2CF2" w:rsidRPr="0084008F" w:rsidRDefault="00AF2CF2" w:rsidP="00AF2CF2">
      <w:pPr>
        <w:rPr>
          <w:sz w:val="20"/>
          <w:szCs w:val="20"/>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AF2CF2" w:rsidRPr="0084008F" w14:paraId="51EF0AB3" w14:textId="77777777" w:rsidTr="00C551BB">
        <w:tc>
          <w:tcPr>
            <w:tcW w:w="553" w:type="pct"/>
            <w:vAlign w:val="center"/>
            <w:hideMark/>
          </w:tcPr>
          <w:p w14:paraId="6C54D01B" w14:textId="77777777" w:rsidR="00AF2CF2" w:rsidRPr="0084008F" w:rsidRDefault="00AF2CF2" w:rsidP="00C551BB">
            <w:pPr>
              <w:jc w:val="center"/>
              <w:rPr>
                <w:rFonts w:ascii="Arial Narrow" w:hAnsi="Arial Narrow"/>
                <w:color w:val="333333"/>
                <w:sz w:val="20"/>
                <w:szCs w:val="20"/>
              </w:rPr>
            </w:pPr>
          </w:p>
        </w:tc>
        <w:tc>
          <w:tcPr>
            <w:tcW w:w="4447" w:type="pct"/>
            <w:vAlign w:val="center"/>
            <w:hideMark/>
          </w:tcPr>
          <w:p w14:paraId="0CC08D07"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Treatment Phase:</w:t>
            </w:r>
            <w:r w:rsidRPr="0084008F">
              <w:rPr>
                <w:rFonts w:ascii="Arial Narrow" w:hAnsi="Arial Narrow"/>
                <w:color w:val="333333"/>
                <w:sz w:val="20"/>
                <w:szCs w:val="20"/>
              </w:rPr>
              <w:t xml:space="preserve"> Continuing treatment</w:t>
            </w:r>
          </w:p>
        </w:tc>
      </w:tr>
      <w:tr w:rsidR="00AF2CF2" w:rsidRPr="0084008F" w14:paraId="27DCF08D" w14:textId="77777777" w:rsidTr="00BC4308">
        <w:tc>
          <w:tcPr>
            <w:tcW w:w="553" w:type="pct"/>
            <w:vAlign w:val="center"/>
          </w:tcPr>
          <w:p w14:paraId="5A7A67F7" w14:textId="63C8CEEA" w:rsidR="00AF2CF2" w:rsidRPr="0084008F" w:rsidRDefault="00AF2CF2" w:rsidP="00C551BB">
            <w:pPr>
              <w:jc w:val="center"/>
              <w:rPr>
                <w:rFonts w:ascii="Arial Narrow" w:hAnsi="Arial Narrow"/>
                <w:color w:val="333333"/>
                <w:sz w:val="20"/>
                <w:szCs w:val="20"/>
              </w:rPr>
            </w:pPr>
          </w:p>
        </w:tc>
        <w:tc>
          <w:tcPr>
            <w:tcW w:w="4447" w:type="pct"/>
            <w:vAlign w:val="center"/>
            <w:hideMark/>
          </w:tcPr>
          <w:p w14:paraId="24F36100"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AF2CF2" w:rsidRPr="0084008F" w14:paraId="2486CE35" w14:textId="77777777" w:rsidTr="00BC4308">
        <w:tc>
          <w:tcPr>
            <w:tcW w:w="553" w:type="pct"/>
            <w:vAlign w:val="center"/>
          </w:tcPr>
          <w:p w14:paraId="7B23D88D" w14:textId="29B6D155" w:rsidR="00AF2CF2" w:rsidRPr="0084008F" w:rsidRDefault="00AF2CF2" w:rsidP="00C551BB">
            <w:pPr>
              <w:jc w:val="center"/>
              <w:rPr>
                <w:rFonts w:ascii="Arial Narrow" w:hAnsi="Arial Narrow"/>
                <w:color w:val="333333"/>
                <w:sz w:val="20"/>
                <w:szCs w:val="20"/>
              </w:rPr>
            </w:pPr>
          </w:p>
        </w:tc>
        <w:tc>
          <w:tcPr>
            <w:tcW w:w="4447" w:type="pct"/>
            <w:vAlign w:val="center"/>
            <w:hideMark/>
          </w:tcPr>
          <w:p w14:paraId="29378E30"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 xml:space="preserve">The condition must be diagnosed as clinically definite relapsing-remitting multiple sclerosis by magnetic resonance imaging of the brain and/or spinal </w:t>
            </w:r>
            <w:proofErr w:type="gramStart"/>
            <w:r w:rsidRPr="0084008F">
              <w:rPr>
                <w:rFonts w:ascii="Arial Narrow" w:hAnsi="Arial Narrow"/>
                <w:color w:val="333333"/>
                <w:sz w:val="20"/>
                <w:szCs w:val="20"/>
              </w:rPr>
              <w:t>cord;</w:t>
            </w:r>
            <w:proofErr w:type="gramEnd"/>
          </w:p>
          <w:p w14:paraId="53568FBE"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OR</w:t>
            </w:r>
          </w:p>
          <w:p w14:paraId="3AD550BA"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tc>
      </w:tr>
      <w:tr w:rsidR="00AF2CF2" w:rsidRPr="0084008F" w14:paraId="1AC83FA1" w14:textId="77777777" w:rsidTr="00BC4308">
        <w:tc>
          <w:tcPr>
            <w:tcW w:w="553" w:type="pct"/>
            <w:vAlign w:val="center"/>
          </w:tcPr>
          <w:p w14:paraId="62A18A8A" w14:textId="77777777" w:rsidR="00AF2CF2" w:rsidRPr="0084008F" w:rsidRDefault="00AF2CF2" w:rsidP="00C551BB">
            <w:pPr>
              <w:jc w:val="center"/>
              <w:rPr>
                <w:rFonts w:ascii="Arial Narrow" w:hAnsi="Arial Narrow"/>
                <w:color w:val="333333"/>
                <w:sz w:val="20"/>
                <w:szCs w:val="20"/>
              </w:rPr>
            </w:pPr>
          </w:p>
        </w:tc>
        <w:tc>
          <w:tcPr>
            <w:tcW w:w="4447" w:type="pct"/>
            <w:vAlign w:val="center"/>
            <w:hideMark/>
          </w:tcPr>
          <w:p w14:paraId="6A4CAE51"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AND</w:t>
            </w:r>
          </w:p>
        </w:tc>
      </w:tr>
      <w:tr w:rsidR="00AF2CF2" w:rsidRPr="0084008F" w14:paraId="555F0D62" w14:textId="77777777" w:rsidTr="00C551BB">
        <w:tc>
          <w:tcPr>
            <w:tcW w:w="553" w:type="pct"/>
            <w:vAlign w:val="center"/>
          </w:tcPr>
          <w:p w14:paraId="0F3DD40A" w14:textId="65897A0D" w:rsidR="00AF2CF2" w:rsidRPr="0084008F" w:rsidRDefault="00AF2CF2" w:rsidP="00C551BB">
            <w:pPr>
              <w:jc w:val="center"/>
              <w:rPr>
                <w:rFonts w:ascii="Arial Narrow" w:hAnsi="Arial Narrow"/>
                <w:color w:val="333333"/>
                <w:sz w:val="20"/>
                <w:szCs w:val="20"/>
              </w:rPr>
            </w:pPr>
          </w:p>
        </w:tc>
        <w:tc>
          <w:tcPr>
            <w:tcW w:w="4447" w:type="pct"/>
            <w:vAlign w:val="center"/>
            <w:hideMark/>
          </w:tcPr>
          <w:p w14:paraId="51FC4139"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AF2CF2" w:rsidRPr="0084008F" w14:paraId="19BB2360" w14:textId="77777777" w:rsidTr="00C551BB">
        <w:tc>
          <w:tcPr>
            <w:tcW w:w="553" w:type="pct"/>
            <w:vAlign w:val="center"/>
          </w:tcPr>
          <w:p w14:paraId="3A915519" w14:textId="661C2C32" w:rsidR="00AF2CF2" w:rsidRPr="0084008F" w:rsidRDefault="00AF2CF2" w:rsidP="00C551BB">
            <w:pPr>
              <w:jc w:val="center"/>
              <w:rPr>
                <w:rFonts w:ascii="Arial Narrow" w:hAnsi="Arial Narrow"/>
                <w:color w:val="333333"/>
                <w:sz w:val="20"/>
                <w:szCs w:val="20"/>
              </w:rPr>
            </w:pPr>
          </w:p>
        </w:tc>
        <w:tc>
          <w:tcPr>
            <w:tcW w:w="4447" w:type="pct"/>
            <w:vAlign w:val="center"/>
            <w:hideMark/>
          </w:tcPr>
          <w:p w14:paraId="747A7A85"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The treatment must be the sole PBS-subsidised disease modifying therapy for this condition.</w:t>
            </w:r>
          </w:p>
        </w:tc>
      </w:tr>
      <w:tr w:rsidR="00AF2CF2" w:rsidRPr="0084008F" w14:paraId="64735B1A" w14:textId="77777777" w:rsidTr="00C551BB">
        <w:tc>
          <w:tcPr>
            <w:tcW w:w="553" w:type="pct"/>
            <w:vAlign w:val="center"/>
          </w:tcPr>
          <w:p w14:paraId="3B48D272" w14:textId="77777777" w:rsidR="00AF2CF2" w:rsidRPr="0084008F" w:rsidRDefault="00AF2CF2" w:rsidP="00C551BB">
            <w:pPr>
              <w:jc w:val="center"/>
              <w:rPr>
                <w:rFonts w:ascii="Arial Narrow" w:hAnsi="Arial Narrow"/>
                <w:color w:val="333333"/>
                <w:sz w:val="20"/>
                <w:szCs w:val="20"/>
              </w:rPr>
            </w:pPr>
          </w:p>
        </w:tc>
        <w:tc>
          <w:tcPr>
            <w:tcW w:w="4447" w:type="pct"/>
            <w:vAlign w:val="center"/>
            <w:hideMark/>
          </w:tcPr>
          <w:p w14:paraId="73BE3E92"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AND</w:t>
            </w:r>
          </w:p>
        </w:tc>
      </w:tr>
      <w:tr w:rsidR="00AF2CF2" w:rsidRPr="0084008F" w14:paraId="4D2C58DA" w14:textId="77777777" w:rsidTr="00C551BB">
        <w:tc>
          <w:tcPr>
            <w:tcW w:w="553" w:type="pct"/>
            <w:vAlign w:val="center"/>
          </w:tcPr>
          <w:p w14:paraId="387ADC39" w14:textId="61D87472" w:rsidR="00AF2CF2" w:rsidRPr="0084008F" w:rsidRDefault="00AF2CF2" w:rsidP="00C551BB">
            <w:pPr>
              <w:jc w:val="center"/>
              <w:rPr>
                <w:rFonts w:ascii="Arial Narrow" w:hAnsi="Arial Narrow"/>
                <w:color w:val="333333"/>
                <w:sz w:val="20"/>
                <w:szCs w:val="20"/>
              </w:rPr>
            </w:pPr>
          </w:p>
        </w:tc>
        <w:tc>
          <w:tcPr>
            <w:tcW w:w="4447" w:type="pct"/>
            <w:vAlign w:val="center"/>
            <w:hideMark/>
          </w:tcPr>
          <w:p w14:paraId="5C5F4023"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AF2CF2" w:rsidRPr="0084008F" w14:paraId="2F752730" w14:textId="77777777" w:rsidTr="00C551BB">
        <w:tc>
          <w:tcPr>
            <w:tcW w:w="553" w:type="pct"/>
            <w:vAlign w:val="center"/>
          </w:tcPr>
          <w:p w14:paraId="395990BE" w14:textId="47F82409" w:rsidR="00AF2CF2" w:rsidRPr="0084008F" w:rsidRDefault="00AF2CF2" w:rsidP="00C551BB">
            <w:pPr>
              <w:jc w:val="center"/>
              <w:rPr>
                <w:rFonts w:ascii="Arial Narrow" w:hAnsi="Arial Narrow"/>
                <w:color w:val="333333"/>
                <w:sz w:val="20"/>
                <w:szCs w:val="20"/>
              </w:rPr>
            </w:pPr>
          </w:p>
        </w:tc>
        <w:tc>
          <w:tcPr>
            <w:tcW w:w="4447" w:type="pct"/>
            <w:vAlign w:val="center"/>
            <w:hideMark/>
          </w:tcPr>
          <w:p w14:paraId="3C1291EE"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Patient must have previously received PBS-subsidised treatment with this drug for this condition</w:t>
            </w:r>
          </w:p>
        </w:tc>
      </w:tr>
      <w:tr w:rsidR="00AF2CF2" w:rsidRPr="0084008F" w14:paraId="53340EBB" w14:textId="77777777" w:rsidTr="00C551BB">
        <w:tc>
          <w:tcPr>
            <w:tcW w:w="553" w:type="pct"/>
            <w:vAlign w:val="center"/>
          </w:tcPr>
          <w:p w14:paraId="3C6D1A1B" w14:textId="77777777" w:rsidR="00AF2CF2" w:rsidRPr="0084008F" w:rsidRDefault="00AF2CF2" w:rsidP="00C551BB">
            <w:pPr>
              <w:jc w:val="center"/>
              <w:rPr>
                <w:rFonts w:ascii="Arial Narrow" w:hAnsi="Arial Narrow"/>
                <w:color w:val="333333"/>
                <w:sz w:val="20"/>
                <w:szCs w:val="20"/>
              </w:rPr>
            </w:pPr>
          </w:p>
        </w:tc>
        <w:tc>
          <w:tcPr>
            <w:tcW w:w="4447" w:type="pct"/>
            <w:vAlign w:val="center"/>
            <w:hideMark/>
          </w:tcPr>
          <w:p w14:paraId="408F4417"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AND</w:t>
            </w:r>
          </w:p>
        </w:tc>
      </w:tr>
      <w:tr w:rsidR="00AF2CF2" w:rsidRPr="0084008F" w14:paraId="176313EB" w14:textId="77777777" w:rsidTr="00C551BB">
        <w:tc>
          <w:tcPr>
            <w:tcW w:w="553" w:type="pct"/>
            <w:vAlign w:val="center"/>
          </w:tcPr>
          <w:p w14:paraId="0F25F6C0" w14:textId="158B5952" w:rsidR="00AF2CF2" w:rsidRPr="0084008F" w:rsidRDefault="00AF2CF2" w:rsidP="00C551BB">
            <w:pPr>
              <w:jc w:val="center"/>
              <w:rPr>
                <w:rFonts w:ascii="Arial Narrow" w:hAnsi="Arial Narrow"/>
                <w:color w:val="333333"/>
                <w:sz w:val="20"/>
                <w:szCs w:val="20"/>
              </w:rPr>
            </w:pPr>
          </w:p>
        </w:tc>
        <w:tc>
          <w:tcPr>
            <w:tcW w:w="4447" w:type="pct"/>
            <w:vAlign w:val="center"/>
          </w:tcPr>
          <w:p w14:paraId="3E77DCEC" w14:textId="77777777" w:rsidR="00AF2CF2" w:rsidRPr="0084008F" w:rsidRDefault="00AF2CF2" w:rsidP="00C551BB">
            <w:pPr>
              <w:rPr>
                <w:rFonts w:ascii="Arial Narrow" w:hAnsi="Arial Narrow"/>
                <w:b/>
                <w:bCs/>
                <w:color w:val="333333"/>
                <w:sz w:val="20"/>
                <w:szCs w:val="20"/>
              </w:rPr>
            </w:pPr>
            <w:r w:rsidRPr="0084008F">
              <w:rPr>
                <w:rFonts w:ascii="Arial Narrow" w:hAnsi="Arial Narrow"/>
                <w:b/>
                <w:bCs/>
                <w:color w:val="333333"/>
                <w:sz w:val="20"/>
                <w:szCs w:val="20"/>
              </w:rPr>
              <w:t>Clinical criteria:</w:t>
            </w:r>
          </w:p>
        </w:tc>
      </w:tr>
      <w:tr w:rsidR="00AF2CF2" w:rsidRPr="0084008F" w14:paraId="43C34B18" w14:textId="77777777" w:rsidTr="00C551BB">
        <w:tc>
          <w:tcPr>
            <w:tcW w:w="553" w:type="pct"/>
            <w:vAlign w:val="center"/>
          </w:tcPr>
          <w:p w14:paraId="4EFFCB1A" w14:textId="1DEE4F6C" w:rsidR="00AF2CF2" w:rsidRPr="0084008F" w:rsidRDefault="00AF2CF2" w:rsidP="00C551BB">
            <w:pPr>
              <w:jc w:val="center"/>
              <w:rPr>
                <w:rFonts w:ascii="Arial Narrow" w:hAnsi="Arial Narrow"/>
                <w:color w:val="333333"/>
                <w:sz w:val="20"/>
                <w:szCs w:val="20"/>
              </w:rPr>
            </w:pPr>
          </w:p>
        </w:tc>
        <w:tc>
          <w:tcPr>
            <w:tcW w:w="4447" w:type="pct"/>
            <w:vAlign w:val="center"/>
          </w:tcPr>
          <w:p w14:paraId="461F8F25"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Patient must not show continuing progression of disability while on treatment with this drug</w:t>
            </w:r>
          </w:p>
        </w:tc>
      </w:tr>
      <w:tr w:rsidR="00AF2CF2" w:rsidRPr="0084008F" w14:paraId="69C04889" w14:textId="77777777" w:rsidTr="00BC4308">
        <w:tc>
          <w:tcPr>
            <w:tcW w:w="553" w:type="pct"/>
            <w:vAlign w:val="center"/>
          </w:tcPr>
          <w:p w14:paraId="3624AA97" w14:textId="5A69914A" w:rsidR="00AF2CF2" w:rsidRPr="0084008F" w:rsidRDefault="00AF2CF2" w:rsidP="00C551BB">
            <w:pPr>
              <w:jc w:val="center"/>
              <w:rPr>
                <w:rFonts w:ascii="Arial Narrow" w:hAnsi="Arial Narrow"/>
                <w:color w:val="333333"/>
                <w:sz w:val="20"/>
                <w:szCs w:val="20"/>
              </w:rPr>
            </w:pPr>
          </w:p>
        </w:tc>
        <w:tc>
          <w:tcPr>
            <w:tcW w:w="4447" w:type="pct"/>
            <w:vAlign w:val="center"/>
            <w:hideMark/>
          </w:tcPr>
          <w:p w14:paraId="37B138A6"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 xml:space="preserve">Prescribing Instructions: </w:t>
            </w:r>
            <w:r w:rsidRPr="0084008F">
              <w:rPr>
                <w:rFonts w:ascii="Arial Narrow" w:hAnsi="Arial Narrow"/>
                <w:bCs/>
                <w:color w:val="333333"/>
                <w:sz w:val="20"/>
                <w:szCs w:val="20"/>
              </w:rPr>
              <w:t>Where applicable, the date of the magnetic resonance imaging scan must be recorded in the patient's medical records.</w:t>
            </w:r>
          </w:p>
          <w:p w14:paraId="24D71152" w14:textId="77777777" w:rsidR="00AF2CF2" w:rsidRPr="0084008F" w:rsidRDefault="00AF2CF2" w:rsidP="00C551BB">
            <w:pPr>
              <w:rPr>
                <w:rFonts w:ascii="Arial Narrow" w:hAnsi="Arial Narrow"/>
                <w:color w:val="333333"/>
                <w:sz w:val="20"/>
                <w:szCs w:val="20"/>
              </w:rPr>
            </w:pPr>
          </w:p>
        </w:tc>
      </w:tr>
    </w:tbl>
    <w:p w14:paraId="10AB9021" w14:textId="77777777" w:rsidR="00AF2CF2" w:rsidRPr="0084008F" w:rsidRDefault="00AF2CF2" w:rsidP="00AF2CF2">
      <w:pPr>
        <w:rPr>
          <w:sz w:val="20"/>
          <w:szCs w:val="20"/>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AF2CF2" w:rsidRPr="0084008F" w14:paraId="078C0D4B" w14:textId="77777777" w:rsidTr="00C551BB">
        <w:tc>
          <w:tcPr>
            <w:tcW w:w="553" w:type="pct"/>
            <w:vAlign w:val="center"/>
            <w:hideMark/>
          </w:tcPr>
          <w:p w14:paraId="20C50C18" w14:textId="77777777" w:rsidR="00AF2CF2" w:rsidRPr="0084008F" w:rsidRDefault="00AF2CF2" w:rsidP="00C551BB">
            <w:pPr>
              <w:jc w:val="center"/>
              <w:rPr>
                <w:rFonts w:ascii="Arial Narrow" w:hAnsi="Arial Narrow"/>
                <w:color w:val="333333"/>
                <w:sz w:val="20"/>
                <w:szCs w:val="20"/>
              </w:rPr>
            </w:pPr>
          </w:p>
        </w:tc>
        <w:tc>
          <w:tcPr>
            <w:tcW w:w="4447" w:type="pct"/>
            <w:vAlign w:val="center"/>
            <w:hideMark/>
          </w:tcPr>
          <w:p w14:paraId="426DC0D9"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Treatment Phase:</w:t>
            </w:r>
            <w:r w:rsidRPr="0084008F">
              <w:rPr>
                <w:rFonts w:ascii="Arial Narrow" w:hAnsi="Arial Narrow"/>
                <w:color w:val="333333"/>
                <w:sz w:val="20"/>
                <w:szCs w:val="20"/>
              </w:rPr>
              <w:t xml:space="preserve"> Grandfather treatment</w:t>
            </w:r>
          </w:p>
        </w:tc>
      </w:tr>
      <w:tr w:rsidR="00AF2CF2" w:rsidRPr="0084008F" w14:paraId="4E7B85EB" w14:textId="77777777" w:rsidTr="00C551BB">
        <w:tc>
          <w:tcPr>
            <w:tcW w:w="553" w:type="pct"/>
            <w:vAlign w:val="center"/>
          </w:tcPr>
          <w:p w14:paraId="22E69C29" w14:textId="1EF7A06C" w:rsidR="00AF2CF2" w:rsidRPr="0084008F" w:rsidRDefault="00AF2CF2" w:rsidP="00C551BB">
            <w:pPr>
              <w:jc w:val="center"/>
              <w:rPr>
                <w:rFonts w:ascii="Arial Narrow" w:hAnsi="Arial Narrow"/>
                <w:color w:val="333333"/>
                <w:sz w:val="20"/>
                <w:szCs w:val="20"/>
              </w:rPr>
            </w:pPr>
          </w:p>
        </w:tc>
        <w:tc>
          <w:tcPr>
            <w:tcW w:w="4447" w:type="pct"/>
            <w:vAlign w:val="center"/>
          </w:tcPr>
          <w:p w14:paraId="0401A74A" w14:textId="77777777" w:rsidR="00AF2CF2" w:rsidRPr="0084008F" w:rsidRDefault="00AF2CF2" w:rsidP="00C551BB">
            <w:pPr>
              <w:rPr>
                <w:rFonts w:ascii="Arial Narrow" w:hAnsi="Arial Narrow"/>
                <w:b/>
                <w:bCs/>
                <w:color w:val="333333"/>
                <w:sz w:val="20"/>
                <w:szCs w:val="20"/>
              </w:rPr>
            </w:pPr>
            <w:r w:rsidRPr="0084008F">
              <w:rPr>
                <w:rFonts w:ascii="Arial Narrow" w:hAnsi="Arial Narrow"/>
                <w:b/>
                <w:bCs/>
                <w:color w:val="333333"/>
                <w:sz w:val="20"/>
                <w:szCs w:val="20"/>
              </w:rPr>
              <w:t>Clinical criteria:</w:t>
            </w:r>
          </w:p>
        </w:tc>
      </w:tr>
      <w:tr w:rsidR="00AF2CF2" w:rsidRPr="0084008F" w14:paraId="35FBA35C" w14:textId="77777777" w:rsidTr="00C551BB">
        <w:tc>
          <w:tcPr>
            <w:tcW w:w="553" w:type="pct"/>
            <w:vAlign w:val="center"/>
          </w:tcPr>
          <w:p w14:paraId="73CD5F83" w14:textId="77777777" w:rsidR="00AF2CF2" w:rsidRPr="0084008F" w:rsidRDefault="00AF2CF2" w:rsidP="00C551BB">
            <w:pPr>
              <w:jc w:val="center"/>
              <w:rPr>
                <w:rFonts w:ascii="Arial Narrow" w:hAnsi="Arial Narrow"/>
                <w:color w:val="333333"/>
                <w:sz w:val="20"/>
                <w:szCs w:val="20"/>
              </w:rPr>
            </w:pPr>
          </w:p>
        </w:tc>
        <w:tc>
          <w:tcPr>
            <w:tcW w:w="4447" w:type="pct"/>
            <w:vAlign w:val="center"/>
          </w:tcPr>
          <w:p w14:paraId="28D607F2"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Patient must have commenced non-PBS-subsidised treatment with this drug for this PBS indication prior to &lt;&lt;PBS list date&gt;&gt;</w:t>
            </w:r>
          </w:p>
        </w:tc>
      </w:tr>
      <w:tr w:rsidR="00AF2CF2" w:rsidRPr="0084008F" w14:paraId="358AC0C5" w14:textId="77777777" w:rsidTr="00C551BB">
        <w:tc>
          <w:tcPr>
            <w:tcW w:w="553" w:type="pct"/>
            <w:vAlign w:val="center"/>
          </w:tcPr>
          <w:p w14:paraId="11B6CF1A" w14:textId="77777777" w:rsidR="00AF2CF2" w:rsidRPr="0084008F" w:rsidRDefault="00AF2CF2" w:rsidP="00C551BB">
            <w:pPr>
              <w:jc w:val="center"/>
              <w:rPr>
                <w:rFonts w:ascii="Arial Narrow" w:hAnsi="Arial Narrow"/>
                <w:color w:val="333333"/>
                <w:sz w:val="20"/>
                <w:szCs w:val="20"/>
              </w:rPr>
            </w:pPr>
          </w:p>
        </w:tc>
        <w:tc>
          <w:tcPr>
            <w:tcW w:w="4447" w:type="pct"/>
            <w:vAlign w:val="center"/>
          </w:tcPr>
          <w:p w14:paraId="2D33C148" w14:textId="77777777" w:rsidR="00AF2CF2" w:rsidRPr="0084008F" w:rsidRDefault="00AF2CF2" w:rsidP="00C551BB">
            <w:pPr>
              <w:rPr>
                <w:rFonts w:ascii="Arial Narrow" w:hAnsi="Arial Narrow"/>
                <w:b/>
                <w:bCs/>
                <w:color w:val="333333"/>
                <w:sz w:val="20"/>
                <w:szCs w:val="20"/>
              </w:rPr>
            </w:pPr>
            <w:r w:rsidRPr="0084008F">
              <w:rPr>
                <w:rFonts w:ascii="Arial Narrow" w:hAnsi="Arial Narrow"/>
                <w:b/>
                <w:bCs/>
                <w:color w:val="333333"/>
                <w:sz w:val="20"/>
                <w:szCs w:val="20"/>
              </w:rPr>
              <w:t>AND</w:t>
            </w:r>
          </w:p>
        </w:tc>
      </w:tr>
      <w:tr w:rsidR="00AF2CF2" w:rsidRPr="0084008F" w14:paraId="44F247F9" w14:textId="77777777" w:rsidTr="00C551BB">
        <w:tc>
          <w:tcPr>
            <w:tcW w:w="553" w:type="pct"/>
            <w:vAlign w:val="center"/>
            <w:hideMark/>
          </w:tcPr>
          <w:p w14:paraId="271228B3" w14:textId="7D3BAF46" w:rsidR="00AF2CF2" w:rsidRPr="0084008F" w:rsidRDefault="00AF2CF2" w:rsidP="00C551BB">
            <w:pPr>
              <w:jc w:val="center"/>
              <w:rPr>
                <w:rFonts w:ascii="Arial Narrow" w:hAnsi="Arial Narrow"/>
                <w:color w:val="333333"/>
                <w:sz w:val="20"/>
                <w:szCs w:val="20"/>
              </w:rPr>
            </w:pPr>
          </w:p>
        </w:tc>
        <w:tc>
          <w:tcPr>
            <w:tcW w:w="4447" w:type="pct"/>
            <w:vAlign w:val="center"/>
            <w:hideMark/>
          </w:tcPr>
          <w:p w14:paraId="7EB01A6A"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AF2CF2" w:rsidRPr="0084008F" w14:paraId="637DD6AA" w14:textId="77777777" w:rsidTr="00BC4308">
        <w:tc>
          <w:tcPr>
            <w:tcW w:w="553" w:type="pct"/>
            <w:vAlign w:val="center"/>
          </w:tcPr>
          <w:p w14:paraId="67ADFC3A" w14:textId="1CD20F3A" w:rsidR="00AF2CF2" w:rsidRPr="0084008F" w:rsidRDefault="00AF2CF2" w:rsidP="00C551BB">
            <w:pPr>
              <w:jc w:val="center"/>
              <w:rPr>
                <w:rFonts w:ascii="Arial Narrow" w:hAnsi="Arial Narrow"/>
                <w:color w:val="333333"/>
                <w:sz w:val="20"/>
                <w:szCs w:val="20"/>
              </w:rPr>
            </w:pPr>
          </w:p>
        </w:tc>
        <w:tc>
          <w:tcPr>
            <w:tcW w:w="4447" w:type="pct"/>
            <w:vAlign w:val="center"/>
            <w:hideMark/>
          </w:tcPr>
          <w:p w14:paraId="18B23A94"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 xml:space="preserve">The condition must be/have previously been diagnosed as clinically definite relapsing-remitting multiple sclerosis by magnetic resonance imaging of at least one of the </w:t>
            </w:r>
            <w:proofErr w:type="gramStart"/>
            <w:r w:rsidRPr="0084008F">
              <w:rPr>
                <w:rFonts w:ascii="Arial Narrow" w:hAnsi="Arial Narrow"/>
                <w:color w:val="333333"/>
                <w:sz w:val="20"/>
                <w:szCs w:val="20"/>
              </w:rPr>
              <w:t>brain</w:t>
            </w:r>
            <w:proofErr w:type="gramEnd"/>
            <w:r w:rsidRPr="0084008F">
              <w:rPr>
                <w:rFonts w:ascii="Arial Narrow" w:hAnsi="Arial Narrow"/>
                <w:color w:val="333333"/>
                <w:sz w:val="20"/>
                <w:szCs w:val="20"/>
              </w:rPr>
              <w:t>/spinal cord;</w:t>
            </w:r>
          </w:p>
          <w:p w14:paraId="087DFCC3"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OR</w:t>
            </w:r>
          </w:p>
          <w:p w14:paraId="645672C5"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The condition must be/have previously been diagnosed as clinically definite relapsing-remitting multiple sclerosis supported by written certification, which is documented in the patient's medical records, from a radiologist that a magnetic resonance imaging scan is contraindicated because of the risk of physical (not psychological) injury to the patient.</w:t>
            </w:r>
          </w:p>
        </w:tc>
      </w:tr>
      <w:tr w:rsidR="00AF2CF2" w:rsidRPr="0084008F" w14:paraId="3576DEAC" w14:textId="77777777" w:rsidTr="00BC4308">
        <w:tc>
          <w:tcPr>
            <w:tcW w:w="553" w:type="pct"/>
            <w:vAlign w:val="center"/>
          </w:tcPr>
          <w:p w14:paraId="6DA1358F" w14:textId="77777777" w:rsidR="00AF2CF2" w:rsidRPr="0084008F" w:rsidRDefault="00AF2CF2" w:rsidP="00C551BB">
            <w:pPr>
              <w:jc w:val="center"/>
              <w:rPr>
                <w:rFonts w:ascii="Arial Narrow" w:hAnsi="Arial Narrow"/>
                <w:color w:val="333333"/>
                <w:sz w:val="20"/>
                <w:szCs w:val="20"/>
              </w:rPr>
            </w:pPr>
          </w:p>
        </w:tc>
        <w:tc>
          <w:tcPr>
            <w:tcW w:w="4447" w:type="pct"/>
            <w:vAlign w:val="center"/>
            <w:hideMark/>
          </w:tcPr>
          <w:p w14:paraId="5C90AE2D"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AND</w:t>
            </w:r>
          </w:p>
        </w:tc>
      </w:tr>
      <w:tr w:rsidR="00AF2CF2" w:rsidRPr="0084008F" w14:paraId="39B9AF26" w14:textId="77777777" w:rsidTr="00C551BB">
        <w:tc>
          <w:tcPr>
            <w:tcW w:w="553" w:type="pct"/>
            <w:vAlign w:val="center"/>
          </w:tcPr>
          <w:p w14:paraId="2C493CA9" w14:textId="419EDC31" w:rsidR="00AF2CF2" w:rsidRPr="0084008F" w:rsidRDefault="00AF2CF2" w:rsidP="00C551BB">
            <w:pPr>
              <w:jc w:val="center"/>
              <w:rPr>
                <w:rFonts w:ascii="Arial Narrow" w:hAnsi="Arial Narrow"/>
                <w:color w:val="333333"/>
                <w:sz w:val="20"/>
                <w:szCs w:val="20"/>
              </w:rPr>
            </w:pPr>
          </w:p>
        </w:tc>
        <w:tc>
          <w:tcPr>
            <w:tcW w:w="4447" w:type="pct"/>
            <w:vAlign w:val="center"/>
            <w:hideMark/>
          </w:tcPr>
          <w:p w14:paraId="10A8E083"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AF2CF2" w:rsidRPr="0084008F" w14:paraId="10B94CEB" w14:textId="77777777" w:rsidTr="00C551BB">
        <w:tc>
          <w:tcPr>
            <w:tcW w:w="553" w:type="pct"/>
            <w:vAlign w:val="center"/>
          </w:tcPr>
          <w:p w14:paraId="23810911" w14:textId="06721F84" w:rsidR="00AF2CF2" w:rsidRPr="0084008F" w:rsidRDefault="00AF2CF2" w:rsidP="00C551BB">
            <w:pPr>
              <w:jc w:val="center"/>
              <w:rPr>
                <w:rFonts w:ascii="Arial Narrow" w:hAnsi="Arial Narrow"/>
                <w:color w:val="333333"/>
                <w:sz w:val="20"/>
                <w:szCs w:val="20"/>
              </w:rPr>
            </w:pPr>
          </w:p>
        </w:tc>
        <w:tc>
          <w:tcPr>
            <w:tcW w:w="4447" w:type="pct"/>
            <w:vAlign w:val="center"/>
            <w:hideMark/>
          </w:tcPr>
          <w:p w14:paraId="284596DC"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The treatment must be the sole PBS-subsidised disease modifying therapy for this condition.</w:t>
            </w:r>
          </w:p>
        </w:tc>
      </w:tr>
      <w:tr w:rsidR="00AF2CF2" w:rsidRPr="0084008F" w14:paraId="54813AB4" w14:textId="77777777" w:rsidTr="00C551BB">
        <w:tc>
          <w:tcPr>
            <w:tcW w:w="553" w:type="pct"/>
            <w:vAlign w:val="center"/>
          </w:tcPr>
          <w:p w14:paraId="2FC8826D" w14:textId="77777777" w:rsidR="00AF2CF2" w:rsidRPr="0084008F" w:rsidRDefault="00AF2CF2" w:rsidP="00C551BB">
            <w:pPr>
              <w:jc w:val="center"/>
              <w:rPr>
                <w:rFonts w:ascii="Arial Narrow" w:hAnsi="Arial Narrow"/>
                <w:color w:val="333333"/>
                <w:sz w:val="20"/>
                <w:szCs w:val="20"/>
              </w:rPr>
            </w:pPr>
          </w:p>
        </w:tc>
        <w:tc>
          <w:tcPr>
            <w:tcW w:w="4447" w:type="pct"/>
            <w:vAlign w:val="center"/>
            <w:hideMark/>
          </w:tcPr>
          <w:p w14:paraId="3A406C23"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AND</w:t>
            </w:r>
          </w:p>
        </w:tc>
      </w:tr>
      <w:tr w:rsidR="00AF2CF2" w:rsidRPr="0084008F" w14:paraId="6DF4BC6B" w14:textId="77777777" w:rsidTr="00C551BB">
        <w:tc>
          <w:tcPr>
            <w:tcW w:w="553" w:type="pct"/>
            <w:vAlign w:val="center"/>
          </w:tcPr>
          <w:p w14:paraId="7CB5E9DF" w14:textId="632FCB04" w:rsidR="00AF2CF2" w:rsidRPr="0084008F" w:rsidRDefault="00AF2CF2" w:rsidP="00C551BB">
            <w:pPr>
              <w:jc w:val="center"/>
              <w:rPr>
                <w:rFonts w:ascii="Arial Narrow" w:hAnsi="Arial Narrow"/>
                <w:color w:val="333333"/>
                <w:sz w:val="20"/>
                <w:szCs w:val="20"/>
              </w:rPr>
            </w:pPr>
          </w:p>
        </w:tc>
        <w:tc>
          <w:tcPr>
            <w:tcW w:w="4447" w:type="pct"/>
            <w:vAlign w:val="center"/>
            <w:hideMark/>
          </w:tcPr>
          <w:p w14:paraId="69DA1216"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AF2CF2" w:rsidRPr="0084008F" w14:paraId="37FC7491" w14:textId="77777777" w:rsidTr="00C551BB">
        <w:tc>
          <w:tcPr>
            <w:tcW w:w="553" w:type="pct"/>
            <w:vAlign w:val="center"/>
          </w:tcPr>
          <w:p w14:paraId="60ED3A53" w14:textId="3B8C3DE8" w:rsidR="00AF2CF2" w:rsidRPr="0084008F" w:rsidRDefault="00AF2CF2" w:rsidP="00C551BB">
            <w:pPr>
              <w:jc w:val="center"/>
              <w:rPr>
                <w:rFonts w:ascii="Arial Narrow" w:hAnsi="Arial Narrow"/>
                <w:color w:val="333333"/>
                <w:sz w:val="20"/>
                <w:szCs w:val="20"/>
              </w:rPr>
            </w:pPr>
          </w:p>
        </w:tc>
        <w:tc>
          <w:tcPr>
            <w:tcW w:w="4447" w:type="pct"/>
            <w:vAlign w:val="center"/>
            <w:hideMark/>
          </w:tcPr>
          <w:p w14:paraId="07E359E6"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Patient must have previously received non-PBS subsidised treatment with this drug for this condition prior to [listing date]</w:t>
            </w:r>
          </w:p>
        </w:tc>
      </w:tr>
      <w:tr w:rsidR="00AF2CF2" w:rsidRPr="0084008F" w14:paraId="201E0CBC" w14:textId="77777777" w:rsidTr="00C551BB">
        <w:tc>
          <w:tcPr>
            <w:tcW w:w="553" w:type="pct"/>
            <w:vAlign w:val="center"/>
          </w:tcPr>
          <w:p w14:paraId="6B10B85D" w14:textId="77777777" w:rsidR="00AF2CF2" w:rsidRPr="0084008F" w:rsidRDefault="00AF2CF2" w:rsidP="00C551BB">
            <w:pPr>
              <w:jc w:val="center"/>
              <w:rPr>
                <w:rFonts w:ascii="Arial Narrow" w:hAnsi="Arial Narrow"/>
                <w:color w:val="333333"/>
                <w:sz w:val="20"/>
                <w:szCs w:val="20"/>
              </w:rPr>
            </w:pPr>
          </w:p>
        </w:tc>
        <w:tc>
          <w:tcPr>
            <w:tcW w:w="4447" w:type="pct"/>
            <w:vAlign w:val="center"/>
            <w:hideMark/>
          </w:tcPr>
          <w:p w14:paraId="7B7DB1E1"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AND</w:t>
            </w:r>
          </w:p>
        </w:tc>
      </w:tr>
      <w:tr w:rsidR="00AF2CF2" w:rsidRPr="0084008F" w14:paraId="0E899B4A" w14:textId="77777777" w:rsidTr="00C551BB">
        <w:tc>
          <w:tcPr>
            <w:tcW w:w="553" w:type="pct"/>
            <w:vAlign w:val="center"/>
          </w:tcPr>
          <w:p w14:paraId="3BDB55D9" w14:textId="0E2FC4E0" w:rsidR="00AF2CF2" w:rsidRPr="0084008F" w:rsidRDefault="00AF2CF2" w:rsidP="00C551BB">
            <w:pPr>
              <w:jc w:val="center"/>
              <w:rPr>
                <w:rFonts w:ascii="Arial Narrow" w:hAnsi="Arial Narrow"/>
                <w:color w:val="333333"/>
                <w:sz w:val="20"/>
                <w:szCs w:val="20"/>
              </w:rPr>
            </w:pPr>
          </w:p>
        </w:tc>
        <w:tc>
          <w:tcPr>
            <w:tcW w:w="4447" w:type="pct"/>
            <w:vAlign w:val="center"/>
          </w:tcPr>
          <w:p w14:paraId="68793F98" w14:textId="77777777" w:rsidR="00AF2CF2" w:rsidRPr="0084008F" w:rsidRDefault="00AF2CF2" w:rsidP="00C551BB">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AF2CF2" w:rsidRPr="0084008F" w14:paraId="18CEA6C1" w14:textId="77777777" w:rsidTr="00C551BB">
        <w:tc>
          <w:tcPr>
            <w:tcW w:w="553" w:type="pct"/>
            <w:vAlign w:val="center"/>
          </w:tcPr>
          <w:p w14:paraId="50171D08" w14:textId="59A085D0" w:rsidR="00AF2CF2" w:rsidRPr="0084008F" w:rsidRDefault="00AF2CF2" w:rsidP="00C551BB">
            <w:pPr>
              <w:jc w:val="center"/>
              <w:rPr>
                <w:rFonts w:ascii="Arial Narrow" w:hAnsi="Arial Narrow"/>
                <w:color w:val="333333"/>
                <w:sz w:val="20"/>
                <w:szCs w:val="20"/>
              </w:rPr>
            </w:pPr>
          </w:p>
        </w:tc>
        <w:tc>
          <w:tcPr>
            <w:tcW w:w="4447" w:type="pct"/>
            <w:vAlign w:val="center"/>
          </w:tcPr>
          <w:p w14:paraId="21C189C2" w14:textId="77777777" w:rsidR="00AF2CF2" w:rsidRPr="0084008F" w:rsidRDefault="00AF2CF2" w:rsidP="00C551BB">
            <w:pPr>
              <w:rPr>
                <w:rFonts w:ascii="Arial Narrow" w:hAnsi="Arial Narrow"/>
                <w:color w:val="333333"/>
                <w:sz w:val="20"/>
                <w:szCs w:val="20"/>
              </w:rPr>
            </w:pPr>
            <w:r w:rsidRPr="0084008F">
              <w:rPr>
                <w:rFonts w:ascii="Arial Narrow" w:hAnsi="Arial Narrow"/>
                <w:color w:val="333333"/>
                <w:sz w:val="20"/>
                <w:szCs w:val="20"/>
              </w:rPr>
              <w:t>Patient must be ambulatory (without assistance or support)</w:t>
            </w:r>
          </w:p>
        </w:tc>
      </w:tr>
      <w:tr w:rsidR="00ED13D9" w:rsidRPr="0084008F" w14:paraId="1A93733E" w14:textId="77777777" w:rsidTr="00C551BB">
        <w:tc>
          <w:tcPr>
            <w:tcW w:w="553" w:type="pct"/>
            <w:vAlign w:val="center"/>
          </w:tcPr>
          <w:p w14:paraId="6D182E3F" w14:textId="7E3A5E7E" w:rsidR="00ED13D9" w:rsidRPr="0084008F" w:rsidRDefault="00ED13D9" w:rsidP="00ED13D9">
            <w:pPr>
              <w:jc w:val="center"/>
              <w:rPr>
                <w:rFonts w:ascii="Arial Narrow" w:hAnsi="Arial Narrow"/>
                <w:color w:val="333333"/>
                <w:sz w:val="20"/>
                <w:szCs w:val="20"/>
              </w:rPr>
            </w:pPr>
          </w:p>
        </w:tc>
        <w:tc>
          <w:tcPr>
            <w:tcW w:w="4447" w:type="pct"/>
            <w:vAlign w:val="center"/>
          </w:tcPr>
          <w:p w14:paraId="53B324B1" w14:textId="25B6A157" w:rsidR="00ED13D9" w:rsidRPr="0084008F" w:rsidRDefault="00ED13D9" w:rsidP="00ED13D9">
            <w:pPr>
              <w:rPr>
                <w:rFonts w:ascii="Arial Narrow" w:hAnsi="Arial Narrow"/>
                <w:color w:val="333333"/>
                <w:sz w:val="20"/>
                <w:szCs w:val="20"/>
              </w:rPr>
            </w:pPr>
            <w:r w:rsidRPr="0084008F">
              <w:rPr>
                <w:rFonts w:ascii="Arial Narrow" w:hAnsi="Arial Narrow"/>
                <w:b/>
                <w:bCs/>
                <w:color w:val="333333"/>
                <w:sz w:val="20"/>
                <w:szCs w:val="20"/>
              </w:rPr>
              <w:t>Clinical criteria:</w:t>
            </w:r>
          </w:p>
        </w:tc>
      </w:tr>
      <w:tr w:rsidR="00ED13D9" w:rsidRPr="0084008F" w14:paraId="70D5C774" w14:textId="77777777" w:rsidTr="00C551BB">
        <w:tc>
          <w:tcPr>
            <w:tcW w:w="553" w:type="pct"/>
            <w:vAlign w:val="center"/>
          </w:tcPr>
          <w:p w14:paraId="4FE2DDDF" w14:textId="2047F120" w:rsidR="00ED13D9" w:rsidRPr="0084008F" w:rsidRDefault="00ED13D9" w:rsidP="00ED13D9">
            <w:pPr>
              <w:jc w:val="center"/>
              <w:rPr>
                <w:rFonts w:ascii="Arial Narrow" w:hAnsi="Arial Narrow"/>
                <w:color w:val="333333"/>
                <w:sz w:val="20"/>
                <w:szCs w:val="20"/>
              </w:rPr>
            </w:pPr>
          </w:p>
        </w:tc>
        <w:tc>
          <w:tcPr>
            <w:tcW w:w="4447" w:type="pct"/>
            <w:vAlign w:val="center"/>
          </w:tcPr>
          <w:p w14:paraId="4D6683A9" w14:textId="584E2B8E" w:rsidR="00ED13D9" w:rsidRPr="0084008F" w:rsidRDefault="00ED13D9" w:rsidP="00ED13D9">
            <w:pPr>
              <w:rPr>
                <w:rFonts w:ascii="Arial Narrow" w:hAnsi="Arial Narrow"/>
                <w:color w:val="333333"/>
                <w:sz w:val="20"/>
                <w:szCs w:val="20"/>
              </w:rPr>
            </w:pPr>
            <w:r w:rsidRPr="0084008F">
              <w:rPr>
                <w:rFonts w:ascii="Arial Narrow" w:hAnsi="Arial Narrow"/>
                <w:color w:val="333333"/>
                <w:sz w:val="20"/>
                <w:szCs w:val="20"/>
              </w:rPr>
              <w:t>Patient must not show continuing progression of disability while on treatment with this drug</w:t>
            </w:r>
          </w:p>
        </w:tc>
      </w:tr>
      <w:tr w:rsidR="00ED13D9" w:rsidRPr="0084008F" w14:paraId="4E7409CC" w14:textId="77777777" w:rsidTr="00BC4308">
        <w:tc>
          <w:tcPr>
            <w:tcW w:w="553" w:type="pct"/>
            <w:vAlign w:val="center"/>
          </w:tcPr>
          <w:p w14:paraId="4ADFF455" w14:textId="02FA1B17" w:rsidR="00ED13D9" w:rsidRPr="0084008F" w:rsidRDefault="00ED13D9" w:rsidP="00ED13D9">
            <w:pPr>
              <w:jc w:val="center"/>
              <w:rPr>
                <w:rFonts w:ascii="Arial Narrow" w:hAnsi="Arial Narrow"/>
                <w:color w:val="333333"/>
                <w:sz w:val="20"/>
                <w:szCs w:val="20"/>
              </w:rPr>
            </w:pPr>
          </w:p>
        </w:tc>
        <w:tc>
          <w:tcPr>
            <w:tcW w:w="4447" w:type="pct"/>
            <w:vAlign w:val="center"/>
            <w:hideMark/>
          </w:tcPr>
          <w:p w14:paraId="0CAD3FE4" w14:textId="77777777" w:rsidR="00ED13D9" w:rsidRPr="0084008F" w:rsidRDefault="00ED13D9" w:rsidP="00ED13D9">
            <w:pPr>
              <w:rPr>
                <w:rFonts w:ascii="Arial Narrow" w:hAnsi="Arial Narrow"/>
                <w:color w:val="333333"/>
                <w:sz w:val="20"/>
                <w:szCs w:val="20"/>
              </w:rPr>
            </w:pPr>
            <w:r w:rsidRPr="0084008F">
              <w:rPr>
                <w:rFonts w:ascii="Arial Narrow" w:hAnsi="Arial Narrow"/>
                <w:b/>
                <w:bCs/>
                <w:color w:val="333333"/>
                <w:sz w:val="20"/>
                <w:szCs w:val="20"/>
              </w:rPr>
              <w:t xml:space="preserve">Prescribing Instructions: </w:t>
            </w:r>
            <w:r w:rsidRPr="0084008F">
              <w:rPr>
                <w:rFonts w:ascii="Arial Narrow" w:hAnsi="Arial Narrow"/>
                <w:bCs/>
                <w:color w:val="333333"/>
                <w:sz w:val="20"/>
                <w:szCs w:val="20"/>
              </w:rPr>
              <w:t>Where applicable, the date of the magnetic resonance imaging scan must be recorded in the patient's medical records.</w:t>
            </w:r>
          </w:p>
          <w:p w14:paraId="6D78CD97" w14:textId="77777777" w:rsidR="00ED13D9" w:rsidRPr="0084008F" w:rsidRDefault="00ED13D9" w:rsidP="00ED13D9">
            <w:pPr>
              <w:rPr>
                <w:rFonts w:ascii="Arial Narrow" w:hAnsi="Arial Narrow"/>
                <w:color w:val="333333"/>
                <w:sz w:val="20"/>
                <w:szCs w:val="20"/>
              </w:rPr>
            </w:pPr>
          </w:p>
        </w:tc>
      </w:tr>
    </w:tbl>
    <w:p w14:paraId="6DD5AA11" w14:textId="77777777" w:rsidR="00AF2CF2" w:rsidRPr="00AF2CF2" w:rsidRDefault="00AF2CF2" w:rsidP="0045740E">
      <w:pPr>
        <w:widowControl w:val="0"/>
        <w:ind w:left="720"/>
        <w:contextualSpacing/>
        <w:rPr>
          <w:rFonts w:asciiTheme="minorHAnsi" w:hAnsiTheme="minorHAnsi"/>
          <w:b/>
          <w:bCs/>
          <w:snapToGrid w:val="0"/>
        </w:rPr>
      </w:pPr>
    </w:p>
    <w:bookmarkEnd w:id="39"/>
    <w:bookmarkEnd w:id="40"/>
    <w:bookmarkEnd w:id="41"/>
    <w:bookmarkEnd w:id="43"/>
    <w:p w14:paraId="104D46A4" w14:textId="77777777" w:rsidR="0045740E" w:rsidRDefault="0045740E" w:rsidP="0045740E">
      <w:pPr>
        <w:pStyle w:val="3Bodytext"/>
        <w:ind w:left="0" w:firstLine="0"/>
        <w:rPr>
          <w:snapToGrid w:val="0"/>
        </w:rPr>
      </w:pPr>
      <w:r>
        <w:rPr>
          <w:rFonts w:cs="Arial"/>
          <w:b/>
          <w:i/>
        </w:rPr>
        <w:t>This restriction may be subject to further review. Should there be any changes made to the restriction the Sponsor will be informed.</w:t>
      </w:r>
    </w:p>
    <w:p w14:paraId="37FB1631" w14:textId="79AF85C1" w:rsidR="00BB6824" w:rsidRPr="005F5FEC" w:rsidRDefault="00BB6824" w:rsidP="005F5FEC">
      <w:pPr>
        <w:pStyle w:val="2-SectionHeading"/>
      </w:pPr>
      <w:bookmarkStart w:id="44" w:name="_Hlk102658826"/>
      <w:r w:rsidRPr="005F5FEC">
        <w:t>Context for Decision</w:t>
      </w:r>
    </w:p>
    <w:p w14:paraId="2BDA7F62" w14:textId="0E0E7DB0" w:rsidR="00BB6824" w:rsidRPr="007129F2" w:rsidRDefault="00BB6824" w:rsidP="00A87AFA">
      <w:pPr>
        <w:spacing w:after="1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CCA87C5" w14:textId="4956F6B3" w:rsidR="00BB6824" w:rsidRPr="005F5FEC" w:rsidRDefault="00BB6824" w:rsidP="005F5FEC">
      <w:pPr>
        <w:pStyle w:val="2-SectionHeading"/>
      </w:pPr>
      <w:bookmarkStart w:id="45" w:name="_Hlk102733998"/>
      <w:r w:rsidRPr="005F5FEC">
        <w:t>Sponsor’s Comment</w:t>
      </w:r>
    </w:p>
    <w:p w14:paraId="64A43932" w14:textId="70335AFD" w:rsidR="00F21A3E" w:rsidRDefault="00A87AFA" w:rsidP="00A87AFA">
      <w:pPr>
        <w:pStyle w:val="3-BodyText"/>
        <w:numPr>
          <w:ilvl w:val="0"/>
          <w:numId w:val="0"/>
        </w:numPr>
        <w:rPr>
          <w:color w:val="3366FF"/>
        </w:rPr>
      </w:pPr>
      <w:r w:rsidRPr="00A87AFA">
        <w:rPr>
          <w:snapToGrid/>
          <w:lang w:val="en-GB"/>
        </w:rPr>
        <w:t xml:space="preserve">Biogen welcomes the PBAC decision to recommend VUMERITY (diroximel fumarate) for relapsing-remitting multiple sclerosis. Diroximel fumarate (DRF) adds to the portfolio of multiple sclerosis treatments, to provide further choice to healthcare professionals and those they care for. </w:t>
      </w:r>
      <w:bookmarkStart w:id="46" w:name="_Hlk106875007"/>
      <w:r w:rsidR="008B77D7" w:rsidRPr="008B77D7">
        <w:rPr>
          <w:snapToGrid/>
          <w:lang w:val="en-GB"/>
        </w:rPr>
        <w:t xml:space="preserve">In making the recommendation, the PBAC considered a different comparator based on its assessment that the cost of DRF should be no greater than the cost of alternative therapies. </w:t>
      </w:r>
      <w:bookmarkEnd w:id="46"/>
      <w:r w:rsidRPr="00A87AFA">
        <w:rPr>
          <w:snapToGrid/>
          <w:lang w:val="en-GB"/>
        </w:rPr>
        <w:t>Biogen will work with the Department of Health to secure a PBS listing for diroximel fumarate as soon as is feasible.</w:t>
      </w:r>
      <w:bookmarkEnd w:id="44"/>
      <w:bookmarkEnd w:id="45"/>
    </w:p>
    <w:sectPr w:rsidR="00F21A3E" w:rsidSect="00251006">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CD8D6" w14:textId="77777777" w:rsidR="00666591" w:rsidRDefault="00666591" w:rsidP="00124A51">
      <w:r>
        <w:separator/>
      </w:r>
    </w:p>
    <w:p w14:paraId="6A577962" w14:textId="77777777" w:rsidR="00666591" w:rsidRDefault="00666591"/>
  </w:endnote>
  <w:endnote w:type="continuationSeparator" w:id="0">
    <w:p w14:paraId="682C1C0B" w14:textId="77777777" w:rsidR="00666591" w:rsidRDefault="00666591" w:rsidP="00124A51">
      <w:r>
        <w:continuationSeparator/>
      </w:r>
    </w:p>
    <w:p w14:paraId="7F3CC083" w14:textId="77777777" w:rsidR="00666591" w:rsidRDefault="00666591"/>
  </w:endnote>
  <w:endnote w:type="continuationNotice" w:id="1">
    <w:p w14:paraId="4DE89FDF" w14:textId="77777777" w:rsidR="00666591" w:rsidRDefault="0066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13000" w14:textId="77777777" w:rsidR="00666591" w:rsidRDefault="00666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9DF29" w14:textId="77777777" w:rsidR="00666591" w:rsidRDefault="00666591" w:rsidP="00031CDD">
    <w:pPr>
      <w:ind w:left="709"/>
      <w:contextualSpacing/>
      <w:jc w:val="center"/>
      <w:rPr>
        <w:rFonts w:eastAsia="Calibri"/>
        <w:szCs w:val="22"/>
      </w:rPr>
    </w:pPr>
  </w:p>
  <w:bookmarkStart w:id="48" w:name="_Hlk76375156"/>
  <w:p w14:paraId="7D132101" w14:textId="6DFDC687" w:rsidR="00666591" w:rsidRPr="00953C5F" w:rsidRDefault="00666591" w:rsidP="00953C5F">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4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3A262" w14:textId="77777777" w:rsidR="00666591" w:rsidRDefault="00666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21220" w14:textId="77777777" w:rsidR="00666591" w:rsidRDefault="00666591" w:rsidP="00124A51">
      <w:r>
        <w:separator/>
      </w:r>
    </w:p>
    <w:p w14:paraId="01DE3BC2" w14:textId="77777777" w:rsidR="00666591" w:rsidRDefault="00666591"/>
  </w:footnote>
  <w:footnote w:type="continuationSeparator" w:id="0">
    <w:p w14:paraId="38378261" w14:textId="77777777" w:rsidR="00666591" w:rsidRDefault="00666591" w:rsidP="00124A51">
      <w:r>
        <w:continuationSeparator/>
      </w:r>
    </w:p>
    <w:p w14:paraId="4491992E" w14:textId="77777777" w:rsidR="00666591" w:rsidRDefault="00666591"/>
  </w:footnote>
  <w:footnote w:type="continuationNotice" w:id="1">
    <w:p w14:paraId="5CBF2343" w14:textId="77777777" w:rsidR="00666591" w:rsidRDefault="00666591"/>
  </w:footnote>
  <w:footnote w:id="2">
    <w:p w14:paraId="0818854F" w14:textId="77777777" w:rsidR="00666591" w:rsidRPr="00294150" w:rsidRDefault="00666591" w:rsidP="00257515">
      <w:pPr>
        <w:pStyle w:val="FootnoteText"/>
        <w:rPr>
          <w:rFonts w:ascii="Arial Narrow" w:hAnsi="Arial Narrow"/>
          <w:sz w:val="18"/>
          <w:szCs w:val="18"/>
        </w:rPr>
      </w:pPr>
      <w:r w:rsidRPr="00294150">
        <w:rPr>
          <w:rStyle w:val="FootnoteReference"/>
          <w:rFonts w:ascii="Arial Narrow" w:hAnsi="Arial Narrow"/>
          <w:sz w:val="18"/>
          <w:szCs w:val="18"/>
        </w:rPr>
        <w:footnoteRef/>
      </w:r>
      <w:r w:rsidRPr="00294150">
        <w:rPr>
          <w:rFonts w:ascii="Arial Narrow" w:hAnsi="Arial Narrow"/>
          <w:sz w:val="18"/>
          <w:szCs w:val="18"/>
        </w:rPr>
        <w:t xml:space="preserve"> https://www.pbs.gov.au/industry/listing/participants/public-release-docs/2020-10/ocrelizumab-relapsing-remitting-MS-analysis-dusc-prd-2020-10v2.PDF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B64C9" w14:textId="77777777" w:rsidR="00666591" w:rsidRDefault="00666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E4725" w14:textId="22092301" w:rsidR="00666591" w:rsidRPr="00056684" w:rsidRDefault="00666591" w:rsidP="00953C5F">
    <w:pPr>
      <w:pStyle w:val="Header"/>
      <w:ind w:left="360"/>
      <w:rPr>
        <w:rFonts w:asciiTheme="minorHAnsi" w:hAnsiTheme="minorHAnsi"/>
        <w:i/>
        <w:color w:val="808080"/>
      </w:rPr>
    </w:pPr>
    <w:bookmarkStart w:id="47" w:name="_Hlk76375146"/>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 xml:space="preserve">March 2022 </w:t>
    </w:r>
    <w:r w:rsidRPr="00056684">
      <w:rPr>
        <w:rFonts w:asciiTheme="minorHAnsi" w:hAnsiTheme="minorHAnsi"/>
        <w:i/>
        <w:color w:val="808080"/>
      </w:rPr>
      <w:t>PBAC Meeting</w:t>
    </w:r>
  </w:p>
  <w:bookmarkEnd w:id="47"/>
  <w:p w14:paraId="5E83BD6D" w14:textId="77777777" w:rsidR="00666591" w:rsidRDefault="006665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D261E" w14:textId="77777777" w:rsidR="00666591" w:rsidRDefault="00666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7B880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E04D66"/>
    <w:multiLevelType w:val="hybridMultilevel"/>
    <w:tmpl w:val="F0DCC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4892C00"/>
    <w:multiLevelType w:val="hybridMultilevel"/>
    <w:tmpl w:val="8D7C33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5E83312"/>
    <w:multiLevelType w:val="hybridMultilevel"/>
    <w:tmpl w:val="6D12DE68"/>
    <w:lvl w:ilvl="0" w:tplc="F1A85192">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E84BCB"/>
    <w:multiLevelType w:val="hybridMultilevel"/>
    <w:tmpl w:val="BBE0F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157847"/>
    <w:multiLevelType w:val="hybridMultilevel"/>
    <w:tmpl w:val="7EC02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A15F6E"/>
    <w:multiLevelType w:val="hybridMultilevel"/>
    <w:tmpl w:val="8F66C0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111EBE"/>
    <w:multiLevelType w:val="hybridMultilevel"/>
    <w:tmpl w:val="524CC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E13147"/>
    <w:multiLevelType w:val="hybridMultilevel"/>
    <w:tmpl w:val="50924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7E5154"/>
    <w:multiLevelType w:val="hybridMultilevel"/>
    <w:tmpl w:val="94E0D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1F6DB8"/>
    <w:multiLevelType w:val="hybridMultilevel"/>
    <w:tmpl w:val="DE7E04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8A2FD0"/>
    <w:multiLevelType w:val="hybridMultilevel"/>
    <w:tmpl w:val="FADC97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6D855FC"/>
    <w:multiLevelType w:val="hybridMultilevel"/>
    <w:tmpl w:val="EE105B02"/>
    <w:lvl w:ilvl="0" w:tplc="EF2E5428">
      <w:start w:val="1"/>
      <w:numFmt w:val="bullet"/>
      <w:pStyle w:val="Tabletextbullet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DC40B7"/>
    <w:multiLevelType w:val="hybridMultilevel"/>
    <w:tmpl w:val="DD0A8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C363110"/>
    <w:multiLevelType w:val="hybridMultilevel"/>
    <w:tmpl w:val="D11A5736"/>
    <w:lvl w:ilvl="0" w:tplc="0C090001">
      <w:start w:val="1"/>
      <w:numFmt w:val="bullet"/>
      <w:lvlText w:val=""/>
      <w:lvlJc w:val="left"/>
      <w:pPr>
        <w:ind w:left="720" w:hanging="360"/>
      </w:pPr>
      <w:rPr>
        <w:rFonts w:ascii="Symbol" w:hAnsi="Symbol" w:hint="default"/>
      </w:rPr>
    </w:lvl>
    <w:lvl w:ilvl="1" w:tplc="4E569CD4">
      <w:numFmt w:val="bullet"/>
      <w:lvlText w:val="•"/>
      <w:lvlJc w:val="left"/>
      <w:pPr>
        <w:ind w:left="1800" w:hanging="720"/>
      </w:pPr>
      <w:rPr>
        <w:rFonts w:ascii="Arial Narrow" w:eastAsiaTheme="majorEastAsia" w:hAnsi="Arial Narrow" w:cstheme="maj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5C6A1A"/>
    <w:multiLevelType w:val="hybridMultilevel"/>
    <w:tmpl w:val="816EEE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22A088D"/>
    <w:multiLevelType w:val="hybridMultilevel"/>
    <w:tmpl w:val="6964A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376C72"/>
    <w:multiLevelType w:val="hybridMultilevel"/>
    <w:tmpl w:val="567E8828"/>
    <w:lvl w:ilvl="0" w:tplc="ED48993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C5A31"/>
    <w:multiLevelType w:val="hybridMultilevel"/>
    <w:tmpl w:val="9F8EAB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49D6245"/>
    <w:multiLevelType w:val="hybridMultilevel"/>
    <w:tmpl w:val="58982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E036FF"/>
    <w:multiLevelType w:val="hybridMultilevel"/>
    <w:tmpl w:val="09E4E7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6AD3742"/>
    <w:multiLevelType w:val="hybridMultilevel"/>
    <w:tmpl w:val="59C663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16D2C62"/>
    <w:multiLevelType w:val="hybridMultilevel"/>
    <w:tmpl w:val="034CBF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5EA6C2F"/>
    <w:multiLevelType w:val="hybridMultilevel"/>
    <w:tmpl w:val="2668D7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15425F"/>
    <w:multiLevelType w:val="hybridMultilevel"/>
    <w:tmpl w:val="14988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E37556"/>
    <w:multiLevelType w:val="hybridMultilevel"/>
    <w:tmpl w:val="54EEC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23"/>
  </w:num>
  <w:num w:numId="3">
    <w:abstractNumId w:val="24"/>
  </w:num>
  <w:num w:numId="4">
    <w:abstractNumId w:val="0"/>
  </w:num>
  <w:num w:numId="5">
    <w:abstractNumId w:val="36"/>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35"/>
  </w:num>
  <w:num w:numId="10">
    <w:abstractNumId w:val="20"/>
  </w:num>
  <w:num w:numId="11">
    <w:abstractNumId w:val="7"/>
  </w:num>
  <w:num w:numId="12">
    <w:abstractNumId w:val="6"/>
  </w:num>
  <w:num w:numId="13">
    <w:abstractNumId w:val="9"/>
  </w:num>
  <w:num w:numId="14">
    <w:abstractNumId w:val="26"/>
  </w:num>
  <w:num w:numId="15">
    <w:abstractNumId w:val="19"/>
  </w:num>
  <w:num w:numId="16">
    <w:abstractNumId w:val="5"/>
  </w:num>
  <w:num w:numId="17">
    <w:abstractNumId w:val="38"/>
  </w:num>
  <w:num w:numId="18">
    <w:abstractNumId w:val="11"/>
  </w:num>
  <w:num w:numId="19">
    <w:abstractNumId w:val="34"/>
  </w:num>
  <w:num w:numId="20">
    <w:abstractNumId w:val="15"/>
  </w:num>
  <w:num w:numId="21">
    <w:abstractNumId w:val="31"/>
  </w:num>
  <w:num w:numId="22">
    <w:abstractNumId w:val="18"/>
  </w:num>
  <w:num w:numId="23">
    <w:abstractNumId w:val="14"/>
  </w:num>
  <w:num w:numId="24">
    <w:abstractNumId w:val="37"/>
  </w:num>
  <w:num w:numId="25">
    <w:abstractNumId w:val="2"/>
  </w:num>
  <w:num w:numId="26">
    <w:abstractNumId w:val="25"/>
  </w:num>
  <w:num w:numId="27">
    <w:abstractNumId w:val="21"/>
  </w:num>
  <w:num w:numId="28">
    <w:abstractNumId w:val="10"/>
  </w:num>
  <w:num w:numId="29">
    <w:abstractNumId w:val="4"/>
  </w:num>
  <w:num w:numId="30">
    <w:abstractNumId w:val="32"/>
  </w:num>
  <w:num w:numId="31">
    <w:abstractNumId w:val="3"/>
  </w:num>
  <w:num w:numId="32">
    <w:abstractNumId w:val="0"/>
  </w:num>
  <w:num w:numId="33">
    <w:abstractNumId w:val="27"/>
  </w:num>
  <w:num w:numId="34">
    <w:abstractNumId w:val="28"/>
  </w:num>
  <w:num w:numId="35">
    <w:abstractNumId w:val="8"/>
  </w:num>
  <w:num w:numId="36">
    <w:abstractNumId w:val="1"/>
  </w:num>
  <w:num w:numId="37">
    <w:abstractNumId w:val="13"/>
  </w:num>
  <w:num w:numId="38">
    <w:abstractNumId w:val="17"/>
  </w:num>
  <w:num w:numId="39">
    <w:abstractNumId w:val="12"/>
  </w:num>
  <w:num w:numId="4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9"/>
  </w:num>
  <w:num w:numId="43">
    <w:abstractNumId w:val="24"/>
  </w:num>
  <w:num w:numId="44">
    <w:abstractNumId w:val="36"/>
  </w:num>
  <w:num w:numId="45">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wtjA2MTU3NzYwNjdR0lEKTi0uzszPAykwrQUAoRK0wywAAAA="/>
  </w:docVars>
  <w:rsids>
    <w:rsidRoot w:val="00E65E79"/>
    <w:rsid w:val="00000097"/>
    <w:rsid w:val="000001CC"/>
    <w:rsid w:val="00000790"/>
    <w:rsid w:val="0000110B"/>
    <w:rsid w:val="00003499"/>
    <w:rsid w:val="000039B7"/>
    <w:rsid w:val="0000455E"/>
    <w:rsid w:val="00004F8D"/>
    <w:rsid w:val="0000639A"/>
    <w:rsid w:val="00011402"/>
    <w:rsid w:val="00012867"/>
    <w:rsid w:val="00013247"/>
    <w:rsid w:val="00015886"/>
    <w:rsid w:val="000162EF"/>
    <w:rsid w:val="0002067C"/>
    <w:rsid w:val="000207C9"/>
    <w:rsid w:val="00020AD1"/>
    <w:rsid w:val="0002225F"/>
    <w:rsid w:val="00023763"/>
    <w:rsid w:val="00027479"/>
    <w:rsid w:val="000274B8"/>
    <w:rsid w:val="0003080F"/>
    <w:rsid w:val="000319CE"/>
    <w:rsid w:val="00031CDD"/>
    <w:rsid w:val="00031D3F"/>
    <w:rsid w:val="00033863"/>
    <w:rsid w:val="00033C74"/>
    <w:rsid w:val="00035DC0"/>
    <w:rsid w:val="00036829"/>
    <w:rsid w:val="00040895"/>
    <w:rsid w:val="00040A62"/>
    <w:rsid w:val="00041763"/>
    <w:rsid w:val="00043137"/>
    <w:rsid w:val="000435EE"/>
    <w:rsid w:val="00043C37"/>
    <w:rsid w:val="00044273"/>
    <w:rsid w:val="00044A4C"/>
    <w:rsid w:val="00044F3A"/>
    <w:rsid w:val="00044F3E"/>
    <w:rsid w:val="00045017"/>
    <w:rsid w:val="000458BB"/>
    <w:rsid w:val="000458C1"/>
    <w:rsid w:val="00045A2B"/>
    <w:rsid w:val="000461A8"/>
    <w:rsid w:val="000463CE"/>
    <w:rsid w:val="0004698F"/>
    <w:rsid w:val="000507F5"/>
    <w:rsid w:val="00050FE7"/>
    <w:rsid w:val="00051865"/>
    <w:rsid w:val="00051A76"/>
    <w:rsid w:val="000539D0"/>
    <w:rsid w:val="00054621"/>
    <w:rsid w:val="000546D7"/>
    <w:rsid w:val="00056ECF"/>
    <w:rsid w:val="00057417"/>
    <w:rsid w:val="000604DF"/>
    <w:rsid w:val="00060969"/>
    <w:rsid w:val="00062F22"/>
    <w:rsid w:val="0006520B"/>
    <w:rsid w:val="000653B5"/>
    <w:rsid w:val="00065566"/>
    <w:rsid w:val="00066360"/>
    <w:rsid w:val="00066AF8"/>
    <w:rsid w:val="00067771"/>
    <w:rsid w:val="00070085"/>
    <w:rsid w:val="00071248"/>
    <w:rsid w:val="000720B9"/>
    <w:rsid w:val="00072C06"/>
    <w:rsid w:val="00072F0D"/>
    <w:rsid w:val="000737F7"/>
    <w:rsid w:val="0007672F"/>
    <w:rsid w:val="00076B54"/>
    <w:rsid w:val="000774F0"/>
    <w:rsid w:val="00080909"/>
    <w:rsid w:val="000812CA"/>
    <w:rsid w:val="00081E63"/>
    <w:rsid w:val="0008258D"/>
    <w:rsid w:val="00083519"/>
    <w:rsid w:val="00083E99"/>
    <w:rsid w:val="000840EC"/>
    <w:rsid w:val="00084D26"/>
    <w:rsid w:val="00084FA8"/>
    <w:rsid w:val="00085690"/>
    <w:rsid w:val="000856C5"/>
    <w:rsid w:val="00085C31"/>
    <w:rsid w:val="000902D9"/>
    <w:rsid w:val="00090C7E"/>
    <w:rsid w:val="00092600"/>
    <w:rsid w:val="0009262B"/>
    <w:rsid w:val="000930F6"/>
    <w:rsid w:val="00093310"/>
    <w:rsid w:val="0009445C"/>
    <w:rsid w:val="000946B1"/>
    <w:rsid w:val="00095200"/>
    <w:rsid w:val="00095C66"/>
    <w:rsid w:val="00095FE5"/>
    <w:rsid w:val="00096284"/>
    <w:rsid w:val="000A1BC0"/>
    <w:rsid w:val="000A1DF5"/>
    <w:rsid w:val="000A3CF5"/>
    <w:rsid w:val="000A4062"/>
    <w:rsid w:val="000A56DB"/>
    <w:rsid w:val="000A6039"/>
    <w:rsid w:val="000A6661"/>
    <w:rsid w:val="000A66C6"/>
    <w:rsid w:val="000A6C96"/>
    <w:rsid w:val="000A7453"/>
    <w:rsid w:val="000A7D08"/>
    <w:rsid w:val="000B0121"/>
    <w:rsid w:val="000B0670"/>
    <w:rsid w:val="000B0E75"/>
    <w:rsid w:val="000B2DCB"/>
    <w:rsid w:val="000B3B2A"/>
    <w:rsid w:val="000B4EE9"/>
    <w:rsid w:val="000B5CE0"/>
    <w:rsid w:val="000B6CAC"/>
    <w:rsid w:val="000B7612"/>
    <w:rsid w:val="000B78AE"/>
    <w:rsid w:val="000C1198"/>
    <w:rsid w:val="000C3DF9"/>
    <w:rsid w:val="000C5F73"/>
    <w:rsid w:val="000C6713"/>
    <w:rsid w:val="000D0F93"/>
    <w:rsid w:val="000D17D1"/>
    <w:rsid w:val="000D1BFC"/>
    <w:rsid w:val="000D1D5D"/>
    <w:rsid w:val="000D281A"/>
    <w:rsid w:val="000D2848"/>
    <w:rsid w:val="000D2E01"/>
    <w:rsid w:val="000D326A"/>
    <w:rsid w:val="000D416F"/>
    <w:rsid w:val="000D51FB"/>
    <w:rsid w:val="000D659A"/>
    <w:rsid w:val="000D6BA2"/>
    <w:rsid w:val="000E0003"/>
    <w:rsid w:val="000E0640"/>
    <w:rsid w:val="000E135D"/>
    <w:rsid w:val="000E3C75"/>
    <w:rsid w:val="000E4F92"/>
    <w:rsid w:val="000E7F8C"/>
    <w:rsid w:val="000F00BA"/>
    <w:rsid w:val="000F1257"/>
    <w:rsid w:val="000F17A2"/>
    <w:rsid w:val="000F316A"/>
    <w:rsid w:val="000F3C74"/>
    <w:rsid w:val="000F4BB8"/>
    <w:rsid w:val="000F4FA9"/>
    <w:rsid w:val="000F53FB"/>
    <w:rsid w:val="000F6D95"/>
    <w:rsid w:val="000F7127"/>
    <w:rsid w:val="000F7601"/>
    <w:rsid w:val="000F7B54"/>
    <w:rsid w:val="000F7FED"/>
    <w:rsid w:val="00100108"/>
    <w:rsid w:val="00100745"/>
    <w:rsid w:val="0010097E"/>
    <w:rsid w:val="00100F8A"/>
    <w:rsid w:val="0010452E"/>
    <w:rsid w:val="00105238"/>
    <w:rsid w:val="00105AE2"/>
    <w:rsid w:val="001060C6"/>
    <w:rsid w:val="00106B80"/>
    <w:rsid w:val="0011032E"/>
    <w:rsid w:val="00111342"/>
    <w:rsid w:val="001115A0"/>
    <w:rsid w:val="00112A36"/>
    <w:rsid w:val="00113116"/>
    <w:rsid w:val="0011348B"/>
    <w:rsid w:val="00114474"/>
    <w:rsid w:val="00115982"/>
    <w:rsid w:val="00116C53"/>
    <w:rsid w:val="00116C55"/>
    <w:rsid w:val="00120388"/>
    <w:rsid w:val="00121799"/>
    <w:rsid w:val="00121CB6"/>
    <w:rsid w:val="001222FC"/>
    <w:rsid w:val="00123259"/>
    <w:rsid w:val="00123902"/>
    <w:rsid w:val="00124A51"/>
    <w:rsid w:val="00124B0D"/>
    <w:rsid w:val="00126621"/>
    <w:rsid w:val="0012684B"/>
    <w:rsid w:val="00126B1D"/>
    <w:rsid w:val="001301E9"/>
    <w:rsid w:val="00131734"/>
    <w:rsid w:val="00131D82"/>
    <w:rsid w:val="001321CD"/>
    <w:rsid w:val="00132B22"/>
    <w:rsid w:val="00132CAE"/>
    <w:rsid w:val="00133B4B"/>
    <w:rsid w:val="00133D36"/>
    <w:rsid w:val="00134825"/>
    <w:rsid w:val="001368BE"/>
    <w:rsid w:val="00137645"/>
    <w:rsid w:val="00137E32"/>
    <w:rsid w:val="0014015A"/>
    <w:rsid w:val="00140E99"/>
    <w:rsid w:val="001422FA"/>
    <w:rsid w:val="00143F67"/>
    <w:rsid w:val="0014497F"/>
    <w:rsid w:val="00144A30"/>
    <w:rsid w:val="001452FB"/>
    <w:rsid w:val="00145540"/>
    <w:rsid w:val="001456B0"/>
    <w:rsid w:val="00146592"/>
    <w:rsid w:val="00147CB0"/>
    <w:rsid w:val="00147FAF"/>
    <w:rsid w:val="001520FC"/>
    <w:rsid w:val="00155F70"/>
    <w:rsid w:val="00156F8F"/>
    <w:rsid w:val="00157130"/>
    <w:rsid w:val="001576B1"/>
    <w:rsid w:val="0016047B"/>
    <w:rsid w:val="00160A4C"/>
    <w:rsid w:val="00162913"/>
    <w:rsid w:val="00163031"/>
    <w:rsid w:val="00163EBA"/>
    <w:rsid w:val="00163EFF"/>
    <w:rsid w:val="00163F66"/>
    <w:rsid w:val="001655DF"/>
    <w:rsid w:val="0016606B"/>
    <w:rsid w:val="001661FB"/>
    <w:rsid w:val="001671A0"/>
    <w:rsid w:val="0016767F"/>
    <w:rsid w:val="00170045"/>
    <w:rsid w:val="0017035E"/>
    <w:rsid w:val="00170864"/>
    <w:rsid w:val="00172683"/>
    <w:rsid w:val="00172EB0"/>
    <w:rsid w:val="00173565"/>
    <w:rsid w:val="00173B07"/>
    <w:rsid w:val="001751FA"/>
    <w:rsid w:val="00175707"/>
    <w:rsid w:val="00176FCA"/>
    <w:rsid w:val="001807CA"/>
    <w:rsid w:val="00181D9C"/>
    <w:rsid w:val="00184B0E"/>
    <w:rsid w:val="00185D46"/>
    <w:rsid w:val="0018752F"/>
    <w:rsid w:val="00193838"/>
    <w:rsid w:val="00193A01"/>
    <w:rsid w:val="0019467B"/>
    <w:rsid w:val="00194AD8"/>
    <w:rsid w:val="00195222"/>
    <w:rsid w:val="00196F99"/>
    <w:rsid w:val="001971C8"/>
    <w:rsid w:val="001975D8"/>
    <w:rsid w:val="001979B6"/>
    <w:rsid w:val="001A178E"/>
    <w:rsid w:val="001A3458"/>
    <w:rsid w:val="001A43FA"/>
    <w:rsid w:val="001A47C5"/>
    <w:rsid w:val="001A4C03"/>
    <w:rsid w:val="001A59FB"/>
    <w:rsid w:val="001A5E9E"/>
    <w:rsid w:val="001A6354"/>
    <w:rsid w:val="001A6366"/>
    <w:rsid w:val="001A6D9F"/>
    <w:rsid w:val="001A7AE8"/>
    <w:rsid w:val="001B0D71"/>
    <w:rsid w:val="001B141F"/>
    <w:rsid w:val="001B204E"/>
    <w:rsid w:val="001B2372"/>
    <w:rsid w:val="001B320B"/>
    <w:rsid w:val="001B3443"/>
    <w:rsid w:val="001B4ADD"/>
    <w:rsid w:val="001B4D20"/>
    <w:rsid w:val="001B63D0"/>
    <w:rsid w:val="001C0C33"/>
    <w:rsid w:val="001C11FC"/>
    <w:rsid w:val="001C1375"/>
    <w:rsid w:val="001C255E"/>
    <w:rsid w:val="001C2A9B"/>
    <w:rsid w:val="001C4299"/>
    <w:rsid w:val="001C4874"/>
    <w:rsid w:val="001C5F94"/>
    <w:rsid w:val="001C63C9"/>
    <w:rsid w:val="001C6E66"/>
    <w:rsid w:val="001C7708"/>
    <w:rsid w:val="001D1100"/>
    <w:rsid w:val="001D1391"/>
    <w:rsid w:val="001D23C6"/>
    <w:rsid w:val="001D25D7"/>
    <w:rsid w:val="001D50B2"/>
    <w:rsid w:val="001D6FB1"/>
    <w:rsid w:val="001D7645"/>
    <w:rsid w:val="001D79DF"/>
    <w:rsid w:val="001E1AE8"/>
    <w:rsid w:val="001E1E86"/>
    <w:rsid w:val="001E238E"/>
    <w:rsid w:val="001E2483"/>
    <w:rsid w:val="001E2B1E"/>
    <w:rsid w:val="001E2CFF"/>
    <w:rsid w:val="001E2F24"/>
    <w:rsid w:val="001E30D4"/>
    <w:rsid w:val="001E34DF"/>
    <w:rsid w:val="001E3D84"/>
    <w:rsid w:val="001E4D6C"/>
    <w:rsid w:val="001E52EB"/>
    <w:rsid w:val="001E61D2"/>
    <w:rsid w:val="001E740C"/>
    <w:rsid w:val="001F1235"/>
    <w:rsid w:val="001F1CB3"/>
    <w:rsid w:val="001F30FE"/>
    <w:rsid w:val="001F38B5"/>
    <w:rsid w:val="001F4081"/>
    <w:rsid w:val="001F54B0"/>
    <w:rsid w:val="001F5AA7"/>
    <w:rsid w:val="001F5AD2"/>
    <w:rsid w:val="001F6B50"/>
    <w:rsid w:val="001F7361"/>
    <w:rsid w:val="00200808"/>
    <w:rsid w:val="002011B0"/>
    <w:rsid w:val="00203181"/>
    <w:rsid w:val="00203783"/>
    <w:rsid w:val="0020385F"/>
    <w:rsid w:val="00204C66"/>
    <w:rsid w:val="002068A0"/>
    <w:rsid w:val="00207021"/>
    <w:rsid w:val="0020732F"/>
    <w:rsid w:val="00207D00"/>
    <w:rsid w:val="002105C1"/>
    <w:rsid w:val="00211244"/>
    <w:rsid w:val="00211389"/>
    <w:rsid w:val="00213EF5"/>
    <w:rsid w:val="002157EA"/>
    <w:rsid w:val="00216BF5"/>
    <w:rsid w:val="002171FA"/>
    <w:rsid w:val="002203ED"/>
    <w:rsid w:val="0022106F"/>
    <w:rsid w:val="00221F8A"/>
    <w:rsid w:val="002226A9"/>
    <w:rsid w:val="00223B49"/>
    <w:rsid w:val="00223D5A"/>
    <w:rsid w:val="00224DD4"/>
    <w:rsid w:val="00224F1A"/>
    <w:rsid w:val="002278A0"/>
    <w:rsid w:val="002309CC"/>
    <w:rsid w:val="00231F63"/>
    <w:rsid w:val="0023209F"/>
    <w:rsid w:val="00233574"/>
    <w:rsid w:val="00233C01"/>
    <w:rsid w:val="0023413C"/>
    <w:rsid w:val="002346F0"/>
    <w:rsid w:val="00234E08"/>
    <w:rsid w:val="0023629D"/>
    <w:rsid w:val="00237255"/>
    <w:rsid w:val="0023784F"/>
    <w:rsid w:val="00237F58"/>
    <w:rsid w:val="00241419"/>
    <w:rsid w:val="002424AF"/>
    <w:rsid w:val="00242527"/>
    <w:rsid w:val="002439DC"/>
    <w:rsid w:val="002441D2"/>
    <w:rsid w:val="002441E9"/>
    <w:rsid w:val="00244D38"/>
    <w:rsid w:val="00244DC8"/>
    <w:rsid w:val="002458BA"/>
    <w:rsid w:val="00245CE9"/>
    <w:rsid w:val="0024636C"/>
    <w:rsid w:val="00247925"/>
    <w:rsid w:val="0025023F"/>
    <w:rsid w:val="00251006"/>
    <w:rsid w:val="00252300"/>
    <w:rsid w:val="002524D5"/>
    <w:rsid w:val="00253B1D"/>
    <w:rsid w:val="00253DAD"/>
    <w:rsid w:val="00254DCF"/>
    <w:rsid w:val="0025534B"/>
    <w:rsid w:val="00255BB7"/>
    <w:rsid w:val="00257256"/>
    <w:rsid w:val="00257515"/>
    <w:rsid w:val="00257541"/>
    <w:rsid w:val="00257A39"/>
    <w:rsid w:val="00257AC4"/>
    <w:rsid w:val="002601BF"/>
    <w:rsid w:val="00261EEF"/>
    <w:rsid w:val="00262A1A"/>
    <w:rsid w:val="00262A87"/>
    <w:rsid w:val="00263A5A"/>
    <w:rsid w:val="00264913"/>
    <w:rsid w:val="00264D26"/>
    <w:rsid w:val="002666E9"/>
    <w:rsid w:val="0026761F"/>
    <w:rsid w:val="00267642"/>
    <w:rsid w:val="00267AEA"/>
    <w:rsid w:val="002700E6"/>
    <w:rsid w:val="0027070F"/>
    <w:rsid w:val="00271550"/>
    <w:rsid w:val="0027294B"/>
    <w:rsid w:val="00272C20"/>
    <w:rsid w:val="00273DE6"/>
    <w:rsid w:val="00273EB4"/>
    <w:rsid w:val="00274682"/>
    <w:rsid w:val="00275C5A"/>
    <w:rsid w:val="00276D54"/>
    <w:rsid w:val="00280651"/>
    <w:rsid w:val="00281014"/>
    <w:rsid w:val="0028665D"/>
    <w:rsid w:val="00286A21"/>
    <w:rsid w:val="00291BB5"/>
    <w:rsid w:val="0029342E"/>
    <w:rsid w:val="002939E6"/>
    <w:rsid w:val="00294150"/>
    <w:rsid w:val="00297553"/>
    <w:rsid w:val="002A14AB"/>
    <w:rsid w:val="002A2ADE"/>
    <w:rsid w:val="002A2F50"/>
    <w:rsid w:val="002A6EBC"/>
    <w:rsid w:val="002B0461"/>
    <w:rsid w:val="002B05A1"/>
    <w:rsid w:val="002B09A4"/>
    <w:rsid w:val="002B09DE"/>
    <w:rsid w:val="002B1C1F"/>
    <w:rsid w:val="002B432F"/>
    <w:rsid w:val="002B4CF9"/>
    <w:rsid w:val="002B62B3"/>
    <w:rsid w:val="002B6754"/>
    <w:rsid w:val="002B6CCE"/>
    <w:rsid w:val="002C2510"/>
    <w:rsid w:val="002C2775"/>
    <w:rsid w:val="002C27C1"/>
    <w:rsid w:val="002C290F"/>
    <w:rsid w:val="002C5099"/>
    <w:rsid w:val="002C5889"/>
    <w:rsid w:val="002C71CE"/>
    <w:rsid w:val="002C73EF"/>
    <w:rsid w:val="002C7C25"/>
    <w:rsid w:val="002D0069"/>
    <w:rsid w:val="002D08F8"/>
    <w:rsid w:val="002D17C0"/>
    <w:rsid w:val="002D1EE7"/>
    <w:rsid w:val="002D2AAB"/>
    <w:rsid w:val="002D33CB"/>
    <w:rsid w:val="002D4471"/>
    <w:rsid w:val="002D577C"/>
    <w:rsid w:val="002E1071"/>
    <w:rsid w:val="002E155B"/>
    <w:rsid w:val="002E15B9"/>
    <w:rsid w:val="002E2158"/>
    <w:rsid w:val="002E34AC"/>
    <w:rsid w:val="002E4F02"/>
    <w:rsid w:val="002E7722"/>
    <w:rsid w:val="002F07BA"/>
    <w:rsid w:val="002F0DA9"/>
    <w:rsid w:val="002F1014"/>
    <w:rsid w:val="002F18F4"/>
    <w:rsid w:val="002F391D"/>
    <w:rsid w:val="002F498D"/>
    <w:rsid w:val="002F5DDD"/>
    <w:rsid w:val="002F6007"/>
    <w:rsid w:val="002F6369"/>
    <w:rsid w:val="002F643C"/>
    <w:rsid w:val="002F65C8"/>
    <w:rsid w:val="002F71C0"/>
    <w:rsid w:val="002F74F1"/>
    <w:rsid w:val="00300AF1"/>
    <w:rsid w:val="00301017"/>
    <w:rsid w:val="0030155F"/>
    <w:rsid w:val="0030290D"/>
    <w:rsid w:val="003050CD"/>
    <w:rsid w:val="0030587B"/>
    <w:rsid w:val="00306D98"/>
    <w:rsid w:val="0030786C"/>
    <w:rsid w:val="0031031A"/>
    <w:rsid w:val="00310981"/>
    <w:rsid w:val="00310EE6"/>
    <w:rsid w:val="003123EE"/>
    <w:rsid w:val="003124D9"/>
    <w:rsid w:val="00312594"/>
    <w:rsid w:val="00312AD1"/>
    <w:rsid w:val="003139F0"/>
    <w:rsid w:val="0031422E"/>
    <w:rsid w:val="00315498"/>
    <w:rsid w:val="00315B67"/>
    <w:rsid w:val="00315D9A"/>
    <w:rsid w:val="00316474"/>
    <w:rsid w:val="003213EC"/>
    <w:rsid w:val="00322107"/>
    <w:rsid w:val="00322355"/>
    <w:rsid w:val="00322846"/>
    <w:rsid w:val="00323394"/>
    <w:rsid w:val="00324AE6"/>
    <w:rsid w:val="0032503C"/>
    <w:rsid w:val="00325759"/>
    <w:rsid w:val="003264CD"/>
    <w:rsid w:val="00326DA7"/>
    <w:rsid w:val="003270E4"/>
    <w:rsid w:val="00327CA9"/>
    <w:rsid w:val="00330DAA"/>
    <w:rsid w:val="00330F5C"/>
    <w:rsid w:val="003366C9"/>
    <w:rsid w:val="00336A53"/>
    <w:rsid w:val="003371B0"/>
    <w:rsid w:val="00340B37"/>
    <w:rsid w:val="00340DF1"/>
    <w:rsid w:val="0034111B"/>
    <w:rsid w:val="00341F09"/>
    <w:rsid w:val="00342762"/>
    <w:rsid w:val="00345985"/>
    <w:rsid w:val="003466C9"/>
    <w:rsid w:val="00346D1A"/>
    <w:rsid w:val="00350F32"/>
    <w:rsid w:val="003517F9"/>
    <w:rsid w:val="00351BA9"/>
    <w:rsid w:val="00354F64"/>
    <w:rsid w:val="0035559A"/>
    <w:rsid w:val="00355D31"/>
    <w:rsid w:val="00356011"/>
    <w:rsid w:val="0035620E"/>
    <w:rsid w:val="00360345"/>
    <w:rsid w:val="003609E0"/>
    <w:rsid w:val="00361A05"/>
    <w:rsid w:val="00361DA4"/>
    <w:rsid w:val="003624C4"/>
    <w:rsid w:val="00363B00"/>
    <w:rsid w:val="003654AC"/>
    <w:rsid w:val="00370D7D"/>
    <w:rsid w:val="003710CF"/>
    <w:rsid w:val="0037358A"/>
    <w:rsid w:val="00373633"/>
    <w:rsid w:val="00374687"/>
    <w:rsid w:val="003750F6"/>
    <w:rsid w:val="0037584C"/>
    <w:rsid w:val="00376000"/>
    <w:rsid w:val="003760FC"/>
    <w:rsid w:val="00376579"/>
    <w:rsid w:val="003775AD"/>
    <w:rsid w:val="003804A1"/>
    <w:rsid w:val="00380DA9"/>
    <w:rsid w:val="00380FE1"/>
    <w:rsid w:val="0038315C"/>
    <w:rsid w:val="0038365C"/>
    <w:rsid w:val="0038369B"/>
    <w:rsid w:val="00383B78"/>
    <w:rsid w:val="00385704"/>
    <w:rsid w:val="00385A9D"/>
    <w:rsid w:val="003870EB"/>
    <w:rsid w:val="003902B1"/>
    <w:rsid w:val="0039179C"/>
    <w:rsid w:val="00396896"/>
    <w:rsid w:val="00396FD0"/>
    <w:rsid w:val="0039764E"/>
    <w:rsid w:val="003A00FA"/>
    <w:rsid w:val="003A1A7A"/>
    <w:rsid w:val="003A2392"/>
    <w:rsid w:val="003A2831"/>
    <w:rsid w:val="003A2DA1"/>
    <w:rsid w:val="003A3CB6"/>
    <w:rsid w:val="003A3ED1"/>
    <w:rsid w:val="003A44DB"/>
    <w:rsid w:val="003B2EAD"/>
    <w:rsid w:val="003B3971"/>
    <w:rsid w:val="003B4C25"/>
    <w:rsid w:val="003B55D1"/>
    <w:rsid w:val="003B5B61"/>
    <w:rsid w:val="003B6EE5"/>
    <w:rsid w:val="003B7683"/>
    <w:rsid w:val="003C14AB"/>
    <w:rsid w:val="003C1654"/>
    <w:rsid w:val="003C20EE"/>
    <w:rsid w:val="003C5542"/>
    <w:rsid w:val="003C7D19"/>
    <w:rsid w:val="003C7D2F"/>
    <w:rsid w:val="003D0DD3"/>
    <w:rsid w:val="003D1828"/>
    <w:rsid w:val="003D1DE4"/>
    <w:rsid w:val="003D1E9A"/>
    <w:rsid w:val="003D2422"/>
    <w:rsid w:val="003D39A1"/>
    <w:rsid w:val="003D3EB5"/>
    <w:rsid w:val="003D3FBF"/>
    <w:rsid w:val="003D4A30"/>
    <w:rsid w:val="003D7452"/>
    <w:rsid w:val="003D79BB"/>
    <w:rsid w:val="003D7C98"/>
    <w:rsid w:val="003D7D9D"/>
    <w:rsid w:val="003D7F49"/>
    <w:rsid w:val="003E0543"/>
    <w:rsid w:val="003E19F1"/>
    <w:rsid w:val="003E3604"/>
    <w:rsid w:val="003E4D70"/>
    <w:rsid w:val="003E5D1A"/>
    <w:rsid w:val="003E6158"/>
    <w:rsid w:val="003E749E"/>
    <w:rsid w:val="003E7D4D"/>
    <w:rsid w:val="003F4156"/>
    <w:rsid w:val="003F465B"/>
    <w:rsid w:val="003F4C93"/>
    <w:rsid w:val="003F4E21"/>
    <w:rsid w:val="003F53F3"/>
    <w:rsid w:val="003F5ADF"/>
    <w:rsid w:val="004006A6"/>
    <w:rsid w:val="00400B29"/>
    <w:rsid w:val="0040504B"/>
    <w:rsid w:val="004059F4"/>
    <w:rsid w:val="00405C33"/>
    <w:rsid w:val="00407C05"/>
    <w:rsid w:val="00407FE5"/>
    <w:rsid w:val="004101B0"/>
    <w:rsid w:val="00410326"/>
    <w:rsid w:val="00410708"/>
    <w:rsid w:val="00410C7F"/>
    <w:rsid w:val="00410EC7"/>
    <w:rsid w:val="00411B39"/>
    <w:rsid w:val="0041259D"/>
    <w:rsid w:val="004127A7"/>
    <w:rsid w:val="00413452"/>
    <w:rsid w:val="00413A1E"/>
    <w:rsid w:val="00413FC4"/>
    <w:rsid w:val="00414476"/>
    <w:rsid w:val="00414C2E"/>
    <w:rsid w:val="004151CF"/>
    <w:rsid w:val="00416364"/>
    <w:rsid w:val="004203C7"/>
    <w:rsid w:val="0042047F"/>
    <w:rsid w:val="00420AA6"/>
    <w:rsid w:val="00420B9F"/>
    <w:rsid w:val="00420E76"/>
    <w:rsid w:val="0042192C"/>
    <w:rsid w:val="00421983"/>
    <w:rsid w:val="00422260"/>
    <w:rsid w:val="004228DF"/>
    <w:rsid w:val="004228E7"/>
    <w:rsid w:val="0042324C"/>
    <w:rsid w:val="0042413F"/>
    <w:rsid w:val="004256DC"/>
    <w:rsid w:val="0042730F"/>
    <w:rsid w:val="00430251"/>
    <w:rsid w:val="004306BB"/>
    <w:rsid w:val="004319F8"/>
    <w:rsid w:val="00431E55"/>
    <w:rsid w:val="00432009"/>
    <w:rsid w:val="004321F6"/>
    <w:rsid w:val="00433044"/>
    <w:rsid w:val="00434088"/>
    <w:rsid w:val="00436588"/>
    <w:rsid w:val="004375B9"/>
    <w:rsid w:val="0043779A"/>
    <w:rsid w:val="004428D0"/>
    <w:rsid w:val="00443973"/>
    <w:rsid w:val="00444185"/>
    <w:rsid w:val="004443A7"/>
    <w:rsid w:val="0044442C"/>
    <w:rsid w:val="00444944"/>
    <w:rsid w:val="00444CAD"/>
    <w:rsid w:val="00445941"/>
    <w:rsid w:val="0044594E"/>
    <w:rsid w:val="00446059"/>
    <w:rsid w:val="004464EB"/>
    <w:rsid w:val="004475E1"/>
    <w:rsid w:val="00447D26"/>
    <w:rsid w:val="00447DFC"/>
    <w:rsid w:val="00450C17"/>
    <w:rsid w:val="00453543"/>
    <w:rsid w:val="00455D45"/>
    <w:rsid w:val="0045740E"/>
    <w:rsid w:val="004605B4"/>
    <w:rsid w:val="00460B7A"/>
    <w:rsid w:val="004643DA"/>
    <w:rsid w:val="00464595"/>
    <w:rsid w:val="004658B5"/>
    <w:rsid w:val="00465FFF"/>
    <w:rsid w:val="00471B92"/>
    <w:rsid w:val="00471E25"/>
    <w:rsid w:val="00471EA5"/>
    <w:rsid w:val="00472A79"/>
    <w:rsid w:val="00473F19"/>
    <w:rsid w:val="00475E22"/>
    <w:rsid w:val="0048088E"/>
    <w:rsid w:val="00480F2B"/>
    <w:rsid w:val="00482131"/>
    <w:rsid w:val="00482390"/>
    <w:rsid w:val="00482593"/>
    <w:rsid w:val="00482720"/>
    <w:rsid w:val="004835E7"/>
    <w:rsid w:val="0048655B"/>
    <w:rsid w:val="004867E2"/>
    <w:rsid w:val="004870E1"/>
    <w:rsid w:val="00487B2B"/>
    <w:rsid w:val="00487FD1"/>
    <w:rsid w:val="00490B17"/>
    <w:rsid w:val="004917F3"/>
    <w:rsid w:val="00491B3A"/>
    <w:rsid w:val="00492223"/>
    <w:rsid w:val="00492464"/>
    <w:rsid w:val="00492CFD"/>
    <w:rsid w:val="00494207"/>
    <w:rsid w:val="004944E9"/>
    <w:rsid w:val="00494DD5"/>
    <w:rsid w:val="00495E3A"/>
    <w:rsid w:val="004962D2"/>
    <w:rsid w:val="00497BF8"/>
    <w:rsid w:val="004A0DA1"/>
    <w:rsid w:val="004A13D6"/>
    <w:rsid w:val="004A17C8"/>
    <w:rsid w:val="004A31E7"/>
    <w:rsid w:val="004A4D7E"/>
    <w:rsid w:val="004A52E9"/>
    <w:rsid w:val="004A5DFA"/>
    <w:rsid w:val="004A6040"/>
    <w:rsid w:val="004A6597"/>
    <w:rsid w:val="004A6947"/>
    <w:rsid w:val="004A7848"/>
    <w:rsid w:val="004B11F3"/>
    <w:rsid w:val="004B13A6"/>
    <w:rsid w:val="004B1CB4"/>
    <w:rsid w:val="004B2F18"/>
    <w:rsid w:val="004B3680"/>
    <w:rsid w:val="004B3DDB"/>
    <w:rsid w:val="004B44FD"/>
    <w:rsid w:val="004B4EFD"/>
    <w:rsid w:val="004B5BBB"/>
    <w:rsid w:val="004B5CFC"/>
    <w:rsid w:val="004B6F79"/>
    <w:rsid w:val="004B774D"/>
    <w:rsid w:val="004C0D09"/>
    <w:rsid w:val="004C1ED1"/>
    <w:rsid w:val="004C3A51"/>
    <w:rsid w:val="004C4AED"/>
    <w:rsid w:val="004C6A61"/>
    <w:rsid w:val="004C70DD"/>
    <w:rsid w:val="004D16DA"/>
    <w:rsid w:val="004D2C2D"/>
    <w:rsid w:val="004D3341"/>
    <w:rsid w:val="004D4B84"/>
    <w:rsid w:val="004D69B5"/>
    <w:rsid w:val="004D6F5A"/>
    <w:rsid w:val="004D7227"/>
    <w:rsid w:val="004D766E"/>
    <w:rsid w:val="004E0E7F"/>
    <w:rsid w:val="004E0EB8"/>
    <w:rsid w:val="004E1547"/>
    <w:rsid w:val="004E18E9"/>
    <w:rsid w:val="004E1EB7"/>
    <w:rsid w:val="004E2A25"/>
    <w:rsid w:val="004E2ADC"/>
    <w:rsid w:val="004E34AF"/>
    <w:rsid w:val="004E43B2"/>
    <w:rsid w:val="004F14F1"/>
    <w:rsid w:val="004F1D02"/>
    <w:rsid w:val="004F2679"/>
    <w:rsid w:val="004F2F21"/>
    <w:rsid w:val="004F3DE5"/>
    <w:rsid w:val="004F6913"/>
    <w:rsid w:val="004F7865"/>
    <w:rsid w:val="004F79D3"/>
    <w:rsid w:val="00500CBA"/>
    <w:rsid w:val="0050174E"/>
    <w:rsid w:val="00501854"/>
    <w:rsid w:val="0050219B"/>
    <w:rsid w:val="00503F17"/>
    <w:rsid w:val="00506928"/>
    <w:rsid w:val="005077EF"/>
    <w:rsid w:val="005118FB"/>
    <w:rsid w:val="00511AD5"/>
    <w:rsid w:val="00511DC7"/>
    <w:rsid w:val="00512EEE"/>
    <w:rsid w:val="0051330D"/>
    <w:rsid w:val="0051348D"/>
    <w:rsid w:val="00513BA0"/>
    <w:rsid w:val="005142C5"/>
    <w:rsid w:val="0051501B"/>
    <w:rsid w:val="005152B5"/>
    <w:rsid w:val="0052123C"/>
    <w:rsid w:val="00521319"/>
    <w:rsid w:val="00521CD1"/>
    <w:rsid w:val="00522BC8"/>
    <w:rsid w:val="00523C28"/>
    <w:rsid w:val="00526108"/>
    <w:rsid w:val="00530397"/>
    <w:rsid w:val="00531069"/>
    <w:rsid w:val="0053176B"/>
    <w:rsid w:val="00532905"/>
    <w:rsid w:val="005333D5"/>
    <w:rsid w:val="00536F42"/>
    <w:rsid w:val="00537182"/>
    <w:rsid w:val="005411E5"/>
    <w:rsid w:val="00541EDD"/>
    <w:rsid w:val="00542743"/>
    <w:rsid w:val="00542C2D"/>
    <w:rsid w:val="00544863"/>
    <w:rsid w:val="00544F05"/>
    <w:rsid w:val="005473AE"/>
    <w:rsid w:val="005478BD"/>
    <w:rsid w:val="005479E3"/>
    <w:rsid w:val="005517D8"/>
    <w:rsid w:val="00551985"/>
    <w:rsid w:val="00552BD3"/>
    <w:rsid w:val="00552C47"/>
    <w:rsid w:val="00552C50"/>
    <w:rsid w:val="005532A0"/>
    <w:rsid w:val="00555109"/>
    <w:rsid w:val="00556B35"/>
    <w:rsid w:val="00556CE3"/>
    <w:rsid w:val="0055741A"/>
    <w:rsid w:val="005611B7"/>
    <w:rsid w:val="005618D4"/>
    <w:rsid w:val="00562B7D"/>
    <w:rsid w:val="0056410B"/>
    <w:rsid w:val="00564D2A"/>
    <w:rsid w:val="005659AC"/>
    <w:rsid w:val="00565DF0"/>
    <w:rsid w:val="0056696F"/>
    <w:rsid w:val="00572269"/>
    <w:rsid w:val="0057244A"/>
    <w:rsid w:val="00572F26"/>
    <w:rsid w:val="00573629"/>
    <w:rsid w:val="005750C5"/>
    <w:rsid w:val="005752DE"/>
    <w:rsid w:val="00575D8D"/>
    <w:rsid w:val="00576972"/>
    <w:rsid w:val="00576E48"/>
    <w:rsid w:val="00583699"/>
    <w:rsid w:val="005840D2"/>
    <w:rsid w:val="005843E0"/>
    <w:rsid w:val="00585CDD"/>
    <w:rsid w:val="00587058"/>
    <w:rsid w:val="005872DF"/>
    <w:rsid w:val="005913C9"/>
    <w:rsid w:val="00591518"/>
    <w:rsid w:val="00591957"/>
    <w:rsid w:val="00591CCE"/>
    <w:rsid w:val="0059224C"/>
    <w:rsid w:val="0059516E"/>
    <w:rsid w:val="005951FF"/>
    <w:rsid w:val="005966CD"/>
    <w:rsid w:val="00597BF9"/>
    <w:rsid w:val="005A02EC"/>
    <w:rsid w:val="005A115C"/>
    <w:rsid w:val="005A309A"/>
    <w:rsid w:val="005A35E3"/>
    <w:rsid w:val="005A373D"/>
    <w:rsid w:val="005A3E31"/>
    <w:rsid w:val="005A3ECE"/>
    <w:rsid w:val="005A4E10"/>
    <w:rsid w:val="005A5243"/>
    <w:rsid w:val="005A5D22"/>
    <w:rsid w:val="005A6D24"/>
    <w:rsid w:val="005B07D3"/>
    <w:rsid w:val="005B0B58"/>
    <w:rsid w:val="005B390A"/>
    <w:rsid w:val="005B47E7"/>
    <w:rsid w:val="005B4E53"/>
    <w:rsid w:val="005B5857"/>
    <w:rsid w:val="005B66BF"/>
    <w:rsid w:val="005C1212"/>
    <w:rsid w:val="005C19C4"/>
    <w:rsid w:val="005C1B83"/>
    <w:rsid w:val="005C25FF"/>
    <w:rsid w:val="005C2D55"/>
    <w:rsid w:val="005C31C9"/>
    <w:rsid w:val="005C346B"/>
    <w:rsid w:val="005C3965"/>
    <w:rsid w:val="005C461F"/>
    <w:rsid w:val="005C4B95"/>
    <w:rsid w:val="005C5FB2"/>
    <w:rsid w:val="005C6D14"/>
    <w:rsid w:val="005C6FAA"/>
    <w:rsid w:val="005C74A0"/>
    <w:rsid w:val="005D044D"/>
    <w:rsid w:val="005D094B"/>
    <w:rsid w:val="005D0ABD"/>
    <w:rsid w:val="005D18AD"/>
    <w:rsid w:val="005D26B4"/>
    <w:rsid w:val="005D325A"/>
    <w:rsid w:val="005D6C15"/>
    <w:rsid w:val="005D7513"/>
    <w:rsid w:val="005E0583"/>
    <w:rsid w:val="005E1362"/>
    <w:rsid w:val="005E2886"/>
    <w:rsid w:val="005E2898"/>
    <w:rsid w:val="005E3351"/>
    <w:rsid w:val="005E624A"/>
    <w:rsid w:val="005E6CBC"/>
    <w:rsid w:val="005E72FF"/>
    <w:rsid w:val="005E73C0"/>
    <w:rsid w:val="005E7C13"/>
    <w:rsid w:val="005F015D"/>
    <w:rsid w:val="005F2706"/>
    <w:rsid w:val="005F2B71"/>
    <w:rsid w:val="005F4131"/>
    <w:rsid w:val="005F43DB"/>
    <w:rsid w:val="005F4837"/>
    <w:rsid w:val="005F4AC9"/>
    <w:rsid w:val="005F5FEC"/>
    <w:rsid w:val="005F6A8F"/>
    <w:rsid w:val="005F6BB7"/>
    <w:rsid w:val="005F7588"/>
    <w:rsid w:val="005F7EFE"/>
    <w:rsid w:val="0060103D"/>
    <w:rsid w:val="00603DB9"/>
    <w:rsid w:val="00604674"/>
    <w:rsid w:val="006053BE"/>
    <w:rsid w:val="00605DB8"/>
    <w:rsid w:val="00606FBA"/>
    <w:rsid w:val="0060734E"/>
    <w:rsid w:val="00607669"/>
    <w:rsid w:val="006076F4"/>
    <w:rsid w:val="00607AFD"/>
    <w:rsid w:val="0061104B"/>
    <w:rsid w:val="00612F97"/>
    <w:rsid w:val="0061345D"/>
    <w:rsid w:val="006144D3"/>
    <w:rsid w:val="0061549B"/>
    <w:rsid w:val="00616333"/>
    <w:rsid w:val="006167D1"/>
    <w:rsid w:val="00616802"/>
    <w:rsid w:val="00617E12"/>
    <w:rsid w:val="006205B6"/>
    <w:rsid w:val="00620C25"/>
    <w:rsid w:val="00621477"/>
    <w:rsid w:val="00621ADA"/>
    <w:rsid w:val="006234C7"/>
    <w:rsid w:val="00623B45"/>
    <w:rsid w:val="00623F7B"/>
    <w:rsid w:val="00624F96"/>
    <w:rsid w:val="00625425"/>
    <w:rsid w:val="0063158F"/>
    <w:rsid w:val="00631D6B"/>
    <w:rsid w:val="00631DC1"/>
    <w:rsid w:val="00632183"/>
    <w:rsid w:val="006330A1"/>
    <w:rsid w:val="0063479F"/>
    <w:rsid w:val="00634D7C"/>
    <w:rsid w:val="006353F0"/>
    <w:rsid w:val="006357B5"/>
    <w:rsid w:val="006364A1"/>
    <w:rsid w:val="0063678E"/>
    <w:rsid w:val="0063702A"/>
    <w:rsid w:val="0063703E"/>
    <w:rsid w:val="0063714B"/>
    <w:rsid w:val="00637568"/>
    <w:rsid w:val="00637BFD"/>
    <w:rsid w:val="00641C4E"/>
    <w:rsid w:val="00641FB3"/>
    <w:rsid w:val="006426BB"/>
    <w:rsid w:val="00642E3D"/>
    <w:rsid w:val="0064434C"/>
    <w:rsid w:val="00644BC3"/>
    <w:rsid w:val="006451C5"/>
    <w:rsid w:val="006461B8"/>
    <w:rsid w:val="0064646B"/>
    <w:rsid w:val="006471CC"/>
    <w:rsid w:val="00647A29"/>
    <w:rsid w:val="0065079F"/>
    <w:rsid w:val="00650A9B"/>
    <w:rsid w:val="006510A3"/>
    <w:rsid w:val="00651AC2"/>
    <w:rsid w:val="00651BC3"/>
    <w:rsid w:val="0065265C"/>
    <w:rsid w:val="00652A28"/>
    <w:rsid w:val="0065379F"/>
    <w:rsid w:val="00656183"/>
    <w:rsid w:val="00656188"/>
    <w:rsid w:val="0065715A"/>
    <w:rsid w:val="006571AA"/>
    <w:rsid w:val="006610F1"/>
    <w:rsid w:val="0066138C"/>
    <w:rsid w:val="00661C6B"/>
    <w:rsid w:val="00662F5C"/>
    <w:rsid w:val="00664426"/>
    <w:rsid w:val="0066567E"/>
    <w:rsid w:val="00665FC4"/>
    <w:rsid w:val="00666591"/>
    <w:rsid w:val="00667CA8"/>
    <w:rsid w:val="00671004"/>
    <w:rsid w:val="00672337"/>
    <w:rsid w:val="00672646"/>
    <w:rsid w:val="00672F58"/>
    <w:rsid w:val="00674E42"/>
    <w:rsid w:val="00680A9D"/>
    <w:rsid w:val="006813F8"/>
    <w:rsid w:val="006816C3"/>
    <w:rsid w:val="00682112"/>
    <w:rsid w:val="00682BA6"/>
    <w:rsid w:val="00684F5A"/>
    <w:rsid w:val="006851C8"/>
    <w:rsid w:val="006852D2"/>
    <w:rsid w:val="00686957"/>
    <w:rsid w:val="006872BA"/>
    <w:rsid w:val="00690795"/>
    <w:rsid w:val="00691648"/>
    <w:rsid w:val="006917D7"/>
    <w:rsid w:val="00691DD9"/>
    <w:rsid w:val="006935EC"/>
    <w:rsid w:val="0069364C"/>
    <w:rsid w:val="0069434C"/>
    <w:rsid w:val="00694C5F"/>
    <w:rsid w:val="00694F44"/>
    <w:rsid w:val="006959AD"/>
    <w:rsid w:val="00696F51"/>
    <w:rsid w:val="006979A5"/>
    <w:rsid w:val="00697C2D"/>
    <w:rsid w:val="006A0BCA"/>
    <w:rsid w:val="006A1B75"/>
    <w:rsid w:val="006A2482"/>
    <w:rsid w:val="006A57F7"/>
    <w:rsid w:val="006A6B99"/>
    <w:rsid w:val="006A7855"/>
    <w:rsid w:val="006A7E5F"/>
    <w:rsid w:val="006B02B0"/>
    <w:rsid w:val="006B04AE"/>
    <w:rsid w:val="006B0DFD"/>
    <w:rsid w:val="006B261B"/>
    <w:rsid w:val="006B2ADC"/>
    <w:rsid w:val="006B2C90"/>
    <w:rsid w:val="006B35E6"/>
    <w:rsid w:val="006B3724"/>
    <w:rsid w:val="006B465A"/>
    <w:rsid w:val="006B517E"/>
    <w:rsid w:val="006B6DD0"/>
    <w:rsid w:val="006C02BD"/>
    <w:rsid w:val="006C0399"/>
    <w:rsid w:val="006C03BF"/>
    <w:rsid w:val="006C15E2"/>
    <w:rsid w:val="006C26F8"/>
    <w:rsid w:val="006C2A8E"/>
    <w:rsid w:val="006C3255"/>
    <w:rsid w:val="006C3F26"/>
    <w:rsid w:val="006C79E0"/>
    <w:rsid w:val="006D0AF2"/>
    <w:rsid w:val="006D0D17"/>
    <w:rsid w:val="006D1FA8"/>
    <w:rsid w:val="006D3C7D"/>
    <w:rsid w:val="006D4659"/>
    <w:rsid w:val="006D4D93"/>
    <w:rsid w:val="006D5D5F"/>
    <w:rsid w:val="006D68FB"/>
    <w:rsid w:val="006E0C49"/>
    <w:rsid w:val="006E0ED5"/>
    <w:rsid w:val="006E2868"/>
    <w:rsid w:val="006E4EF0"/>
    <w:rsid w:val="006E58F1"/>
    <w:rsid w:val="006F1328"/>
    <w:rsid w:val="006F220C"/>
    <w:rsid w:val="006F306C"/>
    <w:rsid w:val="006F5306"/>
    <w:rsid w:val="006F63A5"/>
    <w:rsid w:val="007004F3"/>
    <w:rsid w:val="00700FE9"/>
    <w:rsid w:val="0070142B"/>
    <w:rsid w:val="0070276E"/>
    <w:rsid w:val="00702F8F"/>
    <w:rsid w:val="0070420C"/>
    <w:rsid w:val="00704717"/>
    <w:rsid w:val="007060AD"/>
    <w:rsid w:val="007079FC"/>
    <w:rsid w:val="00711A36"/>
    <w:rsid w:val="007135E9"/>
    <w:rsid w:val="00713E87"/>
    <w:rsid w:val="007146B8"/>
    <w:rsid w:val="00714C26"/>
    <w:rsid w:val="0071529C"/>
    <w:rsid w:val="007170DA"/>
    <w:rsid w:val="007172AD"/>
    <w:rsid w:val="00720801"/>
    <w:rsid w:val="007222A7"/>
    <w:rsid w:val="00722B1B"/>
    <w:rsid w:val="0072416F"/>
    <w:rsid w:val="00727C94"/>
    <w:rsid w:val="00730EB8"/>
    <w:rsid w:val="007319AC"/>
    <w:rsid w:val="00731B0A"/>
    <w:rsid w:val="00731EAE"/>
    <w:rsid w:val="00733073"/>
    <w:rsid w:val="00735033"/>
    <w:rsid w:val="00735328"/>
    <w:rsid w:val="0073582A"/>
    <w:rsid w:val="00735E76"/>
    <w:rsid w:val="0073685B"/>
    <w:rsid w:val="00736B8A"/>
    <w:rsid w:val="00740D7E"/>
    <w:rsid w:val="00743F14"/>
    <w:rsid w:val="007449BF"/>
    <w:rsid w:val="00744B0D"/>
    <w:rsid w:val="007465DF"/>
    <w:rsid w:val="00746671"/>
    <w:rsid w:val="00746BC0"/>
    <w:rsid w:val="0075055D"/>
    <w:rsid w:val="007510B4"/>
    <w:rsid w:val="00752142"/>
    <w:rsid w:val="0075225B"/>
    <w:rsid w:val="007523F9"/>
    <w:rsid w:val="0075357E"/>
    <w:rsid w:val="00755B2C"/>
    <w:rsid w:val="00756CE2"/>
    <w:rsid w:val="007573E8"/>
    <w:rsid w:val="00760BE2"/>
    <w:rsid w:val="00760C4E"/>
    <w:rsid w:val="00760D4B"/>
    <w:rsid w:val="00760F9E"/>
    <w:rsid w:val="007627BE"/>
    <w:rsid w:val="00762D1F"/>
    <w:rsid w:val="00764F03"/>
    <w:rsid w:val="00765B1A"/>
    <w:rsid w:val="0076600D"/>
    <w:rsid w:val="00766533"/>
    <w:rsid w:val="00766933"/>
    <w:rsid w:val="0077244E"/>
    <w:rsid w:val="00772C4A"/>
    <w:rsid w:val="0077431A"/>
    <w:rsid w:val="00777335"/>
    <w:rsid w:val="0078171E"/>
    <w:rsid w:val="00782CF5"/>
    <w:rsid w:val="007843F2"/>
    <w:rsid w:val="007852EA"/>
    <w:rsid w:val="00785A9F"/>
    <w:rsid w:val="00786635"/>
    <w:rsid w:val="00786751"/>
    <w:rsid w:val="007909CD"/>
    <w:rsid w:val="00790CE6"/>
    <w:rsid w:val="00791263"/>
    <w:rsid w:val="007925DF"/>
    <w:rsid w:val="00792AF9"/>
    <w:rsid w:val="0079423F"/>
    <w:rsid w:val="007A08AA"/>
    <w:rsid w:val="007A0A12"/>
    <w:rsid w:val="007A132D"/>
    <w:rsid w:val="007A1345"/>
    <w:rsid w:val="007A2DDB"/>
    <w:rsid w:val="007A3A70"/>
    <w:rsid w:val="007A5101"/>
    <w:rsid w:val="007A5349"/>
    <w:rsid w:val="007A57C7"/>
    <w:rsid w:val="007A70BA"/>
    <w:rsid w:val="007B0D68"/>
    <w:rsid w:val="007B251D"/>
    <w:rsid w:val="007B25B8"/>
    <w:rsid w:val="007B4F58"/>
    <w:rsid w:val="007B528D"/>
    <w:rsid w:val="007B5786"/>
    <w:rsid w:val="007B63CA"/>
    <w:rsid w:val="007B6416"/>
    <w:rsid w:val="007B77D1"/>
    <w:rsid w:val="007C07C7"/>
    <w:rsid w:val="007C1CD9"/>
    <w:rsid w:val="007C20F4"/>
    <w:rsid w:val="007C32EF"/>
    <w:rsid w:val="007C33EE"/>
    <w:rsid w:val="007C341F"/>
    <w:rsid w:val="007C361D"/>
    <w:rsid w:val="007C44BC"/>
    <w:rsid w:val="007C4B84"/>
    <w:rsid w:val="007C70FF"/>
    <w:rsid w:val="007C7C25"/>
    <w:rsid w:val="007D004F"/>
    <w:rsid w:val="007D0B38"/>
    <w:rsid w:val="007D3165"/>
    <w:rsid w:val="007D5199"/>
    <w:rsid w:val="007D5440"/>
    <w:rsid w:val="007D69EB"/>
    <w:rsid w:val="007E128F"/>
    <w:rsid w:val="007E20EC"/>
    <w:rsid w:val="007E3F73"/>
    <w:rsid w:val="007E5099"/>
    <w:rsid w:val="007E6B52"/>
    <w:rsid w:val="007E6B7C"/>
    <w:rsid w:val="007E73C2"/>
    <w:rsid w:val="007F08C4"/>
    <w:rsid w:val="007F1017"/>
    <w:rsid w:val="007F4A3F"/>
    <w:rsid w:val="007F4A61"/>
    <w:rsid w:val="007F5255"/>
    <w:rsid w:val="007F56CC"/>
    <w:rsid w:val="007F5A4B"/>
    <w:rsid w:val="007F61C2"/>
    <w:rsid w:val="007F6436"/>
    <w:rsid w:val="007F6B70"/>
    <w:rsid w:val="00800CE1"/>
    <w:rsid w:val="00800FA3"/>
    <w:rsid w:val="00801771"/>
    <w:rsid w:val="008019EF"/>
    <w:rsid w:val="00803AA3"/>
    <w:rsid w:val="00803B7B"/>
    <w:rsid w:val="008041AF"/>
    <w:rsid w:val="00805142"/>
    <w:rsid w:val="00805FCE"/>
    <w:rsid w:val="00806569"/>
    <w:rsid w:val="0080757D"/>
    <w:rsid w:val="0080797A"/>
    <w:rsid w:val="008079E7"/>
    <w:rsid w:val="00807A8B"/>
    <w:rsid w:val="00807B5A"/>
    <w:rsid w:val="00811383"/>
    <w:rsid w:val="00812149"/>
    <w:rsid w:val="00812CAC"/>
    <w:rsid w:val="008146DE"/>
    <w:rsid w:val="0081474E"/>
    <w:rsid w:val="00815A38"/>
    <w:rsid w:val="00815AAE"/>
    <w:rsid w:val="00815F0B"/>
    <w:rsid w:val="00816361"/>
    <w:rsid w:val="00816471"/>
    <w:rsid w:val="008166EF"/>
    <w:rsid w:val="00816FEF"/>
    <w:rsid w:val="00820A8C"/>
    <w:rsid w:val="008215FB"/>
    <w:rsid w:val="008218C5"/>
    <w:rsid w:val="00822432"/>
    <w:rsid w:val="0082262B"/>
    <w:rsid w:val="00823174"/>
    <w:rsid w:val="0082346C"/>
    <w:rsid w:val="00824765"/>
    <w:rsid w:val="00825751"/>
    <w:rsid w:val="008260CE"/>
    <w:rsid w:val="008264EB"/>
    <w:rsid w:val="008266C2"/>
    <w:rsid w:val="00826805"/>
    <w:rsid w:val="0082706C"/>
    <w:rsid w:val="00827CAB"/>
    <w:rsid w:val="008302BA"/>
    <w:rsid w:val="008315B3"/>
    <w:rsid w:val="00831C47"/>
    <w:rsid w:val="008326EB"/>
    <w:rsid w:val="00833B05"/>
    <w:rsid w:val="008362B4"/>
    <w:rsid w:val="00836DA5"/>
    <w:rsid w:val="008376E1"/>
    <w:rsid w:val="0083773E"/>
    <w:rsid w:val="0084008F"/>
    <w:rsid w:val="008405FA"/>
    <w:rsid w:val="00840CA2"/>
    <w:rsid w:val="00840E14"/>
    <w:rsid w:val="0084374F"/>
    <w:rsid w:val="00844A22"/>
    <w:rsid w:val="00846CA5"/>
    <w:rsid w:val="0084722C"/>
    <w:rsid w:val="00847703"/>
    <w:rsid w:val="00847DF5"/>
    <w:rsid w:val="00850292"/>
    <w:rsid w:val="0085103B"/>
    <w:rsid w:val="00852962"/>
    <w:rsid w:val="0085309D"/>
    <w:rsid w:val="00853BFB"/>
    <w:rsid w:val="00853EE6"/>
    <w:rsid w:val="00854DF6"/>
    <w:rsid w:val="00855200"/>
    <w:rsid w:val="00855401"/>
    <w:rsid w:val="00856897"/>
    <w:rsid w:val="00856E9A"/>
    <w:rsid w:val="0086075D"/>
    <w:rsid w:val="00862117"/>
    <w:rsid w:val="00862502"/>
    <w:rsid w:val="00862CC1"/>
    <w:rsid w:val="00865560"/>
    <w:rsid w:val="00865EF6"/>
    <w:rsid w:val="008660D4"/>
    <w:rsid w:val="00867A95"/>
    <w:rsid w:val="00871FA9"/>
    <w:rsid w:val="008728E9"/>
    <w:rsid w:val="00874F4D"/>
    <w:rsid w:val="0087524D"/>
    <w:rsid w:val="00875532"/>
    <w:rsid w:val="0088040A"/>
    <w:rsid w:val="008811A5"/>
    <w:rsid w:val="00882874"/>
    <w:rsid w:val="00882E3C"/>
    <w:rsid w:val="00883787"/>
    <w:rsid w:val="00884DB9"/>
    <w:rsid w:val="008851FD"/>
    <w:rsid w:val="008855E4"/>
    <w:rsid w:val="00885F3F"/>
    <w:rsid w:val="00886CD2"/>
    <w:rsid w:val="008870C5"/>
    <w:rsid w:val="00891E6F"/>
    <w:rsid w:val="0089275D"/>
    <w:rsid w:val="00892A36"/>
    <w:rsid w:val="00893239"/>
    <w:rsid w:val="00894489"/>
    <w:rsid w:val="008963A5"/>
    <w:rsid w:val="008966EF"/>
    <w:rsid w:val="00896D5D"/>
    <w:rsid w:val="00897601"/>
    <w:rsid w:val="008979B6"/>
    <w:rsid w:val="008A13B4"/>
    <w:rsid w:val="008A171A"/>
    <w:rsid w:val="008A1F7E"/>
    <w:rsid w:val="008A3363"/>
    <w:rsid w:val="008A3371"/>
    <w:rsid w:val="008A3C3E"/>
    <w:rsid w:val="008A79DE"/>
    <w:rsid w:val="008B1757"/>
    <w:rsid w:val="008B5DEE"/>
    <w:rsid w:val="008B6D64"/>
    <w:rsid w:val="008B77D7"/>
    <w:rsid w:val="008B7992"/>
    <w:rsid w:val="008B79CA"/>
    <w:rsid w:val="008B7D7E"/>
    <w:rsid w:val="008C0964"/>
    <w:rsid w:val="008C209C"/>
    <w:rsid w:val="008C3CB1"/>
    <w:rsid w:val="008C45E6"/>
    <w:rsid w:val="008C5610"/>
    <w:rsid w:val="008C5739"/>
    <w:rsid w:val="008C7C4D"/>
    <w:rsid w:val="008C7ECB"/>
    <w:rsid w:val="008D1BD6"/>
    <w:rsid w:val="008D1FAF"/>
    <w:rsid w:val="008D3B86"/>
    <w:rsid w:val="008D4755"/>
    <w:rsid w:val="008D4C3D"/>
    <w:rsid w:val="008D53F7"/>
    <w:rsid w:val="008D64EB"/>
    <w:rsid w:val="008D743C"/>
    <w:rsid w:val="008E0D3C"/>
    <w:rsid w:val="008E1B2B"/>
    <w:rsid w:val="008E1B9E"/>
    <w:rsid w:val="008E20C1"/>
    <w:rsid w:val="008E4156"/>
    <w:rsid w:val="008E416D"/>
    <w:rsid w:val="008E5462"/>
    <w:rsid w:val="008E55AB"/>
    <w:rsid w:val="008E6450"/>
    <w:rsid w:val="008E79AF"/>
    <w:rsid w:val="008E7DE7"/>
    <w:rsid w:val="008F09FF"/>
    <w:rsid w:val="008F120A"/>
    <w:rsid w:val="008F235D"/>
    <w:rsid w:val="008F27E0"/>
    <w:rsid w:val="008F2EC9"/>
    <w:rsid w:val="008F4266"/>
    <w:rsid w:val="008F48EB"/>
    <w:rsid w:val="008F4F0B"/>
    <w:rsid w:val="008F590E"/>
    <w:rsid w:val="009016B7"/>
    <w:rsid w:val="009046C4"/>
    <w:rsid w:val="00904BBF"/>
    <w:rsid w:val="009062A5"/>
    <w:rsid w:val="00910FA7"/>
    <w:rsid w:val="00911272"/>
    <w:rsid w:val="009135D6"/>
    <w:rsid w:val="00913FD3"/>
    <w:rsid w:val="00914C77"/>
    <w:rsid w:val="00914DA1"/>
    <w:rsid w:val="00914F9B"/>
    <w:rsid w:val="00915D67"/>
    <w:rsid w:val="0091649C"/>
    <w:rsid w:val="009165D3"/>
    <w:rsid w:val="00920585"/>
    <w:rsid w:val="00921ACB"/>
    <w:rsid w:val="00922117"/>
    <w:rsid w:val="0092369B"/>
    <w:rsid w:val="009249DE"/>
    <w:rsid w:val="00934988"/>
    <w:rsid w:val="00937089"/>
    <w:rsid w:val="00937BEA"/>
    <w:rsid w:val="00942E25"/>
    <w:rsid w:val="00944F8A"/>
    <w:rsid w:val="00945ED6"/>
    <w:rsid w:val="009467A3"/>
    <w:rsid w:val="009510A2"/>
    <w:rsid w:val="00953257"/>
    <w:rsid w:val="00953C5F"/>
    <w:rsid w:val="009542A4"/>
    <w:rsid w:val="0095474C"/>
    <w:rsid w:val="0095758D"/>
    <w:rsid w:val="00962CB9"/>
    <w:rsid w:val="009631F3"/>
    <w:rsid w:val="00964312"/>
    <w:rsid w:val="00964A7C"/>
    <w:rsid w:val="00965B8A"/>
    <w:rsid w:val="009669B3"/>
    <w:rsid w:val="00967EBE"/>
    <w:rsid w:val="0097071F"/>
    <w:rsid w:val="009711C2"/>
    <w:rsid w:val="00971433"/>
    <w:rsid w:val="009717AC"/>
    <w:rsid w:val="00972708"/>
    <w:rsid w:val="009731F3"/>
    <w:rsid w:val="00973A67"/>
    <w:rsid w:val="00974EF1"/>
    <w:rsid w:val="009751C1"/>
    <w:rsid w:val="0097611A"/>
    <w:rsid w:val="00977A34"/>
    <w:rsid w:val="00980A30"/>
    <w:rsid w:val="009811F1"/>
    <w:rsid w:val="00981888"/>
    <w:rsid w:val="009824C8"/>
    <w:rsid w:val="00983E57"/>
    <w:rsid w:val="00985CB6"/>
    <w:rsid w:val="00985DE2"/>
    <w:rsid w:val="0098675D"/>
    <w:rsid w:val="00986F05"/>
    <w:rsid w:val="009926E0"/>
    <w:rsid w:val="0099451E"/>
    <w:rsid w:val="00994BC4"/>
    <w:rsid w:val="00996B1A"/>
    <w:rsid w:val="009A2DCC"/>
    <w:rsid w:val="009A3F13"/>
    <w:rsid w:val="009A437D"/>
    <w:rsid w:val="009A5ABC"/>
    <w:rsid w:val="009A740B"/>
    <w:rsid w:val="009A7F10"/>
    <w:rsid w:val="009B08A5"/>
    <w:rsid w:val="009B0F4D"/>
    <w:rsid w:val="009B13F8"/>
    <w:rsid w:val="009B29EA"/>
    <w:rsid w:val="009B3E26"/>
    <w:rsid w:val="009B6A44"/>
    <w:rsid w:val="009C08FE"/>
    <w:rsid w:val="009C0B31"/>
    <w:rsid w:val="009C27D4"/>
    <w:rsid w:val="009C3706"/>
    <w:rsid w:val="009C3A3A"/>
    <w:rsid w:val="009C435E"/>
    <w:rsid w:val="009C6CEA"/>
    <w:rsid w:val="009C7B85"/>
    <w:rsid w:val="009D01B6"/>
    <w:rsid w:val="009D0254"/>
    <w:rsid w:val="009D084E"/>
    <w:rsid w:val="009D1A64"/>
    <w:rsid w:val="009D277E"/>
    <w:rsid w:val="009D5470"/>
    <w:rsid w:val="009D5B91"/>
    <w:rsid w:val="009D695F"/>
    <w:rsid w:val="009D792E"/>
    <w:rsid w:val="009E09A3"/>
    <w:rsid w:val="009E0DFE"/>
    <w:rsid w:val="009E0F8F"/>
    <w:rsid w:val="009E1728"/>
    <w:rsid w:val="009E2A91"/>
    <w:rsid w:val="009E31F6"/>
    <w:rsid w:val="009E4C07"/>
    <w:rsid w:val="009E582D"/>
    <w:rsid w:val="009E6A02"/>
    <w:rsid w:val="009E7192"/>
    <w:rsid w:val="009F1821"/>
    <w:rsid w:val="009F46C6"/>
    <w:rsid w:val="00A00749"/>
    <w:rsid w:val="00A01184"/>
    <w:rsid w:val="00A01E82"/>
    <w:rsid w:val="00A037C2"/>
    <w:rsid w:val="00A03D43"/>
    <w:rsid w:val="00A04380"/>
    <w:rsid w:val="00A05472"/>
    <w:rsid w:val="00A05C32"/>
    <w:rsid w:val="00A0653F"/>
    <w:rsid w:val="00A10BF5"/>
    <w:rsid w:val="00A11CD0"/>
    <w:rsid w:val="00A13948"/>
    <w:rsid w:val="00A1555B"/>
    <w:rsid w:val="00A155C5"/>
    <w:rsid w:val="00A15F86"/>
    <w:rsid w:val="00A16181"/>
    <w:rsid w:val="00A16AD8"/>
    <w:rsid w:val="00A17104"/>
    <w:rsid w:val="00A175BD"/>
    <w:rsid w:val="00A21C95"/>
    <w:rsid w:val="00A21CF3"/>
    <w:rsid w:val="00A224E6"/>
    <w:rsid w:val="00A22999"/>
    <w:rsid w:val="00A231BC"/>
    <w:rsid w:val="00A23E69"/>
    <w:rsid w:val="00A23FDF"/>
    <w:rsid w:val="00A24813"/>
    <w:rsid w:val="00A25854"/>
    <w:rsid w:val="00A27AEC"/>
    <w:rsid w:val="00A320DB"/>
    <w:rsid w:val="00A3528D"/>
    <w:rsid w:val="00A35D16"/>
    <w:rsid w:val="00A360C0"/>
    <w:rsid w:val="00A37B66"/>
    <w:rsid w:val="00A37BCD"/>
    <w:rsid w:val="00A41689"/>
    <w:rsid w:val="00A42592"/>
    <w:rsid w:val="00A43C59"/>
    <w:rsid w:val="00A44335"/>
    <w:rsid w:val="00A50ECD"/>
    <w:rsid w:val="00A518F3"/>
    <w:rsid w:val="00A52729"/>
    <w:rsid w:val="00A52EBE"/>
    <w:rsid w:val="00A53675"/>
    <w:rsid w:val="00A5428F"/>
    <w:rsid w:val="00A56259"/>
    <w:rsid w:val="00A564D7"/>
    <w:rsid w:val="00A5654A"/>
    <w:rsid w:val="00A56B6A"/>
    <w:rsid w:val="00A578DC"/>
    <w:rsid w:val="00A60BE6"/>
    <w:rsid w:val="00A61238"/>
    <w:rsid w:val="00A6263A"/>
    <w:rsid w:val="00A640E2"/>
    <w:rsid w:val="00A64D65"/>
    <w:rsid w:val="00A65AF8"/>
    <w:rsid w:val="00A664B1"/>
    <w:rsid w:val="00A66CC7"/>
    <w:rsid w:val="00A6725B"/>
    <w:rsid w:val="00A677BF"/>
    <w:rsid w:val="00A70605"/>
    <w:rsid w:val="00A73134"/>
    <w:rsid w:val="00A76001"/>
    <w:rsid w:val="00A777B2"/>
    <w:rsid w:val="00A825D4"/>
    <w:rsid w:val="00A82707"/>
    <w:rsid w:val="00A828F6"/>
    <w:rsid w:val="00A82B73"/>
    <w:rsid w:val="00A86E8B"/>
    <w:rsid w:val="00A87164"/>
    <w:rsid w:val="00A87AFA"/>
    <w:rsid w:val="00A900BC"/>
    <w:rsid w:val="00A90D50"/>
    <w:rsid w:val="00A90F9F"/>
    <w:rsid w:val="00A93025"/>
    <w:rsid w:val="00A93072"/>
    <w:rsid w:val="00A938BD"/>
    <w:rsid w:val="00A93953"/>
    <w:rsid w:val="00A959D8"/>
    <w:rsid w:val="00A971E5"/>
    <w:rsid w:val="00AA113D"/>
    <w:rsid w:val="00AA1986"/>
    <w:rsid w:val="00AA1D65"/>
    <w:rsid w:val="00AA2523"/>
    <w:rsid w:val="00AA3B14"/>
    <w:rsid w:val="00AA3C26"/>
    <w:rsid w:val="00AA3E7A"/>
    <w:rsid w:val="00AA4620"/>
    <w:rsid w:val="00AA4794"/>
    <w:rsid w:val="00AA62D5"/>
    <w:rsid w:val="00AA6BD5"/>
    <w:rsid w:val="00AA6BD8"/>
    <w:rsid w:val="00AA6C7D"/>
    <w:rsid w:val="00AA7FD6"/>
    <w:rsid w:val="00AB042A"/>
    <w:rsid w:val="00AB083E"/>
    <w:rsid w:val="00AB10EB"/>
    <w:rsid w:val="00AB1273"/>
    <w:rsid w:val="00AB19EF"/>
    <w:rsid w:val="00AB2D34"/>
    <w:rsid w:val="00AB30F9"/>
    <w:rsid w:val="00AB3430"/>
    <w:rsid w:val="00AB37B9"/>
    <w:rsid w:val="00AB4AD1"/>
    <w:rsid w:val="00AB4F5E"/>
    <w:rsid w:val="00AB5E07"/>
    <w:rsid w:val="00AB728E"/>
    <w:rsid w:val="00AB7CFA"/>
    <w:rsid w:val="00AC0963"/>
    <w:rsid w:val="00AC18AE"/>
    <w:rsid w:val="00AC2A6D"/>
    <w:rsid w:val="00AC31C6"/>
    <w:rsid w:val="00AC342C"/>
    <w:rsid w:val="00AC5B48"/>
    <w:rsid w:val="00AD1450"/>
    <w:rsid w:val="00AD2358"/>
    <w:rsid w:val="00AD43FB"/>
    <w:rsid w:val="00AD6502"/>
    <w:rsid w:val="00AD6848"/>
    <w:rsid w:val="00AE0695"/>
    <w:rsid w:val="00AE2AF8"/>
    <w:rsid w:val="00AE3E7E"/>
    <w:rsid w:val="00AE42F0"/>
    <w:rsid w:val="00AE4B61"/>
    <w:rsid w:val="00AE5879"/>
    <w:rsid w:val="00AF0185"/>
    <w:rsid w:val="00AF0E6F"/>
    <w:rsid w:val="00AF1315"/>
    <w:rsid w:val="00AF14F4"/>
    <w:rsid w:val="00AF19BF"/>
    <w:rsid w:val="00AF2A00"/>
    <w:rsid w:val="00AF2CF2"/>
    <w:rsid w:val="00AF2DC3"/>
    <w:rsid w:val="00AF6093"/>
    <w:rsid w:val="00AF76C3"/>
    <w:rsid w:val="00B02422"/>
    <w:rsid w:val="00B02D41"/>
    <w:rsid w:val="00B033E5"/>
    <w:rsid w:val="00B03A63"/>
    <w:rsid w:val="00B10F97"/>
    <w:rsid w:val="00B12F02"/>
    <w:rsid w:val="00B1552D"/>
    <w:rsid w:val="00B16FCB"/>
    <w:rsid w:val="00B177A7"/>
    <w:rsid w:val="00B200AE"/>
    <w:rsid w:val="00B201A4"/>
    <w:rsid w:val="00B201D1"/>
    <w:rsid w:val="00B20806"/>
    <w:rsid w:val="00B20944"/>
    <w:rsid w:val="00B213A6"/>
    <w:rsid w:val="00B235B0"/>
    <w:rsid w:val="00B24DF6"/>
    <w:rsid w:val="00B2535A"/>
    <w:rsid w:val="00B26928"/>
    <w:rsid w:val="00B30627"/>
    <w:rsid w:val="00B311B2"/>
    <w:rsid w:val="00B322EB"/>
    <w:rsid w:val="00B34FE2"/>
    <w:rsid w:val="00B35166"/>
    <w:rsid w:val="00B357D8"/>
    <w:rsid w:val="00B360F4"/>
    <w:rsid w:val="00B36A00"/>
    <w:rsid w:val="00B37BFC"/>
    <w:rsid w:val="00B40358"/>
    <w:rsid w:val="00B41614"/>
    <w:rsid w:val="00B42095"/>
    <w:rsid w:val="00B42851"/>
    <w:rsid w:val="00B42F80"/>
    <w:rsid w:val="00B435CB"/>
    <w:rsid w:val="00B451F4"/>
    <w:rsid w:val="00B45BD3"/>
    <w:rsid w:val="00B476ED"/>
    <w:rsid w:val="00B47C80"/>
    <w:rsid w:val="00B50209"/>
    <w:rsid w:val="00B5045F"/>
    <w:rsid w:val="00B505C8"/>
    <w:rsid w:val="00B50DB8"/>
    <w:rsid w:val="00B53654"/>
    <w:rsid w:val="00B53905"/>
    <w:rsid w:val="00B54B5B"/>
    <w:rsid w:val="00B5521D"/>
    <w:rsid w:val="00B5562E"/>
    <w:rsid w:val="00B55862"/>
    <w:rsid w:val="00B55D65"/>
    <w:rsid w:val="00B57000"/>
    <w:rsid w:val="00B60901"/>
    <w:rsid w:val="00B60939"/>
    <w:rsid w:val="00B60AFD"/>
    <w:rsid w:val="00B618FC"/>
    <w:rsid w:val="00B61BA6"/>
    <w:rsid w:val="00B61CF8"/>
    <w:rsid w:val="00B622C0"/>
    <w:rsid w:val="00B62715"/>
    <w:rsid w:val="00B643EB"/>
    <w:rsid w:val="00B6547D"/>
    <w:rsid w:val="00B65611"/>
    <w:rsid w:val="00B6770B"/>
    <w:rsid w:val="00B67E72"/>
    <w:rsid w:val="00B70E58"/>
    <w:rsid w:val="00B70E8E"/>
    <w:rsid w:val="00B71ECD"/>
    <w:rsid w:val="00B744F0"/>
    <w:rsid w:val="00B753DD"/>
    <w:rsid w:val="00B756DD"/>
    <w:rsid w:val="00B76628"/>
    <w:rsid w:val="00B76C92"/>
    <w:rsid w:val="00B81606"/>
    <w:rsid w:val="00B818A4"/>
    <w:rsid w:val="00B84117"/>
    <w:rsid w:val="00B84668"/>
    <w:rsid w:val="00B858F0"/>
    <w:rsid w:val="00B85A3E"/>
    <w:rsid w:val="00B85AA2"/>
    <w:rsid w:val="00B8649C"/>
    <w:rsid w:val="00B86656"/>
    <w:rsid w:val="00B86744"/>
    <w:rsid w:val="00B8695D"/>
    <w:rsid w:val="00B87F0A"/>
    <w:rsid w:val="00B92895"/>
    <w:rsid w:val="00B92D0B"/>
    <w:rsid w:val="00B94945"/>
    <w:rsid w:val="00B94DD6"/>
    <w:rsid w:val="00BA1254"/>
    <w:rsid w:val="00BA293B"/>
    <w:rsid w:val="00BA322D"/>
    <w:rsid w:val="00BA63FA"/>
    <w:rsid w:val="00BA6F78"/>
    <w:rsid w:val="00BB00B3"/>
    <w:rsid w:val="00BB0BDD"/>
    <w:rsid w:val="00BB176C"/>
    <w:rsid w:val="00BB2A73"/>
    <w:rsid w:val="00BB3A45"/>
    <w:rsid w:val="00BB3CA2"/>
    <w:rsid w:val="00BB4ACC"/>
    <w:rsid w:val="00BB60F3"/>
    <w:rsid w:val="00BB6824"/>
    <w:rsid w:val="00BB703E"/>
    <w:rsid w:val="00BB71DF"/>
    <w:rsid w:val="00BB732D"/>
    <w:rsid w:val="00BB7405"/>
    <w:rsid w:val="00BC0AD7"/>
    <w:rsid w:val="00BC3631"/>
    <w:rsid w:val="00BC4308"/>
    <w:rsid w:val="00BC4A65"/>
    <w:rsid w:val="00BC5835"/>
    <w:rsid w:val="00BC591F"/>
    <w:rsid w:val="00BC7D6D"/>
    <w:rsid w:val="00BD043D"/>
    <w:rsid w:val="00BD1C5B"/>
    <w:rsid w:val="00BD2108"/>
    <w:rsid w:val="00BD27D4"/>
    <w:rsid w:val="00BD2D2F"/>
    <w:rsid w:val="00BD3664"/>
    <w:rsid w:val="00BD4362"/>
    <w:rsid w:val="00BD4383"/>
    <w:rsid w:val="00BD5BF2"/>
    <w:rsid w:val="00BD68A3"/>
    <w:rsid w:val="00BD6938"/>
    <w:rsid w:val="00BD6CF3"/>
    <w:rsid w:val="00BD7458"/>
    <w:rsid w:val="00BE0ECA"/>
    <w:rsid w:val="00BE10C4"/>
    <w:rsid w:val="00BE2180"/>
    <w:rsid w:val="00BE21F2"/>
    <w:rsid w:val="00BE4275"/>
    <w:rsid w:val="00BE5180"/>
    <w:rsid w:val="00BE51A9"/>
    <w:rsid w:val="00BF04DD"/>
    <w:rsid w:val="00BF06AE"/>
    <w:rsid w:val="00BF0F95"/>
    <w:rsid w:val="00BF10FE"/>
    <w:rsid w:val="00BF11CB"/>
    <w:rsid w:val="00BF2433"/>
    <w:rsid w:val="00BF61C9"/>
    <w:rsid w:val="00BF6C94"/>
    <w:rsid w:val="00C00424"/>
    <w:rsid w:val="00C0054B"/>
    <w:rsid w:val="00C01A13"/>
    <w:rsid w:val="00C01A88"/>
    <w:rsid w:val="00C05A3E"/>
    <w:rsid w:val="00C076BD"/>
    <w:rsid w:val="00C1179F"/>
    <w:rsid w:val="00C12C14"/>
    <w:rsid w:val="00C137F2"/>
    <w:rsid w:val="00C15F04"/>
    <w:rsid w:val="00C179B3"/>
    <w:rsid w:val="00C17E3F"/>
    <w:rsid w:val="00C200AA"/>
    <w:rsid w:val="00C21371"/>
    <w:rsid w:val="00C228AB"/>
    <w:rsid w:val="00C237ED"/>
    <w:rsid w:val="00C24632"/>
    <w:rsid w:val="00C24753"/>
    <w:rsid w:val="00C25418"/>
    <w:rsid w:val="00C254EA"/>
    <w:rsid w:val="00C25D9C"/>
    <w:rsid w:val="00C25ED9"/>
    <w:rsid w:val="00C26053"/>
    <w:rsid w:val="00C2778B"/>
    <w:rsid w:val="00C31649"/>
    <w:rsid w:val="00C3192F"/>
    <w:rsid w:val="00C337D2"/>
    <w:rsid w:val="00C3434C"/>
    <w:rsid w:val="00C40385"/>
    <w:rsid w:val="00C40538"/>
    <w:rsid w:val="00C40A25"/>
    <w:rsid w:val="00C41768"/>
    <w:rsid w:val="00C41C63"/>
    <w:rsid w:val="00C45D5E"/>
    <w:rsid w:val="00C475AA"/>
    <w:rsid w:val="00C50659"/>
    <w:rsid w:val="00C53C98"/>
    <w:rsid w:val="00C551BB"/>
    <w:rsid w:val="00C56FCF"/>
    <w:rsid w:val="00C57435"/>
    <w:rsid w:val="00C57B6C"/>
    <w:rsid w:val="00C57F00"/>
    <w:rsid w:val="00C61041"/>
    <w:rsid w:val="00C628A6"/>
    <w:rsid w:val="00C64344"/>
    <w:rsid w:val="00C65108"/>
    <w:rsid w:val="00C65576"/>
    <w:rsid w:val="00C65645"/>
    <w:rsid w:val="00C66165"/>
    <w:rsid w:val="00C7060A"/>
    <w:rsid w:val="00C709FE"/>
    <w:rsid w:val="00C7151A"/>
    <w:rsid w:val="00C717E3"/>
    <w:rsid w:val="00C71F60"/>
    <w:rsid w:val="00C72241"/>
    <w:rsid w:val="00C726A0"/>
    <w:rsid w:val="00C750C8"/>
    <w:rsid w:val="00C7560F"/>
    <w:rsid w:val="00C7564E"/>
    <w:rsid w:val="00C75BA0"/>
    <w:rsid w:val="00C77F87"/>
    <w:rsid w:val="00C80A0E"/>
    <w:rsid w:val="00C80EEA"/>
    <w:rsid w:val="00C8213F"/>
    <w:rsid w:val="00C82BE7"/>
    <w:rsid w:val="00C83D29"/>
    <w:rsid w:val="00C85154"/>
    <w:rsid w:val="00C854FC"/>
    <w:rsid w:val="00C869DF"/>
    <w:rsid w:val="00C86C88"/>
    <w:rsid w:val="00C8749B"/>
    <w:rsid w:val="00C8797A"/>
    <w:rsid w:val="00C87E87"/>
    <w:rsid w:val="00C900B8"/>
    <w:rsid w:val="00C904AE"/>
    <w:rsid w:val="00C90952"/>
    <w:rsid w:val="00C90C71"/>
    <w:rsid w:val="00C91FD1"/>
    <w:rsid w:val="00C92274"/>
    <w:rsid w:val="00C931CF"/>
    <w:rsid w:val="00C9362D"/>
    <w:rsid w:val="00C938CF"/>
    <w:rsid w:val="00C94053"/>
    <w:rsid w:val="00C961B6"/>
    <w:rsid w:val="00C9624D"/>
    <w:rsid w:val="00C969DA"/>
    <w:rsid w:val="00CA02EF"/>
    <w:rsid w:val="00CA1D8C"/>
    <w:rsid w:val="00CA2C77"/>
    <w:rsid w:val="00CA444F"/>
    <w:rsid w:val="00CA5245"/>
    <w:rsid w:val="00CA53C6"/>
    <w:rsid w:val="00CA6A20"/>
    <w:rsid w:val="00CA71F4"/>
    <w:rsid w:val="00CA7B09"/>
    <w:rsid w:val="00CA7E0E"/>
    <w:rsid w:val="00CB12A5"/>
    <w:rsid w:val="00CB1CAC"/>
    <w:rsid w:val="00CB2F2A"/>
    <w:rsid w:val="00CB5B1A"/>
    <w:rsid w:val="00CB6B22"/>
    <w:rsid w:val="00CB7F5F"/>
    <w:rsid w:val="00CC1A44"/>
    <w:rsid w:val="00CC1B39"/>
    <w:rsid w:val="00CC1F35"/>
    <w:rsid w:val="00CC35EA"/>
    <w:rsid w:val="00CC3737"/>
    <w:rsid w:val="00CC3848"/>
    <w:rsid w:val="00CC46C2"/>
    <w:rsid w:val="00CC5699"/>
    <w:rsid w:val="00CD3ADC"/>
    <w:rsid w:val="00CD3F77"/>
    <w:rsid w:val="00CD6ADC"/>
    <w:rsid w:val="00CD7193"/>
    <w:rsid w:val="00CE0B72"/>
    <w:rsid w:val="00CE12F3"/>
    <w:rsid w:val="00CE38C8"/>
    <w:rsid w:val="00CE6274"/>
    <w:rsid w:val="00CE77B6"/>
    <w:rsid w:val="00CE7AA1"/>
    <w:rsid w:val="00CF1D6A"/>
    <w:rsid w:val="00CF2A57"/>
    <w:rsid w:val="00CF2B8D"/>
    <w:rsid w:val="00CF3789"/>
    <w:rsid w:val="00CF456B"/>
    <w:rsid w:val="00CF55CC"/>
    <w:rsid w:val="00CF5A22"/>
    <w:rsid w:val="00CF7B29"/>
    <w:rsid w:val="00D00F14"/>
    <w:rsid w:val="00D018FD"/>
    <w:rsid w:val="00D01F8D"/>
    <w:rsid w:val="00D0262E"/>
    <w:rsid w:val="00D03198"/>
    <w:rsid w:val="00D0487D"/>
    <w:rsid w:val="00D05AB0"/>
    <w:rsid w:val="00D05E3D"/>
    <w:rsid w:val="00D06139"/>
    <w:rsid w:val="00D07B5C"/>
    <w:rsid w:val="00D110BD"/>
    <w:rsid w:val="00D11583"/>
    <w:rsid w:val="00D118D0"/>
    <w:rsid w:val="00D122BA"/>
    <w:rsid w:val="00D12342"/>
    <w:rsid w:val="00D12A7E"/>
    <w:rsid w:val="00D13675"/>
    <w:rsid w:val="00D141E1"/>
    <w:rsid w:val="00D15314"/>
    <w:rsid w:val="00D1539E"/>
    <w:rsid w:val="00D161C3"/>
    <w:rsid w:val="00D1684A"/>
    <w:rsid w:val="00D175CB"/>
    <w:rsid w:val="00D17D6C"/>
    <w:rsid w:val="00D20847"/>
    <w:rsid w:val="00D20992"/>
    <w:rsid w:val="00D2155B"/>
    <w:rsid w:val="00D22DDB"/>
    <w:rsid w:val="00D22E0F"/>
    <w:rsid w:val="00D23D11"/>
    <w:rsid w:val="00D244B6"/>
    <w:rsid w:val="00D25AD9"/>
    <w:rsid w:val="00D260B1"/>
    <w:rsid w:val="00D2754D"/>
    <w:rsid w:val="00D27B27"/>
    <w:rsid w:val="00D27E46"/>
    <w:rsid w:val="00D33BE9"/>
    <w:rsid w:val="00D33F93"/>
    <w:rsid w:val="00D34809"/>
    <w:rsid w:val="00D349C0"/>
    <w:rsid w:val="00D34BAD"/>
    <w:rsid w:val="00D357FF"/>
    <w:rsid w:val="00D3637C"/>
    <w:rsid w:val="00D424C7"/>
    <w:rsid w:val="00D42A16"/>
    <w:rsid w:val="00D4318D"/>
    <w:rsid w:val="00D43B2A"/>
    <w:rsid w:val="00D43D83"/>
    <w:rsid w:val="00D44B50"/>
    <w:rsid w:val="00D47575"/>
    <w:rsid w:val="00D4760D"/>
    <w:rsid w:val="00D5243B"/>
    <w:rsid w:val="00D52E19"/>
    <w:rsid w:val="00D533EC"/>
    <w:rsid w:val="00D53D71"/>
    <w:rsid w:val="00D544A5"/>
    <w:rsid w:val="00D54A2D"/>
    <w:rsid w:val="00D553E4"/>
    <w:rsid w:val="00D56A95"/>
    <w:rsid w:val="00D576C3"/>
    <w:rsid w:val="00D61466"/>
    <w:rsid w:val="00D61DF7"/>
    <w:rsid w:val="00D63FF8"/>
    <w:rsid w:val="00D6589C"/>
    <w:rsid w:val="00D66045"/>
    <w:rsid w:val="00D70F16"/>
    <w:rsid w:val="00D72F57"/>
    <w:rsid w:val="00D73498"/>
    <w:rsid w:val="00D74EF2"/>
    <w:rsid w:val="00D76A44"/>
    <w:rsid w:val="00D770B2"/>
    <w:rsid w:val="00D815EF"/>
    <w:rsid w:val="00D81F26"/>
    <w:rsid w:val="00D83C85"/>
    <w:rsid w:val="00D84436"/>
    <w:rsid w:val="00D85939"/>
    <w:rsid w:val="00D86231"/>
    <w:rsid w:val="00D872CE"/>
    <w:rsid w:val="00D91923"/>
    <w:rsid w:val="00D93753"/>
    <w:rsid w:val="00D93FC6"/>
    <w:rsid w:val="00D94835"/>
    <w:rsid w:val="00DA0612"/>
    <w:rsid w:val="00DA064C"/>
    <w:rsid w:val="00DA3167"/>
    <w:rsid w:val="00DA3FCF"/>
    <w:rsid w:val="00DA4DC3"/>
    <w:rsid w:val="00DA6195"/>
    <w:rsid w:val="00DA6753"/>
    <w:rsid w:val="00DA6E9D"/>
    <w:rsid w:val="00DA77A5"/>
    <w:rsid w:val="00DA7CEA"/>
    <w:rsid w:val="00DB3DBF"/>
    <w:rsid w:val="00DB46A3"/>
    <w:rsid w:val="00DB484F"/>
    <w:rsid w:val="00DB5E8D"/>
    <w:rsid w:val="00DB6BF7"/>
    <w:rsid w:val="00DB787D"/>
    <w:rsid w:val="00DC04F6"/>
    <w:rsid w:val="00DC0690"/>
    <w:rsid w:val="00DC08FB"/>
    <w:rsid w:val="00DC1D65"/>
    <w:rsid w:val="00DC31EE"/>
    <w:rsid w:val="00DC3C57"/>
    <w:rsid w:val="00DC3D24"/>
    <w:rsid w:val="00DC5501"/>
    <w:rsid w:val="00DC7154"/>
    <w:rsid w:val="00DC7E8A"/>
    <w:rsid w:val="00DD0B81"/>
    <w:rsid w:val="00DD0F78"/>
    <w:rsid w:val="00DD10B4"/>
    <w:rsid w:val="00DD17C1"/>
    <w:rsid w:val="00DD1D29"/>
    <w:rsid w:val="00DD273C"/>
    <w:rsid w:val="00DD2840"/>
    <w:rsid w:val="00DD3F28"/>
    <w:rsid w:val="00DD4537"/>
    <w:rsid w:val="00DD4BD5"/>
    <w:rsid w:val="00DD4E15"/>
    <w:rsid w:val="00DD5A3F"/>
    <w:rsid w:val="00DE2088"/>
    <w:rsid w:val="00DE2304"/>
    <w:rsid w:val="00DE3138"/>
    <w:rsid w:val="00DE31AC"/>
    <w:rsid w:val="00DE37F8"/>
    <w:rsid w:val="00DE3DC0"/>
    <w:rsid w:val="00DE4328"/>
    <w:rsid w:val="00DE4FCB"/>
    <w:rsid w:val="00DE5D07"/>
    <w:rsid w:val="00DE6536"/>
    <w:rsid w:val="00DE72A7"/>
    <w:rsid w:val="00DE7832"/>
    <w:rsid w:val="00DF0C48"/>
    <w:rsid w:val="00DF0E23"/>
    <w:rsid w:val="00DF1620"/>
    <w:rsid w:val="00DF179A"/>
    <w:rsid w:val="00DF18FC"/>
    <w:rsid w:val="00DF24FC"/>
    <w:rsid w:val="00DF3A9E"/>
    <w:rsid w:val="00DF5D2B"/>
    <w:rsid w:val="00DF5DDB"/>
    <w:rsid w:val="00E00E8E"/>
    <w:rsid w:val="00E046C0"/>
    <w:rsid w:val="00E05630"/>
    <w:rsid w:val="00E05DFF"/>
    <w:rsid w:val="00E06DBB"/>
    <w:rsid w:val="00E10149"/>
    <w:rsid w:val="00E11340"/>
    <w:rsid w:val="00E11DE8"/>
    <w:rsid w:val="00E122A1"/>
    <w:rsid w:val="00E12D12"/>
    <w:rsid w:val="00E139A5"/>
    <w:rsid w:val="00E15CE3"/>
    <w:rsid w:val="00E16372"/>
    <w:rsid w:val="00E17C25"/>
    <w:rsid w:val="00E20E4D"/>
    <w:rsid w:val="00E20ED6"/>
    <w:rsid w:val="00E21358"/>
    <w:rsid w:val="00E21B1B"/>
    <w:rsid w:val="00E2249B"/>
    <w:rsid w:val="00E22A0D"/>
    <w:rsid w:val="00E244F6"/>
    <w:rsid w:val="00E2516A"/>
    <w:rsid w:val="00E25935"/>
    <w:rsid w:val="00E2771E"/>
    <w:rsid w:val="00E27C63"/>
    <w:rsid w:val="00E30670"/>
    <w:rsid w:val="00E30FCF"/>
    <w:rsid w:val="00E311EF"/>
    <w:rsid w:val="00E316C5"/>
    <w:rsid w:val="00E31F87"/>
    <w:rsid w:val="00E32180"/>
    <w:rsid w:val="00E34948"/>
    <w:rsid w:val="00E34CF5"/>
    <w:rsid w:val="00E37569"/>
    <w:rsid w:val="00E40004"/>
    <w:rsid w:val="00E40008"/>
    <w:rsid w:val="00E401B2"/>
    <w:rsid w:val="00E40AC1"/>
    <w:rsid w:val="00E41E30"/>
    <w:rsid w:val="00E42F42"/>
    <w:rsid w:val="00E42F73"/>
    <w:rsid w:val="00E43B70"/>
    <w:rsid w:val="00E43D70"/>
    <w:rsid w:val="00E466F3"/>
    <w:rsid w:val="00E4736D"/>
    <w:rsid w:val="00E47B2C"/>
    <w:rsid w:val="00E47B30"/>
    <w:rsid w:val="00E51560"/>
    <w:rsid w:val="00E51D20"/>
    <w:rsid w:val="00E51D27"/>
    <w:rsid w:val="00E53FC8"/>
    <w:rsid w:val="00E54347"/>
    <w:rsid w:val="00E544A2"/>
    <w:rsid w:val="00E54576"/>
    <w:rsid w:val="00E55424"/>
    <w:rsid w:val="00E55915"/>
    <w:rsid w:val="00E55BB5"/>
    <w:rsid w:val="00E5791F"/>
    <w:rsid w:val="00E6161B"/>
    <w:rsid w:val="00E63106"/>
    <w:rsid w:val="00E64DDD"/>
    <w:rsid w:val="00E65E79"/>
    <w:rsid w:val="00E65EEA"/>
    <w:rsid w:val="00E66BA2"/>
    <w:rsid w:val="00E66CFA"/>
    <w:rsid w:val="00E67416"/>
    <w:rsid w:val="00E70C7C"/>
    <w:rsid w:val="00E718B6"/>
    <w:rsid w:val="00E71D00"/>
    <w:rsid w:val="00E723BA"/>
    <w:rsid w:val="00E73581"/>
    <w:rsid w:val="00E73D83"/>
    <w:rsid w:val="00E80A31"/>
    <w:rsid w:val="00E8104B"/>
    <w:rsid w:val="00E8201C"/>
    <w:rsid w:val="00E83017"/>
    <w:rsid w:val="00E833F7"/>
    <w:rsid w:val="00E83A0E"/>
    <w:rsid w:val="00E83BDF"/>
    <w:rsid w:val="00E86C9F"/>
    <w:rsid w:val="00E87A1D"/>
    <w:rsid w:val="00E87C78"/>
    <w:rsid w:val="00E90447"/>
    <w:rsid w:val="00E9094A"/>
    <w:rsid w:val="00E91D35"/>
    <w:rsid w:val="00E926A5"/>
    <w:rsid w:val="00E928E9"/>
    <w:rsid w:val="00E94A2D"/>
    <w:rsid w:val="00E94F7F"/>
    <w:rsid w:val="00EA095B"/>
    <w:rsid w:val="00EA0B31"/>
    <w:rsid w:val="00EA15E1"/>
    <w:rsid w:val="00EA17C3"/>
    <w:rsid w:val="00EA2CAA"/>
    <w:rsid w:val="00EA3864"/>
    <w:rsid w:val="00EA4222"/>
    <w:rsid w:val="00EA74A9"/>
    <w:rsid w:val="00EA7F1C"/>
    <w:rsid w:val="00EB15B6"/>
    <w:rsid w:val="00EB3D06"/>
    <w:rsid w:val="00EB4916"/>
    <w:rsid w:val="00EB5815"/>
    <w:rsid w:val="00EC00C9"/>
    <w:rsid w:val="00EC0DD9"/>
    <w:rsid w:val="00EC2649"/>
    <w:rsid w:val="00EC31ED"/>
    <w:rsid w:val="00EC5836"/>
    <w:rsid w:val="00EC688C"/>
    <w:rsid w:val="00ED13D9"/>
    <w:rsid w:val="00ED1F2A"/>
    <w:rsid w:val="00ED20EB"/>
    <w:rsid w:val="00ED2E92"/>
    <w:rsid w:val="00ED57EA"/>
    <w:rsid w:val="00ED5BD4"/>
    <w:rsid w:val="00ED5D67"/>
    <w:rsid w:val="00EE0643"/>
    <w:rsid w:val="00EE07D3"/>
    <w:rsid w:val="00EE0C1A"/>
    <w:rsid w:val="00EE1996"/>
    <w:rsid w:val="00EE1C01"/>
    <w:rsid w:val="00EE22AF"/>
    <w:rsid w:val="00EE2ECB"/>
    <w:rsid w:val="00EE380C"/>
    <w:rsid w:val="00EE477F"/>
    <w:rsid w:val="00EE6024"/>
    <w:rsid w:val="00EE6E78"/>
    <w:rsid w:val="00EF0171"/>
    <w:rsid w:val="00EF126D"/>
    <w:rsid w:val="00EF1B25"/>
    <w:rsid w:val="00EF1DA0"/>
    <w:rsid w:val="00EF250E"/>
    <w:rsid w:val="00EF4747"/>
    <w:rsid w:val="00EF4BF8"/>
    <w:rsid w:val="00EF4E55"/>
    <w:rsid w:val="00EF5F1F"/>
    <w:rsid w:val="00F02253"/>
    <w:rsid w:val="00F02AF7"/>
    <w:rsid w:val="00F03C2E"/>
    <w:rsid w:val="00F0495F"/>
    <w:rsid w:val="00F04A66"/>
    <w:rsid w:val="00F04B4B"/>
    <w:rsid w:val="00F04C70"/>
    <w:rsid w:val="00F0516C"/>
    <w:rsid w:val="00F0544B"/>
    <w:rsid w:val="00F05821"/>
    <w:rsid w:val="00F067A2"/>
    <w:rsid w:val="00F06F5E"/>
    <w:rsid w:val="00F07B9E"/>
    <w:rsid w:val="00F10A6F"/>
    <w:rsid w:val="00F1103C"/>
    <w:rsid w:val="00F1116F"/>
    <w:rsid w:val="00F1263A"/>
    <w:rsid w:val="00F13ED7"/>
    <w:rsid w:val="00F14C03"/>
    <w:rsid w:val="00F15B77"/>
    <w:rsid w:val="00F21A3E"/>
    <w:rsid w:val="00F224C5"/>
    <w:rsid w:val="00F22B2E"/>
    <w:rsid w:val="00F24837"/>
    <w:rsid w:val="00F2575F"/>
    <w:rsid w:val="00F271CC"/>
    <w:rsid w:val="00F27565"/>
    <w:rsid w:val="00F310D4"/>
    <w:rsid w:val="00F3125B"/>
    <w:rsid w:val="00F31D5A"/>
    <w:rsid w:val="00F33975"/>
    <w:rsid w:val="00F33DE9"/>
    <w:rsid w:val="00F35E6D"/>
    <w:rsid w:val="00F3619A"/>
    <w:rsid w:val="00F364DE"/>
    <w:rsid w:val="00F374C5"/>
    <w:rsid w:val="00F37962"/>
    <w:rsid w:val="00F40AAA"/>
    <w:rsid w:val="00F40BA7"/>
    <w:rsid w:val="00F40F9D"/>
    <w:rsid w:val="00F41ACD"/>
    <w:rsid w:val="00F440D5"/>
    <w:rsid w:val="00F468D9"/>
    <w:rsid w:val="00F46CB6"/>
    <w:rsid w:val="00F4756D"/>
    <w:rsid w:val="00F47DE8"/>
    <w:rsid w:val="00F542C1"/>
    <w:rsid w:val="00F5448D"/>
    <w:rsid w:val="00F558AB"/>
    <w:rsid w:val="00F55E73"/>
    <w:rsid w:val="00F55EDA"/>
    <w:rsid w:val="00F56B75"/>
    <w:rsid w:val="00F56C80"/>
    <w:rsid w:val="00F57083"/>
    <w:rsid w:val="00F60092"/>
    <w:rsid w:val="00F60D4F"/>
    <w:rsid w:val="00F61C18"/>
    <w:rsid w:val="00F65F4B"/>
    <w:rsid w:val="00F665E9"/>
    <w:rsid w:val="00F66634"/>
    <w:rsid w:val="00F673E1"/>
    <w:rsid w:val="00F67A69"/>
    <w:rsid w:val="00F70BFF"/>
    <w:rsid w:val="00F70C9D"/>
    <w:rsid w:val="00F73507"/>
    <w:rsid w:val="00F74B4D"/>
    <w:rsid w:val="00F74CD9"/>
    <w:rsid w:val="00F7678D"/>
    <w:rsid w:val="00F77341"/>
    <w:rsid w:val="00F77DAA"/>
    <w:rsid w:val="00F80A7B"/>
    <w:rsid w:val="00F80E5D"/>
    <w:rsid w:val="00F819A0"/>
    <w:rsid w:val="00F81E78"/>
    <w:rsid w:val="00F83DB0"/>
    <w:rsid w:val="00F841D0"/>
    <w:rsid w:val="00F84E64"/>
    <w:rsid w:val="00F851CE"/>
    <w:rsid w:val="00F85CCA"/>
    <w:rsid w:val="00F91219"/>
    <w:rsid w:val="00F92444"/>
    <w:rsid w:val="00F929F7"/>
    <w:rsid w:val="00F92FE0"/>
    <w:rsid w:val="00F93496"/>
    <w:rsid w:val="00F9393E"/>
    <w:rsid w:val="00F9466E"/>
    <w:rsid w:val="00F95FCD"/>
    <w:rsid w:val="00F96D58"/>
    <w:rsid w:val="00F96FD0"/>
    <w:rsid w:val="00F96FE9"/>
    <w:rsid w:val="00F97A78"/>
    <w:rsid w:val="00FA022F"/>
    <w:rsid w:val="00FA0B20"/>
    <w:rsid w:val="00FA0C4E"/>
    <w:rsid w:val="00FA11D7"/>
    <w:rsid w:val="00FA24E7"/>
    <w:rsid w:val="00FA27FA"/>
    <w:rsid w:val="00FA4A29"/>
    <w:rsid w:val="00FA4A91"/>
    <w:rsid w:val="00FA5EE6"/>
    <w:rsid w:val="00FA6800"/>
    <w:rsid w:val="00FA7956"/>
    <w:rsid w:val="00FB2FCB"/>
    <w:rsid w:val="00FB32E1"/>
    <w:rsid w:val="00FB37AA"/>
    <w:rsid w:val="00FB458E"/>
    <w:rsid w:val="00FB68A5"/>
    <w:rsid w:val="00FB70E9"/>
    <w:rsid w:val="00FB7C55"/>
    <w:rsid w:val="00FC1074"/>
    <w:rsid w:val="00FC1339"/>
    <w:rsid w:val="00FC1549"/>
    <w:rsid w:val="00FC1884"/>
    <w:rsid w:val="00FC371D"/>
    <w:rsid w:val="00FC3E33"/>
    <w:rsid w:val="00FC479D"/>
    <w:rsid w:val="00FC5F0B"/>
    <w:rsid w:val="00FD2100"/>
    <w:rsid w:val="00FD3B29"/>
    <w:rsid w:val="00FD436C"/>
    <w:rsid w:val="00FD446D"/>
    <w:rsid w:val="00FD4C5A"/>
    <w:rsid w:val="00FD4F1E"/>
    <w:rsid w:val="00FD4F2C"/>
    <w:rsid w:val="00FD6394"/>
    <w:rsid w:val="00FD6C8B"/>
    <w:rsid w:val="00FE0E6C"/>
    <w:rsid w:val="00FE1CDC"/>
    <w:rsid w:val="00FE476D"/>
    <w:rsid w:val="00FE698E"/>
    <w:rsid w:val="00FE70C3"/>
    <w:rsid w:val="00FE7390"/>
    <w:rsid w:val="00FE74EE"/>
    <w:rsid w:val="00FF29EF"/>
    <w:rsid w:val="00FF2AD9"/>
    <w:rsid w:val="00FF2CBE"/>
    <w:rsid w:val="00FF359F"/>
    <w:rsid w:val="00FF3722"/>
    <w:rsid w:val="00FF37B2"/>
    <w:rsid w:val="00FF39AC"/>
    <w:rsid w:val="00FF3DCF"/>
    <w:rsid w:val="00FF492C"/>
    <w:rsid w:val="00FF4A21"/>
    <w:rsid w:val="00FF5AA3"/>
    <w:rsid w:val="00FF5AD8"/>
    <w:rsid w:val="00FF5B1B"/>
    <w:rsid w:val="00FF5CA8"/>
    <w:rsid w:val="00FF6D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Figure caption1 Char Char,IB Caption,Medical Caption,Medical Caption Char,Caption Char1 Char Char,Caption Char Char Char Char,Caption Char1 Char,Caption Char Char Char Char Char,Caption Char Char,Caption Char Char Char Char1,..."/>
    <w:basedOn w:val="Normal"/>
    <w:next w:val="Normal"/>
    <w:link w:val="CaptionChar"/>
    <w:uiPriority w:val="35"/>
    <w:unhideWhenUsed/>
    <w:qFormat/>
    <w:rsid w:val="00672337"/>
    <w:pPr>
      <w:keepNext/>
    </w:pPr>
    <w:rPr>
      <w:rFonts w:ascii="Arial Narrow" w:hAnsi="Arial Narrow"/>
      <w:b/>
      <w:bCs/>
      <w:color w:val="000000" w:themeColor="text1"/>
      <w:sz w:val="20"/>
      <w:szCs w:val="20"/>
    </w:rPr>
  </w:style>
  <w:style w:type="character" w:customStyle="1" w:styleId="CaptionChar">
    <w:name w:val="Caption Char"/>
    <w:aliases w:val="Figure caption Char,Figure caption1 Char Char Char,IB Caption Char,Medical Caption Char1,Medical Caption Char Char,Caption Char1 Char Char Char,Caption Char Char Char Char Char1,Caption Char1 Char Char1,Caption Char Char Char Char Char Char"/>
    <w:link w:val="Caption"/>
    <w:uiPriority w:val="35"/>
    <w:rsid w:val="00672337"/>
    <w:rPr>
      <w:rFonts w:ascii="Arial Narrow" w:hAnsi="Arial Narrow" w:cs="Arial"/>
      <w:b/>
      <w:bCs/>
      <w:color w:val="000000" w:themeColor="text1"/>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FF3722"/>
    <w:rPr>
      <w:rFonts w:ascii="Arial Narrow" w:hAnsi="Arial Narrow"/>
      <w:b/>
      <w:sz w:val="20"/>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D4318D"/>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8"/>
    <w:rsid w:val="00B50DB8"/>
    <w:rPr>
      <w:lang w:eastAsia="en-US"/>
    </w:rPr>
  </w:style>
  <w:style w:type="paragraph" w:styleId="Subtitle">
    <w:name w:val="Subtitle"/>
    <w:basedOn w:val="Normal"/>
    <w:link w:val="SubtitleChar"/>
    <w:uiPriority w:val="8"/>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highlight">
    <w:name w:val="highlight"/>
    <w:basedOn w:val="DefaultParagraphFont"/>
    <w:rsid w:val="00F21A3E"/>
  </w:style>
  <w:style w:type="paragraph" w:customStyle="1" w:styleId="Tabletextbulletdash">
    <w:name w:val="Table text bullet dash"/>
    <w:basedOn w:val="Tabletext"/>
    <w:qFormat/>
    <w:rsid w:val="00F21A3E"/>
    <w:pPr>
      <w:numPr>
        <w:numId w:val="8"/>
      </w:numPr>
      <w:adjustRightInd w:val="0"/>
      <w:snapToGrid w:val="0"/>
      <w:spacing w:before="40" w:after="40"/>
    </w:pPr>
    <w:rPr>
      <w:rFonts w:ascii="Calibri" w:eastAsia="SimSun" w:hAnsi="Calibri"/>
      <w:snapToGrid/>
      <w:sz w:val="18"/>
      <w:szCs w:val="22"/>
      <w:lang w:eastAsia="zh-CN"/>
    </w:rPr>
  </w:style>
  <w:style w:type="character" w:customStyle="1" w:styleId="UnresolvedMention1">
    <w:name w:val="Unresolved Mention1"/>
    <w:basedOn w:val="DefaultParagraphFont"/>
    <w:uiPriority w:val="99"/>
    <w:semiHidden/>
    <w:unhideWhenUsed/>
    <w:rsid w:val="00F21A3E"/>
    <w:rPr>
      <w:color w:val="605E5C"/>
      <w:shd w:val="clear" w:color="auto" w:fill="E1DFDD"/>
    </w:rPr>
  </w:style>
  <w:style w:type="paragraph" w:customStyle="1" w:styleId="TableorfigureAbbreviationsandSource">
    <w:name w:val="Table or figure Abbreviations and Source"/>
    <w:next w:val="Normal"/>
    <w:qFormat/>
    <w:rsid w:val="00F21A3E"/>
    <w:pPr>
      <w:spacing w:after="240"/>
      <w:contextualSpacing/>
    </w:pPr>
    <w:rPr>
      <w:rFonts w:ascii="Calibri" w:eastAsia="Calibri" w:hAnsi="Calibri"/>
      <w:sz w:val="16"/>
      <w:szCs w:val="22"/>
      <w:lang w:eastAsia="zh-CN"/>
    </w:rPr>
  </w:style>
  <w:style w:type="character" w:customStyle="1" w:styleId="TableTitleChar">
    <w:name w:val="TableTitle Char"/>
    <w:link w:val="TableTitle"/>
    <w:locked/>
    <w:rsid w:val="00F21A3E"/>
    <w:rPr>
      <w:b/>
      <w:sz w:val="24"/>
      <w:szCs w:val="24"/>
    </w:rPr>
  </w:style>
  <w:style w:type="paragraph" w:customStyle="1" w:styleId="TableTitle">
    <w:name w:val="TableTitle"/>
    <w:basedOn w:val="BodyText"/>
    <w:next w:val="BodyText"/>
    <w:link w:val="TableTitleChar"/>
    <w:rsid w:val="00F21A3E"/>
    <w:pPr>
      <w:keepNext/>
      <w:tabs>
        <w:tab w:val="left" w:pos="1559"/>
      </w:tabs>
      <w:spacing w:after="60"/>
      <w:ind w:left="1559" w:hanging="1559"/>
    </w:pPr>
    <w:rPr>
      <w:rFonts w:ascii="Times New Roman" w:hAnsi="Times New Roman" w:cs="Times New Roman"/>
      <w:b/>
    </w:rPr>
  </w:style>
  <w:style w:type="paragraph" w:styleId="FootnoteText">
    <w:name w:val="footnote text"/>
    <w:basedOn w:val="Normal"/>
    <w:link w:val="FootnoteTextChar"/>
    <w:semiHidden/>
    <w:unhideWhenUsed/>
    <w:rsid w:val="00F21A3E"/>
    <w:rPr>
      <w:sz w:val="20"/>
      <w:szCs w:val="20"/>
    </w:rPr>
  </w:style>
  <w:style w:type="character" w:customStyle="1" w:styleId="FootnoteTextChar">
    <w:name w:val="Footnote Text Char"/>
    <w:basedOn w:val="DefaultParagraphFont"/>
    <w:link w:val="FootnoteText"/>
    <w:semiHidden/>
    <w:rsid w:val="00F21A3E"/>
    <w:rPr>
      <w:rFonts w:ascii="Calibri" w:hAnsi="Calibri" w:cs="Arial"/>
    </w:rPr>
  </w:style>
  <w:style w:type="character" w:styleId="FootnoteReference">
    <w:name w:val="footnote reference"/>
    <w:basedOn w:val="DefaultParagraphFont"/>
    <w:semiHidden/>
    <w:unhideWhenUsed/>
    <w:rsid w:val="00F21A3E"/>
    <w:rPr>
      <w:vertAlign w:val="superscript"/>
    </w:rPr>
  </w:style>
  <w:style w:type="paragraph" w:customStyle="1" w:styleId="2Sections">
    <w:name w:val="2. Sections"/>
    <w:qFormat/>
    <w:rsid w:val="00051865"/>
    <w:pPr>
      <w:spacing w:before="240" w:after="120"/>
      <w:ind w:left="720" w:hanging="720"/>
      <w:outlineLvl w:val="0"/>
    </w:pPr>
    <w:rPr>
      <w:rFonts w:asciiTheme="minorHAnsi" w:hAnsiTheme="minorHAnsi" w:cs="Arial"/>
      <w:b/>
      <w:snapToGrid w:val="0"/>
      <w:sz w:val="32"/>
      <w:szCs w:val="32"/>
      <w:lang w:eastAsia="en-US"/>
    </w:rPr>
  </w:style>
  <w:style w:type="paragraph" w:customStyle="1" w:styleId="1MainTitle">
    <w:name w:val="1. Main Title"/>
    <w:basedOn w:val="Title"/>
    <w:link w:val="1MainTitleChar"/>
    <w:qFormat/>
    <w:rsid w:val="00051865"/>
    <w:pPr>
      <w:spacing w:before="120" w:after="160"/>
      <w:ind w:left="720" w:hanging="720"/>
      <w:contextualSpacing/>
      <w:jc w:val="left"/>
    </w:pPr>
    <w:rPr>
      <w:rFonts w:asciiTheme="minorHAnsi" w:eastAsiaTheme="majorEastAsia" w:hAnsiTheme="minorHAnsi" w:cstheme="majorBidi"/>
      <w:bCs w:val="0"/>
      <w:spacing w:val="5"/>
      <w:sz w:val="36"/>
      <w:szCs w:val="36"/>
      <w:lang w:eastAsia="en-US"/>
    </w:rPr>
  </w:style>
  <w:style w:type="character" w:customStyle="1" w:styleId="1MainTitleChar">
    <w:name w:val="1. Main Title Char"/>
    <w:basedOn w:val="TitleChar"/>
    <w:link w:val="1MainTitle"/>
    <w:rsid w:val="00051865"/>
    <w:rPr>
      <w:rFonts w:asciiTheme="minorHAnsi" w:eastAsiaTheme="majorEastAsia" w:hAnsiTheme="minorHAnsi" w:cstheme="majorBidi"/>
      <w:b/>
      <w:bCs w:val="0"/>
      <w:snapToGrid/>
      <w:spacing w:val="5"/>
      <w:kern w:val="28"/>
      <w:sz w:val="36"/>
      <w:szCs w:val="36"/>
      <w:lang w:eastAsia="en-US"/>
    </w:rPr>
  </w:style>
  <w:style w:type="paragraph" w:customStyle="1" w:styleId="Bodytextitalics">
    <w:name w:val="Body text italics"/>
    <w:basedOn w:val="BodyText"/>
    <w:qFormat/>
    <w:rsid w:val="00051865"/>
    <w:pPr>
      <w:spacing w:after="120"/>
      <w:ind w:left="720" w:hanging="720"/>
    </w:pPr>
    <w:rPr>
      <w:rFonts w:asciiTheme="minorHAnsi" w:eastAsiaTheme="minorHAnsi" w:hAnsiTheme="minorHAnsi" w:cstheme="minorBidi"/>
      <w:i/>
      <w:szCs w:val="22"/>
    </w:rPr>
  </w:style>
  <w:style w:type="character" w:customStyle="1" w:styleId="UnresolvedMention2">
    <w:name w:val="Unresolved Mention2"/>
    <w:basedOn w:val="DefaultParagraphFont"/>
    <w:uiPriority w:val="99"/>
    <w:semiHidden/>
    <w:unhideWhenUsed/>
    <w:rsid w:val="00294150"/>
    <w:rPr>
      <w:color w:val="605E5C"/>
      <w:shd w:val="clear" w:color="auto" w:fill="E1DFDD"/>
    </w:rPr>
  </w:style>
  <w:style w:type="paragraph" w:customStyle="1" w:styleId="tabletext1">
    <w:name w:val="tabletext"/>
    <w:basedOn w:val="Normal"/>
    <w:rsid w:val="0023784F"/>
    <w:pPr>
      <w:jc w:val="left"/>
    </w:pPr>
    <w:rPr>
      <w:rFonts w:ascii="Arial Narrow" w:eastAsiaTheme="minorHAnsi" w:hAnsi="Arial Narrow" w:cs="Calibri"/>
      <w:sz w:val="22"/>
      <w:szCs w:val="22"/>
    </w:rPr>
  </w:style>
  <w:style w:type="paragraph" w:customStyle="1" w:styleId="3-SubsectionHeading">
    <w:name w:val="3-Subsection Heading"/>
    <w:basedOn w:val="Heading2"/>
    <w:next w:val="Normal"/>
    <w:link w:val="3-SubsectionHeadingChar"/>
    <w:qFormat/>
    <w:rsid w:val="00953C5F"/>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953C5F"/>
    <w:rPr>
      <w:rFonts w:asciiTheme="minorHAnsi" w:eastAsiaTheme="majorEastAsia" w:hAnsiTheme="minorHAnsi" w:cstheme="majorBidi"/>
      <w:b/>
      <w:i/>
      <w:snapToGrid/>
      <w:spacing w:val="5"/>
      <w:kern w:val="28"/>
      <w:sz w:val="28"/>
      <w:szCs w:val="36"/>
      <w:lang w:eastAsia="en-US"/>
    </w:rPr>
  </w:style>
  <w:style w:type="character" w:customStyle="1" w:styleId="3BodytextChar">
    <w:name w:val="3. Body text Char"/>
    <w:basedOn w:val="DefaultParagraphFont"/>
    <w:link w:val="3Bodytext"/>
    <w:locked/>
    <w:rsid w:val="0045740E"/>
    <w:rPr>
      <w:rFonts w:asciiTheme="minorHAnsi" w:eastAsiaTheme="minorHAnsi" w:hAnsiTheme="minorHAnsi" w:cstheme="minorBidi"/>
      <w:sz w:val="24"/>
      <w:szCs w:val="22"/>
    </w:rPr>
  </w:style>
  <w:style w:type="paragraph" w:customStyle="1" w:styleId="3Bodytext">
    <w:name w:val="3. Body text"/>
    <w:basedOn w:val="ListParagraph"/>
    <w:link w:val="3BodytextChar"/>
    <w:qFormat/>
    <w:rsid w:val="0045740E"/>
    <w:pPr>
      <w:numPr>
        <w:numId w:val="0"/>
      </w:numPr>
      <w:ind w:left="720" w:hanging="720"/>
      <w:jc w:val="left"/>
    </w:pPr>
    <w:rPr>
      <w:rFonts w:eastAsiaTheme="minorHAnsi" w:cstheme="minorBidi"/>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1923">
      <w:bodyDiv w:val="1"/>
      <w:marLeft w:val="0"/>
      <w:marRight w:val="0"/>
      <w:marTop w:val="0"/>
      <w:marBottom w:val="0"/>
      <w:divBdr>
        <w:top w:val="none" w:sz="0" w:space="0" w:color="auto"/>
        <w:left w:val="none" w:sz="0" w:space="0" w:color="auto"/>
        <w:bottom w:val="none" w:sz="0" w:space="0" w:color="auto"/>
        <w:right w:val="none" w:sz="0" w:space="0" w:color="auto"/>
      </w:divBdr>
    </w:div>
    <w:div w:id="6418383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6374120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61064994">
      <w:bodyDiv w:val="1"/>
      <w:marLeft w:val="0"/>
      <w:marRight w:val="0"/>
      <w:marTop w:val="0"/>
      <w:marBottom w:val="0"/>
      <w:divBdr>
        <w:top w:val="none" w:sz="0" w:space="0" w:color="auto"/>
        <w:left w:val="none" w:sz="0" w:space="0" w:color="auto"/>
        <w:bottom w:val="none" w:sz="0" w:space="0" w:color="auto"/>
        <w:right w:val="none" w:sz="0" w:space="0" w:color="auto"/>
      </w:divBdr>
    </w:div>
    <w:div w:id="797407683">
      <w:bodyDiv w:val="1"/>
      <w:marLeft w:val="0"/>
      <w:marRight w:val="0"/>
      <w:marTop w:val="0"/>
      <w:marBottom w:val="0"/>
      <w:divBdr>
        <w:top w:val="none" w:sz="0" w:space="0" w:color="auto"/>
        <w:left w:val="none" w:sz="0" w:space="0" w:color="auto"/>
        <w:bottom w:val="none" w:sz="0" w:space="0" w:color="auto"/>
        <w:right w:val="none" w:sz="0" w:space="0" w:color="auto"/>
      </w:divBdr>
    </w:div>
    <w:div w:id="86876430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3003">
      <w:bodyDiv w:val="1"/>
      <w:marLeft w:val="0"/>
      <w:marRight w:val="0"/>
      <w:marTop w:val="0"/>
      <w:marBottom w:val="0"/>
      <w:divBdr>
        <w:top w:val="none" w:sz="0" w:space="0" w:color="auto"/>
        <w:left w:val="none" w:sz="0" w:space="0" w:color="auto"/>
        <w:bottom w:val="none" w:sz="0" w:space="0" w:color="auto"/>
        <w:right w:val="none" w:sz="0" w:space="0" w:color="auto"/>
      </w:divBdr>
    </w:div>
    <w:div w:id="1500728503">
      <w:bodyDiv w:val="1"/>
      <w:marLeft w:val="0"/>
      <w:marRight w:val="0"/>
      <w:marTop w:val="0"/>
      <w:marBottom w:val="0"/>
      <w:divBdr>
        <w:top w:val="none" w:sz="0" w:space="0" w:color="auto"/>
        <w:left w:val="none" w:sz="0" w:space="0" w:color="auto"/>
        <w:bottom w:val="none" w:sz="0" w:space="0" w:color="auto"/>
        <w:right w:val="none" w:sz="0" w:space="0" w:color="auto"/>
      </w:divBdr>
    </w:div>
    <w:div w:id="166759346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bs.gov.au" TargetMode="External"/><Relationship Id="rId4" Type="http://schemas.openxmlformats.org/officeDocument/2006/relationships/settings" Target="settings.xml"/><Relationship Id="rId9" Type="http://schemas.openxmlformats.org/officeDocument/2006/relationships/hyperlink" Target="https://www.pbs.gov.au/pbs/industry/%20pricing/ex-manufacturer-pri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4C7A4-4B91-4CC4-B5CA-F40B5722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9097</Words>
  <Characters>51261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2022-06-28T01:53:00Z</dcterms:created>
  <dcterms:modified xsi:type="dcterms:W3CDTF">2022-06-28T01:54:00Z</dcterms:modified>
</cp:coreProperties>
</file>