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63F809FD" w:rsidR="00872E8F" w:rsidRPr="007A5C88" w:rsidRDefault="0070307A" w:rsidP="00F06E13">
      <w:pPr>
        <w:pStyle w:val="1MainTitle"/>
        <w:jc w:val="left"/>
      </w:pPr>
      <w:r>
        <w:t>5.2</w:t>
      </w:r>
      <w:r w:rsidR="00024072">
        <w:t>5</w:t>
      </w:r>
      <w:r w:rsidR="00872E8F">
        <w:tab/>
      </w:r>
      <w:r>
        <w:t>DORZOLAMIDE WITH TIMOLOL</w:t>
      </w:r>
      <w:r w:rsidR="00B71458">
        <w:t>,</w:t>
      </w:r>
      <w:r>
        <w:t xml:space="preserve"> </w:t>
      </w:r>
      <w:r w:rsidR="00F06E13">
        <w:br/>
      </w:r>
      <w:r>
        <w:t>Eye drops containing dorzolamide 20 mg (as hydrochloride) with timolol 5 mg (as maleate) per mL, 5 mL,</w:t>
      </w:r>
      <w:r w:rsidR="00F06E13">
        <w:br/>
      </w:r>
      <w:proofErr w:type="spellStart"/>
      <w:r>
        <w:t>Vizo</w:t>
      </w:r>
      <w:proofErr w:type="spellEnd"/>
      <w:r>
        <w:t xml:space="preserve">-PF </w:t>
      </w:r>
      <w:proofErr w:type="spellStart"/>
      <w:r>
        <w:t>Dorzolatim</w:t>
      </w:r>
      <w:proofErr w:type="spellEnd"/>
      <w:r>
        <w:t>®,</w:t>
      </w:r>
      <w:r w:rsidR="00F06E13">
        <w:br/>
      </w:r>
      <w:r>
        <w:t>A</w:t>
      </w:r>
      <w:r w:rsidR="00F06E13">
        <w:t>FT</w:t>
      </w:r>
      <w:r>
        <w:t xml:space="preserve"> Pharmaceuticals (Au) Pty Ltd</w:t>
      </w:r>
    </w:p>
    <w:p w14:paraId="5F4D54C1" w14:textId="73ED5E4E"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761384D2" w:rsidR="007E490F" w:rsidRPr="00B50A24" w:rsidRDefault="006C6C10" w:rsidP="00D500D6">
      <w:pPr>
        <w:pStyle w:val="3Bodytext"/>
        <w:jc w:val="both"/>
        <w:rPr>
          <w:rFonts w:cstheme="minorHAnsi"/>
          <w:szCs w:val="24"/>
        </w:rPr>
      </w:pPr>
      <w:r w:rsidRPr="003D5157">
        <w:rPr>
          <w:rFonts w:cstheme="minorHAnsi"/>
          <w:szCs w:val="24"/>
        </w:rPr>
        <w:t xml:space="preserve">The </w:t>
      </w:r>
      <w:r w:rsidR="00C96EC0" w:rsidRPr="003D5157">
        <w:rPr>
          <w:rFonts w:cstheme="minorHAnsi"/>
          <w:szCs w:val="24"/>
        </w:rPr>
        <w:t xml:space="preserve">Committee Secretariat </w:t>
      </w:r>
      <w:r w:rsidRPr="00EF4580">
        <w:rPr>
          <w:rFonts w:cstheme="minorHAnsi"/>
          <w:szCs w:val="24"/>
        </w:rPr>
        <w:t xml:space="preserve">submission </w:t>
      </w:r>
      <w:r w:rsidR="00244BEC">
        <w:rPr>
          <w:rFonts w:cstheme="minorHAnsi"/>
          <w:szCs w:val="24"/>
        </w:rPr>
        <w:t>requested</w:t>
      </w:r>
      <w:r w:rsidRPr="00EF4580">
        <w:rPr>
          <w:rFonts w:cstheme="minorHAnsi"/>
          <w:szCs w:val="24"/>
        </w:rPr>
        <w:t xml:space="preserve"> </w:t>
      </w:r>
      <w:r w:rsidR="003D5157" w:rsidRPr="003D5157">
        <w:rPr>
          <w:rFonts w:cstheme="minorHAnsi"/>
          <w:szCs w:val="24"/>
        </w:rPr>
        <w:t xml:space="preserve">a Restricted Benefit listing of a new </w:t>
      </w:r>
      <w:r w:rsidR="001C1049">
        <w:rPr>
          <w:rFonts w:cstheme="minorHAnsi"/>
          <w:szCs w:val="24"/>
        </w:rPr>
        <w:t>ophthalmic eye drops solution</w:t>
      </w:r>
      <w:r w:rsidR="001C1049" w:rsidRPr="003D6BFD">
        <w:rPr>
          <w:rFonts w:cstheme="minorHAnsi"/>
          <w:szCs w:val="24"/>
        </w:rPr>
        <w:t xml:space="preserve"> </w:t>
      </w:r>
      <w:r w:rsidR="003D5157" w:rsidRPr="003D5157">
        <w:rPr>
          <w:rFonts w:cstheme="minorHAnsi"/>
          <w:szCs w:val="24"/>
        </w:rPr>
        <w:t>in a preservative-free</w:t>
      </w:r>
      <w:r w:rsidR="00E948A7">
        <w:rPr>
          <w:rFonts w:cstheme="minorHAnsi"/>
          <w:szCs w:val="24"/>
        </w:rPr>
        <w:t xml:space="preserve"> (PF)</w:t>
      </w:r>
      <w:r w:rsidR="003D5157" w:rsidRPr="003D5157">
        <w:rPr>
          <w:rFonts w:cstheme="minorHAnsi"/>
          <w:szCs w:val="24"/>
        </w:rPr>
        <w:t xml:space="preserve"> multi-dose bottle</w:t>
      </w:r>
      <w:r w:rsidR="00E948A7">
        <w:rPr>
          <w:rFonts w:cstheme="minorHAnsi"/>
          <w:szCs w:val="24"/>
        </w:rPr>
        <w:t xml:space="preserve">, </w:t>
      </w:r>
      <w:proofErr w:type="spellStart"/>
      <w:r w:rsidR="00E948A7" w:rsidRPr="00B50A24">
        <w:t>Vizo</w:t>
      </w:r>
      <w:proofErr w:type="spellEnd"/>
      <w:r w:rsidR="00E948A7" w:rsidRPr="00B50A24">
        <w:t xml:space="preserve">-PF </w:t>
      </w:r>
      <w:proofErr w:type="spellStart"/>
      <w:r w:rsidR="00E948A7" w:rsidRPr="00B50A24">
        <w:t>Dorzo</w:t>
      </w:r>
      <w:r w:rsidR="00E948A7">
        <w:t>latim</w:t>
      </w:r>
      <w:proofErr w:type="spellEnd"/>
      <w:r w:rsidR="00D30F16" w:rsidRPr="003D6BFD">
        <w:rPr>
          <w:rFonts w:cstheme="minorHAnsi"/>
        </w:rPr>
        <w:t>®</w:t>
      </w:r>
      <w:r w:rsidR="00E948A7">
        <w:t>,</w:t>
      </w:r>
      <w:r w:rsidR="003D5157" w:rsidRPr="003D5157">
        <w:rPr>
          <w:rFonts w:cstheme="minorHAnsi"/>
          <w:szCs w:val="24"/>
        </w:rPr>
        <w:t xml:space="preserve"> under the same </w:t>
      </w:r>
      <w:r w:rsidR="00E04356">
        <w:rPr>
          <w:rFonts w:cstheme="minorHAnsi"/>
          <w:szCs w:val="24"/>
        </w:rPr>
        <w:t xml:space="preserve">circumstances </w:t>
      </w:r>
      <w:r w:rsidR="003D5157" w:rsidRPr="003D5157">
        <w:rPr>
          <w:rFonts w:cstheme="minorHAnsi"/>
          <w:szCs w:val="24"/>
        </w:rPr>
        <w:t xml:space="preserve">as the currently listed brands of dorzolamide </w:t>
      </w:r>
      <w:r w:rsidR="00E413B4">
        <w:rPr>
          <w:rFonts w:cstheme="minorHAnsi"/>
          <w:szCs w:val="24"/>
        </w:rPr>
        <w:t>+</w:t>
      </w:r>
      <w:r w:rsidR="003D5157" w:rsidRPr="003D5157">
        <w:rPr>
          <w:rFonts w:cstheme="minorHAnsi"/>
          <w:szCs w:val="24"/>
        </w:rPr>
        <w:t xml:space="preserve"> timolol</w:t>
      </w:r>
      <w:r w:rsidR="00E413B4">
        <w:rPr>
          <w:rFonts w:cstheme="minorHAnsi"/>
          <w:szCs w:val="24"/>
        </w:rPr>
        <w:t xml:space="preserve"> eye drops (</w:t>
      </w:r>
      <w:proofErr w:type="spellStart"/>
      <w:r w:rsidR="00E413B4">
        <w:rPr>
          <w:rFonts w:cstheme="minorHAnsi"/>
          <w:szCs w:val="24"/>
        </w:rPr>
        <w:t>Cosopt</w:t>
      </w:r>
      <w:proofErr w:type="spellEnd"/>
      <w:r w:rsidR="00D30F16" w:rsidRPr="003D6BFD">
        <w:rPr>
          <w:rFonts w:cstheme="minorHAnsi"/>
        </w:rPr>
        <w:t>®</w:t>
      </w:r>
      <w:r w:rsidR="00C76188">
        <w:rPr>
          <w:rFonts w:cstheme="minorHAnsi"/>
          <w:szCs w:val="24"/>
        </w:rPr>
        <w:t xml:space="preserve"> and</w:t>
      </w:r>
      <w:r w:rsidR="00E413B4">
        <w:rPr>
          <w:rFonts w:cstheme="minorHAnsi"/>
          <w:szCs w:val="24"/>
        </w:rPr>
        <w:t xml:space="preserve"> </w:t>
      </w:r>
      <w:proofErr w:type="spellStart"/>
      <w:r w:rsidR="00E413B4">
        <w:rPr>
          <w:rFonts w:cstheme="minorHAnsi"/>
          <w:szCs w:val="24"/>
        </w:rPr>
        <w:t>Cosdor</w:t>
      </w:r>
      <w:proofErr w:type="spellEnd"/>
      <w:r w:rsidR="00D30F16" w:rsidRPr="003D6BFD">
        <w:rPr>
          <w:rFonts w:cstheme="minorHAnsi"/>
        </w:rPr>
        <w:t>®</w:t>
      </w:r>
      <w:r w:rsidR="00E413B4">
        <w:rPr>
          <w:rFonts w:cstheme="minorHAnsi"/>
        </w:rPr>
        <w:t>)</w:t>
      </w:r>
      <w:r w:rsidR="003D5157" w:rsidRPr="003D5157">
        <w:rPr>
          <w:rFonts w:cstheme="minorHAnsi"/>
          <w:szCs w:val="24"/>
        </w:rPr>
        <w:t>. </w:t>
      </w:r>
    </w:p>
    <w:p w14:paraId="3D1D4320" w14:textId="77777777" w:rsidR="007E490F" w:rsidRPr="00FD6D8E" w:rsidRDefault="007E490F" w:rsidP="001F2311">
      <w:pPr>
        <w:pStyle w:val="2-SectionHeading"/>
        <w:numPr>
          <w:ilvl w:val="0"/>
          <w:numId w:val="2"/>
        </w:numPr>
      </w:pPr>
      <w:r w:rsidRPr="009E2E8E">
        <w:t>Background</w:t>
      </w:r>
      <w:r>
        <w:t xml:space="preserve"> </w:t>
      </w:r>
    </w:p>
    <w:p w14:paraId="33C2C319" w14:textId="66DF215F" w:rsidR="007E490F" w:rsidRDefault="007E490F" w:rsidP="007E490F">
      <w:pPr>
        <w:pStyle w:val="4-SubsectionHeading"/>
      </w:pPr>
      <w:r>
        <w:t>Registration</w:t>
      </w:r>
      <w:r w:rsidRPr="009324A6">
        <w:t xml:space="preserve"> status</w:t>
      </w:r>
    </w:p>
    <w:p w14:paraId="39C9FB17" w14:textId="7DE42C84" w:rsidR="00B50A24" w:rsidRDefault="00B50A24" w:rsidP="00D500D6">
      <w:pPr>
        <w:pStyle w:val="3Bodytext"/>
        <w:jc w:val="both"/>
      </w:pPr>
      <w:proofErr w:type="spellStart"/>
      <w:r w:rsidRPr="00B50A24">
        <w:t>Vizo</w:t>
      </w:r>
      <w:proofErr w:type="spellEnd"/>
      <w:r w:rsidRPr="00B50A24">
        <w:t xml:space="preserve">-PF </w:t>
      </w:r>
      <w:proofErr w:type="spellStart"/>
      <w:r w:rsidRPr="00B50A24">
        <w:t>Dorzolatim</w:t>
      </w:r>
      <w:proofErr w:type="spellEnd"/>
      <w:r w:rsidRPr="00B50A24">
        <w:t xml:space="preserve"> </w:t>
      </w:r>
      <w:r w:rsidR="007E490F" w:rsidRPr="00B50A24">
        <w:t xml:space="preserve">was </w:t>
      </w:r>
      <w:r w:rsidR="00C03528">
        <w:t>Therapeutic Goods Administration (</w:t>
      </w:r>
      <w:r w:rsidR="007E490F" w:rsidRPr="00B50A24">
        <w:t>TGA</w:t>
      </w:r>
      <w:r w:rsidR="00C03528">
        <w:t>)</w:t>
      </w:r>
      <w:r w:rsidR="007E490F" w:rsidRPr="00B50A24">
        <w:t xml:space="preserve"> registered on </w:t>
      </w:r>
      <w:r w:rsidRPr="00B50A24">
        <w:t>22</w:t>
      </w:r>
      <w:r w:rsidR="00C03528">
        <w:t> </w:t>
      </w:r>
      <w:r w:rsidRPr="00B50A24">
        <w:t xml:space="preserve">September 2021 for the treatment of elevated intraocular pressure in patients with ocular hypertension or open-angle glaucoma when concomitant therapy is appropriate. </w:t>
      </w:r>
    </w:p>
    <w:p w14:paraId="0F456A9E" w14:textId="12FE24E1" w:rsidR="00BC04B1" w:rsidRDefault="00FA143B" w:rsidP="00D500D6">
      <w:pPr>
        <w:pStyle w:val="3Bodytext"/>
        <w:jc w:val="both"/>
      </w:pPr>
      <w:r w:rsidRPr="00FA143B">
        <w:t xml:space="preserve">The TGA approval letter stated bioequivalence </w:t>
      </w:r>
      <w:r w:rsidR="00E948A7">
        <w:t>of</w:t>
      </w:r>
      <w:r w:rsidR="00B50A24">
        <w:t xml:space="preserve"> </w:t>
      </w:r>
      <w:proofErr w:type="spellStart"/>
      <w:r w:rsidR="00B50A24" w:rsidRPr="00B50A24">
        <w:t>Vizo</w:t>
      </w:r>
      <w:proofErr w:type="spellEnd"/>
      <w:r w:rsidR="00B50A24" w:rsidRPr="00B50A24">
        <w:t xml:space="preserve">-PF </w:t>
      </w:r>
      <w:proofErr w:type="spellStart"/>
      <w:r w:rsidR="00B50A24" w:rsidRPr="00B50A24">
        <w:t>Dorzo</w:t>
      </w:r>
      <w:r w:rsidR="00C332AB">
        <w:t>latim</w:t>
      </w:r>
      <w:proofErr w:type="spellEnd"/>
      <w:r w:rsidR="00C332AB">
        <w:t xml:space="preserve"> to </w:t>
      </w:r>
      <w:proofErr w:type="spellStart"/>
      <w:r w:rsidR="00C332AB">
        <w:t>Cosopt</w:t>
      </w:r>
      <w:proofErr w:type="spellEnd"/>
      <w:r w:rsidR="00B50A24" w:rsidRPr="00B50A24">
        <w:t xml:space="preserve"> </w:t>
      </w:r>
      <w:r w:rsidR="00F83F03" w:rsidRPr="00B50A24">
        <w:t>5</w:t>
      </w:r>
      <w:r w:rsidR="00F83F03">
        <w:t> </w:t>
      </w:r>
      <w:r w:rsidR="00C332AB">
        <w:t>mL b</w:t>
      </w:r>
      <w:r w:rsidR="00B50A24" w:rsidRPr="00B50A24">
        <w:t xml:space="preserve">ottle eye drops </w:t>
      </w:r>
      <w:r w:rsidR="00E948A7">
        <w:t>and</w:t>
      </w:r>
      <w:r w:rsidR="00E948A7" w:rsidRPr="00E948A7">
        <w:t xml:space="preserve"> </w:t>
      </w:r>
      <w:proofErr w:type="spellStart"/>
      <w:r w:rsidR="00E948A7" w:rsidRPr="00B50A24">
        <w:t>C</w:t>
      </w:r>
      <w:r w:rsidR="00E948A7">
        <w:t>osopt</w:t>
      </w:r>
      <w:proofErr w:type="spellEnd"/>
      <w:r w:rsidR="00E948A7" w:rsidRPr="00B50A24">
        <w:t xml:space="preserve"> </w:t>
      </w:r>
      <w:r w:rsidR="00E948A7">
        <w:t>PF</w:t>
      </w:r>
      <w:r w:rsidR="00E948A7" w:rsidRPr="00B50A24">
        <w:t xml:space="preserve"> single dose eye drop</w:t>
      </w:r>
      <w:r w:rsidR="0001187D">
        <w:t>s</w:t>
      </w:r>
      <w:r w:rsidR="00E948A7">
        <w:t>.</w:t>
      </w:r>
    </w:p>
    <w:p w14:paraId="0094486E" w14:textId="77777777" w:rsidR="007E490F" w:rsidRDefault="007E490F" w:rsidP="007E490F">
      <w:pPr>
        <w:pStyle w:val="4-SubsectionHeading"/>
      </w:pPr>
      <w:r w:rsidRPr="0012749D">
        <w:t xml:space="preserve">Previous PBAC consideration </w:t>
      </w:r>
    </w:p>
    <w:p w14:paraId="56C938A2" w14:textId="2D07352D" w:rsidR="007E490F" w:rsidRPr="00EF78F1" w:rsidRDefault="00C332AB" w:rsidP="00D500D6">
      <w:pPr>
        <w:pStyle w:val="3Bodytext"/>
        <w:jc w:val="both"/>
        <w:rPr>
          <w:i/>
        </w:rPr>
      </w:pPr>
      <w:r w:rsidRPr="00C332AB">
        <w:t xml:space="preserve">The </w:t>
      </w:r>
      <w:r w:rsidR="00C03528">
        <w:t>Pharmaceutical Benefits Advisory Committee (</w:t>
      </w:r>
      <w:r w:rsidRPr="00C332AB">
        <w:t>PBAC</w:t>
      </w:r>
      <w:r w:rsidR="00C03528">
        <w:t>)</w:t>
      </w:r>
      <w:r w:rsidRPr="00C332AB">
        <w:t xml:space="preserve"> has not previously considered a submission for </w:t>
      </w:r>
      <w:proofErr w:type="spellStart"/>
      <w:r w:rsidRPr="00C332AB">
        <w:t>Vizo</w:t>
      </w:r>
      <w:proofErr w:type="spellEnd"/>
      <w:r w:rsidRPr="00C332AB">
        <w:t xml:space="preserve">-PF </w:t>
      </w:r>
      <w:proofErr w:type="spellStart"/>
      <w:r w:rsidRPr="00E948A7">
        <w:t>Dorzolatim</w:t>
      </w:r>
      <w:proofErr w:type="spellEnd"/>
      <w:r w:rsidRPr="00E948A7">
        <w:t>.</w:t>
      </w:r>
    </w:p>
    <w:p w14:paraId="43C7C533" w14:textId="65C6AF07" w:rsidR="00EF78F1" w:rsidRPr="00C332AB" w:rsidRDefault="00EF78F1" w:rsidP="00D500D6">
      <w:pPr>
        <w:pStyle w:val="3Bodytext"/>
        <w:numPr>
          <w:ilvl w:val="0"/>
          <w:numId w:val="0"/>
        </w:numPr>
        <w:ind w:left="720"/>
        <w:jc w:val="both"/>
        <w:rPr>
          <w:i/>
        </w:rPr>
      </w:pPr>
      <w:r w:rsidRPr="00EF78F1">
        <w:rPr>
          <w:i/>
        </w:rPr>
        <w:t>For more deta</w:t>
      </w:r>
      <w:r w:rsidR="00685457">
        <w:rPr>
          <w:i/>
        </w:rPr>
        <w:t>il on PBAC’s view, see section 6</w:t>
      </w:r>
      <w:r w:rsidRPr="00EF78F1">
        <w:rPr>
          <w:i/>
        </w:rPr>
        <w:t xml:space="preserve"> PBAC outcome.</w:t>
      </w:r>
    </w:p>
    <w:p w14:paraId="1B8790B6" w14:textId="77777777" w:rsidR="00964A9F" w:rsidRDefault="00964A9F" w:rsidP="00964A9F">
      <w:pPr>
        <w:pStyle w:val="2-SectionHeading"/>
      </w:pPr>
      <w:r w:rsidRPr="009D507A">
        <w:t xml:space="preserve">Requested listing </w:t>
      </w:r>
    </w:p>
    <w:p w14:paraId="160D4333" w14:textId="14A25436" w:rsidR="00964A9F" w:rsidRDefault="00D668E9" w:rsidP="00D500D6">
      <w:pPr>
        <w:pStyle w:val="3Bodytext"/>
        <w:jc w:val="both"/>
        <w:rPr>
          <w:i/>
        </w:rPr>
      </w:pPr>
      <w:r>
        <w:rPr>
          <w:iCs/>
        </w:rPr>
        <w:t xml:space="preserve">The submission requested </w:t>
      </w:r>
      <w:proofErr w:type="spellStart"/>
      <w:r>
        <w:rPr>
          <w:iCs/>
        </w:rPr>
        <w:t>Vizo</w:t>
      </w:r>
      <w:proofErr w:type="spellEnd"/>
      <w:r>
        <w:rPr>
          <w:iCs/>
        </w:rPr>
        <w:t xml:space="preserve">-PF </w:t>
      </w:r>
      <w:proofErr w:type="spellStart"/>
      <w:r>
        <w:rPr>
          <w:iCs/>
        </w:rPr>
        <w:t>Dorzolatim</w:t>
      </w:r>
      <w:proofErr w:type="spellEnd"/>
      <w:r>
        <w:rPr>
          <w:iCs/>
        </w:rPr>
        <w:t xml:space="preserve"> t</w:t>
      </w:r>
      <w:r w:rsidRPr="00ED1D39">
        <w:rPr>
          <w:iCs/>
        </w:rPr>
        <w:t>o be ‘a’</w:t>
      </w:r>
      <w:r w:rsidR="00C03528">
        <w:rPr>
          <w:iCs/>
        </w:rPr>
        <w:t>-</w:t>
      </w:r>
      <w:r w:rsidRPr="00ED1D39">
        <w:rPr>
          <w:iCs/>
        </w:rPr>
        <w:t xml:space="preserve">flagged against </w:t>
      </w:r>
      <w:proofErr w:type="spellStart"/>
      <w:r w:rsidRPr="00ED1D39">
        <w:rPr>
          <w:iCs/>
        </w:rPr>
        <w:t>Cosopt</w:t>
      </w:r>
      <w:proofErr w:type="spellEnd"/>
      <w:r w:rsidRPr="00ED1D39">
        <w:rPr>
          <w:iCs/>
        </w:rPr>
        <w:t xml:space="preserve">. </w:t>
      </w:r>
      <w:r w:rsidR="00582D84" w:rsidRPr="00ED1D39">
        <w:t xml:space="preserve">The PBAC </w:t>
      </w:r>
      <w:r w:rsidR="003332CA">
        <w:t>was</w:t>
      </w:r>
      <w:r w:rsidR="003332CA" w:rsidRPr="00ED1D39">
        <w:t xml:space="preserve"> </w:t>
      </w:r>
      <w:r w:rsidR="00582D84" w:rsidRPr="00ED1D39">
        <w:t xml:space="preserve">asked to advise under Section 101(4AACD) of the </w:t>
      </w:r>
      <w:r w:rsidR="00582D84" w:rsidRPr="00ED1D39">
        <w:rPr>
          <w:i/>
        </w:rPr>
        <w:t>National Health Act 1953</w:t>
      </w:r>
      <w:r w:rsidR="00582D84" w:rsidRPr="00ED1D39">
        <w:t xml:space="preserve"> whether </w:t>
      </w:r>
      <w:proofErr w:type="spellStart"/>
      <w:r w:rsidR="003126E1" w:rsidRPr="00ED1D39">
        <w:t>Vizo</w:t>
      </w:r>
      <w:proofErr w:type="spellEnd"/>
      <w:r w:rsidR="003126E1" w:rsidRPr="00ED1D39">
        <w:t xml:space="preserve">-PF </w:t>
      </w:r>
      <w:proofErr w:type="spellStart"/>
      <w:r w:rsidR="003126E1" w:rsidRPr="00ED1D39">
        <w:t>Dorzolatim</w:t>
      </w:r>
      <w:proofErr w:type="spellEnd"/>
      <w:r w:rsidR="003126E1" w:rsidRPr="00ED1D39">
        <w:t xml:space="preserve"> </w:t>
      </w:r>
      <w:r w:rsidR="005B4E53" w:rsidRPr="00ED1D39">
        <w:t xml:space="preserve">should </w:t>
      </w:r>
      <w:r w:rsidR="003126E1" w:rsidRPr="00ED1D39">
        <w:t xml:space="preserve">be treated as equivalent to </w:t>
      </w:r>
      <w:proofErr w:type="spellStart"/>
      <w:r w:rsidR="003126E1" w:rsidRPr="00ED1D39">
        <w:t>Cosopt</w:t>
      </w:r>
      <w:proofErr w:type="spellEnd"/>
      <w:r w:rsidR="00C76188" w:rsidRPr="00ED1D39">
        <w:t xml:space="preserve"> and</w:t>
      </w:r>
      <w:r w:rsidR="003126E1" w:rsidRPr="00ED1D39">
        <w:t xml:space="preserve"> </w:t>
      </w:r>
      <w:proofErr w:type="spellStart"/>
      <w:r w:rsidR="003126E1" w:rsidRPr="00ED1D39">
        <w:t>Cosdor</w:t>
      </w:r>
      <w:proofErr w:type="spellEnd"/>
      <w:r w:rsidR="003126E1" w:rsidRPr="00ED1D39">
        <w:t xml:space="preserve"> for the purposes of substitution (</w:t>
      </w:r>
      <w:proofErr w:type="gramStart"/>
      <w:r w:rsidR="003126E1" w:rsidRPr="00ED1D39">
        <w:t>i.e.</w:t>
      </w:r>
      <w:proofErr w:type="gramEnd"/>
      <w:r w:rsidR="003126E1" w:rsidRPr="00ED1D39">
        <w:t xml:space="preserve"> ‘a’</w:t>
      </w:r>
      <w:r w:rsidR="00C03528">
        <w:t>-</w:t>
      </w:r>
      <w:r w:rsidR="003126E1" w:rsidRPr="00ED1D39">
        <w:t>flagged).</w:t>
      </w:r>
    </w:p>
    <w:p w14:paraId="7E1015B4" w14:textId="4D07796B" w:rsidR="00F06E13" w:rsidRPr="005A3962" w:rsidRDefault="009240B0" w:rsidP="00D500D6">
      <w:pPr>
        <w:pStyle w:val="3Bodytext"/>
        <w:jc w:val="both"/>
      </w:pPr>
      <w:r w:rsidRPr="00F06E13">
        <w:rPr>
          <w:iCs/>
        </w:rPr>
        <w:t xml:space="preserve">The </w:t>
      </w:r>
      <w:r w:rsidR="0059553F" w:rsidRPr="00F06E13">
        <w:rPr>
          <w:iCs/>
        </w:rPr>
        <w:t>submission</w:t>
      </w:r>
      <w:r w:rsidRPr="005A3962">
        <w:rPr>
          <w:iCs/>
        </w:rPr>
        <w:t xml:space="preserve"> requested a new </w:t>
      </w:r>
      <w:r w:rsidR="00C03528">
        <w:rPr>
          <w:iCs/>
        </w:rPr>
        <w:t>Pharmaceutical Benefits Scheme (</w:t>
      </w:r>
      <w:r w:rsidRPr="005A3962">
        <w:rPr>
          <w:iCs/>
        </w:rPr>
        <w:t>PBS</w:t>
      </w:r>
      <w:r w:rsidR="00C03528">
        <w:rPr>
          <w:iCs/>
        </w:rPr>
        <w:t>)</w:t>
      </w:r>
      <w:r w:rsidRPr="005A3962">
        <w:rPr>
          <w:iCs/>
        </w:rPr>
        <w:t xml:space="preserve"> item code with the same restriction wording as the current PBS listing for </w:t>
      </w:r>
      <w:proofErr w:type="spellStart"/>
      <w:r w:rsidRPr="005A3962">
        <w:rPr>
          <w:iCs/>
        </w:rPr>
        <w:t>Cosopt</w:t>
      </w:r>
      <w:proofErr w:type="spellEnd"/>
      <w:r w:rsidRPr="005A3962">
        <w:rPr>
          <w:iCs/>
        </w:rPr>
        <w:t xml:space="preserve"> (8567X and 5542Q). </w:t>
      </w:r>
      <w:r w:rsidR="00CB35E1" w:rsidRPr="00ED1D39">
        <w:t>C</w:t>
      </w:r>
      <w:r w:rsidRPr="00ED1D39">
        <w:t>reating new PBS item codes would not be necessary</w:t>
      </w:r>
      <w:r w:rsidR="00CB35E1" w:rsidRPr="00ED1D39">
        <w:t xml:space="preserve"> because</w:t>
      </w:r>
      <w:r w:rsidRPr="00ED1D39">
        <w:t xml:space="preserve"> </w:t>
      </w:r>
      <w:proofErr w:type="spellStart"/>
      <w:r w:rsidRPr="00ED1D39">
        <w:t>Vizo</w:t>
      </w:r>
      <w:proofErr w:type="spellEnd"/>
      <w:r w:rsidRPr="00ED1D39">
        <w:t xml:space="preserve">-PF </w:t>
      </w:r>
      <w:proofErr w:type="spellStart"/>
      <w:r w:rsidRPr="00ED1D39">
        <w:lastRenderedPageBreak/>
        <w:t>Dorzolatim</w:t>
      </w:r>
      <w:proofErr w:type="spellEnd"/>
      <w:r w:rsidRPr="00ED1D39">
        <w:t xml:space="preserve"> could be added to the existing PBS item codes (8567X and 5542Q) instead</w:t>
      </w:r>
      <w:r w:rsidR="0059553F" w:rsidRPr="00ED1D39">
        <w:t>, if recommended</w:t>
      </w:r>
      <w:r w:rsidRPr="00ED1D39">
        <w:t>.</w:t>
      </w:r>
    </w:p>
    <w:p w14:paraId="6CAB0EB7" w14:textId="77777777" w:rsidR="00EF78F1" w:rsidRDefault="00F06E13" w:rsidP="005A3962">
      <w:pPr>
        <w:pStyle w:val="3Bodytext"/>
        <w:numPr>
          <w:ilvl w:val="0"/>
          <w:numId w:val="0"/>
        </w:numPr>
      </w:pPr>
      <w:r w:rsidRPr="00ED1D39">
        <w:t>Add new trade product pack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269"/>
        <w:gridCol w:w="993"/>
        <w:gridCol w:w="992"/>
        <w:gridCol w:w="709"/>
        <w:gridCol w:w="567"/>
        <w:gridCol w:w="2268"/>
      </w:tblGrid>
      <w:tr w:rsidR="00EF78F1" w:rsidRPr="008C410A" w14:paraId="5DE4B17B" w14:textId="77777777" w:rsidTr="00950D9D">
        <w:trPr>
          <w:cantSplit/>
          <w:trHeight w:val="471"/>
        </w:trPr>
        <w:tc>
          <w:tcPr>
            <w:tcW w:w="3397" w:type="dxa"/>
            <w:gridSpan w:val="2"/>
          </w:tcPr>
          <w:p w14:paraId="46B69EBC" w14:textId="77777777" w:rsidR="00EF78F1" w:rsidRPr="008C410A" w:rsidRDefault="00EF78F1" w:rsidP="00950D9D">
            <w:pPr>
              <w:keepNext/>
              <w:ind w:left="-108"/>
              <w:rPr>
                <w:rFonts w:ascii="Arial Narrow" w:hAnsi="Arial Narrow" w:cs="Arial"/>
                <w:b/>
                <w:bCs/>
                <w:sz w:val="20"/>
                <w:szCs w:val="20"/>
              </w:rPr>
            </w:pPr>
            <w:r w:rsidRPr="008C410A">
              <w:rPr>
                <w:rFonts w:ascii="Arial Narrow" w:hAnsi="Arial Narrow" w:cs="Arial"/>
                <w:b/>
                <w:bCs/>
                <w:sz w:val="20"/>
                <w:szCs w:val="20"/>
              </w:rPr>
              <w:t>MEDICINAL PRODUCT</w:t>
            </w:r>
          </w:p>
          <w:p w14:paraId="66F47919" w14:textId="77777777" w:rsidR="00EF78F1" w:rsidRPr="008C410A" w:rsidRDefault="00EF78F1" w:rsidP="00950D9D">
            <w:pPr>
              <w:keepNext/>
              <w:ind w:left="-108"/>
              <w:rPr>
                <w:rFonts w:ascii="Arial Narrow" w:hAnsi="Arial Narrow" w:cs="Arial"/>
                <w:b/>
                <w:sz w:val="20"/>
                <w:szCs w:val="20"/>
              </w:rPr>
            </w:pPr>
            <w:r w:rsidRPr="008C410A">
              <w:rPr>
                <w:rFonts w:ascii="Arial Narrow" w:hAnsi="Arial Narrow" w:cs="Arial"/>
                <w:b/>
                <w:bCs/>
                <w:sz w:val="20"/>
                <w:szCs w:val="20"/>
              </w:rPr>
              <w:t xml:space="preserve"> Medicinal Product Pack</w:t>
            </w:r>
          </w:p>
        </w:tc>
        <w:tc>
          <w:tcPr>
            <w:tcW w:w="993" w:type="dxa"/>
          </w:tcPr>
          <w:p w14:paraId="4BD69603"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PBS item code</w:t>
            </w:r>
          </w:p>
        </w:tc>
        <w:tc>
          <w:tcPr>
            <w:tcW w:w="992" w:type="dxa"/>
          </w:tcPr>
          <w:p w14:paraId="0245DA71"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Max. qty packs</w:t>
            </w:r>
          </w:p>
        </w:tc>
        <w:tc>
          <w:tcPr>
            <w:tcW w:w="709" w:type="dxa"/>
          </w:tcPr>
          <w:p w14:paraId="4CD9E35D"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Max. qty units</w:t>
            </w:r>
          </w:p>
        </w:tc>
        <w:tc>
          <w:tcPr>
            <w:tcW w:w="567" w:type="dxa"/>
          </w:tcPr>
          <w:p w14:paraId="5DF4371C"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№.of</w:t>
            </w:r>
          </w:p>
          <w:p w14:paraId="7CF31339" w14:textId="77777777" w:rsidR="00EF78F1" w:rsidRPr="008C410A" w:rsidRDefault="00EF78F1" w:rsidP="00950D9D">
            <w:pPr>
              <w:keepNext/>
              <w:ind w:left="-108"/>
              <w:jc w:val="center"/>
              <w:rPr>
                <w:rFonts w:ascii="Arial Narrow" w:hAnsi="Arial Narrow" w:cs="Arial"/>
                <w:b/>
                <w:sz w:val="20"/>
                <w:szCs w:val="20"/>
              </w:rPr>
            </w:pPr>
            <w:proofErr w:type="spellStart"/>
            <w:r w:rsidRPr="008C410A">
              <w:rPr>
                <w:rFonts w:ascii="Arial Narrow" w:hAnsi="Arial Narrow" w:cs="Arial"/>
                <w:b/>
                <w:sz w:val="20"/>
                <w:szCs w:val="20"/>
              </w:rPr>
              <w:t>Rpts</w:t>
            </w:r>
            <w:proofErr w:type="spellEnd"/>
          </w:p>
        </w:tc>
        <w:tc>
          <w:tcPr>
            <w:tcW w:w="2268" w:type="dxa"/>
          </w:tcPr>
          <w:p w14:paraId="14355AAF" w14:textId="77777777" w:rsidR="00EF78F1" w:rsidRPr="008C410A" w:rsidRDefault="00EF78F1" w:rsidP="00950D9D">
            <w:pPr>
              <w:keepNext/>
              <w:rPr>
                <w:rFonts w:ascii="Arial Narrow" w:hAnsi="Arial Narrow" w:cs="Arial"/>
                <w:b/>
                <w:sz w:val="20"/>
                <w:szCs w:val="20"/>
                <w:lang w:val="fr-FR"/>
              </w:rPr>
            </w:pPr>
            <w:r w:rsidRPr="008C410A">
              <w:rPr>
                <w:rFonts w:ascii="Arial Narrow" w:hAnsi="Arial Narrow" w:cs="Arial"/>
                <w:b/>
                <w:sz w:val="20"/>
                <w:szCs w:val="20"/>
              </w:rPr>
              <w:t>Available brands</w:t>
            </w:r>
          </w:p>
        </w:tc>
      </w:tr>
      <w:tr w:rsidR="00EF78F1" w:rsidRPr="008C410A" w14:paraId="39AC2781" w14:textId="77777777" w:rsidTr="00950D9D">
        <w:trPr>
          <w:cantSplit/>
          <w:trHeight w:val="813"/>
        </w:trPr>
        <w:tc>
          <w:tcPr>
            <w:tcW w:w="3397" w:type="dxa"/>
            <w:gridSpan w:val="2"/>
          </w:tcPr>
          <w:p w14:paraId="2979A795" w14:textId="77777777" w:rsidR="00EF78F1" w:rsidRPr="008C410A" w:rsidRDefault="00EF78F1" w:rsidP="00950D9D">
            <w:pPr>
              <w:keepNext/>
              <w:ind w:left="-108"/>
              <w:rPr>
                <w:rFonts w:ascii="Arial Narrow" w:hAnsi="Arial Narrow" w:cs="Arial"/>
                <w:sz w:val="20"/>
                <w:szCs w:val="20"/>
              </w:rPr>
            </w:pPr>
            <w:r w:rsidRPr="008C410A">
              <w:rPr>
                <w:rFonts w:ascii="Arial Narrow" w:hAnsi="Arial Narrow" w:cs="Arial"/>
                <w:sz w:val="20"/>
                <w:szCs w:val="20"/>
              </w:rPr>
              <w:t xml:space="preserve">DORZOLAMIDE + TIMOLOL </w:t>
            </w:r>
          </w:p>
          <w:p w14:paraId="3B1EC82F" w14:textId="77777777" w:rsidR="00EF78F1" w:rsidRPr="008C410A" w:rsidRDefault="00EF78F1" w:rsidP="00950D9D">
            <w:pPr>
              <w:keepNext/>
              <w:ind w:left="-108"/>
              <w:rPr>
                <w:rFonts w:ascii="Arial Narrow" w:hAnsi="Arial Narrow" w:cs="Arial"/>
                <w:sz w:val="20"/>
                <w:szCs w:val="20"/>
              </w:rPr>
            </w:pPr>
          </w:p>
          <w:p w14:paraId="26F290BD" w14:textId="46A0D1DB" w:rsidR="00EF78F1" w:rsidRPr="008C410A" w:rsidRDefault="00EF78F1" w:rsidP="00950D9D">
            <w:pPr>
              <w:keepNext/>
              <w:ind w:left="-108"/>
              <w:rPr>
                <w:rFonts w:ascii="Arial Narrow" w:hAnsi="Arial Narrow" w:cs="Arial"/>
                <w:sz w:val="20"/>
                <w:szCs w:val="20"/>
              </w:rPr>
            </w:pPr>
            <w:r w:rsidRPr="008C410A">
              <w:rPr>
                <w:rFonts w:ascii="Arial Narrow" w:hAnsi="Arial Narrow" w:cs="Arial"/>
                <w:sz w:val="20"/>
                <w:szCs w:val="20"/>
              </w:rPr>
              <w:t>dorzolamide 2% + timolol 0.5% eye drops, 5</w:t>
            </w:r>
            <w:r w:rsidR="003332CA">
              <w:rPr>
                <w:rFonts w:ascii="Arial Narrow" w:hAnsi="Arial Narrow" w:cs="Arial"/>
                <w:sz w:val="20"/>
                <w:szCs w:val="20"/>
              </w:rPr>
              <w:t> </w:t>
            </w:r>
            <w:r w:rsidRPr="008C410A">
              <w:rPr>
                <w:rFonts w:ascii="Arial Narrow" w:hAnsi="Arial Narrow" w:cs="Arial"/>
                <w:sz w:val="20"/>
                <w:szCs w:val="20"/>
              </w:rPr>
              <w:t>mL</w:t>
            </w:r>
          </w:p>
        </w:tc>
        <w:tc>
          <w:tcPr>
            <w:tcW w:w="993" w:type="dxa"/>
          </w:tcPr>
          <w:p w14:paraId="42A75816" w14:textId="77777777" w:rsidR="00EF78F1" w:rsidRPr="008C410A" w:rsidRDefault="00EF78F1" w:rsidP="00950D9D">
            <w:pPr>
              <w:keepNext/>
              <w:ind w:left="-108"/>
              <w:jc w:val="center"/>
              <w:rPr>
                <w:rFonts w:ascii="Arial Narrow" w:hAnsi="Arial Narrow" w:cs="Arial"/>
                <w:color w:val="FF0000"/>
                <w:sz w:val="20"/>
                <w:szCs w:val="20"/>
              </w:rPr>
            </w:pPr>
          </w:p>
          <w:p w14:paraId="28EB0B07" w14:textId="77777777" w:rsidR="00EF78F1" w:rsidRPr="008C410A" w:rsidRDefault="00EF78F1" w:rsidP="00950D9D">
            <w:pPr>
              <w:keepNext/>
              <w:ind w:left="-108"/>
              <w:jc w:val="center"/>
              <w:rPr>
                <w:rFonts w:ascii="Arial Narrow" w:hAnsi="Arial Narrow" w:cs="Arial"/>
                <w:color w:val="FF0000"/>
                <w:sz w:val="20"/>
                <w:szCs w:val="20"/>
              </w:rPr>
            </w:pPr>
            <w:r w:rsidRPr="008C410A">
              <w:rPr>
                <w:rFonts w:ascii="Arial Narrow" w:hAnsi="Arial Narrow" w:cs="Arial"/>
                <w:sz w:val="20"/>
                <w:szCs w:val="20"/>
              </w:rPr>
              <w:t>8567X</w:t>
            </w:r>
          </w:p>
        </w:tc>
        <w:tc>
          <w:tcPr>
            <w:tcW w:w="992" w:type="dxa"/>
          </w:tcPr>
          <w:p w14:paraId="5C12C683" w14:textId="77777777" w:rsidR="00EF78F1" w:rsidRPr="008C410A" w:rsidRDefault="00EF78F1" w:rsidP="00950D9D">
            <w:pPr>
              <w:keepNext/>
              <w:jc w:val="center"/>
              <w:rPr>
                <w:rFonts w:ascii="Arial Narrow" w:hAnsi="Arial Narrow" w:cs="Arial"/>
                <w:sz w:val="20"/>
                <w:szCs w:val="20"/>
              </w:rPr>
            </w:pPr>
          </w:p>
          <w:p w14:paraId="5756678E" w14:textId="77777777" w:rsidR="00EF78F1" w:rsidRPr="008C410A" w:rsidRDefault="00EF78F1" w:rsidP="00950D9D">
            <w:pPr>
              <w:keepNext/>
              <w:jc w:val="center"/>
              <w:rPr>
                <w:rFonts w:ascii="Arial Narrow" w:hAnsi="Arial Narrow" w:cs="Arial"/>
                <w:sz w:val="20"/>
                <w:szCs w:val="20"/>
              </w:rPr>
            </w:pPr>
            <w:r w:rsidRPr="008C410A">
              <w:rPr>
                <w:rFonts w:ascii="Arial Narrow" w:hAnsi="Arial Narrow" w:cs="Arial"/>
                <w:sz w:val="20"/>
                <w:szCs w:val="20"/>
              </w:rPr>
              <w:t>1</w:t>
            </w:r>
          </w:p>
        </w:tc>
        <w:tc>
          <w:tcPr>
            <w:tcW w:w="709" w:type="dxa"/>
          </w:tcPr>
          <w:p w14:paraId="28CF95DE" w14:textId="77777777" w:rsidR="00EF78F1" w:rsidRPr="008C410A" w:rsidRDefault="00EF78F1" w:rsidP="00950D9D">
            <w:pPr>
              <w:keepNext/>
              <w:ind w:left="-108"/>
              <w:jc w:val="center"/>
              <w:rPr>
                <w:rFonts w:ascii="Arial Narrow" w:hAnsi="Arial Narrow" w:cs="Arial"/>
                <w:sz w:val="20"/>
                <w:szCs w:val="20"/>
              </w:rPr>
            </w:pPr>
          </w:p>
          <w:p w14:paraId="3EB532FA" w14:textId="77777777" w:rsidR="00EF78F1" w:rsidRPr="008C410A" w:rsidRDefault="00EF78F1" w:rsidP="00950D9D">
            <w:pPr>
              <w:keepNext/>
              <w:ind w:left="-108"/>
              <w:jc w:val="center"/>
              <w:rPr>
                <w:rFonts w:ascii="Arial Narrow" w:hAnsi="Arial Narrow" w:cs="Arial"/>
                <w:sz w:val="20"/>
                <w:szCs w:val="20"/>
              </w:rPr>
            </w:pPr>
            <w:r w:rsidRPr="008C410A">
              <w:rPr>
                <w:rFonts w:ascii="Arial Narrow" w:hAnsi="Arial Narrow" w:cs="Arial"/>
                <w:sz w:val="20"/>
                <w:szCs w:val="20"/>
              </w:rPr>
              <w:t>1</w:t>
            </w:r>
          </w:p>
        </w:tc>
        <w:tc>
          <w:tcPr>
            <w:tcW w:w="567" w:type="dxa"/>
          </w:tcPr>
          <w:p w14:paraId="487165AE" w14:textId="77777777" w:rsidR="00EF78F1" w:rsidRPr="008C410A" w:rsidRDefault="00EF78F1" w:rsidP="00950D9D">
            <w:pPr>
              <w:keepNext/>
              <w:ind w:left="-108"/>
              <w:jc w:val="center"/>
              <w:rPr>
                <w:rFonts w:ascii="Arial Narrow" w:hAnsi="Arial Narrow" w:cs="Arial"/>
                <w:sz w:val="20"/>
                <w:szCs w:val="20"/>
              </w:rPr>
            </w:pPr>
          </w:p>
          <w:p w14:paraId="41569B47" w14:textId="77777777" w:rsidR="00EF78F1" w:rsidRPr="008C410A" w:rsidRDefault="00EF78F1" w:rsidP="00950D9D">
            <w:pPr>
              <w:keepNext/>
              <w:ind w:left="-108"/>
              <w:jc w:val="center"/>
              <w:rPr>
                <w:rFonts w:ascii="Arial Narrow" w:hAnsi="Arial Narrow" w:cs="Arial"/>
                <w:sz w:val="20"/>
                <w:szCs w:val="20"/>
              </w:rPr>
            </w:pPr>
            <w:r w:rsidRPr="008C410A">
              <w:rPr>
                <w:rFonts w:ascii="Arial Narrow" w:hAnsi="Arial Narrow" w:cs="Arial"/>
                <w:sz w:val="20"/>
                <w:szCs w:val="20"/>
              </w:rPr>
              <w:t>5</w:t>
            </w:r>
          </w:p>
          <w:p w14:paraId="328FCF2E" w14:textId="77777777" w:rsidR="00EF78F1" w:rsidRPr="008C410A" w:rsidRDefault="00EF78F1" w:rsidP="00950D9D">
            <w:pPr>
              <w:keepNext/>
              <w:jc w:val="center"/>
              <w:rPr>
                <w:rFonts w:ascii="Arial Narrow" w:hAnsi="Arial Narrow" w:cs="Arial"/>
                <w:sz w:val="20"/>
                <w:szCs w:val="20"/>
              </w:rPr>
            </w:pPr>
          </w:p>
        </w:tc>
        <w:tc>
          <w:tcPr>
            <w:tcW w:w="2268" w:type="dxa"/>
            <w:vAlign w:val="center"/>
          </w:tcPr>
          <w:p w14:paraId="520BF020" w14:textId="77777777" w:rsidR="00EF78F1" w:rsidRPr="008C410A" w:rsidRDefault="00EF78F1" w:rsidP="00950D9D">
            <w:pPr>
              <w:keepNext/>
              <w:jc w:val="center"/>
              <w:rPr>
                <w:rFonts w:ascii="Arial Narrow" w:hAnsi="Arial Narrow" w:cs="Arial"/>
                <w:sz w:val="20"/>
                <w:szCs w:val="20"/>
              </w:rPr>
            </w:pPr>
            <w:proofErr w:type="spellStart"/>
            <w:r w:rsidRPr="008C410A">
              <w:rPr>
                <w:rFonts w:ascii="Arial Narrow" w:hAnsi="Arial Narrow" w:cs="Arial"/>
                <w:sz w:val="20"/>
                <w:szCs w:val="20"/>
              </w:rPr>
              <w:t>Cosdor</w:t>
            </w:r>
            <w:proofErr w:type="spellEnd"/>
          </w:p>
          <w:p w14:paraId="2F07E25A" w14:textId="77777777" w:rsidR="00EF78F1" w:rsidRPr="008C410A" w:rsidRDefault="00EF78F1" w:rsidP="00950D9D">
            <w:pPr>
              <w:keepNext/>
              <w:jc w:val="center"/>
              <w:rPr>
                <w:rFonts w:ascii="Arial Narrow" w:hAnsi="Arial Narrow" w:cs="Arial"/>
                <w:sz w:val="20"/>
                <w:szCs w:val="20"/>
              </w:rPr>
            </w:pPr>
            <w:proofErr w:type="spellStart"/>
            <w:r w:rsidRPr="008C410A">
              <w:rPr>
                <w:rFonts w:ascii="Arial Narrow" w:hAnsi="Arial Narrow" w:cs="Arial"/>
                <w:sz w:val="20"/>
                <w:szCs w:val="20"/>
              </w:rPr>
              <w:t>Cosopt</w:t>
            </w:r>
            <w:proofErr w:type="spellEnd"/>
          </w:p>
          <w:p w14:paraId="5C8371A8" w14:textId="77777777" w:rsidR="00EF78F1" w:rsidRPr="008C410A" w:rsidRDefault="00EF78F1" w:rsidP="00950D9D">
            <w:pPr>
              <w:keepNext/>
              <w:jc w:val="center"/>
              <w:rPr>
                <w:rFonts w:ascii="Arial Narrow" w:hAnsi="Arial Narrow" w:cs="Arial"/>
                <w:i/>
                <w:sz w:val="20"/>
                <w:szCs w:val="20"/>
              </w:rPr>
            </w:pPr>
            <w:proofErr w:type="spellStart"/>
            <w:r w:rsidRPr="008C410A">
              <w:rPr>
                <w:rFonts w:ascii="Arial Narrow" w:hAnsi="Arial Narrow" w:cs="Arial"/>
                <w:i/>
                <w:sz w:val="20"/>
                <w:szCs w:val="20"/>
              </w:rPr>
              <w:t>Vizo</w:t>
            </w:r>
            <w:proofErr w:type="spellEnd"/>
            <w:r w:rsidRPr="008C410A">
              <w:rPr>
                <w:rFonts w:ascii="Arial Narrow" w:hAnsi="Arial Narrow" w:cs="Arial"/>
                <w:i/>
                <w:sz w:val="20"/>
                <w:szCs w:val="20"/>
              </w:rPr>
              <w:t xml:space="preserve">-PF </w:t>
            </w:r>
            <w:proofErr w:type="spellStart"/>
            <w:r w:rsidRPr="008C410A">
              <w:rPr>
                <w:rFonts w:ascii="Arial Narrow" w:hAnsi="Arial Narrow" w:cs="Arial"/>
                <w:i/>
                <w:sz w:val="20"/>
                <w:szCs w:val="20"/>
              </w:rPr>
              <w:t>Dorzolatim</w:t>
            </w:r>
            <w:proofErr w:type="spellEnd"/>
          </w:p>
        </w:tc>
      </w:tr>
      <w:tr w:rsidR="00EF78F1" w:rsidRPr="008C410A" w14:paraId="330D2952"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1C7441CD" w14:textId="77777777" w:rsidR="00EF78F1" w:rsidRPr="008C410A" w:rsidRDefault="00EF78F1" w:rsidP="00950D9D">
            <w:pPr>
              <w:rPr>
                <w:rFonts w:ascii="Arial Narrow" w:hAnsi="Arial Narrow" w:cs="Arial"/>
                <w:b/>
                <w:sz w:val="20"/>
                <w:szCs w:val="20"/>
              </w:rPr>
            </w:pPr>
          </w:p>
        </w:tc>
      </w:tr>
      <w:tr w:rsidR="00EF78F1" w:rsidRPr="008C410A" w14:paraId="0DCBAB70"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1AF6EC15" w14:textId="5100BA2B" w:rsidR="00EF78F1" w:rsidRPr="008C410A" w:rsidRDefault="00EF78F1" w:rsidP="00950D9D">
            <w:pPr>
              <w:rPr>
                <w:rFonts w:ascii="Arial Narrow" w:hAnsi="Arial Narrow" w:cs="Arial"/>
                <w:b/>
                <w:sz w:val="20"/>
                <w:szCs w:val="20"/>
              </w:rPr>
            </w:pPr>
            <w:r w:rsidRPr="008C410A">
              <w:rPr>
                <w:rFonts w:ascii="Arial Narrow" w:hAnsi="Arial Narrow"/>
                <w:b/>
                <w:sz w:val="20"/>
                <w:szCs w:val="20"/>
              </w:rPr>
              <w:t xml:space="preserve">Restriction </w:t>
            </w:r>
            <w:proofErr w:type="gramStart"/>
            <w:r w:rsidRPr="008C410A">
              <w:rPr>
                <w:rFonts w:ascii="Arial Narrow" w:hAnsi="Arial Narrow"/>
                <w:b/>
                <w:sz w:val="20"/>
                <w:szCs w:val="20"/>
              </w:rPr>
              <w:t>Summary  /</w:t>
            </w:r>
            <w:proofErr w:type="gramEnd"/>
            <w:r w:rsidRPr="008C410A">
              <w:rPr>
                <w:rFonts w:ascii="Arial Narrow" w:hAnsi="Arial Narrow"/>
                <w:b/>
                <w:sz w:val="20"/>
                <w:szCs w:val="20"/>
              </w:rPr>
              <w:t xml:space="preserve"> Treatment of Concept:  </w:t>
            </w:r>
          </w:p>
        </w:tc>
      </w:tr>
      <w:tr w:rsidR="00EF78F1" w:rsidRPr="008C410A" w14:paraId="1EB8B51F"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val="restart"/>
            <w:tcBorders>
              <w:top w:val="single" w:sz="4" w:space="0" w:color="auto"/>
              <w:left w:val="single" w:sz="4" w:space="0" w:color="auto"/>
              <w:right w:val="single" w:sz="4" w:space="0" w:color="auto"/>
            </w:tcBorders>
          </w:tcPr>
          <w:p w14:paraId="27BA998E" w14:textId="77777777" w:rsidR="00EF78F1" w:rsidRPr="008C410A" w:rsidRDefault="00EF78F1"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3CA19AB4" w14:textId="77777777" w:rsidR="00EF78F1" w:rsidRPr="008C410A" w:rsidRDefault="00EF78F1" w:rsidP="00950D9D">
            <w:pPr>
              <w:rPr>
                <w:rFonts w:ascii="Arial Narrow" w:hAnsi="Arial Narrow" w:cs="Arial"/>
                <w:sz w:val="20"/>
                <w:szCs w:val="20"/>
              </w:rPr>
            </w:pPr>
            <w:r w:rsidRPr="008C410A">
              <w:rPr>
                <w:rFonts w:ascii="Arial Narrow" w:hAnsi="Arial Narrow" w:cs="Arial"/>
                <w:b/>
                <w:sz w:val="20"/>
                <w:szCs w:val="20"/>
              </w:rPr>
              <w:t xml:space="preserve">Category / Program:   </w:t>
            </w:r>
            <w:r w:rsidRPr="008C410A">
              <w:rPr>
                <w:rFonts w:ascii="Arial Narrow" w:hAnsi="Arial Narrow" w:cs="Arial"/>
                <w:sz w:val="20"/>
                <w:szCs w:val="20"/>
              </w:rPr>
              <w:t>GENERAL – General Schedule (Code GE)</w:t>
            </w:r>
          </w:p>
        </w:tc>
      </w:tr>
      <w:tr w:rsidR="00EF78F1" w:rsidRPr="008C410A" w14:paraId="5868D228" w14:textId="77777777" w:rsidTr="00950D9D">
        <w:tblPrEx>
          <w:tblCellMar>
            <w:top w:w="15" w:type="dxa"/>
            <w:left w:w="15" w:type="dxa"/>
            <w:bottom w:w="15" w:type="dxa"/>
            <w:right w:w="15" w:type="dxa"/>
          </w:tblCellMar>
          <w:tblLook w:val="04A0" w:firstRow="1" w:lastRow="0" w:firstColumn="1" w:lastColumn="0" w:noHBand="0" w:noVBand="1"/>
        </w:tblPrEx>
        <w:trPr>
          <w:trHeight w:val="240"/>
        </w:trPr>
        <w:tc>
          <w:tcPr>
            <w:tcW w:w="1128" w:type="dxa"/>
            <w:vMerge/>
            <w:tcBorders>
              <w:left w:val="single" w:sz="4" w:space="0" w:color="auto"/>
              <w:right w:val="single" w:sz="4" w:space="0" w:color="auto"/>
            </w:tcBorders>
          </w:tcPr>
          <w:p w14:paraId="2F0935E9" w14:textId="77777777" w:rsidR="00EF78F1" w:rsidRPr="008C410A" w:rsidRDefault="00EF78F1" w:rsidP="00950D9D">
            <w:pPr>
              <w:rPr>
                <w:rFonts w:ascii="Arial Narrow" w:hAnsi="Arial Narrow" w:cs="Arial"/>
                <w:b/>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0F6608B5" w14:textId="77777777" w:rsidR="00EF78F1" w:rsidRPr="008C410A" w:rsidRDefault="00EF78F1" w:rsidP="00950D9D">
            <w:pPr>
              <w:rPr>
                <w:rFonts w:ascii="Arial Narrow" w:hAnsi="Arial Narrow" w:cs="Arial"/>
                <w:b/>
                <w:sz w:val="20"/>
                <w:szCs w:val="20"/>
              </w:rPr>
            </w:pPr>
            <w:r w:rsidRPr="008C410A">
              <w:rPr>
                <w:rFonts w:ascii="Arial Narrow" w:hAnsi="Arial Narrow" w:cs="Arial"/>
                <w:b/>
                <w:sz w:val="20"/>
                <w:szCs w:val="20"/>
              </w:rPr>
              <w:t xml:space="preserve">Prescriber type:   </w:t>
            </w:r>
            <w:r w:rsidRPr="008C410A">
              <w:rPr>
                <w:rFonts w:ascii="Arial Narrow" w:hAnsi="Arial Narrow" w:cs="Arial"/>
                <w:sz w:val="20"/>
                <w:szCs w:val="20"/>
              </w:rPr>
              <w:fldChar w:fldCharType="begin">
                <w:ffData>
                  <w:name w:val="Check1"/>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Dental    </w:t>
            </w: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Medical Practitioners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Nurse practitioners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Optometrists    </w:t>
            </w:r>
            <w:r w:rsidRPr="008C410A">
              <w:rPr>
                <w:rFonts w:ascii="Arial Narrow" w:hAnsi="Arial Narrow" w:cs="Arial"/>
                <w:sz w:val="20"/>
                <w:szCs w:val="20"/>
              </w:rPr>
              <w:fldChar w:fldCharType="begin">
                <w:ffData>
                  <w:name w:val="Check5"/>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Midwives</w:t>
            </w:r>
          </w:p>
        </w:tc>
      </w:tr>
      <w:tr w:rsidR="00EF78F1" w:rsidRPr="008C410A" w14:paraId="6A4B55C7"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tcBorders>
              <w:left w:val="single" w:sz="4" w:space="0" w:color="auto"/>
              <w:bottom w:val="single" w:sz="4" w:space="0" w:color="auto"/>
              <w:right w:val="single" w:sz="4" w:space="0" w:color="auto"/>
            </w:tcBorders>
          </w:tcPr>
          <w:p w14:paraId="48533088" w14:textId="77777777" w:rsidR="00EF78F1" w:rsidRPr="008C410A" w:rsidRDefault="00EF78F1"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3A79AFBE" w14:textId="77777777" w:rsidR="00EF78F1" w:rsidRPr="008C410A" w:rsidRDefault="00EF78F1" w:rsidP="00950D9D">
            <w:pPr>
              <w:rPr>
                <w:rFonts w:ascii="Arial Narrow" w:hAnsi="Arial Narrow" w:cs="Arial"/>
                <w:b/>
                <w:sz w:val="20"/>
                <w:szCs w:val="20"/>
              </w:rPr>
            </w:pPr>
            <w:r w:rsidRPr="008C410A">
              <w:rPr>
                <w:rFonts w:ascii="Arial Narrow" w:hAnsi="Arial Narrow" w:cs="Arial"/>
                <w:b/>
                <w:sz w:val="20"/>
                <w:szCs w:val="20"/>
              </w:rPr>
              <w:t>Restriction Level / Method:</w:t>
            </w:r>
          </w:p>
          <w:p w14:paraId="6957D9CC" w14:textId="77777777" w:rsidR="00EF78F1" w:rsidRPr="008C410A" w:rsidRDefault="00EF78F1" w:rsidP="00950D9D">
            <w:pPr>
              <w:rPr>
                <w:rFonts w:ascii="Arial Narrow" w:hAnsi="Arial Narrow" w:cs="Arial"/>
                <w:sz w:val="20"/>
                <w:szCs w:val="20"/>
              </w:rPr>
            </w:pP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Restricted benefit</w:t>
            </w:r>
          </w:p>
        </w:tc>
      </w:tr>
      <w:tr w:rsidR="00EF78F1" w:rsidRPr="008C410A" w14:paraId="358B70B7" w14:textId="77777777" w:rsidTr="00D500D6">
        <w:tblPrEx>
          <w:tblCellMar>
            <w:top w:w="15" w:type="dxa"/>
            <w:left w:w="15" w:type="dxa"/>
            <w:bottom w:w="15" w:type="dxa"/>
            <w:right w:w="15" w:type="dxa"/>
          </w:tblCellMar>
        </w:tblPrEx>
        <w:tc>
          <w:tcPr>
            <w:tcW w:w="1128" w:type="dxa"/>
            <w:vAlign w:val="center"/>
          </w:tcPr>
          <w:p w14:paraId="672697FF" w14:textId="3015684C" w:rsidR="00EF78F1" w:rsidRPr="008C410A" w:rsidRDefault="00EF78F1" w:rsidP="00950D9D">
            <w:pPr>
              <w:jc w:val="center"/>
              <w:rPr>
                <w:rFonts w:ascii="Arial Narrow" w:hAnsi="Arial Narrow"/>
                <w:color w:val="333333"/>
                <w:sz w:val="20"/>
                <w:szCs w:val="20"/>
              </w:rPr>
            </w:pPr>
          </w:p>
        </w:tc>
        <w:tc>
          <w:tcPr>
            <w:tcW w:w="7798" w:type="dxa"/>
            <w:gridSpan w:val="6"/>
            <w:vAlign w:val="center"/>
          </w:tcPr>
          <w:p w14:paraId="4EA1F045" w14:textId="77777777" w:rsidR="00EF78F1" w:rsidRPr="008C410A" w:rsidRDefault="00EF78F1" w:rsidP="00950D9D">
            <w:pPr>
              <w:rPr>
                <w:rFonts w:ascii="Arial Narrow" w:hAnsi="Arial Narrow"/>
                <w:color w:val="333333"/>
                <w:sz w:val="20"/>
                <w:szCs w:val="20"/>
              </w:rPr>
            </w:pPr>
            <w:r w:rsidRPr="008C410A">
              <w:rPr>
                <w:rFonts w:ascii="Arial Narrow" w:hAnsi="Arial Narrow"/>
                <w:b/>
                <w:bCs/>
                <w:sz w:val="20"/>
                <w:szCs w:val="20"/>
              </w:rPr>
              <w:t>Indication:</w:t>
            </w:r>
            <w:r w:rsidRPr="008C410A">
              <w:rPr>
                <w:rFonts w:ascii="Arial Narrow" w:hAnsi="Arial Narrow"/>
                <w:sz w:val="20"/>
                <w:szCs w:val="20"/>
              </w:rPr>
              <w:t xml:space="preserve"> Elevated intra-ocular pressure</w:t>
            </w:r>
          </w:p>
        </w:tc>
      </w:tr>
      <w:tr w:rsidR="00EF78F1" w:rsidRPr="008C410A" w14:paraId="3CB97AEA"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416FFAAA" w14:textId="404EEE12" w:rsidR="00EF78F1" w:rsidRPr="008C410A" w:rsidRDefault="00EF78F1" w:rsidP="00950D9D">
            <w:pPr>
              <w:jc w:val="center"/>
              <w:rPr>
                <w:rFonts w:ascii="Arial Narrow" w:hAnsi="Arial Narrow"/>
                <w:bCs/>
                <w:sz w:val="20"/>
                <w:szCs w:val="20"/>
              </w:rPr>
            </w:pPr>
          </w:p>
        </w:tc>
        <w:tc>
          <w:tcPr>
            <w:tcW w:w="7798" w:type="dxa"/>
            <w:gridSpan w:val="6"/>
            <w:vAlign w:val="center"/>
          </w:tcPr>
          <w:p w14:paraId="7FF031F5" w14:textId="77777777" w:rsidR="00EF78F1" w:rsidRPr="008C410A" w:rsidRDefault="00EF78F1" w:rsidP="00950D9D">
            <w:pPr>
              <w:rPr>
                <w:rFonts w:ascii="Arial Narrow" w:hAnsi="Arial Narrow"/>
                <w:bCs/>
                <w:sz w:val="20"/>
                <w:szCs w:val="20"/>
              </w:rPr>
            </w:pPr>
            <w:r w:rsidRPr="008C410A">
              <w:rPr>
                <w:rFonts w:ascii="Arial Narrow" w:hAnsi="Arial Narrow"/>
                <w:b/>
                <w:bCs/>
                <w:sz w:val="20"/>
                <w:szCs w:val="20"/>
              </w:rPr>
              <w:t xml:space="preserve">Clinical criteria: </w:t>
            </w:r>
          </w:p>
        </w:tc>
      </w:tr>
      <w:tr w:rsidR="00EF78F1" w:rsidRPr="008C410A" w14:paraId="3E14C962"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32AD470A" w14:textId="2F1006CD" w:rsidR="00EF78F1" w:rsidRPr="008C410A" w:rsidRDefault="00EF78F1" w:rsidP="00950D9D">
            <w:pPr>
              <w:jc w:val="center"/>
              <w:rPr>
                <w:rFonts w:ascii="Arial Narrow" w:hAnsi="Arial Narrow"/>
                <w:bCs/>
                <w:sz w:val="20"/>
                <w:szCs w:val="20"/>
              </w:rPr>
            </w:pPr>
          </w:p>
        </w:tc>
        <w:tc>
          <w:tcPr>
            <w:tcW w:w="7798" w:type="dxa"/>
            <w:gridSpan w:val="6"/>
            <w:vAlign w:val="center"/>
          </w:tcPr>
          <w:p w14:paraId="3C8B10EB" w14:textId="77777777" w:rsidR="00EF78F1" w:rsidRPr="008C410A" w:rsidRDefault="00EF78F1" w:rsidP="00950D9D">
            <w:pPr>
              <w:rPr>
                <w:rFonts w:ascii="Arial Narrow" w:hAnsi="Arial Narrow"/>
                <w:b/>
                <w:bCs/>
                <w:sz w:val="20"/>
                <w:szCs w:val="20"/>
              </w:rPr>
            </w:pPr>
            <w:r w:rsidRPr="008C410A">
              <w:rPr>
                <w:rFonts w:ascii="Arial Narrow" w:hAnsi="Arial Narrow"/>
                <w:bCs/>
                <w:sz w:val="20"/>
                <w:szCs w:val="20"/>
              </w:rPr>
              <w:t>The condition must have been inadequately controlled with monotherapy</w:t>
            </w:r>
          </w:p>
        </w:tc>
      </w:tr>
      <w:tr w:rsidR="00EF78F1" w:rsidRPr="008C410A" w14:paraId="6B3E312C"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3E7E8F6A" w14:textId="77777777" w:rsidR="00EF78F1" w:rsidRPr="008C410A" w:rsidRDefault="00EF78F1" w:rsidP="00950D9D">
            <w:pPr>
              <w:jc w:val="center"/>
              <w:rPr>
                <w:rFonts w:ascii="Arial Narrow" w:hAnsi="Arial Narrow"/>
                <w:bCs/>
                <w:sz w:val="20"/>
                <w:szCs w:val="20"/>
              </w:rPr>
            </w:pPr>
          </w:p>
        </w:tc>
        <w:tc>
          <w:tcPr>
            <w:tcW w:w="7798" w:type="dxa"/>
            <w:gridSpan w:val="6"/>
            <w:vAlign w:val="center"/>
          </w:tcPr>
          <w:p w14:paraId="1850B50B" w14:textId="77777777" w:rsidR="00EF78F1" w:rsidRPr="008C410A" w:rsidRDefault="00EF78F1" w:rsidP="00950D9D">
            <w:pPr>
              <w:rPr>
                <w:rFonts w:ascii="Arial Narrow" w:hAnsi="Arial Narrow"/>
                <w:b/>
                <w:bCs/>
                <w:sz w:val="20"/>
                <w:szCs w:val="20"/>
              </w:rPr>
            </w:pPr>
            <w:r w:rsidRPr="008C410A">
              <w:rPr>
                <w:rFonts w:ascii="Arial Narrow" w:hAnsi="Arial Narrow"/>
                <w:b/>
                <w:bCs/>
                <w:sz w:val="20"/>
                <w:szCs w:val="20"/>
              </w:rPr>
              <w:t>AND</w:t>
            </w:r>
          </w:p>
        </w:tc>
      </w:tr>
      <w:tr w:rsidR="00EF78F1" w:rsidRPr="008C410A" w14:paraId="58231545"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4BF15E71" w14:textId="14E1AD48" w:rsidR="00EF78F1" w:rsidRPr="008C410A" w:rsidRDefault="00EF78F1" w:rsidP="00950D9D">
            <w:pPr>
              <w:jc w:val="center"/>
              <w:rPr>
                <w:rFonts w:ascii="Arial Narrow" w:hAnsi="Arial Narrow"/>
                <w:bCs/>
                <w:sz w:val="20"/>
                <w:szCs w:val="20"/>
              </w:rPr>
            </w:pPr>
          </w:p>
        </w:tc>
        <w:tc>
          <w:tcPr>
            <w:tcW w:w="7798" w:type="dxa"/>
            <w:gridSpan w:val="6"/>
            <w:vAlign w:val="center"/>
          </w:tcPr>
          <w:p w14:paraId="05C0FFD4" w14:textId="77777777" w:rsidR="00EF78F1" w:rsidRPr="008C410A" w:rsidRDefault="00EF78F1" w:rsidP="00950D9D">
            <w:pPr>
              <w:rPr>
                <w:rFonts w:ascii="Arial Narrow" w:hAnsi="Arial Narrow"/>
                <w:b/>
                <w:bCs/>
                <w:sz w:val="20"/>
                <w:szCs w:val="20"/>
              </w:rPr>
            </w:pPr>
            <w:r w:rsidRPr="008C410A">
              <w:rPr>
                <w:rFonts w:ascii="Arial Narrow" w:hAnsi="Arial Narrow"/>
                <w:b/>
                <w:bCs/>
                <w:sz w:val="20"/>
                <w:szCs w:val="20"/>
              </w:rPr>
              <w:t>Clinical criteria:</w:t>
            </w:r>
          </w:p>
        </w:tc>
      </w:tr>
      <w:tr w:rsidR="00EF78F1" w:rsidRPr="008C410A" w14:paraId="7B73343A"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54F3ED2E" w14:textId="30C16F96" w:rsidR="00EF78F1" w:rsidRPr="008C410A" w:rsidRDefault="00EF78F1" w:rsidP="00950D9D">
            <w:pPr>
              <w:jc w:val="center"/>
              <w:rPr>
                <w:rFonts w:ascii="Arial Narrow" w:hAnsi="Arial Narrow"/>
                <w:bCs/>
                <w:sz w:val="20"/>
                <w:szCs w:val="20"/>
              </w:rPr>
            </w:pPr>
          </w:p>
        </w:tc>
        <w:tc>
          <w:tcPr>
            <w:tcW w:w="7798" w:type="dxa"/>
            <w:gridSpan w:val="6"/>
            <w:vAlign w:val="center"/>
          </w:tcPr>
          <w:p w14:paraId="2CDED3E1" w14:textId="77777777" w:rsidR="00EF78F1" w:rsidRPr="008C410A" w:rsidRDefault="00EF78F1" w:rsidP="00950D9D">
            <w:pPr>
              <w:rPr>
                <w:rFonts w:ascii="Arial Narrow" w:hAnsi="Arial Narrow"/>
                <w:bCs/>
                <w:sz w:val="20"/>
                <w:szCs w:val="20"/>
              </w:rPr>
            </w:pPr>
            <w:r w:rsidRPr="008C410A">
              <w:rPr>
                <w:rFonts w:ascii="Arial Narrow" w:hAnsi="Arial Narrow"/>
                <w:bCs/>
                <w:sz w:val="20"/>
                <w:szCs w:val="20"/>
              </w:rPr>
              <w:t>Patient must have open-angle glaucoma; or</w:t>
            </w:r>
          </w:p>
        </w:tc>
      </w:tr>
      <w:tr w:rsidR="00EF78F1" w:rsidRPr="008C410A" w14:paraId="1652CABC"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0DA79EF1" w14:textId="07E28B76" w:rsidR="00EF78F1" w:rsidRPr="008C410A" w:rsidRDefault="00EF78F1" w:rsidP="00950D9D">
            <w:pPr>
              <w:jc w:val="center"/>
              <w:rPr>
                <w:rFonts w:ascii="Arial Narrow" w:hAnsi="Arial Narrow"/>
                <w:bCs/>
                <w:sz w:val="20"/>
                <w:szCs w:val="20"/>
              </w:rPr>
            </w:pPr>
          </w:p>
        </w:tc>
        <w:tc>
          <w:tcPr>
            <w:tcW w:w="7798" w:type="dxa"/>
            <w:gridSpan w:val="6"/>
            <w:vAlign w:val="center"/>
          </w:tcPr>
          <w:p w14:paraId="72893F6A" w14:textId="77777777" w:rsidR="00EF78F1" w:rsidRPr="008C410A" w:rsidRDefault="00EF78F1" w:rsidP="00950D9D">
            <w:pPr>
              <w:rPr>
                <w:rFonts w:ascii="Arial Narrow" w:hAnsi="Arial Narrow"/>
                <w:bCs/>
                <w:sz w:val="20"/>
                <w:szCs w:val="20"/>
              </w:rPr>
            </w:pPr>
            <w:r w:rsidRPr="008C410A">
              <w:rPr>
                <w:rFonts w:ascii="Arial Narrow" w:hAnsi="Arial Narrow"/>
                <w:bCs/>
                <w:sz w:val="20"/>
                <w:szCs w:val="20"/>
              </w:rPr>
              <w:t>Patient must have ocular hypertension</w:t>
            </w:r>
          </w:p>
        </w:tc>
      </w:tr>
    </w:tbl>
    <w:p w14:paraId="69209CA5" w14:textId="77777777" w:rsidR="00EF78F1" w:rsidRDefault="00EF78F1" w:rsidP="00D500D6">
      <w:pPr>
        <w:jc w:val="left"/>
        <w:rPr>
          <w: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269"/>
        <w:gridCol w:w="993"/>
        <w:gridCol w:w="992"/>
        <w:gridCol w:w="709"/>
        <w:gridCol w:w="567"/>
        <w:gridCol w:w="2268"/>
      </w:tblGrid>
      <w:tr w:rsidR="00EF78F1" w:rsidRPr="008C410A" w14:paraId="3EB7443D" w14:textId="77777777" w:rsidTr="00950D9D">
        <w:trPr>
          <w:cantSplit/>
          <w:trHeight w:val="471"/>
        </w:trPr>
        <w:tc>
          <w:tcPr>
            <w:tcW w:w="3397" w:type="dxa"/>
            <w:gridSpan w:val="2"/>
          </w:tcPr>
          <w:p w14:paraId="23098AE6" w14:textId="77777777" w:rsidR="00EF78F1" w:rsidRPr="008C410A" w:rsidRDefault="00EF78F1" w:rsidP="00950D9D">
            <w:pPr>
              <w:keepNext/>
              <w:ind w:left="-108"/>
              <w:rPr>
                <w:rFonts w:ascii="Arial Narrow" w:hAnsi="Arial Narrow" w:cs="Arial"/>
                <w:b/>
                <w:bCs/>
                <w:sz w:val="20"/>
                <w:szCs w:val="20"/>
              </w:rPr>
            </w:pPr>
            <w:r w:rsidRPr="008C410A">
              <w:rPr>
                <w:rFonts w:ascii="Arial Narrow" w:hAnsi="Arial Narrow" w:cs="Arial"/>
                <w:b/>
                <w:bCs/>
                <w:sz w:val="20"/>
                <w:szCs w:val="20"/>
              </w:rPr>
              <w:t>MEDICINAL PRODUCT</w:t>
            </w:r>
          </w:p>
          <w:p w14:paraId="4022678E" w14:textId="77777777" w:rsidR="00EF78F1" w:rsidRPr="008C410A" w:rsidRDefault="00EF78F1" w:rsidP="00950D9D">
            <w:pPr>
              <w:keepNext/>
              <w:ind w:left="-108"/>
              <w:rPr>
                <w:rFonts w:ascii="Arial Narrow" w:hAnsi="Arial Narrow" w:cs="Arial"/>
                <w:b/>
                <w:sz w:val="20"/>
                <w:szCs w:val="20"/>
              </w:rPr>
            </w:pPr>
            <w:r w:rsidRPr="008C410A">
              <w:rPr>
                <w:rFonts w:ascii="Arial Narrow" w:hAnsi="Arial Narrow" w:cs="Arial"/>
                <w:b/>
                <w:bCs/>
                <w:sz w:val="20"/>
                <w:szCs w:val="20"/>
              </w:rPr>
              <w:t xml:space="preserve"> Medicinal Product Pack</w:t>
            </w:r>
          </w:p>
        </w:tc>
        <w:tc>
          <w:tcPr>
            <w:tcW w:w="993" w:type="dxa"/>
          </w:tcPr>
          <w:p w14:paraId="02EB8FCD"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PBS item code</w:t>
            </w:r>
          </w:p>
        </w:tc>
        <w:tc>
          <w:tcPr>
            <w:tcW w:w="992" w:type="dxa"/>
          </w:tcPr>
          <w:p w14:paraId="21F85D74"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Max. qty packs</w:t>
            </w:r>
          </w:p>
        </w:tc>
        <w:tc>
          <w:tcPr>
            <w:tcW w:w="709" w:type="dxa"/>
          </w:tcPr>
          <w:p w14:paraId="5025E48A"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Max. qty units</w:t>
            </w:r>
          </w:p>
        </w:tc>
        <w:tc>
          <w:tcPr>
            <w:tcW w:w="567" w:type="dxa"/>
          </w:tcPr>
          <w:p w14:paraId="58BD51DB" w14:textId="77777777" w:rsidR="00EF78F1" w:rsidRPr="008C410A" w:rsidRDefault="00EF78F1" w:rsidP="00950D9D">
            <w:pPr>
              <w:keepNext/>
              <w:ind w:left="-108"/>
              <w:jc w:val="center"/>
              <w:rPr>
                <w:rFonts w:ascii="Arial Narrow" w:hAnsi="Arial Narrow" w:cs="Arial"/>
                <w:b/>
                <w:sz w:val="20"/>
                <w:szCs w:val="20"/>
              </w:rPr>
            </w:pPr>
            <w:r w:rsidRPr="008C410A">
              <w:rPr>
                <w:rFonts w:ascii="Arial Narrow" w:hAnsi="Arial Narrow" w:cs="Arial"/>
                <w:b/>
                <w:sz w:val="20"/>
                <w:szCs w:val="20"/>
              </w:rPr>
              <w:t>№.of</w:t>
            </w:r>
          </w:p>
          <w:p w14:paraId="71FA2296" w14:textId="77777777" w:rsidR="00EF78F1" w:rsidRPr="008C410A" w:rsidRDefault="00EF78F1" w:rsidP="00950D9D">
            <w:pPr>
              <w:keepNext/>
              <w:ind w:left="-108"/>
              <w:jc w:val="center"/>
              <w:rPr>
                <w:rFonts w:ascii="Arial Narrow" w:hAnsi="Arial Narrow" w:cs="Arial"/>
                <w:b/>
                <w:sz w:val="20"/>
                <w:szCs w:val="20"/>
              </w:rPr>
            </w:pPr>
            <w:proofErr w:type="spellStart"/>
            <w:r w:rsidRPr="008C410A">
              <w:rPr>
                <w:rFonts w:ascii="Arial Narrow" w:hAnsi="Arial Narrow" w:cs="Arial"/>
                <w:b/>
                <w:sz w:val="20"/>
                <w:szCs w:val="20"/>
              </w:rPr>
              <w:t>Rpts</w:t>
            </w:r>
            <w:proofErr w:type="spellEnd"/>
          </w:p>
        </w:tc>
        <w:tc>
          <w:tcPr>
            <w:tcW w:w="2268" w:type="dxa"/>
          </w:tcPr>
          <w:p w14:paraId="240DC124" w14:textId="77777777" w:rsidR="00EF78F1" w:rsidRPr="008C410A" w:rsidRDefault="00EF78F1" w:rsidP="00950D9D">
            <w:pPr>
              <w:keepNext/>
              <w:rPr>
                <w:rFonts w:ascii="Arial Narrow" w:hAnsi="Arial Narrow" w:cs="Arial"/>
                <w:b/>
                <w:sz w:val="20"/>
                <w:szCs w:val="20"/>
                <w:lang w:val="fr-FR"/>
              </w:rPr>
            </w:pPr>
            <w:r w:rsidRPr="008C410A">
              <w:rPr>
                <w:rFonts w:ascii="Arial Narrow" w:hAnsi="Arial Narrow" w:cs="Arial"/>
                <w:b/>
                <w:sz w:val="20"/>
                <w:szCs w:val="20"/>
              </w:rPr>
              <w:t>Available brands</w:t>
            </w:r>
          </w:p>
        </w:tc>
      </w:tr>
      <w:tr w:rsidR="00EF78F1" w:rsidRPr="008C410A" w14:paraId="3D5C697A" w14:textId="77777777" w:rsidTr="00950D9D">
        <w:trPr>
          <w:cantSplit/>
          <w:trHeight w:val="813"/>
        </w:trPr>
        <w:tc>
          <w:tcPr>
            <w:tcW w:w="3397" w:type="dxa"/>
            <w:gridSpan w:val="2"/>
          </w:tcPr>
          <w:p w14:paraId="17C1C0EA" w14:textId="77777777" w:rsidR="00EF78F1" w:rsidRPr="008C410A" w:rsidRDefault="00EF78F1" w:rsidP="00950D9D">
            <w:pPr>
              <w:keepNext/>
              <w:ind w:left="-108"/>
              <w:rPr>
                <w:rFonts w:ascii="Arial Narrow" w:hAnsi="Arial Narrow" w:cs="Arial"/>
                <w:sz w:val="20"/>
                <w:szCs w:val="20"/>
              </w:rPr>
            </w:pPr>
            <w:r w:rsidRPr="008C410A">
              <w:rPr>
                <w:rFonts w:ascii="Arial Narrow" w:hAnsi="Arial Narrow" w:cs="Arial"/>
                <w:sz w:val="20"/>
                <w:szCs w:val="20"/>
              </w:rPr>
              <w:t xml:space="preserve">DORZOLAMIDE + TIMOLOL </w:t>
            </w:r>
          </w:p>
          <w:p w14:paraId="7F1281EF" w14:textId="77777777" w:rsidR="00EF78F1" w:rsidRPr="008C410A" w:rsidRDefault="00EF78F1" w:rsidP="00950D9D">
            <w:pPr>
              <w:keepNext/>
              <w:ind w:left="-108"/>
              <w:rPr>
                <w:rFonts w:ascii="Arial Narrow" w:hAnsi="Arial Narrow" w:cs="Arial"/>
                <w:sz w:val="20"/>
                <w:szCs w:val="20"/>
              </w:rPr>
            </w:pPr>
          </w:p>
          <w:p w14:paraId="040F9F1F" w14:textId="27673C1C" w:rsidR="00EF78F1" w:rsidRPr="008C410A" w:rsidRDefault="00EF78F1" w:rsidP="00950D9D">
            <w:pPr>
              <w:keepNext/>
              <w:ind w:left="-108"/>
              <w:rPr>
                <w:rFonts w:ascii="Arial Narrow" w:hAnsi="Arial Narrow" w:cs="Arial"/>
                <w:sz w:val="20"/>
                <w:szCs w:val="20"/>
              </w:rPr>
            </w:pPr>
            <w:r w:rsidRPr="008C410A">
              <w:rPr>
                <w:rFonts w:ascii="Arial Narrow" w:hAnsi="Arial Narrow" w:cs="Arial"/>
                <w:sz w:val="20"/>
                <w:szCs w:val="20"/>
              </w:rPr>
              <w:t>dorzolamide 2% + timolol 0.5% eye drops, 5</w:t>
            </w:r>
            <w:r w:rsidR="003332CA">
              <w:rPr>
                <w:rFonts w:ascii="Arial Narrow" w:hAnsi="Arial Narrow" w:cs="Arial"/>
                <w:sz w:val="20"/>
                <w:szCs w:val="20"/>
              </w:rPr>
              <w:t> </w:t>
            </w:r>
            <w:r w:rsidRPr="008C410A">
              <w:rPr>
                <w:rFonts w:ascii="Arial Narrow" w:hAnsi="Arial Narrow" w:cs="Arial"/>
                <w:sz w:val="20"/>
                <w:szCs w:val="20"/>
              </w:rPr>
              <w:t>mL</w:t>
            </w:r>
          </w:p>
        </w:tc>
        <w:tc>
          <w:tcPr>
            <w:tcW w:w="993" w:type="dxa"/>
          </w:tcPr>
          <w:p w14:paraId="66580DF3" w14:textId="77777777" w:rsidR="00EF78F1" w:rsidRPr="008C410A" w:rsidRDefault="00EF78F1" w:rsidP="00950D9D">
            <w:pPr>
              <w:keepNext/>
              <w:ind w:left="-108"/>
              <w:jc w:val="center"/>
              <w:rPr>
                <w:rFonts w:ascii="Arial Narrow" w:hAnsi="Arial Narrow" w:cs="Arial"/>
                <w:color w:val="FF0000"/>
                <w:sz w:val="20"/>
                <w:szCs w:val="20"/>
              </w:rPr>
            </w:pPr>
          </w:p>
          <w:p w14:paraId="5B1C0B20" w14:textId="77777777" w:rsidR="00EF78F1" w:rsidRPr="008C410A" w:rsidRDefault="00EF78F1" w:rsidP="00950D9D">
            <w:pPr>
              <w:keepNext/>
              <w:ind w:left="-108"/>
              <w:jc w:val="center"/>
              <w:rPr>
                <w:rFonts w:ascii="Arial Narrow" w:hAnsi="Arial Narrow" w:cs="Arial"/>
                <w:color w:val="FF0000"/>
                <w:sz w:val="20"/>
                <w:szCs w:val="20"/>
              </w:rPr>
            </w:pPr>
            <w:r w:rsidRPr="008C410A">
              <w:rPr>
                <w:rFonts w:ascii="Arial Narrow" w:hAnsi="Arial Narrow" w:cs="Arial"/>
                <w:sz w:val="20"/>
                <w:szCs w:val="20"/>
              </w:rPr>
              <w:t>5542Q</w:t>
            </w:r>
          </w:p>
        </w:tc>
        <w:tc>
          <w:tcPr>
            <w:tcW w:w="992" w:type="dxa"/>
          </w:tcPr>
          <w:p w14:paraId="5DE3C163" w14:textId="77777777" w:rsidR="00EF78F1" w:rsidRPr="008C410A" w:rsidRDefault="00EF78F1" w:rsidP="00950D9D">
            <w:pPr>
              <w:keepNext/>
              <w:jc w:val="center"/>
              <w:rPr>
                <w:rFonts w:ascii="Arial Narrow" w:hAnsi="Arial Narrow" w:cs="Arial"/>
                <w:sz w:val="20"/>
                <w:szCs w:val="20"/>
              </w:rPr>
            </w:pPr>
          </w:p>
          <w:p w14:paraId="057EC8FD" w14:textId="77777777" w:rsidR="00EF78F1" w:rsidRPr="008C410A" w:rsidRDefault="00EF78F1" w:rsidP="00950D9D">
            <w:pPr>
              <w:keepNext/>
              <w:jc w:val="center"/>
              <w:rPr>
                <w:rFonts w:ascii="Arial Narrow" w:hAnsi="Arial Narrow" w:cs="Arial"/>
                <w:sz w:val="20"/>
                <w:szCs w:val="20"/>
              </w:rPr>
            </w:pPr>
            <w:r w:rsidRPr="008C410A">
              <w:rPr>
                <w:rFonts w:ascii="Arial Narrow" w:hAnsi="Arial Narrow" w:cs="Arial"/>
                <w:sz w:val="20"/>
                <w:szCs w:val="20"/>
              </w:rPr>
              <w:t>1</w:t>
            </w:r>
          </w:p>
        </w:tc>
        <w:tc>
          <w:tcPr>
            <w:tcW w:w="709" w:type="dxa"/>
          </w:tcPr>
          <w:p w14:paraId="6BF1331A" w14:textId="77777777" w:rsidR="00EF78F1" w:rsidRPr="008C410A" w:rsidRDefault="00EF78F1" w:rsidP="00950D9D">
            <w:pPr>
              <w:keepNext/>
              <w:ind w:left="-108"/>
              <w:jc w:val="center"/>
              <w:rPr>
                <w:rFonts w:ascii="Arial Narrow" w:hAnsi="Arial Narrow" w:cs="Arial"/>
                <w:sz w:val="20"/>
                <w:szCs w:val="20"/>
              </w:rPr>
            </w:pPr>
          </w:p>
          <w:p w14:paraId="1F425832" w14:textId="77777777" w:rsidR="00EF78F1" w:rsidRPr="008C410A" w:rsidRDefault="00EF78F1" w:rsidP="00950D9D">
            <w:pPr>
              <w:keepNext/>
              <w:ind w:left="-108"/>
              <w:jc w:val="center"/>
              <w:rPr>
                <w:rFonts w:ascii="Arial Narrow" w:hAnsi="Arial Narrow" w:cs="Arial"/>
                <w:sz w:val="20"/>
                <w:szCs w:val="20"/>
              </w:rPr>
            </w:pPr>
            <w:r w:rsidRPr="008C410A">
              <w:rPr>
                <w:rFonts w:ascii="Arial Narrow" w:hAnsi="Arial Narrow" w:cs="Arial"/>
                <w:sz w:val="20"/>
                <w:szCs w:val="20"/>
              </w:rPr>
              <w:t>1</w:t>
            </w:r>
          </w:p>
        </w:tc>
        <w:tc>
          <w:tcPr>
            <w:tcW w:w="567" w:type="dxa"/>
          </w:tcPr>
          <w:p w14:paraId="4F3E316F" w14:textId="77777777" w:rsidR="00EF78F1" w:rsidRPr="008C410A" w:rsidRDefault="00EF78F1" w:rsidP="00950D9D">
            <w:pPr>
              <w:keepNext/>
              <w:ind w:left="-108"/>
              <w:jc w:val="center"/>
              <w:rPr>
                <w:rFonts w:ascii="Arial Narrow" w:hAnsi="Arial Narrow" w:cs="Arial"/>
                <w:sz w:val="20"/>
                <w:szCs w:val="20"/>
              </w:rPr>
            </w:pPr>
          </w:p>
          <w:p w14:paraId="1FFB3CCD" w14:textId="77777777" w:rsidR="00EF78F1" w:rsidRPr="008C410A" w:rsidRDefault="00EF78F1" w:rsidP="00950D9D">
            <w:pPr>
              <w:keepNext/>
              <w:ind w:left="-108"/>
              <w:jc w:val="center"/>
              <w:rPr>
                <w:rFonts w:ascii="Arial Narrow" w:hAnsi="Arial Narrow" w:cs="Arial"/>
                <w:sz w:val="20"/>
                <w:szCs w:val="20"/>
              </w:rPr>
            </w:pPr>
            <w:r w:rsidRPr="008C410A">
              <w:rPr>
                <w:rFonts w:ascii="Arial Narrow" w:hAnsi="Arial Narrow" w:cs="Arial"/>
                <w:sz w:val="20"/>
                <w:szCs w:val="20"/>
              </w:rPr>
              <w:t>5</w:t>
            </w:r>
          </w:p>
          <w:p w14:paraId="04585746" w14:textId="77777777" w:rsidR="00EF78F1" w:rsidRPr="008C410A" w:rsidRDefault="00EF78F1" w:rsidP="00950D9D">
            <w:pPr>
              <w:keepNext/>
              <w:jc w:val="center"/>
              <w:rPr>
                <w:rFonts w:ascii="Arial Narrow" w:hAnsi="Arial Narrow" w:cs="Arial"/>
                <w:sz w:val="20"/>
                <w:szCs w:val="20"/>
              </w:rPr>
            </w:pPr>
          </w:p>
        </w:tc>
        <w:tc>
          <w:tcPr>
            <w:tcW w:w="2268" w:type="dxa"/>
            <w:vAlign w:val="center"/>
          </w:tcPr>
          <w:p w14:paraId="4C18C0E4" w14:textId="77777777" w:rsidR="00EF78F1" w:rsidRPr="008C410A" w:rsidRDefault="00EF78F1" w:rsidP="00950D9D">
            <w:pPr>
              <w:keepNext/>
              <w:jc w:val="center"/>
              <w:rPr>
                <w:rFonts w:ascii="Arial Narrow" w:hAnsi="Arial Narrow" w:cs="Arial"/>
                <w:sz w:val="20"/>
                <w:szCs w:val="20"/>
              </w:rPr>
            </w:pPr>
            <w:proofErr w:type="spellStart"/>
            <w:r w:rsidRPr="008C410A">
              <w:rPr>
                <w:rFonts w:ascii="Arial Narrow" w:hAnsi="Arial Narrow" w:cs="Arial"/>
                <w:sz w:val="20"/>
                <w:szCs w:val="20"/>
              </w:rPr>
              <w:t>Cosdor</w:t>
            </w:r>
            <w:proofErr w:type="spellEnd"/>
          </w:p>
          <w:p w14:paraId="6CACC7F6" w14:textId="77777777" w:rsidR="00EF78F1" w:rsidRPr="008C410A" w:rsidRDefault="00EF78F1" w:rsidP="00950D9D">
            <w:pPr>
              <w:keepNext/>
              <w:jc w:val="center"/>
              <w:rPr>
                <w:rFonts w:ascii="Arial Narrow" w:hAnsi="Arial Narrow" w:cs="Arial"/>
                <w:sz w:val="20"/>
                <w:szCs w:val="20"/>
              </w:rPr>
            </w:pPr>
            <w:proofErr w:type="spellStart"/>
            <w:r w:rsidRPr="008C410A">
              <w:rPr>
                <w:rFonts w:ascii="Arial Narrow" w:hAnsi="Arial Narrow" w:cs="Arial"/>
                <w:sz w:val="20"/>
                <w:szCs w:val="20"/>
              </w:rPr>
              <w:t>Cosopt</w:t>
            </w:r>
            <w:proofErr w:type="spellEnd"/>
          </w:p>
          <w:p w14:paraId="3B80201A" w14:textId="77777777" w:rsidR="00EF78F1" w:rsidRPr="008C410A" w:rsidRDefault="00EF78F1" w:rsidP="00950D9D">
            <w:pPr>
              <w:keepNext/>
              <w:jc w:val="center"/>
              <w:rPr>
                <w:rFonts w:ascii="Arial Narrow" w:hAnsi="Arial Narrow" w:cs="Arial"/>
                <w:i/>
                <w:iCs/>
                <w:sz w:val="20"/>
                <w:szCs w:val="20"/>
              </w:rPr>
            </w:pPr>
            <w:proofErr w:type="spellStart"/>
            <w:r w:rsidRPr="008C410A">
              <w:rPr>
                <w:rFonts w:ascii="Arial Narrow" w:hAnsi="Arial Narrow" w:cs="Arial"/>
                <w:i/>
                <w:iCs/>
                <w:sz w:val="20"/>
                <w:szCs w:val="20"/>
              </w:rPr>
              <w:t>Vizo</w:t>
            </w:r>
            <w:proofErr w:type="spellEnd"/>
            <w:r w:rsidRPr="008C410A">
              <w:rPr>
                <w:rFonts w:ascii="Arial Narrow" w:hAnsi="Arial Narrow" w:cs="Arial"/>
                <w:i/>
                <w:iCs/>
                <w:sz w:val="20"/>
                <w:szCs w:val="20"/>
              </w:rPr>
              <w:t xml:space="preserve">-PF </w:t>
            </w:r>
            <w:proofErr w:type="spellStart"/>
            <w:r w:rsidRPr="008C410A">
              <w:rPr>
                <w:rFonts w:ascii="Arial Narrow" w:hAnsi="Arial Narrow" w:cs="Arial"/>
                <w:i/>
                <w:iCs/>
                <w:sz w:val="20"/>
                <w:szCs w:val="20"/>
              </w:rPr>
              <w:t>Dorzolatim</w:t>
            </w:r>
            <w:proofErr w:type="spellEnd"/>
          </w:p>
        </w:tc>
      </w:tr>
      <w:tr w:rsidR="00EF78F1" w:rsidRPr="008C410A" w14:paraId="4F938352"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1D47339B" w14:textId="77777777" w:rsidR="00EF78F1" w:rsidRPr="008C410A" w:rsidRDefault="00EF78F1" w:rsidP="00950D9D">
            <w:pPr>
              <w:rPr>
                <w:rFonts w:ascii="Arial Narrow" w:hAnsi="Arial Narrow" w:cs="Arial"/>
                <w:b/>
                <w:sz w:val="20"/>
                <w:szCs w:val="20"/>
              </w:rPr>
            </w:pPr>
          </w:p>
        </w:tc>
      </w:tr>
      <w:tr w:rsidR="00EF78F1" w:rsidRPr="008C410A" w14:paraId="4E26E27A"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6921BB9A" w14:textId="03E93C26" w:rsidR="00EF78F1" w:rsidRPr="008C410A" w:rsidRDefault="00EF78F1" w:rsidP="00950D9D">
            <w:pPr>
              <w:rPr>
                <w:rFonts w:ascii="Arial Narrow" w:hAnsi="Arial Narrow" w:cs="Arial"/>
                <w:b/>
                <w:sz w:val="20"/>
                <w:szCs w:val="20"/>
              </w:rPr>
            </w:pPr>
            <w:r w:rsidRPr="008C410A">
              <w:rPr>
                <w:rFonts w:ascii="Arial Narrow" w:hAnsi="Arial Narrow"/>
                <w:b/>
                <w:sz w:val="20"/>
                <w:szCs w:val="20"/>
              </w:rPr>
              <w:t xml:space="preserve">Restriction Summary / Treatment of Concept: </w:t>
            </w:r>
          </w:p>
        </w:tc>
      </w:tr>
      <w:tr w:rsidR="00EF78F1" w:rsidRPr="008C410A" w14:paraId="5973D3FA"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val="restart"/>
            <w:tcBorders>
              <w:top w:val="single" w:sz="4" w:space="0" w:color="auto"/>
              <w:left w:val="single" w:sz="4" w:space="0" w:color="auto"/>
              <w:right w:val="single" w:sz="4" w:space="0" w:color="auto"/>
            </w:tcBorders>
          </w:tcPr>
          <w:p w14:paraId="19BF62F0" w14:textId="77777777" w:rsidR="00EF78F1" w:rsidRPr="008C410A" w:rsidRDefault="00EF78F1"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5E435DD6" w14:textId="77777777" w:rsidR="00EF78F1" w:rsidRPr="008C410A" w:rsidRDefault="00EF78F1" w:rsidP="00950D9D">
            <w:pPr>
              <w:rPr>
                <w:rFonts w:ascii="Arial Narrow" w:hAnsi="Arial Narrow" w:cs="Arial"/>
                <w:sz w:val="20"/>
                <w:szCs w:val="20"/>
              </w:rPr>
            </w:pPr>
            <w:r w:rsidRPr="008C410A">
              <w:rPr>
                <w:rFonts w:ascii="Arial Narrow" w:hAnsi="Arial Narrow" w:cs="Arial"/>
                <w:b/>
                <w:sz w:val="20"/>
                <w:szCs w:val="20"/>
              </w:rPr>
              <w:t xml:space="preserve">Category / Program:   </w:t>
            </w:r>
            <w:r w:rsidRPr="008C410A">
              <w:rPr>
                <w:rFonts w:ascii="Arial Narrow" w:hAnsi="Arial Narrow" w:cs="Arial"/>
                <w:sz w:val="20"/>
                <w:szCs w:val="20"/>
              </w:rPr>
              <w:t>GENERAL – General Schedule (Code GE)</w:t>
            </w:r>
          </w:p>
        </w:tc>
      </w:tr>
      <w:tr w:rsidR="00EF78F1" w:rsidRPr="008C410A" w14:paraId="333A6F78" w14:textId="77777777" w:rsidTr="00950D9D">
        <w:tblPrEx>
          <w:tblCellMar>
            <w:top w:w="15" w:type="dxa"/>
            <w:left w:w="15" w:type="dxa"/>
            <w:bottom w:w="15" w:type="dxa"/>
            <w:right w:w="15" w:type="dxa"/>
          </w:tblCellMar>
          <w:tblLook w:val="04A0" w:firstRow="1" w:lastRow="0" w:firstColumn="1" w:lastColumn="0" w:noHBand="0" w:noVBand="1"/>
        </w:tblPrEx>
        <w:trPr>
          <w:trHeight w:val="240"/>
        </w:trPr>
        <w:tc>
          <w:tcPr>
            <w:tcW w:w="1128" w:type="dxa"/>
            <w:vMerge/>
            <w:tcBorders>
              <w:left w:val="single" w:sz="4" w:space="0" w:color="auto"/>
              <w:right w:val="single" w:sz="4" w:space="0" w:color="auto"/>
            </w:tcBorders>
          </w:tcPr>
          <w:p w14:paraId="4B97F39D" w14:textId="77777777" w:rsidR="00EF78F1" w:rsidRPr="008C410A" w:rsidRDefault="00EF78F1" w:rsidP="00950D9D">
            <w:pPr>
              <w:rPr>
                <w:rFonts w:ascii="Arial Narrow" w:hAnsi="Arial Narrow" w:cs="Arial"/>
                <w:b/>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1F69A70D" w14:textId="77777777" w:rsidR="00EF78F1" w:rsidRPr="008C410A" w:rsidRDefault="00EF78F1" w:rsidP="00950D9D">
            <w:pPr>
              <w:rPr>
                <w:rFonts w:ascii="Arial Narrow" w:hAnsi="Arial Narrow" w:cs="Arial"/>
                <w:b/>
                <w:sz w:val="20"/>
                <w:szCs w:val="20"/>
              </w:rPr>
            </w:pPr>
            <w:r w:rsidRPr="008C410A">
              <w:rPr>
                <w:rFonts w:ascii="Arial Narrow" w:hAnsi="Arial Narrow" w:cs="Arial"/>
                <w:b/>
                <w:sz w:val="20"/>
                <w:szCs w:val="20"/>
              </w:rPr>
              <w:t xml:space="preserve">Prescriber type:   </w:t>
            </w:r>
            <w:r w:rsidRPr="008C410A">
              <w:rPr>
                <w:rFonts w:ascii="Arial Narrow" w:hAnsi="Arial Narrow" w:cs="Arial"/>
                <w:sz w:val="20"/>
                <w:szCs w:val="20"/>
              </w:rPr>
              <w:fldChar w:fldCharType="begin">
                <w:ffData>
                  <w:name w:val="Check1"/>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Dental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Medical Practitioners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Nurse practitioners     </w:t>
            </w: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Optometrists    </w:t>
            </w:r>
            <w:r w:rsidRPr="008C410A">
              <w:rPr>
                <w:rFonts w:ascii="Arial Narrow" w:hAnsi="Arial Narrow" w:cs="Arial"/>
                <w:sz w:val="20"/>
                <w:szCs w:val="20"/>
              </w:rPr>
              <w:fldChar w:fldCharType="begin">
                <w:ffData>
                  <w:name w:val="Check5"/>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Midwives</w:t>
            </w:r>
          </w:p>
        </w:tc>
      </w:tr>
      <w:tr w:rsidR="00EF78F1" w:rsidRPr="008C410A" w14:paraId="674FFF68"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tcBorders>
              <w:left w:val="single" w:sz="4" w:space="0" w:color="auto"/>
              <w:bottom w:val="single" w:sz="4" w:space="0" w:color="auto"/>
              <w:right w:val="single" w:sz="4" w:space="0" w:color="auto"/>
            </w:tcBorders>
          </w:tcPr>
          <w:p w14:paraId="63D32EF3" w14:textId="77777777" w:rsidR="00EF78F1" w:rsidRPr="008C410A" w:rsidRDefault="00EF78F1"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37BD10BF" w14:textId="77777777" w:rsidR="00EF78F1" w:rsidRPr="008C410A" w:rsidRDefault="00EF78F1" w:rsidP="00950D9D">
            <w:pPr>
              <w:rPr>
                <w:rFonts w:ascii="Arial Narrow" w:hAnsi="Arial Narrow" w:cs="Arial"/>
                <w:b/>
                <w:sz w:val="20"/>
                <w:szCs w:val="20"/>
              </w:rPr>
            </w:pPr>
            <w:r w:rsidRPr="008C410A">
              <w:rPr>
                <w:rFonts w:ascii="Arial Narrow" w:hAnsi="Arial Narrow" w:cs="Arial"/>
                <w:b/>
                <w:sz w:val="20"/>
                <w:szCs w:val="20"/>
              </w:rPr>
              <w:t>Restriction Level / Method:</w:t>
            </w:r>
          </w:p>
          <w:p w14:paraId="6B383B83" w14:textId="77777777" w:rsidR="00EF78F1" w:rsidRPr="008C410A" w:rsidRDefault="00EF78F1" w:rsidP="00950D9D">
            <w:pPr>
              <w:rPr>
                <w:rFonts w:ascii="Arial Narrow" w:hAnsi="Arial Narrow" w:cs="Arial"/>
                <w:sz w:val="20"/>
                <w:szCs w:val="20"/>
              </w:rPr>
            </w:pP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Restricted benefit</w:t>
            </w:r>
          </w:p>
        </w:tc>
      </w:tr>
      <w:tr w:rsidR="00EF78F1" w:rsidRPr="008C410A" w14:paraId="344AE26B" w14:textId="77777777" w:rsidTr="00D500D6">
        <w:tblPrEx>
          <w:tblCellMar>
            <w:top w:w="15" w:type="dxa"/>
            <w:left w:w="15" w:type="dxa"/>
            <w:bottom w:w="15" w:type="dxa"/>
            <w:right w:w="15" w:type="dxa"/>
          </w:tblCellMar>
        </w:tblPrEx>
        <w:tc>
          <w:tcPr>
            <w:tcW w:w="1128" w:type="dxa"/>
            <w:vAlign w:val="center"/>
          </w:tcPr>
          <w:p w14:paraId="03062B80" w14:textId="2D1928D4" w:rsidR="00EF78F1" w:rsidRPr="008C410A" w:rsidRDefault="00EF78F1" w:rsidP="00950D9D">
            <w:pPr>
              <w:jc w:val="center"/>
              <w:rPr>
                <w:rFonts w:ascii="Arial Narrow" w:hAnsi="Arial Narrow"/>
                <w:color w:val="333333"/>
                <w:sz w:val="20"/>
                <w:szCs w:val="20"/>
              </w:rPr>
            </w:pPr>
          </w:p>
        </w:tc>
        <w:tc>
          <w:tcPr>
            <w:tcW w:w="7798" w:type="dxa"/>
            <w:gridSpan w:val="6"/>
            <w:vAlign w:val="center"/>
          </w:tcPr>
          <w:p w14:paraId="1EBF8480" w14:textId="77777777" w:rsidR="00EF78F1" w:rsidRPr="008C410A" w:rsidRDefault="00EF78F1" w:rsidP="00950D9D">
            <w:pPr>
              <w:rPr>
                <w:rFonts w:ascii="Arial Narrow" w:hAnsi="Arial Narrow"/>
                <w:color w:val="333333"/>
                <w:sz w:val="20"/>
                <w:szCs w:val="20"/>
              </w:rPr>
            </w:pPr>
            <w:r w:rsidRPr="008C410A">
              <w:rPr>
                <w:rFonts w:ascii="Arial Narrow" w:hAnsi="Arial Narrow"/>
                <w:b/>
                <w:bCs/>
                <w:sz w:val="20"/>
                <w:szCs w:val="20"/>
              </w:rPr>
              <w:t>Indication:</w:t>
            </w:r>
            <w:r w:rsidRPr="008C410A">
              <w:rPr>
                <w:rFonts w:ascii="Arial Narrow" w:hAnsi="Arial Narrow"/>
                <w:sz w:val="20"/>
                <w:szCs w:val="20"/>
              </w:rPr>
              <w:t xml:space="preserve"> Elevated intra-ocular pressure</w:t>
            </w:r>
          </w:p>
        </w:tc>
      </w:tr>
      <w:tr w:rsidR="00EF78F1" w:rsidRPr="008C410A" w14:paraId="49C9B793"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37DCEB07" w14:textId="39401180" w:rsidR="00EF78F1" w:rsidRPr="008C410A" w:rsidRDefault="00EF78F1" w:rsidP="00950D9D">
            <w:pPr>
              <w:jc w:val="center"/>
              <w:rPr>
                <w:rFonts w:ascii="Arial Narrow" w:hAnsi="Arial Narrow"/>
                <w:bCs/>
                <w:sz w:val="20"/>
                <w:szCs w:val="20"/>
              </w:rPr>
            </w:pPr>
          </w:p>
        </w:tc>
        <w:tc>
          <w:tcPr>
            <w:tcW w:w="7798" w:type="dxa"/>
            <w:gridSpan w:val="6"/>
            <w:vAlign w:val="center"/>
          </w:tcPr>
          <w:p w14:paraId="31314250" w14:textId="77777777" w:rsidR="00EF78F1" w:rsidRPr="008C410A" w:rsidRDefault="00EF78F1" w:rsidP="00950D9D">
            <w:pPr>
              <w:rPr>
                <w:rFonts w:ascii="Arial Narrow" w:hAnsi="Arial Narrow"/>
                <w:bCs/>
                <w:sz w:val="20"/>
                <w:szCs w:val="20"/>
              </w:rPr>
            </w:pPr>
            <w:r w:rsidRPr="008C410A">
              <w:rPr>
                <w:rFonts w:ascii="Arial Narrow" w:hAnsi="Arial Narrow"/>
                <w:b/>
                <w:bCs/>
                <w:sz w:val="20"/>
                <w:szCs w:val="20"/>
              </w:rPr>
              <w:t xml:space="preserve">Clinical criteria: </w:t>
            </w:r>
          </w:p>
        </w:tc>
      </w:tr>
      <w:tr w:rsidR="00EF78F1" w:rsidRPr="008C410A" w14:paraId="19F5E394"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5A946B4D" w14:textId="69EC3616" w:rsidR="00EF78F1" w:rsidRPr="008C410A" w:rsidRDefault="00EF78F1" w:rsidP="00950D9D">
            <w:pPr>
              <w:jc w:val="center"/>
              <w:rPr>
                <w:rFonts w:ascii="Arial Narrow" w:hAnsi="Arial Narrow"/>
                <w:bCs/>
                <w:sz w:val="20"/>
                <w:szCs w:val="20"/>
              </w:rPr>
            </w:pPr>
          </w:p>
        </w:tc>
        <w:tc>
          <w:tcPr>
            <w:tcW w:w="7798" w:type="dxa"/>
            <w:gridSpan w:val="6"/>
            <w:vAlign w:val="center"/>
          </w:tcPr>
          <w:p w14:paraId="0AE54E34" w14:textId="77777777" w:rsidR="00EF78F1" w:rsidRPr="008C410A" w:rsidRDefault="00EF78F1" w:rsidP="00950D9D">
            <w:pPr>
              <w:rPr>
                <w:rFonts w:ascii="Arial Narrow" w:hAnsi="Arial Narrow"/>
                <w:b/>
                <w:bCs/>
                <w:sz w:val="20"/>
                <w:szCs w:val="20"/>
              </w:rPr>
            </w:pPr>
            <w:r w:rsidRPr="008C410A">
              <w:rPr>
                <w:rFonts w:ascii="Arial Narrow" w:hAnsi="Arial Narrow"/>
                <w:bCs/>
                <w:sz w:val="20"/>
                <w:szCs w:val="20"/>
              </w:rPr>
              <w:t>The condition must have been inadequately controlled with monotherapy</w:t>
            </w:r>
          </w:p>
        </w:tc>
      </w:tr>
      <w:tr w:rsidR="00EF78F1" w:rsidRPr="008C410A" w14:paraId="74E16A98"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09287192" w14:textId="77777777" w:rsidR="00EF78F1" w:rsidRPr="008C410A" w:rsidRDefault="00EF78F1" w:rsidP="00950D9D">
            <w:pPr>
              <w:jc w:val="center"/>
              <w:rPr>
                <w:rFonts w:ascii="Arial Narrow" w:hAnsi="Arial Narrow"/>
                <w:bCs/>
                <w:sz w:val="20"/>
                <w:szCs w:val="20"/>
              </w:rPr>
            </w:pPr>
          </w:p>
        </w:tc>
        <w:tc>
          <w:tcPr>
            <w:tcW w:w="7798" w:type="dxa"/>
            <w:gridSpan w:val="6"/>
            <w:vAlign w:val="center"/>
          </w:tcPr>
          <w:p w14:paraId="6F99A87B" w14:textId="77777777" w:rsidR="00EF78F1" w:rsidRPr="008C410A" w:rsidRDefault="00EF78F1" w:rsidP="00950D9D">
            <w:pPr>
              <w:rPr>
                <w:rFonts w:ascii="Arial Narrow" w:hAnsi="Arial Narrow"/>
                <w:b/>
                <w:bCs/>
                <w:sz w:val="20"/>
                <w:szCs w:val="20"/>
              </w:rPr>
            </w:pPr>
            <w:r w:rsidRPr="008C410A">
              <w:rPr>
                <w:rFonts w:ascii="Arial Narrow" w:hAnsi="Arial Narrow"/>
                <w:b/>
                <w:bCs/>
                <w:sz w:val="20"/>
                <w:szCs w:val="20"/>
              </w:rPr>
              <w:t>AND</w:t>
            </w:r>
          </w:p>
        </w:tc>
      </w:tr>
      <w:tr w:rsidR="00EF78F1" w:rsidRPr="008C410A" w14:paraId="35F4CE8B"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06C3496D" w14:textId="25E3DAFC" w:rsidR="00EF78F1" w:rsidRPr="008C410A" w:rsidRDefault="00EF78F1" w:rsidP="00950D9D">
            <w:pPr>
              <w:jc w:val="center"/>
              <w:rPr>
                <w:rFonts w:ascii="Arial Narrow" w:hAnsi="Arial Narrow"/>
                <w:bCs/>
                <w:sz w:val="20"/>
                <w:szCs w:val="20"/>
              </w:rPr>
            </w:pPr>
          </w:p>
        </w:tc>
        <w:tc>
          <w:tcPr>
            <w:tcW w:w="7798" w:type="dxa"/>
            <w:gridSpan w:val="6"/>
            <w:vAlign w:val="center"/>
          </w:tcPr>
          <w:p w14:paraId="0CE485FC" w14:textId="77777777" w:rsidR="00EF78F1" w:rsidRPr="008C410A" w:rsidRDefault="00EF78F1" w:rsidP="00950D9D">
            <w:pPr>
              <w:rPr>
                <w:rFonts w:ascii="Arial Narrow" w:hAnsi="Arial Narrow"/>
                <w:b/>
                <w:bCs/>
                <w:sz w:val="20"/>
                <w:szCs w:val="20"/>
              </w:rPr>
            </w:pPr>
            <w:r w:rsidRPr="008C410A">
              <w:rPr>
                <w:rFonts w:ascii="Arial Narrow" w:hAnsi="Arial Narrow"/>
                <w:b/>
                <w:bCs/>
                <w:sz w:val="20"/>
                <w:szCs w:val="20"/>
              </w:rPr>
              <w:t>Clinical criteria:</w:t>
            </w:r>
          </w:p>
        </w:tc>
      </w:tr>
      <w:tr w:rsidR="00EF78F1" w:rsidRPr="008C410A" w14:paraId="641B155B"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0BA4749B" w14:textId="3154CC17" w:rsidR="00EF78F1" w:rsidRPr="008C410A" w:rsidRDefault="00EF78F1" w:rsidP="00950D9D">
            <w:pPr>
              <w:jc w:val="center"/>
              <w:rPr>
                <w:rFonts w:ascii="Arial Narrow" w:hAnsi="Arial Narrow"/>
                <w:bCs/>
                <w:sz w:val="20"/>
                <w:szCs w:val="20"/>
              </w:rPr>
            </w:pPr>
          </w:p>
        </w:tc>
        <w:tc>
          <w:tcPr>
            <w:tcW w:w="7798" w:type="dxa"/>
            <w:gridSpan w:val="6"/>
            <w:vAlign w:val="center"/>
          </w:tcPr>
          <w:p w14:paraId="3F1A0413" w14:textId="77777777" w:rsidR="00EF78F1" w:rsidRPr="008C410A" w:rsidRDefault="00EF78F1" w:rsidP="00950D9D">
            <w:pPr>
              <w:rPr>
                <w:rFonts w:ascii="Arial Narrow" w:hAnsi="Arial Narrow"/>
                <w:bCs/>
                <w:sz w:val="20"/>
                <w:szCs w:val="20"/>
              </w:rPr>
            </w:pPr>
            <w:r w:rsidRPr="008C410A">
              <w:rPr>
                <w:rFonts w:ascii="Arial Narrow" w:hAnsi="Arial Narrow"/>
                <w:bCs/>
                <w:sz w:val="20"/>
                <w:szCs w:val="20"/>
              </w:rPr>
              <w:t>Patient must have open-angle glaucoma; or</w:t>
            </w:r>
          </w:p>
        </w:tc>
      </w:tr>
      <w:tr w:rsidR="00EF78F1" w:rsidRPr="008C410A" w14:paraId="5A6ABE58"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7E0F36B2" w14:textId="1D266054" w:rsidR="00EF78F1" w:rsidRPr="008C410A" w:rsidRDefault="00EF78F1" w:rsidP="00950D9D">
            <w:pPr>
              <w:jc w:val="center"/>
              <w:rPr>
                <w:rFonts w:ascii="Arial Narrow" w:hAnsi="Arial Narrow"/>
                <w:bCs/>
                <w:sz w:val="20"/>
                <w:szCs w:val="20"/>
              </w:rPr>
            </w:pPr>
          </w:p>
        </w:tc>
        <w:tc>
          <w:tcPr>
            <w:tcW w:w="7798" w:type="dxa"/>
            <w:gridSpan w:val="6"/>
            <w:vAlign w:val="center"/>
          </w:tcPr>
          <w:p w14:paraId="28B2476C" w14:textId="77777777" w:rsidR="00EF78F1" w:rsidRPr="008C410A" w:rsidRDefault="00EF78F1" w:rsidP="00950D9D">
            <w:pPr>
              <w:rPr>
                <w:rFonts w:ascii="Arial Narrow" w:hAnsi="Arial Narrow"/>
                <w:bCs/>
                <w:sz w:val="20"/>
                <w:szCs w:val="20"/>
              </w:rPr>
            </w:pPr>
            <w:r w:rsidRPr="008C410A">
              <w:rPr>
                <w:rFonts w:ascii="Arial Narrow" w:hAnsi="Arial Narrow"/>
                <w:bCs/>
                <w:sz w:val="20"/>
                <w:szCs w:val="20"/>
              </w:rPr>
              <w:t>Patient must have ocular hypertension</w:t>
            </w:r>
          </w:p>
        </w:tc>
      </w:tr>
      <w:tr w:rsidR="00EF78F1" w:rsidRPr="008C410A" w14:paraId="3E8B1E34"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4C151414" w14:textId="644A456A" w:rsidR="00EF78F1" w:rsidRPr="008C410A" w:rsidRDefault="00EF78F1" w:rsidP="00950D9D">
            <w:pPr>
              <w:jc w:val="center"/>
              <w:rPr>
                <w:rFonts w:ascii="Arial Narrow" w:hAnsi="Arial Narrow"/>
                <w:bCs/>
                <w:sz w:val="20"/>
                <w:szCs w:val="20"/>
              </w:rPr>
            </w:pPr>
          </w:p>
        </w:tc>
        <w:tc>
          <w:tcPr>
            <w:tcW w:w="7798" w:type="dxa"/>
            <w:gridSpan w:val="6"/>
            <w:vAlign w:val="center"/>
          </w:tcPr>
          <w:p w14:paraId="5FB0227F" w14:textId="77777777" w:rsidR="00EF78F1" w:rsidRPr="008C410A" w:rsidRDefault="00EF78F1" w:rsidP="00950D9D">
            <w:pPr>
              <w:rPr>
                <w:rFonts w:ascii="Arial Narrow" w:hAnsi="Arial Narrow"/>
                <w:b/>
                <w:bCs/>
                <w:sz w:val="20"/>
                <w:szCs w:val="20"/>
              </w:rPr>
            </w:pPr>
            <w:r w:rsidRPr="008C410A">
              <w:rPr>
                <w:rFonts w:ascii="Arial Narrow" w:hAnsi="Arial Narrow"/>
                <w:b/>
                <w:bCs/>
                <w:sz w:val="20"/>
                <w:szCs w:val="20"/>
              </w:rPr>
              <w:t xml:space="preserve">Administrative Advice: </w:t>
            </w:r>
          </w:p>
          <w:p w14:paraId="03285D2C" w14:textId="77777777" w:rsidR="00EF78F1" w:rsidRPr="008C410A" w:rsidRDefault="00EF78F1" w:rsidP="00950D9D">
            <w:pPr>
              <w:rPr>
                <w:rFonts w:ascii="Arial Narrow" w:hAnsi="Arial Narrow"/>
                <w:bCs/>
                <w:sz w:val="20"/>
                <w:szCs w:val="20"/>
              </w:rPr>
            </w:pPr>
            <w:r w:rsidRPr="008C410A">
              <w:rPr>
                <w:rFonts w:ascii="Arial Narrow" w:hAnsi="Arial Narrow"/>
                <w:bCs/>
                <w:sz w:val="20"/>
                <w:szCs w:val="20"/>
              </w:rPr>
              <w:t>For prescribing in accordance with Optometry Board of Australia guidelines.</w:t>
            </w:r>
          </w:p>
        </w:tc>
      </w:tr>
    </w:tbl>
    <w:p w14:paraId="437648A5" w14:textId="77777777" w:rsidR="00EF78F1" w:rsidRDefault="00EF78F1" w:rsidP="00793DAF">
      <w:pPr>
        <w:pStyle w:val="3Bodytext"/>
        <w:numPr>
          <w:ilvl w:val="0"/>
          <w:numId w:val="0"/>
        </w:numPr>
        <w:spacing w:after="0"/>
        <w:ind w:left="720" w:hanging="720"/>
        <w:rPr>
          <w:i/>
        </w:rPr>
      </w:pPr>
    </w:p>
    <w:p w14:paraId="7B2F16EC" w14:textId="14C806B3" w:rsidR="00EF78F1" w:rsidRPr="00C332AB" w:rsidRDefault="00EF78F1" w:rsidP="00A06E43">
      <w:pPr>
        <w:pStyle w:val="3Bodytext"/>
        <w:numPr>
          <w:ilvl w:val="0"/>
          <w:numId w:val="0"/>
        </w:numPr>
        <w:ind w:left="720"/>
        <w:rPr>
          <w:i/>
        </w:rPr>
      </w:pPr>
      <w:r w:rsidRPr="00EF78F1">
        <w:rPr>
          <w:i/>
        </w:rPr>
        <w:t>For more deta</w:t>
      </w:r>
      <w:r w:rsidR="00685457">
        <w:rPr>
          <w:i/>
        </w:rPr>
        <w:t>il on PBAC’s view, see section 6</w:t>
      </w:r>
      <w:r w:rsidRPr="00EF78F1">
        <w:rPr>
          <w:i/>
        </w:rPr>
        <w:t xml:space="preserve"> PBAC outcome.</w:t>
      </w:r>
    </w:p>
    <w:p w14:paraId="29A96004" w14:textId="77777777" w:rsidR="00C27C1C" w:rsidRPr="00980B0E" w:rsidRDefault="00C27C1C" w:rsidP="001F2311">
      <w:pPr>
        <w:pStyle w:val="2-SectionHeading"/>
        <w:numPr>
          <w:ilvl w:val="0"/>
          <w:numId w:val="2"/>
        </w:numPr>
        <w:rPr>
          <w:color w:val="FF0000"/>
        </w:rPr>
      </w:pPr>
      <w:r w:rsidRPr="003C2FB5">
        <w:t>Comparator</w:t>
      </w:r>
      <w:r>
        <w:t xml:space="preserve"> </w:t>
      </w:r>
    </w:p>
    <w:p w14:paraId="542C4B5D" w14:textId="289C52FC" w:rsidR="005D01E1" w:rsidRPr="005D01E1" w:rsidRDefault="00C27C1C" w:rsidP="00D500D6">
      <w:pPr>
        <w:pStyle w:val="3Bodytext"/>
        <w:jc w:val="both"/>
        <w:rPr>
          <w:i/>
        </w:rPr>
      </w:pPr>
      <w:r w:rsidRPr="000B44C3">
        <w:t xml:space="preserve">The submission nominated </w:t>
      </w:r>
      <w:proofErr w:type="spellStart"/>
      <w:r w:rsidR="00FA143B" w:rsidRPr="00FA143B">
        <w:t>Cosopt</w:t>
      </w:r>
      <w:proofErr w:type="spellEnd"/>
      <w:r w:rsidR="00F83F03">
        <w:t>®</w:t>
      </w:r>
      <w:r w:rsidR="00FA143B">
        <w:rPr>
          <w:color w:val="FF0000"/>
        </w:rPr>
        <w:t xml:space="preserve"> </w:t>
      </w:r>
      <w:r w:rsidRPr="000B44C3">
        <w:t>as the main comparator.</w:t>
      </w:r>
      <w:r w:rsidR="00EB7210">
        <w:t xml:space="preserve"> </w:t>
      </w:r>
      <w:r w:rsidR="00E413B4" w:rsidRPr="00ED1D39">
        <w:t>This was appropriate.</w:t>
      </w:r>
    </w:p>
    <w:p w14:paraId="1184BA9A" w14:textId="4CF5BF2D" w:rsidR="00C27C1C" w:rsidRPr="005D01E1" w:rsidRDefault="005D01E1" w:rsidP="005D01E1">
      <w:pPr>
        <w:pStyle w:val="3Bodytext"/>
        <w:numPr>
          <w:ilvl w:val="0"/>
          <w:numId w:val="0"/>
        </w:numPr>
        <w:ind w:left="720"/>
        <w:rPr>
          <w:rStyle w:val="CommentReference"/>
          <w:i/>
          <w:sz w:val="24"/>
          <w:szCs w:val="22"/>
        </w:rPr>
      </w:pPr>
      <w:r>
        <w:rPr>
          <w:rStyle w:val="CommentReference"/>
          <w:sz w:val="24"/>
          <w:szCs w:val="22"/>
        </w:rPr>
        <w:t xml:space="preserve"> </w:t>
      </w:r>
      <w:r w:rsidRPr="005D01E1">
        <w:rPr>
          <w:rStyle w:val="CommentReference"/>
          <w:i/>
          <w:sz w:val="24"/>
          <w:szCs w:val="22"/>
        </w:rPr>
        <w:t>For more detail on PBAC’s view, see section 6 PBAC outcome.</w:t>
      </w:r>
    </w:p>
    <w:p w14:paraId="0436B7D8" w14:textId="77777777" w:rsidR="00C27C1C" w:rsidRDefault="00C27C1C" w:rsidP="001F2311">
      <w:pPr>
        <w:pStyle w:val="Heading1"/>
        <w:keepLines/>
        <w:numPr>
          <w:ilvl w:val="0"/>
          <w:numId w:val="2"/>
        </w:numPr>
        <w:spacing w:before="240"/>
        <w:ind w:left="709" w:hanging="709"/>
        <w:rPr>
          <w:sz w:val="32"/>
          <w:szCs w:val="32"/>
        </w:rPr>
      </w:pPr>
      <w:r w:rsidRPr="003C2FB5">
        <w:rPr>
          <w:sz w:val="32"/>
          <w:szCs w:val="32"/>
        </w:rPr>
        <w:t>Consideration of the evidence</w:t>
      </w:r>
    </w:p>
    <w:p w14:paraId="57D9267B" w14:textId="77777777" w:rsidR="00ED1D39" w:rsidRPr="0058368C" w:rsidRDefault="00ED1D39" w:rsidP="00ED1D39">
      <w:pPr>
        <w:pStyle w:val="4-SubsectionHeading"/>
        <w:rPr>
          <w:rFonts w:cstheme="minorHAnsi"/>
          <w:lang w:eastAsia="en-US"/>
        </w:rPr>
      </w:pPr>
      <w:r w:rsidRPr="0058368C">
        <w:rPr>
          <w:rFonts w:cstheme="minorHAnsi"/>
          <w:lang w:eastAsia="en-US"/>
        </w:rPr>
        <w:t>Sponsor hearing</w:t>
      </w:r>
    </w:p>
    <w:p w14:paraId="40A6152D" w14:textId="77777777" w:rsidR="00ED1D39" w:rsidRPr="0058368C" w:rsidRDefault="00ED1D39" w:rsidP="00ED1D39">
      <w:pPr>
        <w:pStyle w:val="3Bodytext"/>
        <w:jc w:val="both"/>
      </w:pPr>
      <w:r w:rsidRPr="0058368C">
        <w:t>There was no hearing for this item.</w:t>
      </w:r>
    </w:p>
    <w:p w14:paraId="3E8726AE" w14:textId="77777777" w:rsidR="00ED1D39" w:rsidRPr="0058368C" w:rsidRDefault="00ED1D39" w:rsidP="00ED1D39">
      <w:pPr>
        <w:pStyle w:val="4-SubsectionHeading"/>
        <w:rPr>
          <w:rFonts w:cstheme="minorHAnsi"/>
          <w:lang w:eastAsia="en-US"/>
        </w:rPr>
      </w:pPr>
      <w:r w:rsidRPr="0058368C">
        <w:rPr>
          <w:rFonts w:cstheme="minorHAnsi"/>
          <w:lang w:eastAsia="en-US"/>
        </w:rPr>
        <w:t>Consumer comments</w:t>
      </w:r>
    </w:p>
    <w:p w14:paraId="3BC6A4A9" w14:textId="047090C8" w:rsidR="00ED1D39" w:rsidRDefault="00ED1D39" w:rsidP="00ED1D39">
      <w:pPr>
        <w:pStyle w:val="3Bodytext"/>
        <w:jc w:val="both"/>
      </w:pPr>
      <w:r w:rsidRPr="0058368C">
        <w:t xml:space="preserve">The PBAC noted that </w:t>
      </w:r>
      <w:r>
        <w:t xml:space="preserve">this item received </w:t>
      </w:r>
      <w:r w:rsidRPr="0058368C">
        <w:t>no consumer comment</w:t>
      </w:r>
      <w:r w:rsidR="00EF78F1">
        <w:t>.</w:t>
      </w:r>
    </w:p>
    <w:p w14:paraId="6BD0CB44" w14:textId="77F637C6" w:rsidR="00074320" w:rsidRPr="00D70349" w:rsidRDefault="00074320" w:rsidP="00FA0B04">
      <w:pPr>
        <w:pStyle w:val="4-SubsectionHeading"/>
        <w:rPr>
          <w:lang w:eastAsia="en-US"/>
        </w:rPr>
      </w:pPr>
      <w:r w:rsidRPr="00D70349">
        <w:rPr>
          <w:lang w:eastAsia="en-US"/>
        </w:rPr>
        <w:t xml:space="preserve">Pricing consideration </w:t>
      </w:r>
    </w:p>
    <w:p w14:paraId="4B39D2CE" w14:textId="44B435EE" w:rsidR="002F6F0F" w:rsidRPr="00645E89" w:rsidRDefault="00D52B24" w:rsidP="00D500D6">
      <w:pPr>
        <w:pStyle w:val="3Bodytext"/>
        <w:jc w:val="both"/>
        <w:rPr>
          <w:rFonts w:cstheme="minorHAnsi"/>
          <w:szCs w:val="24"/>
        </w:rPr>
      </w:pPr>
      <w:r w:rsidRPr="004B4E22">
        <w:t xml:space="preserve">The sponsor proposed an approved ex-manufacturer price (AEMP) of </w:t>
      </w:r>
      <w:r w:rsidR="004B4E22" w:rsidRPr="004B4E22">
        <w:t>$9.85</w:t>
      </w:r>
      <w:r w:rsidR="00616C0E">
        <w:t xml:space="preserve"> and </w:t>
      </w:r>
      <w:r w:rsidR="00AB273D">
        <w:t>dispensed price for maximum quantity (</w:t>
      </w:r>
      <w:r w:rsidR="00616C0E">
        <w:t>DPMQ</w:t>
      </w:r>
      <w:r w:rsidR="00AB273D">
        <w:t>)</w:t>
      </w:r>
      <w:r w:rsidR="00616C0E">
        <w:t xml:space="preserve"> of $22.67</w:t>
      </w:r>
      <w:r w:rsidRPr="004B4E22">
        <w:t xml:space="preserve"> for </w:t>
      </w:r>
      <w:proofErr w:type="spellStart"/>
      <w:r w:rsidR="004B4E22" w:rsidRPr="004B4E22">
        <w:t>Vizo</w:t>
      </w:r>
      <w:proofErr w:type="spellEnd"/>
      <w:r w:rsidR="004B4E22" w:rsidRPr="004B4E22">
        <w:t xml:space="preserve">-PF </w:t>
      </w:r>
      <w:proofErr w:type="spellStart"/>
      <w:r w:rsidR="004B4E22" w:rsidRPr="004B4E22">
        <w:t>Dorzolatim</w:t>
      </w:r>
      <w:proofErr w:type="spellEnd"/>
      <w:r w:rsidR="004B4E22" w:rsidRPr="004B4E22">
        <w:t xml:space="preserve">, </w:t>
      </w:r>
      <w:r w:rsidRPr="004B4E22">
        <w:t xml:space="preserve">which is equivalent to </w:t>
      </w:r>
      <w:proofErr w:type="spellStart"/>
      <w:r w:rsidR="004B4E22" w:rsidRPr="004B4E22">
        <w:t>Cosopt</w:t>
      </w:r>
      <w:proofErr w:type="spellEnd"/>
      <w:r w:rsidR="00C76188">
        <w:t xml:space="preserve"> and</w:t>
      </w:r>
      <w:r w:rsidR="004B4E22" w:rsidRPr="004B4E22">
        <w:t xml:space="preserve"> </w:t>
      </w:r>
      <w:proofErr w:type="spellStart"/>
      <w:r w:rsidR="004B4E22" w:rsidRPr="004B4E22">
        <w:t>Cosdor</w:t>
      </w:r>
      <w:proofErr w:type="spellEnd"/>
      <w:r w:rsidR="00645E89">
        <w:t xml:space="preserve">. </w:t>
      </w:r>
    </w:p>
    <w:p w14:paraId="0263F45B" w14:textId="7B786DE3" w:rsidR="00D70349" w:rsidRPr="00D70349" w:rsidRDefault="00D70349" w:rsidP="00F60DDD">
      <w:pPr>
        <w:pStyle w:val="4-SubsectionHeading"/>
        <w:rPr>
          <w:lang w:eastAsia="en-US"/>
        </w:rPr>
      </w:pPr>
      <w:r w:rsidRPr="009D507A">
        <w:rPr>
          <w:lang w:eastAsia="en-US"/>
        </w:rPr>
        <w:t>Estimated PBS utilisation and financial implications</w:t>
      </w:r>
    </w:p>
    <w:p w14:paraId="16062B7D" w14:textId="4CEC4B04" w:rsidR="00645E89" w:rsidRDefault="00AB333E" w:rsidP="00D500D6">
      <w:pPr>
        <w:pStyle w:val="3Bodytext"/>
        <w:jc w:val="both"/>
      </w:pPr>
      <w:r>
        <w:t>T</w:t>
      </w:r>
      <w:r w:rsidRPr="003075A2">
        <w:t xml:space="preserve">he submission estimated there </w:t>
      </w:r>
      <w:r w:rsidRPr="003D6BFD">
        <w:t xml:space="preserve">to be no financial implications </w:t>
      </w:r>
      <w:r>
        <w:t xml:space="preserve">to the </w:t>
      </w:r>
      <w:r w:rsidRPr="003075A2">
        <w:t xml:space="preserve">PBS/RPBS </w:t>
      </w:r>
      <w:r>
        <w:t>from the</w:t>
      </w:r>
      <w:r w:rsidRPr="003075A2">
        <w:t xml:space="preserve"> listing </w:t>
      </w:r>
      <w:r w:rsidRPr="00167C39">
        <w:t xml:space="preserve">of </w:t>
      </w:r>
      <w:proofErr w:type="spellStart"/>
      <w:r w:rsidRPr="00D36AFB">
        <w:t>Vizo</w:t>
      </w:r>
      <w:proofErr w:type="spellEnd"/>
      <w:r w:rsidRPr="00D36AFB">
        <w:t xml:space="preserve">-PF </w:t>
      </w:r>
      <w:proofErr w:type="spellStart"/>
      <w:r w:rsidRPr="00D36AFB">
        <w:t>Dorzolatim</w:t>
      </w:r>
      <w:proofErr w:type="spellEnd"/>
      <w:r w:rsidRPr="003075A2">
        <w:t xml:space="preserve"> over six years. </w:t>
      </w:r>
    </w:p>
    <w:p w14:paraId="0FC158FE" w14:textId="14BF9F02" w:rsidR="003B49CF" w:rsidRDefault="003B49CF" w:rsidP="00D500D6">
      <w:pPr>
        <w:pStyle w:val="3Bodytext"/>
        <w:jc w:val="both"/>
      </w:pPr>
      <w:r>
        <w:t>The submission did</w:t>
      </w:r>
      <w:r w:rsidRPr="003B49CF">
        <w:t xml:space="preserve"> not anticipate an increase</w:t>
      </w:r>
      <w:r w:rsidR="00996633">
        <w:t>d</w:t>
      </w:r>
      <w:r w:rsidRPr="003B49CF">
        <w:t xml:space="preserve"> market size or growth </w:t>
      </w:r>
      <w:proofErr w:type="gramStart"/>
      <w:r w:rsidRPr="003B49CF">
        <w:t xml:space="preserve">as a result </w:t>
      </w:r>
      <w:r w:rsidR="00BA7FEE">
        <w:t>of</w:t>
      </w:r>
      <w:proofErr w:type="gramEnd"/>
      <w:r w:rsidR="00BA7FEE">
        <w:t xml:space="preserve"> </w:t>
      </w:r>
      <w:r w:rsidRPr="003B49CF">
        <w:t xml:space="preserve">the PBS listing of </w:t>
      </w:r>
      <w:proofErr w:type="spellStart"/>
      <w:r w:rsidRPr="003B49CF">
        <w:t>Vizo</w:t>
      </w:r>
      <w:proofErr w:type="spellEnd"/>
      <w:r w:rsidRPr="003B49CF">
        <w:t xml:space="preserve">-PF </w:t>
      </w:r>
      <w:proofErr w:type="spellStart"/>
      <w:r w:rsidRPr="003B49CF">
        <w:t>Dorzolatim</w:t>
      </w:r>
      <w:proofErr w:type="spellEnd"/>
      <w:r w:rsidRPr="003B49CF">
        <w:t>.</w:t>
      </w:r>
    </w:p>
    <w:p w14:paraId="09B845D5" w14:textId="483D6F49" w:rsidR="003B49CF" w:rsidRDefault="003B49CF" w:rsidP="00D500D6">
      <w:pPr>
        <w:pStyle w:val="3Bodytext"/>
        <w:jc w:val="both"/>
      </w:pPr>
      <w:r>
        <w:t xml:space="preserve">The submission estimated that </w:t>
      </w:r>
      <w:proofErr w:type="spellStart"/>
      <w:r w:rsidRPr="003B49CF">
        <w:t>Vizo</w:t>
      </w:r>
      <w:proofErr w:type="spellEnd"/>
      <w:r w:rsidRPr="003B49CF">
        <w:t xml:space="preserve">-PF </w:t>
      </w:r>
      <w:proofErr w:type="spellStart"/>
      <w:r w:rsidRPr="003B49CF">
        <w:t>Dorzolatim</w:t>
      </w:r>
      <w:proofErr w:type="spellEnd"/>
      <w:r w:rsidRPr="003B49CF">
        <w:t xml:space="preserve"> will substitute for 5% market share in the first year of listing</w:t>
      </w:r>
      <w:r w:rsidR="00996633">
        <w:t xml:space="preserve"> (</w:t>
      </w:r>
      <w:r w:rsidR="0021509E" w:rsidRPr="0021509E">
        <w:t>5,000 to &lt; 10,000</w:t>
      </w:r>
      <w:r w:rsidR="0021509E">
        <w:t xml:space="preserve"> </w:t>
      </w:r>
      <w:r w:rsidR="00996633">
        <w:t>prescriptions)</w:t>
      </w:r>
      <w:r w:rsidRPr="003B49CF">
        <w:t>, increasing to approximately 25% by Year 6</w:t>
      </w:r>
      <w:r w:rsidR="00996633">
        <w:t xml:space="preserve"> (</w:t>
      </w:r>
      <w:r w:rsidR="0021509E" w:rsidRPr="0021509E">
        <w:t>30,000 to &lt; 40,000</w:t>
      </w:r>
      <w:r w:rsidR="0021509E">
        <w:t xml:space="preserve"> </w:t>
      </w:r>
      <w:r w:rsidR="00996633">
        <w:t>prescriptions)</w:t>
      </w:r>
      <w:r>
        <w:t>.</w:t>
      </w:r>
    </w:p>
    <w:p w14:paraId="7706BD82" w14:textId="1083234A" w:rsidR="00645E89" w:rsidRDefault="00DB72F7">
      <w:pPr>
        <w:pStyle w:val="3Bodytext"/>
        <w:jc w:val="both"/>
      </w:pPr>
      <w:r w:rsidRPr="00685457">
        <w:t xml:space="preserve">As a Committee Secretariat submission, the financial estimates </w:t>
      </w:r>
      <w:r w:rsidR="007866F2">
        <w:t>were</w:t>
      </w:r>
      <w:r w:rsidR="00396825">
        <w:t xml:space="preserve"> </w:t>
      </w:r>
      <w:r w:rsidRPr="00685457">
        <w:t>not independently evaluated.</w:t>
      </w:r>
    </w:p>
    <w:p w14:paraId="43CBAC6B" w14:textId="6FD53ECF" w:rsidR="00EF78F1" w:rsidRDefault="00EF78F1" w:rsidP="00685457">
      <w:pPr>
        <w:pStyle w:val="3Bodytext"/>
        <w:numPr>
          <w:ilvl w:val="0"/>
          <w:numId w:val="0"/>
        </w:numPr>
        <w:ind w:left="720"/>
        <w:rPr>
          <w:rStyle w:val="CommentReference"/>
          <w:i/>
          <w:sz w:val="24"/>
          <w:szCs w:val="22"/>
        </w:rPr>
      </w:pPr>
      <w:r w:rsidRPr="00EF78F1">
        <w:rPr>
          <w:rStyle w:val="CommentReference"/>
          <w:i/>
          <w:sz w:val="24"/>
          <w:szCs w:val="22"/>
        </w:rPr>
        <w:t>For more deta</w:t>
      </w:r>
      <w:r w:rsidR="00685457">
        <w:rPr>
          <w:rStyle w:val="CommentReference"/>
          <w:i/>
          <w:sz w:val="24"/>
          <w:szCs w:val="22"/>
        </w:rPr>
        <w:t>il on PBAC’s view, see section 6</w:t>
      </w:r>
      <w:r w:rsidRPr="00EF78F1">
        <w:rPr>
          <w:rStyle w:val="CommentReference"/>
          <w:i/>
          <w:sz w:val="24"/>
          <w:szCs w:val="22"/>
        </w:rPr>
        <w:t xml:space="preserve"> PBAC outcome.</w:t>
      </w:r>
    </w:p>
    <w:p w14:paraId="60A8E1EB" w14:textId="77777777" w:rsidR="00685457" w:rsidRPr="0058368C" w:rsidRDefault="00685457" w:rsidP="00685457">
      <w:pPr>
        <w:pStyle w:val="Heading1"/>
        <w:keepLines/>
        <w:numPr>
          <w:ilvl w:val="0"/>
          <w:numId w:val="2"/>
        </w:numPr>
        <w:spacing w:before="240"/>
        <w:ind w:left="709" w:hanging="709"/>
        <w:rPr>
          <w:sz w:val="32"/>
          <w:szCs w:val="32"/>
        </w:rPr>
      </w:pPr>
      <w:r w:rsidRPr="0058368C">
        <w:rPr>
          <w:sz w:val="32"/>
          <w:szCs w:val="32"/>
        </w:rPr>
        <w:t>PBAC Outcome</w:t>
      </w:r>
    </w:p>
    <w:p w14:paraId="0FD24C26" w14:textId="70605994" w:rsidR="00685457" w:rsidRPr="00685457" w:rsidRDefault="00685457" w:rsidP="00D500D6">
      <w:pPr>
        <w:pStyle w:val="3Bodytext"/>
        <w:jc w:val="both"/>
        <w:rPr>
          <w:snapToGrid w:val="0"/>
        </w:rPr>
      </w:pPr>
      <w:r w:rsidRPr="00283025">
        <w:rPr>
          <w:snapToGrid w:val="0"/>
        </w:rPr>
        <w:t xml:space="preserve">The PBAC recommended the </w:t>
      </w:r>
      <w:r w:rsidRPr="003D5157">
        <w:t xml:space="preserve">listing of a new </w:t>
      </w:r>
      <w:r>
        <w:t>ophthalmic eye drops solution</w:t>
      </w:r>
      <w:r w:rsidRPr="003D6BFD">
        <w:t xml:space="preserve"> </w:t>
      </w:r>
      <w:r w:rsidRPr="003D5157">
        <w:t>in a preservative-free</w:t>
      </w:r>
      <w:r>
        <w:t xml:space="preserve"> (PF)</w:t>
      </w:r>
      <w:r w:rsidRPr="003D5157">
        <w:t xml:space="preserve"> multi-dose bottle</w:t>
      </w:r>
      <w:r>
        <w:t xml:space="preserve">, </w:t>
      </w:r>
      <w:proofErr w:type="spellStart"/>
      <w:r w:rsidRPr="00B50A24">
        <w:t>Vizo</w:t>
      </w:r>
      <w:proofErr w:type="spellEnd"/>
      <w:r w:rsidRPr="00B50A24">
        <w:t xml:space="preserve">-PF </w:t>
      </w:r>
      <w:proofErr w:type="spellStart"/>
      <w:r w:rsidRPr="00B50A24">
        <w:t>Dorzo</w:t>
      </w:r>
      <w:r>
        <w:t>latim</w:t>
      </w:r>
      <w:proofErr w:type="spellEnd"/>
      <w:r>
        <w:t>,</w:t>
      </w:r>
      <w:r w:rsidRPr="003D5157">
        <w:t xml:space="preserve"> under the same </w:t>
      </w:r>
      <w:r>
        <w:t xml:space="preserve">circumstances </w:t>
      </w:r>
      <w:r w:rsidRPr="003D5157">
        <w:t xml:space="preserve">as the currently listed brands of dorzolamide </w:t>
      </w:r>
      <w:r>
        <w:t>+</w:t>
      </w:r>
      <w:r w:rsidRPr="003D5157">
        <w:t xml:space="preserve"> timolol</w:t>
      </w:r>
      <w:r>
        <w:t xml:space="preserve"> eye drops (</w:t>
      </w:r>
      <w:proofErr w:type="spellStart"/>
      <w:r>
        <w:t>Cosopt</w:t>
      </w:r>
      <w:proofErr w:type="spellEnd"/>
      <w:r>
        <w:t xml:space="preserve"> and </w:t>
      </w:r>
      <w:proofErr w:type="spellStart"/>
      <w:r>
        <w:t>Cosdor</w:t>
      </w:r>
      <w:proofErr w:type="spellEnd"/>
      <w:r>
        <w:t xml:space="preserve">), </w:t>
      </w:r>
      <w:r w:rsidRPr="00685457">
        <w:rPr>
          <w:rFonts w:cstheme="minorHAnsi"/>
          <w:szCs w:val="24"/>
        </w:rPr>
        <w:t>for the treatment of elevated intraocular pressure in patients with ocular hypertension or open-angle glaucoma when concomitant therapy is appropriate.</w:t>
      </w:r>
    </w:p>
    <w:p w14:paraId="285C9A16" w14:textId="77777777" w:rsidR="00CD4611" w:rsidRDefault="00F22005" w:rsidP="00D500D6">
      <w:pPr>
        <w:pStyle w:val="3Bodytext"/>
        <w:jc w:val="both"/>
        <w:rPr>
          <w:snapToGrid w:val="0"/>
        </w:rPr>
      </w:pPr>
      <w:r>
        <w:rPr>
          <w:snapToGrid w:val="0"/>
        </w:rPr>
        <w:t xml:space="preserve">The PBAC noted </w:t>
      </w:r>
      <w:proofErr w:type="spellStart"/>
      <w:r>
        <w:rPr>
          <w:snapToGrid w:val="0"/>
        </w:rPr>
        <w:t>Cosopt</w:t>
      </w:r>
      <w:proofErr w:type="spellEnd"/>
      <w:r>
        <w:rPr>
          <w:snapToGrid w:val="0"/>
        </w:rPr>
        <w:t xml:space="preserve"> as the main comparator</w:t>
      </w:r>
      <w:r w:rsidR="00CD4611">
        <w:rPr>
          <w:snapToGrid w:val="0"/>
        </w:rPr>
        <w:t>.</w:t>
      </w:r>
    </w:p>
    <w:p w14:paraId="404BFE48" w14:textId="516918BD" w:rsidR="00F22005" w:rsidRPr="00B22726" w:rsidRDefault="00CD4611" w:rsidP="00D500D6">
      <w:pPr>
        <w:pStyle w:val="3Bodytext"/>
        <w:jc w:val="both"/>
        <w:rPr>
          <w:snapToGrid w:val="0"/>
        </w:rPr>
      </w:pPr>
      <w:r>
        <w:rPr>
          <w:snapToGrid w:val="0"/>
        </w:rPr>
        <w:lastRenderedPageBreak/>
        <w:t>T</w:t>
      </w:r>
      <w:r w:rsidR="00F22005" w:rsidRPr="00950D9D">
        <w:rPr>
          <w:snapToGrid w:val="0"/>
        </w:rPr>
        <w:t xml:space="preserve">he </w:t>
      </w:r>
      <w:r>
        <w:rPr>
          <w:snapToGrid w:val="0"/>
        </w:rPr>
        <w:t xml:space="preserve">PBAC noted that the </w:t>
      </w:r>
      <w:r w:rsidR="00F22005" w:rsidRPr="00950D9D">
        <w:rPr>
          <w:snapToGrid w:val="0"/>
        </w:rPr>
        <w:t xml:space="preserve">TGA stated that </w:t>
      </w:r>
      <w:proofErr w:type="spellStart"/>
      <w:r w:rsidR="00F22005" w:rsidRPr="00950D9D">
        <w:rPr>
          <w:snapToGrid w:val="0"/>
        </w:rPr>
        <w:t>Vizo</w:t>
      </w:r>
      <w:proofErr w:type="spellEnd"/>
      <w:r w:rsidR="00F22005" w:rsidRPr="00950D9D">
        <w:rPr>
          <w:snapToGrid w:val="0"/>
        </w:rPr>
        <w:t xml:space="preserve">-PF </w:t>
      </w:r>
      <w:proofErr w:type="spellStart"/>
      <w:r w:rsidR="00F22005" w:rsidRPr="00950D9D">
        <w:rPr>
          <w:snapToGrid w:val="0"/>
        </w:rPr>
        <w:t>Dorzolatim</w:t>
      </w:r>
      <w:proofErr w:type="spellEnd"/>
      <w:r w:rsidR="00F22005" w:rsidRPr="00950D9D">
        <w:rPr>
          <w:snapToGrid w:val="0"/>
        </w:rPr>
        <w:t xml:space="preserve"> </w:t>
      </w:r>
      <w:r w:rsidR="00B5008E">
        <w:rPr>
          <w:snapToGrid w:val="0"/>
        </w:rPr>
        <w:t>i</w:t>
      </w:r>
      <w:r w:rsidR="00B5008E" w:rsidRPr="00950D9D">
        <w:rPr>
          <w:snapToGrid w:val="0"/>
        </w:rPr>
        <w:t xml:space="preserve">s </w:t>
      </w:r>
      <w:r w:rsidR="00F22005" w:rsidRPr="00950D9D">
        <w:rPr>
          <w:snapToGrid w:val="0"/>
        </w:rPr>
        <w:t xml:space="preserve">bioequivalent to both the preservative-containing and PF forms of </w:t>
      </w:r>
      <w:proofErr w:type="spellStart"/>
      <w:r w:rsidR="00F22005" w:rsidRPr="00950D9D">
        <w:rPr>
          <w:snapToGrid w:val="0"/>
        </w:rPr>
        <w:t>Cosopt</w:t>
      </w:r>
      <w:proofErr w:type="spellEnd"/>
      <w:r w:rsidR="00F22005" w:rsidRPr="00950D9D">
        <w:rPr>
          <w:snapToGrid w:val="0"/>
        </w:rPr>
        <w:t>.</w:t>
      </w:r>
      <w:r w:rsidR="00B5008E" w:rsidRPr="00B5008E">
        <w:rPr>
          <w:rFonts w:cs="Arial"/>
          <w:bCs/>
          <w:snapToGrid w:val="0"/>
        </w:rPr>
        <w:t xml:space="preserve"> </w:t>
      </w:r>
      <w:r w:rsidR="00B5008E" w:rsidRPr="00283025">
        <w:rPr>
          <w:rFonts w:cs="Arial"/>
          <w:bCs/>
          <w:snapToGrid w:val="0"/>
        </w:rPr>
        <w:t xml:space="preserve">The PBAC advised, under </w:t>
      </w:r>
      <w:r w:rsidR="00B5008E">
        <w:rPr>
          <w:rFonts w:cs="Arial"/>
          <w:bCs/>
          <w:snapToGrid w:val="0"/>
        </w:rPr>
        <w:t>s</w:t>
      </w:r>
      <w:r w:rsidR="00B5008E" w:rsidRPr="00283025">
        <w:rPr>
          <w:rFonts w:cs="Arial"/>
          <w:bCs/>
          <w:snapToGrid w:val="0"/>
        </w:rPr>
        <w:t xml:space="preserve">ection 101(4AACD) of the </w:t>
      </w:r>
      <w:r w:rsidR="00B5008E" w:rsidRPr="00283025">
        <w:rPr>
          <w:rFonts w:cs="Arial"/>
          <w:bCs/>
          <w:i/>
          <w:iCs/>
          <w:snapToGrid w:val="0"/>
        </w:rPr>
        <w:t>National Health Act 1953</w:t>
      </w:r>
      <w:r w:rsidR="00B5008E" w:rsidRPr="00283025">
        <w:rPr>
          <w:rFonts w:cs="Arial"/>
          <w:bCs/>
          <w:snapToGrid w:val="0"/>
        </w:rPr>
        <w:t xml:space="preserve">, that the </w:t>
      </w:r>
      <w:proofErr w:type="spellStart"/>
      <w:r w:rsidR="00B5008E" w:rsidRPr="00B50A24">
        <w:t>Vizo</w:t>
      </w:r>
      <w:proofErr w:type="spellEnd"/>
      <w:r w:rsidR="00B5008E" w:rsidRPr="00B50A24">
        <w:t xml:space="preserve">-PF </w:t>
      </w:r>
      <w:proofErr w:type="spellStart"/>
      <w:r w:rsidR="00B5008E" w:rsidRPr="00B50A24">
        <w:t>Dorzo</w:t>
      </w:r>
      <w:r w:rsidR="00B5008E">
        <w:t>latim</w:t>
      </w:r>
      <w:proofErr w:type="spellEnd"/>
      <w:r w:rsidR="00B5008E" w:rsidRPr="00283025">
        <w:rPr>
          <w:rFonts w:cs="Arial"/>
          <w:bCs/>
          <w:snapToGrid w:val="0"/>
        </w:rPr>
        <w:t xml:space="preserve">, </w:t>
      </w:r>
      <w:proofErr w:type="spellStart"/>
      <w:r w:rsidR="00B5008E">
        <w:t>Cosopt</w:t>
      </w:r>
      <w:proofErr w:type="spellEnd"/>
      <w:r w:rsidR="00B5008E">
        <w:t xml:space="preserve"> and </w:t>
      </w:r>
      <w:proofErr w:type="spellStart"/>
      <w:r w:rsidR="00B5008E">
        <w:t>Cosdor</w:t>
      </w:r>
      <w:proofErr w:type="spellEnd"/>
      <w:r w:rsidR="00B5008E" w:rsidRPr="00283025">
        <w:rPr>
          <w:rFonts w:cs="Arial"/>
          <w:bCs/>
          <w:snapToGrid w:val="0"/>
        </w:rPr>
        <w:t xml:space="preserve"> brands of </w:t>
      </w:r>
      <w:r w:rsidR="00B5008E" w:rsidRPr="003D5157">
        <w:t xml:space="preserve">dorzolamide </w:t>
      </w:r>
      <w:r w:rsidR="00B5008E">
        <w:t>+</w:t>
      </w:r>
      <w:r w:rsidR="00B5008E" w:rsidRPr="003D5157">
        <w:t xml:space="preserve"> timolol</w:t>
      </w:r>
      <w:r w:rsidR="00B5008E" w:rsidRPr="00283025">
        <w:rPr>
          <w:rFonts w:cs="Arial"/>
          <w:bCs/>
          <w:snapToGrid w:val="0"/>
        </w:rPr>
        <w:t xml:space="preserve"> eye drops should be considered equivalent for the purposes of substitution</w:t>
      </w:r>
      <w:r w:rsidR="00B5008E">
        <w:rPr>
          <w:rFonts w:cs="Arial"/>
          <w:bCs/>
          <w:snapToGrid w:val="0"/>
        </w:rPr>
        <w:t xml:space="preserve"> </w:t>
      </w:r>
      <w:r w:rsidR="00B5008E">
        <w:t>(</w:t>
      </w:r>
      <w:proofErr w:type="gramStart"/>
      <w:r w:rsidR="00B5008E">
        <w:t>i.e.</w:t>
      </w:r>
      <w:proofErr w:type="gramEnd"/>
      <w:r w:rsidR="00B5008E">
        <w:t xml:space="preserve"> ‘a’-flagged in the Schedule)</w:t>
      </w:r>
      <w:r w:rsidR="00B5008E">
        <w:rPr>
          <w:rFonts w:cs="Arial"/>
          <w:bCs/>
          <w:snapToGrid w:val="0"/>
        </w:rPr>
        <w:t>.</w:t>
      </w:r>
    </w:p>
    <w:p w14:paraId="3E66DF81" w14:textId="77777777" w:rsidR="00F22005" w:rsidRPr="00685457" w:rsidRDefault="00F22005" w:rsidP="00D500D6">
      <w:pPr>
        <w:pStyle w:val="3Bodytext"/>
        <w:jc w:val="both"/>
        <w:rPr>
          <w:snapToGrid w:val="0"/>
        </w:rPr>
      </w:pPr>
      <w:r>
        <w:rPr>
          <w:snapToGrid w:val="0"/>
        </w:rPr>
        <w:t>The PBAC noted that t</w:t>
      </w:r>
      <w:r w:rsidRPr="00950D9D">
        <w:rPr>
          <w:snapToGrid w:val="0"/>
        </w:rPr>
        <w:t xml:space="preserve">he submission estimated no financial implications to the PBS/RPBS from the listing of </w:t>
      </w:r>
      <w:proofErr w:type="spellStart"/>
      <w:r w:rsidRPr="00950D9D">
        <w:rPr>
          <w:snapToGrid w:val="0"/>
        </w:rPr>
        <w:t>Vizo</w:t>
      </w:r>
      <w:proofErr w:type="spellEnd"/>
      <w:r w:rsidRPr="00950D9D">
        <w:rPr>
          <w:snapToGrid w:val="0"/>
        </w:rPr>
        <w:t xml:space="preserve">-PF </w:t>
      </w:r>
      <w:proofErr w:type="spellStart"/>
      <w:r w:rsidRPr="00950D9D">
        <w:rPr>
          <w:snapToGrid w:val="0"/>
        </w:rPr>
        <w:t>Dorzolatim</w:t>
      </w:r>
      <w:proofErr w:type="spellEnd"/>
      <w:r w:rsidRPr="00950D9D">
        <w:rPr>
          <w:snapToGrid w:val="0"/>
        </w:rPr>
        <w:t xml:space="preserve"> over six years.</w:t>
      </w:r>
    </w:p>
    <w:p w14:paraId="575E08F5" w14:textId="6950C607" w:rsidR="00685457" w:rsidRPr="00283025" w:rsidRDefault="00685457" w:rsidP="00D500D6">
      <w:pPr>
        <w:pStyle w:val="3Bodytext"/>
        <w:jc w:val="both"/>
        <w:rPr>
          <w:snapToGrid w:val="0"/>
        </w:rPr>
      </w:pPr>
      <w:r w:rsidRPr="00283025">
        <w:rPr>
          <w:snapToGrid w:val="0"/>
        </w:rPr>
        <w:t xml:space="preserve">The PBAC advised that because </w:t>
      </w:r>
      <w:proofErr w:type="spellStart"/>
      <w:r w:rsidR="00950D9D" w:rsidRPr="00B50A24">
        <w:t>Vizo</w:t>
      </w:r>
      <w:proofErr w:type="spellEnd"/>
      <w:r w:rsidR="00950D9D" w:rsidRPr="00B50A24">
        <w:t xml:space="preserve">-PF </w:t>
      </w:r>
      <w:proofErr w:type="spellStart"/>
      <w:r w:rsidR="00950D9D" w:rsidRPr="00B50A24">
        <w:t>Dorzo</w:t>
      </w:r>
      <w:r w:rsidR="00950D9D">
        <w:t>latim</w:t>
      </w:r>
      <w:proofErr w:type="spellEnd"/>
      <w:r w:rsidRPr="00283025">
        <w:rPr>
          <w:snapToGrid w:val="0"/>
        </w:rPr>
        <w:t xml:space="preserve"> is not expected to provide a substantial and clinically relevant improvement in efficacy, or reduction of toxicity, over </w:t>
      </w:r>
      <w:proofErr w:type="spellStart"/>
      <w:r w:rsidR="00950D9D">
        <w:t>Cosopt</w:t>
      </w:r>
      <w:proofErr w:type="spellEnd"/>
      <w:r w:rsidR="00950D9D">
        <w:t xml:space="preserve"> and </w:t>
      </w:r>
      <w:proofErr w:type="spellStart"/>
      <w:r w:rsidR="00950D9D">
        <w:t>Cosdor</w:t>
      </w:r>
      <w:proofErr w:type="spellEnd"/>
      <w:r w:rsidRPr="00283025">
        <w:rPr>
          <w:snapToGrid w:val="0"/>
        </w:rPr>
        <w:t xml:space="preserve">, or not expected to address a high and urgent unmet clinical need given the presence of alternative therapies, the criteria prescribed by the </w:t>
      </w:r>
      <w:r w:rsidRPr="008B6B4B">
        <w:rPr>
          <w:i/>
          <w:iCs/>
          <w:snapToGrid w:val="0"/>
        </w:rPr>
        <w:t>National Health (Pharmaceuticals and Vaccines – Cost Recovery) Regulations 2009</w:t>
      </w:r>
      <w:r w:rsidRPr="00283025">
        <w:rPr>
          <w:snapToGrid w:val="0"/>
        </w:rPr>
        <w:t xml:space="preserve"> for Pricing Pathway A were not met.</w:t>
      </w:r>
    </w:p>
    <w:p w14:paraId="4D8A862E" w14:textId="77777777" w:rsidR="00685457" w:rsidRPr="0058368C" w:rsidRDefault="00685457">
      <w:pPr>
        <w:widowControl w:val="0"/>
        <w:numPr>
          <w:ilvl w:val="1"/>
          <w:numId w:val="2"/>
        </w:numPr>
        <w:spacing w:after="120"/>
        <w:rPr>
          <w:rFonts w:asciiTheme="minorHAnsi" w:hAnsiTheme="minorHAnsi" w:cs="Arial"/>
          <w:bCs/>
          <w:snapToGrid w:val="0"/>
        </w:rPr>
      </w:pPr>
      <w:r w:rsidRPr="0058368C">
        <w:t>The PBAC noted that this submission is not eligible for an Independent Review as it received a positive recommendation.</w:t>
      </w:r>
    </w:p>
    <w:p w14:paraId="564A711F" w14:textId="77777777" w:rsidR="00685457" w:rsidRPr="00283025" w:rsidRDefault="00685457" w:rsidP="00685457">
      <w:pPr>
        <w:spacing w:before="240"/>
        <w:rPr>
          <w:rFonts w:asciiTheme="minorHAnsi" w:hAnsiTheme="minorHAnsi" w:cs="Arial"/>
          <w:b/>
          <w:bCs/>
          <w:snapToGrid w:val="0"/>
        </w:rPr>
      </w:pPr>
      <w:r w:rsidRPr="00283025">
        <w:rPr>
          <w:rFonts w:asciiTheme="minorHAnsi" w:hAnsiTheme="minorHAnsi" w:cs="Arial"/>
          <w:b/>
          <w:bCs/>
          <w:snapToGrid w:val="0"/>
        </w:rPr>
        <w:t>Outcome:</w:t>
      </w:r>
    </w:p>
    <w:p w14:paraId="07D59EBA" w14:textId="77E327C5" w:rsidR="00685457" w:rsidRPr="0058368C" w:rsidRDefault="00685457" w:rsidP="00D500D6">
      <w:pPr>
        <w:rPr>
          <w:rFonts w:cs="Arial"/>
          <w:b/>
          <w:bCs/>
          <w:snapToGrid w:val="0"/>
          <w:lang w:eastAsia="en-US"/>
        </w:rPr>
      </w:pPr>
      <w:r w:rsidRPr="00283025">
        <w:rPr>
          <w:rFonts w:asciiTheme="minorHAnsi" w:hAnsiTheme="minorHAnsi" w:cs="Arial"/>
          <w:bCs/>
          <w:snapToGrid w:val="0"/>
        </w:rPr>
        <w:t xml:space="preserve">Recommended </w:t>
      </w:r>
    </w:p>
    <w:p w14:paraId="45B579A7" w14:textId="77777777" w:rsidR="00685457" w:rsidRPr="0058368C" w:rsidRDefault="00685457" w:rsidP="00685457">
      <w:pPr>
        <w:pStyle w:val="Heading1"/>
        <w:keepLines/>
        <w:numPr>
          <w:ilvl w:val="0"/>
          <w:numId w:val="2"/>
        </w:numPr>
        <w:spacing w:before="240"/>
        <w:ind w:left="709" w:hanging="709"/>
        <w:rPr>
          <w:sz w:val="32"/>
          <w:szCs w:val="32"/>
        </w:rPr>
      </w:pPr>
      <w:r w:rsidRPr="0058368C">
        <w:rPr>
          <w:sz w:val="32"/>
          <w:szCs w:val="32"/>
        </w:rPr>
        <w:t>Recommended listing</w:t>
      </w:r>
    </w:p>
    <w:p w14:paraId="144DA1C5" w14:textId="4B1B6C0D" w:rsidR="00950D9D" w:rsidRDefault="00950D9D" w:rsidP="00950D9D">
      <w:pPr>
        <w:widowControl w:val="0"/>
        <w:numPr>
          <w:ilvl w:val="1"/>
          <w:numId w:val="2"/>
        </w:numPr>
        <w:spacing w:after="120"/>
      </w:pPr>
      <w:r w:rsidRPr="00ED1D39">
        <w:t xml:space="preserve">Add new trade product pack </w:t>
      </w:r>
      <w:r w:rsidR="00A414A5">
        <w:t>(</w:t>
      </w:r>
      <w:proofErr w:type="spellStart"/>
      <w:r w:rsidR="00A414A5">
        <w:t>Vizo</w:t>
      </w:r>
      <w:proofErr w:type="spellEnd"/>
      <w:r w:rsidR="00A414A5">
        <w:t xml:space="preserve">-PF </w:t>
      </w:r>
      <w:proofErr w:type="spellStart"/>
      <w:r w:rsidR="00A414A5">
        <w:t>Dorzolatim</w:t>
      </w:r>
      <w:proofErr w:type="spellEnd"/>
      <w:r w:rsidR="00A414A5">
        <w:t xml:space="preserve">) to the existing listings for </w:t>
      </w:r>
      <w:proofErr w:type="spellStart"/>
      <w:r w:rsidR="00A414A5">
        <w:t>Cosopt</w:t>
      </w:r>
      <w:proofErr w:type="spellEnd"/>
      <w:r w:rsidR="00A414A5">
        <w:t xml:space="preserve"> and </w:t>
      </w:r>
      <w:proofErr w:type="spellStart"/>
      <w:r w:rsidR="00A414A5">
        <w:t>Cosdor</w:t>
      </w:r>
      <w:proofErr w:type="spellEnd"/>
      <w:r w:rsidR="00A414A5">
        <w:t xml:space="preserve"> </w:t>
      </w:r>
      <w:r w:rsidRPr="00ED1D39">
        <w:t>as follows:</w:t>
      </w:r>
    </w:p>
    <w:p w14:paraId="5D18CE98" w14:textId="60B6EF8C" w:rsidR="00A414A5" w:rsidRDefault="00A414A5" w:rsidP="00950D9D">
      <w:pPr>
        <w:widowControl w:val="0"/>
        <w:numPr>
          <w:ilvl w:val="1"/>
          <w:numId w:val="2"/>
        </w:numPr>
        <w:spacing w:after="120"/>
      </w:pPr>
      <w:r>
        <w:t>Add equivalence indicators to the trade products ‘</w:t>
      </w:r>
      <w:proofErr w:type="spellStart"/>
      <w:r>
        <w:t>Vizo</w:t>
      </w:r>
      <w:proofErr w:type="spellEnd"/>
      <w:r>
        <w:t xml:space="preserve">-PF </w:t>
      </w:r>
      <w:proofErr w:type="spellStart"/>
      <w:r>
        <w:t>Dorzolatim</w:t>
      </w:r>
      <w:proofErr w:type="spellEnd"/>
      <w:r>
        <w:t>’, ‘</w:t>
      </w:r>
      <w:proofErr w:type="spellStart"/>
      <w:r>
        <w:t>Cosdor</w:t>
      </w:r>
      <w:proofErr w:type="spellEnd"/>
      <w:r>
        <w:t>’ and ‘</w:t>
      </w:r>
      <w:proofErr w:type="spellStart"/>
      <w:r>
        <w:t>Cosopt</w:t>
      </w:r>
      <w:proofErr w:type="spellEnd"/>
      <w:r>
        <w:t>’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269"/>
        <w:gridCol w:w="993"/>
        <w:gridCol w:w="992"/>
        <w:gridCol w:w="709"/>
        <w:gridCol w:w="567"/>
        <w:gridCol w:w="2268"/>
      </w:tblGrid>
      <w:tr w:rsidR="00950D9D" w:rsidRPr="008C410A" w14:paraId="732F8B51" w14:textId="77777777" w:rsidTr="00950D9D">
        <w:trPr>
          <w:cantSplit/>
          <w:trHeight w:val="471"/>
        </w:trPr>
        <w:tc>
          <w:tcPr>
            <w:tcW w:w="3397" w:type="dxa"/>
            <w:gridSpan w:val="2"/>
          </w:tcPr>
          <w:p w14:paraId="0143C3C2" w14:textId="77777777" w:rsidR="00950D9D" w:rsidRPr="008C410A" w:rsidRDefault="00950D9D" w:rsidP="00950D9D">
            <w:pPr>
              <w:keepNext/>
              <w:ind w:left="-108"/>
              <w:rPr>
                <w:rFonts w:ascii="Arial Narrow" w:hAnsi="Arial Narrow" w:cs="Arial"/>
                <w:b/>
                <w:bCs/>
                <w:sz w:val="20"/>
                <w:szCs w:val="20"/>
              </w:rPr>
            </w:pPr>
            <w:r w:rsidRPr="008C410A">
              <w:rPr>
                <w:rFonts w:ascii="Arial Narrow" w:hAnsi="Arial Narrow" w:cs="Arial"/>
                <w:b/>
                <w:bCs/>
                <w:sz w:val="20"/>
                <w:szCs w:val="20"/>
              </w:rPr>
              <w:t>MEDICINAL PRODUCT</w:t>
            </w:r>
          </w:p>
          <w:p w14:paraId="1FB99E01" w14:textId="77777777" w:rsidR="00950D9D" w:rsidRPr="008C410A" w:rsidRDefault="00950D9D" w:rsidP="00950D9D">
            <w:pPr>
              <w:keepNext/>
              <w:ind w:left="-108"/>
              <w:rPr>
                <w:rFonts w:ascii="Arial Narrow" w:hAnsi="Arial Narrow" w:cs="Arial"/>
                <w:b/>
                <w:sz w:val="20"/>
                <w:szCs w:val="20"/>
              </w:rPr>
            </w:pPr>
            <w:r w:rsidRPr="008C410A">
              <w:rPr>
                <w:rFonts w:ascii="Arial Narrow" w:hAnsi="Arial Narrow" w:cs="Arial"/>
                <w:b/>
                <w:bCs/>
                <w:sz w:val="20"/>
                <w:szCs w:val="20"/>
              </w:rPr>
              <w:t xml:space="preserve"> Medicinal Product Pack</w:t>
            </w:r>
          </w:p>
        </w:tc>
        <w:tc>
          <w:tcPr>
            <w:tcW w:w="993" w:type="dxa"/>
          </w:tcPr>
          <w:p w14:paraId="2EEF4C81"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PBS item code</w:t>
            </w:r>
          </w:p>
        </w:tc>
        <w:tc>
          <w:tcPr>
            <w:tcW w:w="992" w:type="dxa"/>
          </w:tcPr>
          <w:p w14:paraId="2D56C26D"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Max. qty packs</w:t>
            </w:r>
          </w:p>
        </w:tc>
        <w:tc>
          <w:tcPr>
            <w:tcW w:w="709" w:type="dxa"/>
          </w:tcPr>
          <w:p w14:paraId="746D8B5A"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Max. qty units</w:t>
            </w:r>
          </w:p>
        </w:tc>
        <w:tc>
          <w:tcPr>
            <w:tcW w:w="567" w:type="dxa"/>
          </w:tcPr>
          <w:p w14:paraId="2987E349"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№.of</w:t>
            </w:r>
          </w:p>
          <w:p w14:paraId="5D2732D2" w14:textId="77777777" w:rsidR="00950D9D" w:rsidRPr="008C410A" w:rsidRDefault="00950D9D" w:rsidP="00950D9D">
            <w:pPr>
              <w:keepNext/>
              <w:ind w:left="-108"/>
              <w:jc w:val="center"/>
              <w:rPr>
                <w:rFonts w:ascii="Arial Narrow" w:hAnsi="Arial Narrow" w:cs="Arial"/>
                <w:b/>
                <w:sz w:val="20"/>
                <w:szCs w:val="20"/>
              </w:rPr>
            </w:pPr>
            <w:proofErr w:type="spellStart"/>
            <w:r w:rsidRPr="008C410A">
              <w:rPr>
                <w:rFonts w:ascii="Arial Narrow" w:hAnsi="Arial Narrow" w:cs="Arial"/>
                <w:b/>
                <w:sz w:val="20"/>
                <w:szCs w:val="20"/>
              </w:rPr>
              <w:t>Rpts</w:t>
            </w:r>
            <w:proofErr w:type="spellEnd"/>
          </w:p>
        </w:tc>
        <w:tc>
          <w:tcPr>
            <w:tcW w:w="2268" w:type="dxa"/>
          </w:tcPr>
          <w:p w14:paraId="43D5912F" w14:textId="77777777" w:rsidR="00950D9D" w:rsidRPr="008C410A" w:rsidRDefault="00950D9D" w:rsidP="00950D9D">
            <w:pPr>
              <w:keepNext/>
              <w:rPr>
                <w:rFonts w:ascii="Arial Narrow" w:hAnsi="Arial Narrow" w:cs="Arial"/>
                <w:b/>
                <w:sz w:val="20"/>
                <w:szCs w:val="20"/>
                <w:lang w:val="fr-FR"/>
              </w:rPr>
            </w:pPr>
            <w:r w:rsidRPr="008C410A">
              <w:rPr>
                <w:rFonts w:ascii="Arial Narrow" w:hAnsi="Arial Narrow" w:cs="Arial"/>
                <w:b/>
                <w:sz w:val="20"/>
                <w:szCs w:val="20"/>
              </w:rPr>
              <w:t>Available brands</w:t>
            </w:r>
          </w:p>
        </w:tc>
      </w:tr>
      <w:tr w:rsidR="00950D9D" w:rsidRPr="008C410A" w14:paraId="53E73733" w14:textId="77777777" w:rsidTr="00950D9D">
        <w:trPr>
          <w:cantSplit/>
          <w:trHeight w:val="813"/>
        </w:trPr>
        <w:tc>
          <w:tcPr>
            <w:tcW w:w="3397" w:type="dxa"/>
            <w:gridSpan w:val="2"/>
          </w:tcPr>
          <w:p w14:paraId="02009B10" w14:textId="77777777" w:rsidR="00950D9D" w:rsidRPr="008C410A" w:rsidRDefault="00950D9D" w:rsidP="00950D9D">
            <w:pPr>
              <w:keepNext/>
              <w:ind w:left="-108"/>
              <w:rPr>
                <w:rFonts w:ascii="Arial Narrow" w:hAnsi="Arial Narrow" w:cs="Arial"/>
                <w:sz w:val="20"/>
                <w:szCs w:val="20"/>
              </w:rPr>
            </w:pPr>
            <w:r w:rsidRPr="008C410A">
              <w:rPr>
                <w:rFonts w:ascii="Arial Narrow" w:hAnsi="Arial Narrow" w:cs="Arial"/>
                <w:sz w:val="20"/>
                <w:szCs w:val="20"/>
              </w:rPr>
              <w:t xml:space="preserve">DORZOLAMIDE + TIMOLOL </w:t>
            </w:r>
          </w:p>
          <w:p w14:paraId="6C49795F" w14:textId="77777777" w:rsidR="00950D9D" w:rsidRPr="008C410A" w:rsidRDefault="00950D9D" w:rsidP="00950D9D">
            <w:pPr>
              <w:keepNext/>
              <w:ind w:left="-108"/>
              <w:rPr>
                <w:rFonts w:ascii="Arial Narrow" w:hAnsi="Arial Narrow" w:cs="Arial"/>
                <w:sz w:val="20"/>
                <w:szCs w:val="20"/>
              </w:rPr>
            </w:pPr>
          </w:p>
          <w:p w14:paraId="59C21312" w14:textId="7A89F001" w:rsidR="00950D9D" w:rsidRPr="008C410A" w:rsidRDefault="00950D9D" w:rsidP="00950D9D">
            <w:pPr>
              <w:keepNext/>
              <w:ind w:left="-108"/>
              <w:rPr>
                <w:rFonts w:ascii="Arial Narrow" w:hAnsi="Arial Narrow" w:cs="Arial"/>
                <w:sz w:val="20"/>
                <w:szCs w:val="20"/>
              </w:rPr>
            </w:pPr>
            <w:r w:rsidRPr="008C410A">
              <w:rPr>
                <w:rFonts w:ascii="Arial Narrow" w:hAnsi="Arial Narrow" w:cs="Arial"/>
                <w:sz w:val="20"/>
                <w:szCs w:val="20"/>
              </w:rPr>
              <w:t>dorzolamide 2% + timolol 0.5% eye drops, 5</w:t>
            </w:r>
            <w:r w:rsidR="00581647">
              <w:rPr>
                <w:rFonts w:ascii="Arial Narrow" w:hAnsi="Arial Narrow" w:cs="Arial"/>
                <w:sz w:val="20"/>
                <w:szCs w:val="20"/>
              </w:rPr>
              <w:t> </w:t>
            </w:r>
            <w:r w:rsidRPr="008C410A">
              <w:rPr>
                <w:rFonts w:ascii="Arial Narrow" w:hAnsi="Arial Narrow" w:cs="Arial"/>
                <w:sz w:val="20"/>
                <w:szCs w:val="20"/>
              </w:rPr>
              <w:t>mL</w:t>
            </w:r>
          </w:p>
        </w:tc>
        <w:tc>
          <w:tcPr>
            <w:tcW w:w="993" w:type="dxa"/>
          </w:tcPr>
          <w:p w14:paraId="05627721" w14:textId="77777777" w:rsidR="00950D9D" w:rsidRPr="008C410A" w:rsidRDefault="00950D9D" w:rsidP="00950D9D">
            <w:pPr>
              <w:keepNext/>
              <w:ind w:left="-108"/>
              <w:jc w:val="center"/>
              <w:rPr>
                <w:rFonts w:ascii="Arial Narrow" w:hAnsi="Arial Narrow" w:cs="Arial"/>
                <w:color w:val="FF0000"/>
                <w:sz w:val="20"/>
                <w:szCs w:val="20"/>
              </w:rPr>
            </w:pPr>
          </w:p>
          <w:p w14:paraId="2D80DB72" w14:textId="77777777" w:rsidR="00950D9D" w:rsidRPr="008C410A" w:rsidRDefault="00950D9D" w:rsidP="00950D9D">
            <w:pPr>
              <w:keepNext/>
              <w:ind w:left="-108"/>
              <w:jc w:val="center"/>
              <w:rPr>
                <w:rFonts w:ascii="Arial Narrow" w:hAnsi="Arial Narrow" w:cs="Arial"/>
                <w:color w:val="FF0000"/>
                <w:sz w:val="20"/>
                <w:szCs w:val="20"/>
              </w:rPr>
            </w:pPr>
            <w:r w:rsidRPr="008C410A">
              <w:rPr>
                <w:rFonts w:ascii="Arial Narrow" w:hAnsi="Arial Narrow" w:cs="Arial"/>
                <w:sz w:val="20"/>
                <w:szCs w:val="20"/>
              </w:rPr>
              <w:t>8567X</w:t>
            </w:r>
          </w:p>
        </w:tc>
        <w:tc>
          <w:tcPr>
            <w:tcW w:w="992" w:type="dxa"/>
          </w:tcPr>
          <w:p w14:paraId="436F6F91" w14:textId="77777777" w:rsidR="00950D9D" w:rsidRPr="008C410A" w:rsidRDefault="00950D9D" w:rsidP="00950D9D">
            <w:pPr>
              <w:keepNext/>
              <w:jc w:val="center"/>
              <w:rPr>
                <w:rFonts w:ascii="Arial Narrow" w:hAnsi="Arial Narrow" w:cs="Arial"/>
                <w:sz w:val="20"/>
                <w:szCs w:val="20"/>
              </w:rPr>
            </w:pPr>
          </w:p>
          <w:p w14:paraId="2517EEA3" w14:textId="77777777" w:rsidR="00950D9D" w:rsidRPr="008C410A" w:rsidRDefault="00950D9D" w:rsidP="00950D9D">
            <w:pPr>
              <w:keepNext/>
              <w:jc w:val="center"/>
              <w:rPr>
                <w:rFonts w:ascii="Arial Narrow" w:hAnsi="Arial Narrow" w:cs="Arial"/>
                <w:sz w:val="20"/>
                <w:szCs w:val="20"/>
              </w:rPr>
            </w:pPr>
            <w:r w:rsidRPr="008C410A">
              <w:rPr>
                <w:rFonts w:ascii="Arial Narrow" w:hAnsi="Arial Narrow" w:cs="Arial"/>
                <w:sz w:val="20"/>
                <w:szCs w:val="20"/>
              </w:rPr>
              <w:t>1</w:t>
            </w:r>
          </w:p>
        </w:tc>
        <w:tc>
          <w:tcPr>
            <w:tcW w:w="709" w:type="dxa"/>
          </w:tcPr>
          <w:p w14:paraId="222A9857" w14:textId="77777777" w:rsidR="00950D9D" w:rsidRPr="008C410A" w:rsidRDefault="00950D9D" w:rsidP="00950D9D">
            <w:pPr>
              <w:keepNext/>
              <w:ind w:left="-108"/>
              <w:jc w:val="center"/>
              <w:rPr>
                <w:rFonts w:ascii="Arial Narrow" w:hAnsi="Arial Narrow" w:cs="Arial"/>
                <w:sz w:val="20"/>
                <w:szCs w:val="20"/>
              </w:rPr>
            </w:pPr>
          </w:p>
          <w:p w14:paraId="57231320" w14:textId="77777777" w:rsidR="00950D9D" w:rsidRPr="008C410A" w:rsidRDefault="00950D9D" w:rsidP="00950D9D">
            <w:pPr>
              <w:keepNext/>
              <w:ind w:left="-108"/>
              <w:jc w:val="center"/>
              <w:rPr>
                <w:rFonts w:ascii="Arial Narrow" w:hAnsi="Arial Narrow" w:cs="Arial"/>
                <w:sz w:val="20"/>
                <w:szCs w:val="20"/>
              </w:rPr>
            </w:pPr>
            <w:r w:rsidRPr="008C410A">
              <w:rPr>
                <w:rFonts w:ascii="Arial Narrow" w:hAnsi="Arial Narrow" w:cs="Arial"/>
                <w:sz w:val="20"/>
                <w:szCs w:val="20"/>
              </w:rPr>
              <w:t>1</w:t>
            </w:r>
          </w:p>
        </w:tc>
        <w:tc>
          <w:tcPr>
            <w:tcW w:w="567" w:type="dxa"/>
          </w:tcPr>
          <w:p w14:paraId="77A1A470" w14:textId="77777777" w:rsidR="00950D9D" w:rsidRPr="008C410A" w:rsidRDefault="00950D9D" w:rsidP="00950D9D">
            <w:pPr>
              <w:keepNext/>
              <w:ind w:left="-108"/>
              <w:jc w:val="center"/>
              <w:rPr>
                <w:rFonts w:ascii="Arial Narrow" w:hAnsi="Arial Narrow" w:cs="Arial"/>
                <w:sz w:val="20"/>
                <w:szCs w:val="20"/>
              </w:rPr>
            </w:pPr>
          </w:p>
          <w:p w14:paraId="0F2E5985" w14:textId="77777777" w:rsidR="00950D9D" w:rsidRPr="008C410A" w:rsidRDefault="00950D9D" w:rsidP="00950D9D">
            <w:pPr>
              <w:keepNext/>
              <w:ind w:left="-108"/>
              <w:jc w:val="center"/>
              <w:rPr>
                <w:rFonts w:ascii="Arial Narrow" w:hAnsi="Arial Narrow" w:cs="Arial"/>
                <w:sz w:val="20"/>
                <w:szCs w:val="20"/>
              </w:rPr>
            </w:pPr>
            <w:r w:rsidRPr="008C410A">
              <w:rPr>
                <w:rFonts w:ascii="Arial Narrow" w:hAnsi="Arial Narrow" w:cs="Arial"/>
                <w:sz w:val="20"/>
                <w:szCs w:val="20"/>
              </w:rPr>
              <w:t>5</w:t>
            </w:r>
          </w:p>
          <w:p w14:paraId="002D0E79" w14:textId="77777777" w:rsidR="00950D9D" w:rsidRPr="008C410A" w:rsidRDefault="00950D9D" w:rsidP="00950D9D">
            <w:pPr>
              <w:keepNext/>
              <w:jc w:val="center"/>
              <w:rPr>
                <w:rFonts w:ascii="Arial Narrow" w:hAnsi="Arial Narrow" w:cs="Arial"/>
                <w:sz w:val="20"/>
                <w:szCs w:val="20"/>
              </w:rPr>
            </w:pPr>
          </w:p>
        </w:tc>
        <w:tc>
          <w:tcPr>
            <w:tcW w:w="2268" w:type="dxa"/>
            <w:vAlign w:val="center"/>
          </w:tcPr>
          <w:p w14:paraId="2B1E5624" w14:textId="67436A74" w:rsidR="00950D9D" w:rsidRDefault="00950D9D" w:rsidP="00950D9D">
            <w:pPr>
              <w:keepNext/>
              <w:jc w:val="center"/>
              <w:rPr>
                <w:rFonts w:ascii="Arial Narrow" w:hAnsi="Arial Narrow" w:cs="Arial"/>
                <w:sz w:val="20"/>
                <w:szCs w:val="20"/>
              </w:rPr>
            </w:pPr>
            <w:proofErr w:type="spellStart"/>
            <w:r w:rsidRPr="00950D9D">
              <w:rPr>
                <w:rFonts w:ascii="Arial Narrow" w:hAnsi="Arial Narrow" w:cs="Arial"/>
                <w:iCs/>
                <w:sz w:val="20"/>
                <w:szCs w:val="20"/>
              </w:rPr>
              <w:t>Vizo</w:t>
            </w:r>
            <w:proofErr w:type="spellEnd"/>
            <w:r w:rsidRPr="00950D9D">
              <w:rPr>
                <w:rFonts w:ascii="Arial Narrow" w:hAnsi="Arial Narrow" w:cs="Arial"/>
                <w:iCs/>
                <w:sz w:val="20"/>
                <w:szCs w:val="20"/>
              </w:rPr>
              <w:t xml:space="preserve">-PF </w:t>
            </w:r>
            <w:proofErr w:type="spellStart"/>
            <w:r w:rsidRPr="00950D9D">
              <w:rPr>
                <w:rFonts w:ascii="Arial Narrow" w:hAnsi="Arial Narrow" w:cs="Arial"/>
                <w:iCs/>
                <w:sz w:val="20"/>
                <w:szCs w:val="20"/>
              </w:rPr>
              <w:t>Dorzolatim</w:t>
            </w:r>
            <w:r w:rsidR="00A06E43">
              <w:rPr>
                <w:rFonts w:ascii="Arial Narrow" w:hAnsi="Arial Narrow" w:cs="Arial"/>
                <w:sz w:val="20"/>
                <w:szCs w:val="20"/>
                <w:vertAlign w:val="superscript"/>
              </w:rPr>
              <w:t>a</w:t>
            </w:r>
            <w:proofErr w:type="spellEnd"/>
            <w:r w:rsidRPr="008C410A">
              <w:rPr>
                <w:rFonts w:ascii="Arial Narrow" w:hAnsi="Arial Narrow" w:cs="Arial"/>
                <w:sz w:val="20"/>
                <w:szCs w:val="20"/>
              </w:rPr>
              <w:t xml:space="preserve"> </w:t>
            </w:r>
          </w:p>
          <w:p w14:paraId="5B90F28D" w14:textId="5FAF08BB" w:rsidR="00950D9D" w:rsidRPr="00950D9D" w:rsidRDefault="00950D9D" w:rsidP="00950D9D">
            <w:pPr>
              <w:keepNext/>
              <w:jc w:val="center"/>
              <w:rPr>
                <w:rFonts w:ascii="Arial Narrow" w:hAnsi="Arial Narrow" w:cs="Arial"/>
                <w:sz w:val="20"/>
                <w:szCs w:val="20"/>
                <w:vertAlign w:val="superscript"/>
              </w:rPr>
            </w:pPr>
            <w:proofErr w:type="spellStart"/>
            <w:r w:rsidRPr="008C410A">
              <w:rPr>
                <w:rFonts w:ascii="Arial Narrow" w:hAnsi="Arial Narrow" w:cs="Arial"/>
                <w:sz w:val="20"/>
                <w:szCs w:val="20"/>
              </w:rPr>
              <w:t>Cosdor</w:t>
            </w:r>
            <w:r>
              <w:rPr>
                <w:rFonts w:ascii="Arial Narrow" w:hAnsi="Arial Narrow" w:cs="Arial"/>
                <w:sz w:val="20"/>
                <w:szCs w:val="20"/>
                <w:vertAlign w:val="superscript"/>
              </w:rPr>
              <w:t>a</w:t>
            </w:r>
            <w:proofErr w:type="spellEnd"/>
          </w:p>
          <w:p w14:paraId="7760B406" w14:textId="51FF7238" w:rsidR="00950D9D" w:rsidRPr="00950D9D" w:rsidRDefault="00950D9D" w:rsidP="00950D9D">
            <w:pPr>
              <w:keepNext/>
              <w:jc w:val="center"/>
              <w:rPr>
                <w:rFonts w:ascii="Arial Narrow" w:hAnsi="Arial Narrow" w:cs="Arial"/>
                <w:sz w:val="20"/>
                <w:szCs w:val="20"/>
                <w:vertAlign w:val="superscript"/>
              </w:rPr>
            </w:pPr>
            <w:proofErr w:type="spellStart"/>
            <w:r w:rsidRPr="008C410A">
              <w:rPr>
                <w:rFonts w:ascii="Arial Narrow" w:hAnsi="Arial Narrow" w:cs="Arial"/>
                <w:sz w:val="20"/>
                <w:szCs w:val="20"/>
              </w:rPr>
              <w:t>Cosopt</w:t>
            </w:r>
            <w:r>
              <w:rPr>
                <w:rFonts w:ascii="Arial Narrow" w:hAnsi="Arial Narrow" w:cs="Arial"/>
                <w:sz w:val="20"/>
                <w:szCs w:val="20"/>
                <w:vertAlign w:val="superscript"/>
              </w:rPr>
              <w:t>a</w:t>
            </w:r>
            <w:proofErr w:type="spellEnd"/>
          </w:p>
        </w:tc>
      </w:tr>
      <w:tr w:rsidR="00950D9D" w:rsidRPr="008C410A" w14:paraId="1B0F49AF"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683D8474" w14:textId="77777777" w:rsidR="00950D9D" w:rsidRPr="008C410A" w:rsidRDefault="00950D9D" w:rsidP="00950D9D">
            <w:pPr>
              <w:rPr>
                <w:rFonts w:ascii="Arial Narrow" w:hAnsi="Arial Narrow" w:cs="Arial"/>
                <w:b/>
                <w:sz w:val="20"/>
                <w:szCs w:val="20"/>
              </w:rPr>
            </w:pPr>
          </w:p>
        </w:tc>
      </w:tr>
      <w:tr w:rsidR="00950D9D" w:rsidRPr="008C410A" w14:paraId="3ECA6872"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348A757F" w14:textId="7C97AD7A" w:rsidR="00950D9D" w:rsidRPr="008C410A" w:rsidRDefault="00950D9D" w:rsidP="00950D9D">
            <w:pPr>
              <w:rPr>
                <w:rFonts w:ascii="Arial Narrow" w:hAnsi="Arial Narrow" w:cs="Arial"/>
                <w:b/>
                <w:sz w:val="20"/>
                <w:szCs w:val="20"/>
              </w:rPr>
            </w:pPr>
            <w:r w:rsidRPr="008C410A">
              <w:rPr>
                <w:rFonts w:ascii="Arial Narrow" w:hAnsi="Arial Narrow"/>
                <w:b/>
                <w:sz w:val="20"/>
                <w:szCs w:val="20"/>
              </w:rPr>
              <w:t xml:space="preserve">Restriction Summary / Treatment of Concept: </w:t>
            </w:r>
          </w:p>
        </w:tc>
      </w:tr>
      <w:tr w:rsidR="00950D9D" w:rsidRPr="008C410A" w14:paraId="610B1666"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val="restart"/>
            <w:tcBorders>
              <w:top w:val="single" w:sz="4" w:space="0" w:color="auto"/>
              <w:left w:val="single" w:sz="4" w:space="0" w:color="auto"/>
              <w:right w:val="single" w:sz="4" w:space="0" w:color="auto"/>
            </w:tcBorders>
          </w:tcPr>
          <w:p w14:paraId="6A45596F" w14:textId="77777777" w:rsidR="00950D9D" w:rsidRPr="008C410A" w:rsidRDefault="00950D9D"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0184DC7B" w14:textId="77777777" w:rsidR="00950D9D" w:rsidRPr="008C410A" w:rsidRDefault="00950D9D" w:rsidP="00950D9D">
            <w:pPr>
              <w:rPr>
                <w:rFonts w:ascii="Arial Narrow" w:hAnsi="Arial Narrow" w:cs="Arial"/>
                <w:sz w:val="20"/>
                <w:szCs w:val="20"/>
              </w:rPr>
            </w:pPr>
            <w:r w:rsidRPr="008C410A">
              <w:rPr>
                <w:rFonts w:ascii="Arial Narrow" w:hAnsi="Arial Narrow" w:cs="Arial"/>
                <w:b/>
                <w:sz w:val="20"/>
                <w:szCs w:val="20"/>
              </w:rPr>
              <w:t xml:space="preserve">Category / Program:   </w:t>
            </w:r>
            <w:r w:rsidRPr="008C410A">
              <w:rPr>
                <w:rFonts w:ascii="Arial Narrow" w:hAnsi="Arial Narrow" w:cs="Arial"/>
                <w:sz w:val="20"/>
                <w:szCs w:val="20"/>
              </w:rPr>
              <w:t>GENERAL – General Schedule (Code GE)</w:t>
            </w:r>
          </w:p>
        </w:tc>
      </w:tr>
      <w:tr w:rsidR="00950D9D" w:rsidRPr="008C410A" w14:paraId="62C1CCEB" w14:textId="77777777" w:rsidTr="00950D9D">
        <w:tblPrEx>
          <w:tblCellMar>
            <w:top w:w="15" w:type="dxa"/>
            <w:left w:w="15" w:type="dxa"/>
            <w:bottom w:w="15" w:type="dxa"/>
            <w:right w:w="15" w:type="dxa"/>
          </w:tblCellMar>
          <w:tblLook w:val="04A0" w:firstRow="1" w:lastRow="0" w:firstColumn="1" w:lastColumn="0" w:noHBand="0" w:noVBand="1"/>
        </w:tblPrEx>
        <w:trPr>
          <w:trHeight w:val="240"/>
        </w:trPr>
        <w:tc>
          <w:tcPr>
            <w:tcW w:w="1128" w:type="dxa"/>
            <w:vMerge/>
            <w:tcBorders>
              <w:left w:val="single" w:sz="4" w:space="0" w:color="auto"/>
              <w:right w:val="single" w:sz="4" w:space="0" w:color="auto"/>
            </w:tcBorders>
          </w:tcPr>
          <w:p w14:paraId="01673E59" w14:textId="77777777" w:rsidR="00950D9D" w:rsidRPr="008C410A" w:rsidRDefault="00950D9D" w:rsidP="00950D9D">
            <w:pPr>
              <w:rPr>
                <w:rFonts w:ascii="Arial Narrow" w:hAnsi="Arial Narrow" w:cs="Arial"/>
                <w:b/>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70CF7B80" w14:textId="77777777" w:rsidR="00950D9D" w:rsidRPr="008C410A" w:rsidRDefault="00950D9D" w:rsidP="00950D9D">
            <w:pPr>
              <w:rPr>
                <w:rFonts w:ascii="Arial Narrow" w:hAnsi="Arial Narrow" w:cs="Arial"/>
                <w:b/>
                <w:sz w:val="20"/>
                <w:szCs w:val="20"/>
              </w:rPr>
            </w:pPr>
            <w:r w:rsidRPr="008C410A">
              <w:rPr>
                <w:rFonts w:ascii="Arial Narrow" w:hAnsi="Arial Narrow" w:cs="Arial"/>
                <w:b/>
                <w:sz w:val="20"/>
                <w:szCs w:val="20"/>
              </w:rPr>
              <w:t xml:space="preserve">Prescriber type:   </w:t>
            </w:r>
            <w:r w:rsidRPr="008C410A">
              <w:rPr>
                <w:rFonts w:ascii="Arial Narrow" w:hAnsi="Arial Narrow" w:cs="Arial"/>
                <w:sz w:val="20"/>
                <w:szCs w:val="20"/>
              </w:rPr>
              <w:fldChar w:fldCharType="begin">
                <w:ffData>
                  <w:name w:val="Check1"/>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Dental    </w:t>
            </w: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Medical Practitioners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Nurse practitioners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Optometrists    </w:t>
            </w:r>
            <w:r w:rsidRPr="008C410A">
              <w:rPr>
                <w:rFonts w:ascii="Arial Narrow" w:hAnsi="Arial Narrow" w:cs="Arial"/>
                <w:sz w:val="20"/>
                <w:szCs w:val="20"/>
              </w:rPr>
              <w:fldChar w:fldCharType="begin">
                <w:ffData>
                  <w:name w:val="Check5"/>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Midwives</w:t>
            </w:r>
          </w:p>
        </w:tc>
      </w:tr>
      <w:tr w:rsidR="00950D9D" w:rsidRPr="008C410A" w14:paraId="63C5D77F"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tcBorders>
              <w:left w:val="single" w:sz="4" w:space="0" w:color="auto"/>
              <w:bottom w:val="single" w:sz="4" w:space="0" w:color="auto"/>
              <w:right w:val="single" w:sz="4" w:space="0" w:color="auto"/>
            </w:tcBorders>
          </w:tcPr>
          <w:p w14:paraId="3FDF3CA5" w14:textId="77777777" w:rsidR="00950D9D" w:rsidRPr="008C410A" w:rsidRDefault="00950D9D"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722667A5" w14:textId="77777777" w:rsidR="00950D9D" w:rsidRPr="008C410A" w:rsidRDefault="00950D9D" w:rsidP="00950D9D">
            <w:pPr>
              <w:rPr>
                <w:rFonts w:ascii="Arial Narrow" w:hAnsi="Arial Narrow" w:cs="Arial"/>
                <w:b/>
                <w:sz w:val="20"/>
                <w:szCs w:val="20"/>
              </w:rPr>
            </w:pPr>
            <w:r w:rsidRPr="008C410A">
              <w:rPr>
                <w:rFonts w:ascii="Arial Narrow" w:hAnsi="Arial Narrow" w:cs="Arial"/>
                <w:b/>
                <w:sz w:val="20"/>
                <w:szCs w:val="20"/>
              </w:rPr>
              <w:t>Restriction Level / Method:</w:t>
            </w:r>
          </w:p>
          <w:p w14:paraId="46631FC0" w14:textId="77777777" w:rsidR="00950D9D" w:rsidRPr="008C410A" w:rsidRDefault="00950D9D" w:rsidP="00950D9D">
            <w:pPr>
              <w:rPr>
                <w:rFonts w:ascii="Arial Narrow" w:hAnsi="Arial Narrow" w:cs="Arial"/>
                <w:sz w:val="20"/>
                <w:szCs w:val="20"/>
              </w:rPr>
            </w:pP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Restricted benefit</w:t>
            </w:r>
          </w:p>
        </w:tc>
      </w:tr>
      <w:tr w:rsidR="00950D9D" w:rsidRPr="008C410A" w14:paraId="5067428A" w14:textId="77777777" w:rsidTr="00D500D6">
        <w:tblPrEx>
          <w:tblCellMar>
            <w:top w:w="15" w:type="dxa"/>
            <w:left w:w="15" w:type="dxa"/>
            <w:bottom w:w="15" w:type="dxa"/>
            <w:right w:w="15" w:type="dxa"/>
          </w:tblCellMar>
        </w:tblPrEx>
        <w:tc>
          <w:tcPr>
            <w:tcW w:w="1128" w:type="dxa"/>
            <w:vAlign w:val="center"/>
          </w:tcPr>
          <w:p w14:paraId="37E91FAB" w14:textId="69D31A73" w:rsidR="00950D9D" w:rsidRPr="008C410A" w:rsidRDefault="00950D9D" w:rsidP="00950D9D">
            <w:pPr>
              <w:jc w:val="center"/>
              <w:rPr>
                <w:rFonts w:ascii="Arial Narrow" w:hAnsi="Arial Narrow"/>
                <w:color w:val="333333"/>
                <w:sz w:val="20"/>
                <w:szCs w:val="20"/>
              </w:rPr>
            </w:pPr>
          </w:p>
        </w:tc>
        <w:tc>
          <w:tcPr>
            <w:tcW w:w="7798" w:type="dxa"/>
            <w:gridSpan w:val="6"/>
            <w:vAlign w:val="center"/>
          </w:tcPr>
          <w:p w14:paraId="0570B89E" w14:textId="77777777" w:rsidR="00950D9D" w:rsidRPr="008C410A" w:rsidRDefault="00950D9D" w:rsidP="00950D9D">
            <w:pPr>
              <w:rPr>
                <w:rFonts w:ascii="Arial Narrow" w:hAnsi="Arial Narrow"/>
                <w:color w:val="333333"/>
                <w:sz w:val="20"/>
                <w:szCs w:val="20"/>
              </w:rPr>
            </w:pPr>
            <w:r w:rsidRPr="008C410A">
              <w:rPr>
                <w:rFonts w:ascii="Arial Narrow" w:hAnsi="Arial Narrow"/>
                <w:b/>
                <w:bCs/>
                <w:sz w:val="20"/>
                <w:szCs w:val="20"/>
              </w:rPr>
              <w:t>Indication:</w:t>
            </w:r>
            <w:r w:rsidRPr="008C410A">
              <w:rPr>
                <w:rFonts w:ascii="Arial Narrow" w:hAnsi="Arial Narrow"/>
                <w:sz w:val="20"/>
                <w:szCs w:val="20"/>
              </w:rPr>
              <w:t xml:space="preserve"> Elevated intra-ocular pressure</w:t>
            </w:r>
          </w:p>
        </w:tc>
      </w:tr>
      <w:tr w:rsidR="00950D9D" w:rsidRPr="008C410A" w14:paraId="16B4C223"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24708A5E" w14:textId="62AAA4FD" w:rsidR="00950D9D" w:rsidRPr="008C410A" w:rsidRDefault="00950D9D" w:rsidP="00950D9D">
            <w:pPr>
              <w:jc w:val="center"/>
              <w:rPr>
                <w:rFonts w:ascii="Arial Narrow" w:hAnsi="Arial Narrow"/>
                <w:bCs/>
                <w:sz w:val="20"/>
                <w:szCs w:val="20"/>
              </w:rPr>
            </w:pPr>
          </w:p>
        </w:tc>
        <w:tc>
          <w:tcPr>
            <w:tcW w:w="7798" w:type="dxa"/>
            <w:gridSpan w:val="6"/>
            <w:vAlign w:val="center"/>
          </w:tcPr>
          <w:p w14:paraId="0C78F0A6" w14:textId="77777777" w:rsidR="00950D9D" w:rsidRPr="008C410A" w:rsidRDefault="00950D9D" w:rsidP="00950D9D">
            <w:pPr>
              <w:rPr>
                <w:rFonts w:ascii="Arial Narrow" w:hAnsi="Arial Narrow"/>
                <w:bCs/>
                <w:sz w:val="20"/>
                <w:szCs w:val="20"/>
              </w:rPr>
            </w:pPr>
            <w:r w:rsidRPr="008C410A">
              <w:rPr>
                <w:rFonts w:ascii="Arial Narrow" w:hAnsi="Arial Narrow"/>
                <w:b/>
                <w:bCs/>
                <w:sz w:val="20"/>
                <w:szCs w:val="20"/>
              </w:rPr>
              <w:t xml:space="preserve">Clinical criteria: </w:t>
            </w:r>
          </w:p>
        </w:tc>
      </w:tr>
      <w:tr w:rsidR="00950D9D" w:rsidRPr="008C410A" w14:paraId="75F26A0B"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2F88642D" w14:textId="47885760" w:rsidR="00950D9D" w:rsidRPr="008C410A" w:rsidRDefault="00950D9D" w:rsidP="00950D9D">
            <w:pPr>
              <w:jc w:val="center"/>
              <w:rPr>
                <w:rFonts w:ascii="Arial Narrow" w:hAnsi="Arial Narrow"/>
                <w:bCs/>
                <w:sz w:val="20"/>
                <w:szCs w:val="20"/>
              </w:rPr>
            </w:pPr>
          </w:p>
        </w:tc>
        <w:tc>
          <w:tcPr>
            <w:tcW w:w="7798" w:type="dxa"/>
            <w:gridSpan w:val="6"/>
            <w:vAlign w:val="center"/>
          </w:tcPr>
          <w:p w14:paraId="1E77D350" w14:textId="77777777" w:rsidR="00950D9D" w:rsidRPr="008C410A" w:rsidRDefault="00950D9D" w:rsidP="00950D9D">
            <w:pPr>
              <w:rPr>
                <w:rFonts w:ascii="Arial Narrow" w:hAnsi="Arial Narrow"/>
                <w:b/>
                <w:bCs/>
                <w:sz w:val="20"/>
                <w:szCs w:val="20"/>
              </w:rPr>
            </w:pPr>
            <w:r w:rsidRPr="008C410A">
              <w:rPr>
                <w:rFonts w:ascii="Arial Narrow" w:hAnsi="Arial Narrow"/>
                <w:bCs/>
                <w:sz w:val="20"/>
                <w:szCs w:val="20"/>
              </w:rPr>
              <w:t>The condition must have been inadequately controlled with monotherapy</w:t>
            </w:r>
          </w:p>
        </w:tc>
      </w:tr>
      <w:tr w:rsidR="00950D9D" w:rsidRPr="008C410A" w14:paraId="45AF0353"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6FDB1ADC" w14:textId="77777777" w:rsidR="00950D9D" w:rsidRPr="008C410A" w:rsidRDefault="00950D9D" w:rsidP="00950D9D">
            <w:pPr>
              <w:jc w:val="center"/>
              <w:rPr>
                <w:rFonts w:ascii="Arial Narrow" w:hAnsi="Arial Narrow"/>
                <w:bCs/>
                <w:sz w:val="20"/>
                <w:szCs w:val="20"/>
              </w:rPr>
            </w:pPr>
          </w:p>
        </w:tc>
        <w:tc>
          <w:tcPr>
            <w:tcW w:w="7798" w:type="dxa"/>
            <w:gridSpan w:val="6"/>
            <w:vAlign w:val="center"/>
          </w:tcPr>
          <w:p w14:paraId="43A2554B" w14:textId="77777777" w:rsidR="00950D9D" w:rsidRPr="008C410A" w:rsidRDefault="00950D9D" w:rsidP="00950D9D">
            <w:pPr>
              <w:rPr>
                <w:rFonts w:ascii="Arial Narrow" w:hAnsi="Arial Narrow"/>
                <w:b/>
                <w:bCs/>
                <w:sz w:val="20"/>
                <w:szCs w:val="20"/>
              </w:rPr>
            </w:pPr>
            <w:r w:rsidRPr="008C410A">
              <w:rPr>
                <w:rFonts w:ascii="Arial Narrow" w:hAnsi="Arial Narrow"/>
                <w:b/>
                <w:bCs/>
                <w:sz w:val="20"/>
                <w:szCs w:val="20"/>
              </w:rPr>
              <w:t>AND</w:t>
            </w:r>
          </w:p>
        </w:tc>
      </w:tr>
      <w:tr w:rsidR="00950D9D" w:rsidRPr="008C410A" w14:paraId="55424272"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661F6243" w14:textId="548CD311" w:rsidR="00950D9D" w:rsidRPr="008C410A" w:rsidRDefault="00950D9D" w:rsidP="00950D9D">
            <w:pPr>
              <w:jc w:val="center"/>
              <w:rPr>
                <w:rFonts w:ascii="Arial Narrow" w:hAnsi="Arial Narrow"/>
                <w:bCs/>
                <w:sz w:val="20"/>
                <w:szCs w:val="20"/>
              </w:rPr>
            </w:pPr>
          </w:p>
        </w:tc>
        <w:tc>
          <w:tcPr>
            <w:tcW w:w="7798" w:type="dxa"/>
            <w:gridSpan w:val="6"/>
            <w:vAlign w:val="center"/>
          </w:tcPr>
          <w:p w14:paraId="5D099FBF" w14:textId="77777777" w:rsidR="00950D9D" w:rsidRPr="008C410A" w:rsidRDefault="00950D9D" w:rsidP="00950D9D">
            <w:pPr>
              <w:rPr>
                <w:rFonts w:ascii="Arial Narrow" w:hAnsi="Arial Narrow"/>
                <w:b/>
                <w:bCs/>
                <w:sz w:val="20"/>
                <w:szCs w:val="20"/>
              </w:rPr>
            </w:pPr>
            <w:r w:rsidRPr="008C410A">
              <w:rPr>
                <w:rFonts w:ascii="Arial Narrow" w:hAnsi="Arial Narrow"/>
                <w:b/>
                <w:bCs/>
                <w:sz w:val="20"/>
                <w:szCs w:val="20"/>
              </w:rPr>
              <w:t>Clinical criteria:</w:t>
            </w:r>
          </w:p>
        </w:tc>
      </w:tr>
      <w:tr w:rsidR="00950D9D" w:rsidRPr="008C410A" w14:paraId="2D11B990"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69FBE402" w14:textId="398A212C" w:rsidR="00950D9D" w:rsidRPr="008C410A" w:rsidRDefault="00950D9D" w:rsidP="00950D9D">
            <w:pPr>
              <w:jc w:val="center"/>
              <w:rPr>
                <w:rFonts w:ascii="Arial Narrow" w:hAnsi="Arial Narrow"/>
                <w:bCs/>
                <w:sz w:val="20"/>
                <w:szCs w:val="20"/>
              </w:rPr>
            </w:pPr>
          </w:p>
        </w:tc>
        <w:tc>
          <w:tcPr>
            <w:tcW w:w="7798" w:type="dxa"/>
            <w:gridSpan w:val="6"/>
            <w:vAlign w:val="center"/>
          </w:tcPr>
          <w:p w14:paraId="7F66FD56" w14:textId="77777777" w:rsidR="00950D9D" w:rsidRPr="008C410A" w:rsidRDefault="00950D9D" w:rsidP="00950D9D">
            <w:pPr>
              <w:rPr>
                <w:rFonts w:ascii="Arial Narrow" w:hAnsi="Arial Narrow"/>
                <w:bCs/>
                <w:sz w:val="20"/>
                <w:szCs w:val="20"/>
              </w:rPr>
            </w:pPr>
            <w:r w:rsidRPr="008C410A">
              <w:rPr>
                <w:rFonts w:ascii="Arial Narrow" w:hAnsi="Arial Narrow"/>
                <w:bCs/>
                <w:sz w:val="20"/>
                <w:szCs w:val="20"/>
              </w:rPr>
              <w:t>Patient must have open-angle glaucoma; or</w:t>
            </w:r>
          </w:p>
        </w:tc>
      </w:tr>
      <w:tr w:rsidR="00950D9D" w:rsidRPr="008C410A" w14:paraId="285CC09F"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1C08A3C1" w14:textId="03276157" w:rsidR="00950D9D" w:rsidRPr="008C410A" w:rsidRDefault="00950D9D" w:rsidP="00950D9D">
            <w:pPr>
              <w:jc w:val="center"/>
              <w:rPr>
                <w:rFonts w:ascii="Arial Narrow" w:hAnsi="Arial Narrow"/>
                <w:bCs/>
                <w:sz w:val="20"/>
                <w:szCs w:val="20"/>
              </w:rPr>
            </w:pPr>
          </w:p>
        </w:tc>
        <w:tc>
          <w:tcPr>
            <w:tcW w:w="7798" w:type="dxa"/>
            <w:gridSpan w:val="6"/>
            <w:vAlign w:val="center"/>
          </w:tcPr>
          <w:p w14:paraId="127EDFCF" w14:textId="77777777" w:rsidR="00950D9D" w:rsidRPr="008C410A" w:rsidRDefault="00950D9D" w:rsidP="00950D9D">
            <w:pPr>
              <w:rPr>
                <w:rFonts w:ascii="Arial Narrow" w:hAnsi="Arial Narrow"/>
                <w:bCs/>
                <w:sz w:val="20"/>
                <w:szCs w:val="20"/>
              </w:rPr>
            </w:pPr>
            <w:r w:rsidRPr="008C410A">
              <w:rPr>
                <w:rFonts w:ascii="Arial Narrow" w:hAnsi="Arial Narrow"/>
                <w:bCs/>
                <w:sz w:val="20"/>
                <w:szCs w:val="20"/>
              </w:rPr>
              <w:t>Patient must have ocular hypertension</w:t>
            </w:r>
          </w:p>
        </w:tc>
      </w:tr>
      <w:tr w:rsidR="00950D9D" w:rsidRPr="008C410A" w14:paraId="2912BE67" w14:textId="77777777" w:rsidTr="00950D9D">
        <w:trPr>
          <w:cantSplit/>
          <w:trHeight w:val="471"/>
        </w:trPr>
        <w:tc>
          <w:tcPr>
            <w:tcW w:w="3397" w:type="dxa"/>
            <w:gridSpan w:val="2"/>
          </w:tcPr>
          <w:p w14:paraId="526CED7D" w14:textId="77777777" w:rsidR="00950D9D" w:rsidRPr="008C410A" w:rsidRDefault="00950D9D" w:rsidP="00950D9D">
            <w:pPr>
              <w:keepNext/>
              <w:ind w:left="-108"/>
              <w:rPr>
                <w:rFonts w:ascii="Arial Narrow" w:hAnsi="Arial Narrow" w:cs="Arial"/>
                <w:b/>
                <w:bCs/>
                <w:sz w:val="20"/>
                <w:szCs w:val="20"/>
              </w:rPr>
            </w:pPr>
            <w:r w:rsidRPr="008C410A">
              <w:rPr>
                <w:rFonts w:ascii="Arial Narrow" w:hAnsi="Arial Narrow" w:cs="Arial"/>
                <w:b/>
                <w:bCs/>
                <w:sz w:val="20"/>
                <w:szCs w:val="20"/>
              </w:rPr>
              <w:t>MEDICINAL PRODUCT</w:t>
            </w:r>
          </w:p>
          <w:p w14:paraId="37DFBB5D" w14:textId="77777777" w:rsidR="00950D9D" w:rsidRPr="008C410A" w:rsidRDefault="00950D9D" w:rsidP="00950D9D">
            <w:pPr>
              <w:keepNext/>
              <w:ind w:left="-108"/>
              <w:rPr>
                <w:rFonts w:ascii="Arial Narrow" w:hAnsi="Arial Narrow" w:cs="Arial"/>
                <w:b/>
                <w:sz w:val="20"/>
                <w:szCs w:val="20"/>
              </w:rPr>
            </w:pPr>
            <w:r w:rsidRPr="008C410A">
              <w:rPr>
                <w:rFonts w:ascii="Arial Narrow" w:hAnsi="Arial Narrow" w:cs="Arial"/>
                <w:b/>
                <w:bCs/>
                <w:sz w:val="20"/>
                <w:szCs w:val="20"/>
              </w:rPr>
              <w:t xml:space="preserve"> Medicinal Product Pack</w:t>
            </w:r>
          </w:p>
        </w:tc>
        <w:tc>
          <w:tcPr>
            <w:tcW w:w="993" w:type="dxa"/>
          </w:tcPr>
          <w:p w14:paraId="1D23A84B"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PBS item code</w:t>
            </w:r>
          </w:p>
        </w:tc>
        <w:tc>
          <w:tcPr>
            <w:tcW w:w="992" w:type="dxa"/>
          </w:tcPr>
          <w:p w14:paraId="7BFBFFFD"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Max. qty packs</w:t>
            </w:r>
          </w:p>
        </w:tc>
        <w:tc>
          <w:tcPr>
            <w:tcW w:w="709" w:type="dxa"/>
          </w:tcPr>
          <w:p w14:paraId="0D987656"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Max. qty units</w:t>
            </w:r>
          </w:p>
        </w:tc>
        <w:tc>
          <w:tcPr>
            <w:tcW w:w="567" w:type="dxa"/>
          </w:tcPr>
          <w:p w14:paraId="2D008A99" w14:textId="77777777" w:rsidR="00950D9D" w:rsidRPr="008C410A" w:rsidRDefault="00950D9D" w:rsidP="00950D9D">
            <w:pPr>
              <w:keepNext/>
              <w:ind w:left="-108"/>
              <w:jc w:val="center"/>
              <w:rPr>
                <w:rFonts w:ascii="Arial Narrow" w:hAnsi="Arial Narrow" w:cs="Arial"/>
                <w:b/>
                <w:sz w:val="20"/>
                <w:szCs w:val="20"/>
              </w:rPr>
            </w:pPr>
            <w:r w:rsidRPr="008C410A">
              <w:rPr>
                <w:rFonts w:ascii="Arial Narrow" w:hAnsi="Arial Narrow" w:cs="Arial"/>
                <w:b/>
                <w:sz w:val="20"/>
                <w:szCs w:val="20"/>
              </w:rPr>
              <w:t>№.of</w:t>
            </w:r>
          </w:p>
          <w:p w14:paraId="08D1E2C2" w14:textId="77777777" w:rsidR="00950D9D" w:rsidRPr="008C410A" w:rsidRDefault="00950D9D" w:rsidP="00950D9D">
            <w:pPr>
              <w:keepNext/>
              <w:ind w:left="-108"/>
              <w:jc w:val="center"/>
              <w:rPr>
                <w:rFonts w:ascii="Arial Narrow" w:hAnsi="Arial Narrow" w:cs="Arial"/>
                <w:b/>
                <w:sz w:val="20"/>
                <w:szCs w:val="20"/>
              </w:rPr>
            </w:pPr>
            <w:proofErr w:type="spellStart"/>
            <w:r w:rsidRPr="008C410A">
              <w:rPr>
                <w:rFonts w:ascii="Arial Narrow" w:hAnsi="Arial Narrow" w:cs="Arial"/>
                <w:b/>
                <w:sz w:val="20"/>
                <w:szCs w:val="20"/>
              </w:rPr>
              <w:t>Rpts</w:t>
            </w:r>
            <w:proofErr w:type="spellEnd"/>
          </w:p>
        </w:tc>
        <w:tc>
          <w:tcPr>
            <w:tcW w:w="2268" w:type="dxa"/>
          </w:tcPr>
          <w:p w14:paraId="76F4D16A" w14:textId="77777777" w:rsidR="00950D9D" w:rsidRPr="008C410A" w:rsidRDefault="00950D9D" w:rsidP="00950D9D">
            <w:pPr>
              <w:keepNext/>
              <w:rPr>
                <w:rFonts w:ascii="Arial Narrow" w:hAnsi="Arial Narrow" w:cs="Arial"/>
                <w:b/>
                <w:sz w:val="20"/>
                <w:szCs w:val="20"/>
                <w:lang w:val="fr-FR"/>
              </w:rPr>
            </w:pPr>
            <w:r w:rsidRPr="008C410A">
              <w:rPr>
                <w:rFonts w:ascii="Arial Narrow" w:hAnsi="Arial Narrow" w:cs="Arial"/>
                <w:b/>
                <w:sz w:val="20"/>
                <w:szCs w:val="20"/>
              </w:rPr>
              <w:t>Available brands</w:t>
            </w:r>
          </w:p>
        </w:tc>
      </w:tr>
      <w:tr w:rsidR="00950D9D" w:rsidRPr="008C410A" w14:paraId="500BADA8" w14:textId="77777777" w:rsidTr="00950D9D">
        <w:trPr>
          <w:cantSplit/>
          <w:trHeight w:val="813"/>
        </w:trPr>
        <w:tc>
          <w:tcPr>
            <w:tcW w:w="3397" w:type="dxa"/>
            <w:gridSpan w:val="2"/>
          </w:tcPr>
          <w:p w14:paraId="4F1F48AA" w14:textId="77777777" w:rsidR="00950D9D" w:rsidRPr="008C410A" w:rsidRDefault="00950D9D" w:rsidP="00950D9D">
            <w:pPr>
              <w:keepNext/>
              <w:ind w:left="-108"/>
              <w:rPr>
                <w:rFonts w:ascii="Arial Narrow" w:hAnsi="Arial Narrow" w:cs="Arial"/>
                <w:sz w:val="20"/>
                <w:szCs w:val="20"/>
              </w:rPr>
            </w:pPr>
            <w:r w:rsidRPr="008C410A">
              <w:rPr>
                <w:rFonts w:ascii="Arial Narrow" w:hAnsi="Arial Narrow" w:cs="Arial"/>
                <w:sz w:val="20"/>
                <w:szCs w:val="20"/>
              </w:rPr>
              <w:t xml:space="preserve">DORZOLAMIDE + TIMOLOL </w:t>
            </w:r>
          </w:p>
          <w:p w14:paraId="7E337407" w14:textId="77777777" w:rsidR="00950D9D" w:rsidRPr="008C410A" w:rsidRDefault="00950D9D" w:rsidP="00950D9D">
            <w:pPr>
              <w:keepNext/>
              <w:ind w:left="-108"/>
              <w:rPr>
                <w:rFonts w:ascii="Arial Narrow" w:hAnsi="Arial Narrow" w:cs="Arial"/>
                <w:sz w:val="20"/>
                <w:szCs w:val="20"/>
              </w:rPr>
            </w:pPr>
          </w:p>
          <w:p w14:paraId="16F71B52" w14:textId="44113789" w:rsidR="00950D9D" w:rsidRPr="008C410A" w:rsidRDefault="00950D9D" w:rsidP="00950D9D">
            <w:pPr>
              <w:keepNext/>
              <w:ind w:left="-108"/>
              <w:rPr>
                <w:rFonts w:ascii="Arial Narrow" w:hAnsi="Arial Narrow" w:cs="Arial"/>
                <w:sz w:val="20"/>
                <w:szCs w:val="20"/>
              </w:rPr>
            </w:pPr>
            <w:r w:rsidRPr="008C410A">
              <w:rPr>
                <w:rFonts w:ascii="Arial Narrow" w:hAnsi="Arial Narrow" w:cs="Arial"/>
                <w:sz w:val="20"/>
                <w:szCs w:val="20"/>
              </w:rPr>
              <w:t>dorzolamide 2% + timolol 0.5% eye drops, 5</w:t>
            </w:r>
            <w:r w:rsidR="00581647">
              <w:rPr>
                <w:rFonts w:ascii="Arial Narrow" w:hAnsi="Arial Narrow" w:cs="Arial"/>
                <w:sz w:val="20"/>
                <w:szCs w:val="20"/>
              </w:rPr>
              <w:t> </w:t>
            </w:r>
            <w:r w:rsidRPr="008C410A">
              <w:rPr>
                <w:rFonts w:ascii="Arial Narrow" w:hAnsi="Arial Narrow" w:cs="Arial"/>
                <w:sz w:val="20"/>
                <w:szCs w:val="20"/>
              </w:rPr>
              <w:t>mL</w:t>
            </w:r>
          </w:p>
        </w:tc>
        <w:tc>
          <w:tcPr>
            <w:tcW w:w="993" w:type="dxa"/>
          </w:tcPr>
          <w:p w14:paraId="20DFC61F" w14:textId="77777777" w:rsidR="00950D9D" w:rsidRPr="008C410A" w:rsidRDefault="00950D9D" w:rsidP="00950D9D">
            <w:pPr>
              <w:keepNext/>
              <w:ind w:left="-108"/>
              <w:jc w:val="center"/>
              <w:rPr>
                <w:rFonts w:ascii="Arial Narrow" w:hAnsi="Arial Narrow" w:cs="Arial"/>
                <w:color w:val="FF0000"/>
                <w:sz w:val="20"/>
                <w:szCs w:val="20"/>
              </w:rPr>
            </w:pPr>
          </w:p>
          <w:p w14:paraId="43C068FB" w14:textId="77777777" w:rsidR="00950D9D" w:rsidRPr="008C410A" w:rsidRDefault="00950D9D" w:rsidP="00950D9D">
            <w:pPr>
              <w:keepNext/>
              <w:ind w:left="-108"/>
              <w:jc w:val="center"/>
              <w:rPr>
                <w:rFonts w:ascii="Arial Narrow" w:hAnsi="Arial Narrow" w:cs="Arial"/>
                <w:color w:val="FF0000"/>
                <w:sz w:val="20"/>
                <w:szCs w:val="20"/>
              </w:rPr>
            </w:pPr>
            <w:r w:rsidRPr="008C410A">
              <w:rPr>
                <w:rFonts w:ascii="Arial Narrow" w:hAnsi="Arial Narrow" w:cs="Arial"/>
                <w:sz w:val="20"/>
                <w:szCs w:val="20"/>
              </w:rPr>
              <w:t>5542Q</w:t>
            </w:r>
          </w:p>
        </w:tc>
        <w:tc>
          <w:tcPr>
            <w:tcW w:w="992" w:type="dxa"/>
          </w:tcPr>
          <w:p w14:paraId="4788373B" w14:textId="77777777" w:rsidR="00950D9D" w:rsidRPr="008C410A" w:rsidRDefault="00950D9D" w:rsidP="00950D9D">
            <w:pPr>
              <w:keepNext/>
              <w:jc w:val="center"/>
              <w:rPr>
                <w:rFonts w:ascii="Arial Narrow" w:hAnsi="Arial Narrow" w:cs="Arial"/>
                <w:sz w:val="20"/>
                <w:szCs w:val="20"/>
              </w:rPr>
            </w:pPr>
          </w:p>
          <w:p w14:paraId="4FBBA84D" w14:textId="77777777" w:rsidR="00950D9D" w:rsidRPr="008C410A" w:rsidRDefault="00950D9D" w:rsidP="00950D9D">
            <w:pPr>
              <w:keepNext/>
              <w:jc w:val="center"/>
              <w:rPr>
                <w:rFonts w:ascii="Arial Narrow" w:hAnsi="Arial Narrow" w:cs="Arial"/>
                <w:sz w:val="20"/>
                <w:szCs w:val="20"/>
              </w:rPr>
            </w:pPr>
            <w:r w:rsidRPr="008C410A">
              <w:rPr>
                <w:rFonts w:ascii="Arial Narrow" w:hAnsi="Arial Narrow" w:cs="Arial"/>
                <w:sz w:val="20"/>
                <w:szCs w:val="20"/>
              </w:rPr>
              <w:t>1</w:t>
            </w:r>
          </w:p>
        </w:tc>
        <w:tc>
          <w:tcPr>
            <w:tcW w:w="709" w:type="dxa"/>
          </w:tcPr>
          <w:p w14:paraId="6D3471F4" w14:textId="77777777" w:rsidR="00950D9D" w:rsidRPr="008C410A" w:rsidRDefault="00950D9D" w:rsidP="00950D9D">
            <w:pPr>
              <w:keepNext/>
              <w:ind w:left="-108"/>
              <w:jc w:val="center"/>
              <w:rPr>
                <w:rFonts w:ascii="Arial Narrow" w:hAnsi="Arial Narrow" w:cs="Arial"/>
                <w:sz w:val="20"/>
                <w:szCs w:val="20"/>
              </w:rPr>
            </w:pPr>
          </w:p>
          <w:p w14:paraId="100491A2" w14:textId="77777777" w:rsidR="00950D9D" w:rsidRPr="008C410A" w:rsidRDefault="00950D9D" w:rsidP="00950D9D">
            <w:pPr>
              <w:keepNext/>
              <w:ind w:left="-108"/>
              <w:jc w:val="center"/>
              <w:rPr>
                <w:rFonts w:ascii="Arial Narrow" w:hAnsi="Arial Narrow" w:cs="Arial"/>
                <w:sz w:val="20"/>
                <w:szCs w:val="20"/>
              </w:rPr>
            </w:pPr>
            <w:r w:rsidRPr="008C410A">
              <w:rPr>
                <w:rFonts w:ascii="Arial Narrow" w:hAnsi="Arial Narrow" w:cs="Arial"/>
                <w:sz w:val="20"/>
                <w:szCs w:val="20"/>
              </w:rPr>
              <w:t>1</w:t>
            </w:r>
          </w:p>
        </w:tc>
        <w:tc>
          <w:tcPr>
            <w:tcW w:w="567" w:type="dxa"/>
          </w:tcPr>
          <w:p w14:paraId="1A53AE39" w14:textId="77777777" w:rsidR="00950D9D" w:rsidRPr="008C410A" w:rsidRDefault="00950D9D" w:rsidP="00950D9D">
            <w:pPr>
              <w:keepNext/>
              <w:ind w:left="-108"/>
              <w:jc w:val="center"/>
              <w:rPr>
                <w:rFonts w:ascii="Arial Narrow" w:hAnsi="Arial Narrow" w:cs="Arial"/>
                <w:sz w:val="20"/>
                <w:szCs w:val="20"/>
              </w:rPr>
            </w:pPr>
          </w:p>
          <w:p w14:paraId="174F874B" w14:textId="77777777" w:rsidR="00950D9D" w:rsidRPr="008C410A" w:rsidRDefault="00950D9D" w:rsidP="00950D9D">
            <w:pPr>
              <w:keepNext/>
              <w:ind w:left="-108"/>
              <w:jc w:val="center"/>
              <w:rPr>
                <w:rFonts w:ascii="Arial Narrow" w:hAnsi="Arial Narrow" w:cs="Arial"/>
                <w:sz w:val="20"/>
                <w:szCs w:val="20"/>
              </w:rPr>
            </w:pPr>
            <w:r w:rsidRPr="008C410A">
              <w:rPr>
                <w:rFonts w:ascii="Arial Narrow" w:hAnsi="Arial Narrow" w:cs="Arial"/>
                <w:sz w:val="20"/>
                <w:szCs w:val="20"/>
              </w:rPr>
              <w:t>5</w:t>
            </w:r>
          </w:p>
          <w:p w14:paraId="6105FFC4" w14:textId="77777777" w:rsidR="00950D9D" w:rsidRPr="008C410A" w:rsidRDefault="00950D9D" w:rsidP="00950D9D">
            <w:pPr>
              <w:keepNext/>
              <w:jc w:val="center"/>
              <w:rPr>
                <w:rFonts w:ascii="Arial Narrow" w:hAnsi="Arial Narrow" w:cs="Arial"/>
                <w:sz w:val="20"/>
                <w:szCs w:val="20"/>
              </w:rPr>
            </w:pPr>
          </w:p>
        </w:tc>
        <w:tc>
          <w:tcPr>
            <w:tcW w:w="2268" w:type="dxa"/>
            <w:vAlign w:val="center"/>
          </w:tcPr>
          <w:p w14:paraId="4AFED019" w14:textId="2B33405B" w:rsidR="00950D9D" w:rsidRDefault="00950D9D" w:rsidP="00950D9D">
            <w:pPr>
              <w:keepNext/>
              <w:jc w:val="center"/>
              <w:rPr>
                <w:rFonts w:ascii="Arial Narrow" w:hAnsi="Arial Narrow" w:cs="Arial"/>
                <w:sz w:val="20"/>
                <w:szCs w:val="20"/>
              </w:rPr>
            </w:pPr>
            <w:proofErr w:type="spellStart"/>
            <w:r w:rsidRPr="00950D9D">
              <w:rPr>
                <w:rFonts w:ascii="Arial Narrow" w:hAnsi="Arial Narrow" w:cs="Arial"/>
                <w:iCs/>
                <w:sz w:val="20"/>
                <w:szCs w:val="20"/>
              </w:rPr>
              <w:t>Vizo</w:t>
            </w:r>
            <w:proofErr w:type="spellEnd"/>
            <w:r w:rsidRPr="00950D9D">
              <w:rPr>
                <w:rFonts w:ascii="Arial Narrow" w:hAnsi="Arial Narrow" w:cs="Arial"/>
                <w:iCs/>
                <w:sz w:val="20"/>
                <w:szCs w:val="20"/>
              </w:rPr>
              <w:t xml:space="preserve">-PF </w:t>
            </w:r>
            <w:proofErr w:type="spellStart"/>
            <w:r w:rsidRPr="00950D9D">
              <w:rPr>
                <w:rFonts w:ascii="Arial Narrow" w:hAnsi="Arial Narrow" w:cs="Arial"/>
                <w:iCs/>
                <w:sz w:val="20"/>
                <w:szCs w:val="20"/>
              </w:rPr>
              <w:t>Dorzolatim</w:t>
            </w:r>
            <w:r w:rsidR="00A06E43">
              <w:rPr>
                <w:rFonts w:ascii="Arial Narrow" w:hAnsi="Arial Narrow" w:cs="Arial"/>
                <w:sz w:val="20"/>
                <w:szCs w:val="20"/>
                <w:vertAlign w:val="superscript"/>
              </w:rPr>
              <w:t>a</w:t>
            </w:r>
            <w:proofErr w:type="spellEnd"/>
            <w:r w:rsidRPr="008C410A">
              <w:rPr>
                <w:rFonts w:ascii="Arial Narrow" w:hAnsi="Arial Narrow" w:cs="Arial"/>
                <w:sz w:val="20"/>
                <w:szCs w:val="20"/>
              </w:rPr>
              <w:t xml:space="preserve"> </w:t>
            </w:r>
          </w:p>
          <w:p w14:paraId="3E31F2E5" w14:textId="5D959EBC" w:rsidR="00950D9D" w:rsidRPr="00950D9D" w:rsidRDefault="00950D9D" w:rsidP="00950D9D">
            <w:pPr>
              <w:keepNext/>
              <w:jc w:val="center"/>
              <w:rPr>
                <w:rFonts w:ascii="Arial Narrow" w:hAnsi="Arial Narrow" w:cs="Arial"/>
                <w:sz w:val="20"/>
                <w:szCs w:val="20"/>
                <w:vertAlign w:val="superscript"/>
              </w:rPr>
            </w:pPr>
            <w:proofErr w:type="spellStart"/>
            <w:r w:rsidRPr="008C410A">
              <w:rPr>
                <w:rFonts w:ascii="Arial Narrow" w:hAnsi="Arial Narrow" w:cs="Arial"/>
                <w:sz w:val="20"/>
                <w:szCs w:val="20"/>
              </w:rPr>
              <w:t>Cosdor</w:t>
            </w:r>
            <w:r>
              <w:rPr>
                <w:rFonts w:ascii="Arial Narrow" w:hAnsi="Arial Narrow" w:cs="Arial"/>
                <w:sz w:val="20"/>
                <w:szCs w:val="20"/>
                <w:vertAlign w:val="superscript"/>
              </w:rPr>
              <w:t>a</w:t>
            </w:r>
            <w:proofErr w:type="spellEnd"/>
          </w:p>
          <w:p w14:paraId="3F87992A" w14:textId="0BBB8557" w:rsidR="00950D9D" w:rsidRPr="00950D9D" w:rsidRDefault="00950D9D" w:rsidP="00950D9D">
            <w:pPr>
              <w:keepNext/>
              <w:jc w:val="center"/>
              <w:rPr>
                <w:rFonts w:ascii="Arial Narrow" w:hAnsi="Arial Narrow" w:cs="Arial"/>
                <w:sz w:val="20"/>
                <w:szCs w:val="20"/>
                <w:vertAlign w:val="superscript"/>
              </w:rPr>
            </w:pPr>
            <w:proofErr w:type="spellStart"/>
            <w:r w:rsidRPr="008C410A">
              <w:rPr>
                <w:rFonts w:ascii="Arial Narrow" w:hAnsi="Arial Narrow" w:cs="Arial"/>
                <w:sz w:val="20"/>
                <w:szCs w:val="20"/>
              </w:rPr>
              <w:t>Cosopt</w:t>
            </w:r>
            <w:r>
              <w:rPr>
                <w:rFonts w:ascii="Arial Narrow" w:hAnsi="Arial Narrow" w:cs="Arial"/>
                <w:sz w:val="20"/>
                <w:szCs w:val="20"/>
                <w:vertAlign w:val="superscript"/>
              </w:rPr>
              <w:t>a</w:t>
            </w:r>
            <w:proofErr w:type="spellEnd"/>
          </w:p>
        </w:tc>
      </w:tr>
      <w:tr w:rsidR="00950D9D" w:rsidRPr="008C410A" w14:paraId="2B6C75A7"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6B11F838" w14:textId="77777777" w:rsidR="00950D9D" w:rsidRPr="008C410A" w:rsidRDefault="00950D9D" w:rsidP="00950D9D">
            <w:pPr>
              <w:rPr>
                <w:rFonts w:ascii="Arial Narrow" w:hAnsi="Arial Narrow" w:cs="Arial"/>
                <w:b/>
                <w:sz w:val="20"/>
                <w:szCs w:val="20"/>
              </w:rPr>
            </w:pPr>
          </w:p>
        </w:tc>
      </w:tr>
      <w:tr w:rsidR="00950D9D" w:rsidRPr="008C410A" w14:paraId="0D1E84BB" w14:textId="77777777" w:rsidTr="00950D9D">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bottom w:val="single" w:sz="4" w:space="0" w:color="auto"/>
              <w:right w:val="single" w:sz="4" w:space="0" w:color="auto"/>
            </w:tcBorders>
          </w:tcPr>
          <w:p w14:paraId="7AEA6480" w14:textId="527DF729" w:rsidR="00950D9D" w:rsidRPr="008C410A" w:rsidRDefault="00950D9D" w:rsidP="00950D9D">
            <w:pPr>
              <w:rPr>
                <w:rFonts w:ascii="Arial Narrow" w:hAnsi="Arial Narrow" w:cs="Arial"/>
                <w:b/>
                <w:sz w:val="20"/>
                <w:szCs w:val="20"/>
              </w:rPr>
            </w:pPr>
            <w:r w:rsidRPr="008C410A">
              <w:rPr>
                <w:rFonts w:ascii="Arial Narrow" w:hAnsi="Arial Narrow"/>
                <w:b/>
                <w:sz w:val="20"/>
                <w:szCs w:val="20"/>
              </w:rPr>
              <w:t xml:space="preserve">Restriction Summary / Treatment of Concept: </w:t>
            </w:r>
          </w:p>
        </w:tc>
      </w:tr>
      <w:tr w:rsidR="00950D9D" w:rsidRPr="008C410A" w14:paraId="24F9E2DC"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val="restart"/>
            <w:tcBorders>
              <w:top w:val="single" w:sz="4" w:space="0" w:color="auto"/>
              <w:left w:val="single" w:sz="4" w:space="0" w:color="auto"/>
              <w:right w:val="single" w:sz="4" w:space="0" w:color="auto"/>
            </w:tcBorders>
          </w:tcPr>
          <w:p w14:paraId="4DD7B25F" w14:textId="77777777" w:rsidR="00950D9D" w:rsidRPr="008C410A" w:rsidRDefault="00950D9D"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66E2C704" w14:textId="77777777" w:rsidR="00950D9D" w:rsidRPr="008C410A" w:rsidRDefault="00950D9D" w:rsidP="00950D9D">
            <w:pPr>
              <w:rPr>
                <w:rFonts w:ascii="Arial Narrow" w:hAnsi="Arial Narrow" w:cs="Arial"/>
                <w:sz w:val="20"/>
                <w:szCs w:val="20"/>
              </w:rPr>
            </w:pPr>
            <w:r w:rsidRPr="008C410A">
              <w:rPr>
                <w:rFonts w:ascii="Arial Narrow" w:hAnsi="Arial Narrow" w:cs="Arial"/>
                <w:b/>
                <w:sz w:val="20"/>
                <w:szCs w:val="20"/>
              </w:rPr>
              <w:t xml:space="preserve">Category / Program:   </w:t>
            </w:r>
            <w:r w:rsidRPr="008C410A">
              <w:rPr>
                <w:rFonts w:ascii="Arial Narrow" w:hAnsi="Arial Narrow" w:cs="Arial"/>
                <w:sz w:val="20"/>
                <w:szCs w:val="20"/>
              </w:rPr>
              <w:t>GENERAL – General Schedule (Code GE)</w:t>
            </w:r>
          </w:p>
        </w:tc>
      </w:tr>
      <w:tr w:rsidR="00950D9D" w:rsidRPr="008C410A" w14:paraId="51026E04" w14:textId="77777777" w:rsidTr="00950D9D">
        <w:tblPrEx>
          <w:tblCellMar>
            <w:top w:w="15" w:type="dxa"/>
            <w:left w:w="15" w:type="dxa"/>
            <w:bottom w:w="15" w:type="dxa"/>
            <w:right w:w="15" w:type="dxa"/>
          </w:tblCellMar>
          <w:tblLook w:val="04A0" w:firstRow="1" w:lastRow="0" w:firstColumn="1" w:lastColumn="0" w:noHBand="0" w:noVBand="1"/>
        </w:tblPrEx>
        <w:trPr>
          <w:trHeight w:val="240"/>
        </w:trPr>
        <w:tc>
          <w:tcPr>
            <w:tcW w:w="1128" w:type="dxa"/>
            <w:vMerge/>
            <w:tcBorders>
              <w:left w:val="single" w:sz="4" w:space="0" w:color="auto"/>
              <w:right w:val="single" w:sz="4" w:space="0" w:color="auto"/>
            </w:tcBorders>
          </w:tcPr>
          <w:p w14:paraId="2180D5CF" w14:textId="77777777" w:rsidR="00950D9D" w:rsidRPr="008C410A" w:rsidRDefault="00950D9D" w:rsidP="00950D9D">
            <w:pPr>
              <w:rPr>
                <w:rFonts w:ascii="Arial Narrow" w:hAnsi="Arial Narrow" w:cs="Arial"/>
                <w:b/>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66972F67" w14:textId="77777777" w:rsidR="00950D9D" w:rsidRPr="008C410A" w:rsidRDefault="00950D9D" w:rsidP="00950D9D">
            <w:pPr>
              <w:rPr>
                <w:rFonts w:ascii="Arial Narrow" w:hAnsi="Arial Narrow" w:cs="Arial"/>
                <w:b/>
                <w:sz w:val="20"/>
                <w:szCs w:val="20"/>
              </w:rPr>
            </w:pPr>
            <w:r w:rsidRPr="008C410A">
              <w:rPr>
                <w:rFonts w:ascii="Arial Narrow" w:hAnsi="Arial Narrow" w:cs="Arial"/>
                <w:b/>
                <w:sz w:val="20"/>
                <w:szCs w:val="20"/>
              </w:rPr>
              <w:t xml:space="preserve">Prescriber type:   </w:t>
            </w:r>
            <w:r w:rsidRPr="008C410A">
              <w:rPr>
                <w:rFonts w:ascii="Arial Narrow" w:hAnsi="Arial Narrow" w:cs="Arial"/>
                <w:sz w:val="20"/>
                <w:szCs w:val="20"/>
              </w:rPr>
              <w:fldChar w:fldCharType="begin">
                <w:ffData>
                  <w:name w:val="Check1"/>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Dental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Medical Practitioners    </w:t>
            </w:r>
            <w:r w:rsidRPr="008C410A">
              <w:rPr>
                <w:rFonts w:ascii="Arial Narrow" w:hAnsi="Arial Narrow" w:cs="Arial"/>
                <w:sz w:val="20"/>
                <w:szCs w:val="20"/>
              </w:rPr>
              <w:fldChar w:fldCharType="begin">
                <w:ffData>
                  <w:name w:val=""/>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Nurse practitioners     </w:t>
            </w: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 xml:space="preserve">Optometrists    </w:t>
            </w:r>
            <w:r w:rsidRPr="008C410A">
              <w:rPr>
                <w:rFonts w:ascii="Arial Narrow" w:hAnsi="Arial Narrow" w:cs="Arial"/>
                <w:sz w:val="20"/>
                <w:szCs w:val="20"/>
              </w:rPr>
              <w:fldChar w:fldCharType="begin">
                <w:ffData>
                  <w:name w:val="Check5"/>
                  <w:enabled/>
                  <w:calcOnExit w:val="0"/>
                  <w:checkBox>
                    <w:sizeAuto/>
                    <w:default w:val="0"/>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Midwives</w:t>
            </w:r>
          </w:p>
        </w:tc>
      </w:tr>
      <w:tr w:rsidR="00950D9D" w:rsidRPr="008C410A" w14:paraId="32879109" w14:textId="77777777" w:rsidTr="00950D9D">
        <w:tblPrEx>
          <w:tblCellMar>
            <w:top w:w="15" w:type="dxa"/>
            <w:left w:w="15" w:type="dxa"/>
            <w:bottom w:w="15" w:type="dxa"/>
            <w:right w:w="15" w:type="dxa"/>
          </w:tblCellMar>
          <w:tblLook w:val="04A0" w:firstRow="1" w:lastRow="0" w:firstColumn="1" w:lastColumn="0" w:noHBand="0" w:noVBand="1"/>
        </w:tblPrEx>
        <w:tc>
          <w:tcPr>
            <w:tcW w:w="1128" w:type="dxa"/>
            <w:vMerge/>
            <w:tcBorders>
              <w:left w:val="single" w:sz="4" w:space="0" w:color="auto"/>
              <w:bottom w:val="single" w:sz="4" w:space="0" w:color="auto"/>
              <w:right w:val="single" w:sz="4" w:space="0" w:color="auto"/>
            </w:tcBorders>
          </w:tcPr>
          <w:p w14:paraId="654362FF" w14:textId="77777777" w:rsidR="00950D9D" w:rsidRPr="008C410A" w:rsidRDefault="00950D9D" w:rsidP="00950D9D">
            <w:pPr>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tcPr>
          <w:p w14:paraId="6539BEC8" w14:textId="77777777" w:rsidR="00950D9D" w:rsidRPr="008C410A" w:rsidRDefault="00950D9D" w:rsidP="00950D9D">
            <w:pPr>
              <w:rPr>
                <w:rFonts w:ascii="Arial Narrow" w:hAnsi="Arial Narrow" w:cs="Arial"/>
                <w:b/>
                <w:sz w:val="20"/>
                <w:szCs w:val="20"/>
              </w:rPr>
            </w:pPr>
            <w:r w:rsidRPr="008C410A">
              <w:rPr>
                <w:rFonts w:ascii="Arial Narrow" w:hAnsi="Arial Narrow" w:cs="Arial"/>
                <w:b/>
                <w:sz w:val="20"/>
                <w:szCs w:val="20"/>
              </w:rPr>
              <w:t>Restriction Level / Method:</w:t>
            </w:r>
          </w:p>
          <w:p w14:paraId="7358D8F1" w14:textId="77777777" w:rsidR="00950D9D" w:rsidRPr="008C410A" w:rsidRDefault="00950D9D" w:rsidP="00950D9D">
            <w:pPr>
              <w:rPr>
                <w:rFonts w:ascii="Arial Narrow" w:hAnsi="Arial Narrow" w:cs="Arial"/>
                <w:sz w:val="20"/>
                <w:szCs w:val="20"/>
              </w:rPr>
            </w:pPr>
            <w:r w:rsidRPr="008C410A">
              <w:rPr>
                <w:rFonts w:ascii="Arial Narrow" w:hAnsi="Arial Narrow" w:cs="Arial"/>
                <w:sz w:val="20"/>
                <w:szCs w:val="20"/>
              </w:rPr>
              <w:fldChar w:fldCharType="begin">
                <w:ffData>
                  <w:name w:val=""/>
                  <w:enabled/>
                  <w:calcOnExit w:val="0"/>
                  <w:checkBox>
                    <w:sizeAuto/>
                    <w:default w:val="1"/>
                  </w:checkBox>
                </w:ffData>
              </w:fldChar>
            </w:r>
            <w:r w:rsidRPr="008C410A">
              <w:rPr>
                <w:rFonts w:ascii="Arial Narrow" w:hAnsi="Arial Narrow" w:cs="Arial"/>
                <w:sz w:val="20"/>
                <w:szCs w:val="20"/>
              </w:rPr>
              <w:instrText xml:space="preserve"> FORMCHECKBOX </w:instrText>
            </w:r>
            <w:r w:rsidR="003D106E">
              <w:rPr>
                <w:rFonts w:ascii="Arial Narrow" w:hAnsi="Arial Narrow" w:cs="Arial"/>
                <w:sz w:val="20"/>
                <w:szCs w:val="20"/>
              </w:rPr>
            </w:r>
            <w:r w:rsidR="003D106E">
              <w:rPr>
                <w:rFonts w:ascii="Arial Narrow" w:hAnsi="Arial Narrow" w:cs="Arial"/>
                <w:sz w:val="20"/>
                <w:szCs w:val="20"/>
              </w:rPr>
              <w:fldChar w:fldCharType="separate"/>
            </w:r>
            <w:r w:rsidRPr="008C410A">
              <w:rPr>
                <w:rFonts w:ascii="Arial Narrow" w:hAnsi="Arial Narrow" w:cs="Arial"/>
                <w:sz w:val="20"/>
                <w:szCs w:val="20"/>
              </w:rPr>
              <w:fldChar w:fldCharType="end"/>
            </w:r>
            <w:r w:rsidRPr="008C410A">
              <w:rPr>
                <w:rFonts w:ascii="Arial Narrow" w:hAnsi="Arial Narrow" w:cs="Arial"/>
                <w:sz w:val="20"/>
                <w:szCs w:val="20"/>
              </w:rPr>
              <w:t>Restricted benefit</w:t>
            </w:r>
          </w:p>
        </w:tc>
      </w:tr>
      <w:tr w:rsidR="00950D9D" w:rsidRPr="008C410A" w14:paraId="6A1D3398" w14:textId="77777777" w:rsidTr="00D500D6">
        <w:tblPrEx>
          <w:tblCellMar>
            <w:top w:w="15" w:type="dxa"/>
            <w:left w:w="15" w:type="dxa"/>
            <w:bottom w:w="15" w:type="dxa"/>
            <w:right w:w="15" w:type="dxa"/>
          </w:tblCellMar>
        </w:tblPrEx>
        <w:tc>
          <w:tcPr>
            <w:tcW w:w="1128" w:type="dxa"/>
            <w:vAlign w:val="center"/>
          </w:tcPr>
          <w:p w14:paraId="15D3C6F0" w14:textId="7B34739E" w:rsidR="00950D9D" w:rsidRPr="008C410A" w:rsidRDefault="00950D9D" w:rsidP="00950D9D">
            <w:pPr>
              <w:jc w:val="center"/>
              <w:rPr>
                <w:rFonts w:ascii="Arial Narrow" w:hAnsi="Arial Narrow"/>
                <w:color w:val="333333"/>
                <w:sz w:val="20"/>
                <w:szCs w:val="20"/>
              </w:rPr>
            </w:pPr>
          </w:p>
        </w:tc>
        <w:tc>
          <w:tcPr>
            <w:tcW w:w="7798" w:type="dxa"/>
            <w:gridSpan w:val="6"/>
            <w:vAlign w:val="center"/>
          </w:tcPr>
          <w:p w14:paraId="78838F4B" w14:textId="77777777" w:rsidR="00950D9D" w:rsidRPr="008C410A" w:rsidRDefault="00950D9D" w:rsidP="00950D9D">
            <w:pPr>
              <w:rPr>
                <w:rFonts w:ascii="Arial Narrow" w:hAnsi="Arial Narrow"/>
                <w:color w:val="333333"/>
                <w:sz w:val="20"/>
                <w:szCs w:val="20"/>
              </w:rPr>
            </w:pPr>
            <w:r w:rsidRPr="008C410A">
              <w:rPr>
                <w:rFonts w:ascii="Arial Narrow" w:hAnsi="Arial Narrow"/>
                <w:b/>
                <w:bCs/>
                <w:sz w:val="20"/>
                <w:szCs w:val="20"/>
              </w:rPr>
              <w:t>Indication:</w:t>
            </w:r>
            <w:r w:rsidRPr="008C410A">
              <w:rPr>
                <w:rFonts w:ascii="Arial Narrow" w:hAnsi="Arial Narrow"/>
                <w:sz w:val="20"/>
                <w:szCs w:val="20"/>
              </w:rPr>
              <w:t xml:space="preserve"> Elevated intra-ocular pressure</w:t>
            </w:r>
          </w:p>
        </w:tc>
      </w:tr>
      <w:tr w:rsidR="00950D9D" w:rsidRPr="008C410A" w14:paraId="022D9842"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7D513817" w14:textId="26445D60" w:rsidR="00950D9D" w:rsidRPr="008C410A" w:rsidRDefault="00950D9D" w:rsidP="00950D9D">
            <w:pPr>
              <w:jc w:val="center"/>
              <w:rPr>
                <w:rFonts w:ascii="Arial Narrow" w:hAnsi="Arial Narrow"/>
                <w:bCs/>
                <w:sz w:val="20"/>
                <w:szCs w:val="20"/>
              </w:rPr>
            </w:pPr>
          </w:p>
        </w:tc>
        <w:tc>
          <w:tcPr>
            <w:tcW w:w="7798" w:type="dxa"/>
            <w:gridSpan w:val="6"/>
            <w:vAlign w:val="center"/>
          </w:tcPr>
          <w:p w14:paraId="2FE1BD72" w14:textId="77777777" w:rsidR="00950D9D" w:rsidRPr="008C410A" w:rsidRDefault="00950D9D" w:rsidP="00950D9D">
            <w:pPr>
              <w:rPr>
                <w:rFonts w:ascii="Arial Narrow" w:hAnsi="Arial Narrow"/>
                <w:bCs/>
                <w:sz w:val="20"/>
                <w:szCs w:val="20"/>
              </w:rPr>
            </w:pPr>
            <w:r w:rsidRPr="008C410A">
              <w:rPr>
                <w:rFonts w:ascii="Arial Narrow" w:hAnsi="Arial Narrow"/>
                <w:b/>
                <w:bCs/>
                <w:sz w:val="20"/>
                <w:szCs w:val="20"/>
              </w:rPr>
              <w:t xml:space="preserve">Clinical criteria: </w:t>
            </w:r>
          </w:p>
        </w:tc>
      </w:tr>
      <w:tr w:rsidR="00950D9D" w:rsidRPr="008C410A" w14:paraId="099713E0"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2A36C749" w14:textId="27BEF1C9" w:rsidR="00950D9D" w:rsidRPr="008C410A" w:rsidRDefault="00950D9D" w:rsidP="00950D9D">
            <w:pPr>
              <w:jc w:val="center"/>
              <w:rPr>
                <w:rFonts w:ascii="Arial Narrow" w:hAnsi="Arial Narrow"/>
                <w:bCs/>
                <w:sz w:val="20"/>
                <w:szCs w:val="20"/>
              </w:rPr>
            </w:pPr>
          </w:p>
        </w:tc>
        <w:tc>
          <w:tcPr>
            <w:tcW w:w="7798" w:type="dxa"/>
            <w:gridSpan w:val="6"/>
            <w:vAlign w:val="center"/>
          </w:tcPr>
          <w:p w14:paraId="128814EA" w14:textId="77777777" w:rsidR="00950D9D" w:rsidRPr="008C410A" w:rsidRDefault="00950D9D" w:rsidP="00950D9D">
            <w:pPr>
              <w:rPr>
                <w:rFonts w:ascii="Arial Narrow" w:hAnsi="Arial Narrow"/>
                <w:b/>
                <w:bCs/>
                <w:sz w:val="20"/>
                <w:szCs w:val="20"/>
              </w:rPr>
            </w:pPr>
            <w:r w:rsidRPr="008C410A">
              <w:rPr>
                <w:rFonts w:ascii="Arial Narrow" w:hAnsi="Arial Narrow"/>
                <w:bCs/>
                <w:sz w:val="20"/>
                <w:szCs w:val="20"/>
              </w:rPr>
              <w:t>The condition must have been inadequately controlled with monotherapy</w:t>
            </w:r>
          </w:p>
        </w:tc>
      </w:tr>
      <w:tr w:rsidR="00950D9D" w:rsidRPr="008C410A" w14:paraId="4844E4D8"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03E23B11" w14:textId="77777777" w:rsidR="00950D9D" w:rsidRPr="008C410A" w:rsidRDefault="00950D9D" w:rsidP="00950D9D">
            <w:pPr>
              <w:jc w:val="center"/>
              <w:rPr>
                <w:rFonts w:ascii="Arial Narrow" w:hAnsi="Arial Narrow"/>
                <w:bCs/>
                <w:sz w:val="20"/>
                <w:szCs w:val="20"/>
              </w:rPr>
            </w:pPr>
          </w:p>
        </w:tc>
        <w:tc>
          <w:tcPr>
            <w:tcW w:w="7798" w:type="dxa"/>
            <w:gridSpan w:val="6"/>
            <w:vAlign w:val="center"/>
          </w:tcPr>
          <w:p w14:paraId="1900A19E" w14:textId="77777777" w:rsidR="00950D9D" w:rsidRPr="008C410A" w:rsidRDefault="00950D9D" w:rsidP="00950D9D">
            <w:pPr>
              <w:rPr>
                <w:rFonts w:ascii="Arial Narrow" w:hAnsi="Arial Narrow"/>
                <w:b/>
                <w:bCs/>
                <w:sz w:val="20"/>
                <w:szCs w:val="20"/>
              </w:rPr>
            </w:pPr>
            <w:r w:rsidRPr="008C410A">
              <w:rPr>
                <w:rFonts w:ascii="Arial Narrow" w:hAnsi="Arial Narrow"/>
                <w:b/>
                <w:bCs/>
                <w:sz w:val="20"/>
                <w:szCs w:val="20"/>
              </w:rPr>
              <w:t>AND</w:t>
            </w:r>
          </w:p>
        </w:tc>
      </w:tr>
      <w:tr w:rsidR="00950D9D" w:rsidRPr="008C410A" w14:paraId="1F35B3D6"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160C0006" w14:textId="634E718D" w:rsidR="00950D9D" w:rsidRPr="008C410A" w:rsidRDefault="00950D9D" w:rsidP="00950D9D">
            <w:pPr>
              <w:jc w:val="center"/>
              <w:rPr>
                <w:rFonts w:ascii="Arial Narrow" w:hAnsi="Arial Narrow"/>
                <w:bCs/>
                <w:sz w:val="20"/>
                <w:szCs w:val="20"/>
              </w:rPr>
            </w:pPr>
          </w:p>
        </w:tc>
        <w:tc>
          <w:tcPr>
            <w:tcW w:w="7798" w:type="dxa"/>
            <w:gridSpan w:val="6"/>
            <w:vAlign w:val="center"/>
          </w:tcPr>
          <w:p w14:paraId="65699994" w14:textId="77777777" w:rsidR="00950D9D" w:rsidRPr="008C410A" w:rsidRDefault="00950D9D" w:rsidP="00950D9D">
            <w:pPr>
              <w:rPr>
                <w:rFonts w:ascii="Arial Narrow" w:hAnsi="Arial Narrow"/>
                <w:b/>
                <w:bCs/>
                <w:sz w:val="20"/>
                <w:szCs w:val="20"/>
              </w:rPr>
            </w:pPr>
            <w:r w:rsidRPr="008C410A">
              <w:rPr>
                <w:rFonts w:ascii="Arial Narrow" w:hAnsi="Arial Narrow"/>
                <w:b/>
                <w:bCs/>
                <w:sz w:val="20"/>
                <w:szCs w:val="20"/>
              </w:rPr>
              <w:t>Clinical criteria:</w:t>
            </w:r>
          </w:p>
        </w:tc>
      </w:tr>
      <w:tr w:rsidR="00950D9D" w:rsidRPr="008C410A" w14:paraId="2ABC817D"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6A40CFE3" w14:textId="53671DA4" w:rsidR="00950D9D" w:rsidRPr="008C410A" w:rsidRDefault="00950D9D" w:rsidP="00950D9D">
            <w:pPr>
              <w:jc w:val="center"/>
              <w:rPr>
                <w:rFonts w:ascii="Arial Narrow" w:hAnsi="Arial Narrow"/>
                <w:bCs/>
                <w:sz w:val="20"/>
                <w:szCs w:val="20"/>
              </w:rPr>
            </w:pPr>
          </w:p>
        </w:tc>
        <w:tc>
          <w:tcPr>
            <w:tcW w:w="7798" w:type="dxa"/>
            <w:gridSpan w:val="6"/>
            <w:vAlign w:val="center"/>
          </w:tcPr>
          <w:p w14:paraId="53742BAE" w14:textId="77777777" w:rsidR="00950D9D" w:rsidRPr="008C410A" w:rsidRDefault="00950D9D" w:rsidP="00950D9D">
            <w:pPr>
              <w:rPr>
                <w:rFonts w:ascii="Arial Narrow" w:hAnsi="Arial Narrow"/>
                <w:bCs/>
                <w:sz w:val="20"/>
                <w:szCs w:val="20"/>
              </w:rPr>
            </w:pPr>
            <w:r w:rsidRPr="008C410A">
              <w:rPr>
                <w:rFonts w:ascii="Arial Narrow" w:hAnsi="Arial Narrow"/>
                <w:bCs/>
                <w:sz w:val="20"/>
                <w:szCs w:val="20"/>
              </w:rPr>
              <w:t>Patient must have open-angle glaucoma; or</w:t>
            </w:r>
          </w:p>
        </w:tc>
      </w:tr>
      <w:tr w:rsidR="00950D9D" w:rsidRPr="008C410A" w14:paraId="32F4F344"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1CC052A2" w14:textId="35E8FA3D" w:rsidR="00950D9D" w:rsidRPr="008C410A" w:rsidRDefault="00950D9D" w:rsidP="00950D9D">
            <w:pPr>
              <w:jc w:val="center"/>
              <w:rPr>
                <w:rFonts w:ascii="Arial Narrow" w:hAnsi="Arial Narrow"/>
                <w:bCs/>
                <w:sz w:val="20"/>
                <w:szCs w:val="20"/>
              </w:rPr>
            </w:pPr>
          </w:p>
        </w:tc>
        <w:tc>
          <w:tcPr>
            <w:tcW w:w="7798" w:type="dxa"/>
            <w:gridSpan w:val="6"/>
            <w:vAlign w:val="center"/>
          </w:tcPr>
          <w:p w14:paraId="192EC980" w14:textId="77777777" w:rsidR="00950D9D" w:rsidRPr="008C410A" w:rsidRDefault="00950D9D" w:rsidP="00950D9D">
            <w:pPr>
              <w:rPr>
                <w:rFonts w:ascii="Arial Narrow" w:hAnsi="Arial Narrow"/>
                <w:bCs/>
                <w:sz w:val="20"/>
                <w:szCs w:val="20"/>
              </w:rPr>
            </w:pPr>
            <w:r w:rsidRPr="008C410A">
              <w:rPr>
                <w:rFonts w:ascii="Arial Narrow" w:hAnsi="Arial Narrow"/>
                <w:bCs/>
                <w:sz w:val="20"/>
                <w:szCs w:val="20"/>
              </w:rPr>
              <w:t>Patient must have ocular hypertension</w:t>
            </w:r>
          </w:p>
        </w:tc>
      </w:tr>
      <w:tr w:rsidR="00950D9D" w:rsidRPr="008C410A" w14:paraId="4E804F30" w14:textId="77777777" w:rsidTr="00950D9D">
        <w:tblPrEx>
          <w:tblCellMar>
            <w:top w:w="15" w:type="dxa"/>
            <w:left w:w="15" w:type="dxa"/>
            <w:bottom w:w="15" w:type="dxa"/>
            <w:right w:w="15" w:type="dxa"/>
          </w:tblCellMar>
          <w:tblLook w:val="04A0" w:firstRow="1" w:lastRow="0" w:firstColumn="1" w:lastColumn="0" w:noHBand="0" w:noVBand="1"/>
        </w:tblPrEx>
        <w:tc>
          <w:tcPr>
            <w:tcW w:w="1128" w:type="dxa"/>
            <w:vAlign w:val="center"/>
          </w:tcPr>
          <w:p w14:paraId="7A254148" w14:textId="45D4D1F3" w:rsidR="00950D9D" w:rsidRPr="008C410A" w:rsidRDefault="00950D9D" w:rsidP="00950D9D">
            <w:pPr>
              <w:jc w:val="center"/>
              <w:rPr>
                <w:rFonts w:ascii="Arial Narrow" w:hAnsi="Arial Narrow"/>
                <w:bCs/>
                <w:sz w:val="20"/>
                <w:szCs w:val="20"/>
              </w:rPr>
            </w:pPr>
          </w:p>
        </w:tc>
        <w:tc>
          <w:tcPr>
            <w:tcW w:w="7798" w:type="dxa"/>
            <w:gridSpan w:val="6"/>
            <w:vAlign w:val="center"/>
          </w:tcPr>
          <w:p w14:paraId="02464F3C" w14:textId="77777777" w:rsidR="00950D9D" w:rsidRPr="008C410A" w:rsidRDefault="00950D9D" w:rsidP="00950D9D">
            <w:pPr>
              <w:rPr>
                <w:rFonts w:ascii="Arial Narrow" w:hAnsi="Arial Narrow"/>
                <w:b/>
                <w:bCs/>
                <w:sz w:val="20"/>
                <w:szCs w:val="20"/>
              </w:rPr>
            </w:pPr>
            <w:r w:rsidRPr="008C410A">
              <w:rPr>
                <w:rFonts w:ascii="Arial Narrow" w:hAnsi="Arial Narrow"/>
                <w:b/>
                <w:bCs/>
                <w:sz w:val="20"/>
                <w:szCs w:val="20"/>
              </w:rPr>
              <w:t xml:space="preserve">Administrative Advice: </w:t>
            </w:r>
          </w:p>
          <w:p w14:paraId="5E5A6FCF" w14:textId="77777777" w:rsidR="00950D9D" w:rsidRPr="008C410A" w:rsidRDefault="00950D9D" w:rsidP="00950D9D">
            <w:pPr>
              <w:rPr>
                <w:rFonts w:ascii="Arial Narrow" w:hAnsi="Arial Narrow"/>
                <w:bCs/>
                <w:sz w:val="20"/>
                <w:szCs w:val="20"/>
              </w:rPr>
            </w:pPr>
            <w:r w:rsidRPr="008C410A">
              <w:rPr>
                <w:rFonts w:ascii="Arial Narrow" w:hAnsi="Arial Narrow"/>
                <w:bCs/>
                <w:sz w:val="20"/>
                <w:szCs w:val="20"/>
              </w:rPr>
              <w:t>For prescribing in accordance with Optometry Board of Australia guidelines.</w:t>
            </w:r>
          </w:p>
        </w:tc>
      </w:tr>
    </w:tbl>
    <w:p w14:paraId="45C4EF61" w14:textId="37433718" w:rsidR="00396825" w:rsidRDefault="00396825" w:rsidP="003D106E">
      <w:pPr>
        <w:pStyle w:val="3Bodytext"/>
        <w:numPr>
          <w:ilvl w:val="0"/>
          <w:numId w:val="0"/>
        </w:numPr>
        <w:spacing w:after="0"/>
        <w:ind w:left="720"/>
        <w:rPr>
          <w:snapToGrid w:val="0"/>
        </w:rPr>
      </w:pPr>
    </w:p>
    <w:p w14:paraId="4426A8E0" w14:textId="457FBE61" w:rsidR="0021509E" w:rsidRPr="003D106E" w:rsidRDefault="00396825" w:rsidP="00CA48F8">
      <w:pPr>
        <w:pStyle w:val="ListBullet"/>
        <w:numPr>
          <w:ilvl w:val="0"/>
          <w:numId w:val="0"/>
        </w:numPr>
        <w:rPr>
          <w:b/>
          <w:bCs/>
          <w:i/>
          <w:iCs/>
        </w:rPr>
      </w:pPr>
      <w:r w:rsidRPr="00197545">
        <w:rPr>
          <w:b/>
          <w:bCs/>
          <w:i/>
          <w:iCs/>
        </w:rPr>
        <w:t>Th</w:t>
      </w:r>
      <w:r>
        <w:rPr>
          <w:b/>
          <w:bCs/>
          <w:i/>
          <w:iCs/>
        </w:rPr>
        <w:t>ese</w:t>
      </w:r>
      <w:r w:rsidRPr="00197545">
        <w:rPr>
          <w:b/>
          <w:bCs/>
          <w:i/>
          <w:iCs/>
        </w:rPr>
        <w:t xml:space="preserve"> restriction</w:t>
      </w:r>
      <w:r>
        <w:rPr>
          <w:b/>
          <w:bCs/>
          <w:i/>
          <w:iCs/>
        </w:rPr>
        <w:t>s</w:t>
      </w:r>
      <w:r w:rsidRPr="00197545">
        <w:rPr>
          <w:b/>
          <w:bCs/>
          <w:i/>
          <w:iCs/>
        </w:rPr>
        <w:t xml:space="preserve"> may be subject to further review. Should there be any changes made to the restriction the Sponsor will be informed.</w:t>
      </w:r>
    </w:p>
    <w:p w14:paraId="02895E03" w14:textId="302DA247" w:rsidR="0021509E" w:rsidRPr="0021509E" w:rsidRDefault="0021509E" w:rsidP="00D500D6">
      <w:pPr>
        <w:pStyle w:val="2-SectionHeading"/>
        <w:rPr>
          <w:bCs/>
          <w:lang w:val="en-GB"/>
        </w:rPr>
      </w:pPr>
      <w:r w:rsidRPr="0021509E">
        <w:t>Context for Decision</w:t>
      </w:r>
    </w:p>
    <w:p w14:paraId="2CDF9B63" w14:textId="2AA29E08" w:rsidR="0021509E" w:rsidRPr="0021509E" w:rsidRDefault="0021509E" w:rsidP="00D500D6">
      <w:pPr>
        <w:pStyle w:val="3Bodytext"/>
        <w:numPr>
          <w:ilvl w:val="0"/>
          <w:numId w:val="0"/>
        </w:numPr>
        <w:ind w:left="720"/>
        <w:rPr>
          <w:lang w:val="en-GB"/>
        </w:rPr>
      </w:pPr>
      <w:r w:rsidRPr="0021509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DED9B6A" w14:textId="0A857244" w:rsidR="0021509E" w:rsidRPr="0021509E" w:rsidRDefault="0021509E" w:rsidP="00D500D6">
      <w:pPr>
        <w:pStyle w:val="2-SectionHeading"/>
      </w:pPr>
      <w:r w:rsidRPr="0021509E">
        <w:t>Sponsor’s Comment</w:t>
      </w:r>
    </w:p>
    <w:p w14:paraId="419B5A1E" w14:textId="374D95CD" w:rsidR="0021509E" w:rsidRPr="00D500D6" w:rsidRDefault="0021509E" w:rsidP="00D500D6">
      <w:pPr>
        <w:pStyle w:val="3Bodytext"/>
        <w:numPr>
          <w:ilvl w:val="0"/>
          <w:numId w:val="0"/>
        </w:numPr>
        <w:ind w:left="720"/>
      </w:pPr>
      <w:r w:rsidRPr="0021509E">
        <w:t>The sponsor had no comment.</w:t>
      </w:r>
    </w:p>
    <w:sectPr w:rsidR="0021509E" w:rsidRPr="00D500D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18D7" w14:textId="77777777" w:rsidR="007866F2" w:rsidRDefault="007866F2">
      <w:r>
        <w:separator/>
      </w:r>
    </w:p>
    <w:p w14:paraId="30ACAD79" w14:textId="77777777" w:rsidR="007866F2" w:rsidRDefault="007866F2"/>
  </w:endnote>
  <w:endnote w:type="continuationSeparator" w:id="0">
    <w:p w14:paraId="539F976E" w14:textId="77777777" w:rsidR="007866F2" w:rsidRDefault="007866F2">
      <w:r>
        <w:continuationSeparator/>
      </w:r>
    </w:p>
    <w:p w14:paraId="2C81305A" w14:textId="77777777" w:rsidR="007866F2" w:rsidRDefault="007866F2"/>
  </w:endnote>
  <w:endnote w:type="continuationNotice" w:id="1">
    <w:p w14:paraId="7C97BB7C" w14:textId="77777777" w:rsidR="007866F2" w:rsidRDefault="00786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866F2" w14:paraId="4075D3FE" w14:textId="77777777" w:rsidTr="005A3173">
      <w:trPr>
        <w:trHeight w:val="151"/>
      </w:trPr>
      <w:tc>
        <w:tcPr>
          <w:tcW w:w="2250" w:type="pct"/>
          <w:tcBorders>
            <w:top w:val="nil"/>
            <w:left w:val="nil"/>
            <w:bottom w:val="single" w:sz="4" w:space="0" w:color="4F81BD"/>
            <w:right w:val="nil"/>
          </w:tcBorders>
        </w:tcPr>
        <w:p w14:paraId="096D0DDE" w14:textId="77777777" w:rsidR="007866F2" w:rsidRPr="005A3173" w:rsidRDefault="007866F2"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7866F2" w:rsidRPr="005A3173" w:rsidRDefault="007866F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7866F2" w:rsidRPr="005A3173" w:rsidRDefault="007866F2" w:rsidP="005A3173">
          <w:pPr>
            <w:pStyle w:val="Header"/>
            <w:spacing w:line="276" w:lineRule="auto"/>
            <w:rPr>
              <w:rFonts w:eastAsia="MS Gothic"/>
              <w:b/>
              <w:bCs/>
              <w:color w:val="4F81BD"/>
            </w:rPr>
          </w:pPr>
        </w:p>
      </w:tc>
    </w:tr>
    <w:tr w:rsidR="007866F2" w14:paraId="32EF4DB8" w14:textId="77777777" w:rsidTr="005A3173">
      <w:trPr>
        <w:trHeight w:val="150"/>
      </w:trPr>
      <w:tc>
        <w:tcPr>
          <w:tcW w:w="2250" w:type="pct"/>
          <w:tcBorders>
            <w:top w:val="single" w:sz="4" w:space="0" w:color="4F81BD"/>
            <w:left w:val="nil"/>
            <w:bottom w:val="nil"/>
            <w:right w:val="nil"/>
          </w:tcBorders>
        </w:tcPr>
        <w:p w14:paraId="03528A4C" w14:textId="77777777" w:rsidR="007866F2" w:rsidRPr="005A3173" w:rsidRDefault="007866F2" w:rsidP="005A3173">
          <w:pPr>
            <w:pStyle w:val="Header"/>
            <w:spacing w:line="276" w:lineRule="auto"/>
            <w:rPr>
              <w:rFonts w:eastAsia="MS Gothic"/>
              <w:b/>
              <w:bCs/>
              <w:color w:val="4F81BD"/>
            </w:rPr>
          </w:pPr>
        </w:p>
      </w:tc>
      <w:tc>
        <w:tcPr>
          <w:tcW w:w="0" w:type="auto"/>
          <w:vMerge/>
          <w:vAlign w:val="center"/>
          <w:hideMark/>
        </w:tcPr>
        <w:p w14:paraId="109042FB" w14:textId="77777777" w:rsidR="007866F2" w:rsidRPr="005A3173" w:rsidRDefault="007866F2" w:rsidP="005A3173">
          <w:pPr>
            <w:rPr>
              <w:color w:val="365F91"/>
              <w:sz w:val="22"/>
              <w:szCs w:val="22"/>
            </w:rPr>
          </w:pPr>
        </w:p>
      </w:tc>
      <w:tc>
        <w:tcPr>
          <w:tcW w:w="2250" w:type="pct"/>
          <w:tcBorders>
            <w:top w:val="single" w:sz="4" w:space="0" w:color="4F81BD"/>
            <w:left w:val="nil"/>
            <w:bottom w:val="nil"/>
            <w:right w:val="nil"/>
          </w:tcBorders>
        </w:tcPr>
        <w:p w14:paraId="09664199" w14:textId="77777777" w:rsidR="007866F2" w:rsidRPr="005A3173" w:rsidRDefault="007866F2" w:rsidP="005A3173">
          <w:pPr>
            <w:pStyle w:val="Header"/>
            <w:spacing w:line="276" w:lineRule="auto"/>
            <w:rPr>
              <w:rFonts w:eastAsia="MS Gothic"/>
              <w:b/>
              <w:bCs/>
              <w:color w:val="4F81BD"/>
            </w:rPr>
          </w:pPr>
        </w:p>
      </w:tc>
    </w:tr>
  </w:tbl>
  <w:p w14:paraId="21855C18" w14:textId="77777777" w:rsidR="007866F2" w:rsidRDefault="007866F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7866F2" w:rsidRDefault="007866F2">
    <w:pPr>
      <w:pStyle w:val="Footer"/>
    </w:pPr>
  </w:p>
  <w:p w14:paraId="48FFA445" w14:textId="77777777" w:rsidR="007866F2" w:rsidRDefault="007866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0C56" w14:textId="77777777" w:rsidR="007866F2" w:rsidRPr="00D429EC" w:rsidRDefault="007866F2" w:rsidP="00E27234">
    <w:pPr>
      <w:pStyle w:val="PBACFooter"/>
      <w:rPr>
        <w:rFonts w:asciiTheme="minorHAnsi" w:hAnsiTheme="minorHAnsi" w:cstheme="minorHAnsi"/>
        <w:sz w:val="24"/>
      </w:rPr>
    </w:pPr>
  </w:p>
  <w:p w14:paraId="355827FE" w14:textId="4BA9C7F5" w:rsidR="007866F2" w:rsidRPr="00ED1D39" w:rsidRDefault="007866F2" w:rsidP="00ED1D39">
    <w:pPr>
      <w:pStyle w:val="Footer"/>
      <w:jc w:val="center"/>
    </w:pPr>
    <w:r>
      <w:fldChar w:fldCharType="begin"/>
    </w:r>
    <w:r>
      <w:instrText xml:space="preserve"> PAGE   \* MERGEFORMAT </w:instrText>
    </w:r>
    <w:r>
      <w:fldChar w:fldCharType="separate"/>
    </w:r>
    <w:r w:rsidR="001E4BBA">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7866F2" w14:paraId="1B1A9BFB" w14:textId="77777777" w:rsidTr="005A3173">
      <w:trPr>
        <w:trHeight w:val="151"/>
      </w:trPr>
      <w:tc>
        <w:tcPr>
          <w:tcW w:w="2250" w:type="pct"/>
          <w:tcBorders>
            <w:top w:val="nil"/>
            <w:left w:val="nil"/>
            <w:bottom w:val="single" w:sz="4" w:space="0" w:color="4F81BD"/>
            <w:right w:val="nil"/>
          </w:tcBorders>
        </w:tcPr>
        <w:p w14:paraId="1AEC0F9B" w14:textId="77777777" w:rsidR="007866F2" w:rsidRPr="005A3173" w:rsidRDefault="007866F2"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7866F2" w:rsidRPr="005A3173" w:rsidRDefault="007866F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7866F2" w:rsidRPr="005A3173" w:rsidRDefault="007866F2" w:rsidP="005A3173">
          <w:pPr>
            <w:pStyle w:val="Header"/>
            <w:spacing w:line="276" w:lineRule="auto"/>
            <w:rPr>
              <w:rFonts w:eastAsia="MS Gothic"/>
              <w:b/>
              <w:bCs/>
              <w:color w:val="4F81BD"/>
            </w:rPr>
          </w:pPr>
        </w:p>
      </w:tc>
    </w:tr>
    <w:tr w:rsidR="007866F2" w14:paraId="0A17FD7B" w14:textId="77777777" w:rsidTr="005A3173">
      <w:trPr>
        <w:trHeight w:val="150"/>
      </w:trPr>
      <w:tc>
        <w:tcPr>
          <w:tcW w:w="2250" w:type="pct"/>
          <w:tcBorders>
            <w:top w:val="single" w:sz="4" w:space="0" w:color="4F81BD"/>
            <w:left w:val="nil"/>
            <w:bottom w:val="nil"/>
            <w:right w:val="nil"/>
          </w:tcBorders>
        </w:tcPr>
        <w:p w14:paraId="66DEA9D9" w14:textId="77777777" w:rsidR="007866F2" w:rsidRPr="005A3173" w:rsidRDefault="007866F2" w:rsidP="005A3173">
          <w:pPr>
            <w:pStyle w:val="Header"/>
            <w:spacing w:line="276" w:lineRule="auto"/>
            <w:rPr>
              <w:rFonts w:eastAsia="MS Gothic"/>
              <w:b/>
              <w:bCs/>
              <w:color w:val="4F81BD"/>
            </w:rPr>
          </w:pPr>
        </w:p>
      </w:tc>
      <w:tc>
        <w:tcPr>
          <w:tcW w:w="0" w:type="auto"/>
          <w:vMerge/>
          <w:vAlign w:val="center"/>
          <w:hideMark/>
        </w:tcPr>
        <w:p w14:paraId="0726D67B" w14:textId="77777777" w:rsidR="007866F2" w:rsidRPr="005A3173" w:rsidRDefault="007866F2" w:rsidP="005A3173">
          <w:pPr>
            <w:rPr>
              <w:color w:val="365F91"/>
              <w:sz w:val="22"/>
              <w:szCs w:val="22"/>
            </w:rPr>
          </w:pPr>
        </w:p>
      </w:tc>
      <w:tc>
        <w:tcPr>
          <w:tcW w:w="2250" w:type="pct"/>
          <w:tcBorders>
            <w:top w:val="single" w:sz="4" w:space="0" w:color="4F81BD"/>
            <w:left w:val="nil"/>
            <w:bottom w:val="nil"/>
            <w:right w:val="nil"/>
          </w:tcBorders>
        </w:tcPr>
        <w:p w14:paraId="77FEEEB1" w14:textId="77777777" w:rsidR="007866F2" w:rsidRPr="005A3173" w:rsidRDefault="007866F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866F2" w14:paraId="434C4AE3" w14:textId="77777777" w:rsidTr="005A3173">
      <w:trPr>
        <w:trHeight w:val="151"/>
      </w:trPr>
      <w:tc>
        <w:tcPr>
          <w:tcW w:w="2250" w:type="pct"/>
          <w:tcBorders>
            <w:top w:val="nil"/>
            <w:left w:val="nil"/>
            <w:bottom w:val="single" w:sz="4" w:space="0" w:color="4F81BD"/>
            <w:right w:val="nil"/>
          </w:tcBorders>
        </w:tcPr>
        <w:p w14:paraId="556410DA" w14:textId="77777777" w:rsidR="007866F2" w:rsidRPr="005A3173" w:rsidRDefault="007866F2"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7866F2" w:rsidRPr="005A3173" w:rsidRDefault="007866F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7866F2" w:rsidRPr="005A3173" w:rsidRDefault="007866F2" w:rsidP="005A3173">
          <w:pPr>
            <w:pStyle w:val="Header"/>
            <w:spacing w:line="276" w:lineRule="auto"/>
            <w:rPr>
              <w:rFonts w:eastAsia="MS Gothic"/>
              <w:b/>
              <w:bCs/>
              <w:color w:val="4F81BD"/>
            </w:rPr>
          </w:pPr>
        </w:p>
      </w:tc>
    </w:tr>
    <w:tr w:rsidR="007866F2" w14:paraId="2F5EEC4C" w14:textId="77777777" w:rsidTr="005A3173">
      <w:trPr>
        <w:trHeight w:val="150"/>
      </w:trPr>
      <w:tc>
        <w:tcPr>
          <w:tcW w:w="2250" w:type="pct"/>
          <w:tcBorders>
            <w:top w:val="single" w:sz="4" w:space="0" w:color="4F81BD"/>
            <w:left w:val="nil"/>
            <w:bottom w:val="nil"/>
            <w:right w:val="nil"/>
          </w:tcBorders>
        </w:tcPr>
        <w:p w14:paraId="60E1BA15" w14:textId="77777777" w:rsidR="007866F2" w:rsidRPr="005A3173" w:rsidRDefault="007866F2" w:rsidP="005A3173">
          <w:pPr>
            <w:pStyle w:val="Header"/>
            <w:spacing w:line="276" w:lineRule="auto"/>
            <w:rPr>
              <w:rFonts w:eastAsia="MS Gothic"/>
              <w:b/>
              <w:bCs/>
              <w:color w:val="4F81BD"/>
            </w:rPr>
          </w:pPr>
        </w:p>
      </w:tc>
      <w:tc>
        <w:tcPr>
          <w:tcW w:w="0" w:type="auto"/>
          <w:vMerge/>
          <w:vAlign w:val="center"/>
          <w:hideMark/>
        </w:tcPr>
        <w:p w14:paraId="4EACACBE" w14:textId="77777777" w:rsidR="007866F2" w:rsidRPr="005A3173" w:rsidRDefault="007866F2" w:rsidP="005A3173">
          <w:pPr>
            <w:rPr>
              <w:color w:val="365F91"/>
              <w:sz w:val="22"/>
              <w:szCs w:val="22"/>
            </w:rPr>
          </w:pPr>
        </w:p>
      </w:tc>
      <w:tc>
        <w:tcPr>
          <w:tcW w:w="2250" w:type="pct"/>
          <w:tcBorders>
            <w:top w:val="single" w:sz="4" w:space="0" w:color="4F81BD"/>
            <w:left w:val="nil"/>
            <w:bottom w:val="nil"/>
            <w:right w:val="nil"/>
          </w:tcBorders>
        </w:tcPr>
        <w:p w14:paraId="516BCB31" w14:textId="77777777" w:rsidR="007866F2" w:rsidRPr="005A3173" w:rsidRDefault="007866F2" w:rsidP="005A3173">
          <w:pPr>
            <w:pStyle w:val="Header"/>
            <w:spacing w:line="276" w:lineRule="auto"/>
            <w:rPr>
              <w:rFonts w:eastAsia="MS Gothic"/>
              <w:b/>
              <w:bCs/>
              <w:color w:val="4F81BD"/>
            </w:rPr>
          </w:pPr>
        </w:p>
      </w:tc>
    </w:tr>
  </w:tbl>
  <w:p w14:paraId="679BDCC0" w14:textId="77777777" w:rsidR="007866F2" w:rsidRPr="007C0F57" w:rsidRDefault="007866F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7866F2" w:rsidRPr="007C0F57" w:rsidRDefault="007866F2" w:rsidP="007C0F57">
    <w:pPr>
      <w:pStyle w:val="Footer"/>
      <w:jc w:val="center"/>
      <w:rPr>
        <w:b/>
        <w:i/>
        <w:sz w:val="20"/>
        <w:szCs w:val="20"/>
      </w:rPr>
    </w:pPr>
    <w:r w:rsidRPr="007C0F57">
      <w:rPr>
        <w:b/>
        <w:i/>
        <w:sz w:val="20"/>
        <w:szCs w:val="20"/>
      </w:rPr>
      <w:t>Commercial-in-Confidence</w:t>
    </w:r>
  </w:p>
  <w:p w14:paraId="36E9E30B" w14:textId="77777777" w:rsidR="007866F2" w:rsidRDefault="00786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D68F6" w14:textId="77777777" w:rsidR="007866F2" w:rsidRDefault="007866F2">
      <w:r>
        <w:separator/>
      </w:r>
    </w:p>
    <w:p w14:paraId="01F08E1F" w14:textId="77777777" w:rsidR="007866F2" w:rsidRDefault="007866F2"/>
  </w:footnote>
  <w:footnote w:type="continuationSeparator" w:id="0">
    <w:p w14:paraId="13D9DEBC" w14:textId="77777777" w:rsidR="007866F2" w:rsidRDefault="007866F2">
      <w:r>
        <w:continuationSeparator/>
      </w:r>
    </w:p>
    <w:p w14:paraId="28428EFB" w14:textId="77777777" w:rsidR="007866F2" w:rsidRDefault="007866F2"/>
  </w:footnote>
  <w:footnote w:type="continuationNotice" w:id="1">
    <w:p w14:paraId="299932A3" w14:textId="77777777" w:rsidR="007866F2" w:rsidRDefault="00786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7866F2"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7866F2" w:rsidRPr="00A06225" w:rsidRDefault="007866F2">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7866F2" w:rsidRPr="00A06225" w:rsidRDefault="007866F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7866F2" w:rsidRPr="00A06225" w:rsidRDefault="007866F2">
          <w:pPr>
            <w:pStyle w:val="Header"/>
            <w:spacing w:line="276" w:lineRule="auto"/>
            <w:rPr>
              <w:rFonts w:ascii="Cambria" w:eastAsia="MS Gothic" w:hAnsi="Cambria"/>
              <w:b/>
              <w:bCs/>
              <w:color w:val="4F81BD"/>
            </w:rPr>
          </w:pPr>
        </w:p>
      </w:tc>
    </w:tr>
    <w:tr w:rsidR="007866F2"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7866F2" w:rsidRPr="00A06225" w:rsidRDefault="007866F2">
          <w:pPr>
            <w:pStyle w:val="Header"/>
            <w:spacing w:line="276" w:lineRule="auto"/>
            <w:rPr>
              <w:rFonts w:ascii="Cambria" w:eastAsia="MS Gothic" w:hAnsi="Cambria"/>
              <w:b/>
              <w:bCs/>
              <w:color w:val="4F81BD"/>
            </w:rPr>
          </w:pPr>
        </w:p>
      </w:tc>
      <w:tc>
        <w:tcPr>
          <w:tcW w:w="0" w:type="auto"/>
          <w:vMerge/>
          <w:vAlign w:val="center"/>
          <w:hideMark/>
        </w:tcPr>
        <w:p w14:paraId="00B70FF1" w14:textId="77777777" w:rsidR="007866F2" w:rsidRPr="00A06225" w:rsidRDefault="007866F2">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7866F2" w:rsidRPr="00A06225" w:rsidRDefault="007866F2">
          <w:pPr>
            <w:pStyle w:val="Header"/>
            <w:spacing w:line="276" w:lineRule="auto"/>
            <w:rPr>
              <w:rFonts w:ascii="Cambria" w:eastAsia="MS Gothic" w:hAnsi="Cambria"/>
              <w:b/>
              <w:bCs/>
              <w:color w:val="4F81BD"/>
            </w:rPr>
          </w:pPr>
        </w:p>
      </w:tc>
    </w:tr>
  </w:tbl>
  <w:p w14:paraId="7DCC695F" w14:textId="77777777" w:rsidR="007866F2" w:rsidRDefault="007866F2">
    <w:pPr>
      <w:pStyle w:val="Header"/>
    </w:pPr>
  </w:p>
  <w:p w14:paraId="25F34A60" w14:textId="77777777" w:rsidR="007866F2" w:rsidRDefault="007866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B91D" w14:textId="602CCD68" w:rsidR="007866F2" w:rsidRPr="00056684" w:rsidRDefault="00B72F24" w:rsidP="00ED1D39">
    <w:pPr>
      <w:pStyle w:val="Header"/>
      <w:ind w:left="360"/>
      <w:rPr>
        <w:rFonts w:asciiTheme="minorHAnsi" w:hAnsiTheme="minorHAnsi" w:cs="Arial"/>
        <w:i/>
        <w:color w:val="808080"/>
      </w:rPr>
    </w:pPr>
    <w:bookmarkStart w:id="0" w:name="_Hlk76375146"/>
    <w:r>
      <w:rPr>
        <w:rFonts w:asciiTheme="minorHAnsi" w:hAnsiTheme="minorHAnsi" w:cs="Arial"/>
        <w:i/>
        <w:color w:val="808080"/>
      </w:rPr>
      <w:t>Public Summary Document</w:t>
    </w:r>
    <w:r w:rsidR="007866F2" w:rsidRPr="00056684">
      <w:rPr>
        <w:rFonts w:asciiTheme="minorHAnsi" w:hAnsiTheme="minorHAnsi" w:cs="Arial"/>
        <w:i/>
        <w:color w:val="808080"/>
      </w:rPr>
      <w:t xml:space="preserve"> – </w:t>
    </w:r>
    <w:r w:rsidR="00396825">
      <w:rPr>
        <w:rFonts w:asciiTheme="minorHAnsi" w:hAnsiTheme="minorHAnsi" w:cs="Arial"/>
        <w:i/>
        <w:color w:val="808080"/>
      </w:rPr>
      <w:t>March 2022</w:t>
    </w:r>
    <w:r w:rsidR="007866F2" w:rsidRPr="00056684">
      <w:rPr>
        <w:rFonts w:asciiTheme="minorHAnsi" w:hAnsiTheme="minorHAnsi" w:cs="Arial"/>
        <w:i/>
        <w:color w:val="808080"/>
      </w:rPr>
      <w:t xml:space="preserve"> PBAC Meeting</w:t>
    </w:r>
  </w:p>
  <w:bookmarkEnd w:id="0"/>
  <w:p w14:paraId="49E1B9F5" w14:textId="77777777" w:rsidR="007866F2" w:rsidRDefault="007866F2"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281D" w14:textId="77777777" w:rsidR="005518B6" w:rsidRDefault="00551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0"/>
  </w:num>
  <w:num w:numId="4">
    <w:abstractNumId w:val="12"/>
  </w:num>
  <w:num w:numId="5">
    <w:abstractNumId w:val="20"/>
  </w:num>
  <w:num w:numId="6">
    <w:abstractNumId w:val="16"/>
  </w:num>
  <w:num w:numId="7">
    <w:abstractNumId w:val="10"/>
  </w:num>
  <w:num w:numId="8">
    <w:abstractNumId w:val="8"/>
  </w:num>
  <w:num w:numId="9">
    <w:abstractNumId w:val="1"/>
  </w:num>
  <w:num w:numId="10">
    <w:abstractNumId w:val="18"/>
  </w:num>
  <w:num w:numId="11">
    <w:abstractNumId w:val="15"/>
  </w:num>
  <w:num w:numId="12">
    <w:abstractNumId w:val="17"/>
  </w:num>
  <w:num w:numId="13">
    <w:abstractNumId w:val="6"/>
  </w:num>
  <w:num w:numId="14">
    <w:abstractNumId w:val="5"/>
  </w:num>
  <w:num w:numId="15">
    <w:abstractNumId w:val="13"/>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4"/>
  </w:num>
  <w:num w:numId="21">
    <w:abstractNumId w:val="3"/>
  </w:num>
  <w:num w:numId="22">
    <w:abstractNumId w:val="9"/>
  </w:num>
  <w:num w:numId="23">
    <w:abstractNumId w:val="18"/>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87D"/>
    <w:rsid w:val="00011A59"/>
    <w:rsid w:val="00014D69"/>
    <w:rsid w:val="00016A41"/>
    <w:rsid w:val="000172A3"/>
    <w:rsid w:val="000214D1"/>
    <w:rsid w:val="00024072"/>
    <w:rsid w:val="0002464A"/>
    <w:rsid w:val="00025A04"/>
    <w:rsid w:val="0002693D"/>
    <w:rsid w:val="000275BA"/>
    <w:rsid w:val="0003050E"/>
    <w:rsid w:val="0003106B"/>
    <w:rsid w:val="00034905"/>
    <w:rsid w:val="00035E63"/>
    <w:rsid w:val="00040A30"/>
    <w:rsid w:val="000421A1"/>
    <w:rsid w:val="0004240E"/>
    <w:rsid w:val="00044EC4"/>
    <w:rsid w:val="00045E26"/>
    <w:rsid w:val="00046903"/>
    <w:rsid w:val="000514B5"/>
    <w:rsid w:val="0005322E"/>
    <w:rsid w:val="00054E2B"/>
    <w:rsid w:val="00060E64"/>
    <w:rsid w:val="000621AB"/>
    <w:rsid w:val="00062E88"/>
    <w:rsid w:val="00066193"/>
    <w:rsid w:val="00066755"/>
    <w:rsid w:val="00071A5B"/>
    <w:rsid w:val="00072730"/>
    <w:rsid w:val="0007337F"/>
    <w:rsid w:val="00074320"/>
    <w:rsid w:val="0007472E"/>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02F8"/>
    <w:rsid w:val="000A3AA2"/>
    <w:rsid w:val="000A44B2"/>
    <w:rsid w:val="000A52F6"/>
    <w:rsid w:val="000A58B8"/>
    <w:rsid w:val="000B44C3"/>
    <w:rsid w:val="000B558D"/>
    <w:rsid w:val="000B5A89"/>
    <w:rsid w:val="000B65F6"/>
    <w:rsid w:val="000B7767"/>
    <w:rsid w:val="000C08C1"/>
    <w:rsid w:val="000C5F95"/>
    <w:rsid w:val="000C6996"/>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3384"/>
    <w:rsid w:val="000F4E6A"/>
    <w:rsid w:val="000F7354"/>
    <w:rsid w:val="00101ABE"/>
    <w:rsid w:val="00102202"/>
    <w:rsid w:val="00102700"/>
    <w:rsid w:val="00102A78"/>
    <w:rsid w:val="00103118"/>
    <w:rsid w:val="00103F1B"/>
    <w:rsid w:val="00104227"/>
    <w:rsid w:val="001053D5"/>
    <w:rsid w:val="00110328"/>
    <w:rsid w:val="001107BF"/>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0F2C"/>
    <w:rsid w:val="001311AE"/>
    <w:rsid w:val="001366C2"/>
    <w:rsid w:val="00136C17"/>
    <w:rsid w:val="00140B74"/>
    <w:rsid w:val="00140D94"/>
    <w:rsid w:val="00142395"/>
    <w:rsid w:val="00142714"/>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049"/>
    <w:rsid w:val="001C1195"/>
    <w:rsid w:val="001C12AE"/>
    <w:rsid w:val="001C1E84"/>
    <w:rsid w:val="001C2A0F"/>
    <w:rsid w:val="001C2E42"/>
    <w:rsid w:val="001D1F5F"/>
    <w:rsid w:val="001E02A2"/>
    <w:rsid w:val="001E06D2"/>
    <w:rsid w:val="001E17C4"/>
    <w:rsid w:val="001E2D65"/>
    <w:rsid w:val="001E4BBA"/>
    <w:rsid w:val="001F005B"/>
    <w:rsid w:val="001F1850"/>
    <w:rsid w:val="001F1FBF"/>
    <w:rsid w:val="001F2311"/>
    <w:rsid w:val="001F2B80"/>
    <w:rsid w:val="001F2F1C"/>
    <w:rsid w:val="001F3189"/>
    <w:rsid w:val="00200BEA"/>
    <w:rsid w:val="00201FB8"/>
    <w:rsid w:val="00203FAC"/>
    <w:rsid w:val="002079A9"/>
    <w:rsid w:val="002133FB"/>
    <w:rsid w:val="00213CFB"/>
    <w:rsid w:val="0021509E"/>
    <w:rsid w:val="0021553C"/>
    <w:rsid w:val="0021557B"/>
    <w:rsid w:val="00216B87"/>
    <w:rsid w:val="002174FD"/>
    <w:rsid w:val="00217BE1"/>
    <w:rsid w:val="002214B9"/>
    <w:rsid w:val="00222680"/>
    <w:rsid w:val="00223370"/>
    <w:rsid w:val="00227BC5"/>
    <w:rsid w:val="00230F63"/>
    <w:rsid w:val="00234252"/>
    <w:rsid w:val="0023466E"/>
    <w:rsid w:val="00237AC6"/>
    <w:rsid w:val="00242BFD"/>
    <w:rsid w:val="00244139"/>
    <w:rsid w:val="00244490"/>
    <w:rsid w:val="00244BEC"/>
    <w:rsid w:val="00245B9C"/>
    <w:rsid w:val="00252587"/>
    <w:rsid w:val="00253499"/>
    <w:rsid w:val="002551A4"/>
    <w:rsid w:val="002575C2"/>
    <w:rsid w:val="00257664"/>
    <w:rsid w:val="00260165"/>
    <w:rsid w:val="002624C1"/>
    <w:rsid w:val="00265151"/>
    <w:rsid w:val="00265C2C"/>
    <w:rsid w:val="00266509"/>
    <w:rsid w:val="00271BA1"/>
    <w:rsid w:val="00273AC5"/>
    <w:rsid w:val="00274462"/>
    <w:rsid w:val="002762FA"/>
    <w:rsid w:val="00277505"/>
    <w:rsid w:val="00277873"/>
    <w:rsid w:val="0028158C"/>
    <w:rsid w:val="002823B6"/>
    <w:rsid w:val="00290C03"/>
    <w:rsid w:val="00292E3B"/>
    <w:rsid w:val="002933A8"/>
    <w:rsid w:val="00294274"/>
    <w:rsid w:val="0029458F"/>
    <w:rsid w:val="00297A63"/>
    <w:rsid w:val="002A018F"/>
    <w:rsid w:val="002A0E04"/>
    <w:rsid w:val="002A104C"/>
    <w:rsid w:val="002A15C8"/>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212F"/>
    <w:rsid w:val="002C2F35"/>
    <w:rsid w:val="002C6AA9"/>
    <w:rsid w:val="002C7485"/>
    <w:rsid w:val="002D2641"/>
    <w:rsid w:val="002D283A"/>
    <w:rsid w:val="002D4543"/>
    <w:rsid w:val="002E022A"/>
    <w:rsid w:val="002E3153"/>
    <w:rsid w:val="002E4A02"/>
    <w:rsid w:val="002E5292"/>
    <w:rsid w:val="002E72CA"/>
    <w:rsid w:val="002E75DD"/>
    <w:rsid w:val="002E7DF6"/>
    <w:rsid w:val="002F1D07"/>
    <w:rsid w:val="002F5C5B"/>
    <w:rsid w:val="002F600D"/>
    <w:rsid w:val="002F6F0F"/>
    <w:rsid w:val="002F7E47"/>
    <w:rsid w:val="00300AD6"/>
    <w:rsid w:val="00300B1B"/>
    <w:rsid w:val="003019D0"/>
    <w:rsid w:val="003019DE"/>
    <w:rsid w:val="003035B6"/>
    <w:rsid w:val="003064AF"/>
    <w:rsid w:val="00307DC6"/>
    <w:rsid w:val="00310A8B"/>
    <w:rsid w:val="00310B68"/>
    <w:rsid w:val="003126E1"/>
    <w:rsid w:val="003160D2"/>
    <w:rsid w:val="003173FC"/>
    <w:rsid w:val="00317C6C"/>
    <w:rsid w:val="00320B80"/>
    <w:rsid w:val="00320CD3"/>
    <w:rsid w:val="003215FF"/>
    <w:rsid w:val="00322667"/>
    <w:rsid w:val="0032607C"/>
    <w:rsid w:val="00326E79"/>
    <w:rsid w:val="0032748A"/>
    <w:rsid w:val="003301B1"/>
    <w:rsid w:val="00331189"/>
    <w:rsid w:val="0033263D"/>
    <w:rsid w:val="003332CA"/>
    <w:rsid w:val="00334E69"/>
    <w:rsid w:val="0033518A"/>
    <w:rsid w:val="00335535"/>
    <w:rsid w:val="003367EF"/>
    <w:rsid w:val="00341AE4"/>
    <w:rsid w:val="00343FB7"/>
    <w:rsid w:val="003476EE"/>
    <w:rsid w:val="00352858"/>
    <w:rsid w:val="003541DD"/>
    <w:rsid w:val="00356E5B"/>
    <w:rsid w:val="00360887"/>
    <w:rsid w:val="0036249F"/>
    <w:rsid w:val="00363630"/>
    <w:rsid w:val="00371246"/>
    <w:rsid w:val="003736C9"/>
    <w:rsid w:val="00383B77"/>
    <w:rsid w:val="00384988"/>
    <w:rsid w:val="003872CF"/>
    <w:rsid w:val="003874CB"/>
    <w:rsid w:val="00396825"/>
    <w:rsid w:val="0039782C"/>
    <w:rsid w:val="003A09C1"/>
    <w:rsid w:val="003A13A6"/>
    <w:rsid w:val="003A2165"/>
    <w:rsid w:val="003A3AF3"/>
    <w:rsid w:val="003A5B4A"/>
    <w:rsid w:val="003A5D95"/>
    <w:rsid w:val="003A6510"/>
    <w:rsid w:val="003A74E2"/>
    <w:rsid w:val="003B0D3A"/>
    <w:rsid w:val="003B2302"/>
    <w:rsid w:val="003B23C5"/>
    <w:rsid w:val="003B2A75"/>
    <w:rsid w:val="003B49B2"/>
    <w:rsid w:val="003B49CF"/>
    <w:rsid w:val="003B6124"/>
    <w:rsid w:val="003B70A2"/>
    <w:rsid w:val="003B7960"/>
    <w:rsid w:val="003C0908"/>
    <w:rsid w:val="003C093A"/>
    <w:rsid w:val="003C1ECF"/>
    <w:rsid w:val="003C2FB5"/>
    <w:rsid w:val="003C5FC7"/>
    <w:rsid w:val="003D106E"/>
    <w:rsid w:val="003D228E"/>
    <w:rsid w:val="003D24C5"/>
    <w:rsid w:val="003D39BE"/>
    <w:rsid w:val="003D4594"/>
    <w:rsid w:val="003D4AC4"/>
    <w:rsid w:val="003D5157"/>
    <w:rsid w:val="003D5433"/>
    <w:rsid w:val="003D5A5B"/>
    <w:rsid w:val="003D63B7"/>
    <w:rsid w:val="003D6BFD"/>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27DD"/>
    <w:rsid w:val="0040590E"/>
    <w:rsid w:val="00407CC8"/>
    <w:rsid w:val="00414EFB"/>
    <w:rsid w:val="00414F0C"/>
    <w:rsid w:val="00420400"/>
    <w:rsid w:val="00423E78"/>
    <w:rsid w:val="004252EC"/>
    <w:rsid w:val="00430D39"/>
    <w:rsid w:val="00442C91"/>
    <w:rsid w:val="004465BD"/>
    <w:rsid w:val="00446938"/>
    <w:rsid w:val="00450951"/>
    <w:rsid w:val="004528FA"/>
    <w:rsid w:val="00460521"/>
    <w:rsid w:val="00461A44"/>
    <w:rsid w:val="00462D26"/>
    <w:rsid w:val="0046368B"/>
    <w:rsid w:val="0046385A"/>
    <w:rsid w:val="00464039"/>
    <w:rsid w:val="00466ADA"/>
    <w:rsid w:val="004702BB"/>
    <w:rsid w:val="0047494B"/>
    <w:rsid w:val="00476245"/>
    <w:rsid w:val="00477A9B"/>
    <w:rsid w:val="00480C3B"/>
    <w:rsid w:val="00482AE4"/>
    <w:rsid w:val="00483035"/>
    <w:rsid w:val="00485940"/>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4E22"/>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CD1"/>
    <w:rsid w:val="004D4FF6"/>
    <w:rsid w:val="004D5ADD"/>
    <w:rsid w:val="004E692D"/>
    <w:rsid w:val="004E7230"/>
    <w:rsid w:val="004E7D87"/>
    <w:rsid w:val="004F2553"/>
    <w:rsid w:val="004F306A"/>
    <w:rsid w:val="00501554"/>
    <w:rsid w:val="00502AFE"/>
    <w:rsid w:val="00502E64"/>
    <w:rsid w:val="00503AD7"/>
    <w:rsid w:val="00503E89"/>
    <w:rsid w:val="00504E0C"/>
    <w:rsid w:val="00504E13"/>
    <w:rsid w:val="005109D4"/>
    <w:rsid w:val="0051230A"/>
    <w:rsid w:val="00514CD7"/>
    <w:rsid w:val="005167EC"/>
    <w:rsid w:val="005170DA"/>
    <w:rsid w:val="00520D6A"/>
    <w:rsid w:val="00522DB6"/>
    <w:rsid w:val="00524E1A"/>
    <w:rsid w:val="005264A7"/>
    <w:rsid w:val="0052792D"/>
    <w:rsid w:val="005319B2"/>
    <w:rsid w:val="00532402"/>
    <w:rsid w:val="00532C74"/>
    <w:rsid w:val="00533239"/>
    <w:rsid w:val="00534E2E"/>
    <w:rsid w:val="00535133"/>
    <w:rsid w:val="0054064C"/>
    <w:rsid w:val="00544552"/>
    <w:rsid w:val="00545130"/>
    <w:rsid w:val="00546B36"/>
    <w:rsid w:val="00547AEB"/>
    <w:rsid w:val="005518B6"/>
    <w:rsid w:val="0055286A"/>
    <w:rsid w:val="00555745"/>
    <w:rsid w:val="00557D4F"/>
    <w:rsid w:val="0056122E"/>
    <w:rsid w:val="0056484E"/>
    <w:rsid w:val="00565999"/>
    <w:rsid w:val="00567D8A"/>
    <w:rsid w:val="00570231"/>
    <w:rsid w:val="00574E20"/>
    <w:rsid w:val="005764CD"/>
    <w:rsid w:val="00577C4D"/>
    <w:rsid w:val="00580532"/>
    <w:rsid w:val="00581647"/>
    <w:rsid w:val="00581932"/>
    <w:rsid w:val="00582D84"/>
    <w:rsid w:val="005903BB"/>
    <w:rsid w:val="00593893"/>
    <w:rsid w:val="0059553F"/>
    <w:rsid w:val="005963BB"/>
    <w:rsid w:val="005A00E4"/>
    <w:rsid w:val="005A15D2"/>
    <w:rsid w:val="005A3173"/>
    <w:rsid w:val="005A3223"/>
    <w:rsid w:val="005A3962"/>
    <w:rsid w:val="005A3DA3"/>
    <w:rsid w:val="005A52C4"/>
    <w:rsid w:val="005A5740"/>
    <w:rsid w:val="005A63A1"/>
    <w:rsid w:val="005B0486"/>
    <w:rsid w:val="005B1473"/>
    <w:rsid w:val="005B36FA"/>
    <w:rsid w:val="005B4E53"/>
    <w:rsid w:val="005C4F73"/>
    <w:rsid w:val="005D01E1"/>
    <w:rsid w:val="005D03AB"/>
    <w:rsid w:val="005D401D"/>
    <w:rsid w:val="005D5017"/>
    <w:rsid w:val="005D5708"/>
    <w:rsid w:val="005D63FA"/>
    <w:rsid w:val="005D73C7"/>
    <w:rsid w:val="005E0C2D"/>
    <w:rsid w:val="005E0D82"/>
    <w:rsid w:val="005E0F59"/>
    <w:rsid w:val="005E1333"/>
    <w:rsid w:val="005E3136"/>
    <w:rsid w:val="005E507D"/>
    <w:rsid w:val="005F0AD0"/>
    <w:rsid w:val="0060038B"/>
    <w:rsid w:val="00601A91"/>
    <w:rsid w:val="00602BA3"/>
    <w:rsid w:val="006055E5"/>
    <w:rsid w:val="00605B63"/>
    <w:rsid w:val="00605F9A"/>
    <w:rsid w:val="00606442"/>
    <w:rsid w:val="00606EED"/>
    <w:rsid w:val="00612A95"/>
    <w:rsid w:val="00612E34"/>
    <w:rsid w:val="00614159"/>
    <w:rsid w:val="006158A3"/>
    <w:rsid w:val="00616C0E"/>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45E89"/>
    <w:rsid w:val="00651169"/>
    <w:rsid w:val="00651487"/>
    <w:rsid w:val="00653D69"/>
    <w:rsid w:val="006552E6"/>
    <w:rsid w:val="00655794"/>
    <w:rsid w:val="00656F2F"/>
    <w:rsid w:val="00657AA2"/>
    <w:rsid w:val="00657C63"/>
    <w:rsid w:val="00661CBC"/>
    <w:rsid w:val="00662B85"/>
    <w:rsid w:val="006670BE"/>
    <w:rsid w:val="00670A76"/>
    <w:rsid w:val="006711AA"/>
    <w:rsid w:val="00672B57"/>
    <w:rsid w:val="00673F1F"/>
    <w:rsid w:val="00675622"/>
    <w:rsid w:val="0067747D"/>
    <w:rsid w:val="006810CD"/>
    <w:rsid w:val="006818D5"/>
    <w:rsid w:val="00681CA4"/>
    <w:rsid w:val="00685457"/>
    <w:rsid w:val="0069039D"/>
    <w:rsid w:val="006906DB"/>
    <w:rsid w:val="00691900"/>
    <w:rsid w:val="00691E6C"/>
    <w:rsid w:val="0069342D"/>
    <w:rsid w:val="00693DFB"/>
    <w:rsid w:val="00694FD5"/>
    <w:rsid w:val="0069501D"/>
    <w:rsid w:val="00696129"/>
    <w:rsid w:val="00697CF2"/>
    <w:rsid w:val="006A12A5"/>
    <w:rsid w:val="006A2515"/>
    <w:rsid w:val="006A5E20"/>
    <w:rsid w:val="006B0D94"/>
    <w:rsid w:val="006B16B6"/>
    <w:rsid w:val="006B485D"/>
    <w:rsid w:val="006C0C45"/>
    <w:rsid w:val="006C334C"/>
    <w:rsid w:val="006C6C10"/>
    <w:rsid w:val="006C708E"/>
    <w:rsid w:val="006D14E7"/>
    <w:rsid w:val="006D3042"/>
    <w:rsid w:val="006D4444"/>
    <w:rsid w:val="006D6493"/>
    <w:rsid w:val="006D6EC7"/>
    <w:rsid w:val="006D7E45"/>
    <w:rsid w:val="006E1143"/>
    <w:rsid w:val="006E1BCD"/>
    <w:rsid w:val="006E2732"/>
    <w:rsid w:val="006E59CD"/>
    <w:rsid w:val="006F009D"/>
    <w:rsid w:val="006F0A71"/>
    <w:rsid w:val="006F1C6B"/>
    <w:rsid w:val="006F40C2"/>
    <w:rsid w:val="006F5125"/>
    <w:rsid w:val="006F733D"/>
    <w:rsid w:val="00700765"/>
    <w:rsid w:val="00702959"/>
    <w:rsid w:val="00702B6F"/>
    <w:rsid w:val="0070307A"/>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2653E"/>
    <w:rsid w:val="0073137C"/>
    <w:rsid w:val="007340B9"/>
    <w:rsid w:val="007353D3"/>
    <w:rsid w:val="0074156B"/>
    <w:rsid w:val="00741619"/>
    <w:rsid w:val="00747092"/>
    <w:rsid w:val="007526E6"/>
    <w:rsid w:val="00754DF9"/>
    <w:rsid w:val="007555E8"/>
    <w:rsid w:val="00755CC5"/>
    <w:rsid w:val="00762862"/>
    <w:rsid w:val="0076420C"/>
    <w:rsid w:val="00764261"/>
    <w:rsid w:val="00771D07"/>
    <w:rsid w:val="00772649"/>
    <w:rsid w:val="00773BE3"/>
    <w:rsid w:val="007743DD"/>
    <w:rsid w:val="00774E2C"/>
    <w:rsid w:val="0077503C"/>
    <w:rsid w:val="0077518D"/>
    <w:rsid w:val="007753C2"/>
    <w:rsid w:val="00776068"/>
    <w:rsid w:val="007838B8"/>
    <w:rsid w:val="00785779"/>
    <w:rsid w:val="007866F2"/>
    <w:rsid w:val="00787FD8"/>
    <w:rsid w:val="007915BA"/>
    <w:rsid w:val="00791844"/>
    <w:rsid w:val="00793CE9"/>
    <w:rsid w:val="00793DAF"/>
    <w:rsid w:val="00796667"/>
    <w:rsid w:val="00797068"/>
    <w:rsid w:val="007979BD"/>
    <w:rsid w:val="007A5C88"/>
    <w:rsid w:val="007A6A2F"/>
    <w:rsid w:val="007B024E"/>
    <w:rsid w:val="007B3BAF"/>
    <w:rsid w:val="007B3DDC"/>
    <w:rsid w:val="007B72A6"/>
    <w:rsid w:val="007C06D2"/>
    <w:rsid w:val="007C08E0"/>
    <w:rsid w:val="007C0F57"/>
    <w:rsid w:val="007C40B6"/>
    <w:rsid w:val="007C5975"/>
    <w:rsid w:val="007C729F"/>
    <w:rsid w:val="007D0F94"/>
    <w:rsid w:val="007D503D"/>
    <w:rsid w:val="007D59E7"/>
    <w:rsid w:val="007D5F2A"/>
    <w:rsid w:val="007D75F1"/>
    <w:rsid w:val="007E07AC"/>
    <w:rsid w:val="007E1014"/>
    <w:rsid w:val="007E12F8"/>
    <w:rsid w:val="007E1D28"/>
    <w:rsid w:val="007E490F"/>
    <w:rsid w:val="007F0021"/>
    <w:rsid w:val="007F2641"/>
    <w:rsid w:val="007F7C36"/>
    <w:rsid w:val="007F7F45"/>
    <w:rsid w:val="0080001F"/>
    <w:rsid w:val="00801958"/>
    <w:rsid w:val="008055AF"/>
    <w:rsid w:val="008057CD"/>
    <w:rsid w:val="008066B8"/>
    <w:rsid w:val="00806796"/>
    <w:rsid w:val="00810167"/>
    <w:rsid w:val="008104D0"/>
    <w:rsid w:val="00811CC0"/>
    <w:rsid w:val="008151D6"/>
    <w:rsid w:val="00820803"/>
    <w:rsid w:val="00821527"/>
    <w:rsid w:val="00822696"/>
    <w:rsid w:val="00825A6C"/>
    <w:rsid w:val="0082617E"/>
    <w:rsid w:val="008268BB"/>
    <w:rsid w:val="00826F6D"/>
    <w:rsid w:val="008306F3"/>
    <w:rsid w:val="00830E40"/>
    <w:rsid w:val="00832D9A"/>
    <w:rsid w:val="00835C62"/>
    <w:rsid w:val="00835D1C"/>
    <w:rsid w:val="008368A1"/>
    <w:rsid w:val="00840EF7"/>
    <w:rsid w:val="00844C0A"/>
    <w:rsid w:val="00846056"/>
    <w:rsid w:val="0084681F"/>
    <w:rsid w:val="00847EC0"/>
    <w:rsid w:val="00855FD6"/>
    <w:rsid w:val="00856DDD"/>
    <w:rsid w:val="00860233"/>
    <w:rsid w:val="00863C2C"/>
    <w:rsid w:val="00863E68"/>
    <w:rsid w:val="008647B5"/>
    <w:rsid w:val="00867D64"/>
    <w:rsid w:val="00872E8F"/>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3759"/>
    <w:rsid w:val="008B6B4B"/>
    <w:rsid w:val="008B6DCF"/>
    <w:rsid w:val="008C410A"/>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40B0"/>
    <w:rsid w:val="00926560"/>
    <w:rsid w:val="00926B15"/>
    <w:rsid w:val="00930291"/>
    <w:rsid w:val="00930937"/>
    <w:rsid w:val="00930B2F"/>
    <w:rsid w:val="009324A6"/>
    <w:rsid w:val="00933B7D"/>
    <w:rsid w:val="00933E6C"/>
    <w:rsid w:val="00935A6E"/>
    <w:rsid w:val="00937958"/>
    <w:rsid w:val="009406E5"/>
    <w:rsid w:val="009410E6"/>
    <w:rsid w:val="00941602"/>
    <w:rsid w:val="00942160"/>
    <w:rsid w:val="00943C0C"/>
    <w:rsid w:val="00946921"/>
    <w:rsid w:val="00947343"/>
    <w:rsid w:val="00950D9D"/>
    <w:rsid w:val="0095146F"/>
    <w:rsid w:val="009534C7"/>
    <w:rsid w:val="00957944"/>
    <w:rsid w:val="009602C5"/>
    <w:rsid w:val="00962223"/>
    <w:rsid w:val="0096252B"/>
    <w:rsid w:val="009644D9"/>
    <w:rsid w:val="00964A9F"/>
    <w:rsid w:val="00966D0D"/>
    <w:rsid w:val="00967732"/>
    <w:rsid w:val="0096783C"/>
    <w:rsid w:val="00970023"/>
    <w:rsid w:val="009705BF"/>
    <w:rsid w:val="009722B3"/>
    <w:rsid w:val="00973112"/>
    <w:rsid w:val="00973E24"/>
    <w:rsid w:val="00974C21"/>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6633"/>
    <w:rsid w:val="00997A44"/>
    <w:rsid w:val="009A0CDD"/>
    <w:rsid w:val="009A3168"/>
    <w:rsid w:val="009A4BDF"/>
    <w:rsid w:val="009A5D04"/>
    <w:rsid w:val="009A61CA"/>
    <w:rsid w:val="009B0C64"/>
    <w:rsid w:val="009B0F67"/>
    <w:rsid w:val="009B208A"/>
    <w:rsid w:val="009B2756"/>
    <w:rsid w:val="009B3D56"/>
    <w:rsid w:val="009B3F8C"/>
    <w:rsid w:val="009B533B"/>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E43"/>
    <w:rsid w:val="00A110D1"/>
    <w:rsid w:val="00A12587"/>
    <w:rsid w:val="00A128E6"/>
    <w:rsid w:val="00A144D3"/>
    <w:rsid w:val="00A17450"/>
    <w:rsid w:val="00A21D7D"/>
    <w:rsid w:val="00A22AC3"/>
    <w:rsid w:val="00A23F3F"/>
    <w:rsid w:val="00A24067"/>
    <w:rsid w:val="00A24A4B"/>
    <w:rsid w:val="00A2744D"/>
    <w:rsid w:val="00A30D16"/>
    <w:rsid w:val="00A33EB7"/>
    <w:rsid w:val="00A34E6C"/>
    <w:rsid w:val="00A34FD0"/>
    <w:rsid w:val="00A36398"/>
    <w:rsid w:val="00A37C8D"/>
    <w:rsid w:val="00A4020E"/>
    <w:rsid w:val="00A408E8"/>
    <w:rsid w:val="00A40FB5"/>
    <w:rsid w:val="00A414A5"/>
    <w:rsid w:val="00A42826"/>
    <w:rsid w:val="00A429B3"/>
    <w:rsid w:val="00A44EC1"/>
    <w:rsid w:val="00A510E4"/>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7DE9"/>
    <w:rsid w:val="00AA12CD"/>
    <w:rsid w:val="00AA4D1C"/>
    <w:rsid w:val="00AA52FD"/>
    <w:rsid w:val="00AA7006"/>
    <w:rsid w:val="00AB273D"/>
    <w:rsid w:val="00AB333E"/>
    <w:rsid w:val="00AB4684"/>
    <w:rsid w:val="00AB5856"/>
    <w:rsid w:val="00AC081D"/>
    <w:rsid w:val="00AC0C6F"/>
    <w:rsid w:val="00AC1266"/>
    <w:rsid w:val="00AC193C"/>
    <w:rsid w:val="00AC30C1"/>
    <w:rsid w:val="00AC4DE5"/>
    <w:rsid w:val="00AC5206"/>
    <w:rsid w:val="00AD3106"/>
    <w:rsid w:val="00AD4322"/>
    <w:rsid w:val="00AE11A5"/>
    <w:rsid w:val="00AE13E2"/>
    <w:rsid w:val="00AE22D3"/>
    <w:rsid w:val="00AE5A49"/>
    <w:rsid w:val="00AF11D8"/>
    <w:rsid w:val="00AF5867"/>
    <w:rsid w:val="00AF62DF"/>
    <w:rsid w:val="00AF68CC"/>
    <w:rsid w:val="00AF70D7"/>
    <w:rsid w:val="00B00CD0"/>
    <w:rsid w:val="00B00E7F"/>
    <w:rsid w:val="00B01FF4"/>
    <w:rsid w:val="00B02DF4"/>
    <w:rsid w:val="00B0326D"/>
    <w:rsid w:val="00B06037"/>
    <w:rsid w:val="00B06478"/>
    <w:rsid w:val="00B07533"/>
    <w:rsid w:val="00B07CFB"/>
    <w:rsid w:val="00B1059E"/>
    <w:rsid w:val="00B14A36"/>
    <w:rsid w:val="00B16273"/>
    <w:rsid w:val="00B170A5"/>
    <w:rsid w:val="00B1725F"/>
    <w:rsid w:val="00B176C8"/>
    <w:rsid w:val="00B17EE5"/>
    <w:rsid w:val="00B205AA"/>
    <w:rsid w:val="00B22726"/>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7DC"/>
    <w:rsid w:val="00B5008E"/>
    <w:rsid w:val="00B50A24"/>
    <w:rsid w:val="00B52303"/>
    <w:rsid w:val="00B5392A"/>
    <w:rsid w:val="00B539EF"/>
    <w:rsid w:val="00B56118"/>
    <w:rsid w:val="00B566E1"/>
    <w:rsid w:val="00B56AFB"/>
    <w:rsid w:val="00B602F6"/>
    <w:rsid w:val="00B64A96"/>
    <w:rsid w:val="00B675DB"/>
    <w:rsid w:val="00B6773F"/>
    <w:rsid w:val="00B70EB3"/>
    <w:rsid w:val="00B71458"/>
    <w:rsid w:val="00B72906"/>
    <w:rsid w:val="00B72F24"/>
    <w:rsid w:val="00B74F48"/>
    <w:rsid w:val="00B7525E"/>
    <w:rsid w:val="00B75433"/>
    <w:rsid w:val="00B75D55"/>
    <w:rsid w:val="00B760FB"/>
    <w:rsid w:val="00B76765"/>
    <w:rsid w:val="00B767AB"/>
    <w:rsid w:val="00B801BA"/>
    <w:rsid w:val="00B812D6"/>
    <w:rsid w:val="00B84D5C"/>
    <w:rsid w:val="00B85AF6"/>
    <w:rsid w:val="00B86B72"/>
    <w:rsid w:val="00B956ED"/>
    <w:rsid w:val="00BA2DA8"/>
    <w:rsid w:val="00BA347C"/>
    <w:rsid w:val="00BA4C79"/>
    <w:rsid w:val="00BA7FEE"/>
    <w:rsid w:val="00BB298A"/>
    <w:rsid w:val="00BB3469"/>
    <w:rsid w:val="00BB5C49"/>
    <w:rsid w:val="00BB6240"/>
    <w:rsid w:val="00BB6285"/>
    <w:rsid w:val="00BB69F5"/>
    <w:rsid w:val="00BB7EC3"/>
    <w:rsid w:val="00BC04B1"/>
    <w:rsid w:val="00BC2F59"/>
    <w:rsid w:val="00BC470E"/>
    <w:rsid w:val="00BC4B9A"/>
    <w:rsid w:val="00BD02C3"/>
    <w:rsid w:val="00BD7483"/>
    <w:rsid w:val="00BD784C"/>
    <w:rsid w:val="00BE020A"/>
    <w:rsid w:val="00BE13DF"/>
    <w:rsid w:val="00BE1EF0"/>
    <w:rsid w:val="00BE25D7"/>
    <w:rsid w:val="00BE7D5F"/>
    <w:rsid w:val="00BF092C"/>
    <w:rsid w:val="00BF0AF2"/>
    <w:rsid w:val="00BF27A0"/>
    <w:rsid w:val="00BF4CB6"/>
    <w:rsid w:val="00BF6CBD"/>
    <w:rsid w:val="00C00DA7"/>
    <w:rsid w:val="00C034FB"/>
    <w:rsid w:val="00C03528"/>
    <w:rsid w:val="00C04CDE"/>
    <w:rsid w:val="00C068A6"/>
    <w:rsid w:val="00C12768"/>
    <w:rsid w:val="00C12D70"/>
    <w:rsid w:val="00C16724"/>
    <w:rsid w:val="00C21B09"/>
    <w:rsid w:val="00C25EFF"/>
    <w:rsid w:val="00C2673A"/>
    <w:rsid w:val="00C278CD"/>
    <w:rsid w:val="00C27B58"/>
    <w:rsid w:val="00C27C1C"/>
    <w:rsid w:val="00C33186"/>
    <w:rsid w:val="00C332AB"/>
    <w:rsid w:val="00C35996"/>
    <w:rsid w:val="00C42BCD"/>
    <w:rsid w:val="00C46C13"/>
    <w:rsid w:val="00C4747E"/>
    <w:rsid w:val="00C5151E"/>
    <w:rsid w:val="00C5342C"/>
    <w:rsid w:val="00C53B2B"/>
    <w:rsid w:val="00C57465"/>
    <w:rsid w:val="00C60272"/>
    <w:rsid w:val="00C603D4"/>
    <w:rsid w:val="00C6256A"/>
    <w:rsid w:val="00C63FDA"/>
    <w:rsid w:val="00C64EBC"/>
    <w:rsid w:val="00C664D2"/>
    <w:rsid w:val="00C677E1"/>
    <w:rsid w:val="00C710E2"/>
    <w:rsid w:val="00C71C3F"/>
    <w:rsid w:val="00C7409E"/>
    <w:rsid w:val="00C74D6D"/>
    <w:rsid w:val="00C76188"/>
    <w:rsid w:val="00C76E76"/>
    <w:rsid w:val="00C77891"/>
    <w:rsid w:val="00C77B74"/>
    <w:rsid w:val="00C82062"/>
    <w:rsid w:val="00C829A9"/>
    <w:rsid w:val="00C87B80"/>
    <w:rsid w:val="00C90330"/>
    <w:rsid w:val="00C91449"/>
    <w:rsid w:val="00C91F86"/>
    <w:rsid w:val="00C92D10"/>
    <w:rsid w:val="00C92F79"/>
    <w:rsid w:val="00C95200"/>
    <w:rsid w:val="00C96EC0"/>
    <w:rsid w:val="00CA48D9"/>
    <w:rsid w:val="00CA48F8"/>
    <w:rsid w:val="00CB1193"/>
    <w:rsid w:val="00CB35E1"/>
    <w:rsid w:val="00CB4767"/>
    <w:rsid w:val="00CB493D"/>
    <w:rsid w:val="00CC3B97"/>
    <w:rsid w:val="00CD4611"/>
    <w:rsid w:val="00CD6257"/>
    <w:rsid w:val="00CD7C0B"/>
    <w:rsid w:val="00CE10C4"/>
    <w:rsid w:val="00CE11E4"/>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455A"/>
    <w:rsid w:val="00D14A70"/>
    <w:rsid w:val="00D207EA"/>
    <w:rsid w:val="00D22093"/>
    <w:rsid w:val="00D30F16"/>
    <w:rsid w:val="00D31150"/>
    <w:rsid w:val="00D3138B"/>
    <w:rsid w:val="00D31FCE"/>
    <w:rsid w:val="00D3280C"/>
    <w:rsid w:val="00D3406A"/>
    <w:rsid w:val="00D34D24"/>
    <w:rsid w:val="00D36AFB"/>
    <w:rsid w:val="00D40B11"/>
    <w:rsid w:val="00D42019"/>
    <w:rsid w:val="00D42864"/>
    <w:rsid w:val="00D429EC"/>
    <w:rsid w:val="00D441F1"/>
    <w:rsid w:val="00D4572C"/>
    <w:rsid w:val="00D469B2"/>
    <w:rsid w:val="00D500D6"/>
    <w:rsid w:val="00D52B24"/>
    <w:rsid w:val="00D54B09"/>
    <w:rsid w:val="00D6243E"/>
    <w:rsid w:val="00D65658"/>
    <w:rsid w:val="00D668E9"/>
    <w:rsid w:val="00D67EB2"/>
    <w:rsid w:val="00D70349"/>
    <w:rsid w:val="00D72B6F"/>
    <w:rsid w:val="00D741EB"/>
    <w:rsid w:val="00D7679C"/>
    <w:rsid w:val="00D820F3"/>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83E"/>
    <w:rsid w:val="00DA4BAC"/>
    <w:rsid w:val="00DA722E"/>
    <w:rsid w:val="00DA792A"/>
    <w:rsid w:val="00DB0151"/>
    <w:rsid w:val="00DB04D7"/>
    <w:rsid w:val="00DB50E1"/>
    <w:rsid w:val="00DB72F7"/>
    <w:rsid w:val="00DC0566"/>
    <w:rsid w:val="00DC05E1"/>
    <w:rsid w:val="00DC1499"/>
    <w:rsid w:val="00DC16CF"/>
    <w:rsid w:val="00DC2C3E"/>
    <w:rsid w:val="00DC3137"/>
    <w:rsid w:val="00DC4880"/>
    <w:rsid w:val="00DC5E90"/>
    <w:rsid w:val="00DD0BE9"/>
    <w:rsid w:val="00DD26F9"/>
    <w:rsid w:val="00DD42AB"/>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356"/>
    <w:rsid w:val="00E04748"/>
    <w:rsid w:val="00E078D9"/>
    <w:rsid w:val="00E10293"/>
    <w:rsid w:val="00E103A0"/>
    <w:rsid w:val="00E1043F"/>
    <w:rsid w:val="00E11F44"/>
    <w:rsid w:val="00E13E60"/>
    <w:rsid w:val="00E15627"/>
    <w:rsid w:val="00E164B3"/>
    <w:rsid w:val="00E16910"/>
    <w:rsid w:val="00E239E2"/>
    <w:rsid w:val="00E24E09"/>
    <w:rsid w:val="00E27234"/>
    <w:rsid w:val="00E3495C"/>
    <w:rsid w:val="00E413B4"/>
    <w:rsid w:val="00E42BDB"/>
    <w:rsid w:val="00E5726D"/>
    <w:rsid w:val="00E57DCA"/>
    <w:rsid w:val="00E57EEB"/>
    <w:rsid w:val="00E62D94"/>
    <w:rsid w:val="00E62ECC"/>
    <w:rsid w:val="00E64F37"/>
    <w:rsid w:val="00E65091"/>
    <w:rsid w:val="00E65393"/>
    <w:rsid w:val="00E65E54"/>
    <w:rsid w:val="00E661C7"/>
    <w:rsid w:val="00E732C4"/>
    <w:rsid w:val="00E74D28"/>
    <w:rsid w:val="00E74E41"/>
    <w:rsid w:val="00E80155"/>
    <w:rsid w:val="00E8134B"/>
    <w:rsid w:val="00E814FC"/>
    <w:rsid w:val="00E81E0D"/>
    <w:rsid w:val="00E81F28"/>
    <w:rsid w:val="00E848C0"/>
    <w:rsid w:val="00E84BB8"/>
    <w:rsid w:val="00E86F92"/>
    <w:rsid w:val="00E91B96"/>
    <w:rsid w:val="00E92F2E"/>
    <w:rsid w:val="00E935DA"/>
    <w:rsid w:val="00E93D1E"/>
    <w:rsid w:val="00E941A1"/>
    <w:rsid w:val="00E948A7"/>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1D39"/>
    <w:rsid w:val="00ED2593"/>
    <w:rsid w:val="00ED3709"/>
    <w:rsid w:val="00ED7D55"/>
    <w:rsid w:val="00ED7D9C"/>
    <w:rsid w:val="00EE00A7"/>
    <w:rsid w:val="00EE31A2"/>
    <w:rsid w:val="00EE3D32"/>
    <w:rsid w:val="00EE4329"/>
    <w:rsid w:val="00EE6203"/>
    <w:rsid w:val="00EF0069"/>
    <w:rsid w:val="00EF44A0"/>
    <w:rsid w:val="00EF4580"/>
    <w:rsid w:val="00EF4FED"/>
    <w:rsid w:val="00EF5F45"/>
    <w:rsid w:val="00EF6843"/>
    <w:rsid w:val="00EF6941"/>
    <w:rsid w:val="00EF6FB3"/>
    <w:rsid w:val="00EF78F1"/>
    <w:rsid w:val="00F0068B"/>
    <w:rsid w:val="00F007C6"/>
    <w:rsid w:val="00F0172E"/>
    <w:rsid w:val="00F050BD"/>
    <w:rsid w:val="00F05657"/>
    <w:rsid w:val="00F05AB0"/>
    <w:rsid w:val="00F06E13"/>
    <w:rsid w:val="00F12C74"/>
    <w:rsid w:val="00F1559A"/>
    <w:rsid w:val="00F17ED6"/>
    <w:rsid w:val="00F20676"/>
    <w:rsid w:val="00F209E2"/>
    <w:rsid w:val="00F22005"/>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0C"/>
    <w:rsid w:val="00F37ECA"/>
    <w:rsid w:val="00F40A1C"/>
    <w:rsid w:val="00F43AF2"/>
    <w:rsid w:val="00F44CF9"/>
    <w:rsid w:val="00F45216"/>
    <w:rsid w:val="00F5007E"/>
    <w:rsid w:val="00F508F6"/>
    <w:rsid w:val="00F50EC4"/>
    <w:rsid w:val="00F52232"/>
    <w:rsid w:val="00F527B1"/>
    <w:rsid w:val="00F52DC2"/>
    <w:rsid w:val="00F550CF"/>
    <w:rsid w:val="00F553D2"/>
    <w:rsid w:val="00F56A2D"/>
    <w:rsid w:val="00F5776E"/>
    <w:rsid w:val="00F57A6D"/>
    <w:rsid w:val="00F6044B"/>
    <w:rsid w:val="00F60DDD"/>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F03"/>
    <w:rsid w:val="00F83F58"/>
    <w:rsid w:val="00F85206"/>
    <w:rsid w:val="00F87CEA"/>
    <w:rsid w:val="00F9629A"/>
    <w:rsid w:val="00F97925"/>
    <w:rsid w:val="00F97EFC"/>
    <w:rsid w:val="00FA0B04"/>
    <w:rsid w:val="00FA0C7C"/>
    <w:rsid w:val="00FA143B"/>
    <w:rsid w:val="00FA1BDD"/>
    <w:rsid w:val="00FA305C"/>
    <w:rsid w:val="00FA462E"/>
    <w:rsid w:val="00FA4CD2"/>
    <w:rsid w:val="00FA4DD5"/>
    <w:rsid w:val="00FA5883"/>
    <w:rsid w:val="00FA6055"/>
    <w:rsid w:val="00FB0B39"/>
    <w:rsid w:val="00FB322F"/>
    <w:rsid w:val="00FB442F"/>
    <w:rsid w:val="00FC118C"/>
    <w:rsid w:val="00FC1929"/>
    <w:rsid w:val="00FC5B46"/>
    <w:rsid w:val="00FD1D4F"/>
    <w:rsid w:val="00FD24BF"/>
    <w:rsid w:val="00FD3B6E"/>
    <w:rsid w:val="00FD4140"/>
    <w:rsid w:val="00FD57EB"/>
    <w:rsid w:val="00FD6D8E"/>
    <w:rsid w:val="00FE0663"/>
    <w:rsid w:val="00FE0E94"/>
    <w:rsid w:val="00FE369C"/>
    <w:rsid w:val="00FE3CD9"/>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10"/>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uiPriority w:val="10"/>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styleId="NormalWeb">
    <w:name w:val="Normal (Web)"/>
    <w:basedOn w:val="Normal"/>
    <w:uiPriority w:val="99"/>
    <w:semiHidden/>
    <w:unhideWhenUsed/>
    <w:rsid w:val="002E7DF6"/>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2E7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5570-F514-4D13-BB5D-F8FA2C6C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2022-05-04T00:12:00Z</dcterms:created>
  <dcterms:modified xsi:type="dcterms:W3CDTF">2022-06-16T05:48:00Z</dcterms:modified>
</cp:coreProperties>
</file>