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D0508" w14:textId="77777777" w:rsidR="00BF43F9" w:rsidRDefault="00BF43F9" w:rsidP="00207D00">
      <w:pPr>
        <w:rPr>
          <w:rFonts w:ascii="Calibri" w:eastAsia="Calibri" w:hAnsi="Calibri"/>
          <w:b/>
          <w:sz w:val="36"/>
          <w:szCs w:val="36"/>
        </w:rPr>
      </w:pPr>
    </w:p>
    <w:p w14:paraId="1BE58C7B" w14:textId="2DA6D08A" w:rsidR="00B342F2" w:rsidRPr="00E57628" w:rsidRDefault="00E840F9" w:rsidP="00D53859">
      <w:pPr>
        <w:pStyle w:val="1-MainHeading"/>
        <w:ind w:left="1276" w:hanging="1276"/>
        <w:contextualSpacing/>
      </w:pPr>
      <w:bookmarkStart w:id="0" w:name="_Toc93324990"/>
      <w:r w:rsidRPr="00E57628">
        <w:t>6</w:t>
      </w:r>
      <w:r w:rsidR="00433044" w:rsidRPr="00E57628">
        <w:t>.</w:t>
      </w:r>
      <w:r w:rsidRPr="00E57628">
        <w:t>03</w:t>
      </w:r>
      <w:r w:rsidR="00163F66" w:rsidRPr="00E57628">
        <w:tab/>
      </w:r>
      <w:r w:rsidR="00B342F2" w:rsidRPr="00E57628">
        <w:t>DUPILUMAB</w:t>
      </w:r>
      <w:r w:rsidR="00163F66" w:rsidRPr="00E57628">
        <w:t>,</w:t>
      </w:r>
      <w:r w:rsidR="00163F66" w:rsidRPr="00E57628">
        <w:br/>
      </w:r>
      <w:r w:rsidR="00B342F2" w:rsidRPr="00E57628">
        <w:t xml:space="preserve">Injection 300 mg in 2 mL single </w:t>
      </w:r>
      <w:r w:rsidR="00D53859" w:rsidRPr="00E57628">
        <w:t>dose</w:t>
      </w:r>
      <w:r w:rsidR="00B342F2" w:rsidRPr="00E57628">
        <w:t xml:space="preserve"> pre-filled syringe,</w:t>
      </w:r>
      <w:bookmarkEnd w:id="0"/>
    </w:p>
    <w:p w14:paraId="51C6701A" w14:textId="67CE73B8" w:rsidR="00B60939" w:rsidRPr="00E57628" w:rsidRDefault="00B342F2" w:rsidP="00D53859">
      <w:pPr>
        <w:pStyle w:val="1-MainHeading"/>
        <w:ind w:left="1276" w:hanging="1276"/>
        <w:contextualSpacing/>
      </w:pPr>
      <w:r w:rsidRPr="00E57628">
        <w:tab/>
      </w:r>
      <w:bookmarkStart w:id="1" w:name="_Toc93324991"/>
      <w:r w:rsidRPr="00E57628">
        <w:t xml:space="preserve">Injection 200 mg in 1.14 mL single </w:t>
      </w:r>
      <w:r w:rsidR="00D53859" w:rsidRPr="00E57628">
        <w:t>dose</w:t>
      </w:r>
      <w:r w:rsidRPr="00E57628">
        <w:t xml:space="preserve"> pre-filled syringe</w:t>
      </w:r>
      <w:r w:rsidRPr="00E57628">
        <w:br/>
        <w:t>Dupixent</w:t>
      </w:r>
      <w:r w:rsidRPr="00E57628">
        <w:rPr>
          <w:vertAlign w:val="superscript"/>
        </w:rPr>
        <w:t>®</w:t>
      </w:r>
      <w:r w:rsidRPr="00E57628">
        <w:t>,</w:t>
      </w:r>
      <w:r w:rsidRPr="00E57628">
        <w:br/>
      </w:r>
      <w:r w:rsidR="00901204" w:rsidRPr="00E57628">
        <w:t>S</w:t>
      </w:r>
      <w:r w:rsidRPr="00E57628">
        <w:t>anofi-</w:t>
      </w:r>
      <w:r w:rsidR="00901204" w:rsidRPr="00E57628">
        <w:t>A</w:t>
      </w:r>
      <w:r w:rsidRPr="00E57628">
        <w:t>ventis Australia Pty Ltd.</w:t>
      </w:r>
      <w:bookmarkEnd w:id="1"/>
    </w:p>
    <w:p w14:paraId="11C00795" w14:textId="0D198167" w:rsidR="00B50DB8" w:rsidRPr="00C80985" w:rsidRDefault="00B50DB8" w:rsidP="004A6040">
      <w:pPr>
        <w:pStyle w:val="2-SectionHeading"/>
      </w:pPr>
      <w:bookmarkStart w:id="2" w:name="_Toc93324993"/>
      <w:r w:rsidRPr="00C80985">
        <w:t xml:space="preserve">Purpose of </w:t>
      </w:r>
      <w:r w:rsidR="00CD7193" w:rsidRPr="00C80985">
        <w:t>s</w:t>
      </w:r>
      <w:r w:rsidR="00BB3A45" w:rsidRPr="00C80985">
        <w:t>ubmission</w:t>
      </w:r>
      <w:bookmarkEnd w:id="2"/>
    </w:p>
    <w:p w14:paraId="19414AA1" w14:textId="0737AE77" w:rsidR="002C2775" w:rsidRPr="00C80985" w:rsidRDefault="007170DA" w:rsidP="004E18E9">
      <w:pPr>
        <w:pStyle w:val="3-BodyText"/>
      </w:pPr>
      <w:r w:rsidRPr="00C80985">
        <w:t xml:space="preserve">The </w:t>
      </w:r>
      <w:r w:rsidR="00813570" w:rsidRPr="00C80985">
        <w:t xml:space="preserve">category 2 </w:t>
      </w:r>
      <w:r w:rsidRPr="00C80985">
        <w:t xml:space="preserve">submission requested </w:t>
      </w:r>
      <w:r w:rsidR="008B1757" w:rsidRPr="00C80985">
        <w:t xml:space="preserve">Authority Required listing for </w:t>
      </w:r>
      <w:r w:rsidR="006020C1" w:rsidRPr="00C80985">
        <w:t>dupilumab</w:t>
      </w:r>
      <w:r w:rsidR="008B1757" w:rsidRPr="00C80985">
        <w:t xml:space="preserve"> for </w:t>
      </w:r>
      <w:r w:rsidR="0050174E" w:rsidRPr="00C80985">
        <w:t xml:space="preserve">the </w:t>
      </w:r>
      <w:r w:rsidR="008B1757" w:rsidRPr="00C80985">
        <w:t xml:space="preserve">treatment of </w:t>
      </w:r>
      <w:r w:rsidR="006020C1" w:rsidRPr="00C80985">
        <w:t>children aged 6 to 11 years with severe atopic dermatitis (AD) who have had an inadequate response to topical therapies</w:t>
      </w:r>
      <w:r w:rsidR="008B1757" w:rsidRPr="00C80985">
        <w:t xml:space="preserve">. </w:t>
      </w:r>
    </w:p>
    <w:p w14:paraId="511E8A3C" w14:textId="5E32037C" w:rsidR="00A76A12" w:rsidRPr="00C80985" w:rsidRDefault="005750C5" w:rsidP="004E18E9">
      <w:pPr>
        <w:pStyle w:val="3-BodyText"/>
      </w:pPr>
      <w:r w:rsidRPr="00C80985">
        <w:t xml:space="preserve">Listing was requested </w:t>
      </w:r>
      <w:proofErr w:type="gramStart"/>
      <w:r w:rsidRPr="00C80985">
        <w:t>on the basis of</w:t>
      </w:r>
      <w:proofErr w:type="gramEnd"/>
      <w:r w:rsidRPr="00C80985">
        <w:t xml:space="preserve"> a cost-effectiveness analysis versus </w:t>
      </w:r>
      <w:r w:rsidR="006020C1" w:rsidRPr="00C80985">
        <w:t>placebo</w:t>
      </w:r>
      <w:r w:rsidRPr="00C80985">
        <w:t>.</w:t>
      </w:r>
      <w:r w:rsidR="00727E48" w:rsidRPr="00C80985">
        <w:t xml:space="preserve"> </w:t>
      </w:r>
      <w:r w:rsidR="00A76A12" w:rsidRPr="00C80985">
        <w:t>The key components of the proposed listing are provided below.</w:t>
      </w:r>
      <w:r w:rsidRPr="00C80985">
        <w:t xml:space="preserve"> </w:t>
      </w:r>
    </w:p>
    <w:p w14:paraId="3718DE61" w14:textId="4C2C1651" w:rsidR="008B1757" w:rsidRPr="00C80985" w:rsidRDefault="00EA5341" w:rsidP="00EA5341">
      <w:pPr>
        <w:pStyle w:val="TableFigureHeading"/>
        <w:rPr>
          <w:rStyle w:val="CommentReference"/>
          <w:b/>
          <w:szCs w:val="24"/>
        </w:rPr>
      </w:pPr>
      <w:r w:rsidRPr="00C80985">
        <w:rPr>
          <w:rStyle w:val="CommentReference"/>
          <w:b/>
          <w:bCs w:val="0"/>
          <w:szCs w:val="24"/>
        </w:rPr>
        <w:t xml:space="preserve">Table </w:t>
      </w:r>
      <w:r w:rsidRPr="00C80985">
        <w:rPr>
          <w:rStyle w:val="CommentReference"/>
          <w:b/>
          <w:bCs w:val="0"/>
          <w:szCs w:val="24"/>
        </w:rPr>
        <w:fldChar w:fldCharType="begin"/>
      </w:r>
      <w:r w:rsidRPr="00C80985">
        <w:rPr>
          <w:rStyle w:val="CommentReference"/>
          <w:b/>
          <w:bCs w:val="0"/>
          <w:szCs w:val="24"/>
        </w:rPr>
        <w:instrText xml:space="preserve"> SEQ Table \* ARABIC </w:instrText>
      </w:r>
      <w:r w:rsidRPr="00C80985">
        <w:rPr>
          <w:rStyle w:val="CommentReference"/>
          <w:b/>
          <w:bCs w:val="0"/>
          <w:szCs w:val="24"/>
        </w:rPr>
        <w:fldChar w:fldCharType="separate"/>
      </w:r>
      <w:r w:rsidR="00AA723C">
        <w:rPr>
          <w:rStyle w:val="CommentReference"/>
          <w:b/>
          <w:bCs w:val="0"/>
          <w:noProof/>
          <w:szCs w:val="24"/>
        </w:rPr>
        <w:t>1</w:t>
      </w:r>
      <w:r w:rsidRPr="00C80985">
        <w:rPr>
          <w:rStyle w:val="CommentReference"/>
          <w:b/>
          <w:bCs w:val="0"/>
          <w:szCs w:val="24"/>
        </w:rPr>
        <w:fldChar w:fldCharType="end"/>
      </w:r>
      <w:r w:rsidR="008B1757" w:rsidRPr="00C80985">
        <w:rPr>
          <w:rStyle w:val="CommentReference"/>
          <w:b/>
          <w:bCs w:val="0"/>
          <w:szCs w:val="24"/>
        </w:rPr>
        <w:t>:</w:t>
      </w:r>
      <w:r w:rsidR="00BC591F" w:rsidRPr="00C80985">
        <w:rPr>
          <w:rStyle w:val="CommentReference"/>
          <w:b/>
          <w:szCs w:val="24"/>
        </w:rPr>
        <w:t xml:space="preserve"> </w:t>
      </w:r>
      <w:r w:rsidR="008B1757" w:rsidRPr="00C80985">
        <w:rPr>
          <w:rStyle w:val="CommentReference"/>
          <w:b/>
          <w:szCs w:val="24"/>
        </w:rPr>
        <w:t>Key components of the clinical issue addressed by the submission</w:t>
      </w:r>
      <w:r w:rsidR="007170DA" w:rsidRPr="00C80985">
        <w:rPr>
          <w:rStyle w:val="CommentReference"/>
          <w:b/>
          <w:szCs w:val="24"/>
        </w:rPr>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8B1757" w:rsidRPr="00C80985" w14:paraId="569F5103" w14:textId="77777777" w:rsidTr="002A2ADE">
        <w:trPr>
          <w:cantSplit/>
          <w:tblHeader/>
        </w:trPr>
        <w:tc>
          <w:tcPr>
            <w:tcW w:w="924" w:type="pct"/>
            <w:shd w:val="clear" w:color="auto" w:fill="auto"/>
          </w:tcPr>
          <w:p w14:paraId="501803FB" w14:textId="77777777" w:rsidR="008B1757" w:rsidRPr="00C80985" w:rsidRDefault="008B1757" w:rsidP="004A6040">
            <w:pPr>
              <w:pStyle w:val="In-tableHeading"/>
              <w:rPr>
                <w:szCs w:val="20"/>
                <w:lang w:val="en-AU"/>
              </w:rPr>
            </w:pPr>
            <w:r w:rsidRPr="00C80985">
              <w:rPr>
                <w:lang w:val="en-AU"/>
              </w:rPr>
              <w:t>Component</w:t>
            </w:r>
          </w:p>
        </w:tc>
        <w:tc>
          <w:tcPr>
            <w:tcW w:w="4076" w:type="pct"/>
            <w:shd w:val="clear" w:color="auto" w:fill="auto"/>
          </w:tcPr>
          <w:p w14:paraId="445D9EBB" w14:textId="77777777" w:rsidR="008B1757" w:rsidRPr="00C80985" w:rsidRDefault="008B1757" w:rsidP="004A6040">
            <w:pPr>
              <w:pStyle w:val="In-tableHeading"/>
              <w:rPr>
                <w:lang w:val="en-AU"/>
              </w:rPr>
            </w:pPr>
            <w:r w:rsidRPr="00C80985">
              <w:rPr>
                <w:lang w:val="en-AU"/>
              </w:rPr>
              <w:t>Description</w:t>
            </w:r>
          </w:p>
        </w:tc>
      </w:tr>
      <w:tr w:rsidR="00272678" w:rsidRPr="00C80985" w14:paraId="2EB546E2" w14:textId="77777777" w:rsidTr="002A2ADE">
        <w:trPr>
          <w:cantSplit/>
        </w:trPr>
        <w:tc>
          <w:tcPr>
            <w:tcW w:w="924" w:type="pct"/>
            <w:shd w:val="clear" w:color="auto" w:fill="auto"/>
          </w:tcPr>
          <w:p w14:paraId="38F3BB34" w14:textId="77777777" w:rsidR="00272678" w:rsidRPr="00C80985" w:rsidRDefault="00272678" w:rsidP="00272678">
            <w:pPr>
              <w:pStyle w:val="TableText0"/>
            </w:pPr>
            <w:r w:rsidRPr="00C80985">
              <w:t>Population</w:t>
            </w:r>
          </w:p>
        </w:tc>
        <w:tc>
          <w:tcPr>
            <w:tcW w:w="4076" w:type="pct"/>
            <w:shd w:val="clear" w:color="auto" w:fill="auto"/>
          </w:tcPr>
          <w:p w14:paraId="79618EEE" w14:textId="68519046" w:rsidR="00272678" w:rsidRPr="00C80985" w:rsidRDefault="00272678" w:rsidP="00272678">
            <w:pPr>
              <w:pStyle w:val="TableText0"/>
              <w:rPr>
                <w:szCs w:val="20"/>
              </w:rPr>
            </w:pPr>
            <w:r w:rsidRPr="00C80985">
              <w:t>Children aged 6 to 11 years with severe AD who have had an inadequate response to topical therapies</w:t>
            </w:r>
          </w:p>
        </w:tc>
      </w:tr>
      <w:tr w:rsidR="00272678" w:rsidRPr="00C80985" w14:paraId="0CA523AF" w14:textId="77777777" w:rsidTr="002A2ADE">
        <w:trPr>
          <w:cantSplit/>
        </w:trPr>
        <w:tc>
          <w:tcPr>
            <w:tcW w:w="924" w:type="pct"/>
            <w:shd w:val="clear" w:color="auto" w:fill="auto"/>
          </w:tcPr>
          <w:p w14:paraId="7B6D20D8" w14:textId="77777777" w:rsidR="00272678" w:rsidRPr="00C80985" w:rsidRDefault="00272678" w:rsidP="00272678">
            <w:pPr>
              <w:pStyle w:val="TableText0"/>
            </w:pPr>
            <w:r w:rsidRPr="00C80985">
              <w:t>Intervention</w:t>
            </w:r>
          </w:p>
        </w:tc>
        <w:tc>
          <w:tcPr>
            <w:tcW w:w="4076" w:type="pct"/>
            <w:shd w:val="clear" w:color="auto" w:fill="auto"/>
          </w:tcPr>
          <w:p w14:paraId="7CE664EB" w14:textId="77777777" w:rsidR="00272678" w:rsidRPr="00C80985" w:rsidRDefault="00272678" w:rsidP="00272678">
            <w:pPr>
              <w:pStyle w:val="TableText0"/>
            </w:pPr>
            <w:r w:rsidRPr="00C80985">
              <w:t xml:space="preserve">Tiered (by body weight) dupilumab dosing, whereby: </w:t>
            </w:r>
          </w:p>
          <w:p w14:paraId="2DBA8F79" w14:textId="77777777" w:rsidR="00272678" w:rsidRPr="00C80985" w:rsidRDefault="00272678" w:rsidP="00894D0F">
            <w:pPr>
              <w:pStyle w:val="TableText0"/>
              <w:keepNext w:val="0"/>
              <w:numPr>
                <w:ilvl w:val="0"/>
                <w:numId w:val="7"/>
              </w:numPr>
              <w:spacing w:before="40" w:after="40"/>
              <w:ind w:left="205" w:hanging="142"/>
            </w:pPr>
            <w:r w:rsidRPr="00C80985">
              <w:t>15 kg to &lt; 30 kg: 600 mg (2 x 300 mg syringes) loading dose, then 300 mg (1 x 300 mg syringe) Q4W</w:t>
            </w:r>
          </w:p>
          <w:p w14:paraId="691ED16C" w14:textId="57FCB4DE" w:rsidR="00272678" w:rsidRPr="00C80985" w:rsidRDefault="00272678" w:rsidP="00894D0F">
            <w:pPr>
              <w:pStyle w:val="TableText0"/>
              <w:keepNext w:val="0"/>
              <w:numPr>
                <w:ilvl w:val="0"/>
                <w:numId w:val="7"/>
              </w:numPr>
              <w:spacing w:before="40" w:after="40"/>
              <w:ind w:left="205" w:hanging="142"/>
            </w:pPr>
            <w:r w:rsidRPr="00C80985">
              <w:t>30 kg to &lt; 60 kg: 400 mg (2 x 200 mg syringes) loading dose, then 200 mg (1 x 200 mg syringe) Q2W</w:t>
            </w:r>
          </w:p>
          <w:p w14:paraId="2491E905" w14:textId="38C2159B" w:rsidR="00272678" w:rsidRPr="00C80985" w:rsidRDefault="00272678" w:rsidP="00894D0F">
            <w:pPr>
              <w:pStyle w:val="TableText0"/>
              <w:keepNext w:val="0"/>
              <w:numPr>
                <w:ilvl w:val="0"/>
                <w:numId w:val="7"/>
              </w:numPr>
              <w:spacing w:before="40" w:after="40"/>
              <w:ind w:left="205" w:hanging="142"/>
            </w:pPr>
            <w:r w:rsidRPr="00C80985">
              <w:t>≥ 60 kg: 600 mg (2 x 300 mg syringes) loading dose, then 300 mg (1 x 300 mg syringe) Q2W</w:t>
            </w:r>
          </w:p>
        </w:tc>
      </w:tr>
      <w:tr w:rsidR="00272678" w:rsidRPr="00C80985" w14:paraId="0F81EBE4" w14:textId="77777777" w:rsidTr="002A2ADE">
        <w:trPr>
          <w:cantSplit/>
        </w:trPr>
        <w:tc>
          <w:tcPr>
            <w:tcW w:w="924" w:type="pct"/>
            <w:shd w:val="clear" w:color="auto" w:fill="auto"/>
          </w:tcPr>
          <w:p w14:paraId="3656B343" w14:textId="77777777" w:rsidR="00272678" w:rsidRPr="00C80985" w:rsidRDefault="00272678" w:rsidP="00272678">
            <w:pPr>
              <w:pStyle w:val="TableText0"/>
            </w:pPr>
            <w:r w:rsidRPr="00C80985">
              <w:t>Comparator</w:t>
            </w:r>
          </w:p>
        </w:tc>
        <w:tc>
          <w:tcPr>
            <w:tcW w:w="4076" w:type="pct"/>
            <w:shd w:val="clear" w:color="auto" w:fill="auto"/>
          </w:tcPr>
          <w:p w14:paraId="3727DE24" w14:textId="63A07619" w:rsidR="00272678" w:rsidRPr="00C80985" w:rsidRDefault="00272678" w:rsidP="00272678">
            <w:pPr>
              <w:pStyle w:val="TableText0"/>
            </w:pPr>
            <w:r w:rsidRPr="00C80985">
              <w:t>Standard of care (SoC; represented by placebo)</w:t>
            </w:r>
          </w:p>
        </w:tc>
      </w:tr>
      <w:tr w:rsidR="00272678" w:rsidRPr="00C80985" w14:paraId="02F86F0D" w14:textId="77777777" w:rsidTr="002A2ADE">
        <w:trPr>
          <w:cantSplit/>
        </w:trPr>
        <w:tc>
          <w:tcPr>
            <w:tcW w:w="924" w:type="pct"/>
            <w:shd w:val="clear" w:color="auto" w:fill="auto"/>
          </w:tcPr>
          <w:p w14:paraId="06433105" w14:textId="77777777" w:rsidR="00272678" w:rsidRPr="00C80985" w:rsidRDefault="00272678" w:rsidP="00272678">
            <w:pPr>
              <w:pStyle w:val="TableText0"/>
            </w:pPr>
            <w:r w:rsidRPr="00C80985">
              <w:t>Outcomes</w:t>
            </w:r>
          </w:p>
        </w:tc>
        <w:tc>
          <w:tcPr>
            <w:tcW w:w="4076" w:type="pct"/>
            <w:shd w:val="clear" w:color="auto" w:fill="auto"/>
          </w:tcPr>
          <w:p w14:paraId="246E648B" w14:textId="77777777" w:rsidR="00272678" w:rsidRPr="00C80985" w:rsidRDefault="00272678" w:rsidP="00272678">
            <w:pPr>
              <w:pStyle w:val="TableText0"/>
            </w:pPr>
            <w:r w:rsidRPr="00C80985">
              <w:t>Primary outcomes: proportion of patients with EASI-75 at Week 16, proportion of patients with an IGA 0 or 1 at Week 16.</w:t>
            </w:r>
          </w:p>
          <w:p w14:paraId="3A13DD9F" w14:textId="77777777" w:rsidR="00272678" w:rsidRPr="00C80985" w:rsidRDefault="00272678" w:rsidP="00272678">
            <w:pPr>
              <w:pStyle w:val="TableText0"/>
            </w:pPr>
            <w:r w:rsidRPr="00C80985">
              <w:t>Key secondary outcomes: percent change in EASI score from baseline to Week 16, percent change from baseline to Week 16 in weekly average of daily worst itch score.</w:t>
            </w:r>
          </w:p>
          <w:p w14:paraId="5ABC4037" w14:textId="500F29E7" w:rsidR="00272678" w:rsidRPr="00C80985" w:rsidRDefault="00272678" w:rsidP="00272678">
            <w:pPr>
              <w:pStyle w:val="TableText0"/>
              <w:rPr>
                <w:rFonts w:eastAsia="Times New Roman" w:cs="Arial"/>
                <w:bCs w:val="0"/>
                <w:snapToGrid w:val="0"/>
                <w:color w:val="0066FF"/>
                <w:szCs w:val="20"/>
              </w:rPr>
            </w:pPr>
            <w:r w:rsidRPr="00C80985">
              <w:t xml:space="preserve">Other relevant secondary outcomes: proportion of patients with EASI-50 at Week 16, change from baseline to Week 16 in </w:t>
            </w:r>
            <w:r w:rsidR="00766BD7" w:rsidRPr="00C80985">
              <w:t>CDLQI</w:t>
            </w:r>
            <w:r w:rsidRPr="00C80985">
              <w:t>, proportion of patients with improvement (reduction) of weekly average of daily worst itch score ≥4 or ≥3, proportion of patients with EASI-90, change from baseline in POEM, percent change from baseline in SCORAD.</w:t>
            </w:r>
          </w:p>
        </w:tc>
      </w:tr>
      <w:tr w:rsidR="00272678" w:rsidRPr="00C80985" w14:paraId="22223890" w14:textId="77777777" w:rsidTr="002A2ADE">
        <w:trPr>
          <w:cantSplit/>
        </w:trPr>
        <w:tc>
          <w:tcPr>
            <w:tcW w:w="924" w:type="pct"/>
            <w:shd w:val="clear" w:color="auto" w:fill="auto"/>
          </w:tcPr>
          <w:p w14:paraId="0FC8FCE0" w14:textId="77777777" w:rsidR="00272678" w:rsidRPr="00C80985" w:rsidRDefault="00272678" w:rsidP="00272678">
            <w:pPr>
              <w:pStyle w:val="TableText0"/>
            </w:pPr>
            <w:r w:rsidRPr="00C80985">
              <w:t>Clinical claim</w:t>
            </w:r>
          </w:p>
        </w:tc>
        <w:tc>
          <w:tcPr>
            <w:tcW w:w="4076" w:type="pct"/>
            <w:shd w:val="clear" w:color="auto" w:fill="auto"/>
          </w:tcPr>
          <w:p w14:paraId="2C99C4DE" w14:textId="40B66CA0" w:rsidR="00272678" w:rsidRPr="00C80985" w:rsidRDefault="00272678" w:rsidP="00272678">
            <w:pPr>
              <w:pStyle w:val="TableText0"/>
              <w:rPr>
                <w:rFonts w:eastAsia="Times New Roman" w:cs="Arial"/>
                <w:bCs w:val="0"/>
                <w:snapToGrid w:val="0"/>
                <w:color w:val="0066FF"/>
                <w:szCs w:val="20"/>
              </w:rPr>
            </w:pPr>
            <w:r w:rsidRPr="00C80985">
              <w:t>In the treatment of children aged 6 to 11</w:t>
            </w:r>
            <w:r w:rsidR="00727E48" w:rsidRPr="00C80985">
              <w:t xml:space="preserve"> </w:t>
            </w:r>
            <w:r w:rsidRPr="00C80985">
              <w:t>years with severe AD not adequately controlled with topical therapies, dupilumab has superior efficacy to SoC with an increased risk of injection site reactions and conjunctivitis.</w:t>
            </w:r>
          </w:p>
        </w:tc>
      </w:tr>
    </w:tbl>
    <w:p w14:paraId="527CA7F0" w14:textId="106278B4" w:rsidR="004E43B2" w:rsidRPr="00C80985" w:rsidRDefault="00272678" w:rsidP="004A6040">
      <w:pPr>
        <w:pStyle w:val="TableFigureFooter"/>
      </w:pPr>
      <w:r w:rsidRPr="00C80985">
        <w:t>Source: Table 1.1, p17 of the submission.</w:t>
      </w:r>
    </w:p>
    <w:p w14:paraId="2CBD4518" w14:textId="741069EE" w:rsidR="00766BD7" w:rsidRPr="00C80985" w:rsidRDefault="00766BD7" w:rsidP="004A6040">
      <w:pPr>
        <w:pStyle w:val="TableFigureFooter"/>
        <w:rPr>
          <w:sz w:val="20"/>
        </w:rPr>
      </w:pPr>
      <w:r w:rsidRPr="00C80985">
        <w:rPr>
          <w:szCs w:val="18"/>
        </w:rPr>
        <w:t xml:space="preserve">AD = atopic dermatitis; CDLQI = Children’s Dermatology Life Quality Index; POEM = </w:t>
      </w:r>
      <w:proofErr w:type="gramStart"/>
      <w:r w:rsidRPr="00C80985">
        <w:rPr>
          <w:szCs w:val="18"/>
        </w:rPr>
        <w:t>patient oriented</w:t>
      </w:r>
      <w:proofErr w:type="gramEnd"/>
      <w:r w:rsidRPr="00C80985">
        <w:rPr>
          <w:szCs w:val="18"/>
        </w:rPr>
        <w:t xml:space="preserve"> eczema measure; Q2W = dosing every two weeks; Q4W = dosing every four weeks; SCORAD =</w:t>
      </w:r>
      <w:r w:rsidRPr="00C80985">
        <w:t xml:space="preserve"> scoring atopic dermatitis clinical tool used to assess the extent and severity of eczema, SoC = standard of care.</w:t>
      </w:r>
    </w:p>
    <w:p w14:paraId="6B4AB6C2" w14:textId="7F01D731" w:rsidR="005C25FF" w:rsidRPr="00C80985" w:rsidRDefault="005C25FF" w:rsidP="004A6040">
      <w:pPr>
        <w:pStyle w:val="2-SectionHeading"/>
      </w:pPr>
      <w:bookmarkStart w:id="3" w:name="_Toc93324994"/>
      <w:r w:rsidRPr="00C80985">
        <w:lastRenderedPageBreak/>
        <w:t>Background</w:t>
      </w:r>
      <w:bookmarkEnd w:id="3"/>
    </w:p>
    <w:p w14:paraId="2C521D6D" w14:textId="78CF03EE" w:rsidR="005C25FF" w:rsidRPr="00C80985" w:rsidRDefault="005C25FF" w:rsidP="004A6040">
      <w:pPr>
        <w:pStyle w:val="4-SubsectionHeading"/>
        <w:rPr>
          <w:i w:val="0"/>
        </w:rPr>
      </w:pPr>
      <w:bookmarkStart w:id="4" w:name="_Toc22897638"/>
      <w:bookmarkStart w:id="5" w:name="_Toc93324995"/>
      <w:r w:rsidRPr="00C80985">
        <w:rPr>
          <w:i w:val="0"/>
        </w:rPr>
        <w:t>Registration status</w:t>
      </w:r>
      <w:bookmarkEnd w:id="4"/>
      <w:bookmarkEnd w:id="5"/>
    </w:p>
    <w:p w14:paraId="354C929D" w14:textId="6E642FFA" w:rsidR="000A5FC3" w:rsidRPr="00C80985" w:rsidRDefault="000A5FC3" w:rsidP="004E18E9">
      <w:pPr>
        <w:pStyle w:val="3-BodyText"/>
      </w:pPr>
      <w:r w:rsidRPr="00C80985">
        <w:t>Dupilumab was registered for the treatment of moderate to severe AD in patients aged 6 to 11 years on 17 August 2021.</w:t>
      </w:r>
      <w:r w:rsidR="00727E48" w:rsidRPr="00C80985">
        <w:t xml:space="preserve"> </w:t>
      </w:r>
      <w:r w:rsidRPr="00C80985">
        <w:t>It had previously been registered for the treatment of moderate to severe AD in adults and those aged 12 to 17 years in 2018 and 2019.</w:t>
      </w:r>
      <w:r w:rsidR="00727E48" w:rsidRPr="00C80985">
        <w:t xml:space="preserve"> </w:t>
      </w:r>
    </w:p>
    <w:p w14:paraId="3E2A6EAB" w14:textId="469C8C0C" w:rsidR="005C25FF" w:rsidRPr="00C80985" w:rsidRDefault="005C25FF" w:rsidP="004E18E9">
      <w:pPr>
        <w:pStyle w:val="4-SubsectionHeading"/>
        <w:rPr>
          <w:i w:val="0"/>
        </w:rPr>
      </w:pPr>
      <w:bookmarkStart w:id="6" w:name="_Toc22897639"/>
      <w:bookmarkStart w:id="7" w:name="_Toc93324996"/>
      <w:r w:rsidRPr="00C80985">
        <w:rPr>
          <w:i w:val="0"/>
        </w:rPr>
        <w:t>Previous PBAC consideration</w:t>
      </w:r>
      <w:bookmarkEnd w:id="6"/>
      <w:bookmarkEnd w:id="7"/>
    </w:p>
    <w:p w14:paraId="0687951D" w14:textId="692DA8DD" w:rsidR="00F862FB" w:rsidRDefault="00671E9E" w:rsidP="003C7770">
      <w:pPr>
        <w:pStyle w:val="3-BodyText"/>
        <w:keepNext/>
        <w:keepLines/>
        <w:spacing w:after="0"/>
        <w:rPr>
          <w:snapToGrid/>
        </w:rPr>
      </w:pPr>
      <w:r w:rsidRPr="00C80985">
        <w:rPr>
          <w:snapToGrid/>
        </w:rPr>
        <w:t xml:space="preserve">Dupilumab has been previously considered by the PBAC for the treatment of </w:t>
      </w:r>
      <w:r w:rsidR="00AD1C23" w:rsidRPr="00C80985">
        <w:rPr>
          <w:snapToGrid/>
        </w:rPr>
        <w:t xml:space="preserve">severe or moderate to severe </w:t>
      </w:r>
      <w:r w:rsidRPr="00C80985">
        <w:rPr>
          <w:snapToGrid/>
        </w:rPr>
        <w:t>AD in adults four times</w:t>
      </w:r>
      <w:r w:rsidR="00670281">
        <w:rPr>
          <w:snapToGrid/>
        </w:rPr>
        <w:t xml:space="preserve"> (July 2018, July 2019, March 2020, November 2020)</w:t>
      </w:r>
      <w:r w:rsidRPr="00C80985">
        <w:rPr>
          <w:snapToGrid/>
        </w:rPr>
        <w:t xml:space="preserve">, and for the treatment of </w:t>
      </w:r>
      <w:r w:rsidR="00AD1C23" w:rsidRPr="00C80985">
        <w:rPr>
          <w:snapToGrid/>
        </w:rPr>
        <w:t>uncontrolled severe asthma once</w:t>
      </w:r>
      <w:r w:rsidR="00670281">
        <w:rPr>
          <w:snapToGrid/>
        </w:rPr>
        <w:t xml:space="preserve"> (November 2020)</w:t>
      </w:r>
      <w:r w:rsidR="00AD1C23" w:rsidRPr="00C80985">
        <w:rPr>
          <w:snapToGrid/>
        </w:rPr>
        <w:t>.</w:t>
      </w:r>
    </w:p>
    <w:p w14:paraId="5FCC6B54" w14:textId="77777777" w:rsidR="00BF43F9" w:rsidRPr="00C80985" w:rsidRDefault="00BF43F9" w:rsidP="001212AF">
      <w:pPr>
        <w:pStyle w:val="TableFigureFooter"/>
        <w:keepNext/>
        <w:keepLines/>
        <w:tabs>
          <w:tab w:val="left" w:pos="142"/>
        </w:tabs>
      </w:pPr>
    </w:p>
    <w:p w14:paraId="76E4EF3C" w14:textId="13040F70" w:rsidR="00B60939" w:rsidRPr="00E57628" w:rsidRDefault="00B50DB8" w:rsidP="004E18E9">
      <w:pPr>
        <w:pStyle w:val="2-SectionHeading"/>
      </w:pPr>
      <w:bookmarkStart w:id="8" w:name="_Toc93324997"/>
      <w:r w:rsidRPr="00E57628">
        <w:t>Requested listing</w:t>
      </w:r>
      <w:bookmarkEnd w:id="8"/>
    </w:p>
    <w:p w14:paraId="68709021" w14:textId="287EC911" w:rsidR="0008070F" w:rsidRPr="00E57628" w:rsidRDefault="0008070F" w:rsidP="0008070F">
      <w:pPr>
        <w:pStyle w:val="3-BodyText"/>
      </w:pPr>
      <w:r w:rsidRPr="00E57628">
        <w:t>An abbreviated version of the proposed restrictions is presented below.</w:t>
      </w:r>
    </w:p>
    <w:p w14:paraId="56763224" w14:textId="77777777" w:rsidR="00617E12" w:rsidRPr="00E57628" w:rsidRDefault="00617E12" w:rsidP="00617E12"/>
    <w:tbl>
      <w:tblPr>
        <w:tblW w:w="5000" w:type="pct"/>
        <w:tblBorders>
          <w:top w:val="single" w:sz="4" w:space="0" w:color="808080" w:themeColor="background1" w:themeShade="80"/>
          <w:bottom w:val="single" w:sz="4" w:space="0" w:color="808080" w:themeColor="background1" w:themeShade="80"/>
          <w:insideH w:val="single" w:sz="4" w:space="0" w:color="808080" w:themeColor="background1" w:themeShade="80"/>
        </w:tblBorders>
        <w:tblLayout w:type="fixed"/>
        <w:tblLook w:val="04A0" w:firstRow="1" w:lastRow="0" w:firstColumn="1" w:lastColumn="0" w:noHBand="0" w:noVBand="1"/>
      </w:tblPr>
      <w:tblGrid>
        <w:gridCol w:w="1690"/>
        <w:gridCol w:w="522"/>
        <w:gridCol w:w="81"/>
        <w:gridCol w:w="888"/>
        <w:gridCol w:w="116"/>
        <w:gridCol w:w="850"/>
        <w:gridCol w:w="152"/>
        <w:gridCol w:w="1229"/>
        <w:gridCol w:w="1659"/>
        <w:gridCol w:w="43"/>
        <w:gridCol w:w="1477"/>
        <w:gridCol w:w="320"/>
      </w:tblGrid>
      <w:tr w:rsidR="00733801" w:rsidRPr="00E57628" w14:paraId="35B718C7" w14:textId="77777777" w:rsidTr="00B51335">
        <w:trPr>
          <w:gridAfter w:val="1"/>
          <w:wAfter w:w="177" w:type="pct"/>
          <w:tblHeader/>
        </w:trPr>
        <w:tc>
          <w:tcPr>
            <w:tcW w:w="1225" w:type="pct"/>
            <w:gridSpan w:val="2"/>
          </w:tcPr>
          <w:p w14:paraId="762DF599" w14:textId="77777777" w:rsidR="00EE22CD" w:rsidRPr="00E57628" w:rsidRDefault="00EE22CD" w:rsidP="00E840F9">
            <w:pPr>
              <w:pStyle w:val="TableHeading"/>
              <w:spacing w:before="0" w:after="0"/>
              <w:rPr>
                <w:szCs w:val="20"/>
              </w:rPr>
            </w:pPr>
            <w:r w:rsidRPr="00E57628">
              <w:rPr>
                <w:szCs w:val="20"/>
              </w:rPr>
              <w:t>Name, restriction, manner of administration, form</w:t>
            </w:r>
          </w:p>
        </w:tc>
        <w:tc>
          <w:tcPr>
            <w:tcW w:w="537" w:type="pct"/>
            <w:gridSpan w:val="2"/>
          </w:tcPr>
          <w:p w14:paraId="5C33E86A" w14:textId="77777777" w:rsidR="00EE22CD" w:rsidRPr="00E57628" w:rsidRDefault="00EE22CD" w:rsidP="00E840F9">
            <w:pPr>
              <w:pStyle w:val="TableHeading"/>
              <w:spacing w:before="0" w:after="0"/>
              <w:jc w:val="center"/>
              <w:rPr>
                <w:szCs w:val="20"/>
              </w:rPr>
            </w:pPr>
            <w:r w:rsidRPr="00E57628">
              <w:rPr>
                <w:szCs w:val="20"/>
              </w:rPr>
              <w:t>Maximum quantity (packs)</w:t>
            </w:r>
          </w:p>
        </w:tc>
        <w:tc>
          <w:tcPr>
            <w:tcW w:w="535" w:type="pct"/>
            <w:gridSpan w:val="2"/>
          </w:tcPr>
          <w:p w14:paraId="4E6811D5" w14:textId="77777777" w:rsidR="00EE22CD" w:rsidRPr="00E57628" w:rsidRDefault="00EE22CD" w:rsidP="00E840F9">
            <w:pPr>
              <w:pStyle w:val="TableHeading"/>
              <w:spacing w:before="0" w:after="0"/>
              <w:jc w:val="center"/>
              <w:rPr>
                <w:szCs w:val="20"/>
              </w:rPr>
            </w:pPr>
            <w:r w:rsidRPr="00E57628">
              <w:rPr>
                <w:szCs w:val="20"/>
              </w:rPr>
              <w:t>Maximum quantity (units)</w:t>
            </w:r>
          </w:p>
        </w:tc>
        <w:tc>
          <w:tcPr>
            <w:tcW w:w="765" w:type="pct"/>
            <w:gridSpan w:val="2"/>
          </w:tcPr>
          <w:p w14:paraId="098104BB" w14:textId="77777777" w:rsidR="00EE22CD" w:rsidRPr="00E57628" w:rsidRDefault="00EE22CD" w:rsidP="00E840F9">
            <w:pPr>
              <w:pStyle w:val="TableHeading"/>
              <w:spacing w:before="0" w:after="0"/>
              <w:jc w:val="center"/>
              <w:rPr>
                <w:szCs w:val="20"/>
              </w:rPr>
            </w:pPr>
            <w:r w:rsidRPr="00E57628">
              <w:rPr>
                <w:szCs w:val="20"/>
              </w:rPr>
              <w:t>No. of repeats</w:t>
            </w:r>
          </w:p>
        </w:tc>
        <w:tc>
          <w:tcPr>
            <w:tcW w:w="919" w:type="pct"/>
          </w:tcPr>
          <w:p w14:paraId="359F2013" w14:textId="77777777" w:rsidR="00EE22CD" w:rsidRPr="00E57628" w:rsidRDefault="00EE22CD" w:rsidP="00E840F9">
            <w:pPr>
              <w:pStyle w:val="TableHeading"/>
              <w:spacing w:before="0" w:after="0"/>
              <w:jc w:val="center"/>
              <w:rPr>
                <w:szCs w:val="20"/>
              </w:rPr>
            </w:pPr>
            <w:r w:rsidRPr="00E57628">
              <w:rPr>
                <w:szCs w:val="20"/>
              </w:rPr>
              <w:t>Dispensed price for maximum quantity</w:t>
            </w:r>
          </w:p>
        </w:tc>
        <w:tc>
          <w:tcPr>
            <w:tcW w:w="842" w:type="pct"/>
            <w:gridSpan w:val="2"/>
          </w:tcPr>
          <w:p w14:paraId="349E3DD6" w14:textId="77777777" w:rsidR="00EE22CD" w:rsidRPr="00E57628" w:rsidRDefault="00EE22CD" w:rsidP="00E840F9">
            <w:pPr>
              <w:pStyle w:val="TableHeading"/>
              <w:spacing w:before="0" w:after="0"/>
              <w:jc w:val="center"/>
              <w:rPr>
                <w:szCs w:val="20"/>
              </w:rPr>
            </w:pPr>
            <w:r w:rsidRPr="00E57628">
              <w:rPr>
                <w:szCs w:val="20"/>
              </w:rPr>
              <w:t>Proprietary name and manufacturer</w:t>
            </w:r>
          </w:p>
        </w:tc>
      </w:tr>
      <w:tr w:rsidR="00733801" w:rsidRPr="00E57628" w14:paraId="1057E0BE" w14:textId="77777777" w:rsidTr="00B51335">
        <w:trPr>
          <w:gridAfter w:val="1"/>
          <w:wAfter w:w="177" w:type="pct"/>
          <w:cantSplit/>
          <w:tblHeader/>
        </w:trPr>
        <w:tc>
          <w:tcPr>
            <w:tcW w:w="4823" w:type="pct"/>
            <w:gridSpan w:val="11"/>
          </w:tcPr>
          <w:p w14:paraId="4C3E628F" w14:textId="32406351" w:rsidR="00EE22CD" w:rsidRPr="00E57628" w:rsidRDefault="00EE22CD" w:rsidP="00E840F9">
            <w:pPr>
              <w:pStyle w:val="TableHeading"/>
              <w:spacing w:before="0" w:after="0"/>
              <w:rPr>
                <w:szCs w:val="20"/>
              </w:rPr>
            </w:pPr>
            <w:r w:rsidRPr="00E57628">
              <w:rPr>
                <w:iCs/>
                <w:szCs w:val="20"/>
              </w:rPr>
              <w:t xml:space="preserve">15kg to &lt;30kg 300mg Q4W </w:t>
            </w:r>
          </w:p>
        </w:tc>
      </w:tr>
      <w:tr w:rsidR="00733801" w:rsidRPr="00E57628" w14:paraId="434F26C8" w14:textId="77777777" w:rsidTr="00B51335">
        <w:trPr>
          <w:gridAfter w:val="1"/>
          <w:wAfter w:w="177" w:type="pct"/>
          <w:cantSplit/>
        </w:trPr>
        <w:tc>
          <w:tcPr>
            <w:tcW w:w="1225" w:type="pct"/>
            <w:gridSpan w:val="2"/>
            <w:tcBorders>
              <w:bottom w:val="single" w:sz="4" w:space="0" w:color="808080" w:themeColor="background1" w:themeShade="80"/>
            </w:tcBorders>
          </w:tcPr>
          <w:p w14:paraId="165595DE" w14:textId="77777777" w:rsidR="00EE22CD" w:rsidRPr="00E57628" w:rsidRDefault="00EE22CD" w:rsidP="00F11C0F">
            <w:pPr>
              <w:pStyle w:val="Tabletext"/>
            </w:pPr>
            <w:r w:rsidRPr="00E57628">
              <w:t>DUPILUMAB</w:t>
            </w:r>
          </w:p>
          <w:p w14:paraId="6C632C01" w14:textId="0861F6A7" w:rsidR="00EE22CD" w:rsidRPr="00E57628" w:rsidRDefault="00CE70CC" w:rsidP="00F11C0F">
            <w:pPr>
              <w:pStyle w:val="Tabletext"/>
            </w:pPr>
            <w:r w:rsidRPr="00E57628">
              <w:t>Dupilumab</w:t>
            </w:r>
            <w:r w:rsidR="00EE22CD" w:rsidRPr="00E57628">
              <w:t xml:space="preserve"> 300mg/2mL</w:t>
            </w:r>
          </w:p>
          <w:p w14:paraId="339C11B5" w14:textId="77777777" w:rsidR="00EE22CD" w:rsidRPr="00E57628" w:rsidRDefault="00EE22CD" w:rsidP="00F11C0F">
            <w:pPr>
              <w:pStyle w:val="Tabletext"/>
            </w:pPr>
            <w:r w:rsidRPr="00E57628">
              <w:t>2 x 2mL pre-filled syringe</w:t>
            </w:r>
          </w:p>
        </w:tc>
        <w:tc>
          <w:tcPr>
            <w:tcW w:w="537" w:type="pct"/>
            <w:gridSpan w:val="2"/>
            <w:tcBorders>
              <w:bottom w:val="single" w:sz="4" w:space="0" w:color="808080" w:themeColor="background1" w:themeShade="80"/>
            </w:tcBorders>
          </w:tcPr>
          <w:p w14:paraId="0560239A" w14:textId="77777777" w:rsidR="00EE22CD" w:rsidRPr="00E57628" w:rsidRDefault="00EE22CD" w:rsidP="00F11C0F">
            <w:pPr>
              <w:pStyle w:val="Tabletext"/>
            </w:pPr>
            <w:r w:rsidRPr="00E57628">
              <w:t>1</w:t>
            </w:r>
          </w:p>
        </w:tc>
        <w:tc>
          <w:tcPr>
            <w:tcW w:w="535" w:type="pct"/>
            <w:gridSpan w:val="2"/>
            <w:tcBorders>
              <w:bottom w:val="single" w:sz="4" w:space="0" w:color="808080" w:themeColor="background1" w:themeShade="80"/>
            </w:tcBorders>
          </w:tcPr>
          <w:p w14:paraId="54426C10" w14:textId="77777777" w:rsidR="00EE22CD" w:rsidRPr="00E57628" w:rsidRDefault="00EE22CD" w:rsidP="00F11C0F">
            <w:pPr>
              <w:pStyle w:val="Tabletext"/>
            </w:pPr>
            <w:r w:rsidRPr="00E57628">
              <w:t>2</w:t>
            </w:r>
          </w:p>
        </w:tc>
        <w:tc>
          <w:tcPr>
            <w:tcW w:w="765" w:type="pct"/>
            <w:gridSpan w:val="2"/>
            <w:tcBorders>
              <w:bottom w:val="single" w:sz="4" w:space="0" w:color="808080" w:themeColor="background1" w:themeShade="80"/>
            </w:tcBorders>
          </w:tcPr>
          <w:p w14:paraId="53542EF5" w14:textId="588EEA8C" w:rsidR="00EE22CD" w:rsidRPr="00E57628" w:rsidRDefault="00E93BD0" w:rsidP="00F11C0F">
            <w:pPr>
              <w:pStyle w:val="Tabletext"/>
              <w:rPr>
                <w:rFonts w:eastAsiaTheme="majorEastAsia"/>
              </w:rPr>
            </w:pPr>
            <w:r w:rsidRPr="00E57628">
              <w:rPr>
                <w:rFonts w:eastAsiaTheme="majorEastAsia"/>
              </w:rPr>
              <w:t>3 (initial)</w:t>
            </w:r>
          </w:p>
          <w:p w14:paraId="13388698" w14:textId="43AB12A7" w:rsidR="00E93BD0" w:rsidRPr="00E57628" w:rsidRDefault="00E93BD0" w:rsidP="00F11C0F">
            <w:pPr>
              <w:pStyle w:val="Tabletext"/>
              <w:rPr>
                <w:rFonts w:eastAsiaTheme="majorEastAsia"/>
              </w:rPr>
            </w:pPr>
            <w:r w:rsidRPr="00E57628">
              <w:rPr>
                <w:rFonts w:eastAsiaTheme="majorEastAsia"/>
              </w:rPr>
              <w:t>2 (continuing, grandfather)</w:t>
            </w:r>
          </w:p>
        </w:tc>
        <w:tc>
          <w:tcPr>
            <w:tcW w:w="919" w:type="pct"/>
            <w:tcBorders>
              <w:bottom w:val="single" w:sz="4" w:space="0" w:color="808080" w:themeColor="background1" w:themeShade="80"/>
            </w:tcBorders>
          </w:tcPr>
          <w:p w14:paraId="7A903474" w14:textId="497A9359" w:rsidR="00EE22CD" w:rsidRPr="00E57628" w:rsidRDefault="00EE22CD" w:rsidP="00F11C0F">
            <w:pPr>
              <w:pStyle w:val="Tabletext"/>
            </w:pPr>
            <w:r w:rsidRPr="00E57628">
              <w:t>$3,380.91 (published)</w:t>
            </w:r>
            <w:r w:rsidRPr="00E57628">
              <w:br/>
              <w:t>$</w:t>
            </w:r>
            <w:r w:rsidR="00B85535" w:rsidRPr="00831D6B">
              <w:rPr>
                <w:color w:val="000000"/>
                <w:spacing w:val="53"/>
                <w:shd w:val="solid" w:color="000000" w:fill="000000"/>
                <w:fitText w:val="330" w:id="-1500860416"/>
                <w14:textFill>
                  <w14:solidFill>
                    <w14:srgbClr w14:val="000000">
                      <w14:alpha w14:val="100000"/>
                    </w14:srgbClr>
                  </w14:solidFill>
                </w14:textFill>
              </w:rPr>
              <w:t>|||</w:t>
            </w:r>
            <w:r w:rsidR="00B85535" w:rsidRPr="00831D6B">
              <w:rPr>
                <w:color w:val="000000"/>
                <w:spacing w:val="1"/>
                <w:shd w:val="solid" w:color="000000" w:fill="000000"/>
                <w:fitText w:val="330" w:id="-1500860416"/>
                <w14:textFill>
                  <w14:solidFill>
                    <w14:srgbClr w14:val="000000">
                      <w14:alpha w14:val="100000"/>
                    </w14:srgbClr>
                  </w14:solidFill>
                </w14:textFill>
              </w:rPr>
              <w:t>|</w:t>
            </w:r>
            <w:r w:rsidRPr="00E57628">
              <w:t xml:space="preserve"> (effective)</w:t>
            </w:r>
          </w:p>
        </w:tc>
        <w:tc>
          <w:tcPr>
            <w:tcW w:w="842" w:type="pct"/>
            <w:gridSpan w:val="2"/>
            <w:tcBorders>
              <w:bottom w:val="single" w:sz="4" w:space="0" w:color="808080" w:themeColor="background1" w:themeShade="80"/>
            </w:tcBorders>
          </w:tcPr>
          <w:p w14:paraId="09395209" w14:textId="77777777" w:rsidR="00EE22CD" w:rsidRPr="00E57628" w:rsidRDefault="00EE22CD" w:rsidP="00F11C0F">
            <w:pPr>
              <w:pStyle w:val="Tabletext"/>
              <w:rPr>
                <w:vertAlign w:val="superscript"/>
              </w:rPr>
            </w:pPr>
            <w:r w:rsidRPr="00E57628">
              <w:t>Dupixent</w:t>
            </w:r>
            <w:r w:rsidRPr="00E57628">
              <w:rPr>
                <w:vertAlign w:val="superscript"/>
              </w:rPr>
              <w:t>®</w:t>
            </w:r>
          </w:p>
          <w:p w14:paraId="770CDB8A" w14:textId="68B8B6FF" w:rsidR="00EE22CD" w:rsidRPr="00E57628" w:rsidRDefault="00EE22CD" w:rsidP="00F11C0F">
            <w:pPr>
              <w:pStyle w:val="Tabletext"/>
            </w:pPr>
            <w:r w:rsidRPr="00E57628">
              <w:t>Sanofi-</w:t>
            </w:r>
            <w:r w:rsidR="00727889" w:rsidRPr="00E57628">
              <w:t>A</w:t>
            </w:r>
            <w:r w:rsidRPr="00E57628">
              <w:t>ventis</w:t>
            </w:r>
          </w:p>
        </w:tc>
      </w:tr>
      <w:tr w:rsidR="00A1453B" w:rsidRPr="00E57628" w14:paraId="24A010D0" w14:textId="77777777" w:rsidTr="00B51335">
        <w:trPr>
          <w:gridAfter w:val="1"/>
          <w:wAfter w:w="177" w:type="pct"/>
        </w:trPr>
        <w:tc>
          <w:tcPr>
            <w:tcW w:w="4823" w:type="pct"/>
            <w:gridSpan w:val="11"/>
            <w:tcBorders>
              <w:top w:val="single" w:sz="4" w:space="0" w:color="808080" w:themeColor="background1" w:themeShade="80"/>
              <w:bottom w:val="single" w:sz="4" w:space="0" w:color="808080" w:themeColor="background1" w:themeShade="80"/>
            </w:tcBorders>
          </w:tcPr>
          <w:p w14:paraId="6CD55A29" w14:textId="47EBBAF5" w:rsidR="00EE22CD" w:rsidRPr="00E57628" w:rsidRDefault="00EE22CD" w:rsidP="00E840F9">
            <w:pPr>
              <w:pStyle w:val="TableText0"/>
              <w:rPr>
                <w:b/>
                <w:bCs w:val="0"/>
                <w:szCs w:val="20"/>
              </w:rPr>
            </w:pPr>
            <w:r w:rsidRPr="00E57628">
              <w:rPr>
                <w:b/>
                <w:iCs/>
                <w:szCs w:val="20"/>
              </w:rPr>
              <w:t>30kg to &lt;60kg 200mg Q2W</w:t>
            </w:r>
          </w:p>
        </w:tc>
      </w:tr>
      <w:tr w:rsidR="00733801" w:rsidRPr="00E57628" w14:paraId="093583C8" w14:textId="77777777" w:rsidTr="00B51335">
        <w:trPr>
          <w:gridAfter w:val="1"/>
          <w:wAfter w:w="177" w:type="pct"/>
        </w:trPr>
        <w:tc>
          <w:tcPr>
            <w:tcW w:w="1225" w:type="pct"/>
            <w:gridSpan w:val="2"/>
            <w:tcBorders>
              <w:top w:val="single" w:sz="4" w:space="0" w:color="808080" w:themeColor="background1" w:themeShade="80"/>
              <w:bottom w:val="single" w:sz="4" w:space="0" w:color="808080" w:themeColor="background1" w:themeShade="80"/>
              <w:right w:val="nil"/>
            </w:tcBorders>
          </w:tcPr>
          <w:p w14:paraId="64E61259" w14:textId="77777777" w:rsidR="00EE22CD" w:rsidRPr="00E57628" w:rsidRDefault="00EE22CD" w:rsidP="00F11C0F">
            <w:pPr>
              <w:pStyle w:val="Tabletext"/>
            </w:pPr>
            <w:r w:rsidRPr="00E57628">
              <w:t>DUPILUMAB</w:t>
            </w:r>
          </w:p>
          <w:p w14:paraId="695ACC14" w14:textId="3132EBB1" w:rsidR="00EE22CD" w:rsidRPr="00E57628" w:rsidRDefault="00CE70CC" w:rsidP="00F11C0F">
            <w:pPr>
              <w:pStyle w:val="Tabletext"/>
            </w:pPr>
            <w:r w:rsidRPr="00E57628">
              <w:t>Dupilumab</w:t>
            </w:r>
            <w:r w:rsidR="00EE22CD" w:rsidRPr="00E57628">
              <w:t xml:space="preserve"> 200mg/1.14mL</w:t>
            </w:r>
          </w:p>
          <w:p w14:paraId="5B53FCBF" w14:textId="77777777" w:rsidR="00EE22CD" w:rsidRPr="00E57628" w:rsidRDefault="00EE22CD" w:rsidP="00F11C0F">
            <w:pPr>
              <w:pStyle w:val="Tabletext"/>
            </w:pPr>
            <w:r w:rsidRPr="00E57628">
              <w:t>2 x 1.14mL pre-filled syringe</w:t>
            </w:r>
          </w:p>
        </w:tc>
        <w:tc>
          <w:tcPr>
            <w:tcW w:w="537" w:type="pct"/>
            <w:gridSpan w:val="2"/>
            <w:tcBorders>
              <w:top w:val="single" w:sz="4" w:space="0" w:color="808080" w:themeColor="background1" w:themeShade="80"/>
              <w:left w:val="nil"/>
              <w:bottom w:val="single" w:sz="4" w:space="0" w:color="808080" w:themeColor="background1" w:themeShade="80"/>
              <w:right w:val="nil"/>
            </w:tcBorders>
            <w:vAlign w:val="center"/>
          </w:tcPr>
          <w:p w14:paraId="4014114A" w14:textId="77777777" w:rsidR="00EE22CD" w:rsidRPr="00E57628" w:rsidRDefault="00EE22CD" w:rsidP="00F11C0F">
            <w:pPr>
              <w:pStyle w:val="Tabletext"/>
            </w:pPr>
            <w:r w:rsidRPr="00E57628">
              <w:t>1</w:t>
            </w:r>
          </w:p>
        </w:tc>
        <w:tc>
          <w:tcPr>
            <w:tcW w:w="535" w:type="pct"/>
            <w:gridSpan w:val="2"/>
            <w:tcBorders>
              <w:top w:val="single" w:sz="4" w:space="0" w:color="808080" w:themeColor="background1" w:themeShade="80"/>
              <w:left w:val="nil"/>
              <w:bottom w:val="single" w:sz="4" w:space="0" w:color="808080" w:themeColor="background1" w:themeShade="80"/>
              <w:right w:val="nil"/>
            </w:tcBorders>
            <w:vAlign w:val="center"/>
          </w:tcPr>
          <w:p w14:paraId="5CE81EEB" w14:textId="77777777" w:rsidR="00EE22CD" w:rsidRPr="00E57628" w:rsidRDefault="00EE22CD" w:rsidP="00F11C0F">
            <w:pPr>
              <w:pStyle w:val="Tabletext"/>
              <w:rPr>
                <w:rFonts w:eastAsiaTheme="majorEastAsia"/>
              </w:rPr>
            </w:pPr>
            <w:r w:rsidRPr="00E57628">
              <w:rPr>
                <w:rFonts w:eastAsiaTheme="majorEastAsia"/>
              </w:rPr>
              <w:t>2</w:t>
            </w:r>
          </w:p>
        </w:tc>
        <w:tc>
          <w:tcPr>
            <w:tcW w:w="765" w:type="pct"/>
            <w:gridSpan w:val="2"/>
            <w:tcBorders>
              <w:top w:val="single" w:sz="4" w:space="0" w:color="808080" w:themeColor="background1" w:themeShade="80"/>
              <w:left w:val="nil"/>
              <w:bottom w:val="single" w:sz="4" w:space="0" w:color="808080" w:themeColor="background1" w:themeShade="80"/>
              <w:right w:val="nil"/>
            </w:tcBorders>
            <w:vAlign w:val="center"/>
          </w:tcPr>
          <w:p w14:paraId="4FF711CF" w14:textId="39703294" w:rsidR="00E93BD0" w:rsidRPr="00E57628" w:rsidRDefault="00E93BD0" w:rsidP="00F11C0F">
            <w:pPr>
              <w:pStyle w:val="Tabletext"/>
              <w:rPr>
                <w:rFonts w:eastAsiaTheme="majorEastAsia"/>
              </w:rPr>
            </w:pPr>
            <w:r w:rsidRPr="00E57628">
              <w:rPr>
                <w:rFonts w:eastAsiaTheme="majorEastAsia"/>
              </w:rPr>
              <w:t>5 (initial, continuing, grandfather)</w:t>
            </w:r>
          </w:p>
        </w:tc>
        <w:tc>
          <w:tcPr>
            <w:tcW w:w="919" w:type="pct"/>
            <w:tcBorders>
              <w:top w:val="single" w:sz="4" w:space="0" w:color="808080" w:themeColor="background1" w:themeShade="80"/>
              <w:left w:val="nil"/>
              <w:bottom w:val="single" w:sz="4" w:space="0" w:color="808080" w:themeColor="background1" w:themeShade="80"/>
              <w:right w:val="nil"/>
            </w:tcBorders>
            <w:vAlign w:val="center"/>
          </w:tcPr>
          <w:p w14:paraId="48E5EAB1" w14:textId="4687972F" w:rsidR="00727889" w:rsidRPr="00E57628" w:rsidRDefault="00EE22CD" w:rsidP="00F11C0F">
            <w:pPr>
              <w:pStyle w:val="Tabletext"/>
            </w:pPr>
            <w:r w:rsidRPr="00E57628">
              <w:t>$1,754.28 (published)</w:t>
            </w:r>
            <w:r w:rsidRPr="00E57628">
              <w:br/>
              <w:t>$</w:t>
            </w:r>
            <w:r w:rsidR="00B85535" w:rsidRPr="00831D6B">
              <w:rPr>
                <w:color w:val="000000"/>
                <w:spacing w:val="53"/>
                <w:shd w:val="solid" w:color="000000" w:fill="000000"/>
                <w:fitText w:val="330" w:id="-1500860415"/>
                <w14:textFill>
                  <w14:solidFill>
                    <w14:srgbClr w14:val="000000">
                      <w14:alpha w14:val="100000"/>
                    </w14:srgbClr>
                  </w14:solidFill>
                </w14:textFill>
              </w:rPr>
              <w:t>|||</w:t>
            </w:r>
            <w:r w:rsidR="00B85535" w:rsidRPr="00831D6B">
              <w:rPr>
                <w:color w:val="000000"/>
                <w:spacing w:val="1"/>
                <w:shd w:val="solid" w:color="000000" w:fill="000000"/>
                <w:fitText w:val="330" w:id="-1500860415"/>
                <w14:textFill>
                  <w14:solidFill>
                    <w14:srgbClr w14:val="000000">
                      <w14:alpha w14:val="100000"/>
                    </w14:srgbClr>
                  </w14:solidFill>
                </w14:textFill>
              </w:rPr>
              <w:t>|</w:t>
            </w:r>
            <w:r w:rsidRPr="00E57628">
              <w:t xml:space="preserve"> </w:t>
            </w:r>
          </w:p>
          <w:p w14:paraId="54731661" w14:textId="526D5F18" w:rsidR="00EE22CD" w:rsidRPr="00E57628" w:rsidRDefault="00EE22CD" w:rsidP="00F11C0F">
            <w:pPr>
              <w:pStyle w:val="Tabletext"/>
            </w:pPr>
            <w:r w:rsidRPr="00E57628">
              <w:t>(effective)</w:t>
            </w:r>
          </w:p>
        </w:tc>
        <w:tc>
          <w:tcPr>
            <w:tcW w:w="842" w:type="pct"/>
            <w:gridSpan w:val="2"/>
            <w:tcBorders>
              <w:top w:val="single" w:sz="4" w:space="0" w:color="808080" w:themeColor="background1" w:themeShade="80"/>
              <w:left w:val="nil"/>
              <w:bottom w:val="single" w:sz="4" w:space="0" w:color="808080" w:themeColor="background1" w:themeShade="80"/>
            </w:tcBorders>
            <w:vAlign w:val="center"/>
          </w:tcPr>
          <w:p w14:paraId="5E2E5B75" w14:textId="77777777" w:rsidR="00EE22CD" w:rsidRPr="00E57628" w:rsidRDefault="00EE22CD" w:rsidP="00F11C0F">
            <w:pPr>
              <w:pStyle w:val="Tabletext"/>
            </w:pPr>
            <w:r w:rsidRPr="00E57628">
              <w:t>Dupixent®</w:t>
            </w:r>
          </w:p>
          <w:p w14:paraId="337777A3" w14:textId="7422DC76" w:rsidR="00EE22CD" w:rsidRPr="00E57628" w:rsidRDefault="00EE22CD" w:rsidP="00F11C0F">
            <w:pPr>
              <w:pStyle w:val="Tabletext"/>
            </w:pPr>
            <w:r w:rsidRPr="00E57628">
              <w:t>Sanofi-</w:t>
            </w:r>
            <w:r w:rsidR="00727889" w:rsidRPr="00E57628">
              <w:t>A</w:t>
            </w:r>
            <w:r w:rsidRPr="00E57628">
              <w:t>ventis</w:t>
            </w:r>
          </w:p>
        </w:tc>
      </w:tr>
      <w:tr w:rsidR="00B51335" w:rsidRPr="00B51335" w14:paraId="67723D64" w14:textId="77777777" w:rsidTr="00B51335">
        <w:tc>
          <w:tcPr>
            <w:tcW w:w="5000" w:type="pct"/>
            <w:gridSpan w:val="12"/>
            <w:tcBorders>
              <w:top w:val="single" w:sz="4" w:space="0" w:color="808080" w:themeColor="background1" w:themeShade="80"/>
              <w:bottom w:val="single" w:sz="4" w:space="0" w:color="808080" w:themeColor="background1" w:themeShade="80"/>
            </w:tcBorders>
          </w:tcPr>
          <w:p w14:paraId="5959DCA3" w14:textId="4B246C93" w:rsidR="00B51335" w:rsidRPr="00B51335" w:rsidRDefault="00B51335" w:rsidP="003C7770">
            <w:pPr>
              <w:pStyle w:val="TableText0"/>
              <w:rPr>
                <w:b/>
                <w:bCs w:val="0"/>
                <w:szCs w:val="20"/>
              </w:rPr>
            </w:pPr>
            <w:r w:rsidRPr="00B51335">
              <w:rPr>
                <w:b/>
                <w:bCs w:val="0"/>
                <w:iCs/>
                <w:szCs w:val="20"/>
              </w:rPr>
              <w:t>≥60kg 300mg Q2W</w:t>
            </w:r>
          </w:p>
        </w:tc>
      </w:tr>
      <w:tr w:rsidR="00B51335" w:rsidRPr="00E57628" w14:paraId="6CC1B43B" w14:textId="77777777" w:rsidTr="00B51335">
        <w:tc>
          <w:tcPr>
            <w:tcW w:w="1270" w:type="pct"/>
            <w:gridSpan w:val="3"/>
            <w:tcBorders>
              <w:top w:val="single" w:sz="4" w:space="0" w:color="808080" w:themeColor="background1" w:themeShade="80"/>
              <w:bottom w:val="single" w:sz="4" w:space="0" w:color="808080" w:themeColor="background1" w:themeShade="80"/>
              <w:right w:val="nil"/>
            </w:tcBorders>
          </w:tcPr>
          <w:p w14:paraId="24AA1FEA" w14:textId="77777777" w:rsidR="00B51335" w:rsidRPr="00E57628" w:rsidRDefault="00B51335" w:rsidP="003C7770">
            <w:pPr>
              <w:pStyle w:val="Tabletext"/>
            </w:pPr>
            <w:r w:rsidRPr="00E57628">
              <w:t>DUPILUMAB</w:t>
            </w:r>
          </w:p>
          <w:p w14:paraId="2D970DC7" w14:textId="4DA18B6B" w:rsidR="00B51335" w:rsidRPr="00E57628" w:rsidRDefault="00B51335" w:rsidP="003C7770">
            <w:pPr>
              <w:pStyle w:val="Tabletext"/>
            </w:pPr>
            <w:r w:rsidRPr="00E57628">
              <w:t xml:space="preserve">Dupilumab </w:t>
            </w:r>
            <w:r>
              <w:t>3</w:t>
            </w:r>
            <w:r w:rsidRPr="00E57628">
              <w:t>00mg/</w:t>
            </w:r>
            <w:r>
              <w:t>2</w:t>
            </w:r>
            <w:r w:rsidRPr="00E57628">
              <w:t>mL</w:t>
            </w:r>
          </w:p>
          <w:p w14:paraId="16F866DC" w14:textId="06F08B9B" w:rsidR="00B51335" w:rsidRPr="00E57628" w:rsidRDefault="00B51335" w:rsidP="003C7770">
            <w:pPr>
              <w:pStyle w:val="Tabletext"/>
            </w:pPr>
            <w:r w:rsidRPr="00E57628">
              <w:t xml:space="preserve">2 x </w:t>
            </w:r>
            <w:r>
              <w:t>2</w:t>
            </w:r>
            <w:r w:rsidRPr="00E57628">
              <w:t>mL pre-filled syringe</w:t>
            </w:r>
          </w:p>
        </w:tc>
        <w:tc>
          <w:tcPr>
            <w:tcW w:w="556" w:type="pct"/>
            <w:gridSpan w:val="2"/>
            <w:tcBorders>
              <w:top w:val="single" w:sz="4" w:space="0" w:color="808080" w:themeColor="background1" w:themeShade="80"/>
              <w:left w:val="nil"/>
              <w:bottom w:val="single" w:sz="4" w:space="0" w:color="808080" w:themeColor="background1" w:themeShade="80"/>
              <w:right w:val="nil"/>
            </w:tcBorders>
            <w:vAlign w:val="center"/>
          </w:tcPr>
          <w:p w14:paraId="528EB80C" w14:textId="77777777" w:rsidR="00B51335" w:rsidRPr="00E57628" w:rsidRDefault="00B51335" w:rsidP="003C7770">
            <w:pPr>
              <w:pStyle w:val="Tabletext"/>
            </w:pPr>
            <w:r w:rsidRPr="00E57628">
              <w:t>1</w:t>
            </w:r>
          </w:p>
        </w:tc>
        <w:tc>
          <w:tcPr>
            <w:tcW w:w="555" w:type="pct"/>
            <w:gridSpan w:val="2"/>
            <w:tcBorders>
              <w:top w:val="single" w:sz="4" w:space="0" w:color="808080" w:themeColor="background1" w:themeShade="80"/>
              <w:left w:val="nil"/>
              <w:bottom w:val="single" w:sz="4" w:space="0" w:color="808080" w:themeColor="background1" w:themeShade="80"/>
              <w:right w:val="nil"/>
            </w:tcBorders>
            <w:vAlign w:val="center"/>
          </w:tcPr>
          <w:p w14:paraId="4837920E" w14:textId="77777777" w:rsidR="00B51335" w:rsidRPr="00E57628" w:rsidRDefault="00B51335" w:rsidP="003C7770">
            <w:pPr>
              <w:pStyle w:val="Tabletext"/>
              <w:rPr>
                <w:rFonts w:eastAsiaTheme="majorEastAsia"/>
              </w:rPr>
            </w:pPr>
            <w:r w:rsidRPr="00E57628">
              <w:rPr>
                <w:rFonts w:eastAsiaTheme="majorEastAsia"/>
              </w:rPr>
              <w:t>2</w:t>
            </w:r>
          </w:p>
        </w:tc>
        <w:tc>
          <w:tcPr>
            <w:tcW w:w="681" w:type="pct"/>
            <w:tcBorders>
              <w:top w:val="single" w:sz="4" w:space="0" w:color="808080" w:themeColor="background1" w:themeShade="80"/>
              <w:left w:val="nil"/>
              <w:bottom w:val="single" w:sz="4" w:space="0" w:color="808080" w:themeColor="background1" w:themeShade="80"/>
              <w:right w:val="nil"/>
            </w:tcBorders>
            <w:vAlign w:val="center"/>
          </w:tcPr>
          <w:p w14:paraId="16EAF9EE" w14:textId="77777777" w:rsidR="00B51335" w:rsidRPr="00E57628" w:rsidRDefault="00B51335" w:rsidP="003C7770">
            <w:pPr>
              <w:pStyle w:val="Tabletext"/>
              <w:rPr>
                <w:rFonts w:eastAsiaTheme="majorEastAsia"/>
              </w:rPr>
            </w:pPr>
            <w:r w:rsidRPr="00E57628">
              <w:rPr>
                <w:rFonts w:eastAsiaTheme="majorEastAsia"/>
              </w:rPr>
              <w:t>5 (initial, continuing, grandfather)</w:t>
            </w:r>
          </w:p>
        </w:tc>
        <w:tc>
          <w:tcPr>
            <w:tcW w:w="943" w:type="pct"/>
            <w:gridSpan w:val="2"/>
            <w:tcBorders>
              <w:top w:val="single" w:sz="4" w:space="0" w:color="808080" w:themeColor="background1" w:themeShade="80"/>
              <w:left w:val="nil"/>
              <w:bottom w:val="single" w:sz="4" w:space="0" w:color="808080" w:themeColor="background1" w:themeShade="80"/>
              <w:right w:val="nil"/>
            </w:tcBorders>
            <w:vAlign w:val="center"/>
          </w:tcPr>
          <w:p w14:paraId="63999D69" w14:textId="20F144AC" w:rsidR="00B51335" w:rsidRPr="00E57628" w:rsidRDefault="00B51335" w:rsidP="00B51335">
            <w:pPr>
              <w:pStyle w:val="Tabletext"/>
            </w:pPr>
            <w:r w:rsidRPr="00E57628">
              <w:t>$1,754.28 (published)</w:t>
            </w:r>
            <w:r w:rsidRPr="00E57628">
              <w:br/>
              <w:t>$</w:t>
            </w:r>
            <w:r w:rsidR="00B85535" w:rsidRPr="00831D6B">
              <w:rPr>
                <w:color w:val="000000"/>
                <w:spacing w:val="53"/>
                <w:shd w:val="solid" w:color="000000" w:fill="000000"/>
                <w:fitText w:val="330" w:id="-1500860414"/>
                <w14:textFill>
                  <w14:solidFill>
                    <w14:srgbClr w14:val="000000">
                      <w14:alpha w14:val="100000"/>
                    </w14:srgbClr>
                  </w14:solidFill>
                </w14:textFill>
              </w:rPr>
              <w:t>|||</w:t>
            </w:r>
            <w:r w:rsidR="00B85535" w:rsidRPr="00831D6B">
              <w:rPr>
                <w:color w:val="000000"/>
                <w:spacing w:val="1"/>
                <w:shd w:val="solid" w:color="000000" w:fill="000000"/>
                <w:fitText w:val="330" w:id="-1500860414"/>
                <w14:textFill>
                  <w14:solidFill>
                    <w14:srgbClr w14:val="000000">
                      <w14:alpha w14:val="100000"/>
                    </w14:srgbClr>
                  </w14:solidFill>
                </w14:textFill>
              </w:rPr>
              <w:t>|</w:t>
            </w:r>
            <w:r w:rsidRPr="00E57628">
              <w:t xml:space="preserve"> </w:t>
            </w:r>
          </w:p>
          <w:p w14:paraId="6BE29054" w14:textId="1738A2A8" w:rsidR="00B51335" w:rsidRPr="00E57628" w:rsidRDefault="00B51335" w:rsidP="00B51335">
            <w:pPr>
              <w:pStyle w:val="Tabletext"/>
            </w:pPr>
            <w:r w:rsidRPr="00E57628">
              <w:t>(effective)</w:t>
            </w:r>
          </w:p>
        </w:tc>
        <w:tc>
          <w:tcPr>
            <w:tcW w:w="995" w:type="pct"/>
            <w:gridSpan w:val="2"/>
            <w:tcBorders>
              <w:top w:val="single" w:sz="4" w:space="0" w:color="808080" w:themeColor="background1" w:themeShade="80"/>
              <w:left w:val="nil"/>
              <w:bottom w:val="single" w:sz="4" w:space="0" w:color="808080" w:themeColor="background1" w:themeShade="80"/>
            </w:tcBorders>
            <w:vAlign w:val="center"/>
          </w:tcPr>
          <w:p w14:paraId="6DC7CC1E" w14:textId="77777777" w:rsidR="00B51335" w:rsidRPr="00E57628" w:rsidRDefault="00B51335" w:rsidP="003C7770">
            <w:pPr>
              <w:pStyle w:val="Tabletext"/>
            </w:pPr>
            <w:r w:rsidRPr="00E57628">
              <w:t>Dupixent®</w:t>
            </w:r>
          </w:p>
          <w:p w14:paraId="24EE806E" w14:textId="77777777" w:rsidR="00B51335" w:rsidRPr="00E57628" w:rsidRDefault="00B51335" w:rsidP="003C7770">
            <w:pPr>
              <w:pStyle w:val="Tabletext"/>
            </w:pPr>
            <w:r w:rsidRPr="00E57628">
              <w:t>Sanofi-Aventis</w:t>
            </w:r>
          </w:p>
        </w:tc>
      </w:tr>
      <w:tr w:rsidR="00B51335" w:rsidRPr="00E57628" w14:paraId="37AE1B67" w14:textId="77777777" w:rsidTr="00B51335">
        <w:tc>
          <w:tcPr>
            <w:tcW w:w="1270" w:type="pct"/>
            <w:gridSpan w:val="3"/>
            <w:tcBorders>
              <w:top w:val="single" w:sz="4" w:space="0" w:color="808080" w:themeColor="background1" w:themeShade="80"/>
              <w:bottom w:val="single" w:sz="4" w:space="0" w:color="808080" w:themeColor="background1" w:themeShade="80"/>
              <w:right w:val="nil"/>
            </w:tcBorders>
          </w:tcPr>
          <w:p w14:paraId="2246D59F" w14:textId="77777777" w:rsidR="00B51335" w:rsidRPr="00E57628" w:rsidRDefault="00B51335" w:rsidP="003C7770">
            <w:pPr>
              <w:pStyle w:val="Tabletext"/>
            </w:pPr>
          </w:p>
        </w:tc>
        <w:tc>
          <w:tcPr>
            <w:tcW w:w="556" w:type="pct"/>
            <w:gridSpan w:val="2"/>
            <w:tcBorders>
              <w:top w:val="single" w:sz="4" w:space="0" w:color="808080" w:themeColor="background1" w:themeShade="80"/>
              <w:left w:val="nil"/>
              <w:bottom w:val="single" w:sz="4" w:space="0" w:color="808080" w:themeColor="background1" w:themeShade="80"/>
              <w:right w:val="nil"/>
            </w:tcBorders>
            <w:vAlign w:val="center"/>
          </w:tcPr>
          <w:p w14:paraId="127DEF82" w14:textId="77777777" w:rsidR="00B51335" w:rsidRPr="00E57628" w:rsidRDefault="00B51335" w:rsidP="003C7770">
            <w:pPr>
              <w:pStyle w:val="Tabletext"/>
            </w:pPr>
          </w:p>
        </w:tc>
        <w:tc>
          <w:tcPr>
            <w:tcW w:w="555" w:type="pct"/>
            <w:gridSpan w:val="2"/>
            <w:tcBorders>
              <w:top w:val="single" w:sz="4" w:space="0" w:color="808080" w:themeColor="background1" w:themeShade="80"/>
              <w:left w:val="nil"/>
              <w:bottom w:val="single" w:sz="4" w:space="0" w:color="808080" w:themeColor="background1" w:themeShade="80"/>
              <w:right w:val="nil"/>
            </w:tcBorders>
            <w:vAlign w:val="center"/>
          </w:tcPr>
          <w:p w14:paraId="045A114B" w14:textId="77777777" w:rsidR="00B51335" w:rsidRPr="00E57628" w:rsidRDefault="00B51335" w:rsidP="003C7770">
            <w:pPr>
              <w:pStyle w:val="Tabletext"/>
              <w:rPr>
                <w:rFonts w:eastAsiaTheme="majorEastAsia"/>
              </w:rPr>
            </w:pPr>
          </w:p>
        </w:tc>
        <w:tc>
          <w:tcPr>
            <w:tcW w:w="681" w:type="pct"/>
            <w:tcBorders>
              <w:top w:val="single" w:sz="4" w:space="0" w:color="808080" w:themeColor="background1" w:themeShade="80"/>
              <w:left w:val="nil"/>
              <w:bottom w:val="single" w:sz="4" w:space="0" w:color="808080" w:themeColor="background1" w:themeShade="80"/>
              <w:right w:val="nil"/>
            </w:tcBorders>
            <w:vAlign w:val="center"/>
          </w:tcPr>
          <w:p w14:paraId="0E560D2B" w14:textId="77777777" w:rsidR="00B51335" w:rsidRPr="00E57628" w:rsidRDefault="00B51335" w:rsidP="003C7770">
            <w:pPr>
              <w:pStyle w:val="Tabletext"/>
              <w:rPr>
                <w:rFonts w:eastAsiaTheme="majorEastAsia"/>
              </w:rPr>
            </w:pPr>
          </w:p>
        </w:tc>
        <w:tc>
          <w:tcPr>
            <w:tcW w:w="943" w:type="pct"/>
            <w:gridSpan w:val="2"/>
            <w:tcBorders>
              <w:top w:val="single" w:sz="4" w:space="0" w:color="808080" w:themeColor="background1" w:themeShade="80"/>
              <w:left w:val="nil"/>
              <w:bottom w:val="single" w:sz="4" w:space="0" w:color="808080" w:themeColor="background1" w:themeShade="80"/>
              <w:right w:val="nil"/>
            </w:tcBorders>
            <w:vAlign w:val="center"/>
          </w:tcPr>
          <w:p w14:paraId="1643D076" w14:textId="77777777" w:rsidR="00B51335" w:rsidRPr="00E57628" w:rsidRDefault="00B51335" w:rsidP="003C7770">
            <w:pPr>
              <w:pStyle w:val="Tabletext"/>
            </w:pPr>
          </w:p>
        </w:tc>
        <w:tc>
          <w:tcPr>
            <w:tcW w:w="995" w:type="pct"/>
            <w:gridSpan w:val="2"/>
            <w:tcBorders>
              <w:top w:val="single" w:sz="4" w:space="0" w:color="808080" w:themeColor="background1" w:themeShade="80"/>
              <w:left w:val="nil"/>
              <w:bottom w:val="single" w:sz="4" w:space="0" w:color="808080" w:themeColor="background1" w:themeShade="80"/>
            </w:tcBorders>
            <w:vAlign w:val="center"/>
          </w:tcPr>
          <w:p w14:paraId="42A10E4B" w14:textId="77777777" w:rsidR="00B51335" w:rsidRPr="00E57628" w:rsidRDefault="00B51335" w:rsidP="003C7770">
            <w:pPr>
              <w:pStyle w:val="Tabletext"/>
            </w:pPr>
          </w:p>
        </w:tc>
      </w:tr>
      <w:tr w:rsidR="00F52637" w:rsidRPr="00E57628" w14:paraId="2AE7C3E1" w14:textId="77777777" w:rsidTr="00E84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936" w:type="pct"/>
            <w:vAlign w:val="center"/>
          </w:tcPr>
          <w:p w14:paraId="268E1F86" w14:textId="77777777" w:rsidR="00F52637" w:rsidRPr="00E57628" w:rsidRDefault="00F52637" w:rsidP="00BD4A5D">
            <w:pPr>
              <w:pStyle w:val="TableText0"/>
              <w:keepLines/>
              <w:rPr>
                <w:b/>
                <w:bCs w:val="0"/>
                <w:szCs w:val="20"/>
              </w:rPr>
            </w:pPr>
            <w:r w:rsidRPr="00E57628">
              <w:rPr>
                <w:b/>
                <w:bCs w:val="0"/>
                <w:szCs w:val="20"/>
              </w:rPr>
              <w:t>Category / Program:</w:t>
            </w:r>
          </w:p>
        </w:tc>
        <w:tc>
          <w:tcPr>
            <w:tcW w:w="4064" w:type="pct"/>
            <w:gridSpan w:val="11"/>
          </w:tcPr>
          <w:p w14:paraId="355C2442" w14:textId="77777777" w:rsidR="00F52637" w:rsidRPr="00E57628" w:rsidRDefault="00F52637" w:rsidP="00BD4A5D">
            <w:pPr>
              <w:pStyle w:val="TableText0"/>
              <w:keepLines/>
              <w:rPr>
                <w:szCs w:val="20"/>
              </w:rPr>
            </w:pPr>
            <w:r w:rsidRPr="00E57628">
              <w:rPr>
                <w:szCs w:val="20"/>
              </w:rPr>
              <w:t>GENERAL – General Schedule (Code GE)</w:t>
            </w:r>
          </w:p>
        </w:tc>
      </w:tr>
      <w:tr w:rsidR="00F52637" w:rsidRPr="00E57628" w14:paraId="1E7056F8" w14:textId="77777777" w:rsidTr="00E84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936" w:type="pct"/>
            <w:vAlign w:val="center"/>
          </w:tcPr>
          <w:p w14:paraId="185268A8" w14:textId="77777777" w:rsidR="00F52637" w:rsidRPr="00E57628" w:rsidRDefault="00F52637" w:rsidP="00BD4A5D">
            <w:pPr>
              <w:pStyle w:val="TableText0"/>
              <w:keepLines/>
              <w:rPr>
                <w:szCs w:val="20"/>
              </w:rPr>
            </w:pPr>
            <w:r w:rsidRPr="00E57628">
              <w:rPr>
                <w:b/>
                <w:szCs w:val="20"/>
              </w:rPr>
              <w:t>Prescriber type:</w:t>
            </w:r>
          </w:p>
        </w:tc>
        <w:tc>
          <w:tcPr>
            <w:tcW w:w="4064" w:type="pct"/>
            <w:gridSpan w:val="11"/>
          </w:tcPr>
          <w:p w14:paraId="2C85A74F" w14:textId="063B0DC3" w:rsidR="00F52637" w:rsidRPr="00E57628" w:rsidRDefault="00F52637" w:rsidP="00BD4A5D">
            <w:pPr>
              <w:pStyle w:val="TableText0"/>
              <w:keepLines/>
              <w:rPr>
                <w:szCs w:val="20"/>
              </w:rPr>
            </w:pPr>
            <w:r w:rsidRPr="00E57628">
              <w:rPr>
                <w:rFonts w:cs="Arial"/>
                <w:szCs w:val="20"/>
              </w:rPr>
              <w:fldChar w:fldCharType="begin">
                <w:ffData>
                  <w:name w:val=""/>
                  <w:enabled/>
                  <w:calcOnExit w:val="0"/>
                  <w:checkBox>
                    <w:sizeAuto/>
                    <w:default w:val="1"/>
                  </w:checkBox>
                </w:ffData>
              </w:fldChar>
            </w:r>
            <w:r w:rsidRPr="00E57628">
              <w:rPr>
                <w:rFonts w:cs="Arial"/>
                <w:szCs w:val="20"/>
              </w:rPr>
              <w:instrText xml:space="preserve"> FORMCHECKBOX </w:instrText>
            </w:r>
            <w:r w:rsidR="00AA723C">
              <w:rPr>
                <w:rFonts w:cs="Arial"/>
                <w:szCs w:val="20"/>
              </w:rPr>
            </w:r>
            <w:r w:rsidR="00AA723C">
              <w:rPr>
                <w:rFonts w:cs="Arial"/>
                <w:szCs w:val="20"/>
              </w:rPr>
              <w:fldChar w:fldCharType="separate"/>
            </w:r>
            <w:r w:rsidRPr="00E57628">
              <w:rPr>
                <w:rFonts w:cs="Arial"/>
                <w:szCs w:val="20"/>
              </w:rPr>
              <w:fldChar w:fldCharType="end"/>
            </w:r>
            <w:r w:rsidRPr="00E57628">
              <w:rPr>
                <w:szCs w:val="20"/>
              </w:rPr>
              <w:t>Medical Practitioners</w:t>
            </w:r>
            <w:r w:rsidR="00727E48" w:rsidRPr="00E57628">
              <w:rPr>
                <w:szCs w:val="20"/>
              </w:rPr>
              <w:t xml:space="preserve"> </w:t>
            </w:r>
          </w:p>
        </w:tc>
      </w:tr>
      <w:tr w:rsidR="00F52637" w:rsidRPr="00E57628" w14:paraId="5771B8ED" w14:textId="77777777" w:rsidTr="00E84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936" w:type="pct"/>
            <w:vAlign w:val="center"/>
          </w:tcPr>
          <w:p w14:paraId="56C536B1" w14:textId="77777777" w:rsidR="00F52637" w:rsidRPr="00E57628" w:rsidRDefault="00F52637" w:rsidP="00E840F9">
            <w:pPr>
              <w:pStyle w:val="TableText0"/>
              <w:keepNext w:val="0"/>
              <w:rPr>
                <w:szCs w:val="20"/>
              </w:rPr>
            </w:pPr>
            <w:proofErr w:type="spellStart"/>
            <w:r w:rsidRPr="00E57628">
              <w:rPr>
                <w:b/>
                <w:szCs w:val="20"/>
              </w:rPr>
              <w:t>Episodicity</w:t>
            </w:r>
            <w:proofErr w:type="spellEnd"/>
            <w:r w:rsidRPr="00E57628">
              <w:rPr>
                <w:b/>
                <w:szCs w:val="20"/>
              </w:rPr>
              <w:t>:</w:t>
            </w:r>
          </w:p>
        </w:tc>
        <w:tc>
          <w:tcPr>
            <w:tcW w:w="4064" w:type="pct"/>
            <w:gridSpan w:val="11"/>
          </w:tcPr>
          <w:p w14:paraId="66D012E5" w14:textId="77777777" w:rsidR="00F52637" w:rsidRPr="00E57628" w:rsidRDefault="00F52637" w:rsidP="00E840F9">
            <w:pPr>
              <w:pStyle w:val="TableText0"/>
              <w:keepNext w:val="0"/>
              <w:rPr>
                <w:szCs w:val="20"/>
              </w:rPr>
            </w:pPr>
            <w:r w:rsidRPr="00E57628">
              <w:rPr>
                <w:szCs w:val="20"/>
              </w:rPr>
              <w:t>Chronic</w:t>
            </w:r>
          </w:p>
        </w:tc>
      </w:tr>
      <w:tr w:rsidR="00F52637" w:rsidRPr="00E57628" w14:paraId="21EC4F4D" w14:textId="77777777" w:rsidTr="00E84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936" w:type="pct"/>
            <w:vAlign w:val="center"/>
          </w:tcPr>
          <w:p w14:paraId="40D03EDA" w14:textId="77777777" w:rsidR="00F52637" w:rsidRPr="00E57628" w:rsidRDefault="00F52637" w:rsidP="00E840F9">
            <w:pPr>
              <w:pStyle w:val="TableText0"/>
              <w:keepNext w:val="0"/>
              <w:rPr>
                <w:szCs w:val="20"/>
              </w:rPr>
            </w:pPr>
            <w:r w:rsidRPr="00E57628">
              <w:rPr>
                <w:b/>
                <w:szCs w:val="20"/>
              </w:rPr>
              <w:t>Severity:</w:t>
            </w:r>
          </w:p>
        </w:tc>
        <w:tc>
          <w:tcPr>
            <w:tcW w:w="4064" w:type="pct"/>
            <w:gridSpan w:val="11"/>
          </w:tcPr>
          <w:p w14:paraId="10081A79" w14:textId="77777777" w:rsidR="00F52637" w:rsidRPr="00E57628" w:rsidRDefault="00F52637" w:rsidP="00E840F9">
            <w:pPr>
              <w:pStyle w:val="TableText0"/>
              <w:keepNext w:val="0"/>
              <w:rPr>
                <w:szCs w:val="20"/>
              </w:rPr>
            </w:pPr>
            <w:r w:rsidRPr="00E57628">
              <w:rPr>
                <w:szCs w:val="20"/>
              </w:rPr>
              <w:t>Severe</w:t>
            </w:r>
          </w:p>
        </w:tc>
      </w:tr>
      <w:tr w:rsidR="00F52637" w:rsidRPr="00E57628" w14:paraId="06633E11" w14:textId="77777777" w:rsidTr="00E84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936" w:type="pct"/>
            <w:vAlign w:val="center"/>
          </w:tcPr>
          <w:p w14:paraId="01AB116C" w14:textId="77777777" w:rsidR="00F52637" w:rsidRPr="00E57628" w:rsidRDefault="00F52637" w:rsidP="00E840F9">
            <w:pPr>
              <w:pStyle w:val="TableText0"/>
              <w:keepNext w:val="0"/>
              <w:rPr>
                <w:szCs w:val="20"/>
              </w:rPr>
            </w:pPr>
            <w:r w:rsidRPr="00E57628">
              <w:rPr>
                <w:b/>
                <w:szCs w:val="20"/>
              </w:rPr>
              <w:t>Condition:</w:t>
            </w:r>
          </w:p>
        </w:tc>
        <w:tc>
          <w:tcPr>
            <w:tcW w:w="4064" w:type="pct"/>
            <w:gridSpan w:val="11"/>
          </w:tcPr>
          <w:p w14:paraId="1AC8048C" w14:textId="77777777" w:rsidR="00F52637" w:rsidRPr="00E57628" w:rsidRDefault="00F52637" w:rsidP="00E840F9">
            <w:pPr>
              <w:pStyle w:val="TableText0"/>
              <w:keepNext w:val="0"/>
              <w:rPr>
                <w:szCs w:val="20"/>
              </w:rPr>
            </w:pPr>
            <w:r w:rsidRPr="00E57628">
              <w:rPr>
                <w:szCs w:val="20"/>
              </w:rPr>
              <w:t>Atopic dermatitis</w:t>
            </w:r>
          </w:p>
        </w:tc>
      </w:tr>
      <w:tr w:rsidR="00F52637" w:rsidRPr="00E57628" w14:paraId="408EFEBD" w14:textId="77777777" w:rsidTr="00E84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936" w:type="pct"/>
            <w:vAlign w:val="center"/>
          </w:tcPr>
          <w:p w14:paraId="2850B611" w14:textId="77777777" w:rsidR="00F52637" w:rsidRPr="00E57628" w:rsidRDefault="00F52637" w:rsidP="00E840F9">
            <w:pPr>
              <w:pStyle w:val="TableText0"/>
              <w:keepNext w:val="0"/>
              <w:rPr>
                <w:szCs w:val="20"/>
              </w:rPr>
            </w:pPr>
            <w:r w:rsidRPr="00E57628">
              <w:rPr>
                <w:b/>
                <w:szCs w:val="20"/>
              </w:rPr>
              <w:t>PBS Indication:</w:t>
            </w:r>
          </w:p>
        </w:tc>
        <w:tc>
          <w:tcPr>
            <w:tcW w:w="4064" w:type="pct"/>
            <w:gridSpan w:val="11"/>
          </w:tcPr>
          <w:p w14:paraId="3B65843D" w14:textId="77777777" w:rsidR="00F52637" w:rsidRPr="00E57628" w:rsidRDefault="00F52637" w:rsidP="00E840F9">
            <w:pPr>
              <w:pStyle w:val="TableText0"/>
              <w:keepNext w:val="0"/>
              <w:rPr>
                <w:szCs w:val="20"/>
              </w:rPr>
            </w:pPr>
            <w:r w:rsidRPr="00E57628">
              <w:rPr>
                <w:szCs w:val="20"/>
              </w:rPr>
              <w:t>Chronic severe atopic dermatitis</w:t>
            </w:r>
          </w:p>
        </w:tc>
      </w:tr>
      <w:tr w:rsidR="00F52637" w:rsidRPr="00E57628" w14:paraId="6CB53811" w14:textId="77777777" w:rsidTr="00E84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936" w:type="pct"/>
            <w:vAlign w:val="center"/>
          </w:tcPr>
          <w:p w14:paraId="48CF65B0" w14:textId="77777777" w:rsidR="00F52637" w:rsidRPr="00E57628" w:rsidRDefault="00F52637" w:rsidP="00E840F9">
            <w:pPr>
              <w:pStyle w:val="TableText0"/>
              <w:keepNext w:val="0"/>
              <w:rPr>
                <w:rFonts w:ascii="Times" w:eastAsia="Times New Roman" w:hAnsi="Times" w:cs="Times New Roman"/>
                <w:b/>
                <w:bCs w:val="0"/>
                <w:szCs w:val="20"/>
              </w:rPr>
            </w:pPr>
            <w:r w:rsidRPr="00E57628">
              <w:rPr>
                <w:b/>
                <w:bCs w:val="0"/>
                <w:szCs w:val="20"/>
              </w:rPr>
              <w:t>Treatment criteria:</w:t>
            </w:r>
          </w:p>
        </w:tc>
        <w:tc>
          <w:tcPr>
            <w:tcW w:w="4064" w:type="pct"/>
            <w:gridSpan w:val="11"/>
          </w:tcPr>
          <w:p w14:paraId="577CE049" w14:textId="77777777" w:rsidR="00F52637" w:rsidRPr="00E57628" w:rsidRDefault="00F52637" w:rsidP="00E840F9">
            <w:pPr>
              <w:pStyle w:val="Tabletext"/>
              <w:rPr>
                <w:szCs w:val="20"/>
              </w:rPr>
            </w:pPr>
            <w:r w:rsidRPr="00E57628">
              <w:rPr>
                <w:rFonts w:eastAsiaTheme="minorHAnsi" w:cstheme="minorBidi"/>
                <w:szCs w:val="20"/>
              </w:rPr>
              <w:t>Must be treated by a dermatologist, OR clinical immunologist.</w:t>
            </w:r>
          </w:p>
        </w:tc>
      </w:tr>
      <w:tr w:rsidR="00F52637" w:rsidRPr="00E57628" w14:paraId="14332474" w14:textId="77777777" w:rsidTr="00E84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936" w:type="pct"/>
            <w:vAlign w:val="center"/>
          </w:tcPr>
          <w:p w14:paraId="7F34E56C" w14:textId="77777777" w:rsidR="00F52637" w:rsidRPr="00E57628" w:rsidRDefault="00F52637" w:rsidP="00E840F9">
            <w:pPr>
              <w:pStyle w:val="TableText0"/>
              <w:keepNext w:val="0"/>
              <w:rPr>
                <w:b/>
                <w:bCs w:val="0"/>
                <w:szCs w:val="20"/>
              </w:rPr>
            </w:pPr>
            <w:r w:rsidRPr="00E57628">
              <w:rPr>
                <w:b/>
                <w:bCs w:val="0"/>
                <w:szCs w:val="20"/>
              </w:rPr>
              <w:t>Treatment Phase</w:t>
            </w:r>
          </w:p>
        </w:tc>
        <w:tc>
          <w:tcPr>
            <w:tcW w:w="4064" w:type="pct"/>
            <w:gridSpan w:val="11"/>
          </w:tcPr>
          <w:p w14:paraId="2B526D2D" w14:textId="77777777" w:rsidR="00F52637" w:rsidRPr="00E57628" w:rsidRDefault="00F52637" w:rsidP="00E840F9">
            <w:pPr>
              <w:rPr>
                <w:rFonts w:ascii="Arial Narrow" w:hAnsi="Arial Narrow"/>
                <w:bCs/>
                <w:sz w:val="20"/>
                <w:szCs w:val="20"/>
              </w:rPr>
            </w:pPr>
            <w:r w:rsidRPr="00E57628">
              <w:rPr>
                <w:rFonts w:ascii="Arial Narrow" w:hAnsi="Arial Narrow"/>
                <w:bCs/>
                <w:sz w:val="20"/>
                <w:szCs w:val="20"/>
              </w:rPr>
              <w:t>Initial – treatment of the whole body (15kg to &lt;30kg; 30kg to &lt;60kg; ≥60kg)</w:t>
            </w:r>
            <w:r w:rsidRPr="00E57628">
              <w:rPr>
                <w:rFonts w:eastAsiaTheme="minorHAnsi" w:cstheme="minorBidi"/>
                <w:bCs/>
                <w:szCs w:val="20"/>
              </w:rPr>
              <w:t xml:space="preserve"> </w:t>
            </w:r>
          </w:p>
        </w:tc>
      </w:tr>
      <w:tr w:rsidR="00F52637" w:rsidRPr="00E57628" w14:paraId="1FF07DA2" w14:textId="77777777" w:rsidTr="00E84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936" w:type="pct"/>
            <w:vAlign w:val="center"/>
          </w:tcPr>
          <w:p w14:paraId="090A2619" w14:textId="77777777" w:rsidR="00F52637" w:rsidRPr="00E57628" w:rsidRDefault="00F52637" w:rsidP="00E840F9">
            <w:pPr>
              <w:pStyle w:val="TableText0"/>
              <w:keepNext w:val="0"/>
              <w:rPr>
                <w:rFonts w:ascii="Times" w:eastAsia="Times New Roman" w:hAnsi="Times" w:cs="Times New Roman"/>
                <w:b/>
                <w:bCs w:val="0"/>
                <w:szCs w:val="20"/>
              </w:rPr>
            </w:pPr>
            <w:r w:rsidRPr="00E57628">
              <w:rPr>
                <w:b/>
                <w:bCs w:val="0"/>
                <w:szCs w:val="20"/>
              </w:rPr>
              <w:lastRenderedPageBreak/>
              <w:t>Clinical criteria:</w:t>
            </w:r>
          </w:p>
        </w:tc>
        <w:tc>
          <w:tcPr>
            <w:tcW w:w="4064" w:type="pct"/>
            <w:gridSpan w:val="11"/>
          </w:tcPr>
          <w:p w14:paraId="65644A26" w14:textId="77777777" w:rsidR="00F52637" w:rsidRPr="00E57628" w:rsidRDefault="00F52637" w:rsidP="00E840F9">
            <w:pPr>
              <w:rPr>
                <w:rFonts w:ascii="Arial Narrow" w:hAnsi="Arial Narrow"/>
                <w:sz w:val="20"/>
                <w:szCs w:val="20"/>
              </w:rPr>
            </w:pPr>
            <w:r w:rsidRPr="00E57628">
              <w:rPr>
                <w:rFonts w:ascii="Arial Narrow" w:hAnsi="Arial Narrow"/>
                <w:sz w:val="20"/>
                <w:szCs w:val="20"/>
              </w:rPr>
              <w:t xml:space="preserve">Patient must have a Physicians Global Assessment (PGA) (5-point scale) baseline score of at least 4 as evidence of severe disease despite treatment with daily topical therapy (corticosteroid of medium to high potency/calcineurin inhibitor), for at least 28 </w:t>
            </w:r>
            <w:proofErr w:type="gramStart"/>
            <w:r w:rsidRPr="00E57628">
              <w:rPr>
                <w:rFonts w:ascii="Arial Narrow" w:hAnsi="Arial Narrow"/>
                <w:sz w:val="20"/>
                <w:szCs w:val="20"/>
              </w:rPr>
              <w:t>days;</w:t>
            </w:r>
            <w:proofErr w:type="gramEnd"/>
          </w:p>
          <w:p w14:paraId="537D6F11" w14:textId="77777777" w:rsidR="00F52637" w:rsidRPr="00E57628" w:rsidRDefault="00F52637" w:rsidP="00E840F9">
            <w:pPr>
              <w:rPr>
                <w:rFonts w:ascii="Arial Narrow" w:hAnsi="Arial Narrow"/>
                <w:sz w:val="20"/>
                <w:szCs w:val="20"/>
              </w:rPr>
            </w:pPr>
            <w:r w:rsidRPr="00E57628">
              <w:rPr>
                <w:rFonts w:ascii="Arial Narrow" w:hAnsi="Arial Narrow"/>
                <w:sz w:val="20"/>
                <w:szCs w:val="20"/>
              </w:rPr>
              <w:t>AND</w:t>
            </w:r>
          </w:p>
          <w:p w14:paraId="0E1AC229" w14:textId="77777777" w:rsidR="00F52637" w:rsidRPr="00E57628" w:rsidRDefault="00F52637" w:rsidP="00E840F9">
            <w:pPr>
              <w:rPr>
                <w:rFonts w:ascii="Arial Narrow" w:hAnsi="Arial Narrow"/>
                <w:sz w:val="20"/>
                <w:szCs w:val="20"/>
              </w:rPr>
            </w:pPr>
            <w:r w:rsidRPr="00E57628">
              <w:rPr>
                <w:rFonts w:ascii="Arial Narrow" w:hAnsi="Arial Narrow"/>
                <w:sz w:val="20"/>
                <w:szCs w:val="20"/>
              </w:rPr>
              <w:t xml:space="preserve">Patient must have an Eczema Area and Severity Index (EASI) baseline score of at least 21 despite treatment with daily topical therapy (corticosteroid of medium to high potency/calcineurin inhibitor), for at least 28 </w:t>
            </w:r>
            <w:proofErr w:type="gramStart"/>
            <w:r w:rsidRPr="00E57628">
              <w:rPr>
                <w:rFonts w:ascii="Arial Narrow" w:hAnsi="Arial Narrow"/>
                <w:sz w:val="20"/>
                <w:szCs w:val="20"/>
              </w:rPr>
              <w:t>days;</w:t>
            </w:r>
            <w:proofErr w:type="gramEnd"/>
          </w:p>
          <w:p w14:paraId="33975059" w14:textId="77777777" w:rsidR="00F52637" w:rsidRPr="00E57628" w:rsidRDefault="00F52637" w:rsidP="00E840F9">
            <w:pPr>
              <w:rPr>
                <w:rFonts w:ascii="Arial Narrow" w:hAnsi="Arial Narrow"/>
                <w:sz w:val="20"/>
                <w:szCs w:val="20"/>
              </w:rPr>
            </w:pPr>
            <w:r w:rsidRPr="00E57628">
              <w:rPr>
                <w:rFonts w:ascii="Arial Narrow" w:hAnsi="Arial Narrow"/>
                <w:sz w:val="20"/>
                <w:szCs w:val="20"/>
              </w:rPr>
              <w:t>AND</w:t>
            </w:r>
          </w:p>
          <w:p w14:paraId="4EF23BAD" w14:textId="2B32D0AB" w:rsidR="00F52637" w:rsidRPr="00E57628" w:rsidRDefault="00F52637" w:rsidP="00E840F9">
            <w:pPr>
              <w:rPr>
                <w:rFonts w:ascii="Arial Narrow" w:hAnsi="Arial Narrow"/>
                <w:sz w:val="20"/>
                <w:szCs w:val="20"/>
              </w:rPr>
            </w:pPr>
            <w:r w:rsidRPr="00E57628">
              <w:rPr>
                <w:rFonts w:ascii="Arial Narrow" w:hAnsi="Arial Narrow"/>
                <w:sz w:val="20"/>
                <w:szCs w:val="20"/>
              </w:rPr>
              <w:t>Patient must have a Children’s Dermatology Life Quality Index (</w:t>
            </w:r>
            <w:r w:rsidR="00766BD7" w:rsidRPr="00E57628">
              <w:rPr>
                <w:rFonts w:ascii="Arial Narrow" w:hAnsi="Arial Narrow"/>
                <w:sz w:val="20"/>
                <w:szCs w:val="20"/>
              </w:rPr>
              <w:t>CDLQI</w:t>
            </w:r>
            <w:r w:rsidRPr="00E57628">
              <w:rPr>
                <w:rFonts w:ascii="Arial Narrow" w:hAnsi="Arial Narrow"/>
                <w:sz w:val="20"/>
                <w:szCs w:val="20"/>
              </w:rPr>
              <w:t xml:space="preserve">) baseline score (of any value) measured following treatment with daily topical therapy (corticosteroid of medium to high potency/calcineurin inhibitor), for at least 28 </w:t>
            </w:r>
            <w:proofErr w:type="gramStart"/>
            <w:r w:rsidRPr="00E57628">
              <w:rPr>
                <w:rFonts w:ascii="Arial Narrow" w:hAnsi="Arial Narrow"/>
                <w:sz w:val="20"/>
                <w:szCs w:val="20"/>
              </w:rPr>
              <w:t>days;</w:t>
            </w:r>
            <w:proofErr w:type="gramEnd"/>
            <w:r w:rsidRPr="00E57628">
              <w:rPr>
                <w:rFonts w:ascii="Arial Narrow" w:hAnsi="Arial Narrow"/>
                <w:sz w:val="20"/>
                <w:szCs w:val="20"/>
              </w:rPr>
              <w:t xml:space="preserve"> </w:t>
            </w:r>
          </w:p>
          <w:p w14:paraId="3DE8316B" w14:textId="77777777" w:rsidR="00F52637" w:rsidRPr="00E57628" w:rsidRDefault="00F52637" w:rsidP="00E840F9">
            <w:pPr>
              <w:rPr>
                <w:rFonts w:ascii="Arial Narrow" w:hAnsi="Arial Narrow"/>
                <w:sz w:val="20"/>
                <w:szCs w:val="20"/>
              </w:rPr>
            </w:pPr>
            <w:r w:rsidRPr="00E57628">
              <w:rPr>
                <w:rFonts w:ascii="Arial Narrow" w:hAnsi="Arial Narrow"/>
                <w:sz w:val="20"/>
                <w:szCs w:val="20"/>
              </w:rPr>
              <w:t>AND</w:t>
            </w:r>
          </w:p>
          <w:p w14:paraId="0FBC99FC" w14:textId="77777777" w:rsidR="00F52637" w:rsidRPr="00E57628" w:rsidRDefault="00F52637" w:rsidP="00E840F9">
            <w:pPr>
              <w:rPr>
                <w:rFonts w:ascii="Arial Narrow" w:hAnsi="Arial Narrow"/>
                <w:sz w:val="20"/>
                <w:szCs w:val="20"/>
              </w:rPr>
            </w:pPr>
            <w:r w:rsidRPr="00E57628">
              <w:rPr>
                <w:rFonts w:ascii="Arial Narrow" w:hAnsi="Arial Narrow"/>
                <w:sz w:val="20"/>
                <w:szCs w:val="20"/>
              </w:rPr>
              <w:t>The condition must have had lesions for at least 6 months from the time of the initial diagnosis of chronic severe atopic dermatitis affecting either of: (</w:t>
            </w:r>
            <w:proofErr w:type="spellStart"/>
            <w:r w:rsidRPr="00E57628">
              <w:rPr>
                <w:rFonts w:ascii="Arial Narrow" w:hAnsi="Arial Narrow"/>
                <w:sz w:val="20"/>
                <w:szCs w:val="20"/>
              </w:rPr>
              <w:t>i</w:t>
            </w:r>
            <w:proofErr w:type="spellEnd"/>
            <w:r w:rsidRPr="00E57628">
              <w:rPr>
                <w:rFonts w:ascii="Arial Narrow" w:hAnsi="Arial Narrow"/>
                <w:sz w:val="20"/>
                <w:szCs w:val="20"/>
              </w:rPr>
              <w:t>) the whole body, (ii) face/</w:t>
            </w:r>
            <w:proofErr w:type="gramStart"/>
            <w:r w:rsidRPr="00E57628">
              <w:rPr>
                <w:rFonts w:ascii="Arial Narrow" w:hAnsi="Arial Narrow"/>
                <w:sz w:val="20"/>
                <w:szCs w:val="20"/>
              </w:rPr>
              <w:t>hands;</w:t>
            </w:r>
            <w:proofErr w:type="gramEnd"/>
          </w:p>
          <w:p w14:paraId="516C104B" w14:textId="77777777" w:rsidR="00F52637" w:rsidRPr="00E57628" w:rsidRDefault="00F52637" w:rsidP="00E840F9">
            <w:pPr>
              <w:rPr>
                <w:rFonts w:ascii="Arial Narrow" w:hAnsi="Arial Narrow"/>
                <w:sz w:val="20"/>
                <w:szCs w:val="20"/>
              </w:rPr>
            </w:pPr>
            <w:r w:rsidRPr="00E57628">
              <w:rPr>
                <w:rFonts w:ascii="Arial Narrow" w:hAnsi="Arial Narrow"/>
                <w:sz w:val="20"/>
                <w:szCs w:val="20"/>
              </w:rPr>
              <w:t>AND</w:t>
            </w:r>
          </w:p>
          <w:p w14:paraId="39B9EC7B" w14:textId="77777777" w:rsidR="00F52637" w:rsidRPr="00E57628" w:rsidRDefault="00F52637" w:rsidP="00E840F9">
            <w:pPr>
              <w:rPr>
                <w:rFonts w:ascii="Arial Narrow" w:hAnsi="Arial Narrow"/>
                <w:sz w:val="20"/>
                <w:szCs w:val="20"/>
              </w:rPr>
            </w:pPr>
            <w:r w:rsidRPr="00E57628">
              <w:rPr>
                <w:rFonts w:ascii="Arial Narrow" w:hAnsi="Arial Narrow"/>
                <w:sz w:val="20"/>
                <w:szCs w:val="20"/>
              </w:rPr>
              <w:t xml:space="preserve">The treatment must be the sole PBS-subsidised biological medicine for this PBS </w:t>
            </w:r>
            <w:proofErr w:type="gramStart"/>
            <w:r w:rsidRPr="00E57628">
              <w:rPr>
                <w:rFonts w:ascii="Arial Narrow" w:hAnsi="Arial Narrow"/>
                <w:sz w:val="20"/>
                <w:szCs w:val="20"/>
              </w:rPr>
              <w:t>indication;</w:t>
            </w:r>
            <w:proofErr w:type="gramEnd"/>
            <w:r w:rsidRPr="00E57628">
              <w:rPr>
                <w:rFonts w:ascii="Arial Narrow" w:hAnsi="Arial Narrow"/>
                <w:sz w:val="20"/>
                <w:szCs w:val="20"/>
              </w:rPr>
              <w:t xml:space="preserve"> </w:t>
            </w:r>
          </w:p>
          <w:p w14:paraId="2CB1FF5B" w14:textId="77777777" w:rsidR="00F52637" w:rsidRPr="00E57628" w:rsidRDefault="00F52637" w:rsidP="00E840F9">
            <w:pPr>
              <w:rPr>
                <w:rFonts w:ascii="Arial Narrow" w:hAnsi="Arial Narrow"/>
                <w:sz w:val="20"/>
                <w:szCs w:val="20"/>
              </w:rPr>
            </w:pPr>
            <w:r w:rsidRPr="00E57628">
              <w:rPr>
                <w:rFonts w:ascii="Arial Narrow" w:hAnsi="Arial Narrow"/>
                <w:sz w:val="20"/>
                <w:szCs w:val="20"/>
              </w:rPr>
              <w:t>AND</w:t>
            </w:r>
          </w:p>
          <w:p w14:paraId="439E0346" w14:textId="77777777" w:rsidR="00F52637" w:rsidRPr="00E57628" w:rsidRDefault="00F52637" w:rsidP="00E840F9">
            <w:pPr>
              <w:rPr>
                <w:rFonts w:ascii="Arial Narrow" w:hAnsi="Arial Narrow"/>
                <w:sz w:val="20"/>
                <w:szCs w:val="20"/>
              </w:rPr>
            </w:pPr>
            <w:r w:rsidRPr="00E57628">
              <w:rPr>
                <w:rFonts w:ascii="Arial Narrow" w:hAnsi="Arial Narrow"/>
                <w:sz w:val="20"/>
                <w:szCs w:val="20"/>
              </w:rPr>
              <w:t>Patient must not have experienced an inadequate response to this biological medicine in this PBS indication.</w:t>
            </w:r>
          </w:p>
        </w:tc>
      </w:tr>
      <w:tr w:rsidR="00F52637" w:rsidRPr="00E57628" w:rsidDel="00F511DF" w14:paraId="21E88EAD" w14:textId="77777777" w:rsidTr="00E84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936" w:type="pct"/>
            <w:vAlign w:val="center"/>
          </w:tcPr>
          <w:p w14:paraId="68106439" w14:textId="77777777" w:rsidR="00F52637" w:rsidRPr="00E57628" w:rsidRDefault="00F52637" w:rsidP="00E840F9">
            <w:pPr>
              <w:pStyle w:val="TableText0"/>
              <w:keepNext w:val="0"/>
              <w:rPr>
                <w:b/>
                <w:bCs w:val="0"/>
                <w:szCs w:val="20"/>
              </w:rPr>
            </w:pPr>
            <w:r w:rsidRPr="00E57628">
              <w:rPr>
                <w:b/>
                <w:bCs w:val="0"/>
                <w:szCs w:val="20"/>
              </w:rPr>
              <w:t>Population criteria</w:t>
            </w:r>
          </w:p>
        </w:tc>
        <w:tc>
          <w:tcPr>
            <w:tcW w:w="4064" w:type="pct"/>
            <w:gridSpan w:val="11"/>
            <w:vAlign w:val="center"/>
          </w:tcPr>
          <w:p w14:paraId="57E1DDA2" w14:textId="77777777" w:rsidR="00F52637" w:rsidRPr="00E57628" w:rsidRDefault="00F52637" w:rsidP="00E840F9">
            <w:pPr>
              <w:rPr>
                <w:rFonts w:ascii="Arial Narrow" w:hAnsi="Arial Narrow"/>
                <w:sz w:val="20"/>
                <w:szCs w:val="20"/>
              </w:rPr>
            </w:pPr>
            <w:r w:rsidRPr="00E57628">
              <w:rPr>
                <w:rFonts w:ascii="Arial Narrow" w:hAnsi="Arial Narrow"/>
                <w:sz w:val="20"/>
                <w:szCs w:val="20"/>
              </w:rPr>
              <w:t>Patient must be at least 6 years of age and less than 12 years of age</w:t>
            </w:r>
          </w:p>
          <w:p w14:paraId="0F008485" w14:textId="77777777" w:rsidR="00F52637" w:rsidRPr="00E57628" w:rsidDel="00F511DF" w:rsidRDefault="00F52637" w:rsidP="00E840F9">
            <w:pPr>
              <w:rPr>
                <w:rFonts w:ascii="Arial Narrow" w:hAnsi="Arial Narrow"/>
                <w:b/>
                <w:sz w:val="20"/>
                <w:szCs w:val="20"/>
              </w:rPr>
            </w:pPr>
            <w:r w:rsidRPr="00E57628">
              <w:rPr>
                <w:rFonts w:ascii="Arial Narrow" w:hAnsi="Arial Narrow"/>
                <w:sz w:val="20"/>
                <w:szCs w:val="20"/>
              </w:rPr>
              <w:t>Patient must weigh 15 kg to &lt; 30 kg</w:t>
            </w:r>
          </w:p>
        </w:tc>
      </w:tr>
      <w:tr w:rsidR="00F52637" w:rsidRPr="00E57628" w14:paraId="14B11A31" w14:textId="77777777" w:rsidTr="00E84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936" w:type="pct"/>
            <w:vAlign w:val="center"/>
          </w:tcPr>
          <w:p w14:paraId="71B64AB4" w14:textId="77777777" w:rsidR="00F52637" w:rsidRPr="00E57628" w:rsidRDefault="00F52637" w:rsidP="00E840F9">
            <w:pPr>
              <w:pStyle w:val="TableText0"/>
              <w:keepNext w:val="0"/>
              <w:rPr>
                <w:b/>
                <w:bCs w:val="0"/>
                <w:szCs w:val="20"/>
              </w:rPr>
            </w:pPr>
            <w:r w:rsidRPr="00E57628">
              <w:rPr>
                <w:b/>
                <w:bCs w:val="0"/>
                <w:szCs w:val="20"/>
              </w:rPr>
              <w:t>Prescriber instructions:</w:t>
            </w:r>
          </w:p>
        </w:tc>
        <w:tc>
          <w:tcPr>
            <w:tcW w:w="4064" w:type="pct"/>
            <w:gridSpan w:val="11"/>
          </w:tcPr>
          <w:p w14:paraId="795CBCA5" w14:textId="49441A52" w:rsidR="00F52637" w:rsidRPr="00E57628" w:rsidRDefault="00F52637" w:rsidP="00E840F9">
            <w:pPr>
              <w:rPr>
                <w:rFonts w:ascii="Arial Narrow" w:hAnsi="Arial Narrow"/>
                <w:sz w:val="20"/>
                <w:szCs w:val="20"/>
              </w:rPr>
            </w:pPr>
            <w:r w:rsidRPr="00E57628">
              <w:rPr>
                <w:rFonts w:ascii="Arial Narrow" w:hAnsi="Arial Narrow"/>
                <w:sz w:val="20"/>
                <w:szCs w:val="20"/>
              </w:rPr>
              <w:t xml:space="preserve">State each of the qualifying PGA, EASI and </w:t>
            </w:r>
            <w:r w:rsidR="00766BD7" w:rsidRPr="00E57628">
              <w:rPr>
                <w:rFonts w:ascii="Arial Narrow" w:hAnsi="Arial Narrow"/>
                <w:sz w:val="20"/>
                <w:szCs w:val="20"/>
              </w:rPr>
              <w:t>CDLQI</w:t>
            </w:r>
            <w:r w:rsidRPr="00E57628">
              <w:rPr>
                <w:rFonts w:ascii="Arial Narrow" w:hAnsi="Arial Narrow"/>
                <w:sz w:val="20"/>
                <w:szCs w:val="20"/>
              </w:rPr>
              <w:t xml:space="preserve"> scores in the authority application. These baseline scores must have been measured within the past 4 weeks. The name/s of the medium to high potency topical corticosteroids trialled prior to commencing treatment with this biological medicine is/are to be documented in the patient's medical records.</w:t>
            </w:r>
          </w:p>
          <w:p w14:paraId="75BDFD73" w14:textId="60E6E162" w:rsidR="00F52637" w:rsidRPr="00E57628" w:rsidRDefault="00F52637" w:rsidP="00E840F9">
            <w:pPr>
              <w:rPr>
                <w:rFonts w:ascii="Arial Narrow" w:hAnsi="Arial Narrow"/>
                <w:sz w:val="20"/>
                <w:szCs w:val="20"/>
              </w:rPr>
            </w:pPr>
            <w:r w:rsidRPr="00E57628">
              <w:rPr>
                <w:rFonts w:ascii="Arial Narrow" w:hAnsi="Arial Narrow"/>
                <w:sz w:val="20"/>
                <w:szCs w:val="20"/>
              </w:rPr>
              <w:t xml:space="preserve">The EASI and </w:t>
            </w:r>
            <w:r w:rsidR="00766BD7" w:rsidRPr="00E57628">
              <w:rPr>
                <w:rFonts w:ascii="Arial Narrow" w:hAnsi="Arial Narrow"/>
                <w:sz w:val="20"/>
                <w:szCs w:val="20"/>
              </w:rPr>
              <w:t>CDLQI</w:t>
            </w:r>
            <w:r w:rsidRPr="00E57628">
              <w:rPr>
                <w:rFonts w:ascii="Arial Narrow" w:hAnsi="Arial Narrow"/>
                <w:sz w:val="20"/>
                <w:szCs w:val="20"/>
              </w:rPr>
              <w:t xml:space="preserve"> baseline measurements are to form the basis of determining if an adequate response to treatment has been achieved under the Continuing treatment restriction.</w:t>
            </w:r>
          </w:p>
        </w:tc>
      </w:tr>
      <w:tr w:rsidR="00F52637" w:rsidRPr="00E57628" w14:paraId="4738BA38" w14:textId="77777777" w:rsidTr="00E84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936" w:type="pct"/>
            <w:vAlign w:val="center"/>
          </w:tcPr>
          <w:p w14:paraId="74C15931" w14:textId="04BE2804" w:rsidR="00F52637" w:rsidRPr="00E57628" w:rsidRDefault="00F52637" w:rsidP="00F52637">
            <w:pPr>
              <w:pStyle w:val="TableText0"/>
              <w:keepNext w:val="0"/>
              <w:rPr>
                <w:b/>
                <w:bCs w:val="0"/>
                <w:szCs w:val="20"/>
              </w:rPr>
            </w:pPr>
            <w:r w:rsidRPr="00E57628">
              <w:rPr>
                <w:b/>
                <w:bCs w:val="0"/>
                <w:szCs w:val="20"/>
              </w:rPr>
              <w:t>Treatment Phase</w:t>
            </w:r>
          </w:p>
        </w:tc>
        <w:tc>
          <w:tcPr>
            <w:tcW w:w="4064" w:type="pct"/>
            <w:gridSpan w:val="11"/>
          </w:tcPr>
          <w:p w14:paraId="3887A7AF" w14:textId="63CCF84C" w:rsidR="00F52637" w:rsidRPr="00E57628" w:rsidRDefault="00F52637" w:rsidP="00F52637">
            <w:pPr>
              <w:rPr>
                <w:rFonts w:ascii="Arial Narrow" w:hAnsi="Arial Narrow"/>
                <w:sz w:val="20"/>
                <w:szCs w:val="20"/>
              </w:rPr>
            </w:pPr>
            <w:r w:rsidRPr="00E57628">
              <w:rPr>
                <w:rFonts w:ascii="Arial Narrow" w:hAnsi="Arial Narrow"/>
                <w:sz w:val="20"/>
                <w:szCs w:val="20"/>
              </w:rPr>
              <w:t>Continuing or resuming treatment of the whole body</w:t>
            </w:r>
          </w:p>
        </w:tc>
      </w:tr>
      <w:tr w:rsidR="00F52637" w:rsidRPr="00E57628" w14:paraId="3FB83851" w14:textId="77777777" w:rsidTr="00E84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936" w:type="pct"/>
            <w:vAlign w:val="center"/>
          </w:tcPr>
          <w:p w14:paraId="664CC16B" w14:textId="3F3FA51D" w:rsidR="00F52637" w:rsidRPr="00E57628" w:rsidRDefault="00F52637" w:rsidP="00F52637">
            <w:pPr>
              <w:pStyle w:val="TableText0"/>
              <w:keepNext w:val="0"/>
              <w:rPr>
                <w:b/>
                <w:bCs w:val="0"/>
                <w:szCs w:val="20"/>
              </w:rPr>
            </w:pPr>
            <w:r w:rsidRPr="00E57628">
              <w:rPr>
                <w:b/>
                <w:bCs w:val="0"/>
                <w:szCs w:val="20"/>
              </w:rPr>
              <w:t>Clinical criteria:</w:t>
            </w:r>
          </w:p>
        </w:tc>
        <w:tc>
          <w:tcPr>
            <w:tcW w:w="4064" w:type="pct"/>
            <w:gridSpan w:val="11"/>
          </w:tcPr>
          <w:p w14:paraId="495E767E" w14:textId="77777777" w:rsidR="00F52637" w:rsidRPr="00E57628" w:rsidRDefault="00F52637" w:rsidP="00F52637">
            <w:pPr>
              <w:keepNext/>
              <w:keepLines/>
              <w:widowControl w:val="0"/>
              <w:rPr>
                <w:rFonts w:ascii="Arial Narrow" w:hAnsi="Arial Narrow"/>
                <w:sz w:val="20"/>
                <w:szCs w:val="20"/>
              </w:rPr>
            </w:pPr>
            <w:r w:rsidRPr="00E57628">
              <w:rPr>
                <w:rFonts w:ascii="Arial Narrow" w:hAnsi="Arial Narrow"/>
                <w:sz w:val="20"/>
                <w:szCs w:val="20"/>
              </w:rPr>
              <w:t xml:space="preserve">Patient must have received PBS-subsidised treatment with this biological medicine for the treatment of chronic severe atopic dermatitis affecting the whole </w:t>
            </w:r>
            <w:proofErr w:type="gramStart"/>
            <w:r w:rsidRPr="00E57628">
              <w:rPr>
                <w:rFonts w:ascii="Arial Narrow" w:hAnsi="Arial Narrow"/>
                <w:sz w:val="20"/>
                <w:szCs w:val="20"/>
              </w:rPr>
              <w:t>body;</w:t>
            </w:r>
            <w:proofErr w:type="gramEnd"/>
            <w:r w:rsidRPr="00E57628">
              <w:rPr>
                <w:rFonts w:ascii="Arial Narrow" w:hAnsi="Arial Narrow"/>
                <w:sz w:val="20"/>
                <w:szCs w:val="20"/>
              </w:rPr>
              <w:t xml:space="preserve"> </w:t>
            </w:r>
          </w:p>
          <w:p w14:paraId="47F4956B" w14:textId="77777777" w:rsidR="00F52637" w:rsidRPr="00E57628" w:rsidRDefault="00F52637" w:rsidP="00F52637">
            <w:pPr>
              <w:keepNext/>
              <w:keepLines/>
              <w:widowControl w:val="0"/>
              <w:rPr>
                <w:rFonts w:ascii="Arial Narrow" w:hAnsi="Arial Narrow"/>
                <w:sz w:val="20"/>
                <w:szCs w:val="20"/>
              </w:rPr>
            </w:pPr>
            <w:r w:rsidRPr="00E57628">
              <w:rPr>
                <w:rFonts w:ascii="Arial Narrow" w:hAnsi="Arial Narrow"/>
                <w:sz w:val="20"/>
                <w:szCs w:val="20"/>
              </w:rPr>
              <w:t>AND</w:t>
            </w:r>
          </w:p>
          <w:p w14:paraId="0D14F4F4" w14:textId="77777777" w:rsidR="00F52637" w:rsidRPr="00E57628" w:rsidRDefault="00F52637" w:rsidP="00F52637">
            <w:pPr>
              <w:keepNext/>
              <w:keepLines/>
              <w:widowControl w:val="0"/>
              <w:rPr>
                <w:rFonts w:ascii="Arial Narrow" w:hAnsi="Arial Narrow"/>
                <w:sz w:val="20"/>
                <w:szCs w:val="20"/>
              </w:rPr>
            </w:pPr>
            <w:r w:rsidRPr="00E57628">
              <w:rPr>
                <w:rFonts w:ascii="Arial Narrow" w:hAnsi="Arial Narrow"/>
                <w:sz w:val="20"/>
                <w:szCs w:val="20"/>
              </w:rPr>
              <w:t xml:space="preserve">Patient must have achieved an adequate response within the first 16 weeks of </w:t>
            </w:r>
            <w:proofErr w:type="gramStart"/>
            <w:r w:rsidRPr="00E57628">
              <w:rPr>
                <w:rFonts w:ascii="Arial Narrow" w:hAnsi="Arial Narrow"/>
                <w:sz w:val="20"/>
                <w:szCs w:val="20"/>
              </w:rPr>
              <w:t>treatment;</w:t>
            </w:r>
            <w:proofErr w:type="gramEnd"/>
            <w:r w:rsidRPr="00E57628">
              <w:rPr>
                <w:rFonts w:ascii="Arial Narrow" w:hAnsi="Arial Narrow"/>
                <w:sz w:val="20"/>
                <w:szCs w:val="20"/>
              </w:rPr>
              <w:t xml:space="preserve"> </w:t>
            </w:r>
          </w:p>
          <w:p w14:paraId="7805E843" w14:textId="77777777" w:rsidR="00F52637" w:rsidRPr="00E57628" w:rsidRDefault="00F52637" w:rsidP="00F52637">
            <w:pPr>
              <w:keepNext/>
              <w:keepLines/>
              <w:widowControl w:val="0"/>
              <w:rPr>
                <w:rFonts w:ascii="Arial Narrow" w:hAnsi="Arial Narrow"/>
                <w:sz w:val="20"/>
                <w:szCs w:val="20"/>
              </w:rPr>
            </w:pPr>
            <w:r w:rsidRPr="00E57628">
              <w:rPr>
                <w:rFonts w:ascii="Arial Narrow" w:hAnsi="Arial Narrow"/>
                <w:sz w:val="20"/>
                <w:szCs w:val="20"/>
              </w:rPr>
              <w:t>OR</w:t>
            </w:r>
          </w:p>
          <w:p w14:paraId="15AC5851" w14:textId="77777777" w:rsidR="00F52637" w:rsidRPr="00E57628" w:rsidRDefault="00F52637" w:rsidP="00F52637">
            <w:pPr>
              <w:keepNext/>
              <w:keepLines/>
              <w:widowControl w:val="0"/>
              <w:rPr>
                <w:rFonts w:ascii="Arial Narrow" w:hAnsi="Arial Narrow"/>
                <w:sz w:val="20"/>
                <w:szCs w:val="20"/>
              </w:rPr>
            </w:pPr>
            <w:r w:rsidRPr="00E57628">
              <w:rPr>
                <w:rFonts w:ascii="Arial Narrow" w:hAnsi="Arial Narrow"/>
                <w:sz w:val="20"/>
                <w:szCs w:val="20"/>
              </w:rPr>
              <w:t xml:space="preserve">Patient must have maintained an adequate response to their most recent course of PBS-subsidised treatment with this biological medicine for this PBS indication if this is the second or subsequent Continuing treatment authority </w:t>
            </w:r>
            <w:proofErr w:type="gramStart"/>
            <w:r w:rsidRPr="00E57628">
              <w:rPr>
                <w:rFonts w:ascii="Arial Narrow" w:hAnsi="Arial Narrow"/>
                <w:sz w:val="20"/>
                <w:szCs w:val="20"/>
              </w:rPr>
              <w:t>application;</w:t>
            </w:r>
            <w:proofErr w:type="gramEnd"/>
          </w:p>
          <w:p w14:paraId="0FC4C637" w14:textId="77777777" w:rsidR="00F52637" w:rsidRPr="00E57628" w:rsidRDefault="00F52637" w:rsidP="00F52637">
            <w:pPr>
              <w:keepNext/>
              <w:keepLines/>
              <w:widowControl w:val="0"/>
              <w:rPr>
                <w:rFonts w:ascii="Arial Narrow" w:hAnsi="Arial Narrow"/>
                <w:sz w:val="20"/>
                <w:szCs w:val="20"/>
              </w:rPr>
            </w:pPr>
            <w:r w:rsidRPr="00E57628">
              <w:rPr>
                <w:rFonts w:ascii="Arial Narrow" w:hAnsi="Arial Narrow"/>
                <w:sz w:val="20"/>
                <w:szCs w:val="20"/>
              </w:rPr>
              <w:t>OR</w:t>
            </w:r>
          </w:p>
          <w:p w14:paraId="0AF4D498" w14:textId="77777777" w:rsidR="00F52637" w:rsidRPr="00E57628" w:rsidRDefault="00F52637" w:rsidP="00F52637">
            <w:pPr>
              <w:keepNext/>
              <w:keepLines/>
              <w:widowControl w:val="0"/>
              <w:rPr>
                <w:rFonts w:ascii="Arial Narrow" w:hAnsi="Arial Narrow"/>
                <w:sz w:val="20"/>
                <w:szCs w:val="20"/>
              </w:rPr>
            </w:pPr>
            <w:r w:rsidRPr="00E57628">
              <w:rPr>
                <w:rFonts w:ascii="Arial Narrow" w:hAnsi="Arial Narrow"/>
                <w:sz w:val="20"/>
                <w:szCs w:val="20"/>
              </w:rPr>
              <w:t>Patient must have temporarily ceased treatment for reasons other than lack of response (</w:t>
            </w:r>
            <w:proofErr w:type="gramStart"/>
            <w:r w:rsidRPr="00E57628">
              <w:rPr>
                <w:rFonts w:ascii="Arial Narrow" w:hAnsi="Arial Narrow"/>
                <w:sz w:val="20"/>
                <w:szCs w:val="20"/>
              </w:rPr>
              <w:t>e.g.</w:t>
            </w:r>
            <w:proofErr w:type="gramEnd"/>
            <w:r w:rsidRPr="00E57628">
              <w:rPr>
                <w:rFonts w:ascii="Arial Narrow" w:hAnsi="Arial Narrow"/>
                <w:sz w:val="20"/>
                <w:szCs w:val="20"/>
              </w:rPr>
              <w:t xml:space="preserve"> vaccination with live vaccines, adverse-effect investigation), thereby being unable to achieve/maintain an adequate response immediately prior to this authority application;</w:t>
            </w:r>
          </w:p>
          <w:p w14:paraId="6D8C8FED" w14:textId="77777777" w:rsidR="00F52637" w:rsidRPr="00E57628" w:rsidRDefault="00F52637" w:rsidP="00F52637">
            <w:pPr>
              <w:keepNext/>
              <w:keepLines/>
              <w:widowControl w:val="0"/>
              <w:rPr>
                <w:rFonts w:ascii="Arial Narrow" w:hAnsi="Arial Narrow"/>
                <w:sz w:val="20"/>
                <w:szCs w:val="20"/>
              </w:rPr>
            </w:pPr>
            <w:r w:rsidRPr="00E57628">
              <w:rPr>
                <w:rFonts w:ascii="Arial Narrow" w:hAnsi="Arial Narrow"/>
                <w:sz w:val="20"/>
                <w:szCs w:val="20"/>
              </w:rPr>
              <w:t>AND</w:t>
            </w:r>
          </w:p>
          <w:p w14:paraId="29A5263A" w14:textId="447A6697" w:rsidR="00F52637" w:rsidRPr="00E57628" w:rsidRDefault="00F52637" w:rsidP="00F52637">
            <w:pPr>
              <w:rPr>
                <w:rFonts w:ascii="Arial Narrow" w:hAnsi="Arial Narrow"/>
                <w:sz w:val="20"/>
                <w:szCs w:val="20"/>
              </w:rPr>
            </w:pPr>
            <w:r w:rsidRPr="00E57628">
              <w:rPr>
                <w:rFonts w:ascii="Arial Narrow" w:hAnsi="Arial Narrow"/>
                <w:sz w:val="20"/>
                <w:szCs w:val="20"/>
              </w:rPr>
              <w:t>The treatment must be the sole PBS-subsidised biological medicine for this PBS indication.</w:t>
            </w:r>
          </w:p>
        </w:tc>
      </w:tr>
      <w:tr w:rsidR="00F52637" w:rsidRPr="00E57628" w14:paraId="339BB7F3" w14:textId="77777777" w:rsidTr="00E84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936" w:type="pct"/>
            <w:vAlign w:val="center"/>
          </w:tcPr>
          <w:p w14:paraId="19554C93" w14:textId="07AE1A63" w:rsidR="00F52637" w:rsidRPr="00E57628" w:rsidRDefault="00F52637" w:rsidP="00F52637">
            <w:pPr>
              <w:pStyle w:val="TableText0"/>
              <w:keepNext w:val="0"/>
              <w:rPr>
                <w:b/>
                <w:bCs w:val="0"/>
                <w:szCs w:val="20"/>
              </w:rPr>
            </w:pPr>
            <w:r w:rsidRPr="00E57628">
              <w:rPr>
                <w:b/>
                <w:bCs w:val="0"/>
                <w:szCs w:val="20"/>
              </w:rPr>
              <w:t>Population criteria</w:t>
            </w:r>
          </w:p>
        </w:tc>
        <w:tc>
          <w:tcPr>
            <w:tcW w:w="4064" w:type="pct"/>
            <w:gridSpan w:val="11"/>
          </w:tcPr>
          <w:p w14:paraId="78677260" w14:textId="26BE937C" w:rsidR="00F52637" w:rsidRPr="00E57628" w:rsidRDefault="00F52637" w:rsidP="00F52637">
            <w:pPr>
              <w:rPr>
                <w:rFonts w:ascii="Arial Narrow" w:hAnsi="Arial Narrow"/>
                <w:sz w:val="20"/>
                <w:szCs w:val="20"/>
              </w:rPr>
            </w:pPr>
            <w:r w:rsidRPr="00E57628">
              <w:rPr>
                <w:rFonts w:ascii="Arial Narrow" w:eastAsiaTheme="minorHAnsi" w:hAnsi="Arial Narrow" w:cstheme="minorBidi"/>
                <w:sz w:val="20"/>
                <w:szCs w:val="20"/>
              </w:rPr>
              <w:t>Must be treated by a dermatologist, OR</w:t>
            </w:r>
            <w:r w:rsidRPr="00E57628">
              <w:rPr>
                <w:rFonts w:ascii="Arial Narrow" w:eastAsiaTheme="minorHAnsi" w:hAnsi="Arial Narrow" w:cstheme="minorBidi"/>
                <w:szCs w:val="20"/>
              </w:rPr>
              <w:t xml:space="preserve"> </w:t>
            </w:r>
            <w:r w:rsidRPr="00E57628">
              <w:rPr>
                <w:rFonts w:ascii="Arial Narrow" w:eastAsiaTheme="minorHAnsi" w:hAnsi="Arial Narrow" w:cstheme="minorBidi"/>
                <w:sz w:val="20"/>
                <w:szCs w:val="20"/>
              </w:rPr>
              <w:t>clinical immunologist.</w:t>
            </w:r>
          </w:p>
        </w:tc>
      </w:tr>
      <w:tr w:rsidR="00F52637" w:rsidRPr="00E57628" w14:paraId="5421EDB3" w14:textId="77777777" w:rsidTr="00E840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936" w:type="pct"/>
            <w:vAlign w:val="center"/>
          </w:tcPr>
          <w:p w14:paraId="77ECAE7B" w14:textId="3D36FB11" w:rsidR="00F52637" w:rsidRPr="00E57628" w:rsidRDefault="00F52637" w:rsidP="00F52637">
            <w:pPr>
              <w:pStyle w:val="TableText0"/>
              <w:keepNext w:val="0"/>
              <w:rPr>
                <w:b/>
                <w:bCs w:val="0"/>
                <w:szCs w:val="20"/>
              </w:rPr>
            </w:pPr>
            <w:r w:rsidRPr="00E57628">
              <w:rPr>
                <w:b/>
                <w:bCs w:val="0"/>
                <w:szCs w:val="20"/>
              </w:rPr>
              <w:lastRenderedPageBreak/>
              <w:t>Prescriber instructions:</w:t>
            </w:r>
          </w:p>
        </w:tc>
        <w:tc>
          <w:tcPr>
            <w:tcW w:w="4064" w:type="pct"/>
            <w:gridSpan w:val="11"/>
          </w:tcPr>
          <w:p w14:paraId="782CD3B6" w14:textId="77777777" w:rsidR="00F52637" w:rsidRPr="00E57628" w:rsidRDefault="00F52637" w:rsidP="00F52637">
            <w:pPr>
              <w:keepNext/>
              <w:keepLines/>
              <w:widowControl w:val="0"/>
              <w:rPr>
                <w:rFonts w:ascii="Arial Narrow" w:hAnsi="Arial Narrow"/>
                <w:sz w:val="20"/>
                <w:szCs w:val="20"/>
              </w:rPr>
            </w:pPr>
            <w:r w:rsidRPr="00E57628">
              <w:rPr>
                <w:rFonts w:ascii="Arial Narrow" w:hAnsi="Arial Narrow"/>
                <w:sz w:val="20"/>
                <w:szCs w:val="20"/>
              </w:rPr>
              <w:t>For the purposes of this restriction, an adequate response to treatment is defined as:</w:t>
            </w:r>
          </w:p>
          <w:p w14:paraId="6AC2DAE3" w14:textId="77777777" w:rsidR="00F52637" w:rsidRPr="00E57628" w:rsidRDefault="00F52637" w:rsidP="00F52637">
            <w:pPr>
              <w:keepNext/>
              <w:keepLines/>
              <w:widowControl w:val="0"/>
              <w:ind w:left="327" w:hanging="284"/>
              <w:rPr>
                <w:rFonts w:ascii="Arial Narrow" w:hAnsi="Arial Narrow"/>
                <w:sz w:val="20"/>
                <w:szCs w:val="20"/>
              </w:rPr>
            </w:pPr>
            <w:r w:rsidRPr="00E57628">
              <w:rPr>
                <w:rFonts w:ascii="Arial Narrow" w:hAnsi="Arial Narrow"/>
                <w:sz w:val="20"/>
                <w:szCs w:val="20"/>
              </w:rPr>
              <w:t>(a) An improvement/maintenance in the Eczema Area and Severity Index (EASI) score of at least 50% compared to baseline; and</w:t>
            </w:r>
          </w:p>
          <w:p w14:paraId="50541459" w14:textId="77787970" w:rsidR="00F52637" w:rsidRPr="00E57628" w:rsidRDefault="00F52637" w:rsidP="00F52637">
            <w:pPr>
              <w:keepNext/>
              <w:keepLines/>
              <w:widowControl w:val="0"/>
              <w:ind w:left="327" w:hanging="284"/>
              <w:rPr>
                <w:rFonts w:ascii="Arial Narrow" w:hAnsi="Arial Narrow"/>
                <w:sz w:val="20"/>
                <w:szCs w:val="20"/>
              </w:rPr>
            </w:pPr>
            <w:r w:rsidRPr="00E57628">
              <w:rPr>
                <w:rFonts w:ascii="Arial Narrow" w:hAnsi="Arial Narrow"/>
                <w:sz w:val="20"/>
                <w:szCs w:val="20"/>
              </w:rPr>
              <w:t>(b) An improvement/maintenance in Children’s Dermatology Life Quality Index (</w:t>
            </w:r>
            <w:r w:rsidR="00766BD7" w:rsidRPr="00E57628">
              <w:rPr>
                <w:rFonts w:ascii="Arial Narrow" w:hAnsi="Arial Narrow"/>
                <w:sz w:val="20"/>
                <w:szCs w:val="20"/>
              </w:rPr>
              <w:t>CDLQI</w:t>
            </w:r>
            <w:r w:rsidRPr="00E57628">
              <w:rPr>
                <w:rFonts w:ascii="Arial Narrow" w:hAnsi="Arial Narrow"/>
                <w:sz w:val="20"/>
                <w:szCs w:val="20"/>
              </w:rPr>
              <w:t>) score of at least 4 points compared to baseline.</w:t>
            </w:r>
          </w:p>
          <w:p w14:paraId="449D8B06" w14:textId="77777777" w:rsidR="00F52637" w:rsidRPr="00E57628" w:rsidRDefault="00F52637" w:rsidP="00F52637">
            <w:pPr>
              <w:keepNext/>
              <w:keepLines/>
              <w:widowControl w:val="0"/>
              <w:rPr>
                <w:rFonts w:ascii="Arial Narrow" w:hAnsi="Arial Narrow"/>
                <w:sz w:val="20"/>
                <w:szCs w:val="20"/>
              </w:rPr>
            </w:pPr>
          </w:p>
          <w:p w14:paraId="6AEB4636" w14:textId="2FCD3EF7" w:rsidR="00F52637" w:rsidRPr="00E57628" w:rsidRDefault="00F52637" w:rsidP="00F52637">
            <w:pPr>
              <w:keepNext/>
              <w:keepLines/>
              <w:widowControl w:val="0"/>
              <w:rPr>
                <w:rFonts w:ascii="Arial Narrow" w:hAnsi="Arial Narrow"/>
                <w:sz w:val="20"/>
                <w:szCs w:val="20"/>
              </w:rPr>
            </w:pPr>
            <w:r w:rsidRPr="00E57628">
              <w:rPr>
                <w:rFonts w:ascii="Arial Narrow" w:hAnsi="Arial Narrow"/>
                <w:sz w:val="20"/>
                <w:szCs w:val="20"/>
              </w:rPr>
              <w:t xml:space="preserve">Where an initial baseline (post-topical corticosteroid, pre-biological medicine) </w:t>
            </w:r>
            <w:r w:rsidR="00766BD7" w:rsidRPr="00E57628">
              <w:rPr>
                <w:rFonts w:ascii="Arial Narrow" w:hAnsi="Arial Narrow"/>
                <w:sz w:val="20"/>
                <w:szCs w:val="20"/>
              </w:rPr>
              <w:t>CDLQI</w:t>
            </w:r>
            <w:r w:rsidRPr="00E57628">
              <w:rPr>
                <w:rFonts w:ascii="Arial Narrow" w:hAnsi="Arial Narrow"/>
                <w:sz w:val="20"/>
                <w:szCs w:val="20"/>
              </w:rPr>
              <w:t xml:space="preserve"> score was not measured for a patient who had commenced treatment through a clinical trial, early access program or through private, non-PBS-subsidised supply, an absence of worsening in the current </w:t>
            </w:r>
            <w:r w:rsidR="00766BD7" w:rsidRPr="00E57628">
              <w:rPr>
                <w:rFonts w:ascii="Arial Narrow" w:hAnsi="Arial Narrow"/>
                <w:sz w:val="20"/>
                <w:szCs w:val="20"/>
              </w:rPr>
              <w:t>CDLQI</w:t>
            </w:r>
            <w:r w:rsidRPr="00E57628">
              <w:rPr>
                <w:rFonts w:ascii="Arial Narrow" w:hAnsi="Arial Narrow"/>
                <w:sz w:val="20"/>
                <w:szCs w:val="20"/>
              </w:rPr>
              <w:t xml:space="preserve"> score compared to that measured at the time of the 'Grandfather listing' authority application will suffice as an adequate response for requirement (b) above.</w:t>
            </w:r>
          </w:p>
          <w:p w14:paraId="5EF16812" w14:textId="77777777" w:rsidR="00F52637" w:rsidRPr="00E57628" w:rsidRDefault="00F52637" w:rsidP="00F52637">
            <w:pPr>
              <w:keepNext/>
              <w:keepLines/>
              <w:widowControl w:val="0"/>
              <w:rPr>
                <w:rFonts w:ascii="Arial Narrow" w:hAnsi="Arial Narrow"/>
                <w:sz w:val="20"/>
                <w:szCs w:val="20"/>
              </w:rPr>
            </w:pPr>
          </w:p>
          <w:p w14:paraId="4DEE9048" w14:textId="3002F75D" w:rsidR="00F52637" w:rsidRPr="00E57628" w:rsidRDefault="00F52637" w:rsidP="00F52637">
            <w:pPr>
              <w:rPr>
                <w:rFonts w:ascii="Arial Narrow" w:hAnsi="Arial Narrow"/>
                <w:sz w:val="20"/>
                <w:szCs w:val="20"/>
              </w:rPr>
            </w:pPr>
            <w:r w:rsidRPr="00E57628">
              <w:rPr>
                <w:rFonts w:ascii="Arial Narrow" w:hAnsi="Arial Narrow"/>
                <w:sz w:val="20"/>
                <w:szCs w:val="20"/>
              </w:rPr>
              <w:t xml:space="preserve">State each of the current EASI and </w:t>
            </w:r>
            <w:r w:rsidR="00766BD7" w:rsidRPr="00E57628">
              <w:rPr>
                <w:rFonts w:ascii="Arial Narrow" w:hAnsi="Arial Narrow"/>
                <w:sz w:val="20"/>
                <w:szCs w:val="20"/>
              </w:rPr>
              <w:t>CDLQI</w:t>
            </w:r>
            <w:r w:rsidRPr="00E57628">
              <w:rPr>
                <w:rFonts w:ascii="Arial Narrow" w:hAnsi="Arial Narrow"/>
                <w:sz w:val="20"/>
                <w:szCs w:val="20"/>
              </w:rPr>
              <w:t xml:space="preserve"> scores for this authority application.</w:t>
            </w:r>
          </w:p>
        </w:tc>
      </w:tr>
    </w:tbl>
    <w:p w14:paraId="46D8036D" w14:textId="77777777" w:rsidR="00F52637" w:rsidRPr="00E57628" w:rsidRDefault="00F52637" w:rsidP="004B1CB4"/>
    <w:p w14:paraId="0CB4DEA3" w14:textId="77777777" w:rsidR="00CC3664" w:rsidRPr="00C80985" w:rsidRDefault="00CC3664" w:rsidP="00CC3664">
      <w:pPr>
        <w:pStyle w:val="3-BodyText"/>
      </w:pPr>
      <w:r w:rsidRPr="00C80985">
        <w:t xml:space="preserve">The submission proposed a special pricing arrangement (SPA) for the paediatric population, consistent with the current SPA that applies to use of dupilumab for the treatment of adult and adolescent AD. The sponsor requested an ex-manufacturer price for patients receiving 300 mg Q4W double that for patients receiving 200 mg Q2W, to maintain the same monthly treatment cost. </w:t>
      </w:r>
    </w:p>
    <w:p w14:paraId="04F3E89A" w14:textId="6B2EF084" w:rsidR="006F4354" w:rsidRPr="000049E7" w:rsidRDefault="00266D28" w:rsidP="006B0524">
      <w:pPr>
        <w:pStyle w:val="3-BodyText"/>
        <w:rPr>
          <w:lang w:val="en-GB"/>
        </w:rPr>
      </w:pPr>
      <w:r w:rsidRPr="00C80985">
        <w:t>The submission requested separate listings for each weight dose category specified in the recommended dosing (15kg to &lt;30kg; 30kg to &lt;60kg; ≥60kg), the requested restrictions are otherwise identical</w:t>
      </w:r>
      <w:r w:rsidR="000F67DE" w:rsidRPr="00C80985">
        <w:t>.</w:t>
      </w:r>
      <w:r w:rsidR="00727E48" w:rsidRPr="00C80985">
        <w:t xml:space="preserve"> </w:t>
      </w:r>
      <w:r w:rsidR="000049E7">
        <w:rPr>
          <w:iCs/>
        </w:rPr>
        <w:t xml:space="preserve">The PBAC considered that there does not appear to be a need for separate listings for each dose/regimen as clinicians can nominate the correct dosing regimen and number of repeats based on the patient’s weight. </w:t>
      </w:r>
    </w:p>
    <w:p w14:paraId="44002742" w14:textId="34DC1DF3" w:rsidR="000F67DE" w:rsidRPr="0060319E" w:rsidRDefault="006F4354" w:rsidP="00D369F2">
      <w:pPr>
        <w:pStyle w:val="3-BodyText"/>
        <w:rPr>
          <w:i/>
        </w:rPr>
      </w:pPr>
      <w:r>
        <w:t xml:space="preserve">Although no clinical evidence for patients </w:t>
      </w:r>
      <w:r w:rsidRPr="00C80985">
        <w:t>≥60kg</w:t>
      </w:r>
      <w:r w:rsidRPr="0060319E" w:rsidDel="006F4354">
        <w:rPr>
          <w:iCs/>
        </w:rPr>
        <w:t xml:space="preserve"> </w:t>
      </w:r>
      <w:r w:rsidR="000049E7">
        <w:rPr>
          <w:iCs/>
        </w:rPr>
        <w:t xml:space="preserve">was presented </w:t>
      </w:r>
      <w:r>
        <w:rPr>
          <w:iCs/>
        </w:rPr>
        <w:t>t</w:t>
      </w:r>
      <w:r w:rsidR="00EE1FBD" w:rsidRPr="00BF43F9">
        <w:rPr>
          <w:iCs/>
        </w:rPr>
        <w:t xml:space="preserve">he </w:t>
      </w:r>
      <w:r w:rsidR="008E4AE5">
        <w:rPr>
          <w:iCs/>
        </w:rPr>
        <w:t>Pre-Sub-Committee Response (</w:t>
      </w:r>
      <w:r w:rsidR="00EE1FBD" w:rsidRPr="00BF43F9">
        <w:rPr>
          <w:iCs/>
        </w:rPr>
        <w:t>PSCR</w:t>
      </w:r>
      <w:r w:rsidR="008E4AE5">
        <w:rPr>
          <w:iCs/>
        </w:rPr>
        <w:t>)</w:t>
      </w:r>
      <w:r w:rsidR="00EE1FBD" w:rsidRPr="00BF43F9">
        <w:rPr>
          <w:iCs/>
        </w:rPr>
        <w:t xml:space="preserve"> argued there should be allowance for these patients to access dupilumab, either by use of a separate restriction for paediatric patients ≥60kg, or by amendment of the current adult and adolescent restriction criteria for the 300 mg strength to include these patients.</w:t>
      </w:r>
      <w:r w:rsidR="006418B9" w:rsidRPr="00BF43F9">
        <w:rPr>
          <w:iCs/>
        </w:rPr>
        <w:t xml:space="preserve"> The PSCR noted that adolescent patients currently have the same dosing for patients &lt;60kg and ≥60kg.</w:t>
      </w:r>
      <w:r w:rsidR="00EE1FBD" w:rsidRPr="00BF43F9">
        <w:rPr>
          <w:iCs/>
        </w:rPr>
        <w:t xml:space="preserve"> </w:t>
      </w:r>
      <w:r w:rsidR="001212AF" w:rsidRPr="00BF43F9">
        <w:rPr>
          <w:iCs/>
        </w:rPr>
        <w:t xml:space="preserve">The ESC </w:t>
      </w:r>
      <w:r w:rsidR="00E46A3C" w:rsidRPr="00BF43F9">
        <w:rPr>
          <w:iCs/>
        </w:rPr>
        <w:t>noted</w:t>
      </w:r>
      <w:r w:rsidR="001212AF" w:rsidRPr="00BF43F9">
        <w:rPr>
          <w:iCs/>
        </w:rPr>
        <w:t xml:space="preserve"> that </w:t>
      </w:r>
      <w:r w:rsidR="00CC5BDE" w:rsidRPr="00BF43F9">
        <w:rPr>
          <w:iCs/>
        </w:rPr>
        <w:t>up to 5</w:t>
      </w:r>
      <w:r w:rsidR="001212AF" w:rsidRPr="00BF43F9">
        <w:rPr>
          <w:iCs/>
        </w:rPr>
        <w:t xml:space="preserve">% of </w:t>
      </w:r>
      <w:r w:rsidR="00670281">
        <w:rPr>
          <w:iCs/>
        </w:rPr>
        <w:t xml:space="preserve">children aged </w:t>
      </w:r>
      <w:r w:rsidR="00E46A3C" w:rsidRPr="00BF43F9">
        <w:rPr>
          <w:iCs/>
        </w:rPr>
        <w:t>11 year</w:t>
      </w:r>
      <w:r w:rsidR="00670281">
        <w:rPr>
          <w:iCs/>
        </w:rPr>
        <w:t>s</w:t>
      </w:r>
      <w:r w:rsidR="00E46A3C" w:rsidRPr="00BF43F9">
        <w:rPr>
          <w:iCs/>
        </w:rPr>
        <w:t xml:space="preserve"> </w:t>
      </w:r>
      <w:r w:rsidR="001212AF" w:rsidRPr="00BF43F9">
        <w:rPr>
          <w:iCs/>
        </w:rPr>
        <w:t xml:space="preserve">may fall into the </w:t>
      </w:r>
      <w:r w:rsidR="006418B9" w:rsidRPr="00BF43F9">
        <w:rPr>
          <w:iCs/>
        </w:rPr>
        <w:t xml:space="preserve">≥60kg </w:t>
      </w:r>
      <w:r w:rsidR="001212AF" w:rsidRPr="00BF43F9">
        <w:rPr>
          <w:iCs/>
        </w:rPr>
        <w:t xml:space="preserve">weight category, based on </w:t>
      </w:r>
      <w:r w:rsidR="00E46A3C" w:rsidRPr="00BF43F9">
        <w:rPr>
          <w:iCs/>
        </w:rPr>
        <w:t>CDC weight-for-age percentiles</w:t>
      </w:r>
      <w:r w:rsidR="00E46A3C" w:rsidRPr="00BF43F9">
        <w:rPr>
          <w:rStyle w:val="FootnoteReference"/>
          <w:iCs/>
        </w:rPr>
        <w:footnoteReference w:id="1"/>
      </w:r>
      <w:r w:rsidR="00E46A3C" w:rsidRPr="00BF43F9">
        <w:rPr>
          <w:iCs/>
        </w:rPr>
        <w:t xml:space="preserve">. </w:t>
      </w:r>
      <w:r w:rsidR="00A559D7">
        <w:rPr>
          <w:iCs/>
        </w:rPr>
        <w:t>T</w:t>
      </w:r>
      <w:r w:rsidR="00E46A3C" w:rsidRPr="00BF43F9">
        <w:rPr>
          <w:iCs/>
        </w:rPr>
        <w:t>he</w:t>
      </w:r>
      <w:r w:rsidR="00A559D7">
        <w:rPr>
          <w:iCs/>
        </w:rPr>
        <w:t xml:space="preserve"> PBAC agreed with the</w:t>
      </w:r>
      <w:r w:rsidR="00E46A3C" w:rsidRPr="00BF43F9">
        <w:rPr>
          <w:iCs/>
        </w:rPr>
        <w:t xml:space="preserve"> ESC </w:t>
      </w:r>
      <w:r w:rsidR="00A559D7">
        <w:rPr>
          <w:iCs/>
        </w:rPr>
        <w:t xml:space="preserve">that </w:t>
      </w:r>
      <w:r w:rsidR="00E46A3C" w:rsidRPr="00BF43F9">
        <w:rPr>
          <w:iCs/>
        </w:rPr>
        <w:t xml:space="preserve">it would be appropriate to include the </w:t>
      </w:r>
      <w:r w:rsidR="00816736">
        <w:rPr>
          <w:iCs/>
        </w:rPr>
        <w:t xml:space="preserve">300 mg Q2W </w:t>
      </w:r>
      <w:r w:rsidR="00E46A3C" w:rsidRPr="00BF43F9">
        <w:rPr>
          <w:iCs/>
        </w:rPr>
        <w:t xml:space="preserve">dosing for patients </w:t>
      </w:r>
      <w:r w:rsidR="00816736">
        <w:rPr>
          <w:iCs/>
        </w:rPr>
        <w:t>&lt;</w:t>
      </w:r>
      <w:r w:rsidR="003C66EE">
        <w:rPr>
          <w:iCs/>
        </w:rPr>
        <w:t xml:space="preserve">12 year </w:t>
      </w:r>
      <w:r w:rsidR="00E46A3C" w:rsidRPr="00BF43F9">
        <w:rPr>
          <w:iCs/>
        </w:rPr>
        <w:t xml:space="preserve">in the listing for dupilumab. </w:t>
      </w:r>
    </w:p>
    <w:p w14:paraId="2FE1D1C7" w14:textId="0D805500" w:rsidR="00745327" w:rsidRPr="00C80985" w:rsidRDefault="005D7F11" w:rsidP="00EC1826">
      <w:pPr>
        <w:pStyle w:val="3-BodyText"/>
      </w:pPr>
      <w:r w:rsidRPr="00C80985">
        <w:rPr>
          <w:rFonts w:cstheme="minorHAnsi"/>
        </w:rPr>
        <w:t>The submission also requested PBS listing</w:t>
      </w:r>
      <w:r w:rsidR="00FD1180" w:rsidRPr="00C80985">
        <w:rPr>
          <w:rFonts w:cstheme="minorHAnsi"/>
        </w:rPr>
        <w:t>s</w:t>
      </w:r>
      <w:r w:rsidRPr="00C80985">
        <w:rPr>
          <w:rFonts w:cstheme="minorHAnsi"/>
        </w:rPr>
        <w:t xml:space="preserve"> for severe AD of the face</w:t>
      </w:r>
      <w:r w:rsidR="00C76555" w:rsidRPr="00C80985">
        <w:rPr>
          <w:rFonts w:cstheme="minorHAnsi"/>
        </w:rPr>
        <w:t xml:space="preserve"> and/</w:t>
      </w:r>
      <w:r w:rsidR="007426FF" w:rsidRPr="00C80985">
        <w:rPr>
          <w:rFonts w:cstheme="minorHAnsi"/>
        </w:rPr>
        <w:t>or</w:t>
      </w:r>
      <w:r w:rsidRPr="00C80985">
        <w:rPr>
          <w:rFonts w:cstheme="minorHAnsi"/>
        </w:rPr>
        <w:t xml:space="preserve"> hand</w:t>
      </w:r>
      <w:r w:rsidR="007426FF" w:rsidRPr="00C80985">
        <w:rPr>
          <w:rFonts w:cstheme="minorHAnsi"/>
        </w:rPr>
        <w:t>s</w:t>
      </w:r>
      <w:r w:rsidRPr="00C80985">
        <w:rPr>
          <w:rFonts w:cstheme="minorHAnsi"/>
        </w:rPr>
        <w:t xml:space="preserve">, </w:t>
      </w:r>
      <w:r w:rsidR="00FD1180" w:rsidRPr="00C80985">
        <w:rPr>
          <w:rFonts w:cstheme="minorHAnsi"/>
        </w:rPr>
        <w:t>consistent with the current adult listings</w:t>
      </w:r>
      <w:r w:rsidRPr="00C80985">
        <w:rPr>
          <w:rFonts w:cstheme="minorHAnsi"/>
        </w:rPr>
        <w:t>. The proposed restrictions for face</w:t>
      </w:r>
      <w:r w:rsidR="007426FF" w:rsidRPr="00C80985">
        <w:rPr>
          <w:rFonts w:cstheme="minorHAnsi"/>
        </w:rPr>
        <w:t xml:space="preserve"> and/or</w:t>
      </w:r>
      <w:r w:rsidRPr="00C80985">
        <w:rPr>
          <w:rFonts w:cstheme="minorHAnsi"/>
        </w:rPr>
        <w:t xml:space="preserve"> hand</w:t>
      </w:r>
      <w:r w:rsidR="007426FF" w:rsidRPr="00C80985">
        <w:rPr>
          <w:rFonts w:cstheme="minorHAnsi"/>
        </w:rPr>
        <w:t>s</w:t>
      </w:r>
      <w:r w:rsidRPr="00C80985">
        <w:rPr>
          <w:rFonts w:cstheme="minorHAnsi"/>
        </w:rPr>
        <w:t xml:space="preserve"> were similar to that for the whole body except for: (</w:t>
      </w:r>
      <w:proofErr w:type="spellStart"/>
      <w:r w:rsidRPr="00C80985">
        <w:rPr>
          <w:rFonts w:cstheme="minorHAnsi"/>
        </w:rPr>
        <w:t>i</w:t>
      </w:r>
      <w:proofErr w:type="spellEnd"/>
      <w:r w:rsidRPr="00C80985">
        <w:rPr>
          <w:rFonts w:cstheme="minorHAnsi"/>
        </w:rPr>
        <w:t xml:space="preserve">) severity is defined as </w:t>
      </w:r>
      <w:r w:rsidRPr="00C80985">
        <w:rPr>
          <w:rFonts w:cstheme="minorHAnsi"/>
        </w:rPr>
        <w:lastRenderedPageBreak/>
        <w:t xml:space="preserve">having 2 of the following EASI symptom sub-scores for erythema, oedema/papulation, excoriation, </w:t>
      </w:r>
      <w:proofErr w:type="spellStart"/>
      <w:r w:rsidRPr="00C80985">
        <w:rPr>
          <w:rFonts w:cstheme="minorHAnsi"/>
        </w:rPr>
        <w:t>lichenification</w:t>
      </w:r>
      <w:proofErr w:type="spellEnd"/>
      <w:r w:rsidRPr="00C80985">
        <w:rPr>
          <w:rFonts w:cstheme="minorHAnsi"/>
        </w:rPr>
        <w:t xml:space="preserve"> rated as ‘severe’ or the condition must have affected at least 30% of the face/hand </w:t>
      </w:r>
      <w:r w:rsidR="00914867" w:rsidRPr="00C80985">
        <w:rPr>
          <w:rFonts w:cstheme="minorHAnsi"/>
        </w:rPr>
        <w:t>surface</w:t>
      </w:r>
      <w:r w:rsidRPr="00C80985">
        <w:rPr>
          <w:rFonts w:cstheme="minorHAnsi"/>
        </w:rPr>
        <w:t xml:space="preserve"> area instead of EASI ≥21 and PGA≥4; and (ii) response defined as a reduction in at least 3 of the EASI sub-scores to either mild (1) to none (0) or ≥75% reduction in the skin area affected, rather than EASI 75 as for the whole body</w:t>
      </w:r>
      <w:r w:rsidR="00914867" w:rsidRPr="00C80985">
        <w:rPr>
          <w:rFonts w:cstheme="minorHAnsi"/>
        </w:rPr>
        <w:t xml:space="preserve">, as well as improvement in </w:t>
      </w:r>
      <w:r w:rsidR="001B0196" w:rsidRPr="00C80985">
        <w:t>Children’s Dermatology Life Quality Index</w:t>
      </w:r>
      <w:r w:rsidR="001B0196" w:rsidRPr="00C80985">
        <w:rPr>
          <w:rFonts w:cstheme="minorHAnsi"/>
        </w:rPr>
        <w:t xml:space="preserve"> (</w:t>
      </w:r>
      <w:r w:rsidR="00914867" w:rsidRPr="00C80985">
        <w:rPr>
          <w:rFonts w:cstheme="minorHAnsi"/>
        </w:rPr>
        <w:t>CDLQI</w:t>
      </w:r>
      <w:r w:rsidR="001B0196" w:rsidRPr="00C80985">
        <w:rPr>
          <w:rFonts w:cstheme="minorHAnsi"/>
        </w:rPr>
        <w:t>)</w:t>
      </w:r>
      <w:r w:rsidR="00914867" w:rsidRPr="00C80985">
        <w:rPr>
          <w:rFonts w:cstheme="minorHAnsi"/>
        </w:rPr>
        <w:t xml:space="preserve"> score of at least 4 points</w:t>
      </w:r>
      <w:r w:rsidR="00914867" w:rsidRPr="00C80985">
        <w:rPr>
          <w:rStyle w:val="FootnoteReference"/>
          <w:rFonts w:cstheme="minorHAnsi"/>
        </w:rPr>
        <w:footnoteReference w:id="2"/>
      </w:r>
      <w:r w:rsidRPr="00C80985">
        <w:rPr>
          <w:rFonts w:cstheme="minorHAnsi"/>
        </w:rPr>
        <w:t>.</w:t>
      </w:r>
    </w:p>
    <w:p w14:paraId="66100C4B" w14:textId="7D1C0039" w:rsidR="005D7F11" w:rsidRPr="00C80985" w:rsidRDefault="002C6E30" w:rsidP="004E18E9">
      <w:pPr>
        <w:pStyle w:val="3-BodyText"/>
      </w:pPr>
      <w:r w:rsidRPr="00C80985">
        <w:t>The requested listings are the same as the PBS listing</w:t>
      </w:r>
      <w:r w:rsidR="00353945" w:rsidRPr="00C80985">
        <w:t>s</w:t>
      </w:r>
      <w:r w:rsidRPr="00C80985">
        <w:t xml:space="preserve"> for adult and adolescent treatment, with the exception that the baseline Eczema Area and Severity Index (EASI) score has been increased from 20 to 21, and the </w:t>
      </w:r>
      <w:r w:rsidR="00766BD7" w:rsidRPr="00C80985">
        <w:t>CDLQI</w:t>
      </w:r>
      <w:r w:rsidRPr="00C80985">
        <w:t xml:space="preserve"> is used instead of the DLQI as was used for adult patients. The submission </w:t>
      </w:r>
      <w:r w:rsidR="00CC5BDE">
        <w:t>noted</w:t>
      </w:r>
      <w:r w:rsidR="00CC5BDE" w:rsidRPr="00C80985">
        <w:t xml:space="preserve"> </w:t>
      </w:r>
      <w:r w:rsidRPr="00C80985">
        <w:t xml:space="preserve">the change in EASI score was </w:t>
      </w:r>
      <w:r w:rsidR="00CC5BDE">
        <w:t>intended to</w:t>
      </w:r>
      <w:r w:rsidRPr="00C80985">
        <w:t xml:space="preserve"> reflect the inclusion criteria for the paediatric clinical trial</w:t>
      </w:r>
      <w:r w:rsidRPr="00C80985">
        <w:rPr>
          <w:iCs/>
        </w:rPr>
        <w:t>.</w:t>
      </w:r>
      <w:r w:rsidR="002547CE" w:rsidRPr="00C80985">
        <w:rPr>
          <w:iCs/>
        </w:rPr>
        <w:t xml:space="preserve"> While the inclusion criteria for Study 1652 included an EASI score ≥21, the current adult and adolescent PBS listing uses an EASI score of at least 20</w:t>
      </w:r>
      <w:r w:rsidR="00A559D7">
        <w:rPr>
          <w:iCs/>
        </w:rPr>
        <w:t>.</w:t>
      </w:r>
    </w:p>
    <w:p w14:paraId="5D87DAB8" w14:textId="3AD8A4A9" w:rsidR="00E744E9" w:rsidRPr="00CC3664" w:rsidRDefault="00E56A5B" w:rsidP="005B336D">
      <w:pPr>
        <w:pStyle w:val="3-BodyText"/>
      </w:pPr>
      <w:r w:rsidRPr="00C80985">
        <w:t>The nominated criteria of at least a 4</w:t>
      </w:r>
      <w:r w:rsidR="00070320" w:rsidRPr="00C80985">
        <w:t>-</w:t>
      </w:r>
      <w:r w:rsidRPr="00C80985">
        <w:t xml:space="preserve">point </w:t>
      </w:r>
      <w:r w:rsidR="005753A2" w:rsidRPr="00C80985">
        <w:t>improvement</w:t>
      </w:r>
      <w:r w:rsidRPr="00C80985">
        <w:t xml:space="preserve"> on the CDLQI (CDLQI4) was based on PBS listing </w:t>
      </w:r>
      <w:r w:rsidR="005661A6" w:rsidRPr="00C80985">
        <w:t xml:space="preserve">of dupilumab </w:t>
      </w:r>
      <w:r w:rsidRPr="00C80985">
        <w:t xml:space="preserve">in adolescents </w:t>
      </w:r>
      <w:r w:rsidR="005661A6" w:rsidRPr="00C80985">
        <w:t xml:space="preserve">(originally modelled on the </w:t>
      </w:r>
      <w:r w:rsidRPr="00C80985">
        <w:t>adult</w:t>
      </w:r>
      <w:r w:rsidR="005753A2" w:rsidRPr="00C80985">
        <w:t xml:space="preserve"> listing requiring</w:t>
      </w:r>
      <w:r w:rsidR="005661A6" w:rsidRPr="00C80985">
        <w:t xml:space="preserve"> a</w:t>
      </w:r>
      <w:r w:rsidR="005753A2" w:rsidRPr="00C80985">
        <w:t>t least a</w:t>
      </w:r>
      <w:r w:rsidR="005661A6" w:rsidRPr="00C80985">
        <w:t xml:space="preserve"> </w:t>
      </w:r>
      <w:proofErr w:type="gramStart"/>
      <w:r w:rsidR="005661A6" w:rsidRPr="00C80985">
        <w:t>4 point</w:t>
      </w:r>
      <w:proofErr w:type="gramEnd"/>
      <w:r w:rsidR="005661A6" w:rsidRPr="00C80985">
        <w:t xml:space="preserve"> </w:t>
      </w:r>
      <w:r w:rsidR="005753A2" w:rsidRPr="00C80985">
        <w:t xml:space="preserve">improvement </w:t>
      </w:r>
      <w:r w:rsidR="005661A6" w:rsidRPr="00C80985">
        <w:t xml:space="preserve">on the DLQI). </w:t>
      </w:r>
      <w:r w:rsidR="005753A2" w:rsidRPr="00C80985">
        <w:t xml:space="preserve">Given the </w:t>
      </w:r>
      <w:r w:rsidR="00E744E9" w:rsidRPr="00C80985">
        <w:t xml:space="preserve">minimally clinically important difference (MCID) for the CDLQI is defined as a change of at least 6 points, the submission stated </w:t>
      </w:r>
      <w:r w:rsidR="005753A2" w:rsidRPr="00C80985">
        <w:t xml:space="preserve">that </w:t>
      </w:r>
      <w:r w:rsidR="005661A6" w:rsidRPr="00C80985">
        <w:t>the PBAC may consider it to be more appropriate to base the response criteria for paediatric patients on the CDLQI MCID</w:t>
      </w:r>
      <w:r w:rsidR="005753A2" w:rsidRPr="00C80985">
        <w:t>. R</w:t>
      </w:r>
      <w:r w:rsidR="005661A6" w:rsidRPr="00C80985">
        <w:t xml:space="preserve">esponse rates based on both the </w:t>
      </w:r>
      <w:r w:rsidR="00BF7E34" w:rsidRPr="00C80985">
        <w:t>EASI 50</w:t>
      </w:r>
      <w:r w:rsidR="005661A6" w:rsidRPr="00C80985">
        <w:t xml:space="preserve"> and CDLQI4 criteria and the </w:t>
      </w:r>
      <w:r w:rsidR="00BF7E34" w:rsidRPr="00C80985">
        <w:t>EASI 50</w:t>
      </w:r>
      <w:r w:rsidR="005661A6" w:rsidRPr="00C80985">
        <w:t xml:space="preserve"> and CDLQI6 criteria </w:t>
      </w:r>
      <w:r w:rsidR="00CC5BDE" w:rsidRPr="00BF43F9">
        <w:t>were provided in the submission</w:t>
      </w:r>
      <w:r w:rsidR="005661A6" w:rsidRPr="00BF43F9">
        <w:t>,</w:t>
      </w:r>
      <w:r w:rsidR="005661A6" w:rsidRPr="00E65720">
        <w:t xml:space="preserve"> and</w:t>
      </w:r>
      <w:r w:rsidR="005661A6" w:rsidRPr="00C80985">
        <w:t xml:space="preserve"> a sensitivity analysis of the economic model for response based on </w:t>
      </w:r>
      <w:r w:rsidR="00BF7E34" w:rsidRPr="00C80985">
        <w:t>EASI 50</w:t>
      </w:r>
      <w:r w:rsidR="005661A6" w:rsidRPr="00C80985">
        <w:t xml:space="preserve"> and CDLQI6 </w:t>
      </w:r>
      <w:r w:rsidR="005753A2" w:rsidRPr="00C80985">
        <w:t>was</w:t>
      </w:r>
      <w:r w:rsidR="005661A6" w:rsidRPr="00C80985">
        <w:t xml:space="preserve"> also provided. </w:t>
      </w:r>
      <w:r w:rsidR="005753A2" w:rsidRPr="00C80985">
        <w:rPr>
          <w:iCs/>
        </w:rPr>
        <w:t xml:space="preserve">The </w:t>
      </w:r>
      <w:r w:rsidR="005661A6" w:rsidRPr="00C80985">
        <w:rPr>
          <w:iCs/>
        </w:rPr>
        <w:t xml:space="preserve">change in CDLQI criterion had minimal </w:t>
      </w:r>
      <w:r w:rsidR="00070320" w:rsidRPr="00C80985">
        <w:rPr>
          <w:iCs/>
        </w:rPr>
        <w:t xml:space="preserve">impact </w:t>
      </w:r>
      <w:r w:rsidR="005661A6" w:rsidRPr="00C80985">
        <w:rPr>
          <w:iCs/>
        </w:rPr>
        <w:t xml:space="preserve">on the </w:t>
      </w:r>
      <w:r w:rsidR="00070320" w:rsidRPr="00C80985">
        <w:rPr>
          <w:iCs/>
        </w:rPr>
        <w:t>estimated incremental cost effectiveness ratio (</w:t>
      </w:r>
      <w:r w:rsidR="005661A6" w:rsidRPr="00C80985">
        <w:rPr>
          <w:iCs/>
        </w:rPr>
        <w:t>ICER</w:t>
      </w:r>
      <w:r w:rsidR="00070320" w:rsidRPr="00C80985">
        <w:rPr>
          <w:iCs/>
        </w:rPr>
        <w:t>).</w:t>
      </w:r>
      <w:r w:rsidR="00906747">
        <w:rPr>
          <w:iCs/>
        </w:rPr>
        <w:t xml:space="preserve"> </w:t>
      </w:r>
      <w:r w:rsidR="00906747" w:rsidRPr="00BF43F9">
        <w:rPr>
          <w:iCs/>
        </w:rPr>
        <w:t xml:space="preserve">The ESC noted that difference in this criterion may </w:t>
      </w:r>
      <w:r w:rsidR="006526CC" w:rsidRPr="00BF43F9">
        <w:rPr>
          <w:iCs/>
        </w:rPr>
        <w:t>complicate assessment of</w:t>
      </w:r>
      <w:r w:rsidR="00906747" w:rsidRPr="00BF43F9">
        <w:rPr>
          <w:iCs/>
        </w:rPr>
        <w:t xml:space="preserve"> those patients </w:t>
      </w:r>
      <w:r w:rsidR="006526CC" w:rsidRPr="00BF43F9">
        <w:rPr>
          <w:iCs/>
        </w:rPr>
        <w:t xml:space="preserve">on treatment who transition </w:t>
      </w:r>
      <w:r w:rsidR="00906747" w:rsidRPr="00BF43F9">
        <w:rPr>
          <w:iCs/>
        </w:rPr>
        <w:t>from the CDLQI to DLQI and that, in general, it would be important to ensure that the restrictions allow patients to transition from the paediatric listing to the adult/adolescent listings without needing to cease treatment.</w:t>
      </w:r>
    </w:p>
    <w:p w14:paraId="48704BA1" w14:textId="45B7B465" w:rsidR="00A559D7" w:rsidRDefault="00A559D7" w:rsidP="003C7770">
      <w:pPr>
        <w:pStyle w:val="3-BodyText"/>
        <w:rPr>
          <w:lang w:val="en-GB"/>
        </w:rPr>
      </w:pPr>
      <w:r w:rsidRPr="00A559D7">
        <w:rPr>
          <w:lang w:val="en-GB"/>
        </w:rPr>
        <w:t xml:space="preserve">The PBAC considered that restrictions for patients aged </w:t>
      </w:r>
      <w:r w:rsidR="00670281">
        <w:rPr>
          <w:lang w:val="en-GB"/>
        </w:rPr>
        <w:t>less than 12 years</w:t>
      </w:r>
      <w:r w:rsidRPr="00A559D7">
        <w:rPr>
          <w:lang w:val="en-GB"/>
        </w:rPr>
        <w:t xml:space="preserve"> should be consistent with restrictions for patients aged 12 or older to reduce complexity for prescribers and to ensure that patients can easily transition to treatment under the adolescent/adult listing. The PBAC considered that </w:t>
      </w:r>
      <w:r>
        <w:t xml:space="preserve">the baseline EASI score should be 20 (rather than 21 as proposed) and that the wording in the restrictions for the adolescent/adult population with respect to DLQI was sufficiently inclusive for use of CDLQI in the paediatric listing. </w:t>
      </w:r>
      <w:r w:rsidRPr="00A559D7">
        <w:rPr>
          <w:lang w:val="en-GB"/>
        </w:rPr>
        <w:t xml:space="preserve">The PBAC noted that </w:t>
      </w:r>
      <w:r w:rsidR="00493AD4">
        <w:rPr>
          <w:lang w:val="en-GB"/>
        </w:rPr>
        <w:t xml:space="preserve">the </w:t>
      </w:r>
      <w:r w:rsidRPr="00A559D7">
        <w:rPr>
          <w:lang w:val="en-GB"/>
        </w:rPr>
        <w:t xml:space="preserve">listings would </w:t>
      </w:r>
      <w:r w:rsidR="00493AD4">
        <w:rPr>
          <w:lang w:val="en-GB"/>
        </w:rPr>
        <w:t xml:space="preserve">need to </w:t>
      </w:r>
      <w:r w:rsidRPr="00A559D7">
        <w:rPr>
          <w:lang w:val="en-GB"/>
        </w:rPr>
        <w:t>be</w:t>
      </w:r>
      <w:r w:rsidR="00493AD4">
        <w:rPr>
          <w:lang w:val="en-GB"/>
        </w:rPr>
        <w:t xml:space="preserve"> </w:t>
      </w:r>
      <w:r w:rsidR="00493AD4">
        <w:rPr>
          <w:lang w:val="en-GB"/>
        </w:rPr>
        <w:lastRenderedPageBreak/>
        <w:t xml:space="preserve">constructed in such a way that the Department is able to attribute financial expenditure to the different patient groups and drugs. </w:t>
      </w:r>
      <w:r w:rsidRPr="00A559D7">
        <w:rPr>
          <w:lang w:val="en-GB"/>
        </w:rPr>
        <w:t xml:space="preserve"> </w:t>
      </w:r>
    </w:p>
    <w:p w14:paraId="6EB6023F" w14:textId="339073B7" w:rsidR="00A559D7" w:rsidRPr="00A559D7" w:rsidRDefault="00A559D7" w:rsidP="003C7770">
      <w:pPr>
        <w:pStyle w:val="3-BodyText"/>
        <w:rPr>
          <w:lang w:val="en-GB"/>
        </w:rPr>
      </w:pPr>
      <w:r w:rsidRPr="00A559D7">
        <w:rPr>
          <w:lang w:val="en-GB"/>
        </w:rPr>
        <w:t xml:space="preserve">The PBAC considered that for the paediatric population it would be appropriate to specify that patients must be less than 12 years of age, without specifying a minimum age for access to treatment. The PBAC noted that dupilumab is currently TGA indicated for patients aged </w:t>
      </w:r>
      <w:r w:rsidR="00AD651C">
        <w:rPr>
          <w:lang w:val="en-GB"/>
        </w:rPr>
        <w:t xml:space="preserve">at least </w:t>
      </w:r>
      <w:r w:rsidRPr="00A559D7">
        <w:rPr>
          <w:lang w:val="en-GB"/>
        </w:rPr>
        <w:t xml:space="preserve">6 </w:t>
      </w:r>
      <w:proofErr w:type="gramStart"/>
      <w:r w:rsidRPr="00A559D7">
        <w:rPr>
          <w:lang w:val="en-GB"/>
        </w:rPr>
        <w:t>years</w:t>
      </w:r>
      <w:r w:rsidR="00AD651C">
        <w:rPr>
          <w:lang w:val="en-GB"/>
        </w:rPr>
        <w:t>,</w:t>
      </w:r>
      <w:r w:rsidRPr="00A559D7">
        <w:rPr>
          <w:lang w:val="en-GB"/>
        </w:rPr>
        <w:t xml:space="preserve"> but</w:t>
      </w:r>
      <w:proofErr w:type="gramEnd"/>
      <w:r w:rsidRPr="00A559D7">
        <w:rPr>
          <w:lang w:val="en-GB"/>
        </w:rPr>
        <w:t xml:space="preserve"> considered that use in patients younger than 6 years may be clinically appropriate in some circumstances.  </w:t>
      </w:r>
    </w:p>
    <w:p w14:paraId="48F6DA99" w14:textId="7AD74040" w:rsidR="00CC3664" w:rsidRPr="00A559D7" w:rsidRDefault="00CC3664" w:rsidP="00A559D7">
      <w:pPr>
        <w:pStyle w:val="3-BodyText"/>
        <w:rPr>
          <w:iCs/>
        </w:rPr>
      </w:pPr>
      <w:r w:rsidRPr="00BF43F9">
        <w:rPr>
          <w:iCs/>
        </w:rPr>
        <w:t xml:space="preserve">The ESC noted that the submission proposed the inclusion of guidance in the requested restrictions for identification of patients with a sustained response, and in whom an assessment of the need for ongoing treatment is appropriate. The ESC considered that </w:t>
      </w:r>
      <w:r w:rsidR="00966CAC" w:rsidRPr="00BF43F9">
        <w:rPr>
          <w:iCs/>
        </w:rPr>
        <w:t>inclusion of guidance may</w:t>
      </w:r>
      <w:r w:rsidRPr="00BF43F9">
        <w:rPr>
          <w:iCs/>
        </w:rPr>
        <w:t xml:space="preserve"> be appropriate given that </w:t>
      </w:r>
      <w:r w:rsidR="00966CAC" w:rsidRPr="00BF43F9">
        <w:rPr>
          <w:iCs/>
        </w:rPr>
        <w:t>for many paediatric patients their disease would be expected to resolve over time</w:t>
      </w:r>
      <w:r w:rsidR="00837DD9" w:rsidRPr="00BF43F9">
        <w:rPr>
          <w:iCs/>
        </w:rPr>
        <w:t xml:space="preserve"> (see also paragraph </w:t>
      </w:r>
      <w:r w:rsidR="00837DD9" w:rsidRPr="00BF43F9">
        <w:rPr>
          <w:iCs/>
        </w:rPr>
        <w:fldChar w:fldCharType="begin"/>
      </w:r>
      <w:r w:rsidR="00837DD9" w:rsidRPr="00BF43F9">
        <w:rPr>
          <w:iCs/>
        </w:rPr>
        <w:instrText xml:space="preserve"> REF _Ref96072590 \r \h </w:instrText>
      </w:r>
      <w:r w:rsidR="00BF43F9">
        <w:rPr>
          <w:iCs/>
        </w:rPr>
        <w:instrText xml:space="preserve"> \* MERGEFORMAT </w:instrText>
      </w:r>
      <w:r w:rsidR="00837DD9" w:rsidRPr="00BF43F9">
        <w:rPr>
          <w:iCs/>
        </w:rPr>
      </w:r>
      <w:r w:rsidR="00837DD9" w:rsidRPr="00BF43F9">
        <w:rPr>
          <w:iCs/>
        </w:rPr>
        <w:fldChar w:fldCharType="separate"/>
      </w:r>
      <w:r w:rsidR="00AA723C">
        <w:rPr>
          <w:iCs/>
        </w:rPr>
        <w:t>4.2</w:t>
      </w:r>
      <w:r w:rsidR="00837DD9" w:rsidRPr="00BF43F9">
        <w:rPr>
          <w:iCs/>
        </w:rPr>
        <w:fldChar w:fldCharType="end"/>
      </w:r>
      <w:r w:rsidR="00837DD9" w:rsidRPr="00BF43F9">
        <w:rPr>
          <w:iCs/>
        </w:rPr>
        <w:t>)</w:t>
      </w:r>
      <w:r w:rsidR="00966CAC" w:rsidRPr="00BF43F9">
        <w:rPr>
          <w:iCs/>
        </w:rPr>
        <w:t xml:space="preserve">. </w:t>
      </w:r>
      <w:r w:rsidR="00A559D7">
        <w:rPr>
          <w:iCs/>
        </w:rPr>
        <w:t>The PBAC considered that parents and specialists prescribing dupilumab, in line with QUM principles, would discontinue treatment or extend the period between doses where appropriate to manage patients who may no longer require treatment with dupilumab. The PBAC considered that assessment of the need for ongoing treatment would be appropriately managed by specialist clinicians and the restrictions need not include this requirement.</w:t>
      </w:r>
    </w:p>
    <w:p w14:paraId="52EAA597" w14:textId="37E80B00" w:rsidR="00BF43F9" w:rsidRPr="00BF43F9" w:rsidRDefault="00BF43F9" w:rsidP="00BF43F9">
      <w:pPr>
        <w:rPr>
          <w:i/>
        </w:rPr>
      </w:pPr>
      <w:r w:rsidRPr="00C33D30">
        <w:rPr>
          <w:i/>
        </w:rPr>
        <w:t>For more detail on PBAC’s view, see section 7 PBAC outcome.</w:t>
      </w:r>
    </w:p>
    <w:p w14:paraId="7075B85C" w14:textId="1655A25A" w:rsidR="00B50DB8" w:rsidRPr="00C80985" w:rsidRDefault="00203181" w:rsidP="004E18E9">
      <w:pPr>
        <w:pStyle w:val="2-SectionHeading"/>
      </w:pPr>
      <w:bookmarkStart w:id="9" w:name="_Toc93324998"/>
      <w:r w:rsidRPr="00C80985">
        <w:t xml:space="preserve">Population and </w:t>
      </w:r>
      <w:r w:rsidR="008E0D3C" w:rsidRPr="00C80985">
        <w:t>d</w:t>
      </w:r>
      <w:r w:rsidRPr="00C80985">
        <w:t>isease</w:t>
      </w:r>
      <w:bookmarkEnd w:id="9"/>
    </w:p>
    <w:p w14:paraId="39407D1B" w14:textId="4A57E0F7" w:rsidR="0008745F" w:rsidRPr="00C80985" w:rsidRDefault="0008745F" w:rsidP="004E18E9">
      <w:pPr>
        <w:pStyle w:val="3-BodyText"/>
      </w:pPr>
      <w:r w:rsidRPr="00C80985">
        <w:t>Atopic dermatitis (AD) is a chronic inflammatory skin disease characterised by pruritus (itching), xerosis (dryness) and extensive skin lesions.</w:t>
      </w:r>
      <w:r w:rsidR="00727E48" w:rsidRPr="00C80985">
        <w:t xml:space="preserve"> </w:t>
      </w:r>
      <w:r w:rsidRPr="00C80985">
        <w:t xml:space="preserve">The clinical manifestations of AD vary depending on the phase (chronic or acute) and severity of disease; ranging from occasional dry and scaly patches in mild cases, to a debilitating disease in more severe cases where more than 50% of the body surface area may be covered by excoriated (scratched and abraded), bleeding and infected lesions. </w:t>
      </w:r>
      <w:r w:rsidRPr="00C80985">
        <w:rPr>
          <w:iCs/>
        </w:rPr>
        <w:t>The requested listing is for treatment of severe disease.</w:t>
      </w:r>
    </w:p>
    <w:p w14:paraId="4CD60655" w14:textId="690A2FE9" w:rsidR="0008745F" w:rsidRPr="00C80985" w:rsidRDefault="0008745F" w:rsidP="004E18E9">
      <w:pPr>
        <w:pStyle w:val="3-BodyText"/>
      </w:pPr>
      <w:bookmarkStart w:id="10" w:name="_Ref96072590"/>
      <w:bookmarkStart w:id="11" w:name="_Ref96075743"/>
      <w:r w:rsidRPr="00C80985">
        <w:t xml:space="preserve">AD typically occurs in infancy and early childhood, with onset by two years of age in most patients and is the most common skin disorder in infants and children, with an estimated global prevalence of up to 14% in children aged 6 to 11 years old. The submission noted (p2) the consensus is that </w:t>
      </w:r>
      <w:proofErr w:type="gramStart"/>
      <w:r w:rsidRPr="00C80985">
        <w:t>the majority of</w:t>
      </w:r>
      <w:proofErr w:type="gramEnd"/>
      <w:r w:rsidRPr="00C80985">
        <w:t xml:space="preserve"> patients with childhood-onset AD will eventually ‘outgrow’ their disease, approximately 20% of cases of childhood-onset AD persist beyond 8 years after diagnosis, and approximately 5% of cases continue into adulthood (Kim 2016).</w:t>
      </w:r>
      <w:bookmarkEnd w:id="10"/>
      <w:r w:rsidR="000E1D97">
        <w:t xml:space="preserve"> </w:t>
      </w:r>
      <w:bookmarkEnd w:id="11"/>
    </w:p>
    <w:p w14:paraId="6008488A" w14:textId="44C9B81F" w:rsidR="003411F0" w:rsidRPr="00C80985" w:rsidRDefault="003411F0" w:rsidP="004E18E9">
      <w:pPr>
        <w:pStyle w:val="3-BodyText"/>
      </w:pPr>
      <w:r w:rsidRPr="00C80985">
        <w:t xml:space="preserve">The submission indicated (p3) that the itch, </w:t>
      </w:r>
      <w:proofErr w:type="gramStart"/>
      <w:r w:rsidRPr="00C80985">
        <w:t>discomfort</w:t>
      </w:r>
      <w:proofErr w:type="gramEnd"/>
      <w:r w:rsidRPr="00C80985">
        <w:t xml:space="preserve"> and ongoing sleep disruption experienced by children living with severe AD has a profound impact on many aspects of a child’s development, and AD can also have a significantly detrimental effect on a child’s mental health, and cited extensive literature supporting this claim.</w:t>
      </w:r>
    </w:p>
    <w:p w14:paraId="2D4E0B33" w14:textId="77777777" w:rsidR="00BF43F9" w:rsidRPr="00C33D30" w:rsidRDefault="00BF43F9" w:rsidP="00BF43F9">
      <w:pPr>
        <w:rPr>
          <w:i/>
        </w:rPr>
      </w:pPr>
      <w:r w:rsidRPr="00C33D30">
        <w:rPr>
          <w:i/>
        </w:rPr>
        <w:t>For more detail on PBAC’s view, see section 7 PBAC outcome.</w:t>
      </w:r>
    </w:p>
    <w:p w14:paraId="083E0C35" w14:textId="77777777" w:rsidR="00BF43F9" w:rsidRPr="00C80985" w:rsidRDefault="00BF43F9" w:rsidP="00BF43F9">
      <w:pPr>
        <w:pStyle w:val="3-BodyText"/>
        <w:numPr>
          <w:ilvl w:val="0"/>
          <w:numId w:val="0"/>
        </w:numPr>
        <w:ind w:left="720"/>
      </w:pPr>
    </w:p>
    <w:p w14:paraId="51E5AE96" w14:textId="136A63B1" w:rsidR="00B50DB8" w:rsidRPr="00C80985" w:rsidRDefault="00B50DB8" w:rsidP="004E18E9">
      <w:pPr>
        <w:pStyle w:val="2-SectionHeading"/>
      </w:pPr>
      <w:bookmarkStart w:id="12" w:name="_Toc93324999"/>
      <w:r w:rsidRPr="00C80985">
        <w:t>Comparator</w:t>
      </w:r>
      <w:bookmarkEnd w:id="12"/>
    </w:p>
    <w:p w14:paraId="5DC58A52" w14:textId="507F03DE" w:rsidR="005D0C72" w:rsidRPr="00C80985" w:rsidRDefault="005D0C72" w:rsidP="00882E3C">
      <w:pPr>
        <w:pStyle w:val="3-BodyText"/>
        <w:rPr>
          <w:snapToGrid/>
        </w:rPr>
      </w:pPr>
      <w:r w:rsidRPr="00C80985">
        <w:t>The submission nominated placebo, representing standard of care (SoC) as the main comparator. The submission noted (p8) that the PBAC previously accepted this comparator for the use of dupilumab in adult patients with severe AD uncontrolled by topical therapies (paragraph 5.1, July 2019 P</w:t>
      </w:r>
      <w:r w:rsidR="008E4AE5">
        <w:t xml:space="preserve">ublic </w:t>
      </w:r>
      <w:r w:rsidRPr="00C80985">
        <w:t>S</w:t>
      </w:r>
      <w:r w:rsidR="008E4AE5">
        <w:t xml:space="preserve">ummary </w:t>
      </w:r>
      <w:r w:rsidRPr="00C80985">
        <w:t>D</w:t>
      </w:r>
      <w:r w:rsidR="008E4AE5">
        <w:t>ocument (PSD)</w:t>
      </w:r>
      <w:r w:rsidRPr="00C80985">
        <w:t>).</w:t>
      </w:r>
      <w:r w:rsidR="00727E48" w:rsidRPr="00C80985">
        <w:t xml:space="preserve"> </w:t>
      </w:r>
      <w:r w:rsidR="00136D65">
        <w:rPr>
          <w:iCs/>
        </w:rPr>
        <w:t>The PBAC considered that</w:t>
      </w:r>
      <w:r w:rsidR="00136D65" w:rsidRPr="00C80985">
        <w:rPr>
          <w:iCs/>
        </w:rPr>
        <w:t xml:space="preserve"> </w:t>
      </w:r>
      <w:r w:rsidRPr="00C80985">
        <w:rPr>
          <w:iCs/>
        </w:rPr>
        <w:t>the nominated comparator was appropriate.</w:t>
      </w:r>
    </w:p>
    <w:p w14:paraId="5FF974B3" w14:textId="5E075ABB" w:rsidR="005D0C72" w:rsidRPr="00BF43F9" w:rsidRDefault="005D0C72" w:rsidP="00882E3C">
      <w:pPr>
        <w:pStyle w:val="3-BodyText"/>
        <w:rPr>
          <w:snapToGrid/>
        </w:rPr>
      </w:pPr>
      <w:r w:rsidRPr="00C80985">
        <w:t xml:space="preserve">The submission did not include </w:t>
      </w:r>
      <w:proofErr w:type="spellStart"/>
      <w:r w:rsidRPr="00C80985">
        <w:t>CsA</w:t>
      </w:r>
      <w:proofErr w:type="spellEnd"/>
      <w:r w:rsidRPr="00C80985">
        <w:t xml:space="preserve"> as an additional comparator in the paediatric population, as was done for adults. The submission noted that the Australian product information for ciclosporin stated that use in children was not recommended. </w:t>
      </w:r>
      <w:r w:rsidRPr="00C80985">
        <w:rPr>
          <w:iCs/>
        </w:rPr>
        <w:t xml:space="preserve">It was reasonable to not include </w:t>
      </w:r>
      <w:proofErr w:type="spellStart"/>
      <w:r w:rsidRPr="00C80985">
        <w:rPr>
          <w:iCs/>
        </w:rPr>
        <w:t>CsA</w:t>
      </w:r>
      <w:proofErr w:type="spellEnd"/>
      <w:r w:rsidRPr="00C80985">
        <w:rPr>
          <w:iCs/>
        </w:rPr>
        <w:t xml:space="preserve"> as an additional comparator</w:t>
      </w:r>
      <w:r w:rsidRPr="00C80985">
        <w:t>.</w:t>
      </w:r>
    </w:p>
    <w:p w14:paraId="5B309C7C" w14:textId="3595F868" w:rsidR="00BF43F9" w:rsidRPr="00BF43F9" w:rsidRDefault="00BF43F9" w:rsidP="00BF43F9">
      <w:pPr>
        <w:rPr>
          <w:i/>
        </w:rPr>
      </w:pPr>
      <w:r w:rsidRPr="00C33D30">
        <w:rPr>
          <w:i/>
        </w:rPr>
        <w:t>For more detail on PBAC’s view, see section 7 PBAC outcome.</w:t>
      </w:r>
    </w:p>
    <w:p w14:paraId="7F9C27C8" w14:textId="77777777" w:rsidR="00223D5A" w:rsidRPr="00E57628" w:rsidRDefault="00223D5A" w:rsidP="00223D5A">
      <w:pPr>
        <w:pStyle w:val="2-SectionHeading"/>
        <w:numPr>
          <w:ilvl w:val="0"/>
          <w:numId w:val="1"/>
        </w:numPr>
      </w:pPr>
      <w:bookmarkStart w:id="13" w:name="_Toc93325000"/>
      <w:bookmarkStart w:id="14" w:name="_Toc22897640"/>
      <w:r w:rsidRPr="00E57628">
        <w:t>Consideration of the evidence</w:t>
      </w:r>
      <w:bookmarkEnd w:id="13"/>
    </w:p>
    <w:p w14:paraId="6B865951" w14:textId="77777777" w:rsidR="00BF43F9" w:rsidRPr="006E1229" w:rsidRDefault="00BF43F9" w:rsidP="00BF43F9">
      <w:pPr>
        <w:pStyle w:val="4-SubsectionHeading"/>
      </w:pPr>
      <w:bookmarkStart w:id="15" w:name="_Hlk76375935"/>
      <w:bookmarkStart w:id="16" w:name="_Toc93325001"/>
      <w:r w:rsidRPr="006E1229">
        <w:t>Sponsor hearing</w:t>
      </w:r>
    </w:p>
    <w:p w14:paraId="317E6C1A" w14:textId="1D5AF124" w:rsidR="00BF43F9" w:rsidRPr="00F91542" w:rsidRDefault="00BF43F9" w:rsidP="00BF43F9">
      <w:pPr>
        <w:widowControl w:val="0"/>
        <w:numPr>
          <w:ilvl w:val="1"/>
          <w:numId w:val="1"/>
        </w:numPr>
        <w:spacing w:after="120"/>
        <w:rPr>
          <w:rFonts w:ascii="Calibri" w:hAnsi="Calibri" w:cs="Calibri"/>
          <w:bCs/>
          <w:snapToGrid w:val="0"/>
        </w:rPr>
      </w:pPr>
      <w:r w:rsidRPr="00F91542">
        <w:rPr>
          <w:rFonts w:ascii="Calibri" w:hAnsi="Calibri" w:cs="Calibri"/>
          <w:bCs/>
          <w:snapToGrid w:val="0"/>
        </w:rPr>
        <w:t>There was no hearing for this item.</w:t>
      </w:r>
    </w:p>
    <w:p w14:paraId="3038ABB4" w14:textId="77777777" w:rsidR="00BF43F9" w:rsidRPr="006E1229" w:rsidRDefault="00BF43F9" w:rsidP="00BF43F9">
      <w:pPr>
        <w:pStyle w:val="4-SubsectionHeading"/>
      </w:pPr>
      <w:r w:rsidRPr="006E1229">
        <w:t>Consumer comments</w:t>
      </w:r>
    </w:p>
    <w:p w14:paraId="091FF29C" w14:textId="44E1B4FE" w:rsidR="00BF43F9" w:rsidRPr="00836F75" w:rsidRDefault="00BF43F9" w:rsidP="00BF43F9">
      <w:pPr>
        <w:widowControl w:val="0"/>
        <w:numPr>
          <w:ilvl w:val="1"/>
          <w:numId w:val="1"/>
        </w:numPr>
        <w:spacing w:after="120"/>
        <w:rPr>
          <w:rFonts w:cs="Arial"/>
          <w:bCs/>
          <w:snapToGrid w:val="0"/>
        </w:rPr>
      </w:pPr>
      <w:bookmarkStart w:id="17" w:name="_Hlk76382618"/>
      <w:r w:rsidRPr="00836F75">
        <w:rPr>
          <w:rFonts w:cs="Arial"/>
          <w:bCs/>
          <w:snapToGrid w:val="0"/>
        </w:rPr>
        <w:t>The PBAC noted and welcomed the input from individuals (</w:t>
      </w:r>
      <w:r w:rsidR="00FB107E">
        <w:rPr>
          <w:rFonts w:cs="Arial"/>
          <w:bCs/>
          <w:snapToGrid w:val="0"/>
        </w:rPr>
        <w:t>60</w:t>
      </w:r>
      <w:r w:rsidRPr="00836F75">
        <w:rPr>
          <w:rFonts w:cs="Arial"/>
          <w:bCs/>
          <w:snapToGrid w:val="0"/>
        </w:rPr>
        <w:t>), health care professionals (</w:t>
      </w:r>
      <w:r w:rsidR="00FB107E">
        <w:rPr>
          <w:rFonts w:cs="Arial"/>
          <w:bCs/>
          <w:snapToGrid w:val="0"/>
        </w:rPr>
        <w:t>9</w:t>
      </w:r>
      <w:r w:rsidRPr="00836F75">
        <w:rPr>
          <w:rFonts w:cs="Arial"/>
          <w:bCs/>
          <w:snapToGrid w:val="0"/>
        </w:rPr>
        <w:t xml:space="preserve">) and </w:t>
      </w:r>
      <w:r w:rsidR="00FB107E">
        <w:rPr>
          <w:rFonts w:cs="Arial"/>
          <w:bCs/>
          <w:snapToGrid w:val="0"/>
        </w:rPr>
        <w:t>consumer groups/</w:t>
      </w:r>
      <w:r w:rsidRPr="00836F75">
        <w:rPr>
          <w:rFonts w:cs="Arial"/>
          <w:bCs/>
          <w:snapToGrid w:val="0"/>
        </w:rPr>
        <w:t>organisations (</w:t>
      </w:r>
      <w:r w:rsidR="00FB107E">
        <w:rPr>
          <w:rFonts w:cs="Arial"/>
          <w:bCs/>
          <w:snapToGrid w:val="0"/>
        </w:rPr>
        <w:t>2</w:t>
      </w:r>
      <w:r w:rsidRPr="00836F75">
        <w:rPr>
          <w:rFonts w:cs="Arial"/>
          <w:bCs/>
          <w:snapToGrid w:val="0"/>
        </w:rPr>
        <w:t xml:space="preserve">) </w:t>
      </w:r>
      <w:r w:rsidR="00FB107E">
        <w:rPr>
          <w:rFonts w:cs="Arial"/>
          <w:bCs/>
          <w:snapToGrid w:val="0"/>
        </w:rPr>
        <w:t xml:space="preserve">and medical organisations (4) </w:t>
      </w:r>
      <w:r w:rsidRPr="00836F75">
        <w:rPr>
          <w:rFonts w:cs="Arial"/>
          <w:bCs/>
          <w:snapToGrid w:val="0"/>
        </w:rPr>
        <w:t xml:space="preserve">via the Consumer Comments facility on the PBS website.  </w:t>
      </w:r>
    </w:p>
    <w:p w14:paraId="29AAF276" w14:textId="77C8202B" w:rsidR="00BF43F9" w:rsidRDefault="00FF6793" w:rsidP="00183AFC">
      <w:pPr>
        <w:widowControl w:val="0"/>
        <w:numPr>
          <w:ilvl w:val="1"/>
          <w:numId w:val="1"/>
        </w:numPr>
        <w:spacing w:after="120"/>
        <w:rPr>
          <w:rFonts w:cs="Arial"/>
          <w:bCs/>
          <w:snapToGrid w:val="0"/>
        </w:rPr>
      </w:pPr>
      <w:r>
        <w:rPr>
          <w:rFonts w:cs="Arial"/>
          <w:bCs/>
          <w:snapToGrid w:val="0"/>
        </w:rPr>
        <w:t xml:space="preserve">All medical organisations that provided comments noted the significant impacts </w:t>
      </w:r>
      <w:r w:rsidR="00EE02CD">
        <w:rPr>
          <w:rFonts w:cs="Arial"/>
          <w:bCs/>
          <w:snapToGrid w:val="0"/>
        </w:rPr>
        <w:t xml:space="preserve">on </w:t>
      </w:r>
      <w:r>
        <w:rPr>
          <w:rFonts w:cs="Arial"/>
          <w:bCs/>
          <w:snapToGrid w:val="0"/>
        </w:rPr>
        <w:t>quality of life for children with AD</w:t>
      </w:r>
      <w:r w:rsidR="00EE02CD">
        <w:rPr>
          <w:rFonts w:cs="Arial"/>
          <w:bCs/>
          <w:snapToGrid w:val="0"/>
        </w:rPr>
        <w:t xml:space="preserve">, </w:t>
      </w:r>
      <w:r>
        <w:rPr>
          <w:rFonts w:cs="Arial"/>
          <w:bCs/>
          <w:snapToGrid w:val="0"/>
        </w:rPr>
        <w:t xml:space="preserve">the safety concerns and lack of efficacy for existing treatments and all were supportive of </w:t>
      </w:r>
      <w:r w:rsidR="00EE02CD">
        <w:rPr>
          <w:rFonts w:cs="Arial"/>
          <w:bCs/>
          <w:snapToGrid w:val="0"/>
        </w:rPr>
        <w:t xml:space="preserve">the proposed </w:t>
      </w:r>
      <w:r>
        <w:rPr>
          <w:rFonts w:cs="Arial"/>
          <w:bCs/>
          <w:snapToGrid w:val="0"/>
        </w:rPr>
        <w:t xml:space="preserve">PBS listing for dupilumab. </w:t>
      </w:r>
      <w:r w:rsidR="003B40BB" w:rsidRPr="00662D30">
        <w:rPr>
          <w:rFonts w:cs="Arial"/>
          <w:bCs/>
          <w:snapToGrid w:val="0"/>
        </w:rPr>
        <w:t xml:space="preserve">The National Paediatric Medicines Forum (NPMF) noted </w:t>
      </w:r>
      <w:proofErr w:type="gramStart"/>
      <w:r w:rsidR="003B40BB" w:rsidRPr="00662D30">
        <w:rPr>
          <w:rFonts w:cs="Arial"/>
          <w:bCs/>
          <w:snapToGrid w:val="0"/>
        </w:rPr>
        <w:t>a number of</w:t>
      </w:r>
      <w:proofErr w:type="gramEnd"/>
      <w:r w:rsidR="003B40BB" w:rsidRPr="00662D30">
        <w:rPr>
          <w:rFonts w:cs="Arial"/>
          <w:bCs/>
          <w:snapToGrid w:val="0"/>
        </w:rPr>
        <w:t xml:space="preserve"> paediatric patients </w:t>
      </w:r>
      <w:r w:rsidR="00EE02CD">
        <w:rPr>
          <w:rFonts w:cs="Arial"/>
          <w:bCs/>
          <w:snapToGrid w:val="0"/>
        </w:rPr>
        <w:t xml:space="preserve">are </w:t>
      </w:r>
      <w:r w:rsidR="003B40BB" w:rsidRPr="00662D30">
        <w:rPr>
          <w:rFonts w:cs="Arial"/>
          <w:bCs/>
          <w:snapToGrid w:val="0"/>
        </w:rPr>
        <w:t>currently accessing treatment via hospital funding or other mechanisms</w:t>
      </w:r>
      <w:r w:rsidR="00D1403A">
        <w:rPr>
          <w:rFonts w:cs="Arial"/>
          <w:bCs/>
          <w:snapToGrid w:val="0"/>
        </w:rPr>
        <w:t xml:space="preserve">. </w:t>
      </w:r>
      <w:r w:rsidR="00662D30" w:rsidRPr="00662D30">
        <w:rPr>
          <w:rFonts w:cs="Arial"/>
          <w:bCs/>
          <w:snapToGrid w:val="0"/>
        </w:rPr>
        <w:t>The Australasian Society of Clinical Immunology and Allergy (ASCIA) reported that the listing of dupilumab in patients aged 12 years or older has made a significant difference to their health-related quality of life, learning outcomes and productivity and is likely to also make a significant difference to</w:t>
      </w:r>
      <w:r w:rsidR="00EE02CD">
        <w:rPr>
          <w:rFonts w:cs="Arial"/>
          <w:bCs/>
          <w:snapToGrid w:val="0"/>
        </w:rPr>
        <w:t xml:space="preserve"> younger</w:t>
      </w:r>
      <w:r w:rsidR="00662D30" w:rsidRPr="00662D30">
        <w:rPr>
          <w:rFonts w:cs="Arial"/>
          <w:bCs/>
          <w:snapToGrid w:val="0"/>
        </w:rPr>
        <w:t xml:space="preserve"> children. </w:t>
      </w:r>
      <w:r w:rsidR="00662D30">
        <w:rPr>
          <w:rFonts w:cs="Arial"/>
          <w:bCs/>
          <w:snapToGrid w:val="0"/>
        </w:rPr>
        <w:t xml:space="preserve">ASCIA </w:t>
      </w:r>
      <w:r w:rsidR="00D1403A">
        <w:rPr>
          <w:rFonts w:cs="Arial"/>
          <w:bCs/>
          <w:snapToGrid w:val="0"/>
        </w:rPr>
        <w:t xml:space="preserve">also </w:t>
      </w:r>
      <w:r w:rsidR="00662D30">
        <w:rPr>
          <w:rFonts w:cs="Arial"/>
          <w:bCs/>
          <w:snapToGrid w:val="0"/>
        </w:rPr>
        <w:t xml:space="preserve">stated </w:t>
      </w:r>
      <w:r w:rsidR="00662D30" w:rsidRPr="00662D30">
        <w:rPr>
          <w:rFonts w:cs="Arial"/>
          <w:bCs/>
          <w:snapToGrid w:val="0"/>
        </w:rPr>
        <w:t xml:space="preserve">that </w:t>
      </w:r>
      <w:r w:rsidR="00662D30">
        <w:rPr>
          <w:rFonts w:cs="Arial"/>
          <w:bCs/>
          <w:snapToGrid w:val="0"/>
        </w:rPr>
        <w:t>c</w:t>
      </w:r>
      <w:r w:rsidR="00662D30" w:rsidRPr="00662D30">
        <w:rPr>
          <w:rFonts w:cs="Arial"/>
          <w:bCs/>
          <w:snapToGrid w:val="0"/>
        </w:rPr>
        <w:t>linical immunology/allergy specialists regularly manage patients of all ages with severe atopic</w:t>
      </w:r>
      <w:r w:rsidR="00662D30">
        <w:rPr>
          <w:rFonts w:cs="Arial"/>
          <w:bCs/>
          <w:snapToGrid w:val="0"/>
        </w:rPr>
        <w:t xml:space="preserve"> </w:t>
      </w:r>
      <w:proofErr w:type="gramStart"/>
      <w:r w:rsidR="00662D30" w:rsidRPr="00662D30">
        <w:rPr>
          <w:rFonts w:cs="Arial"/>
          <w:bCs/>
          <w:snapToGrid w:val="0"/>
        </w:rPr>
        <w:t>dermatitis, and</w:t>
      </w:r>
      <w:proofErr w:type="gramEnd"/>
      <w:r w:rsidR="00662D30" w:rsidRPr="00662D30">
        <w:rPr>
          <w:rFonts w:cs="Arial"/>
          <w:bCs/>
          <w:snapToGrid w:val="0"/>
        </w:rPr>
        <w:t xml:space="preserve"> are experienced in appropriate selection and monitoring of these patients. </w:t>
      </w:r>
    </w:p>
    <w:p w14:paraId="5CA4AE36" w14:textId="7EF0C6C9" w:rsidR="00D1403A" w:rsidRPr="00662D30" w:rsidRDefault="00D1403A" w:rsidP="00183AFC">
      <w:pPr>
        <w:widowControl w:val="0"/>
        <w:numPr>
          <w:ilvl w:val="1"/>
          <w:numId w:val="1"/>
        </w:numPr>
        <w:spacing w:after="120"/>
        <w:rPr>
          <w:rFonts w:cs="Arial"/>
          <w:bCs/>
          <w:snapToGrid w:val="0"/>
        </w:rPr>
      </w:pPr>
      <w:r>
        <w:rPr>
          <w:rFonts w:cs="Arial"/>
          <w:bCs/>
          <w:snapToGrid w:val="0"/>
        </w:rPr>
        <w:t xml:space="preserve">Consumer groups (Allergy &amp; Anaphylaxis Australia and Eczema Support Australia) expressed their support </w:t>
      </w:r>
      <w:r w:rsidR="00403EA3">
        <w:rPr>
          <w:rFonts w:cs="Arial"/>
          <w:bCs/>
          <w:snapToGrid w:val="0"/>
        </w:rPr>
        <w:t xml:space="preserve">for </w:t>
      </w:r>
      <w:r>
        <w:rPr>
          <w:rFonts w:cs="Arial"/>
          <w:bCs/>
          <w:snapToGrid w:val="0"/>
        </w:rPr>
        <w:t xml:space="preserve">PBS listing dupilumab for children aged </w:t>
      </w:r>
      <w:r w:rsidR="009F7132">
        <w:rPr>
          <w:rFonts w:cs="Arial"/>
          <w:bCs/>
          <w:snapToGrid w:val="0"/>
        </w:rPr>
        <w:t>&lt;12 years</w:t>
      </w:r>
      <w:r w:rsidR="00FF6793">
        <w:rPr>
          <w:rFonts w:cs="Arial"/>
          <w:bCs/>
          <w:snapToGrid w:val="0"/>
        </w:rPr>
        <w:t xml:space="preserve">, outlining the urgent need for affordable access to effective treatment for AD. Consumer groups outlined the significant impacts of AD on family life and education and the high cost of managing AD including on </w:t>
      </w:r>
      <w:r w:rsidR="00403EA3">
        <w:rPr>
          <w:rFonts w:cs="Arial"/>
          <w:bCs/>
          <w:snapToGrid w:val="0"/>
        </w:rPr>
        <w:t>workforce participation</w:t>
      </w:r>
      <w:r w:rsidR="00FF6793">
        <w:rPr>
          <w:rFonts w:cs="Arial"/>
          <w:bCs/>
          <w:snapToGrid w:val="0"/>
        </w:rPr>
        <w:t xml:space="preserve"> for carers. </w:t>
      </w:r>
    </w:p>
    <w:p w14:paraId="1E245DA7" w14:textId="6815D84F" w:rsidR="00BF43F9" w:rsidRDefault="00FB107E" w:rsidP="00BF43F9">
      <w:pPr>
        <w:widowControl w:val="0"/>
        <w:numPr>
          <w:ilvl w:val="1"/>
          <w:numId w:val="1"/>
        </w:numPr>
        <w:spacing w:after="120"/>
        <w:rPr>
          <w:rFonts w:cs="Arial"/>
          <w:bCs/>
          <w:snapToGrid w:val="0"/>
        </w:rPr>
      </w:pPr>
      <w:r>
        <w:rPr>
          <w:rFonts w:cs="Arial"/>
          <w:bCs/>
          <w:snapToGrid w:val="0"/>
        </w:rPr>
        <w:lastRenderedPageBreak/>
        <w:t xml:space="preserve">Individuals </w:t>
      </w:r>
      <w:r w:rsidR="002C1DB8">
        <w:rPr>
          <w:rFonts w:cs="Arial"/>
          <w:bCs/>
          <w:snapToGrid w:val="0"/>
        </w:rPr>
        <w:t xml:space="preserve">who had used dupilumab (14) </w:t>
      </w:r>
      <w:r w:rsidR="00A02013">
        <w:rPr>
          <w:rFonts w:cs="Arial"/>
          <w:bCs/>
          <w:snapToGrid w:val="0"/>
        </w:rPr>
        <w:t>and parents of children who had used dupilumab (3) reported the impact of treatment with dupilumab in terms of clearance of AD</w:t>
      </w:r>
      <w:r w:rsidR="00A84430">
        <w:rPr>
          <w:rFonts w:cs="Arial"/>
          <w:bCs/>
          <w:snapToGrid w:val="0"/>
        </w:rPr>
        <w:t xml:space="preserve">, itch </w:t>
      </w:r>
      <w:r w:rsidR="00EE63C5">
        <w:rPr>
          <w:rFonts w:cs="Arial"/>
          <w:bCs/>
          <w:snapToGrid w:val="0"/>
        </w:rPr>
        <w:t>reduction</w:t>
      </w:r>
      <w:r w:rsidR="00F10807">
        <w:rPr>
          <w:rFonts w:cs="Arial"/>
          <w:bCs/>
          <w:snapToGrid w:val="0"/>
        </w:rPr>
        <w:t xml:space="preserve">, </w:t>
      </w:r>
      <w:r w:rsidR="00A84430">
        <w:rPr>
          <w:rFonts w:cs="Arial"/>
          <w:bCs/>
          <w:snapToGrid w:val="0"/>
        </w:rPr>
        <w:t xml:space="preserve">wound </w:t>
      </w:r>
      <w:proofErr w:type="gramStart"/>
      <w:r w:rsidR="00A84430">
        <w:rPr>
          <w:rFonts w:cs="Arial"/>
          <w:bCs/>
          <w:snapToGrid w:val="0"/>
        </w:rPr>
        <w:t>healing</w:t>
      </w:r>
      <w:proofErr w:type="gramEnd"/>
      <w:r w:rsidR="00A84430">
        <w:rPr>
          <w:rFonts w:cs="Arial"/>
          <w:bCs/>
          <w:snapToGrid w:val="0"/>
        </w:rPr>
        <w:t xml:space="preserve"> </w:t>
      </w:r>
      <w:r w:rsidR="00A02013">
        <w:rPr>
          <w:rFonts w:cs="Arial"/>
          <w:bCs/>
          <w:snapToGrid w:val="0"/>
        </w:rPr>
        <w:t xml:space="preserve">and improvements in terms of quality of life (ability to function, </w:t>
      </w:r>
      <w:r w:rsidR="00A84430">
        <w:rPr>
          <w:rFonts w:cs="Arial"/>
          <w:bCs/>
          <w:snapToGrid w:val="0"/>
        </w:rPr>
        <w:t xml:space="preserve">sleep improvement, </w:t>
      </w:r>
      <w:r w:rsidR="00EE63C5">
        <w:rPr>
          <w:rFonts w:cs="Arial"/>
          <w:bCs/>
          <w:snapToGrid w:val="0"/>
        </w:rPr>
        <w:t xml:space="preserve">confidence, </w:t>
      </w:r>
      <w:r w:rsidR="00A84430">
        <w:rPr>
          <w:rFonts w:cs="Arial"/>
          <w:bCs/>
          <w:snapToGrid w:val="0"/>
        </w:rPr>
        <w:t xml:space="preserve">mood and concentration). Parents noted the reduced use of other treatments (antibiotics, </w:t>
      </w:r>
      <w:r w:rsidR="00EE63C5">
        <w:rPr>
          <w:rFonts w:cs="Arial"/>
          <w:bCs/>
          <w:snapToGrid w:val="0"/>
        </w:rPr>
        <w:t xml:space="preserve">steroids, </w:t>
      </w:r>
      <w:r w:rsidR="00365585">
        <w:rPr>
          <w:rFonts w:cs="Arial"/>
          <w:bCs/>
          <w:snapToGrid w:val="0"/>
        </w:rPr>
        <w:t>immunosuppressants</w:t>
      </w:r>
      <w:r w:rsidR="00F10807">
        <w:rPr>
          <w:rFonts w:cs="Arial"/>
          <w:bCs/>
          <w:snapToGrid w:val="0"/>
        </w:rPr>
        <w:t>,</w:t>
      </w:r>
      <w:r w:rsidR="00365585">
        <w:rPr>
          <w:rFonts w:cs="Arial"/>
          <w:bCs/>
          <w:snapToGrid w:val="0"/>
        </w:rPr>
        <w:t xml:space="preserve"> </w:t>
      </w:r>
      <w:r w:rsidR="00F10807">
        <w:rPr>
          <w:rFonts w:cs="Arial"/>
          <w:bCs/>
          <w:snapToGrid w:val="0"/>
        </w:rPr>
        <w:t xml:space="preserve">bleach baths, wet dressings, </w:t>
      </w:r>
      <w:proofErr w:type="gramStart"/>
      <w:r w:rsidR="00A84430">
        <w:rPr>
          <w:rFonts w:cs="Arial"/>
          <w:bCs/>
          <w:snapToGrid w:val="0"/>
        </w:rPr>
        <w:t>creams</w:t>
      </w:r>
      <w:proofErr w:type="gramEnd"/>
      <w:r w:rsidR="00A84430">
        <w:rPr>
          <w:rFonts w:cs="Arial"/>
          <w:bCs/>
          <w:snapToGrid w:val="0"/>
        </w:rPr>
        <w:t xml:space="preserve"> and moisturisers)</w:t>
      </w:r>
      <w:r w:rsidR="00365585">
        <w:rPr>
          <w:rFonts w:cs="Arial"/>
          <w:bCs/>
          <w:snapToGrid w:val="0"/>
        </w:rPr>
        <w:t xml:space="preserve"> some of which have significant and lasting safety implications</w:t>
      </w:r>
      <w:r w:rsidR="00EE63C5">
        <w:rPr>
          <w:rFonts w:cs="Arial"/>
          <w:bCs/>
          <w:snapToGrid w:val="0"/>
        </w:rPr>
        <w:t>.</w:t>
      </w:r>
      <w:r w:rsidR="00744802">
        <w:rPr>
          <w:rFonts w:cs="Arial"/>
          <w:bCs/>
          <w:snapToGrid w:val="0"/>
        </w:rPr>
        <w:t xml:space="preserve"> </w:t>
      </w:r>
      <w:proofErr w:type="gramStart"/>
      <w:r w:rsidR="00744802">
        <w:rPr>
          <w:rFonts w:cs="Arial"/>
          <w:bCs/>
          <w:snapToGrid w:val="0"/>
        </w:rPr>
        <w:t>A number of</w:t>
      </w:r>
      <w:proofErr w:type="gramEnd"/>
      <w:r w:rsidR="00744802">
        <w:rPr>
          <w:rFonts w:cs="Arial"/>
          <w:bCs/>
          <w:snapToGrid w:val="0"/>
        </w:rPr>
        <w:t xml:space="preserve"> individuals who had used dupilumab reported eye irritation and other side effects from dupilumab (headaches, pain</w:t>
      </w:r>
      <w:r w:rsidR="00365585">
        <w:rPr>
          <w:rFonts w:cs="Arial"/>
          <w:bCs/>
          <w:snapToGrid w:val="0"/>
        </w:rPr>
        <w:t xml:space="preserve">, cold sores) </w:t>
      </w:r>
      <w:r w:rsidR="00744802">
        <w:rPr>
          <w:rFonts w:cs="Arial"/>
          <w:bCs/>
          <w:snapToGrid w:val="0"/>
        </w:rPr>
        <w:t xml:space="preserve">but indicated that side effects were tolerable </w:t>
      </w:r>
      <w:r w:rsidR="00F10807">
        <w:rPr>
          <w:rFonts w:cs="Arial"/>
          <w:bCs/>
          <w:snapToGrid w:val="0"/>
        </w:rPr>
        <w:t>and would not lead to discontinuation because</w:t>
      </w:r>
      <w:r w:rsidR="00744802">
        <w:rPr>
          <w:rFonts w:cs="Arial"/>
          <w:bCs/>
          <w:snapToGrid w:val="0"/>
        </w:rPr>
        <w:t xml:space="preserve"> the treatment was effective. Individuals noted that injections can be difficult for children or inconvenient and some would prefer this to be done by a healthcare professional rather than at home.</w:t>
      </w:r>
    </w:p>
    <w:p w14:paraId="54D9696A" w14:textId="6B18019B" w:rsidR="00EE63C5" w:rsidRDefault="00EE63C5" w:rsidP="00BF43F9">
      <w:pPr>
        <w:widowControl w:val="0"/>
        <w:numPr>
          <w:ilvl w:val="1"/>
          <w:numId w:val="1"/>
        </w:numPr>
        <w:spacing w:after="120"/>
        <w:rPr>
          <w:rFonts w:cs="Arial"/>
          <w:bCs/>
          <w:snapToGrid w:val="0"/>
        </w:rPr>
      </w:pPr>
      <w:r>
        <w:rPr>
          <w:rFonts w:cs="Arial"/>
          <w:bCs/>
          <w:snapToGrid w:val="0"/>
        </w:rPr>
        <w:t xml:space="preserve">Parents who had not accessed treatment noted the existing treatments have limited effectiveness and </w:t>
      </w:r>
      <w:r w:rsidR="00F10807">
        <w:rPr>
          <w:rFonts w:cs="Arial"/>
          <w:bCs/>
          <w:snapToGrid w:val="0"/>
        </w:rPr>
        <w:t>often</w:t>
      </w:r>
      <w:r>
        <w:rPr>
          <w:rFonts w:cs="Arial"/>
          <w:bCs/>
          <w:snapToGrid w:val="0"/>
        </w:rPr>
        <w:t xml:space="preserve"> require a high level of ongoing care</w:t>
      </w:r>
      <w:r w:rsidR="00A95898">
        <w:rPr>
          <w:rFonts w:cs="Arial"/>
          <w:bCs/>
          <w:snapToGrid w:val="0"/>
        </w:rPr>
        <w:t xml:space="preserve"> which is time-consuming, expensive and </w:t>
      </w:r>
      <w:r w:rsidR="00F10807">
        <w:rPr>
          <w:rFonts w:cs="Arial"/>
          <w:bCs/>
          <w:snapToGrid w:val="0"/>
        </w:rPr>
        <w:t>can be</w:t>
      </w:r>
      <w:r w:rsidR="00A95898">
        <w:rPr>
          <w:rFonts w:cs="Arial"/>
          <w:bCs/>
          <w:snapToGrid w:val="0"/>
        </w:rPr>
        <w:t xml:space="preserve"> painful</w:t>
      </w:r>
      <w:r>
        <w:rPr>
          <w:rFonts w:cs="Arial"/>
          <w:bCs/>
          <w:snapToGrid w:val="0"/>
        </w:rPr>
        <w:t xml:space="preserve">. </w:t>
      </w:r>
      <w:r w:rsidR="00F10807">
        <w:rPr>
          <w:rFonts w:cs="Arial"/>
          <w:bCs/>
          <w:snapToGrid w:val="0"/>
        </w:rPr>
        <w:t>Parent</w:t>
      </w:r>
      <w:r w:rsidR="00AF7934">
        <w:rPr>
          <w:rFonts w:cs="Arial"/>
          <w:bCs/>
          <w:snapToGrid w:val="0"/>
        </w:rPr>
        <w:t>s</w:t>
      </w:r>
      <w:r w:rsidR="00F10807">
        <w:rPr>
          <w:rFonts w:cs="Arial"/>
          <w:bCs/>
          <w:snapToGrid w:val="0"/>
        </w:rPr>
        <w:t xml:space="preserve"> also noted</w:t>
      </w:r>
      <w:r>
        <w:rPr>
          <w:rFonts w:cs="Arial"/>
          <w:bCs/>
          <w:snapToGrid w:val="0"/>
        </w:rPr>
        <w:t xml:space="preserve"> the significant</w:t>
      </w:r>
      <w:r w:rsidR="00AF7934">
        <w:rPr>
          <w:rFonts w:cs="Arial"/>
          <w:bCs/>
          <w:snapToGrid w:val="0"/>
        </w:rPr>
        <w:t>, debilitating</w:t>
      </w:r>
      <w:r>
        <w:rPr>
          <w:rFonts w:cs="Arial"/>
          <w:bCs/>
          <w:snapToGrid w:val="0"/>
        </w:rPr>
        <w:t xml:space="preserve"> </w:t>
      </w:r>
      <w:r w:rsidR="00AF7934">
        <w:rPr>
          <w:rFonts w:cs="Arial"/>
          <w:bCs/>
          <w:snapToGrid w:val="0"/>
        </w:rPr>
        <w:t>physical and emotional suffering for children with severe</w:t>
      </w:r>
      <w:r>
        <w:rPr>
          <w:rFonts w:cs="Arial"/>
          <w:bCs/>
          <w:snapToGrid w:val="0"/>
        </w:rPr>
        <w:t xml:space="preserve"> AD</w:t>
      </w:r>
      <w:r w:rsidR="00AF7934">
        <w:rPr>
          <w:rFonts w:cs="Arial"/>
          <w:bCs/>
          <w:snapToGrid w:val="0"/>
        </w:rPr>
        <w:t xml:space="preserve">, </w:t>
      </w:r>
      <w:r w:rsidR="0032141F">
        <w:rPr>
          <w:rFonts w:cs="Arial"/>
          <w:bCs/>
          <w:snapToGrid w:val="0"/>
        </w:rPr>
        <w:t xml:space="preserve">and the toll </w:t>
      </w:r>
      <w:r w:rsidR="00EC7CEB">
        <w:rPr>
          <w:rFonts w:cs="Arial"/>
          <w:bCs/>
          <w:snapToGrid w:val="0"/>
        </w:rPr>
        <w:t>from this suffering that</w:t>
      </w:r>
      <w:r w:rsidR="00AF7934">
        <w:rPr>
          <w:rFonts w:cs="Arial"/>
          <w:bCs/>
          <w:snapToGrid w:val="0"/>
        </w:rPr>
        <w:t xml:space="preserve"> extends to parents and family.</w:t>
      </w:r>
      <w:r w:rsidR="0032141F">
        <w:rPr>
          <w:rFonts w:cs="Arial"/>
          <w:bCs/>
          <w:snapToGrid w:val="0"/>
        </w:rPr>
        <w:t xml:space="preserve"> Parents noted impacts</w:t>
      </w:r>
      <w:r w:rsidR="00EC7CEB">
        <w:rPr>
          <w:rFonts w:cs="Arial"/>
          <w:bCs/>
          <w:snapToGrid w:val="0"/>
        </w:rPr>
        <w:t xml:space="preserve"> </w:t>
      </w:r>
      <w:r w:rsidR="0032141F">
        <w:rPr>
          <w:rFonts w:cs="Arial"/>
          <w:bCs/>
          <w:snapToGrid w:val="0"/>
        </w:rPr>
        <w:t xml:space="preserve">on </w:t>
      </w:r>
      <w:r w:rsidR="00EC7CEB">
        <w:rPr>
          <w:rFonts w:cs="Arial"/>
          <w:bCs/>
          <w:snapToGrid w:val="0"/>
        </w:rPr>
        <w:t xml:space="preserve">children’s </w:t>
      </w:r>
      <w:r w:rsidR="0032141F">
        <w:rPr>
          <w:rFonts w:cs="Arial"/>
          <w:bCs/>
          <w:snapToGrid w:val="0"/>
        </w:rPr>
        <w:t xml:space="preserve">mental health, sleep, social </w:t>
      </w:r>
      <w:proofErr w:type="gramStart"/>
      <w:r w:rsidR="0032141F">
        <w:rPr>
          <w:rFonts w:cs="Arial"/>
          <w:bCs/>
          <w:snapToGrid w:val="0"/>
        </w:rPr>
        <w:t>development</w:t>
      </w:r>
      <w:proofErr w:type="gramEnd"/>
      <w:r w:rsidR="0032141F">
        <w:rPr>
          <w:rFonts w:cs="Arial"/>
          <w:bCs/>
          <w:snapToGrid w:val="0"/>
        </w:rPr>
        <w:t xml:space="preserve"> and school attendance.</w:t>
      </w:r>
      <w:r w:rsidR="00EC7CEB">
        <w:rPr>
          <w:rFonts w:cs="Arial"/>
          <w:bCs/>
          <w:snapToGrid w:val="0"/>
        </w:rPr>
        <w:t xml:space="preserve"> Parents noted the prohibitive cost of accessing dupilumab outside the PBS.</w:t>
      </w:r>
    </w:p>
    <w:p w14:paraId="08231070" w14:textId="1960355D" w:rsidR="00FB107E" w:rsidRDefault="00FB107E" w:rsidP="00BF43F9">
      <w:pPr>
        <w:widowControl w:val="0"/>
        <w:numPr>
          <w:ilvl w:val="1"/>
          <w:numId w:val="1"/>
        </w:numPr>
        <w:spacing w:after="120"/>
        <w:rPr>
          <w:rFonts w:cs="Arial"/>
          <w:bCs/>
          <w:snapToGrid w:val="0"/>
        </w:rPr>
      </w:pPr>
      <w:r>
        <w:rPr>
          <w:rFonts w:cs="Arial"/>
          <w:bCs/>
          <w:snapToGrid w:val="0"/>
        </w:rPr>
        <w:t>Healthcare professionals</w:t>
      </w:r>
      <w:r w:rsidR="002C1DB8">
        <w:rPr>
          <w:rFonts w:cs="Arial"/>
          <w:bCs/>
          <w:snapToGrid w:val="0"/>
        </w:rPr>
        <w:t xml:space="preserve"> noted that experience with dupilumab in patients aged </w:t>
      </w:r>
      <w:r w:rsidR="00EE63C5">
        <w:rPr>
          <w:rFonts w:cstheme="minorHAnsi"/>
          <w:bCs/>
          <w:snapToGrid w:val="0"/>
        </w:rPr>
        <w:t>≥</w:t>
      </w:r>
      <w:r w:rsidR="002C1DB8">
        <w:rPr>
          <w:rFonts w:cs="Arial"/>
          <w:bCs/>
          <w:snapToGrid w:val="0"/>
        </w:rPr>
        <w:t>12 indicated that that it is highly effective in treating severe disease and the limited experience in patients &lt;12 years of age has also shown rapid and sustained effect. Healthcare professionals noted that dupilumab has safety advantages o</w:t>
      </w:r>
      <w:r w:rsidR="00EE63C5">
        <w:rPr>
          <w:rFonts w:cs="Arial"/>
          <w:bCs/>
          <w:snapToGrid w:val="0"/>
        </w:rPr>
        <w:t xml:space="preserve">ver </w:t>
      </w:r>
      <w:r w:rsidR="002C1DB8">
        <w:rPr>
          <w:rFonts w:cs="Arial"/>
          <w:bCs/>
          <w:snapToGrid w:val="0"/>
        </w:rPr>
        <w:t>immunosuppressive therapies</w:t>
      </w:r>
      <w:r w:rsidR="00C209C4">
        <w:rPr>
          <w:rFonts w:cs="Arial"/>
          <w:bCs/>
          <w:snapToGrid w:val="0"/>
        </w:rPr>
        <w:t xml:space="preserve"> and does not require regular blood test monitoring</w:t>
      </w:r>
      <w:r w:rsidR="002C1DB8">
        <w:rPr>
          <w:rFonts w:cs="Arial"/>
          <w:bCs/>
          <w:snapToGrid w:val="0"/>
        </w:rPr>
        <w:t xml:space="preserve">. </w:t>
      </w:r>
      <w:r w:rsidR="00C209C4">
        <w:rPr>
          <w:rFonts w:cs="Arial"/>
          <w:bCs/>
          <w:snapToGrid w:val="0"/>
        </w:rPr>
        <w:t xml:space="preserve">Healthcare professionals noted that </w:t>
      </w:r>
      <w:r w:rsidR="00744802">
        <w:rPr>
          <w:rFonts w:cs="Arial"/>
          <w:bCs/>
          <w:snapToGrid w:val="0"/>
        </w:rPr>
        <w:t xml:space="preserve">side effects tend to be minor and </w:t>
      </w:r>
      <w:proofErr w:type="gramStart"/>
      <w:r w:rsidR="00744802">
        <w:rPr>
          <w:rFonts w:cs="Arial"/>
          <w:bCs/>
          <w:snapToGrid w:val="0"/>
        </w:rPr>
        <w:t>manageable</w:t>
      </w:r>
      <w:proofErr w:type="gramEnd"/>
      <w:r w:rsidR="00744802">
        <w:rPr>
          <w:rFonts w:cs="Arial"/>
          <w:bCs/>
          <w:snapToGrid w:val="0"/>
        </w:rPr>
        <w:t xml:space="preserve"> and </w:t>
      </w:r>
      <w:r w:rsidR="00C209C4">
        <w:rPr>
          <w:rFonts w:cs="Arial"/>
          <w:bCs/>
          <w:snapToGrid w:val="0"/>
        </w:rPr>
        <w:t>few patients are unable</w:t>
      </w:r>
      <w:r w:rsidR="00744802">
        <w:rPr>
          <w:rFonts w:cs="Arial"/>
          <w:bCs/>
          <w:snapToGrid w:val="0"/>
        </w:rPr>
        <w:t xml:space="preserve"> to tolerate treatment due to conjunctivitis.</w:t>
      </w:r>
      <w:r w:rsidR="00C209C4">
        <w:rPr>
          <w:rFonts w:cs="Arial"/>
          <w:bCs/>
          <w:snapToGrid w:val="0"/>
        </w:rPr>
        <w:t xml:space="preserve"> </w:t>
      </w:r>
      <w:r w:rsidR="00A95898">
        <w:rPr>
          <w:rFonts w:cs="Arial"/>
          <w:bCs/>
          <w:snapToGrid w:val="0"/>
        </w:rPr>
        <w:t>Healthcare professionals noted that injections may be difficult for some patients</w:t>
      </w:r>
      <w:r w:rsidR="001F365D">
        <w:rPr>
          <w:rFonts w:cs="Arial"/>
          <w:bCs/>
          <w:snapToGrid w:val="0"/>
        </w:rPr>
        <w:t xml:space="preserve"> but often these difficulties can be overcome</w:t>
      </w:r>
      <w:r w:rsidR="00A95898">
        <w:rPr>
          <w:rFonts w:cs="Arial"/>
          <w:bCs/>
          <w:snapToGrid w:val="0"/>
        </w:rPr>
        <w:t xml:space="preserve">. </w:t>
      </w:r>
      <w:r w:rsidR="002C1DB8">
        <w:rPr>
          <w:rFonts w:cs="Arial"/>
          <w:bCs/>
          <w:snapToGrid w:val="0"/>
        </w:rPr>
        <w:t xml:space="preserve">Healthcare professionals also noted the clinical need in younger children is high and the impacts </w:t>
      </w:r>
      <w:r w:rsidR="00365585">
        <w:rPr>
          <w:rFonts w:cs="Arial"/>
          <w:bCs/>
          <w:snapToGrid w:val="0"/>
        </w:rPr>
        <w:t xml:space="preserve">on quality of life </w:t>
      </w:r>
      <w:r w:rsidR="002C1DB8">
        <w:rPr>
          <w:rFonts w:cs="Arial"/>
          <w:bCs/>
          <w:snapToGrid w:val="0"/>
        </w:rPr>
        <w:t xml:space="preserve">from severe disease </w:t>
      </w:r>
      <w:r w:rsidR="00744802">
        <w:rPr>
          <w:rFonts w:cs="Arial"/>
          <w:bCs/>
          <w:snapToGrid w:val="0"/>
        </w:rPr>
        <w:t xml:space="preserve">are </w:t>
      </w:r>
      <w:r w:rsidR="002C1DB8">
        <w:rPr>
          <w:rFonts w:cs="Arial"/>
          <w:bCs/>
          <w:snapToGrid w:val="0"/>
        </w:rPr>
        <w:t>substantial</w:t>
      </w:r>
      <w:r w:rsidR="00365585">
        <w:rPr>
          <w:rFonts w:cs="Arial"/>
          <w:bCs/>
          <w:snapToGrid w:val="0"/>
        </w:rPr>
        <w:t xml:space="preserve"> and include </w:t>
      </w:r>
      <w:r w:rsidR="00365585" w:rsidRPr="00365585">
        <w:rPr>
          <w:rFonts w:cs="Arial"/>
          <w:bCs/>
          <w:snapToGrid w:val="0"/>
        </w:rPr>
        <w:t xml:space="preserve">sleep, school, sport, </w:t>
      </w:r>
      <w:r w:rsidR="00365585">
        <w:rPr>
          <w:rFonts w:cs="Arial"/>
          <w:bCs/>
          <w:snapToGrid w:val="0"/>
        </w:rPr>
        <w:t xml:space="preserve">and the </w:t>
      </w:r>
      <w:r w:rsidR="00365585" w:rsidRPr="00365585">
        <w:rPr>
          <w:rFonts w:cs="Arial"/>
          <w:bCs/>
          <w:snapToGrid w:val="0"/>
        </w:rPr>
        <w:t>ability to interact with peer</w:t>
      </w:r>
      <w:r w:rsidR="001F365D">
        <w:rPr>
          <w:rFonts w:cs="Arial"/>
          <w:bCs/>
          <w:snapToGrid w:val="0"/>
        </w:rPr>
        <w:t xml:space="preserve">s. </w:t>
      </w:r>
    </w:p>
    <w:bookmarkEnd w:id="15"/>
    <w:bookmarkEnd w:id="17"/>
    <w:p w14:paraId="609C0765" w14:textId="74765B99" w:rsidR="00B60939" w:rsidRPr="00E57628" w:rsidRDefault="00B60939" w:rsidP="002E4F02">
      <w:pPr>
        <w:pStyle w:val="4-SubsectionHeading"/>
      </w:pPr>
      <w:r w:rsidRPr="00E57628">
        <w:t>Clinical trials</w:t>
      </w:r>
      <w:bookmarkEnd w:id="14"/>
      <w:bookmarkEnd w:id="16"/>
    </w:p>
    <w:p w14:paraId="45F88D61" w14:textId="66A94F9F" w:rsidR="00FB3987" w:rsidRPr="00C80985" w:rsidRDefault="00FB3987" w:rsidP="002E4F02">
      <w:pPr>
        <w:pStyle w:val="3-BodyText"/>
      </w:pPr>
      <w:r w:rsidRPr="00C80985">
        <w:t>The submission was based on a randomised, double-blind, multicentre trial (Study 1652) comparing the efficacy and safety of dupilumab + topical corticosteroids (TCS) to placebo in paediatric patients aged 6 to 11 years with severe AD inadequately controlled with topical therapies.</w:t>
      </w:r>
      <w:r w:rsidR="00727E48" w:rsidRPr="00C80985">
        <w:t xml:space="preserve"> </w:t>
      </w:r>
      <w:r w:rsidRPr="00C80985">
        <w:t>The trial had a treatment period of 16 weeks, and a follow-up period of 12 weeks, the latter only for those patients who declined or were ineligible to participate in an open-label extension study.</w:t>
      </w:r>
      <w:r w:rsidR="00886DBA" w:rsidRPr="00C80985">
        <w:t xml:space="preserve"> </w:t>
      </w:r>
      <w:r w:rsidR="00886DBA" w:rsidRPr="00C80985">
        <w:rPr>
          <w:iCs/>
        </w:rPr>
        <w:t xml:space="preserve">There is no relevant longer-term data available from the extension study (Study 1434), as </w:t>
      </w:r>
      <w:proofErr w:type="gramStart"/>
      <w:r w:rsidR="00886DBA" w:rsidRPr="00C80985">
        <w:rPr>
          <w:iCs/>
        </w:rPr>
        <w:t xml:space="preserve">the </w:t>
      </w:r>
      <w:r w:rsidR="002B30FB" w:rsidRPr="00C80985">
        <w:rPr>
          <w:iCs/>
        </w:rPr>
        <w:t>majority</w:t>
      </w:r>
      <w:r w:rsidR="00886DBA" w:rsidRPr="00C80985">
        <w:rPr>
          <w:iCs/>
        </w:rPr>
        <w:t xml:space="preserve"> of</w:t>
      </w:r>
      <w:proofErr w:type="gramEnd"/>
      <w:r w:rsidR="00886DBA" w:rsidRPr="00C80985">
        <w:rPr>
          <w:iCs/>
        </w:rPr>
        <w:t xml:space="preserve"> patients (84%; 33/39) used weight-based dosing (2 mg/kg or 4 mg/kg) and the study CSR noted (p58) that efficacy analyses were confounded because of inclusion of patients who were treated with different dose regimens at different time points.</w:t>
      </w:r>
    </w:p>
    <w:p w14:paraId="7E9C5A75" w14:textId="77777777" w:rsidR="000E1D97" w:rsidRPr="00BF43F9" w:rsidRDefault="00FB3987" w:rsidP="002E4F02">
      <w:pPr>
        <w:pStyle w:val="3-BodyText"/>
        <w:rPr>
          <w:iCs/>
        </w:rPr>
      </w:pPr>
      <w:r w:rsidRPr="00C80985">
        <w:rPr>
          <w:iCs/>
        </w:rPr>
        <w:lastRenderedPageBreak/>
        <w:t>Study 1652 had a different dosing structure than the requested restrictions</w:t>
      </w:r>
      <w:r w:rsidR="00047523" w:rsidRPr="00C80985">
        <w:rPr>
          <w:iCs/>
        </w:rPr>
        <w:t xml:space="preserve"> (and Australian </w:t>
      </w:r>
      <w:r w:rsidR="005A0A21" w:rsidRPr="00C80985">
        <w:rPr>
          <w:iCs/>
        </w:rPr>
        <w:t>product information (</w:t>
      </w:r>
      <w:r w:rsidR="00047523" w:rsidRPr="00C80985">
        <w:rPr>
          <w:iCs/>
        </w:rPr>
        <w:t>PI</w:t>
      </w:r>
      <w:r w:rsidR="005A0A21" w:rsidRPr="00C80985">
        <w:rPr>
          <w:iCs/>
        </w:rPr>
        <w:t>)</w:t>
      </w:r>
      <w:r w:rsidR="00047523" w:rsidRPr="00C80985">
        <w:rPr>
          <w:iCs/>
        </w:rPr>
        <w:t xml:space="preserve"> recommended dosing)</w:t>
      </w:r>
      <w:r w:rsidRPr="00C80985">
        <w:rPr>
          <w:iCs/>
        </w:rPr>
        <w:t>.</w:t>
      </w:r>
      <w:r w:rsidR="00727E48" w:rsidRPr="00C80985">
        <w:rPr>
          <w:iCs/>
        </w:rPr>
        <w:t xml:space="preserve"> </w:t>
      </w:r>
      <w:r w:rsidR="000E1D97" w:rsidRPr="00BF43F9">
        <w:rPr>
          <w:iCs/>
        </w:rPr>
        <w:t>In Study 1652 patients in all weight categories were randomised to receive either:</w:t>
      </w:r>
    </w:p>
    <w:p w14:paraId="6077B564" w14:textId="77777777" w:rsidR="003D57A4" w:rsidRPr="00BF43F9" w:rsidRDefault="000E1D97" w:rsidP="003D57A4">
      <w:pPr>
        <w:pStyle w:val="ListParagraph"/>
        <w:ind w:left="1134" w:hanging="284"/>
        <w:rPr>
          <w:iCs/>
        </w:rPr>
      </w:pPr>
      <w:r w:rsidRPr="00BF43F9">
        <w:rPr>
          <w:iCs/>
        </w:rPr>
        <w:t>300 mg dupilumab Q4W (following a 600 mg loading dose on Day 0)</w:t>
      </w:r>
    </w:p>
    <w:p w14:paraId="6E42F771" w14:textId="177AE389" w:rsidR="000E1D97" w:rsidRPr="00BF43F9" w:rsidRDefault="000E1D97" w:rsidP="003D57A4">
      <w:pPr>
        <w:pStyle w:val="ListParagraph"/>
        <w:numPr>
          <w:ilvl w:val="0"/>
          <w:numId w:val="0"/>
        </w:numPr>
        <w:ind w:left="1134"/>
        <w:rPr>
          <w:iCs/>
        </w:rPr>
      </w:pPr>
      <w:r w:rsidRPr="00BF43F9">
        <w:rPr>
          <w:iCs/>
        </w:rPr>
        <w:t>or</w:t>
      </w:r>
    </w:p>
    <w:p w14:paraId="48EA086D" w14:textId="2616DBF1" w:rsidR="000E1D97" w:rsidRPr="00BF43F9" w:rsidRDefault="000E1D97" w:rsidP="003D57A4">
      <w:pPr>
        <w:pStyle w:val="ListParagraph"/>
        <w:ind w:left="1134" w:hanging="284"/>
        <w:rPr>
          <w:iCs/>
        </w:rPr>
      </w:pPr>
      <w:r w:rsidRPr="00BF43F9">
        <w:rPr>
          <w:iCs/>
        </w:rPr>
        <w:t xml:space="preserve">100 mg Q2W (patients weighing &lt;30kg at baseline) or 200 mg Q2W (patients weighing 30 - &lt;60kg at baseline). </w:t>
      </w:r>
    </w:p>
    <w:p w14:paraId="2DDB3611" w14:textId="6BF74C0E" w:rsidR="003D57A4" w:rsidRPr="003D57A4" w:rsidRDefault="00FB3987" w:rsidP="003D57A4">
      <w:pPr>
        <w:pStyle w:val="3-BodyText"/>
        <w:rPr>
          <w:iCs/>
        </w:rPr>
      </w:pPr>
      <w:r w:rsidRPr="000E1D97">
        <w:rPr>
          <w:iCs/>
        </w:rPr>
        <w:t>The following table outlines the similarities and differences between the trial and the proposed listing.</w:t>
      </w:r>
      <w:r w:rsidR="003D57A4" w:rsidRPr="003D57A4">
        <w:rPr>
          <w:iCs/>
        </w:rPr>
        <w:t xml:space="preserve"> </w:t>
      </w:r>
      <w:r w:rsidR="003D57A4" w:rsidRPr="00C80985">
        <w:rPr>
          <w:iCs/>
        </w:rPr>
        <w:t>In addition, a standardised regimen of concomitant TCS was used in Study 1652, while the requested listings do not specify use of concomitant TCS.</w:t>
      </w:r>
    </w:p>
    <w:p w14:paraId="17EFD763" w14:textId="690A574B" w:rsidR="00FB3987" w:rsidRPr="00C80985" w:rsidRDefault="00EA5341" w:rsidP="007F7AA1">
      <w:pPr>
        <w:pStyle w:val="Caption"/>
        <w:keepNext/>
        <w:keepLines/>
        <w:spacing w:after="0"/>
        <w:rPr>
          <w:rStyle w:val="CommentReference"/>
          <w:rFonts w:eastAsiaTheme="majorEastAsia" w:cstheme="majorBidi"/>
          <w:b/>
          <w:bCs w:val="0"/>
          <w:color w:val="auto"/>
          <w:szCs w:val="24"/>
          <w:lang w:eastAsia="en-AU"/>
        </w:rPr>
      </w:pPr>
      <w:r w:rsidRPr="00C80985">
        <w:rPr>
          <w:rStyle w:val="CommentReference"/>
          <w:rFonts w:eastAsiaTheme="majorEastAsia" w:cstheme="majorBidi"/>
          <w:b/>
          <w:bCs w:val="0"/>
          <w:color w:val="auto"/>
          <w:szCs w:val="24"/>
          <w:lang w:eastAsia="en-AU"/>
        </w:rPr>
        <w:t xml:space="preserve">Table </w:t>
      </w:r>
      <w:r w:rsidRPr="00C80985">
        <w:rPr>
          <w:rStyle w:val="CommentReference"/>
          <w:rFonts w:eastAsiaTheme="majorEastAsia" w:cstheme="majorBidi"/>
          <w:b/>
          <w:bCs w:val="0"/>
          <w:color w:val="auto"/>
          <w:szCs w:val="24"/>
          <w:lang w:eastAsia="en-AU"/>
        </w:rPr>
        <w:fldChar w:fldCharType="begin"/>
      </w:r>
      <w:r w:rsidRPr="00C80985">
        <w:rPr>
          <w:rStyle w:val="CommentReference"/>
          <w:rFonts w:eastAsiaTheme="majorEastAsia" w:cstheme="majorBidi"/>
          <w:b/>
          <w:bCs w:val="0"/>
          <w:color w:val="auto"/>
          <w:szCs w:val="24"/>
          <w:lang w:eastAsia="en-AU"/>
        </w:rPr>
        <w:instrText xml:space="preserve"> SEQ Table \* ARABIC </w:instrText>
      </w:r>
      <w:r w:rsidRPr="00C80985">
        <w:rPr>
          <w:rStyle w:val="CommentReference"/>
          <w:rFonts w:eastAsiaTheme="majorEastAsia" w:cstheme="majorBidi"/>
          <w:b/>
          <w:bCs w:val="0"/>
          <w:color w:val="auto"/>
          <w:szCs w:val="24"/>
          <w:lang w:eastAsia="en-AU"/>
        </w:rPr>
        <w:fldChar w:fldCharType="separate"/>
      </w:r>
      <w:r w:rsidR="00AA723C">
        <w:rPr>
          <w:rStyle w:val="CommentReference"/>
          <w:rFonts w:eastAsiaTheme="majorEastAsia" w:cstheme="majorBidi"/>
          <w:b/>
          <w:bCs w:val="0"/>
          <w:noProof/>
          <w:color w:val="auto"/>
          <w:szCs w:val="24"/>
          <w:lang w:eastAsia="en-AU"/>
        </w:rPr>
        <w:t>2</w:t>
      </w:r>
      <w:r w:rsidRPr="00C80985">
        <w:rPr>
          <w:rStyle w:val="CommentReference"/>
          <w:rFonts w:eastAsiaTheme="majorEastAsia" w:cstheme="majorBidi"/>
          <w:b/>
          <w:bCs w:val="0"/>
          <w:color w:val="auto"/>
          <w:szCs w:val="24"/>
          <w:lang w:eastAsia="en-AU"/>
        </w:rPr>
        <w:fldChar w:fldCharType="end"/>
      </w:r>
      <w:r w:rsidR="00BA5AA7" w:rsidRPr="00C80985">
        <w:rPr>
          <w:rStyle w:val="CommentReference"/>
          <w:rFonts w:eastAsiaTheme="majorEastAsia" w:cstheme="majorBidi"/>
          <w:b/>
          <w:bCs w:val="0"/>
          <w:color w:val="auto"/>
          <w:szCs w:val="24"/>
          <w:lang w:eastAsia="en-AU"/>
        </w:rPr>
        <w:t>:</w:t>
      </w:r>
      <w:r w:rsidR="00FB3987" w:rsidRPr="00C80985">
        <w:rPr>
          <w:rStyle w:val="CommentReference"/>
          <w:rFonts w:eastAsiaTheme="majorEastAsia" w:cstheme="majorBidi"/>
          <w:b/>
          <w:bCs w:val="0"/>
          <w:color w:val="auto"/>
          <w:szCs w:val="24"/>
          <w:lang w:eastAsia="en-AU"/>
        </w:rPr>
        <w:t xml:space="preserve"> Dosing regimen in Study 1652 and the requested listing</w:t>
      </w:r>
    </w:p>
    <w:tbl>
      <w:tblPr>
        <w:tblStyle w:val="TableGrid"/>
        <w:tblW w:w="9067" w:type="dxa"/>
        <w:tblCellMar>
          <w:left w:w="28" w:type="dxa"/>
          <w:right w:w="28" w:type="dxa"/>
        </w:tblCellMar>
        <w:tblLook w:val="04A0" w:firstRow="1" w:lastRow="0" w:firstColumn="1" w:lastColumn="0" w:noHBand="0" w:noVBand="1"/>
      </w:tblPr>
      <w:tblGrid>
        <w:gridCol w:w="846"/>
        <w:gridCol w:w="4111"/>
        <w:gridCol w:w="4110"/>
      </w:tblGrid>
      <w:tr w:rsidR="00FB3987" w:rsidRPr="00C80985" w14:paraId="341DD374" w14:textId="77777777" w:rsidTr="000343A2">
        <w:tc>
          <w:tcPr>
            <w:tcW w:w="846" w:type="dxa"/>
            <w:vAlign w:val="center"/>
          </w:tcPr>
          <w:p w14:paraId="60B1BC43" w14:textId="77777777" w:rsidR="00FB3987" w:rsidRPr="00C80985" w:rsidRDefault="00FB3987" w:rsidP="007F7AA1">
            <w:pPr>
              <w:keepNext/>
              <w:keepLines/>
              <w:ind w:right="-30"/>
              <w:outlineLvl w:val="0"/>
              <w:rPr>
                <w:rFonts w:ascii="Arial Narrow" w:hAnsi="Arial Narrow" w:cs="Calibri"/>
                <w:b/>
                <w:bCs/>
                <w:sz w:val="20"/>
                <w:szCs w:val="20"/>
              </w:rPr>
            </w:pPr>
          </w:p>
        </w:tc>
        <w:tc>
          <w:tcPr>
            <w:tcW w:w="4111" w:type="dxa"/>
            <w:vAlign w:val="center"/>
          </w:tcPr>
          <w:p w14:paraId="1D903EF1" w14:textId="18331637" w:rsidR="00FB3987" w:rsidRPr="00C80985" w:rsidRDefault="00FB3987" w:rsidP="007F7AA1">
            <w:pPr>
              <w:keepNext/>
              <w:keepLines/>
              <w:ind w:right="-30"/>
              <w:jc w:val="center"/>
              <w:outlineLvl w:val="0"/>
              <w:rPr>
                <w:rFonts w:ascii="Arial Narrow" w:hAnsi="Arial Narrow" w:cs="Calibri"/>
                <w:b/>
                <w:bCs/>
                <w:sz w:val="20"/>
                <w:szCs w:val="20"/>
              </w:rPr>
            </w:pPr>
            <w:r w:rsidRPr="00C80985">
              <w:rPr>
                <w:rFonts w:ascii="Arial Narrow" w:hAnsi="Arial Narrow" w:cs="Calibri"/>
                <w:b/>
                <w:bCs/>
                <w:sz w:val="20"/>
                <w:szCs w:val="20"/>
              </w:rPr>
              <w:t>Study 1652</w:t>
            </w:r>
            <w:r w:rsidR="008E0AE3" w:rsidRPr="00C80985">
              <w:rPr>
                <w:rFonts w:ascii="Arial Narrow" w:hAnsi="Arial Narrow" w:cs="Calibri"/>
                <w:b/>
                <w:bCs/>
                <w:sz w:val="20"/>
                <w:szCs w:val="20"/>
              </w:rPr>
              <w:t xml:space="preserve"> (N=367)</w:t>
            </w:r>
          </w:p>
        </w:tc>
        <w:tc>
          <w:tcPr>
            <w:tcW w:w="4110" w:type="dxa"/>
            <w:vAlign w:val="center"/>
          </w:tcPr>
          <w:p w14:paraId="41CB6CE8" w14:textId="4A83854D" w:rsidR="00FB3987" w:rsidRPr="00C80985" w:rsidRDefault="00047523" w:rsidP="007F7AA1">
            <w:pPr>
              <w:keepNext/>
              <w:keepLines/>
              <w:ind w:right="-30"/>
              <w:jc w:val="center"/>
              <w:outlineLvl w:val="0"/>
              <w:rPr>
                <w:rFonts w:ascii="Arial Narrow" w:hAnsi="Arial Narrow" w:cs="Calibri"/>
                <w:b/>
                <w:bCs/>
                <w:sz w:val="20"/>
                <w:szCs w:val="20"/>
              </w:rPr>
            </w:pPr>
            <w:r w:rsidRPr="00C80985">
              <w:rPr>
                <w:rFonts w:ascii="Arial Narrow" w:hAnsi="Arial Narrow" w:cs="Calibri"/>
                <w:b/>
                <w:bCs/>
                <w:sz w:val="20"/>
                <w:szCs w:val="20"/>
              </w:rPr>
              <w:t xml:space="preserve">PI and </w:t>
            </w:r>
            <w:r w:rsidR="00D55012" w:rsidRPr="00C80985">
              <w:rPr>
                <w:rFonts w:ascii="Arial Narrow" w:hAnsi="Arial Narrow" w:cs="Calibri"/>
                <w:b/>
                <w:bCs/>
                <w:sz w:val="20"/>
                <w:szCs w:val="20"/>
              </w:rPr>
              <w:t xml:space="preserve">requested </w:t>
            </w:r>
            <w:r w:rsidR="00FB3987" w:rsidRPr="00C80985">
              <w:rPr>
                <w:rFonts w:ascii="Arial Narrow" w:hAnsi="Arial Narrow" w:cs="Calibri"/>
                <w:b/>
                <w:bCs/>
                <w:sz w:val="20"/>
                <w:szCs w:val="20"/>
              </w:rPr>
              <w:t>listing</w:t>
            </w:r>
          </w:p>
        </w:tc>
      </w:tr>
      <w:tr w:rsidR="00FB3987" w:rsidRPr="00C80985" w14:paraId="1CEAFB2B" w14:textId="77777777" w:rsidTr="000343A2">
        <w:tc>
          <w:tcPr>
            <w:tcW w:w="846" w:type="dxa"/>
            <w:vMerge w:val="restart"/>
            <w:vAlign w:val="center"/>
          </w:tcPr>
          <w:p w14:paraId="7745D471" w14:textId="77777777" w:rsidR="00FB3987" w:rsidRPr="00C80985" w:rsidRDefault="00FB3987" w:rsidP="007F7AA1">
            <w:pPr>
              <w:keepNext/>
              <w:keepLines/>
              <w:ind w:right="-30"/>
              <w:outlineLvl w:val="0"/>
              <w:rPr>
                <w:rFonts w:ascii="Arial Narrow" w:hAnsi="Arial Narrow" w:cs="Calibri"/>
                <w:sz w:val="20"/>
                <w:szCs w:val="20"/>
              </w:rPr>
            </w:pPr>
            <w:r w:rsidRPr="00C80985">
              <w:rPr>
                <w:rFonts w:ascii="Arial Narrow" w:hAnsi="Arial Narrow" w:cs="Calibri"/>
                <w:sz w:val="20"/>
                <w:szCs w:val="20"/>
              </w:rPr>
              <w:t>Weight categories</w:t>
            </w:r>
          </w:p>
        </w:tc>
        <w:tc>
          <w:tcPr>
            <w:tcW w:w="4111" w:type="dxa"/>
            <w:vAlign w:val="center"/>
          </w:tcPr>
          <w:p w14:paraId="4CF3E1F2" w14:textId="0EA98D1F" w:rsidR="00FB3987" w:rsidRPr="00C80985" w:rsidRDefault="00FB3987" w:rsidP="007F7AA1">
            <w:pPr>
              <w:keepNext/>
              <w:keepLines/>
              <w:ind w:right="-30"/>
              <w:jc w:val="left"/>
              <w:outlineLvl w:val="0"/>
              <w:rPr>
                <w:rFonts w:ascii="Arial Narrow" w:hAnsi="Arial Narrow" w:cs="Calibri"/>
                <w:sz w:val="20"/>
                <w:szCs w:val="20"/>
              </w:rPr>
            </w:pPr>
            <w:r w:rsidRPr="00C80985">
              <w:rPr>
                <w:rFonts w:ascii="Arial Narrow" w:hAnsi="Arial Narrow" w:cs="Calibri"/>
                <w:sz w:val="20"/>
                <w:szCs w:val="20"/>
              </w:rPr>
              <w:t>&lt;30kg: 200mg loading dose then 100mg Q2W</w:t>
            </w:r>
            <w:r w:rsidR="008E0AE3" w:rsidRPr="00C80985">
              <w:rPr>
                <w:rFonts w:ascii="Arial Narrow" w:hAnsi="Arial Narrow" w:cs="Calibri"/>
                <w:sz w:val="20"/>
                <w:szCs w:val="20"/>
              </w:rPr>
              <w:t xml:space="preserve"> + </w:t>
            </w:r>
            <w:proofErr w:type="spellStart"/>
            <w:r w:rsidR="008E0AE3" w:rsidRPr="00C80985">
              <w:rPr>
                <w:rFonts w:ascii="Arial Narrow" w:hAnsi="Arial Narrow" w:cs="Calibri"/>
                <w:sz w:val="20"/>
                <w:szCs w:val="20"/>
              </w:rPr>
              <w:t>TCS</w:t>
            </w:r>
            <w:r w:rsidR="004B767D" w:rsidRPr="00C80985">
              <w:rPr>
                <w:rFonts w:ascii="Arial Narrow" w:hAnsi="Arial Narrow" w:cs="Calibri"/>
                <w:sz w:val="20"/>
                <w:szCs w:val="20"/>
                <w:vertAlign w:val="superscript"/>
              </w:rPr>
              <w:t>a</w:t>
            </w:r>
            <w:proofErr w:type="spellEnd"/>
            <w:r w:rsidR="008E0AE3" w:rsidRPr="00C80985">
              <w:rPr>
                <w:rFonts w:ascii="Arial Narrow" w:hAnsi="Arial Narrow" w:cs="Calibri"/>
                <w:sz w:val="20"/>
                <w:szCs w:val="20"/>
              </w:rPr>
              <w:t>: N=63 (</w:t>
            </w:r>
            <w:r w:rsidR="00BB27A5" w:rsidRPr="00C80985">
              <w:rPr>
                <w:rFonts w:ascii="Arial Narrow" w:hAnsi="Arial Narrow" w:cs="Calibri"/>
                <w:sz w:val="20"/>
                <w:szCs w:val="20"/>
              </w:rPr>
              <w:t>17%)</w:t>
            </w:r>
          </w:p>
        </w:tc>
        <w:tc>
          <w:tcPr>
            <w:tcW w:w="4110" w:type="dxa"/>
            <w:vAlign w:val="center"/>
          </w:tcPr>
          <w:p w14:paraId="432FD429" w14:textId="77777777" w:rsidR="00FB3987" w:rsidRPr="00C80985" w:rsidRDefault="00FB3987" w:rsidP="007F7AA1">
            <w:pPr>
              <w:keepNext/>
              <w:keepLines/>
              <w:ind w:right="-30"/>
              <w:jc w:val="left"/>
              <w:outlineLvl w:val="0"/>
              <w:rPr>
                <w:rFonts w:ascii="Arial Narrow" w:hAnsi="Arial Narrow" w:cs="Calibri"/>
                <w:sz w:val="20"/>
                <w:szCs w:val="20"/>
              </w:rPr>
            </w:pPr>
            <w:r w:rsidRPr="00C80985">
              <w:rPr>
                <w:rFonts w:ascii="Arial Narrow" w:hAnsi="Arial Narrow" w:cs="Calibri"/>
                <w:sz w:val="20"/>
                <w:szCs w:val="20"/>
              </w:rPr>
              <w:t>15kg to &lt;30kg: 600mg loading dose then 300mg Q4W</w:t>
            </w:r>
          </w:p>
        </w:tc>
      </w:tr>
      <w:tr w:rsidR="00FB3987" w:rsidRPr="00C80985" w14:paraId="025635EB" w14:textId="77777777" w:rsidTr="000343A2">
        <w:tc>
          <w:tcPr>
            <w:tcW w:w="846" w:type="dxa"/>
            <w:vMerge/>
            <w:vAlign w:val="center"/>
          </w:tcPr>
          <w:p w14:paraId="7DB26507" w14:textId="77777777" w:rsidR="00FB3987" w:rsidRPr="00C80985" w:rsidRDefault="00FB3987" w:rsidP="007F7AA1">
            <w:pPr>
              <w:keepNext/>
              <w:keepLines/>
              <w:ind w:right="-30"/>
              <w:outlineLvl w:val="0"/>
              <w:rPr>
                <w:rFonts w:ascii="Arial Narrow" w:hAnsi="Arial Narrow" w:cs="Calibri"/>
                <w:sz w:val="20"/>
                <w:szCs w:val="20"/>
              </w:rPr>
            </w:pPr>
          </w:p>
        </w:tc>
        <w:tc>
          <w:tcPr>
            <w:tcW w:w="4111" w:type="dxa"/>
            <w:vAlign w:val="center"/>
          </w:tcPr>
          <w:p w14:paraId="3FDAB787" w14:textId="4C7D89B8" w:rsidR="00FB3987" w:rsidRPr="00C80985" w:rsidRDefault="00FB3987" w:rsidP="007F7AA1">
            <w:pPr>
              <w:keepNext/>
              <w:keepLines/>
              <w:ind w:right="-30"/>
              <w:jc w:val="left"/>
              <w:outlineLvl w:val="0"/>
              <w:rPr>
                <w:rFonts w:ascii="Arial Narrow" w:hAnsi="Arial Narrow" w:cs="Calibri"/>
                <w:sz w:val="20"/>
                <w:szCs w:val="20"/>
              </w:rPr>
            </w:pPr>
            <w:r w:rsidRPr="00C80985">
              <w:rPr>
                <w:rFonts w:ascii="Arial Narrow" w:hAnsi="Arial Narrow" w:cs="Calibri"/>
                <w:sz w:val="20"/>
                <w:szCs w:val="20"/>
              </w:rPr>
              <w:t>≥30kg: 400mg loading dose then 200mg Q2W</w:t>
            </w:r>
            <w:r w:rsidR="00BB27A5" w:rsidRPr="00C80985">
              <w:rPr>
                <w:rFonts w:ascii="Arial Narrow" w:hAnsi="Arial Narrow" w:cs="Calibri"/>
                <w:sz w:val="20"/>
                <w:szCs w:val="20"/>
              </w:rPr>
              <w:t xml:space="preserve"> + TCS; N=59 (16%)</w:t>
            </w:r>
          </w:p>
        </w:tc>
        <w:tc>
          <w:tcPr>
            <w:tcW w:w="4110" w:type="dxa"/>
            <w:vAlign w:val="center"/>
          </w:tcPr>
          <w:p w14:paraId="44BF84CB" w14:textId="77777777" w:rsidR="00FB3987" w:rsidRPr="00C80985" w:rsidRDefault="00FB3987" w:rsidP="007F7AA1">
            <w:pPr>
              <w:keepNext/>
              <w:keepLines/>
              <w:ind w:right="-30"/>
              <w:jc w:val="left"/>
              <w:outlineLvl w:val="0"/>
              <w:rPr>
                <w:rFonts w:ascii="Arial Narrow" w:hAnsi="Arial Narrow" w:cs="Calibri"/>
                <w:sz w:val="20"/>
                <w:szCs w:val="20"/>
              </w:rPr>
            </w:pPr>
            <w:r w:rsidRPr="00C80985">
              <w:rPr>
                <w:rFonts w:ascii="Arial Narrow" w:hAnsi="Arial Narrow" w:cs="Calibri"/>
                <w:sz w:val="20"/>
                <w:szCs w:val="20"/>
              </w:rPr>
              <w:t>30kg to &lt;60kg: 400mg loading dose then 200mg Q2W</w:t>
            </w:r>
          </w:p>
        </w:tc>
      </w:tr>
      <w:tr w:rsidR="00FB3987" w:rsidRPr="00C80985" w14:paraId="064DEB61" w14:textId="77777777" w:rsidTr="000343A2">
        <w:tc>
          <w:tcPr>
            <w:tcW w:w="846" w:type="dxa"/>
            <w:vMerge/>
            <w:vAlign w:val="center"/>
          </w:tcPr>
          <w:p w14:paraId="405F2780" w14:textId="77777777" w:rsidR="00FB3987" w:rsidRPr="00C80985" w:rsidRDefault="00FB3987" w:rsidP="007F7AA1">
            <w:pPr>
              <w:keepNext/>
              <w:keepLines/>
              <w:ind w:right="-30"/>
              <w:outlineLvl w:val="0"/>
              <w:rPr>
                <w:rFonts w:ascii="Arial Narrow" w:hAnsi="Arial Narrow" w:cs="Calibri"/>
                <w:sz w:val="20"/>
                <w:szCs w:val="20"/>
              </w:rPr>
            </w:pPr>
          </w:p>
        </w:tc>
        <w:tc>
          <w:tcPr>
            <w:tcW w:w="4111" w:type="dxa"/>
            <w:vAlign w:val="center"/>
          </w:tcPr>
          <w:p w14:paraId="1D7B3D02" w14:textId="709BA1D3" w:rsidR="00FB3987" w:rsidRPr="00C80985" w:rsidRDefault="00FB3987" w:rsidP="007F7AA1">
            <w:pPr>
              <w:keepNext/>
              <w:keepLines/>
              <w:ind w:right="-30"/>
              <w:jc w:val="left"/>
              <w:outlineLvl w:val="0"/>
              <w:rPr>
                <w:rFonts w:ascii="Arial Narrow" w:hAnsi="Arial Narrow" w:cs="Calibri"/>
                <w:sz w:val="20"/>
                <w:szCs w:val="20"/>
              </w:rPr>
            </w:pPr>
            <w:r w:rsidRPr="00C80985">
              <w:rPr>
                <w:rFonts w:ascii="Arial Narrow" w:hAnsi="Arial Narrow" w:cs="Calibri"/>
                <w:sz w:val="20"/>
                <w:szCs w:val="20"/>
              </w:rPr>
              <w:t>Any weight: 600mg loading dose then 300mg Q4W</w:t>
            </w:r>
            <w:r w:rsidR="00BB27A5" w:rsidRPr="00C80985">
              <w:rPr>
                <w:rFonts w:ascii="Arial Narrow" w:hAnsi="Arial Narrow" w:cs="Calibri"/>
                <w:sz w:val="20"/>
                <w:szCs w:val="20"/>
              </w:rPr>
              <w:t xml:space="preserve"> + TCS; N=122 (33%)</w:t>
            </w:r>
          </w:p>
        </w:tc>
        <w:tc>
          <w:tcPr>
            <w:tcW w:w="4110" w:type="dxa"/>
            <w:vAlign w:val="center"/>
          </w:tcPr>
          <w:p w14:paraId="1BE0489A" w14:textId="77777777" w:rsidR="00FB3987" w:rsidRPr="00C80985" w:rsidRDefault="00FB3987" w:rsidP="007F7AA1">
            <w:pPr>
              <w:keepNext/>
              <w:keepLines/>
              <w:ind w:right="-30"/>
              <w:jc w:val="left"/>
              <w:outlineLvl w:val="0"/>
              <w:rPr>
                <w:rFonts w:ascii="Arial Narrow" w:hAnsi="Arial Narrow" w:cs="Calibri"/>
                <w:sz w:val="20"/>
                <w:szCs w:val="20"/>
              </w:rPr>
            </w:pPr>
            <w:r w:rsidRPr="00C80985">
              <w:rPr>
                <w:rFonts w:ascii="Arial Narrow" w:hAnsi="Arial Narrow" w:cs="Calibri"/>
                <w:sz w:val="20"/>
                <w:szCs w:val="20"/>
              </w:rPr>
              <w:t>≥60kg: 600mg loading dose then 300mg Q2W</w:t>
            </w:r>
          </w:p>
        </w:tc>
      </w:tr>
      <w:tr w:rsidR="00BB27A5" w:rsidRPr="00C80985" w14:paraId="64B7AA5E" w14:textId="77777777" w:rsidTr="000343A2">
        <w:tc>
          <w:tcPr>
            <w:tcW w:w="846" w:type="dxa"/>
            <w:vAlign w:val="center"/>
          </w:tcPr>
          <w:p w14:paraId="13226AA9" w14:textId="77777777" w:rsidR="00BB27A5" w:rsidRPr="00C80985" w:rsidRDefault="00BB27A5" w:rsidP="007F7AA1">
            <w:pPr>
              <w:keepNext/>
              <w:keepLines/>
              <w:ind w:right="-30"/>
              <w:outlineLvl w:val="0"/>
              <w:rPr>
                <w:rFonts w:ascii="Arial Narrow" w:hAnsi="Arial Narrow" w:cs="Calibri"/>
                <w:sz w:val="20"/>
                <w:szCs w:val="20"/>
              </w:rPr>
            </w:pPr>
          </w:p>
        </w:tc>
        <w:tc>
          <w:tcPr>
            <w:tcW w:w="4111" w:type="dxa"/>
            <w:vAlign w:val="center"/>
          </w:tcPr>
          <w:p w14:paraId="2A62A352" w14:textId="2CB81036" w:rsidR="00BB27A5" w:rsidRPr="00C80985" w:rsidRDefault="00BB27A5" w:rsidP="007F7AA1">
            <w:pPr>
              <w:keepNext/>
              <w:keepLines/>
              <w:ind w:right="-30"/>
              <w:jc w:val="left"/>
              <w:outlineLvl w:val="0"/>
              <w:rPr>
                <w:rFonts w:ascii="Arial Narrow" w:hAnsi="Arial Narrow" w:cs="Calibri"/>
                <w:sz w:val="20"/>
                <w:szCs w:val="20"/>
              </w:rPr>
            </w:pPr>
            <w:r w:rsidRPr="00C80985">
              <w:rPr>
                <w:rFonts w:ascii="Arial Narrow" w:hAnsi="Arial Narrow" w:cs="Calibri"/>
                <w:sz w:val="20"/>
                <w:szCs w:val="20"/>
              </w:rPr>
              <w:t>Placebo + TCS; N=123 (34%)</w:t>
            </w:r>
          </w:p>
        </w:tc>
        <w:tc>
          <w:tcPr>
            <w:tcW w:w="4110" w:type="dxa"/>
            <w:vAlign w:val="center"/>
          </w:tcPr>
          <w:p w14:paraId="25205709" w14:textId="0AF52B5D" w:rsidR="00BB27A5" w:rsidRPr="00C80985" w:rsidRDefault="00BB27A5" w:rsidP="007F7AA1">
            <w:pPr>
              <w:keepNext/>
              <w:keepLines/>
              <w:ind w:right="-30"/>
              <w:jc w:val="center"/>
              <w:outlineLvl w:val="0"/>
              <w:rPr>
                <w:rFonts w:ascii="Arial Narrow" w:hAnsi="Arial Narrow" w:cs="Calibri"/>
                <w:sz w:val="20"/>
                <w:szCs w:val="20"/>
              </w:rPr>
            </w:pPr>
            <w:r w:rsidRPr="00C80985">
              <w:rPr>
                <w:rFonts w:ascii="Arial Narrow" w:hAnsi="Arial Narrow" w:cs="Calibri"/>
                <w:sz w:val="20"/>
                <w:szCs w:val="20"/>
              </w:rPr>
              <w:t>-</w:t>
            </w:r>
          </w:p>
        </w:tc>
      </w:tr>
    </w:tbl>
    <w:p w14:paraId="55D9C018" w14:textId="77777777" w:rsidR="00FB3987" w:rsidRPr="00C80985" w:rsidRDefault="00FB3987" w:rsidP="007F7AA1">
      <w:pPr>
        <w:keepNext/>
        <w:keepLines/>
        <w:rPr>
          <w:rFonts w:ascii="Arial Narrow" w:hAnsi="Arial Narrow"/>
          <w:sz w:val="18"/>
          <w:szCs w:val="18"/>
        </w:rPr>
      </w:pPr>
      <w:r w:rsidRPr="00C80985">
        <w:rPr>
          <w:rFonts w:ascii="Arial Narrow" w:hAnsi="Arial Narrow"/>
          <w:sz w:val="18"/>
          <w:szCs w:val="18"/>
        </w:rPr>
        <w:t>Source: Section 2.2.3, p59; Table 1.2, p7 of the submission</w:t>
      </w:r>
    </w:p>
    <w:p w14:paraId="28A63C7B" w14:textId="0D4D4332" w:rsidR="00FB3987" w:rsidRPr="00C80985" w:rsidRDefault="005A0A21" w:rsidP="007F7AA1">
      <w:pPr>
        <w:pStyle w:val="3-BodyText"/>
        <w:keepNext/>
        <w:keepLines/>
        <w:numPr>
          <w:ilvl w:val="0"/>
          <w:numId w:val="0"/>
        </w:numPr>
        <w:spacing w:after="0"/>
        <w:rPr>
          <w:rFonts w:ascii="Arial Narrow" w:hAnsi="Arial Narrow" w:cs="Calibri"/>
          <w:sz w:val="18"/>
          <w:szCs w:val="18"/>
        </w:rPr>
      </w:pPr>
      <w:r w:rsidRPr="00C80985">
        <w:rPr>
          <w:rFonts w:ascii="Arial Narrow" w:hAnsi="Arial Narrow" w:cs="Calibri"/>
          <w:sz w:val="18"/>
          <w:szCs w:val="18"/>
        </w:rPr>
        <w:t xml:space="preserve">PI = product information; </w:t>
      </w:r>
      <w:r w:rsidR="00FB3987" w:rsidRPr="00C80985">
        <w:rPr>
          <w:rFonts w:ascii="Arial Narrow" w:hAnsi="Arial Narrow" w:cs="Calibri"/>
          <w:sz w:val="18"/>
          <w:szCs w:val="18"/>
        </w:rPr>
        <w:t>Q2W = every two weeks; Q4W = every four weeks</w:t>
      </w:r>
      <w:r w:rsidR="004B767D" w:rsidRPr="00C80985">
        <w:rPr>
          <w:rFonts w:ascii="Arial Narrow" w:hAnsi="Arial Narrow" w:cs="Calibri"/>
          <w:sz w:val="18"/>
          <w:szCs w:val="18"/>
        </w:rPr>
        <w:t>; TCS = topical corticosteroids</w:t>
      </w:r>
    </w:p>
    <w:p w14:paraId="6817850B" w14:textId="267679D9" w:rsidR="004B767D" w:rsidRPr="00C80985" w:rsidRDefault="004B767D" w:rsidP="007F7AA1">
      <w:pPr>
        <w:pStyle w:val="3-BodyText"/>
        <w:keepNext/>
        <w:keepLines/>
        <w:numPr>
          <w:ilvl w:val="0"/>
          <w:numId w:val="0"/>
        </w:numPr>
        <w:tabs>
          <w:tab w:val="left" w:pos="142"/>
        </w:tabs>
      </w:pPr>
      <w:r w:rsidRPr="00C80985">
        <w:rPr>
          <w:rFonts w:ascii="Arial Narrow" w:hAnsi="Arial Narrow"/>
          <w:sz w:val="18"/>
          <w:szCs w:val="18"/>
          <w:vertAlign w:val="superscript"/>
        </w:rPr>
        <w:t>a</w:t>
      </w:r>
      <w:r w:rsidRPr="00C80985">
        <w:rPr>
          <w:rFonts w:ascii="Arial Narrow" w:hAnsi="Arial Narrow"/>
          <w:sz w:val="18"/>
          <w:szCs w:val="18"/>
        </w:rPr>
        <w:tab/>
        <w:t>Starting on Day 14, all patients were required to initiate TCS treatment using a standardised regimen.</w:t>
      </w:r>
    </w:p>
    <w:p w14:paraId="0C0954A8" w14:textId="010014B9" w:rsidR="00CC1149" w:rsidRPr="00C80985" w:rsidRDefault="00CC1149" w:rsidP="002E4F02">
      <w:pPr>
        <w:pStyle w:val="3-BodyText"/>
      </w:pPr>
      <w:r w:rsidRPr="00C80985">
        <w:rPr>
          <w:iCs/>
        </w:rPr>
        <w:t xml:space="preserve">All results presented by the </w:t>
      </w:r>
      <w:proofErr w:type="gramStart"/>
      <w:r w:rsidRPr="00C80985">
        <w:rPr>
          <w:iCs/>
        </w:rPr>
        <w:t>submission  were</w:t>
      </w:r>
      <w:proofErr w:type="gramEnd"/>
      <w:r w:rsidRPr="00C80985">
        <w:rPr>
          <w:iCs/>
        </w:rPr>
        <w:t xml:space="preserve"> based on the split between Q2W and Q4W dosing used in Study 1652</w:t>
      </w:r>
      <w:r w:rsidR="0083071C">
        <w:rPr>
          <w:iCs/>
        </w:rPr>
        <w:t xml:space="preserve"> which</w:t>
      </w:r>
      <w:r w:rsidRPr="00C80985">
        <w:rPr>
          <w:iCs/>
        </w:rPr>
        <w:t xml:space="preserve"> was not consistent with the submission’s requested listings.</w:t>
      </w:r>
      <w:r w:rsidR="00727E48" w:rsidRPr="00C80985">
        <w:rPr>
          <w:iCs/>
        </w:rPr>
        <w:t xml:space="preserve"> </w:t>
      </w:r>
      <w:r w:rsidR="0083071C">
        <w:rPr>
          <w:iCs/>
        </w:rPr>
        <w:t>T</w:t>
      </w:r>
      <w:r w:rsidRPr="00C80985">
        <w:rPr>
          <w:iCs/>
        </w:rPr>
        <w:t>he clinical evidence used in the economic model was based on a post-hoc subgroup analysis of Study 1652</w:t>
      </w:r>
      <w:r w:rsidR="0083071C">
        <w:rPr>
          <w:iCs/>
        </w:rPr>
        <w:t xml:space="preserve"> </w:t>
      </w:r>
      <w:r w:rsidR="0083071C">
        <w:t>with</w:t>
      </w:r>
      <w:r w:rsidR="0083071C" w:rsidRPr="00C80985">
        <w:t xml:space="preserve"> only patients weighing &lt;30 kg in the Q4W dosing group, and only patients weighing 30 kg to &lt;60 kg in the Q2W dosing group.</w:t>
      </w:r>
    </w:p>
    <w:p w14:paraId="2B59ABAC" w14:textId="7B57EF29" w:rsidR="00862502" w:rsidRPr="00C80985" w:rsidRDefault="00A73134" w:rsidP="002E4F02">
      <w:pPr>
        <w:pStyle w:val="3-BodyText"/>
      </w:pPr>
      <w:r w:rsidRPr="00C80985">
        <w:rPr>
          <w:snapToGrid/>
        </w:rPr>
        <w:t>Details of the trials</w:t>
      </w:r>
      <w:r w:rsidR="00D5243B" w:rsidRPr="00C80985">
        <w:rPr>
          <w:snapToGrid/>
        </w:rPr>
        <w:t>/studies</w:t>
      </w:r>
      <w:r w:rsidRPr="00C80985">
        <w:rPr>
          <w:snapToGrid/>
        </w:rPr>
        <w:t xml:space="preserve"> presented in the submission are provided in the table below.</w:t>
      </w:r>
      <w:r w:rsidR="00BC591F" w:rsidRPr="00C80985">
        <w:rPr>
          <w:snapToGrid/>
        </w:rPr>
        <w:t xml:space="preserve"> </w:t>
      </w:r>
    </w:p>
    <w:p w14:paraId="7DE3A286" w14:textId="0DCFA60D" w:rsidR="008E0D3C" w:rsidRPr="00C80985" w:rsidRDefault="00AB4654" w:rsidP="002E4F02">
      <w:pPr>
        <w:pStyle w:val="TableFigureHeading"/>
        <w:rPr>
          <w:rStyle w:val="CommentReference"/>
          <w:b/>
          <w:szCs w:val="24"/>
        </w:rPr>
      </w:pPr>
      <w:r w:rsidRPr="00C80985">
        <w:rPr>
          <w:rStyle w:val="CommentReference"/>
          <w:b/>
          <w:szCs w:val="24"/>
        </w:rPr>
        <w:t xml:space="preserve">Table </w:t>
      </w:r>
      <w:r w:rsidRPr="00C80985">
        <w:rPr>
          <w:rStyle w:val="CommentReference"/>
          <w:b/>
          <w:szCs w:val="24"/>
        </w:rPr>
        <w:fldChar w:fldCharType="begin"/>
      </w:r>
      <w:r w:rsidRPr="00C80985">
        <w:rPr>
          <w:rStyle w:val="CommentReference"/>
          <w:b/>
          <w:szCs w:val="24"/>
        </w:rPr>
        <w:instrText xml:space="preserve"> SEQ Table \* ARABIC </w:instrText>
      </w:r>
      <w:r w:rsidRPr="00C80985">
        <w:rPr>
          <w:rStyle w:val="CommentReference"/>
          <w:b/>
          <w:szCs w:val="24"/>
        </w:rPr>
        <w:fldChar w:fldCharType="separate"/>
      </w:r>
      <w:r w:rsidR="00AA723C">
        <w:rPr>
          <w:rStyle w:val="CommentReference"/>
          <w:b/>
          <w:noProof/>
          <w:szCs w:val="24"/>
        </w:rPr>
        <w:t>3</w:t>
      </w:r>
      <w:r w:rsidRPr="00C80985">
        <w:rPr>
          <w:rStyle w:val="CommentReference"/>
          <w:b/>
          <w:szCs w:val="24"/>
        </w:rPr>
        <w:fldChar w:fldCharType="end"/>
      </w:r>
      <w:r w:rsidRPr="00C80985">
        <w:rPr>
          <w:rStyle w:val="CommentReference"/>
          <w:b/>
          <w:szCs w:val="24"/>
        </w:rPr>
        <w:t>:</w:t>
      </w:r>
      <w:r w:rsidR="00BC591F" w:rsidRPr="00C80985">
        <w:rPr>
          <w:rStyle w:val="CommentReference"/>
          <w:b/>
          <w:szCs w:val="24"/>
        </w:rPr>
        <w:t xml:space="preserve"> </w:t>
      </w:r>
      <w:r w:rsidR="008E0D3C" w:rsidRPr="00C80985">
        <w:rPr>
          <w:rStyle w:val="CommentReference"/>
          <w:b/>
          <w:szCs w:val="24"/>
        </w:rPr>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055"/>
        <w:gridCol w:w="2528"/>
      </w:tblGrid>
      <w:tr w:rsidR="008E0D3C" w:rsidRPr="00C80985" w14:paraId="6ACD35C4" w14:textId="77777777" w:rsidTr="00682BA6">
        <w:trPr>
          <w:cantSplit/>
          <w:tblHeader/>
        </w:trPr>
        <w:tc>
          <w:tcPr>
            <w:tcW w:w="795" w:type="pct"/>
            <w:vAlign w:val="center"/>
          </w:tcPr>
          <w:p w14:paraId="20DEEB23" w14:textId="77777777" w:rsidR="008E0D3C" w:rsidRPr="00C80985" w:rsidRDefault="008E0D3C" w:rsidP="00EC5836">
            <w:pPr>
              <w:pStyle w:val="In-tableHeading"/>
              <w:jc w:val="center"/>
              <w:rPr>
                <w:lang w:val="en-AU"/>
              </w:rPr>
            </w:pPr>
            <w:r w:rsidRPr="00C80985">
              <w:rPr>
                <w:lang w:val="en-AU"/>
              </w:rPr>
              <w:t>Trial ID</w:t>
            </w:r>
          </w:p>
        </w:tc>
        <w:tc>
          <w:tcPr>
            <w:tcW w:w="2803" w:type="pct"/>
            <w:vAlign w:val="center"/>
          </w:tcPr>
          <w:p w14:paraId="22EF6C51" w14:textId="77777777" w:rsidR="008E0D3C" w:rsidRPr="00C80985" w:rsidRDefault="008E0D3C" w:rsidP="00272678">
            <w:pPr>
              <w:pStyle w:val="In-tableHeading"/>
              <w:jc w:val="center"/>
              <w:rPr>
                <w:lang w:val="en-AU"/>
              </w:rPr>
            </w:pPr>
            <w:r w:rsidRPr="00C80985">
              <w:rPr>
                <w:lang w:val="en-AU"/>
              </w:rPr>
              <w:t>Protocol title/ Publication title</w:t>
            </w:r>
          </w:p>
        </w:tc>
        <w:tc>
          <w:tcPr>
            <w:tcW w:w="1402" w:type="pct"/>
            <w:vAlign w:val="center"/>
          </w:tcPr>
          <w:p w14:paraId="561B27A8" w14:textId="77777777" w:rsidR="008E0D3C" w:rsidRPr="00C80985" w:rsidRDefault="008E0D3C" w:rsidP="00272678">
            <w:pPr>
              <w:pStyle w:val="In-tableHeading"/>
              <w:jc w:val="center"/>
              <w:rPr>
                <w:lang w:val="en-AU"/>
              </w:rPr>
            </w:pPr>
            <w:r w:rsidRPr="00C80985">
              <w:rPr>
                <w:lang w:val="en-AU"/>
              </w:rPr>
              <w:t>Publication citation</w:t>
            </w:r>
          </w:p>
        </w:tc>
      </w:tr>
      <w:tr w:rsidR="00CC1149" w:rsidRPr="00C80985" w14:paraId="298351BA" w14:textId="77777777" w:rsidTr="00E840F9">
        <w:trPr>
          <w:cantSplit/>
        </w:trPr>
        <w:tc>
          <w:tcPr>
            <w:tcW w:w="795" w:type="pct"/>
            <w:vMerge w:val="restart"/>
            <w:vAlign w:val="center"/>
          </w:tcPr>
          <w:p w14:paraId="549FBAC3" w14:textId="77777777" w:rsidR="00CC1149" w:rsidRPr="00C80985" w:rsidRDefault="00CC1149" w:rsidP="00CC1149">
            <w:pPr>
              <w:pStyle w:val="TableText0"/>
              <w:jc w:val="center"/>
              <w:rPr>
                <w:rFonts w:ascii="Times" w:hAnsi="Times"/>
              </w:rPr>
            </w:pPr>
            <w:r w:rsidRPr="00C80985">
              <w:t>R668-AD-1652 (Study 1652)</w:t>
            </w:r>
          </w:p>
          <w:p w14:paraId="5D9482F5" w14:textId="7F92094B" w:rsidR="00CC1149" w:rsidRPr="00C80985" w:rsidRDefault="00CC1149" w:rsidP="00CC1149">
            <w:pPr>
              <w:pStyle w:val="TableText0"/>
              <w:jc w:val="center"/>
              <w:rPr>
                <w:rFonts w:ascii="Times" w:hAnsi="Times"/>
              </w:rPr>
            </w:pPr>
          </w:p>
        </w:tc>
        <w:tc>
          <w:tcPr>
            <w:tcW w:w="2803" w:type="pct"/>
            <w:tcBorders>
              <w:bottom w:val="nil"/>
            </w:tcBorders>
            <w:vAlign w:val="center"/>
          </w:tcPr>
          <w:p w14:paraId="2570DA6E" w14:textId="6AEBDE14" w:rsidR="00CC1149" w:rsidRPr="00C80985" w:rsidRDefault="00CC1149" w:rsidP="00CC1149">
            <w:pPr>
              <w:pStyle w:val="TableText0"/>
            </w:pPr>
            <w:r w:rsidRPr="00C80985">
              <w:t>A randomised, double-blind, placebo-controlled study to investigate the efficacy and safety of dupilumab administered concomitantly with topical corticosteroids in patients ≥6 years to &lt;12 years of age, with severe atopic dermatitis.</w:t>
            </w:r>
          </w:p>
        </w:tc>
        <w:tc>
          <w:tcPr>
            <w:tcW w:w="1402" w:type="pct"/>
            <w:tcBorders>
              <w:bottom w:val="nil"/>
            </w:tcBorders>
          </w:tcPr>
          <w:p w14:paraId="7578773D" w14:textId="061C72B9" w:rsidR="00CC1149" w:rsidRPr="00C80985" w:rsidRDefault="00CC1149" w:rsidP="00CC1149">
            <w:pPr>
              <w:pStyle w:val="TableText0"/>
              <w:rPr>
                <w:rFonts w:ascii="Times" w:hAnsi="Times"/>
              </w:rPr>
            </w:pPr>
            <w:r w:rsidRPr="00C80985">
              <w:t>November 2019</w:t>
            </w:r>
          </w:p>
        </w:tc>
      </w:tr>
      <w:tr w:rsidR="00CC1149" w:rsidRPr="00C80985" w14:paraId="7F06C7BE" w14:textId="77777777" w:rsidTr="00E840F9">
        <w:trPr>
          <w:cantSplit/>
        </w:trPr>
        <w:tc>
          <w:tcPr>
            <w:tcW w:w="795" w:type="pct"/>
            <w:vMerge/>
            <w:vAlign w:val="center"/>
          </w:tcPr>
          <w:p w14:paraId="2DE31C12" w14:textId="7BFA1DAD" w:rsidR="00CC1149" w:rsidRPr="00C80985" w:rsidRDefault="00CC1149" w:rsidP="00CC1149">
            <w:pPr>
              <w:pStyle w:val="TableText0"/>
              <w:jc w:val="center"/>
            </w:pPr>
          </w:p>
        </w:tc>
        <w:tc>
          <w:tcPr>
            <w:tcW w:w="2803" w:type="pct"/>
            <w:tcBorders>
              <w:top w:val="nil"/>
              <w:bottom w:val="nil"/>
            </w:tcBorders>
            <w:vAlign w:val="center"/>
          </w:tcPr>
          <w:p w14:paraId="7CB8ADA9" w14:textId="5B973BBA" w:rsidR="00CC1149" w:rsidRPr="00C80985" w:rsidRDefault="00CC1149" w:rsidP="00CC1149">
            <w:pPr>
              <w:pStyle w:val="TableText0"/>
            </w:pPr>
            <w:proofErr w:type="spellStart"/>
            <w:r w:rsidRPr="00C80985">
              <w:t>Paller</w:t>
            </w:r>
            <w:proofErr w:type="spellEnd"/>
            <w:r w:rsidRPr="00C80985">
              <w:t xml:space="preserve"> A, Siegfried EC, </w:t>
            </w:r>
            <w:proofErr w:type="spellStart"/>
            <w:r w:rsidRPr="00C80985">
              <w:t>Thaci</w:t>
            </w:r>
            <w:proofErr w:type="spellEnd"/>
            <w:r w:rsidRPr="00C80985">
              <w:t xml:space="preserve"> D, </w:t>
            </w:r>
            <w:proofErr w:type="spellStart"/>
            <w:r w:rsidRPr="00C80985">
              <w:t>Wollenberg</w:t>
            </w:r>
            <w:proofErr w:type="spellEnd"/>
            <w:r w:rsidRPr="00C80985">
              <w:t xml:space="preserve"> A et al. Efficacy and safety of dupilumab with concomitant topical corticosteroids in children 6 to 11 years old with severe atopic dermatitis: A randomized, double-blinded, placebo-controlled phase 3 trial. </w:t>
            </w:r>
          </w:p>
        </w:tc>
        <w:tc>
          <w:tcPr>
            <w:tcW w:w="1402" w:type="pct"/>
            <w:tcBorders>
              <w:top w:val="nil"/>
              <w:bottom w:val="nil"/>
            </w:tcBorders>
          </w:tcPr>
          <w:p w14:paraId="53EB2567" w14:textId="1BAF7E8A" w:rsidR="00CC1149" w:rsidRPr="00C80985" w:rsidRDefault="00CC1149" w:rsidP="00CC1149">
            <w:pPr>
              <w:pStyle w:val="TableText0"/>
            </w:pPr>
            <w:r w:rsidRPr="00C80985">
              <w:rPr>
                <w:iCs/>
                <w:szCs w:val="18"/>
              </w:rPr>
              <w:t xml:space="preserve">J Am </w:t>
            </w:r>
            <w:proofErr w:type="spellStart"/>
            <w:r w:rsidRPr="00C80985">
              <w:rPr>
                <w:iCs/>
                <w:szCs w:val="18"/>
              </w:rPr>
              <w:t>Acad</w:t>
            </w:r>
            <w:proofErr w:type="spellEnd"/>
            <w:r w:rsidRPr="00C80985">
              <w:rPr>
                <w:iCs/>
                <w:szCs w:val="18"/>
              </w:rPr>
              <w:t xml:space="preserve"> Dermatol</w:t>
            </w:r>
            <w:r w:rsidRPr="00C80985">
              <w:rPr>
                <w:szCs w:val="18"/>
              </w:rPr>
              <w:t xml:space="preserve"> 2020. 83(5): 1282-1293. </w:t>
            </w:r>
          </w:p>
        </w:tc>
      </w:tr>
      <w:tr w:rsidR="002E4F02" w:rsidRPr="00C80985" w14:paraId="3C25A115" w14:textId="77777777" w:rsidTr="00BB732D">
        <w:trPr>
          <w:cantSplit/>
        </w:trPr>
        <w:tc>
          <w:tcPr>
            <w:tcW w:w="795" w:type="pct"/>
            <w:vMerge/>
            <w:tcBorders>
              <w:bottom w:val="single" w:sz="4" w:space="0" w:color="auto"/>
            </w:tcBorders>
            <w:vAlign w:val="center"/>
          </w:tcPr>
          <w:p w14:paraId="7B7F242C" w14:textId="7CBDF1E3" w:rsidR="002E4F02" w:rsidRPr="00C80985" w:rsidRDefault="002E4F02" w:rsidP="00D33F93">
            <w:pPr>
              <w:pStyle w:val="Tabletext"/>
              <w:keepNext/>
              <w:keepLines/>
            </w:pPr>
          </w:p>
        </w:tc>
        <w:tc>
          <w:tcPr>
            <w:tcW w:w="2803" w:type="pct"/>
            <w:tcBorders>
              <w:top w:val="nil"/>
              <w:bottom w:val="single" w:sz="4" w:space="0" w:color="auto"/>
            </w:tcBorders>
            <w:vAlign w:val="center"/>
          </w:tcPr>
          <w:p w14:paraId="579BA225" w14:textId="65C5BB79" w:rsidR="002E4F02" w:rsidRPr="00C80985" w:rsidRDefault="002E4F02" w:rsidP="00EC5836">
            <w:pPr>
              <w:pStyle w:val="TableText0"/>
            </w:pPr>
            <w:r w:rsidRPr="00C80985">
              <w:t>Author(s). Title.</w:t>
            </w:r>
          </w:p>
        </w:tc>
        <w:tc>
          <w:tcPr>
            <w:tcW w:w="1402" w:type="pct"/>
            <w:tcBorders>
              <w:top w:val="nil"/>
              <w:bottom w:val="single" w:sz="4" w:space="0" w:color="auto"/>
            </w:tcBorders>
            <w:vAlign w:val="center"/>
          </w:tcPr>
          <w:p w14:paraId="08A85085" w14:textId="35938201" w:rsidR="002E4F02" w:rsidRPr="00C80985" w:rsidRDefault="002E4F02" w:rsidP="00EC5836">
            <w:pPr>
              <w:pStyle w:val="TableText0"/>
            </w:pPr>
            <w:r w:rsidRPr="00C80985">
              <w:t xml:space="preserve">Journal Year; </w:t>
            </w:r>
            <w:proofErr w:type="gramStart"/>
            <w:r w:rsidRPr="00C80985">
              <w:t>Vol(</w:t>
            </w:r>
            <w:proofErr w:type="gramEnd"/>
            <w:r w:rsidRPr="00C80985">
              <w:t xml:space="preserve">No.): pages </w:t>
            </w:r>
          </w:p>
        </w:tc>
      </w:tr>
    </w:tbl>
    <w:p w14:paraId="51D8173A" w14:textId="2878BC37" w:rsidR="008E0D3C" w:rsidRPr="00C80985" w:rsidRDefault="008E0D3C" w:rsidP="00EC5836">
      <w:pPr>
        <w:pStyle w:val="TableFigureFooter"/>
        <w:rPr>
          <w:sz w:val="20"/>
        </w:rPr>
      </w:pPr>
      <w:r w:rsidRPr="00C80985">
        <w:t xml:space="preserve">Source: </w:t>
      </w:r>
      <w:r w:rsidR="000F2C1D" w:rsidRPr="00C80985">
        <w:t>Table 2-1, p56 of the submission.</w:t>
      </w:r>
    </w:p>
    <w:p w14:paraId="1DD06D7D" w14:textId="3FA6B35A" w:rsidR="007F1017" w:rsidRPr="00C80985" w:rsidRDefault="008F120A" w:rsidP="00EC5836">
      <w:pPr>
        <w:pStyle w:val="3-BodyText"/>
        <w:rPr>
          <w:color w:val="0066FF"/>
        </w:rPr>
      </w:pPr>
      <w:r w:rsidRPr="00C80985">
        <w:t>The key features of the direct randomised trial are summarised in the table below.</w:t>
      </w:r>
      <w:r w:rsidR="00BC591F" w:rsidRPr="00C80985">
        <w:t xml:space="preserve"> </w:t>
      </w:r>
    </w:p>
    <w:p w14:paraId="355E2F15" w14:textId="44CBD002" w:rsidR="007F1017" w:rsidRPr="00C80985" w:rsidRDefault="00AB4654" w:rsidP="00EC5836">
      <w:pPr>
        <w:pStyle w:val="TableFigureHeading"/>
        <w:rPr>
          <w:rStyle w:val="CommentReference"/>
          <w:b/>
          <w:szCs w:val="24"/>
        </w:rPr>
      </w:pPr>
      <w:r w:rsidRPr="00C80985">
        <w:rPr>
          <w:rStyle w:val="CommentReference"/>
          <w:b/>
          <w:szCs w:val="24"/>
        </w:rPr>
        <w:lastRenderedPageBreak/>
        <w:t xml:space="preserve">Table </w:t>
      </w:r>
      <w:r w:rsidRPr="00C80985">
        <w:rPr>
          <w:rStyle w:val="CommentReference"/>
          <w:b/>
          <w:szCs w:val="24"/>
        </w:rPr>
        <w:fldChar w:fldCharType="begin"/>
      </w:r>
      <w:r w:rsidRPr="00C80985">
        <w:rPr>
          <w:rStyle w:val="CommentReference"/>
          <w:b/>
          <w:szCs w:val="24"/>
        </w:rPr>
        <w:instrText xml:space="preserve"> SEQ Table \* ARABIC </w:instrText>
      </w:r>
      <w:r w:rsidRPr="00C80985">
        <w:rPr>
          <w:rStyle w:val="CommentReference"/>
          <w:b/>
          <w:szCs w:val="24"/>
        </w:rPr>
        <w:fldChar w:fldCharType="separate"/>
      </w:r>
      <w:r w:rsidR="00AA723C">
        <w:rPr>
          <w:rStyle w:val="CommentReference"/>
          <w:b/>
          <w:noProof/>
          <w:szCs w:val="24"/>
        </w:rPr>
        <w:t>4</w:t>
      </w:r>
      <w:r w:rsidRPr="00C80985">
        <w:rPr>
          <w:rStyle w:val="CommentReference"/>
          <w:b/>
          <w:szCs w:val="24"/>
        </w:rPr>
        <w:fldChar w:fldCharType="end"/>
      </w:r>
      <w:r w:rsidR="007F1017" w:rsidRPr="00C80985">
        <w:rPr>
          <w:rStyle w:val="CommentReference"/>
          <w:b/>
          <w:szCs w:val="24"/>
        </w:rPr>
        <w:t>: Key features of the included evidence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09"/>
        <w:gridCol w:w="795"/>
        <w:gridCol w:w="1340"/>
        <w:gridCol w:w="1055"/>
        <w:gridCol w:w="2150"/>
        <w:gridCol w:w="1103"/>
        <w:gridCol w:w="1408"/>
      </w:tblGrid>
      <w:tr w:rsidR="00234972" w:rsidRPr="00C80985" w14:paraId="53DD7CC6" w14:textId="77777777" w:rsidTr="00234972">
        <w:trPr>
          <w:cantSplit/>
          <w:tblHeader/>
        </w:trPr>
        <w:tc>
          <w:tcPr>
            <w:tcW w:w="669" w:type="pct"/>
            <w:shd w:val="clear" w:color="auto" w:fill="auto"/>
            <w:vAlign w:val="center"/>
          </w:tcPr>
          <w:p w14:paraId="794116BC" w14:textId="77777777" w:rsidR="007F1017" w:rsidRPr="00C80985" w:rsidRDefault="007F1017" w:rsidP="001E34DF">
            <w:pPr>
              <w:pStyle w:val="In-tableHeading"/>
              <w:rPr>
                <w:lang w:val="en-AU"/>
              </w:rPr>
            </w:pPr>
            <w:r w:rsidRPr="00C80985">
              <w:rPr>
                <w:lang w:val="en-AU"/>
              </w:rPr>
              <w:t>Trial</w:t>
            </w:r>
          </w:p>
        </w:tc>
        <w:tc>
          <w:tcPr>
            <w:tcW w:w="430" w:type="pct"/>
            <w:shd w:val="clear" w:color="auto" w:fill="auto"/>
            <w:vAlign w:val="center"/>
          </w:tcPr>
          <w:p w14:paraId="51122FE5" w14:textId="77777777" w:rsidR="007F1017" w:rsidRPr="00C80985" w:rsidRDefault="007F1017" w:rsidP="00EC5836">
            <w:pPr>
              <w:pStyle w:val="In-tableHeading"/>
              <w:jc w:val="center"/>
              <w:rPr>
                <w:lang w:val="en-AU"/>
              </w:rPr>
            </w:pPr>
            <w:r w:rsidRPr="00C80985">
              <w:rPr>
                <w:lang w:val="en-AU"/>
              </w:rPr>
              <w:t>N</w:t>
            </w:r>
          </w:p>
        </w:tc>
        <w:tc>
          <w:tcPr>
            <w:tcW w:w="741" w:type="pct"/>
            <w:shd w:val="clear" w:color="auto" w:fill="auto"/>
            <w:vAlign w:val="center"/>
          </w:tcPr>
          <w:p w14:paraId="41C438EF" w14:textId="77777777" w:rsidR="007F1017" w:rsidRPr="00C80985" w:rsidRDefault="007F1017" w:rsidP="00EC5836">
            <w:pPr>
              <w:pStyle w:val="In-tableHeading"/>
              <w:jc w:val="center"/>
              <w:rPr>
                <w:lang w:val="en-AU"/>
              </w:rPr>
            </w:pPr>
            <w:r w:rsidRPr="00C80985">
              <w:rPr>
                <w:lang w:val="en-AU"/>
              </w:rPr>
              <w:t>Design/ duration</w:t>
            </w:r>
          </w:p>
        </w:tc>
        <w:tc>
          <w:tcPr>
            <w:tcW w:w="584" w:type="pct"/>
            <w:shd w:val="clear" w:color="auto" w:fill="auto"/>
            <w:vAlign w:val="center"/>
          </w:tcPr>
          <w:p w14:paraId="1FC91360" w14:textId="77777777" w:rsidR="007F1017" w:rsidRPr="00C80985" w:rsidRDefault="007F1017" w:rsidP="00EC5836">
            <w:pPr>
              <w:pStyle w:val="In-tableHeading"/>
              <w:jc w:val="center"/>
              <w:rPr>
                <w:lang w:val="en-AU"/>
              </w:rPr>
            </w:pPr>
            <w:r w:rsidRPr="00C80985">
              <w:rPr>
                <w:lang w:val="en-AU"/>
              </w:rPr>
              <w:t>Risk of bias</w:t>
            </w:r>
          </w:p>
        </w:tc>
        <w:tc>
          <w:tcPr>
            <w:tcW w:w="1188" w:type="pct"/>
            <w:shd w:val="clear" w:color="auto" w:fill="auto"/>
            <w:vAlign w:val="center"/>
          </w:tcPr>
          <w:p w14:paraId="7FF90896" w14:textId="77777777" w:rsidR="007F1017" w:rsidRPr="00C80985" w:rsidRDefault="007F1017" w:rsidP="00EC5836">
            <w:pPr>
              <w:pStyle w:val="In-tableHeading"/>
              <w:jc w:val="center"/>
              <w:rPr>
                <w:lang w:val="en-AU"/>
              </w:rPr>
            </w:pPr>
            <w:r w:rsidRPr="00C80985">
              <w:rPr>
                <w:lang w:val="en-AU"/>
              </w:rPr>
              <w:t>Patient population</w:t>
            </w:r>
          </w:p>
        </w:tc>
        <w:tc>
          <w:tcPr>
            <w:tcW w:w="610" w:type="pct"/>
            <w:shd w:val="clear" w:color="auto" w:fill="auto"/>
            <w:vAlign w:val="center"/>
          </w:tcPr>
          <w:p w14:paraId="0FCB63F9" w14:textId="77777777" w:rsidR="007F1017" w:rsidRPr="00C80985" w:rsidRDefault="007F1017" w:rsidP="00EC5836">
            <w:pPr>
              <w:pStyle w:val="In-tableHeading"/>
              <w:jc w:val="center"/>
              <w:rPr>
                <w:lang w:val="en-AU"/>
              </w:rPr>
            </w:pPr>
            <w:r w:rsidRPr="00C80985">
              <w:rPr>
                <w:lang w:val="en-AU"/>
              </w:rPr>
              <w:t>Outcome(s)</w:t>
            </w:r>
          </w:p>
        </w:tc>
        <w:tc>
          <w:tcPr>
            <w:tcW w:w="778" w:type="pct"/>
            <w:shd w:val="clear" w:color="auto" w:fill="auto"/>
            <w:vAlign w:val="center"/>
          </w:tcPr>
          <w:p w14:paraId="08C6F624" w14:textId="77777777" w:rsidR="007F1017" w:rsidRPr="00C80985" w:rsidRDefault="007F1017" w:rsidP="00EC5836">
            <w:pPr>
              <w:pStyle w:val="In-tableHeading"/>
              <w:jc w:val="center"/>
              <w:rPr>
                <w:lang w:val="en-AU"/>
              </w:rPr>
            </w:pPr>
            <w:r w:rsidRPr="00C80985">
              <w:rPr>
                <w:lang w:val="en-AU"/>
              </w:rPr>
              <w:t>Use in modelled evaluation</w:t>
            </w:r>
          </w:p>
        </w:tc>
      </w:tr>
      <w:tr w:rsidR="00234972" w:rsidRPr="00C80985" w14:paraId="2A03CD4B" w14:textId="77777777" w:rsidTr="003B3C0F">
        <w:trPr>
          <w:cantSplit/>
        </w:trPr>
        <w:tc>
          <w:tcPr>
            <w:tcW w:w="5000" w:type="pct"/>
            <w:gridSpan w:val="7"/>
            <w:tcBorders>
              <w:bottom w:val="single" w:sz="4" w:space="0" w:color="auto"/>
            </w:tcBorders>
            <w:shd w:val="clear" w:color="auto" w:fill="auto"/>
            <w:vAlign w:val="center"/>
          </w:tcPr>
          <w:p w14:paraId="73088C85" w14:textId="272F495B" w:rsidR="007F1017" w:rsidRPr="00C80985" w:rsidRDefault="000F2C1D" w:rsidP="00EC5836">
            <w:pPr>
              <w:pStyle w:val="In-tableHeading"/>
              <w:rPr>
                <w:lang w:val="en-AU"/>
              </w:rPr>
            </w:pPr>
            <w:r w:rsidRPr="00C80985">
              <w:rPr>
                <w:lang w:val="en-AU"/>
              </w:rPr>
              <w:t>Dupilumab vs. placebo</w:t>
            </w:r>
          </w:p>
        </w:tc>
      </w:tr>
      <w:tr w:rsidR="00234972" w:rsidRPr="00C80985" w14:paraId="4EE88DCB" w14:textId="77777777" w:rsidTr="003B3C0F">
        <w:trPr>
          <w:cantSplit/>
        </w:trPr>
        <w:tc>
          <w:tcPr>
            <w:tcW w:w="669" w:type="pct"/>
            <w:tcBorders>
              <w:bottom w:val="single" w:sz="4" w:space="0" w:color="auto"/>
            </w:tcBorders>
            <w:shd w:val="clear" w:color="auto" w:fill="auto"/>
            <w:vAlign w:val="center"/>
          </w:tcPr>
          <w:p w14:paraId="6EE77D33" w14:textId="402F1A1E" w:rsidR="007F1017" w:rsidRPr="00C80985" w:rsidRDefault="000F2C1D" w:rsidP="00EC5836">
            <w:pPr>
              <w:pStyle w:val="TableText0"/>
            </w:pPr>
            <w:r w:rsidRPr="00C80985">
              <w:t>Study 1652</w:t>
            </w:r>
          </w:p>
        </w:tc>
        <w:tc>
          <w:tcPr>
            <w:tcW w:w="430" w:type="pct"/>
            <w:tcBorders>
              <w:bottom w:val="single" w:sz="4" w:space="0" w:color="auto"/>
            </w:tcBorders>
            <w:shd w:val="clear" w:color="auto" w:fill="auto"/>
            <w:vAlign w:val="center"/>
          </w:tcPr>
          <w:p w14:paraId="0BE77663" w14:textId="77777777" w:rsidR="007F1017" w:rsidRPr="00C80985" w:rsidRDefault="000F2C1D" w:rsidP="00EC5836">
            <w:pPr>
              <w:pStyle w:val="TableText0"/>
              <w:jc w:val="center"/>
            </w:pPr>
            <w:r w:rsidRPr="00C80985">
              <w:t>367</w:t>
            </w:r>
          </w:p>
          <w:p w14:paraId="41BB0E41" w14:textId="3683FEF3" w:rsidR="00234972" w:rsidRPr="00C80985" w:rsidRDefault="00234972" w:rsidP="00EC5836">
            <w:pPr>
              <w:pStyle w:val="TableText0"/>
              <w:jc w:val="center"/>
            </w:pPr>
            <w:r w:rsidRPr="00C80985">
              <w:t>(subgroup N=173)</w:t>
            </w:r>
          </w:p>
        </w:tc>
        <w:tc>
          <w:tcPr>
            <w:tcW w:w="741" w:type="pct"/>
            <w:tcBorders>
              <w:bottom w:val="single" w:sz="4" w:space="0" w:color="auto"/>
            </w:tcBorders>
            <w:shd w:val="clear" w:color="auto" w:fill="auto"/>
            <w:vAlign w:val="center"/>
          </w:tcPr>
          <w:p w14:paraId="401EAFDA" w14:textId="1C0DE42C" w:rsidR="007F1017" w:rsidRPr="00C80985" w:rsidRDefault="007F1017" w:rsidP="00EC5836">
            <w:pPr>
              <w:pStyle w:val="TableText0"/>
              <w:jc w:val="center"/>
            </w:pPr>
            <w:r w:rsidRPr="00C80985">
              <w:t>R, DB</w:t>
            </w:r>
            <w:r w:rsidR="00234972" w:rsidRPr="00C80985">
              <w:t>, MC</w:t>
            </w:r>
          </w:p>
          <w:p w14:paraId="744D08AC" w14:textId="0CA1B905" w:rsidR="007F1017" w:rsidRPr="00C80985" w:rsidRDefault="000F2C1D" w:rsidP="00EC5836">
            <w:pPr>
              <w:pStyle w:val="TableText0"/>
              <w:jc w:val="center"/>
            </w:pPr>
            <w:r w:rsidRPr="00C80985">
              <w:t>16 weeks</w:t>
            </w:r>
          </w:p>
        </w:tc>
        <w:tc>
          <w:tcPr>
            <w:tcW w:w="584" w:type="pct"/>
            <w:tcBorders>
              <w:bottom w:val="single" w:sz="4" w:space="0" w:color="auto"/>
            </w:tcBorders>
            <w:shd w:val="clear" w:color="auto" w:fill="auto"/>
            <w:vAlign w:val="center"/>
          </w:tcPr>
          <w:p w14:paraId="4A529D74" w14:textId="77777777" w:rsidR="007F1017" w:rsidRPr="00C80985" w:rsidRDefault="007F1017" w:rsidP="00EC5836">
            <w:pPr>
              <w:pStyle w:val="TableText0"/>
              <w:jc w:val="center"/>
            </w:pPr>
            <w:r w:rsidRPr="00C80985">
              <w:t>Low</w:t>
            </w:r>
          </w:p>
        </w:tc>
        <w:tc>
          <w:tcPr>
            <w:tcW w:w="1188" w:type="pct"/>
            <w:tcBorders>
              <w:bottom w:val="single" w:sz="4" w:space="0" w:color="auto"/>
            </w:tcBorders>
            <w:shd w:val="clear" w:color="auto" w:fill="auto"/>
            <w:vAlign w:val="center"/>
          </w:tcPr>
          <w:p w14:paraId="5E6F456D" w14:textId="01BDB3D9" w:rsidR="007F1017" w:rsidRPr="00C80985" w:rsidRDefault="000F2C1D" w:rsidP="00EC5836">
            <w:pPr>
              <w:pStyle w:val="TableText0"/>
              <w:jc w:val="center"/>
            </w:pPr>
            <w:r w:rsidRPr="00C80985">
              <w:t>6 years to &lt;12 years with severe AD that was not adequately controlled with topical medications</w:t>
            </w:r>
          </w:p>
        </w:tc>
        <w:tc>
          <w:tcPr>
            <w:tcW w:w="610" w:type="pct"/>
            <w:tcBorders>
              <w:bottom w:val="single" w:sz="4" w:space="0" w:color="auto"/>
            </w:tcBorders>
            <w:shd w:val="clear" w:color="auto" w:fill="auto"/>
            <w:vAlign w:val="center"/>
          </w:tcPr>
          <w:p w14:paraId="6DC76214" w14:textId="3599F72D" w:rsidR="007F1017" w:rsidRPr="00C80985" w:rsidRDefault="000F2C1D" w:rsidP="00EC5836">
            <w:pPr>
              <w:pStyle w:val="TableText0"/>
              <w:jc w:val="center"/>
            </w:pPr>
            <w:r w:rsidRPr="00C80985">
              <w:t xml:space="preserve">EASI 50, EASI 75, IGA, </w:t>
            </w:r>
            <w:r w:rsidR="00766BD7" w:rsidRPr="00C80985">
              <w:t>CDLQI</w:t>
            </w:r>
          </w:p>
        </w:tc>
        <w:tc>
          <w:tcPr>
            <w:tcW w:w="778" w:type="pct"/>
            <w:tcBorders>
              <w:bottom w:val="single" w:sz="4" w:space="0" w:color="auto"/>
            </w:tcBorders>
            <w:shd w:val="clear" w:color="auto" w:fill="auto"/>
            <w:vAlign w:val="center"/>
          </w:tcPr>
          <w:p w14:paraId="150A804C" w14:textId="6267FC79" w:rsidR="007F1017" w:rsidRPr="00C80985" w:rsidRDefault="000F2C1D" w:rsidP="00EC5836">
            <w:pPr>
              <w:pStyle w:val="TableText0"/>
              <w:jc w:val="center"/>
            </w:pPr>
            <w:r w:rsidRPr="00C80985">
              <w:t xml:space="preserve">Post-hoc subgroup </w:t>
            </w:r>
            <w:r w:rsidR="00466A2A" w:rsidRPr="00C80985">
              <w:t xml:space="preserve">for Week 16 EASI 50 and </w:t>
            </w:r>
            <w:r w:rsidR="00766BD7" w:rsidRPr="00C80985">
              <w:t>CDLQI</w:t>
            </w:r>
          </w:p>
        </w:tc>
      </w:tr>
    </w:tbl>
    <w:p w14:paraId="560080D2" w14:textId="6B505BB3" w:rsidR="00045017" w:rsidRPr="00C80985" w:rsidRDefault="00045017" w:rsidP="00EC5836">
      <w:pPr>
        <w:pStyle w:val="TableFigureFooter"/>
      </w:pPr>
      <w:r w:rsidRPr="00C80985">
        <w:t xml:space="preserve">Source: </w:t>
      </w:r>
      <w:r w:rsidR="00466A2A" w:rsidRPr="00C80985">
        <w:t>Section 2.2.3, p59 of the submission.</w:t>
      </w:r>
    </w:p>
    <w:p w14:paraId="1095487C" w14:textId="1CC3DEBF" w:rsidR="00620C25" w:rsidRPr="00C80985" w:rsidRDefault="00766BD7" w:rsidP="00EC5836">
      <w:pPr>
        <w:pStyle w:val="TableFigureFooter"/>
        <w:rPr>
          <w:sz w:val="20"/>
        </w:rPr>
      </w:pPr>
      <w:r w:rsidRPr="00C80985">
        <w:rPr>
          <w:rFonts w:eastAsia="Calibri"/>
          <w:szCs w:val="18"/>
        </w:rPr>
        <w:t>CDLQI</w:t>
      </w:r>
      <w:r w:rsidR="00466A2A" w:rsidRPr="00C80985">
        <w:rPr>
          <w:rFonts w:eastAsia="Calibri"/>
          <w:szCs w:val="18"/>
        </w:rPr>
        <w:t xml:space="preserve"> – Childhood Dermatology Life Quality Index</w:t>
      </w:r>
      <w:r w:rsidR="00466A2A" w:rsidRPr="00C80985">
        <w:t xml:space="preserve">; </w:t>
      </w:r>
      <w:r w:rsidR="00620C25" w:rsidRPr="00C80985">
        <w:t xml:space="preserve">DB = double blind; </w:t>
      </w:r>
      <w:r w:rsidR="00466A2A" w:rsidRPr="00C80985">
        <w:t xml:space="preserve">EASI = Eczema Area and Severity Index; IGA = Investigator’s Global Assessment; </w:t>
      </w:r>
      <w:r w:rsidR="00620C25" w:rsidRPr="00C80985">
        <w:t>MC = multi-centre; R = randomised.</w:t>
      </w:r>
    </w:p>
    <w:p w14:paraId="4033C5B0" w14:textId="45E31126" w:rsidR="00620C25" w:rsidRPr="00C80985" w:rsidRDefault="00466A2A" w:rsidP="00EC5836">
      <w:pPr>
        <w:pStyle w:val="3-BodyText"/>
      </w:pPr>
      <w:r w:rsidRPr="00C80985">
        <w:rPr>
          <w:iCs/>
        </w:rPr>
        <w:t xml:space="preserve">The outcomes are the same as those considered in the adult submissions, </w:t>
      </w:r>
      <w:proofErr w:type="gramStart"/>
      <w:r w:rsidRPr="00C80985">
        <w:rPr>
          <w:iCs/>
        </w:rPr>
        <w:t>with the exception of</w:t>
      </w:r>
      <w:proofErr w:type="gramEnd"/>
      <w:r w:rsidRPr="00C80985">
        <w:rPr>
          <w:iCs/>
        </w:rPr>
        <w:t xml:space="preserve"> the </w:t>
      </w:r>
      <w:r w:rsidR="00766BD7" w:rsidRPr="00C80985">
        <w:rPr>
          <w:iCs/>
        </w:rPr>
        <w:t>CDLQI</w:t>
      </w:r>
      <w:r w:rsidRPr="00C80985">
        <w:rPr>
          <w:iCs/>
        </w:rPr>
        <w:t>, which is a child version of the DLQI assessed for adults.</w:t>
      </w:r>
      <w:r w:rsidR="00727E48" w:rsidRPr="00C80985">
        <w:t xml:space="preserve"> </w:t>
      </w:r>
      <w:r w:rsidRPr="00C80985">
        <w:t>The primary outcome in Study 1652 was the proportion of patients with IGA 0 or 1</w:t>
      </w:r>
      <w:r w:rsidR="007F7AA1">
        <w:t xml:space="preserve">. </w:t>
      </w:r>
      <w:r w:rsidRPr="00C80985">
        <w:t xml:space="preserve"> </w:t>
      </w:r>
      <w:r w:rsidR="007F7AA1">
        <w:t>T</w:t>
      </w:r>
      <w:r w:rsidRPr="00C80985">
        <w:t>he proportion of patients with EASI 75 at Week 16</w:t>
      </w:r>
      <w:r w:rsidR="007F7AA1">
        <w:t xml:space="preserve"> was a key secondary outcome</w:t>
      </w:r>
      <w:r w:rsidRPr="00C80985">
        <w:t>.</w:t>
      </w:r>
      <w:r w:rsidR="00727E48" w:rsidRPr="00C80985">
        <w:t xml:space="preserve"> </w:t>
      </w:r>
      <w:r w:rsidR="007F7AA1">
        <w:t>Other k</w:t>
      </w:r>
      <w:r w:rsidRPr="00C80985">
        <w:t xml:space="preserve">ey secondary outcomes included percent change in EASI score from baseline to Week 16, proportion of patients with EASI 50 and change from baseline in </w:t>
      </w:r>
      <w:r w:rsidR="00766BD7" w:rsidRPr="00C80985">
        <w:t>CDLQI</w:t>
      </w:r>
      <w:r w:rsidRPr="00C80985">
        <w:t>.</w:t>
      </w:r>
      <w:r w:rsidR="00727E48" w:rsidRPr="00C80985">
        <w:t xml:space="preserve"> </w:t>
      </w:r>
      <w:r w:rsidRPr="00C80985">
        <w:rPr>
          <w:iCs/>
        </w:rPr>
        <w:t xml:space="preserve">While it was not a specified outcome in the trial, for the economic model a combined outcome of the proportion of patients with EASI 50 and </w:t>
      </w:r>
      <w:r w:rsidR="00E24819" w:rsidRPr="00C80985">
        <w:rPr>
          <w:iCs/>
        </w:rPr>
        <w:t>CDLQI</w:t>
      </w:r>
      <w:r w:rsidRPr="00C80985">
        <w:rPr>
          <w:iCs/>
        </w:rPr>
        <w:t>4 was used.</w:t>
      </w:r>
    </w:p>
    <w:p w14:paraId="4A4FE085" w14:textId="1C5613CC" w:rsidR="00B60939" w:rsidRPr="00C80985" w:rsidRDefault="00B60939" w:rsidP="00EC5836">
      <w:pPr>
        <w:pStyle w:val="4-SubsectionHeading"/>
      </w:pPr>
      <w:bookmarkStart w:id="18" w:name="_Toc22897641"/>
      <w:bookmarkStart w:id="19" w:name="_Toc93325002"/>
      <w:r w:rsidRPr="00C80985">
        <w:t>Comparative effectiveness</w:t>
      </w:r>
      <w:bookmarkEnd w:id="18"/>
      <w:bookmarkEnd w:id="19"/>
    </w:p>
    <w:p w14:paraId="4544E3CD" w14:textId="7B27B879" w:rsidR="005A1113" w:rsidRPr="007C24DD" w:rsidRDefault="00A01936" w:rsidP="007C24DD">
      <w:pPr>
        <w:pStyle w:val="3-BodyText"/>
      </w:pPr>
      <w:r w:rsidRPr="00C80985">
        <w:t>The submission presented efficacy results for the overall trial population and weight-based groups.</w:t>
      </w:r>
      <w:r w:rsidR="00727E48" w:rsidRPr="00C80985">
        <w:t xml:space="preserve"> </w:t>
      </w:r>
      <w:r w:rsidRPr="007C24DD">
        <w:t xml:space="preserve">The clinical efficacy data used in the economic model </w:t>
      </w:r>
      <w:r w:rsidR="0046337E" w:rsidRPr="007C24DD">
        <w:t xml:space="preserve">was based on </w:t>
      </w:r>
      <w:r w:rsidRPr="007C24DD">
        <w:t xml:space="preserve">post-hoc subgroup analysis </w:t>
      </w:r>
      <w:r w:rsidR="00E24819" w:rsidRPr="007C24DD">
        <w:t xml:space="preserve">patients </w:t>
      </w:r>
      <w:r w:rsidR="000B2A3D" w:rsidRPr="007C24DD">
        <w:t xml:space="preserve">in Study 1652 </w:t>
      </w:r>
      <w:r w:rsidR="0046337E" w:rsidRPr="007C24DD">
        <w:t>with severe AD (baseline EASI ≥21)</w:t>
      </w:r>
      <w:r w:rsidR="003B3C0F" w:rsidRPr="007C24DD">
        <w:t>.</w:t>
      </w:r>
      <w:r w:rsidR="0046337E" w:rsidRPr="007C24DD">
        <w:t xml:space="preserve"> </w:t>
      </w:r>
      <w:r w:rsidR="00C62198" w:rsidRPr="00C80985">
        <w:t xml:space="preserve">This subgroup contained only patients weighing &lt;30 kg in the Q4W dosing group, and only patients weighing 30 kg to &lt;60 kg in the Q2W dosing group. The number of patients was 173, which is almost half of the overall trial population (N=367). </w:t>
      </w:r>
      <w:r w:rsidR="007C24DD" w:rsidRPr="007C24DD">
        <w:t>The ESC noted that the baseline characteristics of the sub-group used to estimate the Week 16 response rate were not presented.</w:t>
      </w:r>
    </w:p>
    <w:p w14:paraId="0F655B4C" w14:textId="5B252867" w:rsidR="005A1113" w:rsidRPr="00C80985" w:rsidRDefault="005A1113" w:rsidP="00EC5836">
      <w:pPr>
        <w:pStyle w:val="3-BodyText"/>
      </w:pPr>
      <w:r w:rsidRPr="00C80985">
        <w:t xml:space="preserve">The key results relied upon in the model were a combined outcome of EASI 50 and </w:t>
      </w:r>
      <w:r w:rsidR="00766BD7" w:rsidRPr="00C80985">
        <w:t>CDLQI</w:t>
      </w:r>
      <w:r w:rsidRPr="00C80985">
        <w:t>4.</w:t>
      </w:r>
      <w:r w:rsidR="00727E48" w:rsidRPr="00C80985">
        <w:t xml:space="preserve"> </w:t>
      </w:r>
      <w:r w:rsidRPr="00C80985">
        <w:t>The post-hoc subgroup results are provided below, followed by the overall trial population results, and results</w:t>
      </w:r>
      <w:r w:rsidR="008D44E8" w:rsidRPr="00C80985">
        <w:t xml:space="preserve"> by weight group</w:t>
      </w:r>
      <w:r w:rsidRPr="00C80985">
        <w:t>.</w:t>
      </w:r>
      <w:r w:rsidR="004F6222" w:rsidRPr="00C80985">
        <w:t xml:space="preserve"> Also provided, following </w:t>
      </w:r>
      <w:r w:rsidR="003D57A4" w:rsidRPr="003D57A4">
        <w:fldChar w:fldCharType="begin"/>
      </w:r>
      <w:r w:rsidR="003D57A4" w:rsidRPr="003D57A4">
        <w:instrText xml:space="preserve"> REF _Ref96073967 \h  \* MERGEFORMAT </w:instrText>
      </w:r>
      <w:r w:rsidR="003D57A4" w:rsidRPr="003D57A4">
        <w:fldChar w:fldCharType="separate"/>
      </w:r>
      <w:r w:rsidR="00AA723C" w:rsidRPr="00AA723C">
        <w:t>Table 6</w:t>
      </w:r>
      <w:r w:rsidR="003D57A4" w:rsidRPr="003D57A4">
        <w:fldChar w:fldCharType="end"/>
      </w:r>
      <w:r w:rsidR="003D57A4" w:rsidRPr="003D57A4">
        <w:t xml:space="preserve"> </w:t>
      </w:r>
      <w:r w:rsidR="004F6222" w:rsidRPr="00C80985">
        <w:t>is a graphical representation of patients achieving EASI 75 in the overall trial population.</w:t>
      </w:r>
    </w:p>
    <w:p w14:paraId="018A0245" w14:textId="7DEC239A" w:rsidR="001F2805" w:rsidRPr="00C80985" w:rsidRDefault="00AB4654" w:rsidP="003B3C0F">
      <w:pPr>
        <w:pStyle w:val="3-BodyText"/>
        <w:keepNext/>
        <w:keepLines/>
        <w:numPr>
          <w:ilvl w:val="0"/>
          <w:numId w:val="0"/>
        </w:numPr>
        <w:spacing w:after="0"/>
      </w:pPr>
      <w:r w:rsidRPr="00C80985">
        <w:rPr>
          <w:rStyle w:val="CommentReference"/>
          <w:szCs w:val="24"/>
        </w:rPr>
        <w:lastRenderedPageBreak/>
        <w:t xml:space="preserve">Table </w:t>
      </w:r>
      <w:r w:rsidRPr="00C80985">
        <w:rPr>
          <w:rStyle w:val="CommentReference"/>
          <w:b w:val="0"/>
          <w:szCs w:val="24"/>
        </w:rPr>
        <w:fldChar w:fldCharType="begin"/>
      </w:r>
      <w:r w:rsidRPr="00C80985">
        <w:rPr>
          <w:rStyle w:val="CommentReference"/>
          <w:szCs w:val="24"/>
        </w:rPr>
        <w:instrText xml:space="preserve"> SEQ Table \* ARABIC </w:instrText>
      </w:r>
      <w:r w:rsidRPr="00C80985">
        <w:rPr>
          <w:rStyle w:val="CommentReference"/>
          <w:b w:val="0"/>
          <w:szCs w:val="24"/>
        </w:rPr>
        <w:fldChar w:fldCharType="separate"/>
      </w:r>
      <w:r w:rsidR="00AA723C">
        <w:rPr>
          <w:rStyle w:val="CommentReference"/>
          <w:noProof/>
          <w:szCs w:val="24"/>
        </w:rPr>
        <w:t>5</w:t>
      </w:r>
      <w:r w:rsidRPr="00C80985">
        <w:rPr>
          <w:rStyle w:val="CommentReference"/>
          <w:b w:val="0"/>
          <w:szCs w:val="24"/>
        </w:rPr>
        <w:fldChar w:fldCharType="end"/>
      </w:r>
      <w:r w:rsidR="001F2805" w:rsidRPr="00C80985">
        <w:rPr>
          <w:rStyle w:val="CommentReference"/>
          <w:szCs w:val="24"/>
        </w:rPr>
        <w:t xml:space="preserve">: </w:t>
      </w:r>
      <w:r w:rsidR="001F2805" w:rsidRPr="00C80985">
        <w:rPr>
          <w:rFonts w:ascii="Arial Narrow" w:hAnsi="Arial Narrow"/>
          <w:b/>
          <w:bCs/>
          <w:sz w:val="20"/>
          <w:szCs w:val="20"/>
        </w:rPr>
        <w:t>Results at Week 16 in the post-hoc subgroup of Study 1652</w:t>
      </w:r>
    </w:p>
    <w:tbl>
      <w:tblPr>
        <w:tblStyle w:val="TableGrid1"/>
        <w:tblW w:w="4968" w:type="pct"/>
        <w:tblInd w:w="-5" w:type="dxa"/>
        <w:tblCellMar>
          <w:left w:w="28" w:type="dxa"/>
          <w:right w:w="28" w:type="dxa"/>
        </w:tblCellMar>
        <w:tblLook w:val="04A0" w:firstRow="1" w:lastRow="0" w:firstColumn="1" w:lastColumn="0" w:noHBand="0" w:noVBand="1"/>
      </w:tblPr>
      <w:tblGrid>
        <w:gridCol w:w="2811"/>
        <w:gridCol w:w="788"/>
        <w:gridCol w:w="2256"/>
        <w:gridCol w:w="1973"/>
        <w:gridCol w:w="1131"/>
      </w:tblGrid>
      <w:tr w:rsidR="00E745AF" w:rsidRPr="00C80985" w14:paraId="774A93D2" w14:textId="77777777" w:rsidTr="00E840F9">
        <w:trPr>
          <w:trHeight w:val="84"/>
          <w:tblHeader/>
        </w:trPr>
        <w:tc>
          <w:tcPr>
            <w:tcW w:w="1569" w:type="pct"/>
            <w:vAlign w:val="center"/>
          </w:tcPr>
          <w:p w14:paraId="0CF738AA" w14:textId="77777777" w:rsidR="00E745AF" w:rsidRPr="00C80985" w:rsidRDefault="00E745AF" w:rsidP="003B3C0F">
            <w:pPr>
              <w:keepNext/>
              <w:keepLines/>
              <w:widowControl w:val="0"/>
              <w:rPr>
                <w:rFonts w:ascii="Arial Narrow" w:hAnsi="Arial Narrow"/>
                <w:sz w:val="20"/>
                <w:szCs w:val="20"/>
              </w:rPr>
            </w:pPr>
          </w:p>
        </w:tc>
        <w:tc>
          <w:tcPr>
            <w:tcW w:w="440" w:type="pct"/>
            <w:vAlign w:val="center"/>
          </w:tcPr>
          <w:p w14:paraId="0345779A"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b/>
                <w:sz w:val="20"/>
                <w:szCs w:val="20"/>
              </w:rPr>
              <w:t>N</w:t>
            </w:r>
          </w:p>
        </w:tc>
        <w:tc>
          <w:tcPr>
            <w:tcW w:w="1259" w:type="pct"/>
            <w:tcBorders>
              <w:right w:val="single" w:sz="4" w:space="0" w:color="auto"/>
            </w:tcBorders>
            <w:vAlign w:val="center"/>
          </w:tcPr>
          <w:p w14:paraId="1B09F802"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b/>
                <w:sz w:val="20"/>
                <w:szCs w:val="20"/>
              </w:rPr>
              <w:t>Number (%) meeting criterion at Week 16</w:t>
            </w:r>
          </w:p>
        </w:tc>
        <w:tc>
          <w:tcPr>
            <w:tcW w:w="1101" w:type="pct"/>
            <w:tcBorders>
              <w:left w:val="single" w:sz="4" w:space="0" w:color="auto"/>
              <w:right w:val="single" w:sz="4" w:space="0" w:color="auto"/>
            </w:tcBorders>
            <w:vAlign w:val="center"/>
          </w:tcPr>
          <w:p w14:paraId="687C2CE2"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b/>
                <w:sz w:val="20"/>
                <w:szCs w:val="20"/>
              </w:rPr>
              <w:t>Difference vs. placebo</w:t>
            </w:r>
            <w:r w:rsidRPr="00C80985">
              <w:rPr>
                <w:rFonts w:ascii="Arial Narrow" w:hAnsi="Arial Narrow"/>
                <w:b/>
                <w:sz w:val="20"/>
                <w:szCs w:val="20"/>
              </w:rPr>
              <w:br/>
              <w:t>% (95% CI)</w:t>
            </w:r>
          </w:p>
        </w:tc>
        <w:tc>
          <w:tcPr>
            <w:tcW w:w="631" w:type="pct"/>
            <w:tcBorders>
              <w:left w:val="single" w:sz="4" w:space="0" w:color="auto"/>
              <w:right w:val="single" w:sz="4" w:space="0" w:color="auto"/>
            </w:tcBorders>
            <w:vAlign w:val="center"/>
          </w:tcPr>
          <w:p w14:paraId="7ED2C7DE"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b/>
                <w:sz w:val="20"/>
                <w:szCs w:val="20"/>
              </w:rPr>
              <w:t>P-value vs. placebo</w:t>
            </w:r>
          </w:p>
        </w:tc>
      </w:tr>
      <w:tr w:rsidR="00E745AF" w:rsidRPr="00C80985" w14:paraId="75CD5D51" w14:textId="77777777" w:rsidTr="00E840F9">
        <w:trPr>
          <w:trHeight w:val="143"/>
        </w:trPr>
        <w:tc>
          <w:tcPr>
            <w:tcW w:w="5000" w:type="pct"/>
            <w:gridSpan w:val="5"/>
            <w:tcBorders>
              <w:top w:val="single" w:sz="4" w:space="0" w:color="auto"/>
              <w:right w:val="single" w:sz="4" w:space="0" w:color="auto"/>
            </w:tcBorders>
            <w:shd w:val="clear" w:color="auto" w:fill="BFBFBF" w:themeFill="background1" w:themeFillShade="BF"/>
          </w:tcPr>
          <w:p w14:paraId="0315C904" w14:textId="77777777" w:rsidR="00E745AF" w:rsidRPr="00C80985" w:rsidRDefault="00E745AF" w:rsidP="003B3C0F">
            <w:pPr>
              <w:keepNext/>
              <w:keepLines/>
              <w:widowControl w:val="0"/>
              <w:rPr>
                <w:rFonts w:ascii="Arial Narrow" w:hAnsi="Arial Narrow"/>
                <w:b/>
                <w:sz w:val="20"/>
                <w:szCs w:val="20"/>
              </w:rPr>
            </w:pPr>
            <w:r w:rsidRPr="00C80985">
              <w:rPr>
                <w:rFonts w:ascii="Arial Narrow" w:hAnsi="Arial Narrow"/>
                <w:b/>
                <w:sz w:val="20"/>
                <w:szCs w:val="20"/>
              </w:rPr>
              <w:t>EASI 50 &lt;30kg</w:t>
            </w:r>
          </w:p>
        </w:tc>
      </w:tr>
      <w:tr w:rsidR="00E745AF" w:rsidRPr="00C80985" w14:paraId="45EC9D9E" w14:textId="77777777" w:rsidTr="00E840F9">
        <w:trPr>
          <w:trHeight w:val="58"/>
        </w:trPr>
        <w:tc>
          <w:tcPr>
            <w:tcW w:w="1569" w:type="pct"/>
            <w:tcBorders>
              <w:bottom w:val="single" w:sz="4" w:space="0" w:color="auto"/>
            </w:tcBorders>
            <w:vAlign w:val="center"/>
          </w:tcPr>
          <w:p w14:paraId="6281D57A" w14:textId="77777777" w:rsidR="00E745AF" w:rsidRPr="00C80985" w:rsidRDefault="00E745AF" w:rsidP="003B3C0F">
            <w:pPr>
              <w:keepNext/>
              <w:keepLines/>
              <w:widowControl w:val="0"/>
              <w:rPr>
                <w:rFonts w:ascii="Arial Narrow" w:hAnsi="Arial Narrow"/>
                <w:sz w:val="20"/>
                <w:szCs w:val="20"/>
              </w:rPr>
            </w:pPr>
            <w:r w:rsidRPr="00C80985">
              <w:rPr>
                <w:rFonts w:ascii="Arial Narrow" w:hAnsi="Arial Narrow"/>
                <w:sz w:val="20"/>
                <w:szCs w:val="20"/>
              </w:rPr>
              <w:t>Dupilumab 300 mg Q4W</w:t>
            </w:r>
          </w:p>
        </w:tc>
        <w:tc>
          <w:tcPr>
            <w:tcW w:w="440" w:type="pct"/>
            <w:tcBorders>
              <w:bottom w:val="single" w:sz="4" w:space="0" w:color="auto"/>
            </w:tcBorders>
          </w:tcPr>
          <w:p w14:paraId="29E78D34"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61</w:t>
            </w:r>
          </w:p>
        </w:tc>
        <w:tc>
          <w:tcPr>
            <w:tcW w:w="1259" w:type="pct"/>
            <w:tcBorders>
              <w:bottom w:val="single" w:sz="4" w:space="0" w:color="auto"/>
              <w:right w:val="single" w:sz="4" w:space="0" w:color="auto"/>
            </w:tcBorders>
            <w:vAlign w:val="center"/>
          </w:tcPr>
          <w:p w14:paraId="3320BC3D"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58 (95.1)</w:t>
            </w:r>
          </w:p>
        </w:tc>
        <w:tc>
          <w:tcPr>
            <w:tcW w:w="1101" w:type="pct"/>
            <w:tcBorders>
              <w:left w:val="single" w:sz="4" w:space="0" w:color="auto"/>
              <w:bottom w:val="single" w:sz="4" w:space="0" w:color="auto"/>
              <w:right w:val="single" w:sz="4" w:space="0" w:color="auto"/>
            </w:tcBorders>
            <w:vAlign w:val="center"/>
          </w:tcPr>
          <w:p w14:paraId="09E23A6B"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50.3 (31.36, 69.15)</w:t>
            </w:r>
          </w:p>
        </w:tc>
        <w:tc>
          <w:tcPr>
            <w:tcW w:w="631" w:type="pct"/>
            <w:tcBorders>
              <w:left w:val="single" w:sz="4" w:space="0" w:color="auto"/>
              <w:bottom w:val="single" w:sz="4" w:space="0" w:color="auto"/>
              <w:right w:val="single" w:sz="4" w:space="0" w:color="auto"/>
            </w:tcBorders>
            <w:vAlign w:val="center"/>
          </w:tcPr>
          <w:p w14:paraId="46E7CE92"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&lt;0.0001</w:t>
            </w:r>
          </w:p>
        </w:tc>
      </w:tr>
      <w:tr w:rsidR="00E745AF" w:rsidRPr="00C80985" w14:paraId="0250987B" w14:textId="77777777" w:rsidTr="00E840F9">
        <w:trPr>
          <w:trHeight w:val="58"/>
        </w:trPr>
        <w:tc>
          <w:tcPr>
            <w:tcW w:w="1569" w:type="pct"/>
            <w:tcBorders>
              <w:bottom w:val="single" w:sz="4" w:space="0" w:color="auto"/>
            </w:tcBorders>
            <w:vAlign w:val="center"/>
          </w:tcPr>
          <w:p w14:paraId="2167836D" w14:textId="77777777" w:rsidR="00E745AF" w:rsidRPr="00C80985" w:rsidRDefault="00E745AF" w:rsidP="003B3C0F">
            <w:pPr>
              <w:keepNext/>
              <w:keepLines/>
              <w:widowControl w:val="0"/>
              <w:rPr>
                <w:rFonts w:ascii="Arial Narrow" w:hAnsi="Arial Narrow"/>
                <w:sz w:val="20"/>
                <w:szCs w:val="20"/>
              </w:rPr>
            </w:pPr>
            <w:r w:rsidRPr="00C80985">
              <w:rPr>
                <w:rFonts w:ascii="Arial Narrow" w:hAnsi="Arial Narrow"/>
                <w:sz w:val="20"/>
                <w:szCs w:val="20"/>
              </w:rPr>
              <w:t>Placebo</w:t>
            </w:r>
          </w:p>
        </w:tc>
        <w:tc>
          <w:tcPr>
            <w:tcW w:w="440" w:type="pct"/>
            <w:tcBorders>
              <w:bottom w:val="single" w:sz="4" w:space="0" w:color="auto"/>
            </w:tcBorders>
          </w:tcPr>
          <w:p w14:paraId="1B29BBF3"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29</w:t>
            </w:r>
          </w:p>
        </w:tc>
        <w:tc>
          <w:tcPr>
            <w:tcW w:w="1259" w:type="pct"/>
            <w:tcBorders>
              <w:bottom w:val="single" w:sz="4" w:space="0" w:color="auto"/>
              <w:right w:val="single" w:sz="4" w:space="0" w:color="auto"/>
            </w:tcBorders>
            <w:vAlign w:val="center"/>
          </w:tcPr>
          <w:p w14:paraId="2B1C1A77"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13 (44.8)</w:t>
            </w:r>
          </w:p>
        </w:tc>
        <w:tc>
          <w:tcPr>
            <w:tcW w:w="1101" w:type="pct"/>
            <w:tcBorders>
              <w:left w:val="single" w:sz="4" w:space="0" w:color="auto"/>
              <w:bottom w:val="single" w:sz="4" w:space="0" w:color="auto"/>
              <w:right w:val="single" w:sz="4" w:space="0" w:color="auto"/>
            </w:tcBorders>
            <w:vAlign w:val="center"/>
          </w:tcPr>
          <w:p w14:paraId="7030221E"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w:t>
            </w:r>
          </w:p>
        </w:tc>
        <w:tc>
          <w:tcPr>
            <w:tcW w:w="631" w:type="pct"/>
            <w:tcBorders>
              <w:left w:val="single" w:sz="4" w:space="0" w:color="auto"/>
              <w:bottom w:val="single" w:sz="4" w:space="0" w:color="auto"/>
              <w:right w:val="single" w:sz="4" w:space="0" w:color="auto"/>
            </w:tcBorders>
            <w:vAlign w:val="center"/>
          </w:tcPr>
          <w:p w14:paraId="0199BF68"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w:t>
            </w:r>
          </w:p>
        </w:tc>
      </w:tr>
      <w:tr w:rsidR="00E745AF" w:rsidRPr="00C80985" w14:paraId="4CF95F0F" w14:textId="77777777" w:rsidTr="00E840F9">
        <w:trPr>
          <w:trHeight w:val="58"/>
        </w:trPr>
        <w:tc>
          <w:tcPr>
            <w:tcW w:w="5000" w:type="pct"/>
            <w:gridSpan w:val="5"/>
            <w:tcBorders>
              <w:top w:val="single" w:sz="4" w:space="0" w:color="auto"/>
              <w:right w:val="single" w:sz="4" w:space="0" w:color="auto"/>
            </w:tcBorders>
            <w:shd w:val="clear" w:color="auto" w:fill="BFBFBF" w:themeFill="background1" w:themeFillShade="BF"/>
          </w:tcPr>
          <w:p w14:paraId="68F653CA" w14:textId="77777777" w:rsidR="00E745AF" w:rsidRPr="00C80985" w:rsidRDefault="00E745AF" w:rsidP="003B3C0F">
            <w:pPr>
              <w:keepNext/>
              <w:keepLines/>
              <w:widowControl w:val="0"/>
              <w:rPr>
                <w:rFonts w:ascii="Arial Narrow" w:hAnsi="Arial Narrow"/>
                <w:b/>
                <w:sz w:val="20"/>
                <w:szCs w:val="20"/>
              </w:rPr>
            </w:pPr>
            <w:r w:rsidRPr="00C80985">
              <w:rPr>
                <w:rFonts w:ascii="Arial Narrow" w:hAnsi="Arial Narrow"/>
                <w:b/>
                <w:sz w:val="20"/>
                <w:szCs w:val="20"/>
              </w:rPr>
              <w:t>EASI 50 30 – 60 kg</w:t>
            </w:r>
          </w:p>
        </w:tc>
      </w:tr>
      <w:tr w:rsidR="00E745AF" w:rsidRPr="00C80985" w14:paraId="53C5EC31" w14:textId="77777777" w:rsidTr="00E840F9">
        <w:trPr>
          <w:trHeight w:val="58"/>
        </w:trPr>
        <w:tc>
          <w:tcPr>
            <w:tcW w:w="1569" w:type="pct"/>
            <w:vAlign w:val="center"/>
          </w:tcPr>
          <w:p w14:paraId="15C0988B" w14:textId="77777777" w:rsidR="00E745AF" w:rsidRPr="00C80985" w:rsidRDefault="00E745AF" w:rsidP="003B3C0F">
            <w:pPr>
              <w:keepNext/>
              <w:keepLines/>
              <w:widowControl w:val="0"/>
              <w:rPr>
                <w:rFonts w:ascii="Arial Narrow" w:hAnsi="Arial Narrow"/>
                <w:sz w:val="20"/>
                <w:szCs w:val="20"/>
              </w:rPr>
            </w:pPr>
            <w:r w:rsidRPr="00C80985">
              <w:rPr>
                <w:rFonts w:ascii="Arial Narrow" w:hAnsi="Arial Narrow"/>
                <w:sz w:val="20"/>
                <w:szCs w:val="20"/>
              </w:rPr>
              <w:t>Dupilumab 200 mg Q2W</w:t>
            </w:r>
          </w:p>
        </w:tc>
        <w:tc>
          <w:tcPr>
            <w:tcW w:w="440" w:type="pct"/>
          </w:tcPr>
          <w:p w14:paraId="18A8DB06"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56</w:t>
            </w:r>
          </w:p>
        </w:tc>
        <w:tc>
          <w:tcPr>
            <w:tcW w:w="1259" w:type="pct"/>
            <w:tcBorders>
              <w:right w:val="single" w:sz="4" w:space="0" w:color="auto"/>
            </w:tcBorders>
            <w:vAlign w:val="center"/>
          </w:tcPr>
          <w:p w14:paraId="20E73672"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48 (85.7)</w:t>
            </w:r>
          </w:p>
        </w:tc>
        <w:tc>
          <w:tcPr>
            <w:tcW w:w="1101" w:type="pct"/>
            <w:tcBorders>
              <w:left w:val="single" w:sz="4" w:space="0" w:color="auto"/>
              <w:right w:val="single" w:sz="4" w:space="0" w:color="auto"/>
            </w:tcBorders>
            <w:vAlign w:val="center"/>
          </w:tcPr>
          <w:p w14:paraId="61206EE8"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41.3 (20.41, 62.13)</w:t>
            </w:r>
          </w:p>
        </w:tc>
        <w:tc>
          <w:tcPr>
            <w:tcW w:w="631" w:type="pct"/>
            <w:tcBorders>
              <w:left w:val="single" w:sz="4" w:space="0" w:color="auto"/>
              <w:right w:val="single" w:sz="4" w:space="0" w:color="auto"/>
            </w:tcBorders>
            <w:vAlign w:val="center"/>
          </w:tcPr>
          <w:p w14:paraId="344B9CAA"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0.0001</w:t>
            </w:r>
          </w:p>
        </w:tc>
      </w:tr>
      <w:tr w:rsidR="00E745AF" w:rsidRPr="00C80985" w14:paraId="70EC8696" w14:textId="77777777" w:rsidTr="00E840F9">
        <w:trPr>
          <w:trHeight w:val="58"/>
        </w:trPr>
        <w:tc>
          <w:tcPr>
            <w:tcW w:w="1569" w:type="pct"/>
            <w:tcBorders>
              <w:bottom w:val="double" w:sz="4" w:space="0" w:color="auto"/>
            </w:tcBorders>
            <w:vAlign w:val="center"/>
          </w:tcPr>
          <w:p w14:paraId="6B02E3BF" w14:textId="77777777" w:rsidR="00E745AF" w:rsidRPr="00C80985" w:rsidRDefault="00E745AF" w:rsidP="003B3C0F">
            <w:pPr>
              <w:keepNext/>
              <w:keepLines/>
              <w:widowControl w:val="0"/>
              <w:rPr>
                <w:rFonts w:ascii="Arial Narrow" w:hAnsi="Arial Narrow"/>
                <w:sz w:val="20"/>
                <w:szCs w:val="20"/>
              </w:rPr>
            </w:pPr>
            <w:r w:rsidRPr="00C80985">
              <w:rPr>
                <w:rFonts w:ascii="Arial Narrow" w:hAnsi="Arial Narrow"/>
                <w:sz w:val="20"/>
                <w:szCs w:val="20"/>
              </w:rPr>
              <w:t>Placebo</w:t>
            </w:r>
          </w:p>
        </w:tc>
        <w:tc>
          <w:tcPr>
            <w:tcW w:w="440" w:type="pct"/>
            <w:tcBorders>
              <w:bottom w:val="double" w:sz="4" w:space="0" w:color="auto"/>
            </w:tcBorders>
          </w:tcPr>
          <w:p w14:paraId="68E80F52"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27</w:t>
            </w:r>
          </w:p>
        </w:tc>
        <w:tc>
          <w:tcPr>
            <w:tcW w:w="1259" w:type="pct"/>
            <w:tcBorders>
              <w:bottom w:val="double" w:sz="4" w:space="0" w:color="auto"/>
              <w:right w:val="single" w:sz="4" w:space="0" w:color="auto"/>
            </w:tcBorders>
            <w:vAlign w:val="center"/>
          </w:tcPr>
          <w:p w14:paraId="29A09D39" w14:textId="1BA10A56"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12</w:t>
            </w:r>
            <w:r w:rsidR="00727E48" w:rsidRPr="00C80985">
              <w:rPr>
                <w:rFonts w:ascii="Arial Narrow" w:hAnsi="Arial Narrow"/>
                <w:sz w:val="20"/>
                <w:szCs w:val="20"/>
              </w:rPr>
              <w:t xml:space="preserve"> </w:t>
            </w:r>
            <w:r w:rsidRPr="00C80985">
              <w:rPr>
                <w:rFonts w:ascii="Arial Narrow" w:hAnsi="Arial Narrow"/>
                <w:sz w:val="20"/>
                <w:szCs w:val="20"/>
              </w:rPr>
              <w:t>(44.4)</w:t>
            </w:r>
          </w:p>
        </w:tc>
        <w:tc>
          <w:tcPr>
            <w:tcW w:w="1101" w:type="pct"/>
            <w:tcBorders>
              <w:left w:val="single" w:sz="4" w:space="0" w:color="auto"/>
              <w:bottom w:val="double" w:sz="4" w:space="0" w:color="auto"/>
              <w:right w:val="single" w:sz="4" w:space="0" w:color="auto"/>
            </w:tcBorders>
            <w:vAlign w:val="center"/>
          </w:tcPr>
          <w:p w14:paraId="11BC64C8"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w:t>
            </w:r>
          </w:p>
        </w:tc>
        <w:tc>
          <w:tcPr>
            <w:tcW w:w="631" w:type="pct"/>
            <w:tcBorders>
              <w:left w:val="single" w:sz="4" w:space="0" w:color="auto"/>
              <w:bottom w:val="double" w:sz="4" w:space="0" w:color="auto"/>
              <w:right w:val="single" w:sz="4" w:space="0" w:color="auto"/>
            </w:tcBorders>
            <w:vAlign w:val="center"/>
          </w:tcPr>
          <w:p w14:paraId="037314AB"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w:t>
            </w:r>
          </w:p>
        </w:tc>
      </w:tr>
      <w:tr w:rsidR="00E745AF" w:rsidRPr="00C80985" w14:paraId="7B3AA3E5" w14:textId="77777777" w:rsidTr="00E840F9">
        <w:trPr>
          <w:trHeight w:val="58"/>
        </w:trPr>
        <w:tc>
          <w:tcPr>
            <w:tcW w:w="5000" w:type="pct"/>
            <w:gridSpan w:val="5"/>
            <w:tcBorders>
              <w:top w:val="double" w:sz="4" w:space="0" w:color="auto"/>
              <w:right w:val="single" w:sz="4" w:space="0" w:color="auto"/>
            </w:tcBorders>
            <w:shd w:val="clear" w:color="auto" w:fill="BFBFBF" w:themeFill="background1" w:themeFillShade="BF"/>
          </w:tcPr>
          <w:p w14:paraId="3CF4179D" w14:textId="77777777" w:rsidR="00E745AF" w:rsidRPr="00C80985" w:rsidRDefault="00E745AF" w:rsidP="003B3C0F">
            <w:pPr>
              <w:keepNext/>
              <w:keepLines/>
              <w:widowControl w:val="0"/>
              <w:rPr>
                <w:rFonts w:ascii="Arial Narrow" w:hAnsi="Arial Narrow"/>
                <w:b/>
                <w:sz w:val="20"/>
                <w:szCs w:val="20"/>
              </w:rPr>
            </w:pPr>
            <w:r w:rsidRPr="00C80985">
              <w:rPr>
                <w:rFonts w:ascii="Arial Narrow" w:hAnsi="Arial Narrow"/>
                <w:b/>
                <w:sz w:val="20"/>
                <w:szCs w:val="20"/>
              </w:rPr>
              <w:t>CDLQI4 &lt;30 kg</w:t>
            </w:r>
          </w:p>
        </w:tc>
      </w:tr>
      <w:tr w:rsidR="00E745AF" w:rsidRPr="00C80985" w14:paraId="3BE6DE6F" w14:textId="77777777" w:rsidTr="00E840F9">
        <w:trPr>
          <w:trHeight w:val="58"/>
        </w:trPr>
        <w:tc>
          <w:tcPr>
            <w:tcW w:w="1569" w:type="pct"/>
            <w:vAlign w:val="center"/>
          </w:tcPr>
          <w:p w14:paraId="13AE7B6F" w14:textId="77777777" w:rsidR="00E745AF" w:rsidRPr="00C80985" w:rsidRDefault="00E745AF" w:rsidP="003B3C0F">
            <w:pPr>
              <w:keepNext/>
              <w:keepLines/>
              <w:widowControl w:val="0"/>
              <w:rPr>
                <w:rFonts w:ascii="Arial Narrow" w:hAnsi="Arial Narrow"/>
                <w:sz w:val="20"/>
                <w:szCs w:val="20"/>
              </w:rPr>
            </w:pPr>
            <w:r w:rsidRPr="00C80985">
              <w:rPr>
                <w:rFonts w:ascii="Arial Narrow" w:hAnsi="Arial Narrow"/>
                <w:sz w:val="20"/>
                <w:szCs w:val="20"/>
              </w:rPr>
              <w:t>Dupilumab 300 mg Q4W</w:t>
            </w:r>
          </w:p>
        </w:tc>
        <w:tc>
          <w:tcPr>
            <w:tcW w:w="440" w:type="pct"/>
          </w:tcPr>
          <w:p w14:paraId="27C212E3"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61</w:t>
            </w:r>
          </w:p>
        </w:tc>
        <w:tc>
          <w:tcPr>
            <w:tcW w:w="1259" w:type="pct"/>
            <w:tcBorders>
              <w:right w:val="single" w:sz="4" w:space="0" w:color="auto"/>
            </w:tcBorders>
            <w:vAlign w:val="center"/>
          </w:tcPr>
          <w:p w14:paraId="5B5B65D4"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50 (82.0)</w:t>
            </w:r>
          </w:p>
        </w:tc>
        <w:tc>
          <w:tcPr>
            <w:tcW w:w="1101" w:type="pct"/>
            <w:tcBorders>
              <w:left w:val="single" w:sz="4" w:space="0" w:color="auto"/>
              <w:right w:val="single" w:sz="4" w:space="0" w:color="auto"/>
            </w:tcBorders>
            <w:vAlign w:val="center"/>
          </w:tcPr>
          <w:p w14:paraId="5C5E6E46"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23.3 (2.99, 43.70)</w:t>
            </w:r>
          </w:p>
        </w:tc>
        <w:tc>
          <w:tcPr>
            <w:tcW w:w="631" w:type="pct"/>
            <w:tcBorders>
              <w:left w:val="single" w:sz="4" w:space="0" w:color="auto"/>
              <w:right w:val="single" w:sz="4" w:space="0" w:color="auto"/>
            </w:tcBorders>
            <w:vAlign w:val="center"/>
          </w:tcPr>
          <w:p w14:paraId="2DB961BA"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0.0188</w:t>
            </w:r>
          </w:p>
        </w:tc>
      </w:tr>
      <w:tr w:rsidR="00E745AF" w:rsidRPr="00C80985" w14:paraId="04333714" w14:textId="77777777" w:rsidTr="00E840F9">
        <w:trPr>
          <w:trHeight w:val="58"/>
        </w:trPr>
        <w:tc>
          <w:tcPr>
            <w:tcW w:w="1569" w:type="pct"/>
            <w:tcBorders>
              <w:bottom w:val="single" w:sz="4" w:space="0" w:color="auto"/>
            </w:tcBorders>
            <w:vAlign w:val="center"/>
          </w:tcPr>
          <w:p w14:paraId="22F01534" w14:textId="77777777" w:rsidR="00E745AF" w:rsidRPr="00C80985" w:rsidRDefault="00E745AF" w:rsidP="003B3C0F">
            <w:pPr>
              <w:keepNext/>
              <w:keepLines/>
              <w:widowControl w:val="0"/>
              <w:rPr>
                <w:rFonts w:ascii="Arial Narrow" w:hAnsi="Arial Narrow"/>
                <w:sz w:val="20"/>
                <w:szCs w:val="20"/>
              </w:rPr>
            </w:pPr>
            <w:r w:rsidRPr="00C80985">
              <w:rPr>
                <w:rFonts w:ascii="Arial Narrow" w:hAnsi="Arial Narrow"/>
                <w:sz w:val="20"/>
                <w:szCs w:val="20"/>
              </w:rPr>
              <w:t>Placebo</w:t>
            </w:r>
          </w:p>
        </w:tc>
        <w:tc>
          <w:tcPr>
            <w:tcW w:w="440" w:type="pct"/>
            <w:tcBorders>
              <w:bottom w:val="single" w:sz="4" w:space="0" w:color="auto"/>
            </w:tcBorders>
          </w:tcPr>
          <w:p w14:paraId="6F6A2D4D"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29</w:t>
            </w:r>
          </w:p>
        </w:tc>
        <w:tc>
          <w:tcPr>
            <w:tcW w:w="1259" w:type="pct"/>
            <w:tcBorders>
              <w:bottom w:val="single" w:sz="4" w:space="0" w:color="auto"/>
              <w:right w:val="single" w:sz="4" w:space="0" w:color="auto"/>
            </w:tcBorders>
            <w:vAlign w:val="center"/>
          </w:tcPr>
          <w:p w14:paraId="5758D2C4"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17 (58.6)</w:t>
            </w:r>
          </w:p>
        </w:tc>
        <w:tc>
          <w:tcPr>
            <w:tcW w:w="1101" w:type="pct"/>
            <w:tcBorders>
              <w:left w:val="single" w:sz="4" w:space="0" w:color="auto"/>
              <w:bottom w:val="single" w:sz="4" w:space="0" w:color="auto"/>
              <w:right w:val="single" w:sz="4" w:space="0" w:color="auto"/>
            </w:tcBorders>
            <w:vAlign w:val="center"/>
          </w:tcPr>
          <w:p w14:paraId="059A8359"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w:t>
            </w:r>
          </w:p>
        </w:tc>
        <w:tc>
          <w:tcPr>
            <w:tcW w:w="631" w:type="pct"/>
            <w:tcBorders>
              <w:left w:val="single" w:sz="4" w:space="0" w:color="auto"/>
              <w:bottom w:val="single" w:sz="4" w:space="0" w:color="auto"/>
              <w:right w:val="single" w:sz="4" w:space="0" w:color="auto"/>
            </w:tcBorders>
            <w:vAlign w:val="center"/>
          </w:tcPr>
          <w:p w14:paraId="13AD8E27"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w:t>
            </w:r>
          </w:p>
        </w:tc>
      </w:tr>
      <w:tr w:rsidR="00E745AF" w:rsidRPr="00C80985" w14:paraId="67961527" w14:textId="77777777" w:rsidTr="00E840F9">
        <w:trPr>
          <w:trHeight w:val="58"/>
        </w:trPr>
        <w:tc>
          <w:tcPr>
            <w:tcW w:w="5000" w:type="pct"/>
            <w:gridSpan w:val="5"/>
            <w:tcBorders>
              <w:right w:val="single" w:sz="4" w:space="0" w:color="auto"/>
            </w:tcBorders>
            <w:shd w:val="clear" w:color="auto" w:fill="BFBFBF" w:themeFill="background1" w:themeFillShade="BF"/>
          </w:tcPr>
          <w:p w14:paraId="3BD4A3A0" w14:textId="77777777" w:rsidR="00E745AF" w:rsidRPr="00C80985" w:rsidRDefault="00E745AF" w:rsidP="003B3C0F">
            <w:pPr>
              <w:keepNext/>
              <w:keepLines/>
              <w:widowControl w:val="0"/>
              <w:rPr>
                <w:rFonts w:ascii="Arial Narrow" w:hAnsi="Arial Narrow"/>
                <w:b/>
                <w:sz w:val="20"/>
                <w:szCs w:val="20"/>
              </w:rPr>
            </w:pPr>
            <w:r w:rsidRPr="00C80985">
              <w:rPr>
                <w:rFonts w:ascii="Arial Narrow" w:hAnsi="Arial Narrow"/>
                <w:b/>
                <w:sz w:val="20"/>
                <w:szCs w:val="20"/>
              </w:rPr>
              <w:t>CDLQI4 30 - 60 kg</w:t>
            </w:r>
          </w:p>
        </w:tc>
      </w:tr>
      <w:tr w:rsidR="00E745AF" w:rsidRPr="00C80985" w14:paraId="1BBEBF3F" w14:textId="77777777" w:rsidTr="00E840F9">
        <w:trPr>
          <w:trHeight w:val="58"/>
        </w:trPr>
        <w:tc>
          <w:tcPr>
            <w:tcW w:w="1569" w:type="pct"/>
            <w:vAlign w:val="center"/>
          </w:tcPr>
          <w:p w14:paraId="03B665D1" w14:textId="77777777" w:rsidR="00E745AF" w:rsidRPr="00C80985" w:rsidRDefault="00E745AF" w:rsidP="003B3C0F">
            <w:pPr>
              <w:keepNext/>
              <w:keepLines/>
              <w:widowControl w:val="0"/>
              <w:rPr>
                <w:rFonts w:ascii="Arial Narrow" w:hAnsi="Arial Narrow"/>
                <w:sz w:val="20"/>
                <w:szCs w:val="20"/>
              </w:rPr>
            </w:pPr>
            <w:r w:rsidRPr="00C80985">
              <w:rPr>
                <w:rFonts w:ascii="Arial Narrow" w:hAnsi="Arial Narrow"/>
                <w:sz w:val="20"/>
                <w:szCs w:val="20"/>
              </w:rPr>
              <w:t>Dupilumab 200 mg Q2W</w:t>
            </w:r>
          </w:p>
        </w:tc>
        <w:tc>
          <w:tcPr>
            <w:tcW w:w="440" w:type="pct"/>
          </w:tcPr>
          <w:p w14:paraId="076CC4F1"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56</w:t>
            </w:r>
          </w:p>
        </w:tc>
        <w:tc>
          <w:tcPr>
            <w:tcW w:w="1259" w:type="pct"/>
            <w:tcBorders>
              <w:right w:val="single" w:sz="4" w:space="0" w:color="auto"/>
            </w:tcBorders>
            <w:vAlign w:val="center"/>
          </w:tcPr>
          <w:p w14:paraId="72CC05FF"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46 (82.1)</w:t>
            </w:r>
          </w:p>
        </w:tc>
        <w:tc>
          <w:tcPr>
            <w:tcW w:w="1101" w:type="pct"/>
            <w:tcBorders>
              <w:left w:val="single" w:sz="4" w:space="0" w:color="auto"/>
              <w:right w:val="single" w:sz="4" w:space="0" w:color="auto"/>
            </w:tcBorders>
            <w:vAlign w:val="center"/>
          </w:tcPr>
          <w:p w14:paraId="180F0D89"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34.0 (12.64, 55.34)</w:t>
            </w:r>
          </w:p>
        </w:tc>
        <w:tc>
          <w:tcPr>
            <w:tcW w:w="631" w:type="pct"/>
            <w:tcBorders>
              <w:left w:val="single" w:sz="4" w:space="0" w:color="auto"/>
              <w:right w:val="single" w:sz="4" w:space="0" w:color="auto"/>
            </w:tcBorders>
            <w:vAlign w:val="center"/>
          </w:tcPr>
          <w:p w14:paraId="14870B07"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0.0016</w:t>
            </w:r>
          </w:p>
        </w:tc>
      </w:tr>
      <w:tr w:rsidR="00E745AF" w:rsidRPr="00C80985" w14:paraId="077F0047" w14:textId="77777777" w:rsidTr="00E840F9">
        <w:trPr>
          <w:trHeight w:val="58"/>
        </w:trPr>
        <w:tc>
          <w:tcPr>
            <w:tcW w:w="1569" w:type="pct"/>
            <w:tcBorders>
              <w:bottom w:val="single" w:sz="4" w:space="0" w:color="auto"/>
            </w:tcBorders>
            <w:vAlign w:val="center"/>
          </w:tcPr>
          <w:p w14:paraId="7FBB9419" w14:textId="77777777" w:rsidR="00E745AF" w:rsidRPr="00C80985" w:rsidRDefault="00E745AF" w:rsidP="003B3C0F">
            <w:pPr>
              <w:keepNext/>
              <w:keepLines/>
              <w:widowControl w:val="0"/>
              <w:rPr>
                <w:rFonts w:ascii="Arial Narrow" w:hAnsi="Arial Narrow"/>
                <w:sz w:val="20"/>
                <w:szCs w:val="20"/>
              </w:rPr>
            </w:pPr>
            <w:r w:rsidRPr="00C80985">
              <w:rPr>
                <w:rFonts w:ascii="Arial Narrow" w:hAnsi="Arial Narrow"/>
                <w:sz w:val="20"/>
                <w:szCs w:val="20"/>
              </w:rPr>
              <w:t>Placebo</w:t>
            </w:r>
          </w:p>
        </w:tc>
        <w:tc>
          <w:tcPr>
            <w:tcW w:w="440" w:type="pct"/>
            <w:tcBorders>
              <w:bottom w:val="single" w:sz="4" w:space="0" w:color="auto"/>
            </w:tcBorders>
          </w:tcPr>
          <w:p w14:paraId="5A2D7678"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27</w:t>
            </w:r>
          </w:p>
        </w:tc>
        <w:tc>
          <w:tcPr>
            <w:tcW w:w="1259" w:type="pct"/>
            <w:tcBorders>
              <w:bottom w:val="single" w:sz="4" w:space="0" w:color="auto"/>
              <w:right w:val="single" w:sz="4" w:space="0" w:color="auto"/>
            </w:tcBorders>
            <w:vAlign w:val="center"/>
          </w:tcPr>
          <w:p w14:paraId="1D26CF4F"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 xml:space="preserve">13 (48.1) </w:t>
            </w:r>
          </w:p>
        </w:tc>
        <w:tc>
          <w:tcPr>
            <w:tcW w:w="1101" w:type="pct"/>
            <w:tcBorders>
              <w:left w:val="single" w:sz="4" w:space="0" w:color="auto"/>
              <w:bottom w:val="single" w:sz="4" w:space="0" w:color="auto"/>
              <w:right w:val="single" w:sz="4" w:space="0" w:color="auto"/>
            </w:tcBorders>
            <w:vAlign w:val="center"/>
          </w:tcPr>
          <w:p w14:paraId="74EBCAE2"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w:t>
            </w:r>
          </w:p>
        </w:tc>
        <w:tc>
          <w:tcPr>
            <w:tcW w:w="631" w:type="pct"/>
            <w:tcBorders>
              <w:left w:val="single" w:sz="4" w:space="0" w:color="auto"/>
              <w:bottom w:val="single" w:sz="4" w:space="0" w:color="auto"/>
              <w:right w:val="single" w:sz="4" w:space="0" w:color="auto"/>
            </w:tcBorders>
            <w:vAlign w:val="center"/>
          </w:tcPr>
          <w:p w14:paraId="14D3415B"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w:t>
            </w:r>
          </w:p>
        </w:tc>
      </w:tr>
      <w:tr w:rsidR="00E745AF" w:rsidRPr="00C80985" w14:paraId="0D4739DB" w14:textId="77777777" w:rsidTr="00E840F9">
        <w:trPr>
          <w:trHeight w:val="58"/>
        </w:trPr>
        <w:tc>
          <w:tcPr>
            <w:tcW w:w="5000" w:type="pct"/>
            <w:gridSpan w:val="5"/>
            <w:tcBorders>
              <w:top w:val="double" w:sz="4" w:space="0" w:color="auto"/>
              <w:right w:val="single" w:sz="4" w:space="0" w:color="auto"/>
            </w:tcBorders>
            <w:shd w:val="clear" w:color="auto" w:fill="BFBFBF" w:themeFill="background1" w:themeFillShade="BF"/>
          </w:tcPr>
          <w:p w14:paraId="2E3A4A75" w14:textId="77777777" w:rsidR="00E745AF" w:rsidRPr="00C80985" w:rsidRDefault="00E745AF" w:rsidP="003B3C0F">
            <w:pPr>
              <w:keepNext/>
              <w:keepLines/>
              <w:widowControl w:val="0"/>
              <w:rPr>
                <w:rFonts w:ascii="Arial Narrow" w:hAnsi="Arial Narrow"/>
                <w:b/>
                <w:sz w:val="20"/>
                <w:szCs w:val="20"/>
              </w:rPr>
            </w:pPr>
            <w:r w:rsidRPr="00C80985">
              <w:rPr>
                <w:rFonts w:ascii="Arial Narrow" w:hAnsi="Arial Narrow"/>
                <w:b/>
                <w:sz w:val="20"/>
                <w:szCs w:val="20"/>
              </w:rPr>
              <w:t>CDLQI6&lt;30 kg</w:t>
            </w:r>
          </w:p>
        </w:tc>
      </w:tr>
      <w:tr w:rsidR="00E745AF" w:rsidRPr="00C80985" w14:paraId="19C46890" w14:textId="77777777" w:rsidTr="00E840F9">
        <w:trPr>
          <w:trHeight w:val="58"/>
        </w:trPr>
        <w:tc>
          <w:tcPr>
            <w:tcW w:w="1569" w:type="pct"/>
            <w:vAlign w:val="center"/>
          </w:tcPr>
          <w:p w14:paraId="008347C0" w14:textId="77777777" w:rsidR="00E745AF" w:rsidRPr="00C80985" w:rsidRDefault="00E745AF" w:rsidP="003B3C0F">
            <w:pPr>
              <w:keepNext/>
              <w:keepLines/>
              <w:widowControl w:val="0"/>
              <w:rPr>
                <w:rFonts w:ascii="Arial Narrow" w:hAnsi="Arial Narrow"/>
                <w:sz w:val="20"/>
                <w:szCs w:val="20"/>
              </w:rPr>
            </w:pPr>
            <w:r w:rsidRPr="00C80985">
              <w:rPr>
                <w:rFonts w:ascii="Arial Narrow" w:hAnsi="Arial Narrow"/>
                <w:sz w:val="20"/>
                <w:szCs w:val="20"/>
              </w:rPr>
              <w:t>Dupilumab 300 mg Q4W</w:t>
            </w:r>
          </w:p>
        </w:tc>
        <w:tc>
          <w:tcPr>
            <w:tcW w:w="440" w:type="pct"/>
          </w:tcPr>
          <w:p w14:paraId="47644546"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61</w:t>
            </w:r>
          </w:p>
        </w:tc>
        <w:tc>
          <w:tcPr>
            <w:tcW w:w="1259" w:type="pct"/>
            <w:tcBorders>
              <w:right w:val="single" w:sz="4" w:space="0" w:color="auto"/>
            </w:tcBorders>
            <w:vAlign w:val="center"/>
          </w:tcPr>
          <w:p w14:paraId="6CC274EE"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45 (73.8)</w:t>
            </w:r>
          </w:p>
        </w:tc>
        <w:tc>
          <w:tcPr>
            <w:tcW w:w="1101" w:type="pct"/>
            <w:tcBorders>
              <w:left w:val="single" w:sz="4" w:space="0" w:color="auto"/>
              <w:right w:val="single" w:sz="4" w:space="0" w:color="auto"/>
            </w:tcBorders>
            <w:vAlign w:val="center"/>
          </w:tcPr>
          <w:p w14:paraId="7B0CC658"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22.0 (0.77, 43.32)</w:t>
            </w:r>
          </w:p>
        </w:tc>
        <w:tc>
          <w:tcPr>
            <w:tcW w:w="631" w:type="pct"/>
            <w:tcBorders>
              <w:left w:val="single" w:sz="4" w:space="0" w:color="auto"/>
              <w:right w:val="single" w:sz="4" w:space="0" w:color="auto"/>
            </w:tcBorders>
            <w:vAlign w:val="center"/>
          </w:tcPr>
          <w:p w14:paraId="34220FC9"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0.0403</w:t>
            </w:r>
          </w:p>
        </w:tc>
      </w:tr>
      <w:tr w:rsidR="00E745AF" w:rsidRPr="00C80985" w14:paraId="796229CD" w14:textId="77777777" w:rsidTr="00E840F9">
        <w:trPr>
          <w:trHeight w:val="58"/>
        </w:trPr>
        <w:tc>
          <w:tcPr>
            <w:tcW w:w="1569" w:type="pct"/>
            <w:tcBorders>
              <w:bottom w:val="single" w:sz="4" w:space="0" w:color="auto"/>
            </w:tcBorders>
            <w:vAlign w:val="center"/>
          </w:tcPr>
          <w:p w14:paraId="1EEC2E49" w14:textId="77777777" w:rsidR="00E745AF" w:rsidRPr="00C80985" w:rsidRDefault="00E745AF" w:rsidP="003B3C0F">
            <w:pPr>
              <w:keepNext/>
              <w:keepLines/>
              <w:widowControl w:val="0"/>
              <w:rPr>
                <w:rFonts w:ascii="Arial Narrow" w:hAnsi="Arial Narrow"/>
                <w:sz w:val="20"/>
                <w:szCs w:val="20"/>
              </w:rPr>
            </w:pPr>
            <w:r w:rsidRPr="00C80985">
              <w:rPr>
                <w:rFonts w:ascii="Arial Narrow" w:hAnsi="Arial Narrow"/>
                <w:sz w:val="20"/>
                <w:szCs w:val="20"/>
              </w:rPr>
              <w:t>Placebo</w:t>
            </w:r>
          </w:p>
        </w:tc>
        <w:tc>
          <w:tcPr>
            <w:tcW w:w="440" w:type="pct"/>
            <w:tcBorders>
              <w:bottom w:val="single" w:sz="4" w:space="0" w:color="auto"/>
            </w:tcBorders>
          </w:tcPr>
          <w:p w14:paraId="65B8756B"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29</w:t>
            </w:r>
          </w:p>
        </w:tc>
        <w:tc>
          <w:tcPr>
            <w:tcW w:w="1259" w:type="pct"/>
            <w:tcBorders>
              <w:bottom w:val="single" w:sz="4" w:space="0" w:color="auto"/>
              <w:right w:val="single" w:sz="4" w:space="0" w:color="auto"/>
            </w:tcBorders>
            <w:vAlign w:val="center"/>
          </w:tcPr>
          <w:p w14:paraId="707D6DF9"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15 (51.7)</w:t>
            </w:r>
          </w:p>
        </w:tc>
        <w:tc>
          <w:tcPr>
            <w:tcW w:w="1101" w:type="pct"/>
            <w:tcBorders>
              <w:left w:val="single" w:sz="4" w:space="0" w:color="auto"/>
              <w:bottom w:val="single" w:sz="4" w:space="0" w:color="auto"/>
              <w:right w:val="single" w:sz="4" w:space="0" w:color="auto"/>
            </w:tcBorders>
            <w:vAlign w:val="center"/>
          </w:tcPr>
          <w:p w14:paraId="16F0DD13"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w:t>
            </w:r>
          </w:p>
        </w:tc>
        <w:tc>
          <w:tcPr>
            <w:tcW w:w="631" w:type="pct"/>
            <w:tcBorders>
              <w:left w:val="single" w:sz="4" w:space="0" w:color="auto"/>
              <w:bottom w:val="single" w:sz="4" w:space="0" w:color="auto"/>
              <w:right w:val="single" w:sz="4" w:space="0" w:color="auto"/>
            </w:tcBorders>
            <w:vAlign w:val="center"/>
          </w:tcPr>
          <w:p w14:paraId="315DDFDF"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w:t>
            </w:r>
          </w:p>
        </w:tc>
      </w:tr>
      <w:tr w:rsidR="00E745AF" w:rsidRPr="00C80985" w14:paraId="54650AF5" w14:textId="77777777" w:rsidTr="00E840F9">
        <w:trPr>
          <w:trHeight w:val="58"/>
        </w:trPr>
        <w:tc>
          <w:tcPr>
            <w:tcW w:w="5000" w:type="pct"/>
            <w:gridSpan w:val="5"/>
            <w:tcBorders>
              <w:right w:val="single" w:sz="4" w:space="0" w:color="auto"/>
            </w:tcBorders>
            <w:shd w:val="clear" w:color="auto" w:fill="BFBFBF" w:themeFill="background1" w:themeFillShade="BF"/>
          </w:tcPr>
          <w:p w14:paraId="45EA9BBA" w14:textId="77777777" w:rsidR="00E745AF" w:rsidRPr="00C80985" w:rsidRDefault="00E745AF" w:rsidP="003B3C0F">
            <w:pPr>
              <w:keepNext/>
              <w:keepLines/>
              <w:widowControl w:val="0"/>
              <w:rPr>
                <w:rFonts w:ascii="Arial Narrow" w:hAnsi="Arial Narrow"/>
                <w:b/>
                <w:sz w:val="20"/>
                <w:szCs w:val="20"/>
              </w:rPr>
            </w:pPr>
            <w:r w:rsidRPr="00C80985">
              <w:rPr>
                <w:rFonts w:ascii="Arial Narrow" w:hAnsi="Arial Narrow"/>
                <w:b/>
                <w:sz w:val="20"/>
                <w:szCs w:val="20"/>
              </w:rPr>
              <w:t>CDLQI6 30 - 60 kg</w:t>
            </w:r>
          </w:p>
        </w:tc>
      </w:tr>
      <w:tr w:rsidR="00E745AF" w:rsidRPr="00C80985" w14:paraId="63D4AFC0" w14:textId="77777777" w:rsidTr="00E840F9">
        <w:trPr>
          <w:trHeight w:val="58"/>
        </w:trPr>
        <w:tc>
          <w:tcPr>
            <w:tcW w:w="1569" w:type="pct"/>
            <w:vAlign w:val="center"/>
          </w:tcPr>
          <w:p w14:paraId="4362316B" w14:textId="77777777" w:rsidR="00E745AF" w:rsidRPr="00C80985" w:rsidRDefault="00E745AF" w:rsidP="003B3C0F">
            <w:pPr>
              <w:keepNext/>
              <w:keepLines/>
              <w:widowControl w:val="0"/>
              <w:rPr>
                <w:rFonts w:ascii="Arial Narrow" w:hAnsi="Arial Narrow"/>
                <w:sz w:val="20"/>
                <w:szCs w:val="20"/>
              </w:rPr>
            </w:pPr>
            <w:r w:rsidRPr="00C80985">
              <w:rPr>
                <w:rFonts w:ascii="Arial Narrow" w:hAnsi="Arial Narrow"/>
                <w:sz w:val="20"/>
                <w:szCs w:val="20"/>
              </w:rPr>
              <w:t>Dupilumab 200 mg Q2W</w:t>
            </w:r>
          </w:p>
        </w:tc>
        <w:tc>
          <w:tcPr>
            <w:tcW w:w="440" w:type="pct"/>
          </w:tcPr>
          <w:p w14:paraId="290EBC99"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56</w:t>
            </w:r>
          </w:p>
        </w:tc>
        <w:tc>
          <w:tcPr>
            <w:tcW w:w="1259" w:type="pct"/>
            <w:tcBorders>
              <w:right w:val="single" w:sz="4" w:space="0" w:color="auto"/>
            </w:tcBorders>
            <w:vAlign w:val="center"/>
          </w:tcPr>
          <w:p w14:paraId="3566148C"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40 (71.4)</w:t>
            </w:r>
          </w:p>
        </w:tc>
        <w:tc>
          <w:tcPr>
            <w:tcW w:w="1101" w:type="pct"/>
            <w:tcBorders>
              <w:left w:val="single" w:sz="4" w:space="0" w:color="auto"/>
              <w:right w:val="single" w:sz="4" w:space="0" w:color="auto"/>
            </w:tcBorders>
            <w:vAlign w:val="center"/>
          </w:tcPr>
          <w:p w14:paraId="282F05F8"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38.1 (16.74, 59.45)</w:t>
            </w:r>
          </w:p>
        </w:tc>
        <w:tc>
          <w:tcPr>
            <w:tcW w:w="631" w:type="pct"/>
            <w:tcBorders>
              <w:left w:val="single" w:sz="4" w:space="0" w:color="auto"/>
              <w:right w:val="single" w:sz="4" w:space="0" w:color="auto"/>
            </w:tcBorders>
            <w:vAlign w:val="center"/>
          </w:tcPr>
          <w:p w14:paraId="2F04BD08"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0.0011</w:t>
            </w:r>
          </w:p>
        </w:tc>
      </w:tr>
      <w:tr w:rsidR="00E745AF" w:rsidRPr="00C80985" w14:paraId="6C4F3BBE" w14:textId="77777777" w:rsidTr="00E840F9">
        <w:trPr>
          <w:trHeight w:val="58"/>
        </w:trPr>
        <w:tc>
          <w:tcPr>
            <w:tcW w:w="1569" w:type="pct"/>
            <w:tcBorders>
              <w:bottom w:val="single" w:sz="4" w:space="0" w:color="auto"/>
            </w:tcBorders>
            <w:vAlign w:val="center"/>
          </w:tcPr>
          <w:p w14:paraId="71673C67" w14:textId="77777777" w:rsidR="00E745AF" w:rsidRPr="00C80985" w:rsidRDefault="00E745AF" w:rsidP="003B3C0F">
            <w:pPr>
              <w:keepNext/>
              <w:keepLines/>
              <w:widowControl w:val="0"/>
              <w:rPr>
                <w:rFonts w:ascii="Arial Narrow" w:hAnsi="Arial Narrow"/>
                <w:sz w:val="20"/>
                <w:szCs w:val="20"/>
              </w:rPr>
            </w:pPr>
            <w:r w:rsidRPr="00C80985">
              <w:rPr>
                <w:rFonts w:ascii="Arial Narrow" w:hAnsi="Arial Narrow"/>
                <w:sz w:val="20"/>
                <w:szCs w:val="20"/>
              </w:rPr>
              <w:t>Placebo</w:t>
            </w:r>
          </w:p>
        </w:tc>
        <w:tc>
          <w:tcPr>
            <w:tcW w:w="440" w:type="pct"/>
            <w:tcBorders>
              <w:bottom w:val="single" w:sz="4" w:space="0" w:color="auto"/>
            </w:tcBorders>
          </w:tcPr>
          <w:p w14:paraId="20852B96"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27</w:t>
            </w:r>
          </w:p>
        </w:tc>
        <w:tc>
          <w:tcPr>
            <w:tcW w:w="1259" w:type="pct"/>
            <w:tcBorders>
              <w:bottom w:val="single" w:sz="4" w:space="0" w:color="auto"/>
              <w:right w:val="single" w:sz="4" w:space="0" w:color="auto"/>
            </w:tcBorders>
            <w:vAlign w:val="center"/>
          </w:tcPr>
          <w:p w14:paraId="2FE5F02F"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 xml:space="preserve">9 (33.3) </w:t>
            </w:r>
          </w:p>
        </w:tc>
        <w:tc>
          <w:tcPr>
            <w:tcW w:w="1101" w:type="pct"/>
            <w:tcBorders>
              <w:left w:val="single" w:sz="4" w:space="0" w:color="auto"/>
              <w:bottom w:val="single" w:sz="4" w:space="0" w:color="auto"/>
              <w:right w:val="single" w:sz="4" w:space="0" w:color="auto"/>
            </w:tcBorders>
            <w:vAlign w:val="center"/>
          </w:tcPr>
          <w:p w14:paraId="233C1AFC"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w:t>
            </w:r>
          </w:p>
        </w:tc>
        <w:tc>
          <w:tcPr>
            <w:tcW w:w="631" w:type="pct"/>
            <w:tcBorders>
              <w:left w:val="single" w:sz="4" w:space="0" w:color="auto"/>
              <w:bottom w:val="single" w:sz="4" w:space="0" w:color="auto"/>
              <w:right w:val="single" w:sz="4" w:space="0" w:color="auto"/>
            </w:tcBorders>
            <w:vAlign w:val="center"/>
          </w:tcPr>
          <w:p w14:paraId="53E3FC34"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w:t>
            </w:r>
          </w:p>
        </w:tc>
      </w:tr>
      <w:tr w:rsidR="00E745AF" w:rsidRPr="00C80985" w14:paraId="2BEFACB4" w14:textId="77777777" w:rsidTr="00E840F9">
        <w:trPr>
          <w:trHeight w:val="58"/>
        </w:trPr>
        <w:tc>
          <w:tcPr>
            <w:tcW w:w="5000" w:type="pct"/>
            <w:gridSpan w:val="5"/>
            <w:tcBorders>
              <w:right w:val="single" w:sz="4" w:space="0" w:color="auto"/>
            </w:tcBorders>
            <w:shd w:val="clear" w:color="auto" w:fill="BFBFBF" w:themeFill="background1" w:themeFillShade="BF"/>
            <w:vAlign w:val="center"/>
          </w:tcPr>
          <w:p w14:paraId="36B3D498" w14:textId="77777777" w:rsidR="00E745AF" w:rsidRPr="00C80985" w:rsidRDefault="00E745AF" w:rsidP="003B3C0F">
            <w:pPr>
              <w:keepNext/>
              <w:keepLines/>
              <w:widowControl w:val="0"/>
              <w:jc w:val="left"/>
              <w:rPr>
                <w:rFonts w:ascii="Arial Narrow" w:hAnsi="Arial Narrow"/>
                <w:b/>
                <w:bCs/>
                <w:sz w:val="20"/>
                <w:szCs w:val="20"/>
              </w:rPr>
            </w:pPr>
            <w:r w:rsidRPr="00C80985">
              <w:rPr>
                <w:rFonts w:ascii="Arial Narrow" w:hAnsi="Arial Narrow"/>
                <w:b/>
                <w:sz w:val="20"/>
                <w:szCs w:val="20"/>
              </w:rPr>
              <w:t>EASI 50 and CDLQI4 &lt;30 kg</w:t>
            </w:r>
          </w:p>
        </w:tc>
      </w:tr>
      <w:tr w:rsidR="00E745AF" w:rsidRPr="00C80985" w14:paraId="6B68C655" w14:textId="77777777" w:rsidTr="00E840F9">
        <w:trPr>
          <w:trHeight w:val="58"/>
        </w:trPr>
        <w:tc>
          <w:tcPr>
            <w:tcW w:w="1569" w:type="pct"/>
            <w:vAlign w:val="center"/>
          </w:tcPr>
          <w:p w14:paraId="24C134EF" w14:textId="77777777" w:rsidR="00E745AF" w:rsidRPr="00C80985" w:rsidRDefault="00E745AF" w:rsidP="003B3C0F">
            <w:pPr>
              <w:keepNext/>
              <w:keepLines/>
              <w:widowControl w:val="0"/>
              <w:rPr>
                <w:rFonts w:ascii="Arial Narrow" w:hAnsi="Arial Narrow"/>
                <w:sz w:val="20"/>
                <w:szCs w:val="20"/>
              </w:rPr>
            </w:pPr>
            <w:r w:rsidRPr="00C80985">
              <w:rPr>
                <w:rFonts w:ascii="Arial Narrow" w:hAnsi="Arial Narrow"/>
                <w:sz w:val="20"/>
                <w:szCs w:val="20"/>
              </w:rPr>
              <w:t>Dupilumab 300 mg Q4W</w:t>
            </w:r>
          </w:p>
        </w:tc>
        <w:tc>
          <w:tcPr>
            <w:tcW w:w="440" w:type="pct"/>
          </w:tcPr>
          <w:p w14:paraId="23186980"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61</w:t>
            </w:r>
          </w:p>
        </w:tc>
        <w:tc>
          <w:tcPr>
            <w:tcW w:w="1259" w:type="pct"/>
            <w:tcBorders>
              <w:right w:val="single" w:sz="4" w:space="0" w:color="auto"/>
            </w:tcBorders>
            <w:vAlign w:val="center"/>
          </w:tcPr>
          <w:p w14:paraId="7A942192"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50 (82.0)</w:t>
            </w:r>
          </w:p>
        </w:tc>
        <w:tc>
          <w:tcPr>
            <w:tcW w:w="1101" w:type="pct"/>
            <w:tcBorders>
              <w:left w:val="single" w:sz="4" w:space="0" w:color="auto"/>
              <w:right w:val="single" w:sz="4" w:space="0" w:color="auto"/>
            </w:tcBorders>
            <w:vAlign w:val="center"/>
          </w:tcPr>
          <w:p w14:paraId="1FD8E895"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54.4 (35.47, 73.29)</w:t>
            </w:r>
          </w:p>
        </w:tc>
        <w:tc>
          <w:tcPr>
            <w:tcW w:w="631" w:type="pct"/>
            <w:tcBorders>
              <w:left w:val="single" w:sz="4" w:space="0" w:color="auto"/>
              <w:right w:val="single" w:sz="4" w:space="0" w:color="auto"/>
            </w:tcBorders>
            <w:vAlign w:val="center"/>
          </w:tcPr>
          <w:p w14:paraId="5F5F706C"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&lt;0.0001</w:t>
            </w:r>
          </w:p>
        </w:tc>
      </w:tr>
      <w:tr w:rsidR="00E745AF" w:rsidRPr="00C80985" w14:paraId="2A481DAE" w14:textId="77777777" w:rsidTr="00E840F9">
        <w:trPr>
          <w:trHeight w:val="58"/>
        </w:trPr>
        <w:tc>
          <w:tcPr>
            <w:tcW w:w="1569" w:type="pct"/>
            <w:tcBorders>
              <w:bottom w:val="single" w:sz="4" w:space="0" w:color="auto"/>
            </w:tcBorders>
            <w:vAlign w:val="center"/>
          </w:tcPr>
          <w:p w14:paraId="2D8DA8AF" w14:textId="77777777" w:rsidR="00E745AF" w:rsidRPr="00C80985" w:rsidRDefault="00E745AF" w:rsidP="003B3C0F">
            <w:pPr>
              <w:keepNext/>
              <w:keepLines/>
              <w:widowControl w:val="0"/>
              <w:rPr>
                <w:rFonts w:ascii="Arial Narrow" w:hAnsi="Arial Narrow"/>
                <w:sz w:val="20"/>
                <w:szCs w:val="20"/>
              </w:rPr>
            </w:pPr>
            <w:r w:rsidRPr="00C80985">
              <w:rPr>
                <w:rFonts w:ascii="Arial Narrow" w:hAnsi="Arial Narrow"/>
                <w:sz w:val="20"/>
                <w:szCs w:val="20"/>
              </w:rPr>
              <w:t>Placebo</w:t>
            </w:r>
          </w:p>
        </w:tc>
        <w:tc>
          <w:tcPr>
            <w:tcW w:w="440" w:type="pct"/>
            <w:tcBorders>
              <w:bottom w:val="single" w:sz="4" w:space="0" w:color="auto"/>
            </w:tcBorders>
          </w:tcPr>
          <w:p w14:paraId="2E8D1A84"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29</w:t>
            </w:r>
          </w:p>
        </w:tc>
        <w:tc>
          <w:tcPr>
            <w:tcW w:w="1259" w:type="pct"/>
            <w:tcBorders>
              <w:bottom w:val="single" w:sz="4" w:space="0" w:color="auto"/>
              <w:right w:val="single" w:sz="4" w:space="0" w:color="auto"/>
            </w:tcBorders>
            <w:vAlign w:val="center"/>
          </w:tcPr>
          <w:p w14:paraId="763F04BB"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8 (27.6)</w:t>
            </w:r>
          </w:p>
        </w:tc>
        <w:tc>
          <w:tcPr>
            <w:tcW w:w="1101" w:type="pct"/>
            <w:tcBorders>
              <w:left w:val="single" w:sz="4" w:space="0" w:color="auto"/>
              <w:bottom w:val="single" w:sz="4" w:space="0" w:color="auto"/>
              <w:right w:val="single" w:sz="4" w:space="0" w:color="auto"/>
            </w:tcBorders>
            <w:vAlign w:val="center"/>
          </w:tcPr>
          <w:p w14:paraId="6AA55E69"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w:t>
            </w:r>
          </w:p>
        </w:tc>
        <w:tc>
          <w:tcPr>
            <w:tcW w:w="631" w:type="pct"/>
            <w:tcBorders>
              <w:left w:val="single" w:sz="4" w:space="0" w:color="auto"/>
              <w:bottom w:val="single" w:sz="4" w:space="0" w:color="auto"/>
              <w:right w:val="single" w:sz="4" w:space="0" w:color="auto"/>
            </w:tcBorders>
            <w:vAlign w:val="center"/>
          </w:tcPr>
          <w:p w14:paraId="6523D24F"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w:t>
            </w:r>
          </w:p>
        </w:tc>
      </w:tr>
      <w:tr w:rsidR="00E745AF" w:rsidRPr="00C80985" w14:paraId="524623F2" w14:textId="77777777" w:rsidTr="00E840F9">
        <w:trPr>
          <w:trHeight w:val="58"/>
        </w:trPr>
        <w:tc>
          <w:tcPr>
            <w:tcW w:w="5000" w:type="pct"/>
            <w:gridSpan w:val="5"/>
            <w:tcBorders>
              <w:right w:val="single" w:sz="4" w:space="0" w:color="auto"/>
            </w:tcBorders>
            <w:shd w:val="clear" w:color="auto" w:fill="BFBFBF" w:themeFill="background1" w:themeFillShade="BF"/>
            <w:vAlign w:val="center"/>
          </w:tcPr>
          <w:p w14:paraId="2BA77527" w14:textId="77777777" w:rsidR="00E745AF" w:rsidRPr="00C80985" w:rsidRDefault="00E745AF" w:rsidP="003B3C0F">
            <w:pPr>
              <w:keepNext/>
              <w:keepLines/>
              <w:widowControl w:val="0"/>
              <w:jc w:val="left"/>
              <w:rPr>
                <w:rFonts w:ascii="Arial Narrow" w:hAnsi="Arial Narrow"/>
                <w:b/>
                <w:bCs/>
                <w:sz w:val="20"/>
                <w:szCs w:val="20"/>
              </w:rPr>
            </w:pPr>
            <w:r w:rsidRPr="00C80985">
              <w:rPr>
                <w:rFonts w:ascii="Arial Narrow" w:hAnsi="Arial Narrow"/>
                <w:b/>
                <w:sz w:val="20"/>
                <w:szCs w:val="20"/>
              </w:rPr>
              <w:t>EASI 50 and CDLQI4 30 - 60 kg</w:t>
            </w:r>
          </w:p>
        </w:tc>
      </w:tr>
      <w:tr w:rsidR="00E745AF" w:rsidRPr="00C80985" w14:paraId="32DEC465" w14:textId="77777777" w:rsidTr="00E840F9">
        <w:trPr>
          <w:trHeight w:val="58"/>
        </w:trPr>
        <w:tc>
          <w:tcPr>
            <w:tcW w:w="1569" w:type="pct"/>
            <w:vAlign w:val="center"/>
          </w:tcPr>
          <w:p w14:paraId="67DDDF64" w14:textId="77777777" w:rsidR="00E745AF" w:rsidRPr="00C80985" w:rsidRDefault="00E745AF" w:rsidP="003B3C0F">
            <w:pPr>
              <w:keepNext/>
              <w:keepLines/>
              <w:widowControl w:val="0"/>
              <w:rPr>
                <w:rFonts w:ascii="Arial Narrow" w:hAnsi="Arial Narrow"/>
                <w:sz w:val="20"/>
                <w:szCs w:val="20"/>
              </w:rPr>
            </w:pPr>
            <w:r w:rsidRPr="00C80985">
              <w:rPr>
                <w:rFonts w:ascii="Arial Narrow" w:hAnsi="Arial Narrow"/>
                <w:sz w:val="20"/>
                <w:szCs w:val="20"/>
              </w:rPr>
              <w:t>Dupilumab 200 mg Q2W</w:t>
            </w:r>
          </w:p>
        </w:tc>
        <w:tc>
          <w:tcPr>
            <w:tcW w:w="440" w:type="pct"/>
          </w:tcPr>
          <w:p w14:paraId="45CFEF6C"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56</w:t>
            </w:r>
          </w:p>
        </w:tc>
        <w:tc>
          <w:tcPr>
            <w:tcW w:w="1259" w:type="pct"/>
            <w:tcBorders>
              <w:right w:val="single" w:sz="4" w:space="0" w:color="auto"/>
            </w:tcBorders>
            <w:vAlign w:val="center"/>
          </w:tcPr>
          <w:p w14:paraId="5520D1E2"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40 (71.4)</w:t>
            </w:r>
          </w:p>
        </w:tc>
        <w:tc>
          <w:tcPr>
            <w:tcW w:w="1101" w:type="pct"/>
            <w:tcBorders>
              <w:left w:val="single" w:sz="4" w:space="0" w:color="auto"/>
              <w:right w:val="single" w:sz="4" w:space="0" w:color="auto"/>
            </w:tcBorders>
            <w:vAlign w:val="center"/>
          </w:tcPr>
          <w:p w14:paraId="6720A829"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41.8 (20.90, 62.70)</w:t>
            </w:r>
          </w:p>
        </w:tc>
        <w:tc>
          <w:tcPr>
            <w:tcW w:w="631" w:type="pct"/>
            <w:tcBorders>
              <w:left w:val="single" w:sz="4" w:space="0" w:color="auto"/>
              <w:right w:val="single" w:sz="4" w:space="0" w:color="auto"/>
            </w:tcBorders>
            <w:vAlign w:val="center"/>
          </w:tcPr>
          <w:p w14:paraId="6AE01DA9"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0.0004</w:t>
            </w:r>
          </w:p>
        </w:tc>
      </w:tr>
      <w:tr w:rsidR="00E745AF" w:rsidRPr="00C80985" w14:paraId="7321714B" w14:textId="77777777" w:rsidTr="00E840F9">
        <w:trPr>
          <w:trHeight w:val="58"/>
        </w:trPr>
        <w:tc>
          <w:tcPr>
            <w:tcW w:w="1569" w:type="pct"/>
            <w:vAlign w:val="center"/>
          </w:tcPr>
          <w:p w14:paraId="27213507" w14:textId="77777777" w:rsidR="00E745AF" w:rsidRPr="00C80985" w:rsidRDefault="00E745AF" w:rsidP="003B3C0F">
            <w:pPr>
              <w:keepNext/>
              <w:keepLines/>
              <w:widowControl w:val="0"/>
              <w:rPr>
                <w:rFonts w:ascii="Arial Narrow" w:hAnsi="Arial Narrow"/>
                <w:sz w:val="20"/>
                <w:szCs w:val="20"/>
              </w:rPr>
            </w:pPr>
            <w:r w:rsidRPr="00C80985">
              <w:rPr>
                <w:rFonts w:ascii="Arial Narrow" w:hAnsi="Arial Narrow"/>
                <w:sz w:val="20"/>
                <w:szCs w:val="20"/>
              </w:rPr>
              <w:t>Placebo</w:t>
            </w:r>
          </w:p>
        </w:tc>
        <w:tc>
          <w:tcPr>
            <w:tcW w:w="440" w:type="pct"/>
          </w:tcPr>
          <w:p w14:paraId="3FFC1B52"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27</w:t>
            </w:r>
          </w:p>
        </w:tc>
        <w:tc>
          <w:tcPr>
            <w:tcW w:w="1259" w:type="pct"/>
            <w:tcBorders>
              <w:right w:val="single" w:sz="4" w:space="0" w:color="auto"/>
            </w:tcBorders>
            <w:vAlign w:val="center"/>
          </w:tcPr>
          <w:p w14:paraId="45B0E118"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8 (29.6)</w:t>
            </w:r>
          </w:p>
        </w:tc>
        <w:tc>
          <w:tcPr>
            <w:tcW w:w="1101" w:type="pct"/>
            <w:tcBorders>
              <w:left w:val="single" w:sz="4" w:space="0" w:color="auto"/>
              <w:right w:val="single" w:sz="4" w:space="0" w:color="auto"/>
            </w:tcBorders>
            <w:vAlign w:val="center"/>
          </w:tcPr>
          <w:p w14:paraId="2DB83A6C"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w:t>
            </w:r>
          </w:p>
        </w:tc>
        <w:tc>
          <w:tcPr>
            <w:tcW w:w="631" w:type="pct"/>
            <w:tcBorders>
              <w:left w:val="single" w:sz="4" w:space="0" w:color="auto"/>
              <w:right w:val="single" w:sz="4" w:space="0" w:color="auto"/>
            </w:tcBorders>
            <w:vAlign w:val="center"/>
          </w:tcPr>
          <w:p w14:paraId="0FA61FDF"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w:t>
            </w:r>
          </w:p>
        </w:tc>
      </w:tr>
      <w:tr w:rsidR="00E745AF" w:rsidRPr="00C80985" w14:paraId="714FA805" w14:textId="77777777" w:rsidTr="00E840F9">
        <w:trPr>
          <w:trHeight w:val="58"/>
        </w:trPr>
        <w:tc>
          <w:tcPr>
            <w:tcW w:w="5000" w:type="pct"/>
            <w:gridSpan w:val="5"/>
            <w:tcBorders>
              <w:right w:val="single" w:sz="4" w:space="0" w:color="auto"/>
            </w:tcBorders>
            <w:shd w:val="clear" w:color="auto" w:fill="BFBFBF" w:themeFill="background1" w:themeFillShade="BF"/>
            <w:vAlign w:val="center"/>
          </w:tcPr>
          <w:p w14:paraId="65044ECB" w14:textId="77777777" w:rsidR="00E745AF" w:rsidRPr="00C80985" w:rsidRDefault="00E745AF" w:rsidP="003B3C0F">
            <w:pPr>
              <w:keepNext/>
              <w:keepLines/>
              <w:widowControl w:val="0"/>
              <w:jc w:val="left"/>
              <w:rPr>
                <w:rFonts w:ascii="Arial Narrow" w:hAnsi="Arial Narrow"/>
                <w:b/>
                <w:bCs/>
                <w:sz w:val="20"/>
                <w:szCs w:val="20"/>
              </w:rPr>
            </w:pPr>
            <w:r w:rsidRPr="00C80985">
              <w:rPr>
                <w:rFonts w:ascii="Arial Narrow" w:hAnsi="Arial Narrow"/>
                <w:b/>
                <w:sz w:val="20"/>
                <w:szCs w:val="20"/>
              </w:rPr>
              <w:t>EASI 50 and CDLQI6 &lt;30 kg</w:t>
            </w:r>
          </w:p>
        </w:tc>
      </w:tr>
      <w:tr w:rsidR="00E745AF" w:rsidRPr="00C80985" w14:paraId="1765B389" w14:textId="77777777" w:rsidTr="00E840F9">
        <w:trPr>
          <w:trHeight w:val="58"/>
        </w:trPr>
        <w:tc>
          <w:tcPr>
            <w:tcW w:w="1569" w:type="pct"/>
            <w:vAlign w:val="center"/>
          </w:tcPr>
          <w:p w14:paraId="17EDC5B3" w14:textId="77777777" w:rsidR="00E745AF" w:rsidRPr="00C80985" w:rsidRDefault="00E745AF" w:rsidP="003B3C0F">
            <w:pPr>
              <w:keepNext/>
              <w:keepLines/>
              <w:widowControl w:val="0"/>
              <w:rPr>
                <w:rFonts w:ascii="Arial Narrow" w:hAnsi="Arial Narrow"/>
                <w:sz w:val="20"/>
                <w:szCs w:val="20"/>
              </w:rPr>
            </w:pPr>
            <w:r w:rsidRPr="00C80985">
              <w:rPr>
                <w:rFonts w:ascii="Arial Narrow" w:hAnsi="Arial Narrow"/>
                <w:sz w:val="20"/>
                <w:szCs w:val="20"/>
              </w:rPr>
              <w:t>Dupilumab 300 mg Q4W</w:t>
            </w:r>
          </w:p>
        </w:tc>
        <w:tc>
          <w:tcPr>
            <w:tcW w:w="440" w:type="pct"/>
          </w:tcPr>
          <w:p w14:paraId="17C61D80"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61</w:t>
            </w:r>
          </w:p>
        </w:tc>
        <w:tc>
          <w:tcPr>
            <w:tcW w:w="1259" w:type="pct"/>
            <w:tcBorders>
              <w:right w:val="single" w:sz="4" w:space="0" w:color="auto"/>
            </w:tcBorders>
            <w:vAlign w:val="center"/>
          </w:tcPr>
          <w:p w14:paraId="26667731"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45 (73.8)</w:t>
            </w:r>
          </w:p>
        </w:tc>
        <w:tc>
          <w:tcPr>
            <w:tcW w:w="1101" w:type="pct"/>
            <w:tcBorders>
              <w:left w:val="single" w:sz="4" w:space="0" w:color="auto"/>
              <w:right w:val="single" w:sz="4" w:space="0" w:color="auto"/>
            </w:tcBorders>
            <w:vAlign w:val="center"/>
          </w:tcPr>
          <w:p w14:paraId="43F7556A"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46.2 (26.53, 65.84)</w:t>
            </w:r>
          </w:p>
        </w:tc>
        <w:tc>
          <w:tcPr>
            <w:tcW w:w="631" w:type="pct"/>
            <w:tcBorders>
              <w:left w:val="single" w:sz="4" w:space="0" w:color="auto"/>
              <w:right w:val="single" w:sz="4" w:space="0" w:color="auto"/>
            </w:tcBorders>
            <w:vAlign w:val="center"/>
          </w:tcPr>
          <w:p w14:paraId="02948958"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&lt;0.0001</w:t>
            </w:r>
          </w:p>
        </w:tc>
      </w:tr>
      <w:tr w:rsidR="00E745AF" w:rsidRPr="00C80985" w14:paraId="03B87886" w14:textId="77777777" w:rsidTr="00E840F9">
        <w:trPr>
          <w:trHeight w:val="58"/>
        </w:trPr>
        <w:tc>
          <w:tcPr>
            <w:tcW w:w="1569" w:type="pct"/>
            <w:tcBorders>
              <w:bottom w:val="single" w:sz="4" w:space="0" w:color="auto"/>
            </w:tcBorders>
            <w:vAlign w:val="center"/>
          </w:tcPr>
          <w:p w14:paraId="33A55BF3" w14:textId="77777777" w:rsidR="00E745AF" w:rsidRPr="00C80985" w:rsidRDefault="00E745AF" w:rsidP="003B3C0F">
            <w:pPr>
              <w:keepNext/>
              <w:keepLines/>
              <w:widowControl w:val="0"/>
              <w:rPr>
                <w:rFonts w:ascii="Arial Narrow" w:hAnsi="Arial Narrow"/>
                <w:sz w:val="20"/>
                <w:szCs w:val="20"/>
              </w:rPr>
            </w:pPr>
            <w:r w:rsidRPr="00C80985">
              <w:rPr>
                <w:rFonts w:ascii="Arial Narrow" w:hAnsi="Arial Narrow"/>
                <w:sz w:val="20"/>
                <w:szCs w:val="20"/>
              </w:rPr>
              <w:t>Placebo</w:t>
            </w:r>
          </w:p>
        </w:tc>
        <w:tc>
          <w:tcPr>
            <w:tcW w:w="440" w:type="pct"/>
            <w:tcBorders>
              <w:bottom w:val="single" w:sz="4" w:space="0" w:color="auto"/>
            </w:tcBorders>
          </w:tcPr>
          <w:p w14:paraId="69C54733"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29</w:t>
            </w:r>
          </w:p>
        </w:tc>
        <w:tc>
          <w:tcPr>
            <w:tcW w:w="1259" w:type="pct"/>
            <w:tcBorders>
              <w:bottom w:val="single" w:sz="4" w:space="0" w:color="auto"/>
              <w:right w:val="single" w:sz="4" w:space="0" w:color="auto"/>
            </w:tcBorders>
            <w:vAlign w:val="center"/>
          </w:tcPr>
          <w:p w14:paraId="50496C22"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8 (27.6)</w:t>
            </w:r>
          </w:p>
        </w:tc>
        <w:tc>
          <w:tcPr>
            <w:tcW w:w="1101" w:type="pct"/>
            <w:tcBorders>
              <w:left w:val="single" w:sz="4" w:space="0" w:color="auto"/>
              <w:bottom w:val="single" w:sz="4" w:space="0" w:color="auto"/>
              <w:right w:val="single" w:sz="4" w:space="0" w:color="auto"/>
            </w:tcBorders>
            <w:vAlign w:val="center"/>
          </w:tcPr>
          <w:p w14:paraId="2BC630D1"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w:t>
            </w:r>
          </w:p>
        </w:tc>
        <w:tc>
          <w:tcPr>
            <w:tcW w:w="631" w:type="pct"/>
            <w:tcBorders>
              <w:left w:val="single" w:sz="4" w:space="0" w:color="auto"/>
              <w:bottom w:val="single" w:sz="4" w:space="0" w:color="auto"/>
              <w:right w:val="single" w:sz="4" w:space="0" w:color="auto"/>
            </w:tcBorders>
            <w:vAlign w:val="center"/>
          </w:tcPr>
          <w:p w14:paraId="6D4B7AF2"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w:t>
            </w:r>
          </w:p>
        </w:tc>
      </w:tr>
      <w:tr w:rsidR="00E745AF" w:rsidRPr="00C80985" w14:paraId="78532D9D" w14:textId="77777777" w:rsidTr="00E840F9">
        <w:trPr>
          <w:trHeight w:val="58"/>
        </w:trPr>
        <w:tc>
          <w:tcPr>
            <w:tcW w:w="5000" w:type="pct"/>
            <w:gridSpan w:val="5"/>
            <w:tcBorders>
              <w:right w:val="single" w:sz="4" w:space="0" w:color="auto"/>
            </w:tcBorders>
            <w:shd w:val="clear" w:color="auto" w:fill="BFBFBF" w:themeFill="background1" w:themeFillShade="BF"/>
            <w:vAlign w:val="center"/>
          </w:tcPr>
          <w:p w14:paraId="56F461A7" w14:textId="77777777" w:rsidR="00E745AF" w:rsidRPr="00C80985" w:rsidRDefault="00E745AF" w:rsidP="003B3C0F">
            <w:pPr>
              <w:keepNext/>
              <w:keepLines/>
              <w:widowControl w:val="0"/>
              <w:jc w:val="left"/>
              <w:rPr>
                <w:rFonts w:ascii="Arial Narrow" w:hAnsi="Arial Narrow"/>
                <w:b/>
                <w:bCs/>
                <w:sz w:val="20"/>
                <w:szCs w:val="20"/>
              </w:rPr>
            </w:pPr>
            <w:r w:rsidRPr="00C80985">
              <w:rPr>
                <w:rFonts w:ascii="Arial Narrow" w:hAnsi="Arial Narrow"/>
                <w:b/>
                <w:sz w:val="20"/>
                <w:szCs w:val="20"/>
              </w:rPr>
              <w:t>EASI 50 and CDLQI6 30 - 60 kg</w:t>
            </w:r>
          </w:p>
        </w:tc>
      </w:tr>
      <w:tr w:rsidR="00E745AF" w:rsidRPr="00C80985" w14:paraId="4582C2AB" w14:textId="77777777" w:rsidTr="00E840F9">
        <w:trPr>
          <w:trHeight w:val="58"/>
        </w:trPr>
        <w:tc>
          <w:tcPr>
            <w:tcW w:w="1569" w:type="pct"/>
            <w:vAlign w:val="center"/>
          </w:tcPr>
          <w:p w14:paraId="2A09DA18" w14:textId="77777777" w:rsidR="00E745AF" w:rsidRPr="00C80985" w:rsidRDefault="00E745AF" w:rsidP="003B3C0F">
            <w:pPr>
              <w:keepNext/>
              <w:keepLines/>
              <w:widowControl w:val="0"/>
              <w:rPr>
                <w:rFonts w:ascii="Arial Narrow" w:hAnsi="Arial Narrow"/>
                <w:sz w:val="20"/>
                <w:szCs w:val="20"/>
              </w:rPr>
            </w:pPr>
            <w:r w:rsidRPr="00C80985">
              <w:rPr>
                <w:rFonts w:ascii="Arial Narrow" w:hAnsi="Arial Narrow"/>
                <w:sz w:val="20"/>
                <w:szCs w:val="20"/>
              </w:rPr>
              <w:t>Dupilumab 200 mg Q2W</w:t>
            </w:r>
          </w:p>
        </w:tc>
        <w:tc>
          <w:tcPr>
            <w:tcW w:w="440" w:type="pct"/>
          </w:tcPr>
          <w:p w14:paraId="5700A083"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56</w:t>
            </w:r>
          </w:p>
        </w:tc>
        <w:tc>
          <w:tcPr>
            <w:tcW w:w="1259" w:type="pct"/>
            <w:tcBorders>
              <w:right w:val="single" w:sz="4" w:space="0" w:color="auto"/>
            </w:tcBorders>
            <w:vAlign w:val="center"/>
          </w:tcPr>
          <w:p w14:paraId="4E1A9A9B"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35 (62.5)</w:t>
            </w:r>
          </w:p>
        </w:tc>
        <w:tc>
          <w:tcPr>
            <w:tcW w:w="1101" w:type="pct"/>
            <w:tcBorders>
              <w:left w:val="single" w:sz="4" w:space="0" w:color="auto"/>
              <w:right w:val="single" w:sz="4" w:space="0" w:color="auto"/>
            </w:tcBorders>
            <w:vAlign w:val="center"/>
          </w:tcPr>
          <w:p w14:paraId="6DA9FE0E"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40.3 (20.11, 60.44)</w:t>
            </w:r>
          </w:p>
        </w:tc>
        <w:tc>
          <w:tcPr>
            <w:tcW w:w="631" w:type="pct"/>
            <w:tcBorders>
              <w:left w:val="single" w:sz="4" w:space="0" w:color="auto"/>
              <w:right w:val="single" w:sz="4" w:space="0" w:color="auto"/>
            </w:tcBorders>
            <w:vAlign w:val="center"/>
          </w:tcPr>
          <w:p w14:paraId="2D843F72"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0.0007</w:t>
            </w:r>
          </w:p>
        </w:tc>
      </w:tr>
      <w:tr w:rsidR="00E745AF" w:rsidRPr="00C80985" w14:paraId="47574077" w14:textId="77777777" w:rsidTr="00E840F9">
        <w:trPr>
          <w:trHeight w:val="58"/>
        </w:trPr>
        <w:tc>
          <w:tcPr>
            <w:tcW w:w="1569" w:type="pct"/>
            <w:vAlign w:val="center"/>
          </w:tcPr>
          <w:p w14:paraId="4472F42F" w14:textId="77777777" w:rsidR="00E745AF" w:rsidRPr="00C80985" w:rsidRDefault="00E745AF" w:rsidP="003B3C0F">
            <w:pPr>
              <w:keepNext/>
              <w:keepLines/>
              <w:widowControl w:val="0"/>
              <w:rPr>
                <w:rFonts w:ascii="Arial Narrow" w:hAnsi="Arial Narrow"/>
                <w:sz w:val="20"/>
                <w:szCs w:val="20"/>
              </w:rPr>
            </w:pPr>
            <w:r w:rsidRPr="00C80985">
              <w:rPr>
                <w:rFonts w:ascii="Arial Narrow" w:hAnsi="Arial Narrow"/>
                <w:sz w:val="20"/>
                <w:szCs w:val="20"/>
              </w:rPr>
              <w:t>Placebo</w:t>
            </w:r>
          </w:p>
        </w:tc>
        <w:tc>
          <w:tcPr>
            <w:tcW w:w="440" w:type="pct"/>
          </w:tcPr>
          <w:p w14:paraId="090E95A8"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27</w:t>
            </w:r>
          </w:p>
        </w:tc>
        <w:tc>
          <w:tcPr>
            <w:tcW w:w="1259" w:type="pct"/>
            <w:tcBorders>
              <w:right w:val="single" w:sz="4" w:space="0" w:color="auto"/>
            </w:tcBorders>
            <w:vAlign w:val="center"/>
          </w:tcPr>
          <w:p w14:paraId="0F8FF4B3"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6 (22.2)</w:t>
            </w:r>
          </w:p>
        </w:tc>
        <w:tc>
          <w:tcPr>
            <w:tcW w:w="1101" w:type="pct"/>
            <w:tcBorders>
              <w:left w:val="single" w:sz="4" w:space="0" w:color="auto"/>
              <w:right w:val="single" w:sz="4" w:space="0" w:color="auto"/>
            </w:tcBorders>
            <w:vAlign w:val="center"/>
          </w:tcPr>
          <w:p w14:paraId="20AB2004"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w:t>
            </w:r>
          </w:p>
        </w:tc>
        <w:tc>
          <w:tcPr>
            <w:tcW w:w="631" w:type="pct"/>
            <w:tcBorders>
              <w:left w:val="single" w:sz="4" w:space="0" w:color="auto"/>
              <w:right w:val="single" w:sz="4" w:space="0" w:color="auto"/>
            </w:tcBorders>
            <w:vAlign w:val="center"/>
          </w:tcPr>
          <w:p w14:paraId="5FF7FAA4" w14:textId="77777777" w:rsidR="00E745AF" w:rsidRPr="00C80985" w:rsidRDefault="00E745AF" w:rsidP="003B3C0F">
            <w:pPr>
              <w:keepNext/>
              <w:keepLines/>
              <w:widowControl w:val="0"/>
              <w:jc w:val="center"/>
              <w:rPr>
                <w:rFonts w:ascii="Arial Narrow" w:hAnsi="Arial Narrow"/>
                <w:sz w:val="20"/>
                <w:szCs w:val="20"/>
              </w:rPr>
            </w:pPr>
            <w:r w:rsidRPr="00C80985">
              <w:rPr>
                <w:rFonts w:ascii="Arial Narrow" w:hAnsi="Arial Narrow"/>
                <w:sz w:val="20"/>
                <w:szCs w:val="20"/>
              </w:rPr>
              <w:t>-</w:t>
            </w:r>
          </w:p>
        </w:tc>
      </w:tr>
    </w:tbl>
    <w:p w14:paraId="19DDE9E9" w14:textId="5BCA739A" w:rsidR="001F2805" w:rsidRPr="00C80985" w:rsidRDefault="00E745AF" w:rsidP="003B3C0F">
      <w:pPr>
        <w:keepNext/>
        <w:keepLines/>
        <w:rPr>
          <w:rFonts w:ascii="Arial Narrow" w:hAnsi="Arial Narrow"/>
          <w:sz w:val="18"/>
          <w:szCs w:val="18"/>
        </w:rPr>
      </w:pPr>
      <w:r w:rsidRPr="00C80985">
        <w:rPr>
          <w:rFonts w:ascii="Arial Narrow" w:hAnsi="Arial Narrow"/>
          <w:sz w:val="18"/>
          <w:szCs w:val="18"/>
        </w:rPr>
        <w:t>Source: Table 1.2, p8; Table 1.3, p9; Table 1.4, p10, Table 1.5, p11 and Table 1.6, p12 of SAR231893 AD1652 in Attachment 5</w:t>
      </w:r>
      <w:r w:rsidR="001F2805" w:rsidRPr="00C80985">
        <w:rPr>
          <w:rFonts w:ascii="Arial Narrow" w:hAnsi="Arial Narrow"/>
          <w:sz w:val="18"/>
          <w:szCs w:val="18"/>
        </w:rPr>
        <w:t>.</w:t>
      </w:r>
    </w:p>
    <w:p w14:paraId="6D031279" w14:textId="5EEC965F" w:rsidR="00A01936" w:rsidRPr="00C80985" w:rsidRDefault="001F2805" w:rsidP="003B3C0F">
      <w:pPr>
        <w:pStyle w:val="3-BodyText"/>
        <w:keepNext/>
        <w:keepLines/>
        <w:numPr>
          <w:ilvl w:val="0"/>
          <w:numId w:val="0"/>
        </w:numPr>
      </w:pPr>
      <w:r w:rsidRPr="00C80985">
        <w:rPr>
          <w:rFonts w:ascii="Arial Narrow" w:hAnsi="Arial Narrow"/>
          <w:sz w:val="18"/>
          <w:szCs w:val="18"/>
        </w:rPr>
        <w:t>CI = confidence interval; EASI = Eczema Area and Severity Index; Q2W = every two weeks; Q4W = every four weeks</w:t>
      </w:r>
    </w:p>
    <w:p w14:paraId="684542C7" w14:textId="36618A45" w:rsidR="001F2805" w:rsidRDefault="00995988" w:rsidP="001F2805">
      <w:pPr>
        <w:pStyle w:val="3-BodyText"/>
        <w:rPr>
          <w:iCs/>
        </w:rPr>
      </w:pPr>
      <w:r w:rsidRPr="00C80985">
        <w:rPr>
          <w:iCs/>
        </w:rPr>
        <w:t xml:space="preserve">The submission did not provide any indication of whether any corrections or adjustments were made to the analyses to account for the multiple testing that would have occurred with the post-hoc analyses.  Thus, all results should be interpreted with caution. </w:t>
      </w:r>
      <w:r w:rsidR="001F2805" w:rsidRPr="00C80985">
        <w:rPr>
          <w:iCs/>
        </w:rPr>
        <w:t xml:space="preserve">There were statistically significant advantages for dupilumab compared to placebo for EASI 50, </w:t>
      </w:r>
      <w:r w:rsidR="00766BD7" w:rsidRPr="00C80985">
        <w:rPr>
          <w:iCs/>
        </w:rPr>
        <w:t>CDLQI</w:t>
      </w:r>
      <w:r w:rsidR="001F2805" w:rsidRPr="00C80985">
        <w:rPr>
          <w:iCs/>
        </w:rPr>
        <w:t>, and the two outcomes combined.</w:t>
      </w:r>
      <w:r w:rsidRPr="00C80985">
        <w:rPr>
          <w:iCs/>
        </w:rPr>
        <w:t xml:space="preserve"> </w:t>
      </w:r>
      <w:r w:rsidR="00CE61F9" w:rsidRPr="00C80985">
        <w:rPr>
          <w:iCs/>
        </w:rPr>
        <w:t xml:space="preserve">The proportion of responders </w:t>
      </w:r>
      <w:r w:rsidR="003B3C0F" w:rsidRPr="00C80985">
        <w:rPr>
          <w:iCs/>
        </w:rPr>
        <w:t xml:space="preserve">was </w:t>
      </w:r>
      <w:r w:rsidR="00CE61F9" w:rsidRPr="00C80985">
        <w:rPr>
          <w:iCs/>
        </w:rPr>
        <w:t xml:space="preserve">marginally lower for CDLQI6 versus CDLQI4 which was then reflected in the composite outcomes given response rates to EASI 50 were generally higher. </w:t>
      </w:r>
      <w:r w:rsidR="001F2805" w:rsidRPr="00C80985">
        <w:rPr>
          <w:iCs/>
        </w:rPr>
        <w:t>The submission did not provide any safety outcomes for this post-hoc subgroup.</w:t>
      </w:r>
    </w:p>
    <w:p w14:paraId="3A8E6776" w14:textId="3315C95B" w:rsidR="007F7AA1" w:rsidRPr="00C80985" w:rsidRDefault="0083071C" w:rsidP="008C099A">
      <w:pPr>
        <w:pStyle w:val="3-BodyText"/>
        <w:rPr>
          <w:iCs/>
        </w:rPr>
      </w:pPr>
      <w:r w:rsidRPr="007F7AA1">
        <w:rPr>
          <w:iCs/>
        </w:rPr>
        <w:t xml:space="preserve">The PBAC noted that the clinical evidence from the post-hoc subgroups suggested that response may differ somewhat between patients &lt;30kg on the 300 mg Q4W schedule and those 30-60kg on the 200 mg Q2W schedule, with patients &lt;30kg having numerically greater improvements for the </w:t>
      </w:r>
      <w:r w:rsidRPr="008C099A">
        <w:rPr>
          <w:iCs/>
        </w:rPr>
        <w:t>combined outcome of EASI 50 and CDLQI4,</w:t>
      </w:r>
      <w:r w:rsidRPr="007F7AA1">
        <w:rPr>
          <w:iCs/>
        </w:rPr>
        <w:t xml:space="preserve"> compared with those 30</w:t>
      </w:r>
      <w:r w:rsidRPr="007F7AA1">
        <w:rPr>
          <w:iCs/>
        </w:rPr>
        <w:noBreakHyphen/>
        <w:t xml:space="preserve">60kg. </w:t>
      </w:r>
      <w:proofErr w:type="gramStart"/>
      <w:r w:rsidR="00990325" w:rsidRPr="007F7AA1">
        <w:rPr>
          <w:iCs/>
        </w:rPr>
        <w:t>O</w:t>
      </w:r>
      <w:r w:rsidRPr="007F7AA1">
        <w:rPr>
          <w:iCs/>
        </w:rPr>
        <w:t>verall</w:t>
      </w:r>
      <w:proofErr w:type="gramEnd"/>
      <w:r w:rsidRPr="007F7AA1">
        <w:rPr>
          <w:iCs/>
        </w:rPr>
        <w:t xml:space="preserve"> the PBAC considered that dupilumab appeared to be effective in both groups of patients.</w:t>
      </w:r>
    </w:p>
    <w:p w14:paraId="58D7FC6E" w14:textId="6AEBED80" w:rsidR="00A01936" w:rsidRPr="007F7AA1" w:rsidRDefault="00AB4654" w:rsidP="008C099A">
      <w:pPr>
        <w:pStyle w:val="3-BodyText"/>
        <w:widowControl w:val="0"/>
        <w:numPr>
          <w:ilvl w:val="0"/>
          <w:numId w:val="0"/>
        </w:numPr>
        <w:spacing w:after="0"/>
        <w:rPr>
          <w:rFonts w:ascii="Arial Narrow" w:hAnsi="Arial Narrow"/>
          <w:b/>
          <w:bCs/>
          <w:sz w:val="20"/>
          <w:szCs w:val="20"/>
        </w:rPr>
      </w:pPr>
      <w:bookmarkStart w:id="20" w:name="_Ref96073967"/>
      <w:r w:rsidRPr="007F7AA1">
        <w:rPr>
          <w:rStyle w:val="CommentReference"/>
          <w:szCs w:val="24"/>
        </w:rPr>
        <w:lastRenderedPageBreak/>
        <w:t xml:space="preserve">Table </w:t>
      </w:r>
      <w:r w:rsidRPr="007F7AA1">
        <w:rPr>
          <w:rStyle w:val="CommentReference"/>
          <w:b w:val="0"/>
          <w:szCs w:val="24"/>
        </w:rPr>
        <w:fldChar w:fldCharType="begin"/>
      </w:r>
      <w:r w:rsidRPr="007F7AA1">
        <w:rPr>
          <w:rStyle w:val="CommentReference"/>
          <w:szCs w:val="24"/>
        </w:rPr>
        <w:instrText xml:space="preserve"> SEQ Table \* ARABIC </w:instrText>
      </w:r>
      <w:r w:rsidRPr="007F7AA1">
        <w:rPr>
          <w:rStyle w:val="CommentReference"/>
          <w:b w:val="0"/>
          <w:szCs w:val="24"/>
        </w:rPr>
        <w:fldChar w:fldCharType="separate"/>
      </w:r>
      <w:r w:rsidR="00AA723C">
        <w:rPr>
          <w:rStyle w:val="CommentReference"/>
          <w:noProof/>
          <w:szCs w:val="24"/>
        </w:rPr>
        <w:t>6</w:t>
      </w:r>
      <w:r w:rsidRPr="007F7AA1">
        <w:rPr>
          <w:rStyle w:val="CommentReference"/>
          <w:b w:val="0"/>
          <w:szCs w:val="24"/>
        </w:rPr>
        <w:fldChar w:fldCharType="end"/>
      </w:r>
      <w:bookmarkEnd w:id="20"/>
      <w:r w:rsidR="001F2805" w:rsidRPr="007F7AA1">
        <w:rPr>
          <w:rStyle w:val="CommentReference"/>
          <w:szCs w:val="24"/>
        </w:rPr>
        <w:t xml:space="preserve">: </w:t>
      </w:r>
      <w:r w:rsidR="00B457C2" w:rsidRPr="007F7AA1">
        <w:rPr>
          <w:rFonts w:ascii="Arial Narrow" w:hAnsi="Arial Narrow"/>
          <w:b/>
          <w:bCs/>
          <w:sz w:val="20"/>
          <w:szCs w:val="20"/>
        </w:rPr>
        <w:t>The proportion of patients achieving IGA 0 or 1 and EASI-75 at Week 16 in Study 1652 – overall trial and weight groups</w:t>
      </w:r>
    </w:p>
    <w:tbl>
      <w:tblPr>
        <w:tblStyle w:val="TableGrid1"/>
        <w:tblW w:w="4968" w:type="pct"/>
        <w:tblInd w:w="-5" w:type="dxa"/>
        <w:tblCellMar>
          <w:left w:w="28" w:type="dxa"/>
          <w:right w:w="28" w:type="dxa"/>
        </w:tblCellMar>
        <w:tblLook w:val="04A0" w:firstRow="1" w:lastRow="0" w:firstColumn="1" w:lastColumn="0" w:noHBand="0" w:noVBand="1"/>
      </w:tblPr>
      <w:tblGrid>
        <w:gridCol w:w="2811"/>
        <w:gridCol w:w="788"/>
        <w:gridCol w:w="2256"/>
        <w:gridCol w:w="1973"/>
        <w:gridCol w:w="1131"/>
      </w:tblGrid>
      <w:tr w:rsidR="00B457C2" w:rsidRPr="00C80985" w14:paraId="3F1D38DF" w14:textId="77777777" w:rsidTr="00E840F9">
        <w:trPr>
          <w:trHeight w:val="84"/>
          <w:tblHeader/>
        </w:trPr>
        <w:tc>
          <w:tcPr>
            <w:tcW w:w="1569" w:type="pct"/>
            <w:vAlign w:val="center"/>
          </w:tcPr>
          <w:p w14:paraId="703F914A" w14:textId="77777777" w:rsidR="00B457C2" w:rsidRPr="00C80985" w:rsidRDefault="00B457C2" w:rsidP="008C099A">
            <w:pPr>
              <w:widowControl w:val="0"/>
              <w:rPr>
                <w:rFonts w:ascii="Arial Narrow" w:hAnsi="Arial Narrow"/>
                <w:sz w:val="20"/>
                <w:szCs w:val="20"/>
              </w:rPr>
            </w:pPr>
          </w:p>
        </w:tc>
        <w:tc>
          <w:tcPr>
            <w:tcW w:w="440" w:type="pct"/>
            <w:vAlign w:val="center"/>
          </w:tcPr>
          <w:p w14:paraId="51B5B77F"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b/>
                <w:sz w:val="20"/>
                <w:szCs w:val="20"/>
              </w:rPr>
              <w:t>N</w:t>
            </w:r>
          </w:p>
        </w:tc>
        <w:tc>
          <w:tcPr>
            <w:tcW w:w="1259" w:type="pct"/>
            <w:tcBorders>
              <w:right w:val="single" w:sz="4" w:space="0" w:color="auto"/>
            </w:tcBorders>
            <w:vAlign w:val="center"/>
          </w:tcPr>
          <w:p w14:paraId="434D6777"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b/>
                <w:sz w:val="20"/>
                <w:szCs w:val="20"/>
              </w:rPr>
              <w:t>Number (%) meeting criterion at Week 16</w:t>
            </w:r>
          </w:p>
        </w:tc>
        <w:tc>
          <w:tcPr>
            <w:tcW w:w="1101" w:type="pct"/>
            <w:tcBorders>
              <w:left w:val="single" w:sz="4" w:space="0" w:color="auto"/>
              <w:right w:val="single" w:sz="4" w:space="0" w:color="auto"/>
            </w:tcBorders>
            <w:vAlign w:val="center"/>
          </w:tcPr>
          <w:p w14:paraId="0B872264"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b/>
                <w:sz w:val="20"/>
                <w:szCs w:val="20"/>
              </w:rPr>
              <w:t>Difference vs. placebo</w:t>
            </w:r>
            <w:r w:rsidRPr="00C80985">
              <w:rPr>
                <w:rFonts w:ascii="Arial Narrow" w:hAnsi="Arial Narrow"/>
                <w:b/>
                <w:sz w:val="20"/>
                <w:szCs w:val="20"/>
              </w:rPr>
              <w:br/>
              <w:t>% (95% CI)</w:t>
            </w:r>
          </w:p>
        </w:tc>
        <w:tc>
          <w:tcPr>
            <w:tcW w:w="631" w:type="pct"/>
            <w:tcBorders>
              <w:left w:val="single" w:sz="4" w:space="0" w:color="auto"/>
              <w:right w:val="single" w:sz="4" w:space="0" w:color="auto"/>
            </w:tcBorders>
            <w:vAlign w:val="center"/>
          </w:tcPr>
          <w:p w14:paraId="5A3F07DB"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b/>
                <w:sz w:val="20"/>
                <w:szCs w:val="20"/>
              </w:rPr>
              <w:t>P-value vs. placebo</w:t>
            </w:r>
          </w:p>
        </w:tc>
      </w:tr>
      <w:tr w:rsidR="00B457C2" w:rsidRPr="00C80985" w14:paraId="401B375A" w14:textId="77777777" w:rsidTr="00E840F9">
        <w:trPr>
          <w:trHeight w:val="84"/>
        </w:trPr>
        <w:tc>
          <w:tcPr>
            <w:tcW w:w="5000" w:type="pct"/>
            <w:gridSpan w:val="5"/>
            <w:tcBorders>
              <w:right w:val="single" w:sz="4" w:space="0" w:color="auto"/>
            </w:tcBorders>
            <w:vAlign w:val="center"/>
          </w:tcPr>
          <w:p w14:paraId="5F1B9475" w14:textId="77777777" w:rsidR="00B457C2" w:rsidRPr="00C80985" w:rsidRDefault="00B457C2" w:rsidP="008C099A">
            <w:pPr>
              <w:widowControl w:val="0"/>
              <w:rPr>
                <w:rFonts w:ascii="Arial Narrow" w:hAnsi="Arial Narrow"/>
                <w:b/>
                <w:sz w:val="20"/>
                <w:szCs w:val="20"/>
              </w:rPr>
            </w:pPr>
            <w:r w:rsidRPr="00C80985">
              <w:rPr>
                <w:rFonts w:ascii="Arial Narrow" w:hAnsi="Arial Narrow"/>
                <w:b/>
                <w:sz w:val="20"/>
                <w:szCs w:val="20"/>
              </w:rPr>
              <w:t xml:space="preserve">IGA 0 or 1 </w:t>
            </w:r>
          </w:p>
        </w:tc>
      </w:tr>
      <w:tr w:rsidR="00B457C2" w:rsidRPr="00C80985" w14:paraId="2CC569B8" w14:textId="77777777" w:rsidTr="00E840F9">
        <w:trPr>
          <w:trHeight w:val="84"/>
        </w:trPr>
        <w:tc>
          <w:tcPr>
            <w:tcW w:w="1569" w:type="pct"/>
            <w:vAlign w:val="center"/>
          </w:tcPr>
          <w:p w14:paraId="6F275248" w14:textId="77777777" w:rsidR="00B457C2" w:rsidRPr="00C80985" w:rsidRDefault="00B457C2" w:rsidP="008C099A">
            <w:pPr>
              <w:widowControl w:val="0"/>
              <w:rPr>
                <w:rFonts w:ascii="Arial Narrow" w:hAnsi="Arial Narrow"/>
                <w:sz w:val="20"/>
                <w:szCs w:val="20"/>
              </w:rPr>
            </w:pPr>
            <w:r w:rsidRPr="00C80985">
              <w:rPr>
                <w:rFonts w:ascii="Arial Narrow" w:hAnsi="Arial Narrow"/>
                <w:sz w:val="20"/>
                <w:szCs w:val="20"/>
              </w:rPr>
              <w:t>Dupilumab 100 or 200 mg Q2W</w:t>
            </w:r>
          </w:p>
        </w:tc>
        <w:tc>
          <w:tcPr>
            <w:tcW w:w="440" w:type="pct"/>
          </w:tcPr>
          <w:p w14:paraId="528C8526"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122</w:t>
            </w:r>
          </w:p>
        </w:tc>
        <w:tc>
          <w:tcPr>
            <w:tcW w:w="1259" w:type="pct"/>
            <w:tcBorders>
              <w:right w:val="single" w:sz="4" w:space="0" w:color="auto"/>
            </w:tcBorders>
            <w:vAlign w:val="center"/>
          </w:tcPr>
          <w:p w14:paraId="73DCD958"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36 (29.5)</w:t>
            </w:r>
          </w:p>
        </w:tc>
        <w:tc>
          <w:tcPr>
            <w:tcW w:w="1101" w:type="pct"/>
            <w:tcBorders>
              <w:left w:val="single" w:sz="4" w:space="0" w:color="auto"/>
              <w:right w:val="single" w:sz="4" w:space="0" w:color="auto"/>
            </w:tcBorders>
            <w:vAlign w:val="center"/>
          </w:tcPr>
          <w:p w14:paraId="7A8AFD4D"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18.1 (8.28, 27.97)</w:t>
            </w:r>
          </w:p>
        </w:tc>
        <w:tc>
          <w:tcPr>
            <w:tcW w:w="631" w:type="pct"/>
            <w:tcBorders>
              <w:left w:val="single" w:sz="4" w:space="0" w:color="auto"/>
              <w:right w:val="single" w:sz="4" w:space="0" w:color="auto"/>
            </w:tcBorders>
            <w:vAlign w:val="center"/>
          </w:tcPr>
          <w:p w14:paraId="41246863"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0.0004</w:t>
            </w:r>
          </w:p>
        </w:tc>
      </w:tr>
      <w:tr w:rsidR="00B457C2" w:rsidRPr="00C80985" w14:paraId="7F3EDE44" w14:textId="77777777" w:rsidTr="00E840F9">
        <w:trPr>
          <w:trHeight w:val="84"/>
        </w:trPr>
        <w:tc>
          <w:tcPr>
            <w:tcW w:w="1569" w:type="pct"/>
            <w:tcBorders>
              <w:bottom w:val="single" w:sz="4" w:space="0" w:color="auto"/>
            </w:tcBorders>
            <w:vAlign w:val="center"/>
          </w:tcPr>
          <w:p w14:paraId="2C7583D3" w14:textId="77777777" w:rsidR="00B457C2" w:rsidRPr="00C80985" w:rsidRDefault="00B457C2" w:rsidP="008C099A">
            <w:pPr>
              <w:widowControl w:val="0"/>
              <w:rPr>
                <w:rFonts w:ascii="Arial Narrow" w:hAnsi="Arial Narrow"/>
                <w:sz w:val="20"/>
                <w:szCs w:val="20"/>
              </w:rPr>
            </w:pPr>
            <w:r w:rsidRPr="00C80985">
              <w:rPr>
                <w:rFonts w:ascii="Arial Narrow" w:hAnsi="Arial Narrow"/>
                <w:sz w:val="20"/>
                <w:szCs w:val="20"/>
              </w:rPr>
              <w:t>Dupilumab 300 mg Q4W</w:t>
            </w:r>
          </w:p>
        </w:tc>
        <w:tc>
          <w:tcPr>
            <w:tcW w:w="440" w:type="pct"/>
            <w:tcBorders>
              <w:bottom w:val="single" w:sz="4" w:space="0" w:color="auto"/>
            </w:tcBorders>
          </w:tcPr>
          <w:p w14:paraId="334EF02C"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122</w:t>
            </w:r>
          </w:p>
        </w:tc>
        <w:tc>
          <w:tcPr>
            <w:tcW w:w="1259" w:type="pct"/>
            <w:tcBorders>
              <w:bottom w:val="single" w:sz="4" w:space="0" w:color="auto"/>
              <w:right w:val="single" w:sz="4" w:space="0" w:color="auto"/>
            </w:tcBorders>
            <w:vAlign w:val="center"/>
          </w:tcPr>
          <w:p w14:paraId="76609C80"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40 (32.8)</w:t>
            </w:r>
          </w:p>
        </w:tc>
        <w:tc>
          <w:tcPr>
            <w:tcW w:w="1101" w:type="pct"/>
            <w:tcBorders>
              <w:left w:val="single" w:sz="4" w:space="0" w:color="auto"/>
              <w:bottom w:val="single" w:sz="4" w:space="0" w:color="auto"/>
              <w:right w:val="single" w:sz="4" w:space="0" w:color="auto"/>
            </w:tcBorders>
            <w:vAlign w:val="center"/>
          </w:tcPr>
          <w:p w14:paraId="7360D681"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21.4 (11.36, 31.45)</w:t>
            </w:r>
          </w:p>
        </w:tc>
        <w:tc>
          <w:tcPr>
            <w:tcW w:w="631" w:type="pct"/>
            <w:tcBorders>
              <w:left w:val="single" w:sz="4" w:space="0" w:color="auto"/>
              <w:bottom w:val="single" w:sz="4" w:space="0" w:color="auto"/>
              <w:right w:val="single" w:sz="4" w:space="0" w:color="auto"/>
            </w:tcBorders>
            <w:vAlign w:val="center"/>
          </w:tcPr>
          <w:p w14:paraId="65120461"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&lt;0.0001</w:t>
            </w:r>
          </w:p>
        </w:tc>
      </w:tr>
      <w:tr w:rsidR="00B457C2" w:rsidRPr="00C80985" w14:paraId="0A2406C5" w14:textId="77777777" w:rsidTr="00E840F9">
        <w:trPr>
          <w:trHeight w:val="84"/>
        </w:trPr>
        <w:tc>
          <w:tcPr>
            <w:tcW w:w="1569" w:type="pct"/>
            <w:tcBorders>
              <w:bottom w:val="single" w:sz="4" w:space="0" w:color="auto"/>
            </w:tcBorders>
            <w:vAlign w:val="center"/>
          </w:tcPr>
          <w:p w14:paraId="29E1DF86" w14:textId="77777777" w:rsidR="00B457C2" w:rsidRPr="00C80985" w:rsidRDefault="00B457C2" w:rsidP="008C099A">
            <w:pPr>
              <w:widowControl w:val="0"/>
              <w:rPr>
                <w:rFonts w:ascii="Arial Narrow" w:hAnsi="Arial Narrow"/>
                <w:sz w:val="20"/>
                <w:szCs w:val="20"/>
              </w:rPr>
            </w:pPr>
            <w:r w:rsidRPr="00C80985">
              <w:rPr>
                <w:rFonts w:ascii="Arial Narrow" w:hAnsi="Arial Narrow"/>
                <w:sz w:val="20"/>
                <w:szCs w:val="20"/>
              </w:rPr>
              <w:t>Placebo</w:t>
            </w:r>
          </w:p>
        </w:tc>
        <w:tc>
          <w:tcPr>
            <w:tcW w:w="440" w:type="pct"/>
            <w:tcBorders>
              <w:bottom w:val="single" w:sz="4" w:space="0" w:color="auto"/>
            </w:tcBorders>
          </w:tcPr>
          <w:p w14:paraId="5948E53B"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123</w:t>
            </w:r>
          </w:p>
        </w:tc>
        <w:tc>
          <w:tcPr>
            <w:tcW w:w="1259" w:type="pct"/>
            <w:tcBorders>
              <w:bottom w:val="single" w:sz="4" w:space="0" w:color="auto"/>
              <w:right w:val="single" w:sz="4" w:space="0" w:color="auto"/>
            </w:tcBorders>
            <w:vAlign w:val="center"/>
          </w:tcPr>
          <w:p w14:paraId="5C8EE232"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14 (11.4)</w:t>
            </w:r>
          </w:p>
        </w:tc>
        <w:tc>
          <w:tcPr>
            <w:tcW w:w="1101" w:type="pct"/>
            <w:tcBorders>
              <w:left w:val="single" w:sz="4" w:space="0" w:color="auto"/>
              <w:bottom w:val="single" w:sz="4" w:space="0" w:color="auto"/>
              <w:right w:val="single" w:sz="4" w:space="0" w:color="auto"/>
            </w:tcBorders>
            <w:vAlign w:val="center"/>
          </w:tcPr>
          <w:p w14:paraId="7088893A"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w:t>
            </w:r>
          </w:p>
        </w:tc>
        <w:tc>
          <w:tcPr>
            <w:tcW w:w="631" w:type="pct"/>
            <w:tcBorders>
              <w:left w:val="single" w:sz="4" w:space="0" w:color="auto"/>
              <w:bottom w:val="single" w:sz="4" w:space="0" w:color="auto"/>
              <w:right w:val="single" w:sz="4" w:space="0" w:color="auto"/>
            </w:tcBorders>
            <w:vAlign w:val="center"/>
          </w:tcPr>
          <w:p w14:paraId="410579F2"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w:t>
            </w:r>
          </w:p>
        </w:tc>
      </w:tr>
      <w:tr w:rsidR="00B457C2" w:rsidRPr="00C80985" w14:paraId="44FC94E7" w14:textId="77777777" w:rsidTr="00E840F9">
        <w:trPr>
          <w:trHeight w:val="143"/>
        </w:trPr>
        <w:tc>
          <w:tcPr>
            <w:tcW w:w="5000" w:type="pct"/>
            <w:gridSpan w:val="5"/>
            <w:tcBorders>
              <w:top w:val="single" w:sz="4" w:space="0" w:color="auto"/>
              <w:right w:val="single" w:sz="4" w:space="0" w:color="auto"/>
            </w:tcBorders>
            <w:shd w:val="clear" w:color="auto" w:fill="BFBFBF" w:themeFill="background1" w:themeFillShade="BF"/>
          </w:tcPr>
          <w:p w14:paraId="23245C7B" w14:textId="77777777" w:rsidR="00B457C2" w:rsidRPr="00C80985" w:rsidRDefault="00B457C2" w:rsidP="008C099A">
            <w:pPr>
              <w:widowControl w:val="0"/>
              <w:rPr>
                <w:rFonts w:ascii="Arial Narrow" w:hAnsi="Arial Narrow"/>
                <w:b/>
                <w:sz w:val="20"/>
                <w:szCs w:val="20"/>
              </w:rPr>
            </w:pPr>
            <w:r w:rsidRPr="00C80985">
              <w:rPr>
                <w:rFonts w:ascii="Arial Narrow" w:hAnsi="Arial Narrow"/>
                <w:b/>
                <w:sz w:val="20"/>
                <w:szCs w:val="20"/>
              </w:rPr>
              <w:t>IGA 0 or 1 &lt;30kg</w:t>
            </w:r>
          </w:p>
        </w:tc>
      </w:tr>
      <w:tr w:rsidR="00B457C2" w:rsidRPr="00C80985" w14:paraId="6896C826" w14:textId="77777777" w:rsidTr="00E840F9">
        <w:trPr>
          <w:trHeight w:val="143"/>
        </w:trPr>
        <w:tc>
          <w:tcPr>
            <w:tcW w:w="1569" w:type="pct"/>
            <w:vAlign w:val="center"/>
          </w:tcPr>
          <w:p w14:paraId="28E940EE" w14:textId="77777777" w:rsidR="00B457C2" w:rsidRPr="00C80985" w:rsidRDefault="00B457C2" w:rsidP="008C099A">
            <w:pPr>
              <w:widowControl w:val="0"/>
              <w:rPr>
                <w:rFonts w:ascii="Arial Narrow" w:hAnsi="Arial Narrow"/>
                <w:sz w:val="20"/>
                <w:szCs w:val="20"/>
              </w:rPr>
            </w:pPr>
            <w:r w:rsidRPr="00C80985">
              <w:rPr>
                <w:rFonts w:ascii="Arial Narrow" w:hAnsi="Arial Narrow"/>
                <w:sz w:val="20"/>
                <w:szCs w:val="20"/>
              </w:rPr>
              <w:t>Dupilumab 100 mg Q2W</w:t>
            </w:r>
          </w:p>
        </w:tc>
        <w:tc>
          <w:tcPr>
            <w:tcW w:w="440" w:type="pct"/>
          </w:tcPr>
          <w:p w14:paraId="176CAA3A"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63</w:t>
            </w:r>
          </w:p>
        </w:tc>
        <w:tc>
          <w:tcPr>
            <w:tcW w:w="1259" w:type="pct"/>
            <w:tcBorders>
              <w:right w:val="single" w:sz="4" w:space="0" w:color="auto"/>
            </w:tcBorders>
            <w:vAlign w:val="center"/>
          </w:tcPr>
          <w:p w14:paraId="3ECB3CA6"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13 (20.6)</w:t>
            </w:r>
          </w:p>
        </w:tc>
        <w:tc>
          <w:tcPr>
            <w:tcW w:w="1101" w:type="pct"/>
            <w:tcBorders>
              <w:left w:val="single" w:sz="4" w:space="0" w:color="auto"/>
              <w:right w:val="single" w:sz="4" w:space="0" w:color="auto"/>
            </w:tcBorders>
            <w:vAlign w:val="center"/>
          </w:tcPr>
          <w:p w14:paraId="15E29462"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NR</w:t>
            </w:r>
          </w:p>
        </w:tc>
        <w:tc>
          <w:tcPr>
            <w:tcW w:w="631" w:type="pct"/>
            <w:tcBorders>
              <w:left w:val="single" w:sz="4" w:space="0" w:color="auto"/>
              <w:right w:val="single" w:sz="4" w:space="0" w:color="auto"/>
            </w:tcBorders>
            <w:vAlign w:val="center"/>
          </w:tcPr>
          <w:p w14:paraId="3063328B"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0.2663</w:t>
            </w:r>
          </w:p>
        </w:tc>
      </w:tr>
      <w:tr w:rsidR="00B457C2" w:rsidRPr="00C80985" w14:paraId="08CC377D" w14:textId="77777777" w:rsidTr="00E840F9">
        <w:trPr>
          <w:trHeight w:val="58"/>
        </w:trPr>
        <w:tc>
          <w:tcPr>
            <w:tcW w:w="1569" w:type="pct"/>
            <w:tcBorders>
              <w:bottom w:val="single" w:sz="4" w:space="0" w:color="auto"/>
            </w:tcBorders>
            <w:vAlign w:val="center"/>
          </w:tcPr>
          <w:p w14:paraId="7B8948D8" w14:textId="77777777" w:rsidR="00B457C2" w:rsidRPr="00C80985" w:rsidRDefault="00B457C2" w:rsidP="008C099A">
            <w:pPr>
              <w:widowControl w:val="0"/>
              <w:rPr>
                <w:rFonts w:ascii="Arial Narrow" w:hAnsi="Arial Narrow"/>
                <w:sz w:val="20"/>
                <w:szCs w:val="20"/>
              </w:rPr>
            </w:pPr>
            <w:r w:rsidRPr="00C80985">
              <w:rPr>
                <w:rFonts w:ascii="Arial Narrow" w:hAnsi="Arial Narrow"/>
                <w:sz w:val="20"/>
                <w:szCs w:val="20"/>
              </w:rPr>
              <w:t>Dupilumab 300 mg Q4W</w:t>
            </w:r>
          </w:p>
        </w:tc>
        <w:tc>
          <w:tcPr>
            <w:tcW w:w="440" w:type="pct"/>
            <w:tcBorders>
              <w:bottom w:val="single" w:sz="4" w:space="0" w:color="auto"/>
            </w:tcBorders>
          </w:tcPr>
          <w:p w14:paraId="5CBC8E03"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61</w:t>
            </w:r>
          </w:p>
        </w:tc>
        <w:tc>
          <w:tcPr>
            <w:tcW w:w="1259" w:type="pct"/>
            <w:tcBorders>
              <w:bottom w:val="single" w:sz="4" w:space="0" w:color="auto"/>
              <w:right w:val="single" w:sz="4" w:space="0" w:color="auto"/>
            </w:tcBorders>
            <w:vAlign w:val="center"/>
          </w:tcPr>
          <w:p w14:paraId="48A0F98F"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18 (29.5)</w:t>
            </w:r>
          </w:p>
        </w:tc>
        <w:tc>
          <w:tcPr>
            <w:tcW w:w="1101" w:type="pct"/>
            <w:tcBorders>
              <w:left w:val="single" w:sz="4" w:space="0" w:color="auto"/>
              <w:bottom w:val="single" w:sz="4" w:space="0" w:color="auto"/>
              <w:right w:val="single" w:sz="4" w:space="0" w:color="auto"/>
            </w:tcBorders>
            <w:vAlign w:val="center"/>
          </w:tcPr>
          <w:p w14:paraId="6292AF13"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NR</w:t>
            </w:r>
          </w:p>
        </w:tc>
        <w:tc>
          <w:tcPr>
            <w:tcW w:w="631" w:type="pct"/>
            <w:tcBorders>
              <w:left w:val="single" w:sz="4" w:space="0" w:color="auto"/>
              <w:bottom w:val="single" w:sz="4" w:space="0" w:color="auto"/>
              <w:right w:val="single" w:sz="4" w:space="0" w:color="auto"/>
            </w:tcBorders>
            <w:vAlign w:val="center"/>
          </w:tcPr>
          <w:p w14:paraId="30535AB9"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0.0277</w:t>
            </w:r>
          </w:p>
        </w:tc>
      </w:tr>
      <w:tr w:rsidR="00B457C2" w:rsidRPr="00C80985" w14:paraId="696FAA75" w14:textId="77777777" w:rsidTr="00E840F9">
        <w:trPr>
          <w:trHeight w:val="58"/>
        </w:trPr>
        <w:tc>
          <w:tcPr>
            <w:tcW w:w="1569" w:type="pct"/>
            <w:tcBorders>
              <w:bottom w:val="single" w:sz="4" w:space="0" w:color="auto"/>
            </w:tcBorders>
            <w:vAlign w:val="center"/>
          </w:tcPr>
          <w:p w14:paraId="1D796671" w14:textId="77777777" w:rsidR="00B457C2" w:rsidRPr="00C80985" w:rsidRDefault="00B457C2" w:rsidP="008C099A">
            <w:pPr>
              <w:widowControl w:val="0"/>
              <w:rPr>
                <w:rFonts w:ascii="Arial Narrow" w:hAnsi="Arial Narrow"/>
                <w:sz w:val="20"/>
                <w:szCs w:val="20"/>
              </w:rPr>
            </w:pPr>
            <w:r w:rsidRPr="00C80985">
              <w:rPr>
                <w:rFonts w:ascii="Arial Narrow" w:hAnsi="Arial Narrow"/>
                <w:sz w:val="20"/>
                <w:szCs w:val="20"/>
              </w:rPr>
              <w:t>Placebo</w:t>
            </w:r>
          </w:p>
        </w:tc>
        <w:tc>
          <w:tcPr>
            <w:tcW w:w="440" w:type="pct"/>
            <w:tcBorders>
              <w:bottom w:val="single" w:sz="4" w:space="0" w:color="auto"/>
            </w:tcBorders>
          </w:tcPr>
          <w:p w14:paraId="555BC116"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61</w:t>
            </w:r>
          </w:p>
        </w:tc>
        <w:tc>
          <w:tcPr>
            <w:tcW w:w="1259" w:type="pct"/>
            <w:tcBorders>
              <w:bottom w:val="single" w:sz="4" w:space="0" w:color="auto"/>
              <w:right w:val="single" w:sz="4" w:space="0" w:color="auto"/>
            </w:tcBorders>
            <w:vAlign w:val="center"/>
          </w:tcPr>
          <w:p w14:paraId="3C0B4022"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8 (13.1)</w:t>
            </w:r>
          </w:p>
        </w:tc>
        <w:tc>
          <w:tcPr>
            <w:tcW w:w="1101" w:type="pct"/>
            <w:tcBorders>
              <w:left w:val="single" w:sz="4" w:space="0" w:color="auto"/>
              <w:bottom w:val="single" w:sz="4" w:space="0" w:color="auto"/>
              <w:right w:val="single" w:sz="4" w:space="0" w:color="auto"/>
            </w:tcBorders>
            <w:vAlign w:val="center"/>
          </w:tcPr>
          <w:p w14:paraId="16A83BB6"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w:t>
            </w:r>
          </w:p>
        </w:tc>
        <w:tc>
          <w:tcPr>
            <w:tcW w:w="631" w:type="pct"/>
            <w:tcBorders>
              <w:left w:val="single" w:sz="4" w:space="0" w:color="auto"/>
              <w:bottom w:val="single" w:sz="4" w:space="0" w:color="auto"/>
              <w:right w:val="single" w:sz="4" w:space="0" w:color="auto"/>
            </w:tcBorders>
            <w:vAlign w:val="center"/>
          </w:tcPr>
          <w:p w14:paraId="4F07630C"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w:t>
            </w:r>
          </w:p>
        </w:tc>
      </w:tr>
      <w:tr w:rsidR="00B457C2" w:rsidRPr="00C80985" w14:paraId="0C41D791" w14:textId="77777777" w:rsidTr="00E840F9">
        <w:trPr>
          <w:trHeight w:val="58"/>
        </w:trPr>
        <w:tc>
          <w:tcPr>
            <w:tcW w:w="5000" w:type="pct"/>
            <w:gridSpan w:val="5"/>
            <w:tcBorders>
              <w:top w:val="single" w:sz="4" w:space="0" w:color="auto"/>
              <w:right w:val="single" w:sz="4" w:space="0" w:color="auto"/>
            </w:tcBorders>
            <w:shd w:val="clear" w:color="auto" w:fill="BFBFBF" w:themeFill="background1" w:themeFillShade="BF"/>
          </w:tcPr>
          <w:p w14:paraId="7BEB484E" w14:textId="77777777" w:rsidR="00B457C2" w:rsidRPr="00C80985" w:rsidRDefault="00B457C2" w:rsidP="008C099A">
            <w:pPr>
              <w:widowControl w:val="0"/>
              <w:rPr>
                <w:rFonts w:ascii="Arial Narrow" w:hAnsi="Arial Narrow"/>
                <w:b/>
                <w:sz w:val="20"/>
                <w:szCs w:val="20"/>
              </w:rPr>
            </w:pPr>
            <w:r w:rsidRPr="00C80985">
              <w:rPr>
                <w:rFonts w:ascii="Arial Narrow" w:hAnsi="Arial Narrow"/>
                <w:b/>
                <w:sz w:val="20"/>
                <w:szCs w:val="20"/>
              </w:rPr>
              <w:t>IGA 0 or 1 ≥30kg</w:t>
            </w:r>
          </w:p>
        </w:tc>
      </w:tr>
      <w:tr w:rsidR="00B457C2" w:rsidRPr="00C80985" w14:paraId="26A21187" w14:textId="77777777" w:rsidTr="00E840F9">
        <w:trPr>
          <w:trHeight w:val="58"/>
        </w:trPr>
        <w:tc>
          <w:tcPr>
            <w:tcW w:w="1569" w:type="pct"/>
            <w:vAlign w:val="center"/>
          </w:tcPr>
          <w:p w14:paraId="54F799A3" w14:textId="77777777" w:rsidR="00B457C2" w:rsidRPr="00C80985" w:rsidRDefault="00B457C2" w:rsidP="008C099A">
            <w:pPr>
              <w:widowControl w:val="0"/>
              <w:rPr>
                <w:rFonts w:ascii="Arial Narrow" w:hAnsi="Arial Narrow"/>
                <w:sz w:val="20"/>
                <w:szCs w:val="20"/>
              </w:rPr>
            </w:pPr>
            <w:r w:rsidRPr="00C80985">
              <w:rPr>
                <w:rFonts w:ascii="Arial Narrow" w:hAnsi="Arial Narrow"/>
                <w:sz w:val="20"/>
                <w:szCs w:val="20"/>
              </w:rPr>
              <w:t>Dupilumab 200 mg Q2W</w:t>
            </w:r>
          </w:p>
        </w:tc>
        <w:tc>
          <w:tcPr>
            <w:tcW w:w="440" w:type="pct"/>
          </w:tcPr>
          <w:p w14:paraId="39CDD264"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59</w:t>
            </w:r>
          </w:p>
        </w:tc>
        <w:tc>
          <w:tcPr>
            <w:tcW w:w="1259" w:type="pct"/>
            <w:tcBorders>
              <w:right w:val="single" w:sz="4" w:space="0" w:color="auto"/>
            </w:tcBorders>
            <w:vAlign w:val="center"/>
          </w:tcPr>
          <w:p w14:paraId="280D0771"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23 (39.0)</w:t>
            </w:r>
          </w:p>
        </w:tc>
        <w:tc>
          <w:tcPr>
            <w:tcW w:w="1101" w:type="pct"/>
            <w:tcBorders>
              <w:left w:val="single" w:sz="4" w:space="0" w:color="auto"/>
              <w:right w:val="single" w:sz="4" w:space="0" w:color="auto"/>
            </w:tcBorders>
            <w:vAlign w:val="center"/>
          </w:tcPr>
          <w:p w14:paraId="16E34DF9"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NR</w:t>
            </w:r>
          </w:p>
        </w:tc>
        <w:tc>
          <w:tcPr>
            <w:tcW w:w="631" w:type="pct"/>
            <w:tcBorders>
              <w:left w:val="single" w:sz="4" w:space="0" w:color="auto"/>
              <w:right w:val="single" w:sz="4" w:space="0" w:color="auto"/>
            </w:tcBorders>
            <w:vAlign w:val="center"/>
          </w:tcPr>
          <w:p w14:paraId="29330DB8"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0.0002</w:t>
            </w:r>
          </w:p>
        </w:tc>
      </w:tr>
      <w:tr w:rsidR="00B457C2" w:rsidRPr="00C80985" w14:paraId="6363FCC9" w14:textId="77777777" w:rsidTr="00E840F9">
        <w:trPr>
          <w:trHeight w:val="58"/>
        </w:trPr>
        <w:tc>
          <w:tcPr>
            <w:tcW w:w="1569" w:type="pct"/>
            <w:tcBorders>
              <w:bottom w:val="single" w:sz="4" w:space="0" w:color="auto"/>
            </w:tcBorders>
            <w:vAlign w:val="center"/>
          </w:tcPr>
          <w:p w14:paraId="32873F09" w14:textId="77777777" w:rsidR="00B457C2" w:rsidRPr="00C80985" w:rsidRDefault="00B457C2" w:rsidP="008C099A">
            <w:pPr>
              <w:widowControl w:val="0"/>
              <w:rPr>
                <w:rFonts w:ascii="Arial Narrow" w:hAnsi="Arial Narrow"/>
                <w:sz w:val="20"/>
                <w:szCs w:val="20"/>
              </w:rPr>
            </w:pPr>
            <w:r w:rsidRPr="00C80985">
              <w:rPr>
                <w:rFonts w:ascii="Arial Narrow" w:hAnsi="Arial Narrow"/>
                <w:sz w:val="20"/>
                <w:szCs w:val="20"/>
              </w:rPr>
              <w:t>Dupilumab 300 mg Q4W</w:t>
            </w:r>
          </w:p>
        </w:tc>
        <w:tc>
          <w:tcPr>
            <w:tcW w:w="440" w:type="pct"/>
            <w:tcBorders>
              <w:bottom w:val="single" w:sz="4" w:space="0" w:color="auto"/>
            </w:tcBorders>
          </w:tcPr>
          <w:p w14:paraId="098A11B1"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61</w:t>
            </w:r>
          </w:p>
        </w:tc>
        <w:tc>
          <w:tcPr>
            <w:tcW w:w="1259" w:type="pct"/>
            <w:tcBorders>
              <w:bottom w:val="single" w:sz="4" w:space="0" w:color="auto"/>
              <w:right w:val="single" w:sz="4" w:space="0" w:color="auto"/>
            </w:tcBorders>
            <w:vAlign w:val="center"/>
          </w:tcPr>
          <w:p w14:paraId="10D5697A"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22 (36.1)</w:t>
            </w:r>
          </w:p>
        </w:tc>
        <w:tc>
          <w:tcPr>
            <w:tcW w:w="1101" w:type="pct"/>
            <w:tcBorders>
              <w:left w:val="single" w:sz="4" w:space="0" w:color="auto"/>
              <w:bottom w:val="single" w:sz="4" w:space="0" w:color="auto"/>
              <w:right w:val="single" w:sz="4" w:space="0" w:color="auto"/>
            </w:tcBorders>
            <w:vAlign w:val="center"/>
          </w:tcPr>
          <w:p w14:paraId="663C2D4F"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NR</w:t>
            </w:r>
          </w:p>
        </w:tc>
        <w:tc>
          <w:tcPr>
            <w:tcW w:w="631" w:type="pct"/>
            <w:tcBorders>
              <w:left w:val="single" w:sz="4" w:space="0" w:color="auto"/>
              <w:bottom w:val="single" w:sz="4" w:space="0" w:color="auto"/>
              <w:right w:val="single" w:sz="4" w:space="0" w:color="auto"/>
            </w:tcBorders>
            <w:vAlign w:val="center"/>
          </w:tcPr>
          <w:p w14:paraId="2DA30E2F"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0.005</w:t>
            </w:r>
          </w:p>
        </w:tc>
      </w:tr>
      <w:tr w:rsidR="00B457C2" w:rsidRPr="00C80985" w14:paraId="750D6CF5" w14:textId="77777777" w:rsidTr="00E840F9">
        <w:trPr>
          <w:trHeight w:val="58"/>
        </w:trPr>
        <w:tc>
          <w:tcPr>
            <w:tcW w:w="1569" w:type="pct"/>
            <w:tcBorders>
              <w:bottom w:val="double" w:sz="4" w:space="0" w:color="auto"/>
            </w:tcBorders>
            <w:vAlign w:val="center"/>
          </w:tcPr>
          <w:p w14:paraId="0DE59173" w14:textId="77777777" w:rsidR="00B457C2" w:rsidRPr="00C80985" w:rsidRDefault="00B457C2" w:rsidP="008C099A">
            <w:pPr>
              <w:widowControl w:val="0"/>
              <w:rPr>
                <w:rFonts w:ascii="Arial Narrow" w:hAnsi="Arial Narrow"/>
                <w:sz w:val="20"/>
                <w:szCs w:val="20"/>
              </w:rPr>
            </w:pPr>
            <w:r w:rsidRPr="00C80985">
              <w:rPr>
                <w:rFonts w:ascii="Arial Narrow" w:hAnsi="Arial Narrow"/>
                <w:sz w:val="20"/>
                <w:szCs w:val="20"/>
              </w:rPr>
              <w:t>Placebo</w:t>
            </w:r>
          </w:p>
        </w:tc>
        <w:tc>
          <w:tcPr>
            <w:tcW w:w="440" w:type="pct"/>
            <w:tcBorders>
              <w:bottom w:val="double" w:sz="4" w:space="0" w:color="auto"/>
            </w:tcBorders>
          </w:tcPr>
          <w:p w14:paraId="3B09A7DE"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62</w:t>
            </w:r>
          </w:p>
        </w:tc>
        <w:tc>
          <w:tcPr>
            <w:tcW w:w="1259" w:type="pct"/>
            <w:tcBorders>
              <w:bottom w:val="double" w:sz="4" w:space="0" w:color="auto"/>
              <w:right w:val="single" w:sz="4" w:space="0" w:color="auto"/>
            </w:tcBorders>
            <w:vAlign w:val="center"/>
          </w:tcPr>
          <w:p w14:paraId="7C79C73C" w14:textId="13E14BD6"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6</w:t>
            </w:r>
            <w:r w:rsidR="00727E48" w:rsidRPr="00C80985">
              <w:rPr>
                <w:rFonts w:ascii="Arial Narrow" w:hAnsi="Arial Narrow"/>
                <w:sz w:val="20"/>
                <w:szCs w:val="20"/>
              </w:rPr>
              <w:t xml:space="preserve"> </w:t>
            </w:r>
            <w:r w:rsidRPr="00C80985">
              <w:rPr>
                <w:rFonts w:ascii="Arial Narrow" w:hAnsi="Arial Narrow"/>
                <w:sz w:val="20"/>
                <w:szCs w:val="20"/>
              </w:rPr>
              <w:t>(9.7)</w:t>
            </w:r>
          </w:p>
        </w:tc>
        <w:tc>
          <w:tcPr>
            <w:tcW w:w="1101" w:type="pct"/>
            <w:tcBorders>
              <w:left w:val="single" w:sz="4" w:space="0" w:color="auto"/>
              <w:bottom w:val="double" w:sz="4" w:space="0" w:color="auto"/>
              <w:right w:val="single" w:sz="4" w:space="0" w:color="auto"/>
            </w:tcBorders>
            <w:vAlign w:val="center"/>
          </w:tcPr>
          <w:p w14:paraId="66DD55F6"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w:t>
            </w:r>
          </w:p>
        </w:tc>
        <w:tc>
          <w:tcPr>
            <w:tcW w:w="631" w:type="pct"/>
            <w:tcBorders>
              <w:left w:val="single" w:sz="4" w:space="0" w:color="auto"/>
              <w:bottom w:val="double" w:sz="4" w:space="0" w:color="auto"/>
              <w:right w:val="single" w:sz="4" w:space="0" w:color="auto"/>
            </w:tcBorders>
            <w:vAlign w:val="center"/>
          </w:tcPr>
          <w:p w14:paraId="5437A04C"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w:t>
            </w:r>
          </w:p>
        </w:tc>
      </w:tr>
      <w:tr w:rsidR="00B457C2" w:rsidRPr="00C80985" w14:paraId="3E0D729C" w14:textId="77777777" w:rsidTr="00E840F9">
        <w:trPr>
          <w:trHeight w:val="58"/>
        </w:trPr>
        <w:tc>
          <w:tcPr>
            <w:tcW w:w="5000" w:type="pct"/>
            <w:gridSpan w:val="5"/>
            <w:tcBorders>
              <w:top w:val="double" w:sz="4" w:space="0" w:color="auto"/>
              <w:right w:val="single" w:sz="4" w:space="0" w:color="auto"/>
            </w:tcBorders>
          </w:tcPr>
          <w:p w14:paraId="1F19DBAE" w14:textId="77777777" w:rsidR="00B457C2" w:rsidRPr="00C80985" w:rsidRDefault="00B457C2" w:rsidP="008C099A">
            <w:pPr>
              <w:widowControl w:val="0"/>
              <w:rPr>
                <w:rFonts w:ascii="Arial Narrow" w:hAnsi="Arial Narrow"/>
                <w:b/>
                <w:sz w:val="20"/>
                <w:szCs w:val="20"/>
              </w:rPr>
            </w:pPr>
            <w:r w:rsidRPr="00C80985">
              <w:rPr>
                <w:rFonts w:ascii="Arial Narrow" w:hAnsi="Arial Narrow"/>
                <w:b/>
                <w:sz w:val="20"/>
                <w:szCs w:val="20"/>
              </w:rPr>
              <w:t>EASI-75</w:t>
            </w:r>
          </w:p>
        </w:tc>
      </w:tr>
      <w:tr w:rsidR="00B457C2" w:rsidRPr="00C80985" w14:paraId="6A79220D" w14:textId="77777777" w:rsidTr="00E840F9">
        <w:trPr>
          <w:trHeight w:val="58"/>
        </w:trPr>
        <w:tc>
          <w:tcPr>
            <w:tcW w:w="1569" w:type="pct"/>
            <w:vAlign w:val="center"/>
          </w:tcPr>
          <w:p w14:paraId="24F2A0B1" w14:textId="77777777" w:rsidR="00B457C2" w:rsidRPr="00C80985" w:rsidRDefault="00B457C2" w:rsidP="008C099A">
            <w:pPr>
              <w:widowControl w:val="0"/>
              <w:rPr>
                <w:rFonts w:ascii="Arial Narrow" w:hAnsi="Arial Narrow"/>
                <w:sz w:val="20"/>
                <w:szCs w:val="20"/>
              </w:rPr>
            </w:pPr>
            <w:r w:rsidRPr="00C80985">
              <w:rPr>
                <w:rFonts w:ascii="Arial Narrow" w:hAnsi="Arial Narrow"/>
                <w:sz w:val="20"/>
                <w:szCs w:val="20"/>
              </w:rPr>
              <w:t>Dupilumab 100 or 200 mg Q2W</w:t>
            </w:r>
          </w:p>
        </w:tc>
        <w:tc>
          <w:tcPr>
            <w:tcW w:w="440" w:type="pct"/>
          </w:tcPr>
          <w:p w14:paraId="0B0B6DDC"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122</w:t>
            </w:r>
          </w:p>
        </w:tc>
        <w:tc>
          <w:tcPr>
            <w:tcW w:w="1259" w:type="pct"/>
            <w:tcBorders>
              <w:right w:val="single" w:sz="4" w:space="0" w:color="auto"/>
            </w:tcBorders>
            <w:vAlign w:val="center"/>
          </w:tcPr>
          <w:p w14:paraId="5082564E"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82 (67.2)</w:t>
            </w:r>
          </w:p>
        </w:tc>
        <w:tc>
          <w:tcPr>
            <w:tcW w:w="1101" w:type="pct"/>
            <w:tcBorders>
              <w:left w:val="single" w:sz="4" w:space="0" w:color="auto"/>
              <w:right w:val="single" w:sz="4" w:space="0" w:color="auto"/>
            </w:tcBorders>
            <w:vAlign w:val="center"/>
          </w:tcPr>
          <w:p w14:paraId="3335CFD2"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40.4 (28.95, 51.82)</w:t>
            </w:r>
          </w:p>
        </w:tc>
        <w:tc>
          <w:tcPr>
            <w:tcW w:w="631" w:type="pct"/>
            <w:tcBorders>
              <w:left w:val="single" w:sz="4" w:space="0" w:color="auto"/>
              <w:right w:val="single" w:sz="4" w:space="0" w:color="auto"/>
            </w:tcBorders>
            <w:vAlign w:val="center"/>
          </w:tcPr>
          <w:p w14:paraId="32726AD4"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&lt;0.0001</w:t>
            </w:r>
          </w:p>
        </w:tc>
      </w:tr>
      <w:tr w:rsidR="00B457C2" w:rsidRPr="00C80985" w14:paraId="436C301B" w14:textId="77777777" w:rsidTr="00E840F9">
        <w:trPr>
          <w:trHeight w:val="58"/>
        </w:trPr>
        <w:tc>
          <w:tcPr>
            <w:tcW w:w="1569" w:type="pct"/>
            <w:vAlign w:val="center"/>
          </w:tcPr>
          <w:p w14:paraId="441C4129" w14:textId="77777777" w:rsidR="00B457C2" w:rsidRPr="00C80985" w:rsidRDefault="00B457C2" w:rsidP="008C099A">
            <w:pPr>
              <w:widowControl w:val="0"/>
              <w:rPr>
                <w:rFonts w:ascii="Arial Narrow" w:hAnsi="Arial Narrow"/>
                <w:sz w:val="20"/>
                <w:szCs w:val="20"/>
              </w:rPr>
            </w:pPr>
            <w:r w:rsidRPr="00C80985">
              <w:rPr>
                <w:rFonts w:ascii="Arial Narrow" w:hAnsi="Arial Narrow"/>
                <w:sz w:val="20"/>
                <w:szCs w:val="20"/>
              </w:rPr>
              <w:t>Dupilumab 300 mg Q4W</w:t>
            </w:r>
          </w:p>
        </w:tc>
        <w:tc>
          <w:tcPr>
            <w:tcW w:w="440" w:type="pct"/>
          </w:tcPr>
          <w:p w14:paraId="0AFCA614"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122</w:t>
            </w:r>
          </w:p>
        </w:tc>
        <w:tc>
          <w:tcPr>
            <w:tcW w:w="1259" w:type="pct"/>
            <w:tcBorders>
              <w:right w:val="single" w:sz="4" w:space="0" w:color="auto"/>
            </w:tcBorders>
            <w:vAlign w:val="center"/>
          </w:tcPr>
          <w:p w14:paraId="197BFB20"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85 (69.7)</w:t>
            </w:r>
          </w:p>
        </w:tc>
        <w:tc>
          <w:tcPr>
            <w:tcW w:w="1101" w:type="pct"/>
            <w:tcBorders>
              <w:left w:val="single" w:sz="4" w:space="0" w:color="auto"/>
              <w:right w:val="single" w:sz="4" w:space="0" w:color="auto"/>
            </w:tcBorders>
            <w:vAlign w:val="center"/>
          </w:tcPr>
          <w:p w14:paraId="445DB465" w14:textId="3F3D3EA2"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42.8 (31.54</w:t>
            </w:r>
            <w:r w:rsidR="00E7496C" w:rsidRPr="00C80985">
              <w:rPr>
                <w:rFonts w:ascii="Arial Narrow" w:hAnsi="Arial Narrow"/>
                <w:sz w:val="20"/>
                <w:szCs w:val="20"/>
              </w:rPr>
              <w:t xml:space="preserve">, </w:t>
            </w:r>
            <w:r w:rsidRPr="00C80985">
              <w:rPr>
                <w:rFonts w:ascii="Arial Narrow" w:hAnsi="Arial Narrow"/>
                <w:sz w:val="20"/>
                <w:szCs w:val="20"/>
              </w:rPr>
              <w:t>54.14)</w:t>
            </w:r>
          </w:p>
        </w:tc>
        <w:tc>
          <w:tcPr>
            <w:tcW w:w="631" w:type="pct"/>
            <w:tcBorders>
              <w:left w:val="single" w:sz="4" w:space="0" w:color="auto"/>
              <w:right w:val="single" w:sz="4" w:space="0" w:color="auto"/>
            </w:tcBorders>
            <w:vAlign w:val="center"/>
          </w:tcPr>
          <w:p w14:paraId="59DE6241"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&lt;0.0001</w:t>
            </w:r>
          </w:p>
        </w:tc>
      </w:tr>
      <w:tr w:rsidR="00B457C2" w:rsidRPr="00C80985" w14:paraId="236099CC" w14:textId="77777777" w:rsidTr="00E840F9">
        <w:trPr>
          <w:trHeight w:val="58"/>
        </w:trPr>
        <w:tc>
          <w:tcPr>
            <w:tcW w:w="1569" w:type="pct"/>
            <w:tcBorders>
              <w:bottom w:val="single" w:sz="4" w:space="0" w:color="auto"/>
            </w:tcBorders>
            <w:vAlign w:val="center"/>
          </w:tcPr>
          <w:p w14:paraId="287E4324" w14:textId="77777777" w:rsidR="00B457C2" w:rsidRPr="00C80985" w:rsidRDefault="00B457C2" w:rsidP="008C099A">
            <w:pPr>
              <w:widowControl w:val="0"/>
              <w:rPr>
                <w:rFonts w:ascii="Arial Narrow" w:hAnsi="Arial Narrow"/>
                <w:sz w:val="20"/>
                <w:szCs w:val="20"/>
              </w:rPr>
            </w:pPr>
            <w:r w:rsidRPr="00C80985">
              <w:rPr>
                <w:rFonts w:ascii="Arial Narrow" w:hAnsi="Arial Narrow"/>
                <w:sz w:val="20"/>
                <w:szCs w:val="20"/>
              </w:rPr>
              <w:t>Placebo</w:t>
            </w:r>
          </w:p>
        </w:tc>
        <w:tc>
          <w:tcPr>
            <w:tcW w:w="440" w:type="pct"/>
            <w:tcBorders>
              <w:bottom w:val="single" w:sz="4" w:space="0" w:color="auto"/>
            </w:tcBorders>
          </w:tcPr>
          <w:p w14:paraId="0EE292EC"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123</w:t>
            </w:r>
          </w:p>
        </w:tc>
        <w:tc>
          <w:tcPr>
            <w:tcW w:w="1259" w:type="pct"/>
            <w:tcBorders>
              <w:bottom w:val="single" w:sz="4" w:space="0" w:color="auto"/>
              <w:right w:val="single" w:sz="4" w:space="0" w:color="auto"/>
            </w:tcBorders>
            <w:vAlign w:val="center"/>
          </w:tcPr>
          <w:p w14:paraId="252B2F38"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33 (26.8)</w:t>
            </w:r>
          </w:p>
        </w:tc>
        <w:tc>
          <w:tcPr>
            <w:tcW w:w="1101" w:type="pct"/>
            <w:tcBorders>
              <w:left w:val="single" w:sz="4" w:space="0" w:color="auto"/>
              <w:bottom w:val="single" w:sz="4" w:space="0" w:color="auto"/>
              <w:right w:val="single" w:sz="4" w:space="0" w:color="auto"/>
            </w:tcBorders>
            <w:vAlign w:val="center"/>
          </w:tcPr>
          <w:p w14:paraId="04BF35C3"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w:t>
            </w:r>
          </w:p>
        </w:tc>
        <w:tc>
          <w:tcPr>
            <w:tcW w:w="631" w:type="pct"/>
            <w:tcBorders>
              <w:left w:val="single" w:sz="4" w:space="0" w:color="auto"/>
              <w:bottom w:val="single" w:sz="4" w:space="0" w:color="auto"/>
              <w:right w:val="single" w:sz="4" w:space="0" w:color="auto"/>
            </w:tcBorders>
            <w:vAlign w:val="center"/>
          </w:tcPr>
          <w:p w14:paraId="367E3915"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w:t>
            </w:r>
          </w:p>
        </w:tc>
      </w:tr>
      <w:tr w:rsidR="00B457C2" w:rsidRPr="00C80985" w14:paraId="259B9605" w14:textId="77777777" w:rsidTr="00E840F9">
        <w:trPr>
          <w:trHeight w:val="58"/>
        </w:trPr>
        <w:tc>
          <w:tcPr>
            <w:tcW w:w="5000" w:type="pct"/>
            <w:gridSpan w:val="5"/>
            <w:tcBorders>
              <w:right w:val="single" w:sz="4" w:space="0" w:color="auto"/>
            </w:tcBorders>
            <w:shd w:val="clear" w:color="auto" w:fill="BFBFBF" w:themeFill="background1" w:themeFillShade="BF"/>
          </w:tcPr>
          <w:p w14:paraId="4BF8DF4E" w14:textId="77777777" w:rsidR="00B457C2" w:rsidRPr="00C80985" w:rsidRDefault="00B457C2" w:rsidP="008C099A">
            <w:pPr>
              <w:widowControl w:val="0"/>
              <w:rPr>
                <w:rFonts w:ascii="Arial Narrow" w:hAnsi="Arial Narrow"/>
                <w:b/>
                <w:sz w:val="20"/>
                <w:szCs w:val="20"/>
              </w:rPr>
            </w:pPr>
            <w:r w:rsidRPr="00C80985">
              <w:rPr>
                <w:rFonts w:ascii="Arial Narrow" w:hAnsi="Arial Narrow"/>
                <w:b/>
                <w:sz w:val="20"/>
                <w:szCs w:val="20"/>
              </w:rPr>
              <w:t>EASI-75 &lt;30kg</w:t>
            </w:r>
          </w:p>
        </w:tc>
      </w:tr>
      <w:tr w:rsidR="00B457C2" w:rsidRPr="00C80985" w14:paraId="2AA9F3DE" w14:textId="77777777" w:rsidTr="00E840F9">
        <w:trPr>
          <w:trHeight w:val="58"/>
        </w:trPr>
        <w:tc>
          <w:tcPr>
            <w:tcW w:w="1569" w:type="pct"/>
            <w:vAlign w:val="center"/>
          </w:tcPr>
          <w:p w14:paraId="5CD6F9C2" w14:textId="77777777" w:rsidR="00B457C2" w:rsidRPr="00C80985" w:rsidRDefault="00B457C2" w:rsidP="008C099A">
            <w:pPr>
              <w:widowControl w:val="0"/>
              <w:rPr>
                <w:rFonts w:ascii="Arial Narrow" w:hAnsi="Arial Narrow"/>
                <w:sz w:val="20"/>
                <w:szCs w:val="20"/>
              </w:rPr>
            </w:pPr>
            <w:r w:rsidRPr="00C80985">
              <w:rPr>
                <w:rFonts w:ascii="Arial Narrow" w:hAnsi="Arial Narrow"/>
                <w:sz w:val="20"/>
                <w:szCs w:val="20"/>
              </w:rPr>
              <w:t>Dupilumab 100 mg Q2W</w:t>
            </w:r>
          </w:p>
        </w:tc>
        <w:tc>
          <w:tcPr>
            <w:tcW w:w="440" w:type="pct"/>
          </w:tcPr>
          <w:p w14:paraId="3E386D4E"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63</w:t>
            </w:r>
          </w:p>
        </w:tc>
        <w:tc>
          <w:tcPr>
            <w:tcW w:w="1259" w:type="pct"/>
            <w:tcBorders>
              <w:right w:val="single" w:sz="4" w:space="0" w:color="auto"/>
            </w:tcBorders>
            <w:vAlign w:val="center"/>
          </w:tcPr>
          <w:p w14:paraId="15C61D69"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38 (60.3)</w:t>
            </w:r>
          </w:p>
        </w:tc>
        <w:tc>
          <w:tcPr>
            <w:tcW w:w="1101" w:type="pct"/>
            <w:tcBorders>
              <w:left w:val="single" w:sz="4" w:space="0" w:color="auto"/>
              <w:right w:val="single" w:sz="4" w:space="0" w:color="auto"/>
            </w:tcBorders>
            <w:vAlign w:val="center"/>
          </w:tcPr>
          <w:p w14:paraId="6C62F0FA"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NR</w:t>
            </w:r>
          </w:p>
        </w:tc>
        <w:tc>
          <w:tcPr>
            <w:tcW w:w="631" w:type="pct"/>
            <w:tcBorders>
              <w:left w:val="single" w:sz="4" w:space="0" w:color="auto"/>
              <w:right w:val="single" w:sz="4" w:space="0" w:color="auto"/>
            </w:tcBorders>
            <w:vAlign w:val="center"/>
          </w:tcPr>
          <w:p w14:paraId="2AC38AA0"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0.0003</w:t>
            </w:r>
          </w:p>
        </w:tc>
      </w:tr>
      <w:tr w:rsidR="00B457C2" w:rsidRPr="00C80985" w14:paraId="1552B932" w14:textId="77777777" w:rsidTr="00E840F9">
        <w:trPr>
          <w:trHeight w:val="58"/>
        </w:trPr>
        <w:tc>
          <w:tcPr>
            <w:tcW w:w="1569" w:type="pct"/>
            <w:vAlign w:val="center"/>
          </w:tcPr>
          <w:p w14:paraId="54FD5A06" w14:textId="77777777" w:rsidR="00B457C2" w:rsidRPr="00C80985" w:rsidRDefault="00B457C2" w:rsidP="008C099A">
            <w:pPr>
              <w:widowControl w:val="0"/>
              <w:rPr>
                <w:rFonts w:ascii="Arial Narrow" w:hAnsi="Arial Narrow"/>
                <w:sz w:val="20"/>
                <w:szCs w:val="20"/>
              </w:rPr>
            </w:pPr>
            <w:r w:rsidRPr="00C80985">
              <w:rPr>
                <w:rFonts w:ascii="Arial Narrow" w:hAnsi="Arial Narrow"/>
                <w:sz w:val="20"/>
                <w:szCs w:val="20"/>
              </w:rPr>
              <w:t>Dupilumab 300 mg Q4W</w:t>
            </w:r>
          </w:p>
        </w:tc>
        <w:tc>
          <w:tcPr>
            <w:tcW w:w="440" w:type="pct"/>
          </w:tcPr>
          <w:p w14:paraId="167371DF"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61</w:t>
            </w:r>
          </w:p>
        </w:tc>
        <w:tc>
          <w:tcPr>
            <w:tcW w:w="1259" w:type="pct"/>
            <w:tcBorders>
              <w:right w:val="single" w:sz="4" w:space="0" w:color="auto"/>
            </w:tcBorders>
            <w:vAlign w:val="center"/>
          </w:tcPr>
          <w:p w14:paraId="65E43BBF"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46 (75.4)</w:t>
            </w:r>
          </w:p>
        </w:tc>
        <w:tc>
          <w:tcPr>
            <w:tcW w:w="1101" w:type="pct"/>
            <w:tcBorders>
              <w:left w:val="single" w:sz="4" w:space="0" w:color="auto"/>
              <w:right w:val="single" w:sz="4" w:space="0" w:color="auto"/>
            </w:tcBorders>
            <w:vAlign w:val="center"/>
          </w:tcPr>
          <w:p w14:paraId="7FD4F004"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NR</w:t>
            </w:r>
          </w:p>
        </w:tc>
        <w:tc>
          <w:tcPr>
            <w:tcW w:w="631" w:type="pct"/>
            <w:tcBorders>
              <w:left w:val="single" w:sz="4" w:space="0" w:color="auto"/>
              <w:right w:val="single" w:sz="4" w:space="0" w:color="auto"/>
            </w:tcBorders>
            <w:vAlign w:val="center"/>
          </w:tcPr>
          <w:p w14:paraId="2708BD4B"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&lt;0.0001</w:t>
            </w:r>
          </w:p>
        </w:tc>
      </w:tr>
      <w:tr w:rsidR="00B457C2" w:rsidRPr="00C80985" w14:paraId="14F29C30" w14:textId="77777777" w:rsidTr="00E840F9">
        <w:trPr>
          <w:trHeight w:val="58"/>
        </w:trPr>
        <w:tc>
          <w:tcPr>
            <w:tcW w:w="1569" w:type="pct"/>
            <w:tcBorders>
              <w:bottom w:val="single" w:sz="4" w:space="0" w:color="auto"/>
            </w:tcBorders>
            <w:vAlign w:val="center"/>
          </w:tcPr>
          <w:p w14:paraId="21976990" w14:textId="77777777" w:rsidR="00B457C2" w:rsidRPr="00C80985" w:rsidRDefault="00B457C2" w:rsidP="008C099A">
            <w:pPr>
              <w:widowControl w:val="0"/>
              <w:rPr>
                <w:rFonts w:ascii="Arial Narrow" w:hAnsi="Arial Narrow"/>
                <w:sz w:val="20"/>
                <w:szCs w:val="20"/>
              </w:rPr>
            </w:pPr>
            <w:r w:rsidRPr="00C80985">
              <w:rPr>
                <w:rFonts w:ascii="Arial Narrow" w:hAnsi="Arial Narrow"/>
                <w:sz w:val="20"/>
                <w:szCs w:val="20"/>
              </w:rPr>
              <w:t>Placebo</w:t>
            </w:r>
          </w:p>
        </w:tc>
        <w:tc>
          <w:tcPr>
            <w:tcW w:w="440" w:type="pct"/>
            <w:tcBorders>
              <w:bottom w:val="single" w:sz="4" w:space="0" w:color="auto"/>
            </w:tcBorders>
          </w:tcPr>
          <w:p w14:paraId="48B98E35"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61</w:t>
            </w:r>
          </w:p>
        </w:tc>
        <w:tc>
          <w:tcPr>
            <w:tcW w:w="1259" w:type="pct"/>
            <w:tcBorders>
              <w:bottom w:val="single" w:sz="4" w:space="0" w:color="auto"/>
              <w:right w:val="single" w:sz="4" w:space="0" w:color="auto"/>
            </w:tcBorders>
            <w:vAlign w:val="center"/>
          </w:tcPr>
          <w:p w14:paraId="11915961"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 xml:space="preserve">17 (27.9) </w:t>
            </w:r>
          </w:p>
        </w:tc>
        <w:tc>
          <w:tcPr>
            <w:tcW w:w="1101" w:type="pct"/>
            <w:tcBorders>
              <w:left w:val="single" w:sz="4" w:space="0" w:color="auto"/>
              <w:bottom w:val="single" w:sz="4" w:space="0" w:color="auto"/>
              <w:right w:val="single" w:sz="4" w:space="0" w:color="auto"/>
            </w:tcBorders>
            <w:vAlign w:val="center"/>
          </w:tcPr>
          <w:p w14:paraId="101E94B7"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w:t>
            </w:r>
          </w:p>
        </w:tc>
        <w:tc>
          <w:tcPr>
            <w:tcW w:w="631" w:type="pct"/>
            <w:tcBorders>
              <w:left w:val="single" w:sz="4" w:space="0" w:color="auto"/>
              <w:bottom w:val="single" w:sz="4" w:space="0" w:color="auto"/>
              <w:right w:val="single" w:sz="4" w:space="0" w:color="auto"/>
            </w:tcBorders>
            <w:vAlign w:val="center"/>
          </w:tcPr>
          <w:p w14:paraId="003BE5FC"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w:t>
            </w:r>
          </w:p>
        </w:tc>
      </w:tr>
      <w:tr w:rsidR="00B457C2" w:rsidRPr="00C80985" w14:paraId="596B9B3A" w14:textId="77777777" w:rsidTr="00E840F9">
        <w:trPr>
          <w:trHeight w:val="58"/>
        </w:trPr>
        <w:tc>
          <w:tcPr>
            <w:tcW w:w="5000" w:type="pct"/>
            <w:gridSpan w:val="5"/>
            <w:tcBorders>
              <w:right w:val="single" w:sz="4" w:space="0" w:color="auto"/>
            </w:tcBorders>
            <w:shd w:val="clear" w:color="auto" w:fill="BFBFBF" w:themeFill="background1" w:themeFillShade="BF"/>
            <w:vAlign w:val="center"/>
          </w:tcPr>
          <w:p w14:paraId="3A5E944A" w14:textId="77777777" w:rsidR="00B457C2" w:rsidRPr="00C80985" w:rsidRDefault="00B457C2" w:rsidP="008C099A">
            <w:pPr>
              <w:widowControl w:val="0"/>
              <w:jc w:val="left"/>
              <w:rPr>
                <w:rFonts w:ascii="Arial Narrow" w:hAnsi="Arial Narrow"/>
                <w:b/>
                <w:bCs/>
                <w:sz w:val="20"/>
                <w:szCs w:val="20"/>
              </w:rPr>
            </w:pPr>
            <w:r w:rsidRPr="00C80985">
              <w:rPr>
                <w:rFonts w:ascii="Arial Narrow" w:hAnsi="Arial Narrow"/>
                <w:b/>
                <w:sz w:val="20"/>
                <w:szCs w:val="20"/>
              </w:rPr>
              <w:t>EASI-75 ≥30kg</w:t>
            </w:r>
          </w:p>
        </w:tc>
      </w:tr>
      <w:tr w:rsidR="00B457C2" w:rsidRPr="00C80985" w14:paraId="6459743E" w14:textId="77777777" w:rsidTr="00E840F9">
        <w:trPr>
          <w:trHeight w:val="58"/>
        </w:trPr>
        <w:tc>
          <w:tcPr>
            <w:tcW w:w="1569" w:type="pct"/>
            <w:vAlign w:val="center"/>
          </w:tcPr>
          <w:p w14:paraId="102EE2E7" w14:textId="77777777" w:rsidR="00B457C2" w:rsidRPr="00C80985" w:rsidRDefault="00B457C2" w:rsidP="008C099A">
            <w:pPr>
              <w:widowControl w:val="0"/>
              <w:rPr>
                <w:rFonts w:ascii="Arial Narrow" w:hAnsi="Arial Narrow"/>
                <w:sz w:val="20"/>
                <w:szCs w:val="20"/>
              </w:rPr>
            </w:pPr>
            <w:r w:rsidRPr="00C80985">
              <w:rPr>
                <w:rFonts w:ascii="Arial Narrow" w:hAnsi="Arial Narrow"/>
                <w:sz w:val="20"/>
                <w:szCs w:val="20"/>
              </w:rPr>
              <w:t>Dupilumab 200 mg Q2W</w:t>
            </w:r>
          </w:p>
        </w:tc>
        <w:tc>
          <w:tcPr>
            <w:tcW w:w="440" w:type="pct"/>
          </w:tcPr>
          <w:p w14:paraId="71C381CB"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59</w:t>
            </w:r>
          </w:p>
        </w:tc>
        <w:tc>
          <w:tcPr>
            <w:tcW w:w="1259" w:type="pct"/>
            <w:tcBorders>
              <w:right w:val="single" w:sz="4" w:space="0" w:color="auto"/>
            </w:tcBorders>
            <w:vAlign w:val="center"/>
          </w:tcPr>
          <w:p w14:paraId="74574CB1"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44 (74.6)</w:t>
            </w:r>
          </w:p>
        </w:tc>
        <w:tc>
          <w:tcPr>
            <w:tcW w:w="1101" w:type="pct"/>
            <w:tcBorders>
              <w:left w:val="single" w:sz="4" w:space="0" w:color="auto"/>
              <w:right w:val="single" w:sz="4" w:space="0" w:color="auto"/>
            </w:tcBorders>
            <w:vAlign w:val="center"/>
          </w:tcPr>
          <w:p w14:paraId="54261D8F"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NR</w:t>
            </w:r>
          </w:p>
        </w:tc>
        <w:tc>
          <w:tcPr>
            <w:tcW w:w="631" w:type="pct"/>
            <w:tcBorders>
              <w:left w:val="single" w:sz="4" w:space="0" w:color="auto"/>
              <w:right w:val="single" w:sz="4" w:space="0" w:color="auto"/>
            </w:tcBorders>
            <w:vAlign w:val="center"/>
          </w:tcPr>
          <w:p w14:paraId="5548C925"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&lt;0.0001</w:t>
            </w:r>
          </w:p>
        </w:tc>
      </w:tr>
      <w:tr w:rsidR="00B457C2" w:rsidRPr="00C80985" w14:paraId="2818BDD2" w14:textId="77777777" w:rsidTr="00E840F9">
        <w:trPr>
          <w:trHeight w:val="58"/>
        </w:trPr>
        <w:tc>
          <w:tcPr>
            <w:tcW w:w="1569" w:type="pct"/>
            <w:vAlign w:val="center"/>
          </w:tcPr>
          <w:p w14:paraId="56CD6CA0" w14:textId="77777777" w:rsidR="00B457C2" w:rsidRPr="00C80985" w:rsidRDefault="00B457C2" w:rsidP="008C099A">
            <w:pPr>
              <w:widowControl w:val="0"/>
              <w:rPr>
                <w:rFonts w:ascii="Arial Narrow" w:hAnsi="Arial Narrow"/>
                <w:sz w:val="20"/>
                <w:szCs w:val="20"/>
              </w:rPr>
            </w:pPr>
            <w:r w:rsidRPr="00C80985">
              <w:rPr>
                <w:rFonts w:ascii="Arial Narrow" w:hAnsi="Arial Narrow"/>
                <w:sz w:val="20"/>
                <w:szCs w:val="20"/>
              </w:rPr>
              <w:t>Dupilumab 300 mg Q4W</w:t>
            </w:r>
          </w:p>
        </w:tc>
        <w:tc>
          <w:tcPr>
            <w:tcW w:w="440" w:type="pct"/>
          </w:tcPr>
          <w:p w14:paraId="21CD2ADE"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61</w:t>
            </w:r>
          </w:p>
        </w:tc>
        <w:tc>
          <w:tcPr>
            <w:tcW w:w="1259" w:type="pct"/>
            <w:tcBorders>
              <w:right w:val="single" w:sz="4" w:space="0" w:color="auto"/>
            </w:tcBorders>
            <w:vAlign w:val="center"/>
          </w:tcPr>
          <w:p w14:paraId="56F239F9"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39 (63.0)</w:t>
            </w:r>
          </w:p>
        </w:tc>
        <w:tc>
          <w:tcPr>
            <w:tcW w:w="1101" w:type="pct"/>
            <w:tcBorders>
              <w:left w:val="single" w:sz="4" w:space="0" w:color="auto"/>
              <w:right w:val="single" w:sz="4" w:space="0" w:color="auto"/>
            </w:tcBorders>
            <w:vAlign w:val="center"/>
          </w:tcPr>
          <w:p w14:paraId="25A6EF8F"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NR</w:t>
            </w:r>
          </w:p>
        </w:tc>
        <w:tc>
          <w:tcPr>
            <w:tcW w:w="631" w:type="pct"/>
            <w:tcBorders>
              <w:left w:val="single" w:sz="4" w:space="0" w:color="auto"/>
              <w:right w:val="single" w:sz="4" w:space="0" w:color="auto"/>
            </w:tcBorders>
            <w:vAlign w:val="center"/>
          </w:tcPr>
          <w:p w14:paraId="1040FC39"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&lt;0.0001</w:t>
            </w:r>
          </w:p>
        </w:tc>
      </w:tr>
      <w:tr w:rsidR="00B457C2" w:rsidRPr="00C80985" w14:paraId="64901D59" w14:textId="77777777" w:rsidTr="00E840F9">
        <w:trPr>
          <w:trHeight w:val="58"/>
        </w:trPr>
        <w:tc>
          <w:tcPr>
            <w:tcW w:w="1569" w:type="pct"/>
            <w:vAlign w:val="center"/>
          </w:tcPr>
          <w:p w14:paraId="5836F415" w14:textId="77777777" w:rsidR="00B457C2" w:rsidRPr="00C80985" w:rsidRDefault="00B457C2" w:rsidP="008C099A">
            <w:pPr>
              <w:widowControl w:val="0"/>
              <w:rPr>
                <w:rFonts w:ascii="Arial Narrow" w:hAnsi="Arial Narrow"/>
                <w:sz w:val="20"/>
                <w:szCs w:val="20"/>
              </w:rPr>
            </w:pPr>
            <w:r w:rsidRPr="00C80985">
              <w:rPr>
                <w:rFonts w:ascii="Arial Narrow" w:hAnsi="Arial Narrow"/>
                <w:sz w:val="20"/>
                <w:szCs w:val="20"/>
              </w:rPr>
              <w:t>Placebo</w:t>
            </w:r>
          </w:p>
        </w:tc>
        <w:tc>
          <w:tcPr>
            <w:tcW w:w="440" w:type="pct"/>
          </w:tcPr>
          <w:p w14:paraId="4F3EBED1"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62</w:t>
            </w:r>
          </w:p>
        </w:tc>
        <w:tc>
          <w:tcPr>
            <w:tcW w:w="1259" w:type="pct"/>
            <w:tcBorders>
              <w:right w:val="single" w:sz="4" w:space="0" w:color="auto"/>
            </w:tcBorders>
            <w:vAlign w:val="center"/>
          </w:tcPr>
          <w:p w14:paraId="352B3510"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16 (25.8)</w:t>
            </w:r>
          </w:p>
        </w:tc>
        <w:tc>
          <w:tcPr>
            <w:tcW w:w="1101" w:type="pct"/>
            <w:tcBorders>
              <w:left w:val="single" w:sz="4" w:space="0" w:color="auto"/>
              <w:right w:val="single" w:sz="4" w:space="0" w:color="auto"/>
            </w:tcBorders>
            <w:vAlign w:val="center"/>
          </w:tcPr>
          <w:p w14:paraId="559F782F"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w:t>
            </w:r>
          </w:p>
        </w:tc>
        <w:tc>
          <w:tcPr>
            <w:tcW w:w="631" w:type="pct"/>
            <w:tcBorders>
              <w:left w:val="single" w:sz="4" w:space="0" w:color="auto"/>
              <w:right w:val="single" w:sz="4" w:space="0" w:color="auto"/>
            </w:tcBorders>
            <w:vAlign w:val="center"/>
          </w:tcPr>
          <w:p w14:paraId="61D286F4" w14:textId="77777777" w:rsidR="00B457C2" w:rsidRPr="00C80985" w:rsidRDefault="00B457C2" w:rsidP="008C099A">
            <w:pPr>
              <w:widowControl w:val="0"/>
              <w:jc w:val="center"/>
              <w:rPr>
                <w:rFonts w:ascii="Arial Narrow" w:hAnsi="Arial Narrow"/>
                <w:sz w:val="20"/>
                <w:szCs w:val="20"/>
              </w:rPr>
            </w:pPr>
            <w:r w:rsidRPr="00C80985">
              <w:rPr>
                <w:rFonts w:ascii="Arial Narrow" w:hAnsi="Arial Narrow"/>
                <w:sz w:val="20"/>
                <w:szCs w:val="20"/>
              </w:rPr>
              <w:t>-</w:t>
            </w:r>
          </w:p>
        </w:tc>
      </w:tr>
    </w:tbl>
    <w:p w14:paraId="1AD618A4" w14:textId="77777777" w:rsidR="00B457C2" w:rsidRPr="00C80985" w:rsidRDefault="00B457C2" w:rsidP="008C099A">
      <w:pPr>
        <w:widowControl w:val="0"/>
        <w:rPr>
          <w:szCs w:val="18"/>
        </w:rPr>
      </w:pPr>
      <w:r w:rsidRPr="00C80985">
        <w:rPr>
          <w:rFonts w:ascii="Arial Narrow" w:hAnsi="Arial Narrow"/>
          <w:sz w:val="18"/>
          <w:szCs w:val="18"/>
        </w:rPr>
        <w:t>Source: Table 2-11, p87; Table 2-12, p89; Table 2-27, p125 of the submission.</w:t>
      </w:r>
    </w:p>
    <w:p w14:paraId="0589B610" w14:textId="1C73E803" w:rsidR="001F2805" w:rsidRPr="00C80985" w:rsidRDefault="00B457C2" w:rsidP="008C099A">
      <w:pPr>
        <w:widowControl w:val="0"/>
        <w:spacing w:after="120"/>
      </w:pPr>
      <w:r w:rsidRPr="00C80985">
        <w:rPr>
          <w:rFonts w:ascii="Arial Narrow" w:hAnsi="Arial Narrow"/>
          <w:sz w:val="18"/>
          <w:szCs w:val="18"/>
        </w:rPr>
        <w:t>CI = confidence interval; EASI = Eczema Area and Severity Index; IGA = Investigator’s Global Assessment; NR = not reported; Q2W = every two weeks; Q4W = every four weeks</w:t>
      </w:r>
    </w:p>
    <w:p w14:paraId="29D65A06" w14:textId="41446959" w:rsidR="004F6222" w:rsidRPr="00C80985" w:rsidRDefault="00831D6B" w:rsidP="000C6C28">
      <w:pPr>
        <w:keepNext/>
      </w:pPr>
      <w:r w:rsidRPr="00C80985">
        <w:rPr>
          <w:rFonts w:ascii="Arial Narrow" w:hAnsi="Arial Narrow"/>
          <w:b/>
          <w:bCs/>
          <w:sz w:val="20"/>
          <w:szCs w:val="20"/>
        </w:rPr>
        <w:lastRenderedPageBreak/>
        <w:t>Figure 1: Proportion of patients achieving EASI 75 through Week 16 in Study 1652 (overall trial population)</w:t>
      </w:r>
      <w:r w:rsidR="000C6C28" w:rsidRPr="00C80985">
        <w:rPr>
          <w:noProof/>
          <w:lang w:eastAsia="en-AU"/>
        </w:rPr>
        <w:drawing>
          <wp:inline distT="0" distB="0" distL="0" distR="0" wp14:anchorId="3150640E" wp14:editId="6EAA4260">
            <wp:extent cx="5273038" cy="4189202"/>
            <wp:effectExtent l="0" t="0" r="3810" b="1905"/>
            <wp:docPr id="1" name="Picture 1" descr="Figure 1: Proportion of patients achieving EASI 75 through Week 16 in Study 1652 (overall trial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Proportion of patients achieving EASI 75 through Week 16 in Study 1652 (overall trial population)"/>
                    <pic:cNvPicPr/>
                  </pic:nvPicPr>
                  <pic:blipFill>
                    <a:blip r:embed="rId8">
                      <a:extLst>
                        <a:ext uri="{28A0092B-C50C-407E-A947-70E740481C1C}">
                          <a14:useLocalDpi xmlns:a14="http://schemas.microsoft.com/office/drawing/2010/main" val="0"/>
                        </a:ext>
                      </a:extLst>
                    </a:blip>
                    <a:stretch>
                      <a:fillRect/>
                    </a:stretch>
                  </pic:blipFill>
                  <pic:spPr>
                    <a:xfrm>
                      <a:off x="0" y="0"/>
                      <a:ext cx="5273038" cy="4189202"/>
                    </a:xfrm>
                    <a:prstGeom prst="rect">
                      <a:avLst/>
                    </a:prstGeom>
                  </pic:spPr>
                </pic:pic>
              </a:graphicData>
            </a:graphic>
          </wp:inline>
        </w:drawing>
      </w:r>
    </w:p>
    <w:p w14:paraId="58251B8C" w14:textId="77777777" w:rsidR="000C6C28" w:rsidRPr="00C80985" w:rsidRDefault="000C6C28" w:rsidP="000C6C28">
      <w:pPr>
        <w:keepNext/>
        <w:rPr>
          <w:rFonts w:ascii="Arial Narrow" w:hAnsi="Arial Narrow"/>
          <w:sz w:val="18"/>
          <w:szCs w:val="18"/>
        </w:rPr>
      </w:pPr>
      <w:r w:rsidRPr="00C80985">
        <w:rPr>
          <w:rFonts w:ascii="Arial Narrow" w:hAnsi="Arial Narrow"/>
          <w:sz w:val="18"/>
          <w:szCs w:val="18"/>
        </w:rPr>
        <w:t>Source:  Figure 2-6, p90 of the submission.</w:t>
      </w:r>
    </w:p>
    <w:p w14:paraId="1997ED19" w14:textId="7FD3BDBB" w:rsidR="000C6C28" w:rsidRPr="00C80985" w:rsidRDefault="000C6C28" w:rsidP="000C6C28">
      <w:pPr>
        <w:keepNext/>
        <w:spacing w:after="120"/>
        <w:rPr>
          <w:iCs/>
        </w:rPr>
      </w:pPr>
      <w:r w:rsidRPr="00C80985">
        <w:rPr>
          <w:rFonts w:ascii="Arial Narrow" w:hAnsi="Arial Narrow"/>
          <w:sz w:val="18"/>
          <w:szCs w:val="18"/>
        </w:rPr>
        <w:t>EASI = Eczema Area and Severity Index; Q2W = every two weeks; Q4W = every four weeks</w:t>
      </w:r>
    </w:p>
    <w:p w14:paraId="79C1EDAB" w14:textId="39A1E447" w:rsidR="001F2805" w:rsidRPr="00C80985" w:rsidRDefault="00B457C2" w:rsidP="001F2805">
      <w:pPr>
        <w:pStyle w:val="3-BodyText"/>
      </w:pPr>
      <w:r w:rsidRPr="00C80985">
        <w:t xml:space="preserve">All comparisons, </w:t>
      </w:r>
      <w:proofErr w:type="gramStart"/>
      <w:r w:rsidRPr="00C80985">
        <w:t>with the exception of</w:t>
      </w:r>
      <w:proofErr w:type="gramEnd"/>
      <w:r w:rsidRPr="00C80985">
        <w:t xml:space="preserve"> the comparison of dupilumab 100 mg Q2W and placebo</w:t>
      </w:r>
      <w:r w:rsidR="00727E48" w:rsidRPr="00C80985">
        <w:t xml:space="preserve"> </w:t>
      </w:r>
      <w:r w:rsidRPr="00C80985">
        <w:t>in the &lt;30 kg weight group for the proportion with IGA of 0 or 1, showed a statistically significant advantage for dupilumab compared to placebo.</w:t>
      </w:r>
      <w:r w:rsidR="00727E48" w:rsidRPr="00C80985">
        <w:t xml:space="preserve"> </w:t>
      </w:r>
      <w:r w:rsidRPr="00C80985">
        <w:t>All comparisons were dupilumab versus placebo, and there was no comparison of dupilumab Q2W and Q4W dosing.</w:t>
      </w:r>
    </w:p>
    <w:p w14:paraId="61E0C602" w14:textId="115424FE" w:rsidR="00247925" w:rsidRPr="00C80985" w:rsidRDefault="008D44E8" w:rsidP="00EC5836">
      <w:pPr>
        <w:pStyle w:val="3-BodyText"/>
      </w:pPr>
      <w:proofErr w:type="gramStart"/>
      <w:r w:rsidRPr="00C80985">
        <w:t>In regard to</w:t>
      </w:r>
      <w:proofErr w:type="gramEnd"/>
      <w:r w:rsidRPr="00C80985">
        <w:t xml:space="preserve"> the weight categories, the submission claimed advantages for dupilumab 300 mg Q4W for patients &lt;30kg, and advantages for dupilumab 200 mg Q2W in patients weighing ≥30kg for EASI and IGA outcomes.</w:t>
      </w:r>
      <w:r w:rsidR="00727E48" w:rsidRPr="00C80985">
        <w:t xml:space="preserve"> </w:t>
      </w:r>
      <w:r w:rsidRPr="00C80985">
        <w:rPr>
          <w:iCs/>
        </w:rPr>
        <w:t xml:space="preserve">These claims were made </w:t>
      </w:r>
      <w:proofErr w:type="gramStart"/>
      <w:r w:rsidRPr="00C80985">
        <w:rPr>
          <w:iCs/>
        </w:rPr>
        <w:t>on the basis of</w:t>
      </w:r>
      <w:proofErr w:type="gramEnd"/>
      <w:r w:rsidRPr="00C80985">
        <w:rPr>
          <w:iCs/>
        </w:rPr>
        <w:t xml:space="preserve"> visual comparisons of data, as there were no statistical analyses comparing the different dupilumab dosing regimens in the weight groups.</w:t>
      </w:r>
      <w:r w:rsidR="00727E48" w:rsidRPr="00C80985">
        <w:rPr>
          <w:iCs/>
        </w:rPr>
        <w:t xml:space="preserve"> </w:t>
      </w:r>
    </w:p>
    <w:p w14:paraId="1452C351" w14:textId="0E379A0E" w:rsidR="00B60939" w:rsidRPr="00C80985" w:rsidRDefault="00B60939" w:rsidP="00D86231">
      <w:pPr>
        <w:pStyle w:val="4-SubsectionHeading"/>
      </w:pPr>
      <w:bookmarkStart w:id="21" w:name="_Toc22897642"/>
      <w:bookmarkStart w:id="22" w:name="_Toc93325003"/>
      <w:r w:rsidRPr="00C80985">
        <w:t>Comparative harms</w:t>
      </w:r>
      <w:bookmarkEnd w:id="21"/>
      <w:bookmarkEnd w:id="22"/>
    </w:p>
    <w:p w14:paraId="59C4B37A" w14:textId="3C4C3352" w:rsidR="00583523" w:rsidRPr="00C80985" w:rsidRDefault="00BD454B" w:rsidP="00D86231">
      <w:pPr>
        <w:pStyle w:val="3-BodyText"/>
      </w:pPr>
      <w:r w:rsidRPr="00C80985">
        <w:t>There was no safety data presented for the post-hoc subgroup of Study 1652.</w:t>
      </w:r>
      <w:r w:rsidR="00727E48" w:rsidRPr="00C80985">
        <w:t xml:space="preserve"> </w:t>
      </w:r>
      <w:r w:rsidRPr="00C80985">
        <w:t>Safety data was available for the overall trial and for the weight groups.</w:t>
      </w:r>
      <w:r w:rsidR="00727E48" w:rsidRPr="00C80985">
        <w:t xml:space="preserve"> </w:t>
      </w:r>
      <w:r w:rsidRPr="00C80985">
        <w:t>Overall adverse events and events of special interest, including conjunctivitis and injection site reactions, are provided in the table below.</w:t>
      </w:r>
    </w:p>
    <w:p w14:paraId="699A3219" w14:textId="616C2D5D" w:rsidR="00BD454B" w:rsidRPr="00C80985" w:rsidRDefault="00AB4654" w:rsidP="00BD4A5D">
      <w:pPr>
        <w:pStyle w:val="3-BodyText"/>
        <w:keepNext/>
        <w:keepLines/>
        <w:numPr>
          <w:ilvl w:val="0"/>
          <w:numId w:val="0"/>
        </w:numPr>
        <w:spacing w:after="0"/>
      </w:pPr>
      <w:r w:rsidRPr="00C80985">
        <w:rPr>
          <w:rStyle w:val="CommentReference"/>
          <w:szCs w:val="24"/>
        </w:rPr>
        <w:lastRenderedPageBreak/>
        <w:t xml:space="preserve">Table </w:t>
      </w:r>
      <w:r w:rsidRPr="00C80985">
        <w:rPr>
          <w:rStyle w:val="CommentReference"/>
          <w:b w:val="0"/>
          <w:szCs w:val="24"/>
        </w:rPr>
        <w:fldChar w:fldCharType="begin"/>
      </w:r>
      <w:r w:rsidRPr="00C80985">
        <w:rPr>
          <w:rStyle w:val="CommentReference"/>
          <w:szCs w:val="24"/>
        </w:rPr>
        <w:instrText xml:space="preserve"> SEQ Table \* ARABIC </w:instrText>
      </w:r>
      <w:r w:rsidRPr="00C80985">
        <w:rPr>
          <w:rStyle w:val="CommentReference"/>
          <w:b w:val="0"/>
          <w:szCs w:val="24"/>
        </w:rPr>
        <w:fldChar w:fldCharType="separate"/>
      </w:r>
      <w:r w:rsidR="00AA723C">
        <w:rPr>
          <w:rStyle w:val="CommentReference"/>
          <w:noProof/>
          <w:szCs w:val="24"/>
        </w:rPr>
        <w:t>7</w:t>
      </w:r>
      <w:r w:rsidRPr="00C80985">
        <w:rPr>
          <w:rStyle w:val="CommentReference"/>
          <w:b w:val="0"/>
          <w:szCs w:val="24"/>
        </w:rPr>
        <w:fldChar w:fldCharType="end"/>
      </w:r>
      <w:r w:rsidRPr="00C80985">
        <w:rPr>
          <w:rStyle w:val="CommentReference"/>
          <w:b w:val="0"/>
          <w:szCs w:val="24"/>
        </w:rPr>
        <w:t>:</w:t>
      </w:r>
      <w:r w:rsidR="00BD454B" w:rsidRPr="00C80985">
        <w:rPr>
          <w:rStyle w:val="CommentReference"/>
          <w:szCs w:val="24"/>
        </w:rPr>
        <w:t xml:space="preserve"> </w:t>
      </w:r>
      <w:r w:rsidR="00BD454B" w:rsidRPr="00C80985">
        <w:rPr>
          <w:rFonts w:ascii="Arial Narrow" w:hAnsi="Arial Narrow"/>
          <w:b/>
          <w:bCs/>
          <w:sz w:val="20"/>
          <w:szCs w:val="20"/>
        </w:rPr>
        <w:t>Summary of key adverse events in Study 1652 – overall trial population</w:t>
      </w:r>
    </w:p>
    <w:tbl>
      <w:tblPr>
        <w:tblW w:w="9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689"/>
        <w:gridCol w:w="2627"/>
        <w:gridCol w:w="2098"/>
        <w:gridCol w:w="1660"/>
      </w:tblGrid>
      <w:tr w:rsidR="001612C5" w:rsidRPr="00C80985" w14:paraId="2AE0AF01" w14:textId="77777777" w:rsidTr="00E840F9">
        <w:trPr>
          <w:tblHeader/>
        </w:trPr>
        <w:tc>
          <w:tcPr>
            <w:tcW w:w="2689" w:type="dxa"/>
            <w:vAlign w:val="center"/>
          </w:tcPr>
          <w:p w14:paraId="4DD01DDD" w14:textId="77777777" w:rsidR="001612C5" w:rsidRPr="00C80985" w:rsidRDefault="001612C5" w:rsidP="00BD4A5D">
            <w:pPr>
              <w:pStyle w:val="In-tableHeading"/>
              <w:keepLines/>
              <w:widowControl w:val="0"/>
              <w:tabs>
                <w:tab w:val="left" w:pos="164"/>
              </w:tabs>
              <w:rPr>
                <w:lang w:val="en-AU"/>
              </w:rPr>
            </w:pPr>
            <w:r w:rsidRPr="00C80985">
              <w:rPr>
                <w:lang w:val="en-AU"/>
              </w:rPr>
              <w:t>Study 1652</w:t>
            </w:r>
          </w:p>
        </w:tc>
        <w:tc>
          <w:tcPr>
            <w:tcW w:w="2627" w:type="dxa"/>
            <w:vAlign w:val="center"/>
          </w:tcPr>
          <w:p w14:paraId="4416919C" w14:textId="77777777" w:rsidR="001612C5" w:rsidRPr="00C80985" w:rsidRDefault="001612C5" w:rsidP="00BD4A5D">
            <w:pPr>
              <w:pStyle w:val="In-tableHeading"/>
              <w:keepLines/>
              <w:widowControl w:val="0"/>
              <w:jc w:val="center"/>
              <w:rPr>
                <w:lang w:val="en-AU"/>
              </w:rPr>
            </w:pPr>
            <w:r w:rsidRPr="00C80985">
              <w:rPr>
                <w:szCs w:val="20"/>
                <w:lang w:val="en-AU"/>
              </w:rPr>
              <w:t>Dupilumab 100 or 200 mg Q2W (N=122)</w:t>
            </w:r>
          </w:p>
        </w:tc>
        <w:tc>
          <w:tcPr>
            <w:tcW w:w="2098" w:type="dxa"/>
            <w:vAlign w:val="center"/>
          </w:tcPr>
          <w:p w14:paraId="30DCDDD9" w14:textId="77777777" w:rsidR="001612C5" w:rsidRPr="00C80985" w:rsidRDefault="001612C5" w:rsidP="00BD4A5D">
            <w:pPr>
              <w:pStyle w:val="In-tableHeading"/>
              <w:keepLines/>
              <w:widowControl w:val="0"/>
              <w:jc w:val="center"/>
              <w:rPr>
                <w:lang w:val="en-AU"/>
              </w:rPr>
            </w:pPr>
            <w:r w:rsidRPr="00C80985">
              <w:rPr>
                <w:szCs w:val="20"/>
                <w:lang w:val="en-AU"/>
              </w:rPr>
              <w:t>Dupilumab 300 mg Q4W (N=120)</w:t>
            </w:r>
          </w:p>
        </w:tc>
        <w:tc>
          <w:tcPr>
            <w:tcW w:w="1660" w:type="dxa"/>
            <w:vAlign w:val="center"/>
          </w:tcPr>
          <w:p w14:paraId="24378EF2" w14:textId="77777777" w:rsidR="001612C5" w:rsidRPr="00C80985" w:rsidRDefault="001612C5" w:rsidP="00BD4A5D">
            <w:pPr>
              <w:pStyle w:val="In-tableHeading"/>
              <w:keepLines/>
              <w:widowControl w:val="0"/>
              <w:jc w:val="center"/>
              <w:rPr>
                <w:lang w:val="en-AU"/>
              </w:rPr>
            </w:pPr>
            <w:r w:rsidRPr="00C80985">
              <w:rPr>
                <w:lang w:val="en-AU"/>
              </w:rPr>
              <w:t xml:space="preserve">Placebo </w:t>
            </w:r>
          </w:p>
          <w:p w14:paraId="0273ADD6" w14:textId="77777777" w:rsidR="001612C5" w:rsidRPr="00C80985" w:rsidRDefault="001612C5" w:rsidP="00BD4A5D">
            <w:pPr>
              <w:pStyle w:val="In-tableHeading"/>
              <w:keepLines/>
              <w:widowControl w:val="0"/>
              <w:jc w:val="center"/>
              <w:rPr>
                <w:lang w:val="en-AU"/>
              </w:rPr>
            </w:pPr>
            <w:r w:rsidRPr="00C80985">
              <w:rPr>
                <w:lang w:val="en-AU"/>
              </w:rPr>
              <w:t>(N=120)</w:t>
            </w:r>
          </w:p>
        </w:tc>
      </w:tr>
      <w:tr w:rsidR="001612C5" w:rsidRPr="00C80985" w14:paraId="7664DD5A" w14:textId="77777777" w:rsidTr="00E840F9">
        <w:tc>
          <w:tcPr>
            <w:tcW w:w="9074" w:type="dxa"/>
            <w:gridSpan w:val="4"/>
            <w:vAlign w:val="center"/>
          </w:tcPr>
          <w:p w14:paraId="08A67F0D" w14:textId="77777777" w:rsidR="001612C5" w:rsidRPr="00C80985" w:rsidRDefault="001612C5" w:rsidP="00BD4A5D">
            <w:pPr>
              <w:pStyle w:val="TableText0"/>
              <w:keepLines/>
              <w:widowControl w:val="0"/>
              <w:rPr>
                <w:b/>
                <w:bCs w:val="0"/>
              </w:rPr>
            </w:pPr>
            <w:r w:rsidRPr="00C80985">
              <w:rPr>
                <w:b/>
                <w:bCs w:val="0"/>
              </w:rPr>
              <w:t>AE summary</w:t>
            </w:r>
          </w:p>
        </w:tc>
      </w:tr>
      <w:tr w:rsidR="001612C5" w:rsidRPr="00C80985" w14:paraId="46D64B41" w14:textId="77777777" w:rsidTr="00E840F9">
        <w:tc>
          <w:tcPr>
            <w:tcW w:w="2689" w:type="dxa"/>
            <w:vAlign w:val="center"/>
          </w:tcPr>
          <w:p w14:paraId="168CB86A" w14:textId="77777777" w:rsidR="001612C5" w:rsidRPr="00C80985" w:rsidRDefault="001612C5" w:rsidP="00BD4A5D">
            <w:pPr>
              <w:pStyle w:val="TableText0"/>
              <w:keepLines/>
              <w:widowControl w:val="0"/>
              <w:tabs>
                <w:tab w:val="left" w:pos="164"/>
              </w:tabs>
            </w:pPr>
            <w:r w:rsidRPr="00C80985">
              <w:t>TEAE</w:t>
            </w:r>
          </w:p>
        </w:tc>
        <w:tc>
          <w:tcPr>
            <w:tcW w:w="2627" w:type="dxa"/>
            <w:vAlign w:val="center"/>
          </w:tcPr>
          <w:p w14:paraId="2F8B7195" w14:textId="77777777" w:rsidR="001612C5" w:rsidRPr="00C80985" w:rsidRDefault="001612C5" w:rsidP="00BD4A5D">
            <w:pPr>
              <w:pStyle w:val="TableText0"/>
              <w:keepLines/>
              <w:widowControl w:val="0"/>
              <w:jc w:val="center"/>
            </w:pPr>
            <w:r w:rsidRPr="00C80985">
              <w:t>82 (67.2%)</w:t>
            </w:r>
          </w:p>
        </w:tc>
        <w:tc>
          <w:tcPr>
            <w:tcW w:w="2098" w:type="dxa"/>
            <w:vAlign w:val="center"/>
          </w:tcPr>
          <w:p w14:paraId="13912804" w14:textId="77777777" w:rsidR="001612C5" w:rsidRPr="00C80985" w:rsidRDefault="001612C5" w:rsidP="00BD4A5D">
            <w:pPr>
              <w:pStyle w:val="TableText0"/>
              <w:keepLines/>
              <w:widowControl w:val="0"/>
              <w:jc w:val="center"/>
            </w:pPr>
            <w:r w:rsidRPr="00C80985">
              <w:t>78 (65.0%)</w:t>
            </w:r>
          </w:p>
        </w:tc>
        <w:tc>
          <w:tcPr>
            <w:tcW w:w="1660" w:type="dxa"/>
            <w:vAlign w:val="center"/>
          </w:tcPr>
          <w:p w14:paraId="42B8CE7C" w14:textId="77777777" w:rsidR="001612C5" w:rsidRPr="00C80985" w:rsidRDefault="001612C5" w:rsidP="00BD4A5D">
            <w:pPr>
              <w:pStyle w:val="TableText0"/>
              <w:keepLines/>
              <w:widowControl w:val="0"/>
              <w:jc w:val="center"/>
            </w:pPr>
            <w:r w:rsidRPr="00C80985">
              <w:t>88 (73.3%)</w:t>
            </w:r>
          </w:p>
        </w:tc>
      </w:tr>
      <w:tr w:rsidR="001612C5" w:rsidRPr="00C80985" w14:paraId="4B8EA634" w14:textId="77777777" w:rsidTr="00E840F9">
        <w:tc>
          <w:tcPr>
            <w:tcW w:w="2689" w:type="dxa"/>
            <w:vAlign w:val="center"/>
          </w:tcPr>
          <w:p w14:paraId="2611DF25" w14:textId="77777777" w:rsidR="001612C5" w:rsidRPr="00C80985" w:rsidRDefault="001612C5" w:rsidP="00BD4A5D">
            <w:pPr>
              <w:pStyle w:val="TableText0"/>
              <w:keepLines/>
              <w:widowControl w:val="0"/>
              <w:tabs>
                <w:tab w:val="left" w:pos="164"/>
              </w:tabs>
            </w:pPr>
            <w:r w:rsidRPr="00C80985">
              <w:t>Drug related TEAE</w:t>
            </w:r>
          </w:p>
        </w:tc>
        <w:tc>
          <w:tcPr>
            <w:tcW w:w="2627" w:type="dxa"/>
            <w:vAlign w:val="center"/>
          </w:tcPr>
          <w:p w14:paraId="16AA62D0" w14:textId="77777777" w:rsidR="001612C5" w:rsidRPr="00C80985" w:rsidRDefault="001612C5" w:rsidP="00BD4A5D">
            <w:pPr>
              <w:pStyle w:val="TableText0"/>
              <w:keepLines/>
              <w:widowControl w:val="0"/>
              <w:jc w:val="center"/>
            </w:pPr>
            <w:r w:rsidRPr="00C80985">
              <w:t>30 (24.6%)</w:t>
            </w:r>
          </w:p>
        </w:tc>
        <w:tc>
          <w:tcPr>
            <w:tcW w:w="2098" w:type="dxa"/>
            <w:vAlign w:val="center"/>
          </w:tcPr>
          <w:p w14:paraId="219D8D45" w14:textId="77777777" w:rsidR="001612C5" w:rsidRPr="00C80985" w:rsidRDefault="001612C5" w:rsidP="00BD4A5D">
            <w:pPr>
              <w:pStyle w:val="TableText0"/>
              <w:keepLines/>
              <w:widowControl w:val="0"/>
              <w:jc w:val="center"/>
            </w:pPr>
            <w:r w:rsidRPr="00C80985">
              <w:t>24 (20.0%)</w:t>
            </w:r>
          </w:p>
        </w:tc>
        <w:tc>
          <w:tcPr>
            <w:tcW w:w="1660" w:type="dxa"/>
            <w:vAlign w:val="center"/>
          </w:tcPr>
          <w:p w14:paraId="34416363" w14:textId="77777777" w:rsidR="001612C5" w:rsidRPr="00C80985" w:rsidRDefault="001612C5" w:rsidP="00BD4A5D">
            <w:pPr>
              <w:pStyle w:val="TableText0"/>
              <w:keepLines/>
              <w:widowControl w:val="0"/>
              <w:jc w:val="center"/>
            </w:pPr>
            <w:r w:rsidRPr="00C80985">
              <w:t>13 (10.8%)</w:t>
            </w:r>
          </w:p>
        </w:tc>
      </w:tr>
      <w:tr w:rsidR="001612C5" w:rsidRPr="00C80985" w14:paraId="7DBD9DED" w14:textId="77777777" w:rsidTr="00E840F9">
        <w:tc>
          <w:tcPr>
            <w:tcW w:w="2689" w:type="dxa"/>
            <w:vAlign w:val="center"/>
          </w:tcPr>
          <w:p w14:paraId="3A8AFF8B" w14:textId="77777777" w:rsidR="001612C5" w:rsidRPr="00C80985" w:rsidRDefault="001612C5" w:rsidP="00BD4A5D">
            <w:pPr>
              <w:pStyle w:val="TableText0"/>
              <w:keepLines/>
              <w:widowControl w:val="0"/>
              <w:tabs>
                <w:tab w:val="left" w:pos="164"/>
              </w:tabs>
            </w:pPr>
            <w:r w:rsidRPr="00C80985">
              <w:t xml:space="preserve">TEAE leading to discontinuation </w:t>
            </w:r>
          </w:p>
        </w:tc>
        <w:tc>
          <w:tcPr>
            <w:tcW w:w="2627" w:type="dxa"/>
            <w:vAlign w:val="center"/>
          </w:tcPr>
          <w:p w14:paraId="017A4B7F" w14:textId="77777777" w:rsidR="001612C5" w:rsidRPr="00C80985" w:rsidRDefault="001612C5" w:rsidP="00BD4A5D">
            <w:pPr>
              <w:pStyle w:val="TableText0"/>
              <w:keepLines/>
              <w:widowControl w:val="0"/>
              <w:jc w:val="center"/>
            </w:pPr>
            <w:r w:rsidRPr="00C80985">
              <w:t>2 (1.6%)</w:t>
            </w:r>
          </w:p>
        </w:tc>
        <w:tc>
          <w:tcPr>
            <w:tcW w:w="2098" w:type="dxa"/>
            <w:vAlign w:val="center"/>
          </w:tcPr>
          <w:p w14:paraId="4BAEEC00" w14:textId="77777777" w:rsidR="001612C5" w:rsidRPr="00C80985" w:rsidRDefault="001612C5" w:rsidP="00BD4A5D">
            <w:pPr>
              <w:pStyle w:val="TableText0"/>
              <w:keepLines/>
              <w:widowControl w:val="0"/>
              <w:jc w:val="center"/>
            </w:pPr>
            <w:r w:rsidRPr="00C80985">
              <w:t>0</w:t>
            </w:r>
          </w:p>
        </w:tc>
        <w:tc>
          <w:tcPr>
            <w:tcW w:w="1660" w:type="dxa"/>
            <w:vAlign w:val="center"/>
          </w:tcPr>
          <w:p w14:paraId="10A0A3EE" w14:textId="77777777" w:rsidR="001612C5" w:rsidRPr="00C80985" w:rsidRDefault="001612C5" w:rsidP="00BD4A5D">
            <w:pPr>
              <w:pStyle w:val="TableText0"/>
              <w:keepLines/>
              <w:widowControl w:val="0"/>
              <w:jc w:val="center"/>
            </w:pPr>
            <w:r w:rsidRPr="00C80985">
              <w:t>2 (1.7%)</w:t>
            </w:r>
          </w:p>
        </w:tc>
      </w:tr>
      <w:tr w:rsidR="001612C5" w:rsidRPr="00C80985" w14:paraId="0F2D7E6A" w14:textId="77777777" w:rsidTr="00E840F9">
        <w:tc>
          <w:tcPr>
            <w:tcW w:w="2689" w:type="dxa"/>
            <w:vAlign w:val="center"/>
          </w:tcPr>
          <w:p w14:paraId="6E607D56" w14:textId="77777777" w:rsidR="001612C5" w:rsidRPr="00C80985" w:rsidRDefault="001612C5" w:rsidP="00BD4A5D">
            <w:pPr>
              <w:pStyle w:val="TableText0"/>
              <w:keepLines/>
              <w:widowControl w:val="0"/>
              <w:tabs>
                <w:tab w:val="left" w:pos="164"/>
              </w:tabs>
            </w:pPr>
            <w:r w:rsidRPr="00C80985">
              <w:t>Death</w:t>
            </w:r>
          </w:p>
        </w:tc>
        <w:tc>
          <w:tcPr>
            <w:tcW w:w="2627" w:type="dxa"/>
            <w:vAlign w:val="center"/>
          </w:tcPr>
          <w:p w14:paraId="06B55058" w14:textId="77777777" w:rsidR="001612C5" w:rsidRPr="00C80985" w:rsidRDefault="001612C5" w:rsidP="00BD4A5D">
            <w:pPr>
              <w:pStyle w:val="TableText0"/>
              <w:keepLines/>
              <w:widowControl w:val="0"/>
              <w:jc w:val="center"/>
            </w:pPr>
            <w:r w:rsidRPr="00C80985">
              <w:t>0</w:t>
            </w:r>
          </w:p>
        </w:tc>
        <w:tc>
          <w:tcPr>
            <w:tcW w:w="2098" w:type="dxa"/>
            <w:vAlign w:val="center"/>
          </w:tcPr>
          <w:p w14:paraId="74D7FC6F" w14:textId="77777777" w:rsidR="001612C5" w:rsidRPr="00C80985" w:rsidRDefault="001612C5" w:rsidP="00BD4A5D">
            <w:pPr>
              <w:pStyle w:val="TableText0"/>
              <w:keepLines/>
              <w:widowControl w:val="0"/>
              <w:jc w:val="center"/>
            </w:pPr>
            <w:r w:rsidRPr="00C80985">
              <w:t>0</w:t>
            </w:r>
          </w:p>
        </w:tc>
        <w:tc>
          <w:tcPr>
            <w:tcW w:w="1660" w:type="dxa"/>
            <w:vAlign w:val="center"/>
          </w:tcPr>
          <w:p w14:paraId="1CFC1E92" w14:textId="77777777" w:rsidR="001612C5" w:rsidRPr="00C80985" w:rsidRDefault="001612C5" w:rsidP="00BD4A5D">
            <w:pPr>
              <w:pStyle w:val="TableText0"/>
              <w:keepLines/>
              <w:widowControl w:val="0"/>
              <w:jc w:val="center"/>
            </w:pPr>
            <w:r w:rsidRPr="00C80985">
              <w:t>0</w:t>
            </w:r>
          </w:p>
        </w:tc>
      </w:tr>
      <w:tr w:rsidR="001612C5" w:rsidRPr="00C80985" w14:paraId="4EECE858" w14:textId="77777777" w:rsidTr="00E840F9">
        <w:tc>
          <w:tcPr>
            <w:tcW w:w="2689" w:type="dxa"/>
            <w:vAlign w:val="center"/>
          </w:tcPr>
          <w:p w14:paraId="5F5764E6" w14:textId="77777777" w:rsidR="001612C5" w:rsidRPr="00C80985" w:rsidRDefault="001612C5" w:rsidP="00BD4A5D">
            <w:pPr>
              <w:pStyle w:val="TableText0"/>
              <w:keepLines/>
              <w:widowControl w:val="0"/>
              <w:tabs>
                <w:tab w:val="left" w:pos="164"/>
              </w:tabs>
            </w:pPr>
            <w:r w:rsidRPr="00C80985">
              <w:t>TESAE</w:t>
            </w:r>
          </w:p>
        </w:tc>
        <w:tc>
          <w:tcPr>
            <w:tcW w:w="2627" w:type="dxa"/>
            <w:vAlign w:val="center"/>
          </w:tcPr>
          <w:p w14:paraId="36C6B4D4" w14:textId="77777777" w:rsidR="001612C5" w:rsidRPr="00C80985" w:rsidRDefault="001612C5" w:rsidP="00BD4A5D">
            <w:pPr>
              <w:pStyle w:val="TableText0"/>
              <w:keepLines/>
              <w:widowControl w:val="0"/>
              <w:jc w:val="center"/>
            </w:pPr>
            <w:r w:rsidRPr="00C80985">
              <w:t>0</w:t>
            </w:r>
          </w:p>
        </w:tc>
        <w:tc>
          <w:tcPr>
            <w:tcW w:w="2098" w:type="dxa"/>
            <w:vAlign w:val="center"/>
          </w:tcPr>
          <w:p w14:paraId="00140ABA" w14:textId="77777777" w:rsidR="001612C5" w:rsidRPr="00C80985" w:rsidRDefault="001612C5" w:rsidP="00BD4A5D">
            <w:pPr>
              <w:pStyle w:val="TableText0"/>
              <w:keepLines/>
              <w:widowControl w:val="0"/>
              <w:jc w:val="center"/>
            </w:pPr>
            <w:r w:rsidRPr="00C80985">
              <w:t>2 (1.7%)</w:t>
            </w:r>
          </w:p>
        </w:tc>
        <w:tc>
          <w:tcPr>
            <w:tcW w:w="1660" w:type="dxa"/>
            <w:vAlign w:val="center"/>
          </w:tcPr>
          <w:p w14:paraId="1BEC2FA7" w14:textId="77777777" w:rsidR="001612C5" w:rsidRPr="00C80985" w:rsidRDefault="001612C5" w:rsidP="00BD4A5D">
            <w:pPr>
              <w:pStyle w:val="TableText0"/>
              <w:keepLines/>
              <w:widowControl w:val="0"/>
              <w:jc w:val="center"/>
            </w:pPr>
            <w:r w:rsidRPr="00C80985">
              <w:t>2 (1.7%)</w:t>
            </w:r>
          </w:p>
        </w:tc>
      </w:tr>
      <w:tr w:rsidR="001612C5" w:rsidRPr="00C80985" w14:paraId="6549DC3C" w14:textId="77777777" w:rsidTr="00E840F9">
        <w:tc>
          <w:tcPr>
            <w:tcW w:w="2689" w:type="dxa"/>
            <w:vAlign w:val="center"/>
          </w:tcPr>
          <w:p w14:paraId="719A54CD" w14:textId="77777777" w:rsidR="001612C5" w:rsidRPr="00C80985" w:rsidRDefault="001612C5" w:rsidP="00BD4A5D">
            <w:pPr>
              <w:pStyle w:val="TableText0"/>
              <w:keepLines/>
              <w:widowControl w:val="0"/>
              <w:tabs>
                <w:tab w:val="left" w:pos="164"/>
              </w:tabs>
            </w:pPr>
            <w:r w:rsidRPr="00C80985">
              <w:t>Drug related TESAE</w:t>
            </w:r>
          </w:p>
        </w:tc>
        <w:tc>
          <w:tcPr>
            <w:tcW w:w="2627" w:type="dxa"/>
            <w:vAlign w:val="center"/>
          </w:tcPr>
          <w:p w14:paraId="48B43EB3" w14:textId="77777777" w:rsidR="001612C5" w:rsidRPr="00C80985" w:rsidRDefault="001612C5" w:rsidP="00BD4A5D">
            <w:pPr>
              <w:pStyle w:val="TableText0"/>
              <w:keepLines/>
              <w:widowControl w:val="0"/>
              <w:jc w:val="center"/>
            </w:pPr>
            <w:r w:rsidRPr="00C80985">
              <w:t>0</w:t>
            </w:r>
          </w:p>
        </w:tc>
        <w:tc>
          <w:tcPr>
            <w:tcW w:w="2098" w:type="dxa"/>
            <w:vAlign w:val="center"/>
          </w:tcPr>
          <w:p w14:paraId="45D6272D" w14:textId="77777777" w:rsidR="001612C5" w:rsidRPr="00C80985" w:rsidRDefault="001612C5" w:rsidP="00BD4A5D">
            <w:pPr>
              <w:pStyle w:val="TableText0"/>
              <w:keepLines/>
              <w:widowControl w:val="0"/>
              <w:jc w:val="center"/>
            </w:pPr>
            <w:r w:rsidRPr="00C80985">
              <w:t>0</w:t>
            </w:r>
          </w:p>
        </w:tc>
        <w:tc>
          <w:tcPr>
            <w:tcW w:w="1660" w:type="dxa"/>
            <w:vAlign w:val="center"/>
          </w:tcPr>
          <w:p w14:paraId="43A9D47F" w14:textId="77777777" w:rsidR="001612C5" w:rsidRPr="00C80985" w:rsidRDefault="001612C5" w:rsidP="00BD4A5D">
            <w:pPr>
              <w:pStyle w:val="TableText0"/>
              <w:keepLines/>
              <w:widowControl w:val="0"/>
              <w:jc w:val="center"/>
            </w:pPr>
            <w:r w:rsidRPr="00C80985">
              <w:t>0</w:t>
            </w:r>
          </w:p>
        </w:tc>
      </w:tr>
      <w:tr w:rsidR="001612C5" w:rsidRPr="00C80985" w14:paraId="6DA77B9C" w14:textId="77777777" w:rsidTr="00E840F9">
        <w:tc>
          <w:tcPr>
            <w:tcW w:w="2689" w:type="dxa"/>
            <w:tcBorders>
              <w:bottom w:val="single" w:sz="4" w:space="0" w:color="auto"/>
            </w:tcBorders>
            <w:vAlign w:val="center"/>
          </w:tcPr>
          <w:p w14:paraId="5D92CA4E" w14:textId="77777777" w:rsidR="001612C5" w:rsidRPr="00C80985" w:rsidRDefault="001612C5" w:rsidP="00BD4A5D">
            <w:pPr>
              <w:pStyle w:val="TableText0"/>
              <w:keepLines/>
              <w:widowControl w:val="0"/>
              <w:tabs>
                <w:tab w:val="left" w:pos="164"/>
              </w:tabs>
            </w:pPr>
            <w:r w:rsidRPr="00C80985">
              <w:t>TESAE leading to discontinuation</w:t>
            </w:r>
          </w:p>
        </w:tc>
        <w:tc>
          <w:tcPr>
            <w:tcW w:w="2627" w:type="dxa"/>
            <w:tcBorders>
              <w:bottom w:val="single" w:sz="4" w:space="0" w:color="auto"/>
            </w:tcBorders>
            <w:vAlign w:val="center"/>
          </w:tcPr>
          <w:p w14:paraId="6367EA60" w14:textId="77777777" w:rsidR="001612C5" w:rsidRPr="00C80985" w:rsidRDefault="001612C5" w:rsidP="00BD4A5D">
            <w:pPr>
              <w:pStyle w:val="TableText0"/>
              <w:keepLines/>
              <w:widowControl w:val="0"/>
              <w:jc w:val="center"/>
            </w:pPr>
            <w:r w:rsidRPr="00C80985">
              <w:t>0</w:t>
            </w:r>
          </w:p>
        </w:tc>
        <w:tc>
          <w:tcPr>
            <w:tcW w:w="2098" w:type="dxa"/>
            <w:tcBorders>
              <w:bottom w:val="single" w:sz="4" w:space="0" w:color="auto"/>
            </w:tcBorders>
            <w:vAlign w:val="center"/>
          </w:tcPr>
          <w:p w14:paraId="24974F20" w14:textId="77777777" w:rsidR="001612C5" w:rsidRPr="00C80985" w:rsidRDefault="001612C5" w:rsidP="00BD4A5D">
            <w:pPr>
              <w:pStyle w:val="TableText0"/>
              <w:keepLines/>
              <w:widowControl w:val="0"/>
              <w:jc w:val="center"/>
            </w:pPr>
            <w:r w:rsidRPr="00C80985">
              <w:t>0</w:t>
            </w:r>
          </w:p>
        </w:tc>
        <w:tc>
          <w:tcPr>
            <w:tcW w:w="1660" w:type="dxa"/>
            <w:tcBorders>
              <w:bottom w:val="single" w:sz="4" w:space="0" w:color="auto"/>
            </w:tcBorders>
            <w:vAlign w:val="center"/>
          </w:tcPr>
          <w:p w14:paraId="5BC347D4" w14:textId="77777777" w:rsidR="001612C5" w:rsidRPr="00C80985" w:rsidRDefault="001612C5" w:rsidP="00BD4A5D">
            <w:pPr>
              <w:pStyle w:val="TableText0"/>
              <w:keepLines/>
              <w:widowControl w:val="0"/>
              <w:jc w:val="center"/>
            </w:pPr>
            <w:r w:rsidRPr="00C80985">
              <w:t>0</w:t>
            </w:r>
          </w:p>
        </w:tc>
      </w:tr>
      <w:tr w:rsidR="001612C5" w:rsidRPr="00C80985" w14:paraId="600260FC" w14:textId="77777777" w:rsidTr="00E840F9">
        <w:tc>
          <w:tcPr>
            <w:tcW w:w="9074" w:type="dxa"/>
            <w:gridSpan w:val="4"/>
            <w:tcBorders>
              <w:bottom w:val="single" w:sz="4" w:space="0" w:color="auto"/>
            </w:tcBorders>
            <w:vAlign w:val="center"/>
          </w:tcPr>
          <w:p w14:paraId="4D3E0994" w14:textId="77777777" w:rsidR="001612C5" w:rsidRPr="00C80985" w:rsidRDefault="001612C5" w:rsidP="00BD4A5D">
            <w:pPr>
              <w:pStyle w:val="TableText0"/>
              <w:keepLines/>
              <w:widowControl w:val="0"/>
              <w:rPr>
                <w:b/>
                <w:bCs w:val="0"/>
              </w:rPr>
            </w:pPr>
            <w:r w:rsidRPr="00C80985">
              <w:rPr>
                <w:b/>
                <w:bCs w:val="0"/>
              </w:rPr>
              <w:t>Conjunctivitis and injection site reaction</w:t>
            </w:r>
          </w:p>
        </w:tc>
      </w:tr>
      <w:tr w:rsidR="001612C5" w:rsidRPr="00C80985" w14:paraId="48BFCB21" w14:textId="77777777" w:rsidTr="00E840F9">
        <w:tc>
          <w:tcPr>
            <w:tcW w:w="2689" w:type="dxa"/>
            <w:tcBorders>
              <w:bottom w:val="single" w:sz="4" w:space="0" w:color="auto"/>
            </w:tcBorders>
            <w:vAlign w:val="center"/>
          </w:tcPr>
          <w:p w14:paraId="564F84CE" w14:textId="77777777" w:rsidR="001612C5" w:rsidRPr="00C80985" w:rsidRDefault="001612C5" w:rsidP="00BD4A5D">
            <w:pPr>
              <w:pStyle w:val="TableText0"/>
              <w:keepLines/>
              <w:widowControl w:val="0"/>
              <w:tabs>
                <w:tab w:val="left" w:pos="164"/>
              </w:tabs>
            </w:pPr>
            <w:r w:rsidRPr="00C80985">
              <w:t>Number with at least one conjunctivitis event</w:t>
            </w:r>
          </w:p>
        </w:tc>
        <w:tc>
          <w:tcPr>
            <w:tcW w:w="2627" w:type="dxa"/>
            <w:tcBorders>
              <w:bottom w:val="single" w:sz="4" w:space="0" w:color="auto"/>
            </w:tcBorders>
            <w:vAlign w:val="center"/>
          </w:tcPr>
          <w:p w14:paraId="43A6A3D5" w14:textId="77777777" w:rsidR="001612C5" w:rsidRPr="00C80985" w:rsidRDefault="001612C5" w:rsidP="00BD4A5D">
            <w:pPr>
              <w:pStyle w:val="TableText0"/>
              <w:keepLines/>
              <w:widowControl w:val="0"/>
              <w:jc w:val="center"/>
            </w:pPr>
            <w:r w:rsidRPr="00C80985">
              <w:t>18 (14.8%)</w:t>
            </w:r>
          </w:p>
        </w:tc>
        <w:tc>
          <w:tcPr>
            <w:tcW w:w="2098" w:type="dxa"/>
            <w:tcBorders>
              <w:bottom w:val="single" w:sz="4" w:space="0" w:color="auto"/>
            </w:tcBorders>
            <w:vAlign w:val="center"/>
          </w:tcPr>
          <w:p w14:paraId="6AE809C7" w14:textId="77777777" w:rsidR="001612C5" w:rsidRPr="00C80985" w:rsidRDefault="001612C5" w:rsidP="00BD4A5D">
            <w:pPr>
              <w:pStyle w:val="TableText0"/>
              <w:keepLines/>
              <w:widowControl w:val="0"/>
              <w:jc w:val="center"/>
            </w:pPr>
            <w:r w:rsidRPr="00C80985">
              <w:t>8 (6.7%)</w:t>
            </w:r>
          </w:p>
        </w:tc>
        <w:tc>
          <w:tcPr>
            <w:tcW w:w="1660" w:type="dxa"/>
            <w:tcBorders>
              <w:bottom w:val="single" w:sz="4" w:space="0" w:color="auto"/>
            </w:tcBorders>
            <w:vAlign w:val="center"/>
          </w:tcPr>
          <w:p w14:paraId="62CC0A9B" w14:textId="77777777" w:rsidR="001612C5" w:rsidRPr="00C80985" w:rsidRDefault="001612C5" w:rsidP="00BD4A5D">
            <w:pPr>
              <w:pStyle w:val="TableText0"/>
              <w:keepLines/>
              <w:widowControl w:val="0"/>
              <w:jc w:val="center"/>
            </w:pPr>
            <w:r w:rsidRPr="00C80985">
              <w:t>5 (4.2%)</w:t>
            </w:r>
          </w:p>
        </w:tc>
      </w:tr>
      <w:tr w:rsidR="001612C5" w:rsidRPr="00C80985" w14:paraId="26007834" w14:textId="77777777" w:rsidTr="00E840F9">
        <w:tc>
          <w:tcPr>
            <w:tcW w:w="2689" w:type="dxa"/>
            <w:tcBorders>
              <w:bottom w:val="single" w:sz="4" w:space="0" w:color="auto"/>
            </w:tcBorders>
            <w:vAlign w:val="center"/>
          </w:tcPr>
          <w:p w14:paraId="00E07D45" w14:textId="77777777" w:rsidR="001612C5" w:rsidRPr="00C80985" w:rsidRDefault="001612C5" w:rsidP="00BD4A5D">
            <w:pPr>
              <w:pStyle w:val="TableText0"/>
              <w:keepLines/>
              <w:widowControl w:val="0"/>
              <w:tabs>
                <w:tab w:val="left" w:pos="164"/>
              </w:tabs>
            </w:pPr>
            <w:r w:rsidRPr="00C80985">
              <w:tab/>
              <w:t>Conjunctivitis</w:t>
            </w:r>
          </w:p>
        </w:tc>
        <w:tc>
          <w:tcPr>
            <w:tcW w:w="2627" w:type="dxa"/>
            <w:tcBorders>
              <w:bottom w:val="single" w:sz="4" w:space="0" w:color="auto"/>
            </w:tcBorders>
            <w:vAlign w:val="center"/>
          </w:tcPr>
          <w:p w14:paraId="3F327019" w14:textId="77777777" w:rsidR="001612C5" w:rsidRPr="00C80985" w:rsidRDefault="001612C5" w:rsidP="00BD4A5D">
            <w:pPr>
              <w:pStyle w:val="TableText0"/>
              <w:keepLines/>
              <w:widowControl w:val="0"/>
              <w:jc w:val="center"/>
            </w:pPr>
            <w:r w:rsidRPr="00C80985">
              <w:t>7 (5.7%)</w:t>
            </w:r>
          </w:p>
        </w:tc>
        <w:tc>
          <w:tcPr>
            <w:tcW w:w="2098" w:type="dxa"/>
            <w:tcBorders>
              <w:bottom w:val="single" w:sz="4" w:space="0" w:color="auto"/>
            </w:tcBorders>
            <w:vAlign w:val="center"/>
          </w:tcPr>
          <w:p w14:paraId="0D03331F" w14:textId="77777777" w:rsidR="001612C5" w:rsidRPr="00C80985" w:rsidRDefault="001612C5" w:rsidP="00BD4A5D">
            <w:pPr>
              <w:pStyle w:val="TableText0"/>
              <w:keepLines/>
              <w:widowControl w:val="0"/>
              <w:jc w:val="center"/>
            </w:pPr>
            <w:r w:rsidRPr="00C80985">
              <w:t>5 (4.2%)</w:t>
            </w:r>
          </w:p>
        </w:tc>
        <w:tc>
          <w:tcPr>
            <w:tcW w:w="1660" w:type="dxa"/>
            <w:tcBorders>
              <w:bottom w:val="single" w:sz="4" w:space="0" w:color="auto"/>
            </w:tcBorders>
            <w:vAlign w:val="center"/>
          </w:tcPr>
          <w:p w14:paraId="4ECCE881" w14:textId="77777777" w:rsidR="001612C5" w:rsidRPr="00C80985" w:rsidRDefault="001612C5" w:rsidP="00BD4A5D">
            <w:pPr>
              <w:pStyle w:val="TableText0"/>
              <w:keepLines/>
              <w:widowControl w:val="0"/>
              <w:jc w:val="center"/>
            </w:pPr>
            <w:r w:rsidRPr="00C80985">
              <w:t>3 (2.5%)</w:t>
            </w:r>
          </w:p>
        </w:tc>
      </w:tr>
      <w:tr w:rsidR="001612C5" w:rsidRPr="00C80985" w14:paraId="5B91ADAA" w14:textId="77777777" w:rsidTr="00E840F9">
        <w:tc>
          <w:tcPr>
            <w:tcW w:w="2689" w:type="dxa"/>
            <w:tcBorders>
              <w:bottom w:val="single" w:sz="4" w:space="0" w:color="auto"/>
            </w:tcBorders>
            <w:vAlign w:val="center"/>
          </w:tcPr>
          <w:p w14:paraId="7B102679" w14:textId="77777777" w:rsidR="001612C5" w:rsidRPr="00C80985" w:rsidRDefault="001612C5" w:rsidP="00BD4A5D">
            <w:pPr>
              <w:pStyle w:val="TableText0"/>
              <w:keepLines/>
              <w:widowControl w:val="0"/>
              <w:tabs>
                <w:tab w:val="left" w:pos="164"/>
              </w:tabs>
            </w:pPr>
            <w:r w:rsidRPr="00C80985">
              <w:tab/>
              <w:t>Conjunctivitis allergic</w:t>
            </w:r>
          </w:p>
        </w:tc>
        <w:tc>
          <w:tcPr>
            <w:tcW w:w="2627" w:type="dxa"/>
            <w:tcBorders>
              <w:bottom w:val="single" w:sz="4" w:space="0" w:color="auto"/>
            </w:tcBorders>
            <w:vAlign w:val="center"/>
          </w:tcPr>
          <w:p w14:paraId="35A0EA04" w14:textId="77777777" w:rsidR="001612C5" w:rsidRPr="00C80985" w:rsidRDefault="001612C5" w:rsidP="00BD4A5D">
            <w:pPr>
              <w:pStyle w:val="TableText0"/>
              <w:keepLines/>
              <w:widowControl w:val="0"/>
              <w:jc w:val="center"/>
            </w:pPr>
            <w:r w:rsidRPr="00C80985">
              <w:t>5 (4.1%)</w:t>
            </w:r>
          </w:p>
        </w:tc>
        <w:tc>
          <w:tcPr>
            <w:tcW w:w="2098" w:type="dxa"/>
            <w:tcBorders>
              <w:bottom w:val="single" w:sz="4" w:space="0" w:color="auto"/>
            </w:tcBorders>
            <w:vAlign w:val="center"/>
          </w:tcPr>
          <w:p w14:paraId="793E713E" w14:textId="77777777" w:rsidR="001612C5" w:rsidRPr="00C80985" w:rsidRDefault="001612C5" w:rsidP="00BD4A5D">
            <w:pPr>
              <w:pStyle w:val="TableText0"/>
              <w:keepLines/>
              <w:widowControl w:val="0"/>
              <w:jc w:val="center"/>
            </w:pPr>
            <w:r w:rsidRPr="00C80985">
              <w:t>3 (2.5%)</w:t>
            </w:r>
          </w:p>
        </w:tc>
        <w:tc>
          <w:tcPr>
            <w:tcW w:w="1660" w:type="dxa"/>
            <w:tcBorders>
              <w:bottom w:val="single" w:sz="4" w:space="0" w:color="auto"/>
            </w:tcBorders>
            <w:vAlign w:val="center"/>
          </w:tcPr>
          <w:p w14:paraId="6B8B56E6" w14:textId="77777777" w:rsidR="001612C5" w:rsidRPr="00C80985" w:rsidRDefault="001612C5" w:rsidP="00BD4A5D">
            <w:pPr>
              <w:pStyle w:val="TableText0"/>
              <w:keepLines/>
              <w:widowControl w:val="0"/>
              <w:jc w:val="center"/>
            </w:pPr>
            <w:r w:rsidRPr="00C80985">
              <w:t>1 (0.8%)</w:t>
            </w:r>
          </w:p>
        </w:tc>
      </w:tr>
      <w:tr w:rsidR="001612C5" w:rsidRPr="00C80985" w14:paraId="48A122DC" w14:textId="77777777" w:rsidTr="00E840F9">
        <w:tc>
          <w:tcPr>
            <w:tcW w:w="2689" w:type="dxa"/>
            <w:tcBorders>
              <w:bottom w:val="single" w:sz="4" w:space="0" w:color="auto"/>
            </w:tcBorders>
            <w:vAlign w:val="center"/>
          </w:tcPr>
          <w:p w14:paraId="7EC03330" w14:textId="77777777" w:rsidR="001612C5" w:rsidRPr="00C80985" w:rsidRDefault="001612C5" w:rsidP="00BD4A5D">
            <w:pPr>
              <w:pStyle w:val="TableText0"/>
              <w:keepLines/>
              <w:widowControl w:val="0"/>
              <w:tabs>
                <w:tab w:val="left" w:pos="164"/>
              </w:tabs>
            </w:pPr>
            <w:r w:rsidRPr="00C80985">
              <w:tab/>
              <w:t>Conjunctivitis bacterial</w:t>
            </w:r>
          </w:p>
        </w:tc>
        <w:tc>
          <w:tcPr>
            <w:tcW w:w="2627" w:type="dxa"/>
            <w:tcBorders>
              <w:bottom w:val="single" w:sz="4" w:space="0" w:color="auto"/>
            </w:tcBorders>
            <w:vAlign w:val="center"/>
          </w:tcPr>
          <w:p w14:paraId="2E78AFE0" w14:textId="77777777" w:rsidR="001612C5" w:rsidRPr="00C80985" w:rsidRDefault="001612C5" w:rsidP="00BD4A5D">
            <w:pPr>
              <w:pStyle w:val="TableText0"/>
              <w:keepLines/>
              <w:widowControl w:val="0"/>
              <w:jc w:val="center"/>
            </w:pPr>
            <w:r w:rsidRPr="00C80985">
              <w:t>5 (4.1%)</w:t>
            </w:r>
          </w:p>
        </w:tc>
        <w:tc>
          <w:tcPr>
            <w:tcW w:w="2098" w:type="dxa"/>
            <w:tcBorders>
              <w:bottom w:val="single" w:sz="4" w:space="0" w:color="auto"/>
            </w:tcBorders>
            <w:vAlign w:val="center"/>
          </w:tcPr>
          <w:p w14:paraId="66FFEC87" w14:textId="77777777" w:rsidR="001612C5" w:rsidRPr="00C80985" w:rsidRDefault="001612C5" w:rsidP="00BD4A5D">
            <w:pPr>
              <w:pStyle w:val="TableText0"/>
              <w:keepLines/>
              <w:widowControl w:val="0"/>
              <w:jc w:val="center"/>
            </w:pPr>
            <w:r w:rsidRPr="00C80985">
              <w:t>0</w:t>
            </w:r>
          </w:p>
        </w:tc>
        <w:tc>
          <w:tcPr>
            <w:tcW w:w="1660" w:type="dxa"/>
            <w:tcBorders>
              <w:bottom w:val="single" w:sz="4" w:space="0" w:color="auto"/>
            </w:tcBorders>
            <w:vAlign w:val="center"/>
          </w:tcPr>
          <w:p w14:paraId="0321F42D" w14:textId="77777777" w:rsidR="001612C5" w:rsidRPr="00C80985" w:rsidRDefault="001612C5" w:rsidP="00BD4A5D">
            <w:pPr>
              <w:pStyle w:val="TableText0"/>
              <w:keepLines/>
              <w:widowControl w:val="0"/>
              <w:jc w:val="center"/>
            </w:pPr>
            <w:r w:rsidRPr="00C80985">
              <w:t>1 (0.8%)</w:t>
            </w:r>
          </w:p>
        </w:tc>
      </w:tr>
      <w:tr w:rsidR="001612C5" w:rsidRPr="00C80985" w14:paraId="78F3C550" w14:textId="77777777" w:rsidTr="00142825">
        <w:tc>
          <w:tcPr>
            <w:tcW w:w="2689" w:type="dxa"/>
            <w:tcBorders>
              <w:bottom w:val="single" w:sz="4" w:space="0" w:color="auto"/>
            </w:tcBorders>
            <w:vAlign w:val="center"/>
          </w:tcPr>
          <w:p w14:paraId="68C33AD2" w14:textId="77777777" w:rsidR="001612C5" w:rsidRPr="00C80985" w:rsidRDefault="001612C5" w:rsidP="00BD4A5D">
            <w:pPr>
              <w:pStyle w:val="TableText0"/>
              <w:keepLines/>
              <w:widowControl w:val="0"/>
              <w:tabs>
                <w:tab w:val="left" w:pos="164"/>
              </w:tabs>
            </w:pPr>
            <w:r w:rsidRPr="00C80985">
              <w:tab/>
              <w:t>Conjunctivitis viral</w:t>
            </w:r>
          </w:p>
        </w:tc>
        <w:tc>
          <w:tcPr>
            <w:tcW w:w="2627" w:type="dxa"/>
            <w:tcBorders>
              <w:bottom w:val="single" w:sz="4" w:space="0" w:color="auto"/>
            </w:tcBorders>
            <w:vAlign w:val="center"/>
          </w:tcPr>
          <w:p w14:paraId="24B48686" w14:textId="77777777" w:rsidR="001612C5" w:rsidRPr="00C80985" w:rsidRDefault="001612C5" w:rsidP="00BD4A5D">
            <w:pPr>
              <w:pStyle w:val="TableText0"/>
              <w:keepLines/>
              <w:widowControl w:val="0"/>
              <w:jc w:val="center"/>
            </w:pPr>
            <w:r w:rsidRPr="00C80985">
              <w:t>1 (0.8%)</w:t>
            </w:r>
          </w:p>
        </w:tc>
        <w:tc>
          <w:tcPr>
            <w:tcW w:w="2098" w:type="dxa"/>
            <w:tcBorders>
              <w:bottom w:val="single" w:sz="4" w:space="0" w:color="auto"/>
            </w:tcBorders>
            <w:vAlign w:val="center"/>
          </w:tcPr>
          <w:p w14:paraId="3C997C4D" w14:textId="77777777" w:rsidR="001612C5" w:rsidRPr="00C80985" w:rsidRDefault="001612C5" w:rsidP="00BD4A5D">
            <w:pPr>
              <w:pStyle w:val="TableText0"/>
              <w:keepLines/>
              <w:widowControl w:val="0"/>
              <w:jc w:val="center"/>
            </w:pPr>
            <w:r w:rsidRPr="00C80985">
              <w:t>0</w:t>
            </w:r>
          </w:p>
        </w:tc>
        <w:tc>
          <w:tcPr>
            <w:tcW w:w="1660" w:type="dxa"/>
            <w:tcBorders>
              <w:bottom w:val="single" w:sz="4" w:space="0" w:color="auto"/>
            </w:tcBorders>
            <w:vAlign w:val="center"/>
          </w:tcPr>
          <w:p w14:paraId="67426399" w14:textId="77777777" w:rsidR="001612C5" w:rsidRPr="00C80985" w:rsidRDefault="001612C5" w:rsidP="00BD4A5D">
            <w:pPr>
              <w:pStyle w:val="TableText0"/>
              <w:keepLines/>
              <w:widowControl w:val="0"/>
              <w:jc w:val="center"/>
            </w:pPr>
            <w:r w:rsidRPr="00C80985">
              <w:t>0</w:t>
            </w:r>
          </w:p>
        </w:tc>
      </w:tr>
      <w:tr w:rsidR="001612C5" w:rsidRPr="00C80985" w14:paraId="3B9B3ACA" w14:textId="77777777" w:rsidTr="00E840F9">
        <w:tc>
          <w:tcPr>
            <w:tcW w:w="2689" w:type="dxa"/>
            <w:tcBorders>
              <w:bottom w:val="single" w:sz="4" w:space="0" w:color="auto"/>
            </w:tcBorders>
            <w:vAlign w:val="center"/>
          </w:tcPr>
          <w:p w14:paraId="3AE57B02" w14:textId="77777777" w:rsidR="001612C5" w:rsidRPr="00C80985" w:rsidRDefault="001612C5" w:rsidP="00BD4A5D">
            <w:pPr>
              <w:pStyle w:val="TableText0"/>
              <w:keepLines/>
              <w:widowControl w:val="0"/>
              <w:tabs>
                <w:tab w:val="left" w:pos="164"/>
              </w:tabs>
            </w:pPr>
            <w:r w:rsidRPr="00C80985">
              <w:t>Number with at least one injection site reaction event</w:t>
            </w:r>
          </w:p>
        </w:tc>
        <w:tc>
          <w:tcPr>
            <w:tcW w:w="2627" w:type="dxa"/>
            <w:tcBorders>
              <w:bottom w:val="single" w:sz="4" w:space="0" w:color="auto"/>
            </w:tcBorders>
            <w:vAlign w:val="center"/>
          </w:tcPr>
          <w:p w14:paraId="10ACD9C4" w14:textId="77777777" w:rsidR="001612C5" w:rsidRPr="00C80985" w:rsidRDefault="001612C5" w:rsidP="00BD4A5D">
            <w:pPr>
              <w:pStyle w:val="TableText0"/>
              <w:keepLines/>
              <w:widowControl w:val="0"/>
              <w:jc w:val="center"/>
            </w:pPr>
            <w:r w:rsidRPr="00C80985">
              <w:t>13 (10.7%)</w:t>
            </w:r>
          </w:p>
        </w:tc>
        <w:tc>
          <w:tcPr>
            <w:tcW w:w="2098" w:type="dxa"/>
            <w:tcBorders>
              <w:bottom w:val="single" w:sz="4" w:space="0" w:color="auto"/>
            </w:tcBorders>
            <w:vAlign w:val="center"/>
          </w:tcPr>
          <w:p w14:paraId="522AE61B" w14:textId="77777777" w:rsidR="001612C5" w:rsidRPr="00C80985" w:rsidRDefault="001612C5" w:rsidP="00BD4A5D">
            <w:pPr>
              <w:pStyle w:val="TableText0"/>
              <w:keepLines/>
              <w:widowControl w:val="0"/>
              <w:jc w:val="center"/>
            </w:pPr>
            <w:r w:rsidRPr="00C80985">
              <w:t>12 (10.0%)</w:t>
            </w:r>
          </w:p>
        </w:tc>
        <w:tc>
          <w:tcPr>
            <w:tcW w:w="1660" w:type="dxa"/>
            <w:tcBorders>
              <w:bottom w:val="single" w:sz="4" w:space="0" w:color="auto"/>
            </w:tcBorders>
            <w:vAlign w:val="center"/>
          </w:tcPr>
          <w:p w14:paraId="52CA7299" w14:textId="77777777" w:rsidR="001612C5" w:rsidRPr="00C80985" w:rsidRDefault="001612C5" w:rsidP="00BD4A5D">
            <w:pPr>
              <w:pStyle w:val="TableText0"/>
              <w:keepLines/>
              <w:widowControl w:val="0"/>
              <w:jc w:val="center"/>
            </w:pPr>
            <w:r w:rsidRPr="00C80985">
              <w:t>7 (5.8%)</w:t>
            </w:r>
          </w:p>
        </w:tc>
      </w:tr>
    </w:tbl>
    <w:p w14:paraId="30867DC8" w14:textId="77777777" w:rsidR="001612C5" w:rsidRPr="00C80985" w:rsidRDefault="001612C5" w:rsidP="00BD4A5D">
      <w:pPr>
        <w:pStyle w:val="TableFigureFooter"/>
        <w:keepNext/>
        <w:keepLines/>
        <w:spacing w:after="0"/>
        <w:rPr>
          <w:sz w:val="20"/>
        </w:rPr>
      </w:pPr>
      <w:r w:rsidRPr="00C80985">
        <w:t>Source: Table 2-19, p107; Table 2-23, p114 of the submission</w:t>
      </w:r>
    </w:p>
    <w:p w14:paraId="576D7F33" w14:textId="60B534F8" w:rsidR="00BD454B" w:rsidRPr="00C80985" w:rsidRDefault="001612C5" w:rsidP="00BD4A5D">
      <w:pPr>
        <w:pStyle w:val="3-BodyText"/>
        <w:keepNext/>
        <w:keepLines/>
        <w:numPr>
          <w:ilvl w:val="0"/>
          <w:numId w:val="0"/>
        </w:numPr>
        <w:rPr>
          <w:rFonts w:ascii="Arial Narrow" w:hAnsi="Arial Narrow"/>
          <w:sz w:val="18"/>
          <w:szCs w:val="18"/>
        </w:rPr>
      </w:pPr>
      <w:r w:rsidRPr="00C80985">
        <w:rPr>
          <w:rFonts w:ascii="Arial Narrow" w:eastAsia="Calibri" w:hAnsi="Arial Narrow"/>
          <w:sz w:val="18"/>
          <w:szCs w:val="18"/>
        </w:rPr>
        <w:t>AE = adverse event; SAE = serious adverse event; TEAE = treatment emergent adverse event; TESAE = treatment emergent serious adverse event</w:t>
      </w:r>
    </w:p>
    <w:p w14:paraId="5D11F50F" w14:textId="641A96DA" w:rsidR="008A21C8" w:rsidRPr="00C80985" w:rsidRDefault="00941B7A" w:rsidP="00D86231">
      <w:pPr>
        <w:pStyle w:val="3-BodyText"/>
      </w:pPr>
      <w:r w:rsidRPr="00C80985">
        <w:t>There were no deaths in Study 1652, and no drug-related serious adverse events (SAEs), or SAEs leading to discontinuation.</w:t>
      </w:r>
      <w:r w:rsidR="00727E48" w:rsidRPr="00C80985">
        <w:t xml:space="preserve"> </w:t>
      </w:r>
      <w:r w:rsidRPr="00C80985">
        <w:t xml:space="preserve">There were </w:t>
      </w:r>
      <w:r w:rsidR="000B2A3D" w:rsidRPr="00C80985">
        <w:t>two</w:t>
      </w:r>
      <w:r w:rsidRPr="00C80985">
        <w:t xml:space="preserve"> placebo-treated patients (1.7%) and two dupilumab-treated patients (1.6%) who discontinued due to an AE.</w:t>
      </w:r>
      <w:r w:rsidR="00727E48" w:rsidRPr="00C80985">
        <w:t xml:space="preserve"> </w:t>
      </w:r>
      <w:r w:rsidRPr="00C80985">
        <w:t>Conjunctivitis and injections site reactions occurred more frequently in the dupilumab arms of the trial.</w:t>
      </w:r>
      <w:r w:rsidR="00727E48" w:rsidRPr="00C80985">
        <w:t xml:space="preserve"> </w:t>
      </w:r>
      <w:r w:rsidRPr="00C80985">
        <w:rPr>
          <w:iCs/>
        </w:rPr>
        <w:t>The cost of conjunctivitis</w:t>
      </w:r>
      <w:r w:rsidR="000B2A3D" w:rsidRPr="00C80985">
        <w:rPr>
          <w:iCs/>
        </w:rPr>
        <w:t xml:space="preserve"> management</w:t>
      </w:r>
      <w:r w:rsidRPr="00C80985">
        <w:rPr>
          <w:iCs/>
        </w:rPr>
        <w:t xml:space="preserve"> </w:t>
      </w:r>
      <w:r w:rsidR="000B2A3D" w:rsidRPr="00C80985">
        <w:rPr>
          <w:iCs/>
        </w:rPr>
        <w:t>was</w:t>
      </w:r>
      <w:r w:rsidRPr="00C80985">
        <w:rPr>
          <w:iCs/>
        </w:rPr>
        <w:t xml:space="preserve"> included in the economic model.</w:t>
      </w:r>
      <w:r w:rsidR="00727E48" w:rsidRPr="00C80985">
        <w:rPr>
          <w:iCs/>
        </w:rPr>
        <w:t xml:space="preserve"> </w:t>
      </w:r>
    </w:p>
    <w:p w14:paraId="56648BCA" w14:textId="44FFF1BE" w:rsidR="00583523" w:rsidRPr="00C80985" w:rsidRDefault="00941B7A" w:rsidP="00D86231">
      <w:pPr>
        <w:pStyle w:val="3-BodyText"/>
        <w:rPr>
          <w:iCs/>
        </w:rPr>
      </w:pPr>
      <w:r w:rsidRPr="00C80985">
        <w:rPr>
          <w:iCs/>
        </w:rPr>
        <w:t xml:space="preserve">There </w:t>
      </w:r>
      <w:r w:rsidR="000B2A3D" w:rsidRPr="00C80985">
        <w:rPr>
          <w:iCs/>
        </w:rPr>
        <w:t>wa</w:t>
      </w:r>
      <w:r w:rsidRPr="00C80985">
        <w:rPr>
          <w:iCs/>
        </w:rPr>
        <w:t>s considerable additional literature available on ocular AEs associated with dupilumab, including those in a paediatric population (</w:t>
      </w:r>
      <w:r w:rsidR="00730B9A" w:rsidRPr="00C80985">
        <w:rPr>
          <w:iCs/>
        </w:rPr>
        <w:t>Siegfried 2019</w:t>
      </w:r>
      <w:r w:rsidR="00730B9A" w:rsidRPr="00C80985">
        <w:rPr>
          <w:iCs/>
          <w:vertAlign w:val="superscript"/>
        </w:rPr>
        <w:footnoteReference w:id="3"/>
      </w:r>
      <w:r w:rsidR="00730B9A" w:rsidRPr="00C80985">
        <w:rPr>
          <w:iCs/>
        </w:rPr>
        <w:t>; McKenzie 2021</w:t>
      </w:r>
      <w:r w:rsidR="00730B9A" w:rsidRPr="00C80985">
        <w:rPr>
          <w:iCs/>
          <w:vertAlign w:val="superscript"/>
        </w:rPr>
        <w:footnoteReference w:id="4"/>
      </w:r>
      <w:r w:rsidR="00730B9A" w:rsidRPr="00C80985">
        <w:rPr>
          <w:iCs/>
        </w:rPr>
        <w:t xml:space="preserve">; </w:t>
      </w:r>
      <w:proofErr w:type="spellStart"/>
      <w:r w:rsidR="00730B9A" w:rsidRPr="00C80985">
        <w:rPr>
          <w:iCs/>
        </w:rPr>
        <w:t>Muzumdar</w:t>
      </w:r>
      <w:proofErr w:type="spellEnd"/>
      <w:r w:rsidR="00730B9A" w:rsidRPr="00C80985">
        <w:rPr>
          <w:iCs/>
        </w:rPr>
        <w:t xml:space="preserve"> 2020</w:t>
      </w:r>
      <w:r w:rsidR="00730B9A" w:rsidRPr="00C80985">
        <w:rPr>
          <w:iCs/>
          <w:vertAlign w:val="superscript"/>
        </w:rPr>
        <w:footnoteReference w:id="5"/>
      </w:r>
      <w:r w:rsidR="00730B9A" w:rsidRPr="00C80985">
        <w:rPr>
          <w:iCs/>
        </w:rPr>
        <w:t>; Barbieri 2021</w:t>
      </w:r>
      <w:r w:rsidR="00730B9A" w:rsidRPr="00C80985">
        <w:rPr>
          <w:iCs/>
          <w:vertAlign w:val="superscript"/>
        </w:rPr>
        <w:footnoteReference w:id="6"/>
      </w:r>
      <w:r w:rsidR="00730B9A" w:rsidRPr="00C80985">
        <w:rPr>
          <w:iCs/>
        </w:rPr>
        <w:t>; Napolitano 2021</w:t>
      </w:r>
      <w:r w:rsidR="00730B9A" w:rsidRPr="00C80985">
        <w:rPr>
          <w:iCs/>
          <w:vertAlign w:val="superscript"/>
        </w:rPr>
        <w:footnoteReference w:id="7"/>
      </w:r>
      <w:r w:rsidR="00730B9A" w:rsidRPr="00C80985">
        <w:rPr>
          <w:iCs/>
        </w:rPr>
        <w:t>; Ferreira 2020</w:t>
      </w:r>
      <w:r w:rsidR="00730B9A" w:rsidRPr="00C80985">
        <w:rPr>
          <w:iCs/>
          <w:vertAlign w:val="superscript"/>
        </w:rPr>
        <w:footnoteReference w:id="8"/>
      </w:r>
      <w:r w:rsidR="00BA69E6" w:rsidRPr="00C80985">
        <w:rPr>
          <w:iCs/>
        </w:rPr>
        <w:t xml:space="preserve">; Raffi </w:t>
      </w:r>
      <w:r w:rsidR="00BA69E6" w:rsidRPr="00C80985">
        <w:rPr>
          <w:iCs/>
        </w:rPr>
        <w:lastRenderedPageBreak/>
        <w:t>2019</w:t>
      </w:r>
      <w:r w:rsidR="00BA69E6" w:rsidRPr="00C80985">
        <w:rPr>
          <w:rStyle w:val="FootnoteReference"/>
          <w:rFonts w:ascii="Arial Narrow" w:hAnsi="Arial Narrow" w:cs="Calibri"/>
          <w:sz w:val="20"/>
          <w:szCs w:val="20"/>
        </w:rPr>
        <w:footnoteReference w:id="9"/>
      </w:r>
      <w:r w:rsidR="00BA69E6" w:rsidRPr="00C80985">
        <w:rPr>
          <w:rFonts w:ascii="Arial Narrow" w:hAnsi="Arial Narrow" w:cs="Calibri"/>
          <w:sz w:val="20"/>
          <w:szCs w:val="20"/>
        </w:rPr>
        <w:t>).</w:t>
      </w:r>
      <w:r w:rsidR="00727E48" w:rsidRPr="00C80985">
        <w:rPr>
          <w:rFonts w:ascii="Arial Narrow" w:hAnsi="Arial Narrow" w:cs="Calibri"/>
          <w:sz w:val="20"/>
          <w:szCs w:val="20"/>
        </w:rPr>
        <w:t xml:space="preserve"> </w:t>
      </w:r>
      <w:r w:rsidR="008A21C8" w:rsidRPr="00C80985">
        <w:rPr>
          <w:iCs/>
        </w:rPr>
        <w:t xml:space="preserve">There </w:t>
      </w:r>
      <w:r w:rsidR="000B2A3D" w:rsidRPr="00C80985">
        <w:rPr>
          <w:iCs/>
        </w:rPr>
        <w:t>were also</w:t>
      </w:r>
      <w:r w:rsidR="008A21C8" w:rsidRPr="00C80985">
        <w:rPr>
          <w:iCs/>
        </w:rPr>
        <w:t xml:space="preserve"> reports of facial redness (</w:t>
      </w:r>
      <w:proofErr w:type="spellStart"/>
      <w:r w:rsidR="008A21C8" w:rsidRPr="00C80985">
        <w:rPr>
          <w:iCs/>
        </w:rPr>
        <w:t>Kamata</w:t>
      </w:r>
      <w:proofErr w:type="spellEnd"/>
      <w:r w:rsidR="008A21C8" w:rsidRPr="00C80985">
        <w:rPr>
          <w:iCs/>
        </w:rPr>
        <w:t xml:space="preserve"> 2021</w:t>
      </w:r>
      <w:r w:rsidR="008A21C8" w:rsidRPr="00C80985">
        <w:rPr>
          <w:rStyle w:val="FootnoteReference"/>
          <w:rFonts w:ascii="Arial Narrow" w:hAnsi="Arial Narrow" w:cs="Calibri"/>
          <w:iCs/>
          <w:sz w:val="20"/>
          <w:szCs w:val="20"/>
        </w:rPr>
        <w:footnoteReference w:id="10"/>
      </w:r>
      <w:r w:rsidR="008A21C8" w:rsidRPr="00C80985">
        <w:rPr>
          <w:iCs/>
        </w:rPr>
        <w:t>) and eosinophilia (</w:t>
      </w:r>
      <w:proofErr w:type="spellStart"/>
      <w:r w:rsidR="008A21C8" w:rsidRPr="00C80985">
        <w:rPr>
          <w:iCs/>
        </w:rPr>
        <w:t>Francuzik</w:t>
      </w:r>
      <w:proofErr w:type="spellEnd"/>
      <w:r w:rsidR="008A21C8" w:rsidRPr="00C80985">
        <w:rPr>
          <w:iCs/>
        </w:rPr>
        <w:t xml:space="preserve"> 2021</w:t>
      </w:r>
      <w:r w:rsidR="008A21C8" w:rsidRPr="00C80985">
        <w:rPr>
          <w:rStyle w:val="FootnoteReference"/>
          <w:rFonts w:ascii="Arial Narrow" w:hAnsi="Arial Narrow" w:cs="Calibri"/>
          <w:iCs/>
          <w:sz w:val="20"/>
          <w:szCs w:val="20"/>
        </w:rPr>
        <w:footnoteReference w:id="11"/>
      </w:r>
      <w:r w:rsidR="008A21C8" w:rsidRPr="00C80985">
        <w:rPr>
          <w:iCs/>
        </w:rPr>
        <w:t>).</w:t>
      </w:r>
    </w:p>
    <w:p w14:paraId="04908C7F" w14:textId="415B9B7D" w:rsidR="007F1017" w:rsidRPr="00E57628" w:rsidRDefault="007F1017" w:rsidP="00D86231">
      <w:pPr>
        <w:pStyle w:val="4-SubsectionHeading"/>
      </w:pPr>
      <w:bookmarkStart w:id="23" w:name="_Toc22897643"/>
      <w:bookmarkStart w:id="24" w:name="_Toc93325004"/>
      <w:r w:rsidRPr="00E57628">
        <w:t>Benefits/harms</w:t>
      </w:r>
      <w:bookmarkEnd w:id="23"/>
      <w:bookmarkEnd w:id="24"/>
    </w:p>
    <w:p w14:paraId="6362840A" w14:textId="6A541A11" w:rsidR="0078246F" w:rsidRPr="00E57628" w:rsidRDefault="005963C3" w:rsidP="00D2155B">
      <w:pPr>
        <w:pStyle w:val="3-BodyText"/>
      </w:pPr>
      <w:r w:rsidRPr="00E57628">
        <w:t>A summary of the comparative benefits and harms for dupilumab versus placebo is presented in the table below.</w:t>
      </w:r>
    </w:p>
    <w:p w14:paraId="1D5C881A" w14:textId="77B4C45B" w:rsidR="00620C25" w:rsidRPr="00E57628" w:rsidRDefault="00D77B1B" w:rsidP="000D4E1F">
      <w:pPr>
        <w:keepNext/>
      </w:pPr>
      <w:bookmarkStart w:id="25" w:name="_Hlk92798209"/>
      <w:r w:rsidRPr="00E57628">
        <w:rPr>
          <w:rStyle w:val="CommentReference"/>
          <w:szCs w:val="24"/>
        </w:rPr>
        <w:t xml:space="preserve">Table </w:t>
      </w:r>
      <w:r w:rsidRPr="00E57628">
        <w:rPr>
          <w:rStyle w:val="CommentReference"/>
          <w:b w:val="0"/>
          <w:szCs w:val="24"/>
        </w:rPr>
        <w:fldChar w:fldCharType="begin"/>
      </w:r>
      <w:r w:rsidRPr="00E57628">
        <w:rPr>
          <w:rStyle w:val="CommentReference"/>
          <w:szCs w:val="24"/>
        </w:rPr>
        <w:instrText xml:space="preserve"> SEQ Table \* ARABIC </w:instrText>
      </w:r>
      <w:r w:rsidRPr="00E57628">
        <w:rPr>
          <w:rStyle w:val="CommentReference"/>
          <w:b w:val="0"/>
          <w:szCs w:val="24"/>
        </w:rPr>
        <w:fldChar w:fldCharType="separate"/>
      </w:r>
      <w:r w:rsidR="00AA723C">
        <w:rPr>
          <w:rStyle w:val="CommentReference"/>
          <w:noProof/>
          <w:szCs w:val="24"/>
        </w:rPr>
        <w:t>8</w:t>
      </w:r>
      <w:r w:rsidRPr="00E57628">
        <w:rPr>
          <w:rStyle w:val="CommentReference"/>
          <w:b w:val="0"/>
          <w:szCs w:val="24"/>
        </w:rPr>
        <w:fldChar w:fldCharType="end"/>
      </w:r>
      <w:r w:rsidRPr="00E57628">
        <w:t xml:space="preserve">: </w:t>
      </w:r>
      <w:r w:rsidRPr="00E57628">
        <w:rPr>
          <w:rStyle w:val="CommentReference"/>
          <w:szCs w:val="24"/>
        </w:rPr>
        <w:t>Summary of comparative benefits and harms for dupilumab and placebo – severe paediatric AD</w:t>
      </w:r>
    </w:p>
    <w:tbl>
      <w:tblPr>
        <w:tblStyle w:val="TableGrid"/>
        <w:tblW w:w="5000" w:type="pct"/>
        <w:tblInd w:w="28" w:type="dxa"/>
        <w:tblLayout w:type="fixed"/>
        <w:tblCellMar>
          <w:left w:w="28" w:type="dxa"/>
          <w:right w:w="28" w:type="dxa"/>
        </w:tblCellMar>
        <w:tblLook w:val="04A0" w:firstRow="1" w:lastRow="0" w:firstColumn="1" w:lastColumn="0" w:noHBand="0" w:noVBand="1"/>
        <w:tblCaption w:val="Table 12: Summary of comparative benefits and harms for dupilumab and placebo"/>
      </w:tblPr>
      <w:tblGrid>
        <w:gridCol w:w="2085"/>
        <w:gridCol w:w="986"/>
        <w:gridCol w:w="1042"/>
        <w:gridCol w:w="1369"/>
        <w:gridCol w:w="1042"/>
        <w:gridCol w:w="52"/>
        <w:gridCol w:w="873"/>
        <w:gridCol w:w="69"/>
        <w:gridCol w:w="1499"/>
      </w:tblGrid>
      <w:tr w:rsidR="000D4E1F" w:rsidRPr="00E57628" w14:paraId="7008A441" w14:textId="77777777" w:rsidTr="00B137F8">
        <w:tc>
          <w:tcPr>
            <w:tcW w:w="5000" w:type="pct"/>
            <w:gridSpan w:val="9"/>
            <w:shd w:val="clear" w:color="auto" w:fill="auto"/>
            <w:vAlign w:val="center"/>
          </w:tcPr>
          <w:p w14:paraId="699764F3" w14:textId="77777777" w:rsidR="000D4E1F" w:rsidRPr="00E57628" w:rsidRDefault="000D4E1F" w:rsidP="000D4E1F">
            <w:pPr>
              <w:pStyle w:val="TableText0"/>
              <w:rPr>
                <w:b/>
                <w:szCs w:val="20"/>
              </w:rPr>
            </w:pPr>
            <w:r w:rsidRPr="00E57628">
              <w:rPr>
                <w:b/>
                <w:szCs w:val="20"/>
              </w:rPr>
              <w:t>Benefits</w:t>
            </w:r>
          </w:p>
        </w:tc>
      </w:tr>
      <w:tr w:rsidR="000D4E1F" w:rsidRPr="00E57628" w14:paraId="6E68F67E" w14:textId="77777777" w:rsidTr="00890377">
        <w:tc>
          <w:tcPr>
            <w:tcW w:w="1156" w:type="pct"/>
            <w:vMerge w:val="restart"/>
            <w:shd w:val="clear" w:color="auto" w:fill="auto"/>
            <w:vAlign w:val="center"/>
          </w:tcPr>
          <w:p w14:paraId="1692339F" w14:textId="40B4BDED" w:rsidR="000D4E1F" w:rsidRPr="00E57628" w:rsidRDefault="000D4E1F" w:rsidP="00E840F9">
            <w:pPr>
              <w:pStyle w:val="TableText0"/>
              <w:keepLines/>
              <w:rPr>
                <w:b/>
                <w:szCs w:val="20"/>
              </w:rPr>
            </w:pPr>
            <w:r w:rsidRPr="00E57628">
              <w:rPr>
                <w:b/>
                <w:szCs w:val="20"/>
              </w:rPr>
              <w:t>Outcome</w:t>
            </w:r>
          </w:p>
        </w:tc>
        <w:tc>
          <w:tcPr>
            <w:tcW w:w="547" w:type="pct"/>
            <w:vMerge w:val="restart"/>
            <w:shd w:val="clear" w:color="auto" w:fill="auto"/>
            <w:vAlign w:val="center"/>
          </w:tcPr>
          <w:p w14:paraId="01D324B8" w14:textId="77777777" w:rsidR="000D4E1F" w:rsidRPr="00E57628" w:rsidRDefault="000D4E1F" w:rsidP="00E840F9">
            <w:pPr>
              <w:pStyle w:val="TableText0"/>
              <w:keepLines/>
              <w:jc w:val="center"/>
              <w:rPr>
                <w:b/>
                <w:szCs w:val="20"/>
              </w:rPr>
            </w:pPr>
            <w:r w:rsidRPr="00E57628">
              <w:rPr>
                <w:b/>
                <w:szCs w:val="20"/>
              </w:rPr>
              <w:t>Dupilumab</w:t>
            </w:r>
          </w:p>
        </w:tc>
        <w:tc>
          <w:tcPr>
            <w:tcW w:w="578" w:type="pct"/>
            <w:vMerge w:val="restart"/>
            <w:shd w:val="clear" w:color="auto" w:fill="auto"/>
            <w:vAlign w:val="center"/>
          </w:tcPr>
          <w:p w14:paraId="1C346509" w14:textId="77777777" w:rsidR="000D4E1F" w:rsidRPr="00E57628" w:rsidRDefault="000D4E1F" w:rsidP="00E840F9">
            <w:pPr>
              <w:pStyle w:val="TableText0"/>
              <w:keepLines/>
              <w:jc w:val="center"/>
              <w:rPr>
                <w:b/>
                <w:szCs w:val="20"/>
              </w:rPr>
            </w:pPr>
            <w:r w:rsidRPr="00E57628">
              <w:rPr>
                <w:b/>
                <w:szCs w:val="20"/>
              </w:rPr>
              <w:t>Placebo</w:t>
            </w:r>
          </w:p>
        </w:tc>
        <w:tc>
          <w:tcPr>
            <w:tcW w:w="759" w:type="pct"/>
            <w:vMerge w:val="restart"/>
            <w:shd w:val="clear" w:color="auto" w:fill="auto"/>
            <w:vAlign w:val="center"/>
          </w:tcPr>
          <w:p w14:paraId="2114DAF9" w14:textId="77777777" w:rsidR="000D4E1F" w:rsidRPr="00E57628" w:rsidRDefault="000D4E1F" w:rsidP="00E840F9">
            <w:pPr>
              <w:pStyle w:val="TableText0"/>
              <w:keepLines/>
              <w:jc w:val="center"/>
              <w:rPr>
                <w:b/>
                <w:szCs w:val="20"/>
              </w:rPr>
            </w:pPr>
            <w:r w:rsidRPr="00E57628">
              <w:rPr>
                <w:b/>
                <w:szCs w:val="20"/>
              </w:rPr>
              <w:t>RR</w:t>
            </w:r>
          </w:p>
          <w:p w14:paraId="38213EA0" w14:textId="77777777" w:rsidR="000D4E1F" w:rsidRPr="00E57628" w:rsidRDefault="000D4E1F" w:rsidP="00E840F9">
            <w:pPr>
              <w:pStyle w:val="TableText0"/>
              <w:keepLines/>
              <w:jc w:val="center"/>
              <w:rPr>
                <w:b/>
                <w:szCs w:val="20"/>
              </w:rPr>
            </w:pPr>
            <w:r w:rsidRPr="00E57628">
              <w:rPr>
                <w:b/>
                <w:szCs w:val="20"/>
              </w:rPr>
              <w:t>(95% CI)</w:t>
            </w:r>
          </w:p>
        </w:tc>
        <w:tc>
          <w:tcPr>
            <w:tcW w:w="1091" w:type="pct"/>
            <w:gridSpan w:val="3"/>
            <w:shd w:val="clear" w:color="auto" w:fill="auto"/>
            <w:vAlign w:val="center"/>
          </w:tcPr>
          <w:p w14:paraId="6E6C547E" w14:textId="77777777" w:rsidR="000D4E1F" w:rsidRPr="00E57628" w:rsidRDefault="000D4E1F" w:rsidP="00E840F9">
            <w:pPr>
              <w:pStyle w:val="TableText0"/>
              <w:keepLines/>
              <w:jc w:val="center"/>
              <w:rPr>
                <w:b/>
                <w:szCs w:val="20"/>
              </w:rPr>
            </w:pPr>
            <w:r w:rsidRPr="00E57628">
              <w:rPr>
                <w:b/>
                <w:szCs w:val="20"/>
              </w:rPr>
              <w:t>Events/100 patients</w:t>
            </w:r>
          </w:p>
        </w:tc>
        <w:tc>
          <w:tcPr>
            <w:tcW w:w="869" w:type="pct"/>
            <w:gridSpan w:val="2"/>
            <w:vMerge w:val="restart"/>
            <w:shd w:val="clear" w:color="auto" w:fill="auto"/>
            <w:vAlign w:val="center"/>
          </w:tcPr>
          <w:p w14:paraId="4CF253D8" w14:textId="77777777" w:rsidR="000D4E1F" w:rsidRPr="00E57628" w:rsidRDefault="000D4E1F" w:rsidP="00E840F9">
            <w:pPr>
              <w:pStyle w:val="TableText0"/>
              <w:keepLines/>
              <w:jc w:val="center"/>
              <w:rPr>
                <w:b/>
                <w:szCs w:val="20"/>
              </w:rPr>
            </w:pPr>
            <w:r w:rsidRPr="00E57628">
              <w:rPr>
                <w:b/>
                <w:szCs w:val="20"/>
              </w:rPr>
              <w:t>RD, %</w:t>
            </w:r>
          </w:p>
          <w:p w14:paraId="078758DE" w14:textId="77777777" w:rsidR="000D4E1F" w:rsidRPr="00E57628" w:rsidRDefault="000D4E1F" w:rsidP="00E840F9">
            <w:pPr>
              <w:pStyle w:val="TableText0"/>
              <w:keepLines/>
              <w:jc w:val="center"/>
              <w:rPr>
                <w:b/>
                <w:szCs w:val="20"/>
              </w:rPr>
            </w:pPr>
            <w:r w:rsidRPr="00E57628">
              <w:rPr>
                <w:b/>
                <w:szCs w:val="20"/>
              </w:rPr>
              <w:t>(95% CI)</w:t>
            </w:r>
          </w:p>
        </w:tc>
      </w:tr>
      <w:tr w:rsidR="000D4E1F" w:rsidRPr="00E57628" w14:paraId="58FE25B9" w14:textId="77777777" w:rsidTr="00890377">
        <w:tc>
          <w:tcPr>
            <w:tcW w:w="1156" w:type="pct"/>
            <w:vMerge/>
            <w:shd w:val="clear" w:color="auto" w:fill="auto"/>
            <w:vAlign w:val="center"/>
          </w:tcPr>
          <w:p w14:paraId="4BC5224E" w14:textId="77777777" w:rsidR="000D4E1F" w:rsidRPr="00E57628" w:rsidRDefault="000D4E1F" w:rsidP="00E840F9">
            <w:pPr>
              <w:pStyle w:val="TableText0"/>
              <w:keepLines/>
              <w:rPr>
                <w:szCs w:val="20"/>
              </w:rPr>
            </w:pPr>
          </w:p>
        </w:tc>
        <w:tc>
          <w:tcPr>
            <w:tcW w:w="547" w:type="pct"/>
            <w:vMerge/>
            <w:shd w:val="clear" w:color="auto" w:fill="auto"/>
            <w:vAlign w:val="center"/>
          </w:tcPr>
          <w:p w14:paraId="64C1DEC7" w14:textId="77777777" w:rsidR="000D4E1F" w:rsidRPr="00E57628" w:rsidRDefault="000D4E1F" w:rsidP="00E840F9">
            <w:pPr>
              <w:pStyle w:val="TableText0"/>
              <w:keepLines/>
              <w:jc w:val="center"/>
              <w:rPr>
                <w:szCs w:val="20"/>
              </w:rPr>
            </w:pPr>
          </w:p>
        </w:tc>
        <w:tc>
          <w:tcPr>
            <w:tcW w:w="578" w:type="pct"/>
            <w:vMerge/>
            <w:shd w:val="clear" w:color="auto" w:fill="auto"/>
            <w:vAlign w:val="center"/>
          </w:tcPr>
          <w:p w14:paraId="7C8C6D54" w14:textId="77777777" w:rsidR="000D4E1F" w:rsidRPr="00E57628" w:rsidRDefault="000D4E1F" w:rsidP="00E840F9">
            <w:pPr>
              <w:pStyle w:val="TableText0"/>
              <w:keepLines/>
              <w:jc w:val="center"/>
              <w:rPr>
                <w:szCs w:val="20"/>
              </w:rPr>
            </w:pPr>
          </w:p>
        </w:tc>
        <w:tc>
          <w:tcPr>
            <w:tcW w:w="759" w:type="pct"/>
            <w:vMerge/>
            <w:shd w:val="clear" w:color="auto" w:fill="auto"/>
            <w:vAlign w:val="center"/>
          </w:tcPr>
          <w:p w14:paraId="324B2514" w14:textId="77777777" w:rsidR="000D4E1F" w:rsidRPr="00E57628" w:rsidRDefault="000D4E1F" w:rsidP="00E840F9">
            <w:pPr>
              <w:pStyle w:val="TableText0"/>
              <w:keepLines/>
              <w:jc w:val="center"/>
              <w:rPr>
                <w:szCs w:val="20"/>
              </w:rPr>
            </w:pPr>
          </w:p>
        </w:tc>
        <w:tc>
          <w:tcPr>
            <w:tcW w:w="578" w:type="pct"/>
            <w:shd w:val="clear" w:color="auto" w:fill="auto"/>
            <w:vAlign w:val="center"/>
          </w:tcPr>
          <w:p w14:paraId="07DA49F5" w14:textId="77777777" w:rsidR="000D4E1F" w:rsidRPr="00E57628" w:rsidRDefault="000D4E1F" w:rsidP="00E840F9">
            <w:pPr>
              <w:pStyle w:val="TableText0"/>
              <w:keepLines/>
              <w:jc w:val="center"/>
              <w:rPr>
                <w:b/>
                <w:szCs w:val="20"/>
              </w:rPr>
            </w:pPr>
            <w:r w:rsidRPr="00E57628">
              <w:rPr>
                <w:b/>
                <w:szCs w:val="20"/>
              </w:rPr>
              <w:t>Dupilumab</w:t>
            </w:r>
          </w:p>
        </w:tc>
        <w:tc>
          <w:tcPr>
            <w:tcW w:w="513" w:type="pct"/>
            <w:gridSpan w:val="2"/>
            <w:shd w:val="clear" w:color="auto" w:fill="auto"/>
            <w:vAlign w:val="center"/>
          </w:tcPr>
          <w:p w14:paraId="5C53FFBD" w14:textId="77777777" w:rsidR="000D4E1F" w:rsidRPr="00E57628" w:rsidRDefault="000D4E1F" w:rsidP="00E840F9">
            <w:pPr>
              <w:pStyle w:val="TableText0"/>
              <w:keepLines/>
              <w:jc w:val="center"/>
              <w:rPr>
                <w:b/>
                <w:szCs w:val="20"/>
              </w:rPr>
            </w:pPr>
            <w:r w:rsidRPr="00E57628">
              <w:rPr>
                <w:b/>
                <w:szCs w:val="20"/>
              </w:rPr>
              <w:t>Placebo</w:t>
            </w:r>
          </w:p>
        </w:tc>
        <w:tc>
          <w:tcPr>
            <w:tcW w:w="869" w:type="pct"/>
            <w:gridSpan w:val="2"/>
            <w:vMerge/>
            <w:shd w:val="clear" w:color="auto" w:fill="auto"/>
            <w:vAlign w:val="center"/>
          </w:tcPr>
          <w:p w14:paraId="1D86D74B" w14:textId="77777777" w:rsidR="000D4E1F" w:rsidRPr="00E57628" w:rsidRDefault="000D4E1F" w:rsidP="00E840F9">
            <w:pPr>
              <w:pStyle w:val="TableText0"/>
              <w:keepLines/>
              <w:jc w:val="center"/>
              <w:rPr>
                <w:szCs w:val="20"/>
              </w:rPr>
            </w:pPr>
          </w:p>
        </w:tc>
      </w:tr>
      <w:tr w:rsidR="000D4E1F" w:rsidRPr="00E57628" w14:paraId="196BDE31" w14:textId="77777777" w:rsidTr="00B137F8">
        <w:tc>
          <w:tcPr>
            <w:tcW w:w="5000" w:type="pct"/>
            <w:gridSpan w:val="9"/>
            <w:shd w:val="clear" w:color="auto" w:fill="auto"/>
            <w:vAlign w:val="center"/>
          </w:tcPr>
          <w:p w14:paraId="28F9FD01" w14:textId="7FBCBE63" w:rsidR="000D4E1F" w:rsidRPr="00E57628" w:rsidRDefault="000D4E1F" w:rsidP="00E840F9">
            <w:pPr>
              <w:pStyle w:val="TableText0"/>
              <w:keepLines/>
              <w:rPr>
                <w:szCs w:val="20"/>
              </w:rPr>
            </w:pPr>
            <w:r w:rsidRPr="00E57628">
              <w:rPr>
                <w:b/>
                <w:szCs w:val="20"/>
              </w:rPr>
              <w:t>EASI</w:t>
            </w:r>
            <w:r w:rsidR="00F625FE" w:rsidRPr="00E57628">
              <w:rPr>
                <w:b/>
                <w:szCs w:val="20"/>
              </w:rPr>
              <w:t xml:space="preserve"> </w:t>
            </w:r>
            <w:r w:rsidRPr="00E57628">
              <w:rPr>
                <w:b/>
                <w:szCs w:val="20"/>
              </w:rPr>
              <w:t>75 response at Week 16</w:t>
            </w:r>
            <w:r w:rsidRPr="00E57628">
              <w:rPr>
                <w:b/>
              </w:rPr>
              <w:t xml:space="preserve"> – overall trial population</w:t>
            </w:r>
          </w:p>
        </w:tc>
      </w:tr>
      <w:tr w:rsidR="000D4E1F" w:rsidRPr="00E57628" w14:paraId="596859D8" w14:textId="77777777" w:rsidTr="00890377">
        <w:tc>
          <w:tcPr>
            <w:tcW w:w="1156" w:type="pct"/>
            <w:shd w:val="clear" w:color="auto" w:fill="auto"/>
            <w:vAlign w:val="center"/>
          </w:tcPr>
          <w:p w14:paraId="5A37B492" w14:textId="77777777" w:rsidR="000D4E1F" w:rsidRPr="00E57628" w:rsidRDefault="000D4E1F" w:rsidP="00E840F9">
            <w:pPr>
              <w:pStyle w:val="TableText0"/>
              <w:keepLines/>
              <w:rPr>
                <w:szCs w:val="20"/>
              </w:rPr>
            </w:pPr>
            <w:r w:rsidRPr="00E57628">
              <w:rPr>
                <w:szCs w:val="20"/>
              </w:rPr>
              <w:t>Dupilumab 100 or 200 mg Q2W</w:t>
            </w:r>
          </w:p>
        </w:tc>
        <w:tc>
          <w:tcPr>
            <w:tcW w:w="547" w:type="pct"/>
            <w:shd w:val="clear" w:color="auto" w:fill="auto"/>
            <w:vAlign w:val="center"/>
          </w:tcPr>
          <w:p w14:paraId="26173CC7" w14:textId="77777777" w:rsidR="000D4E1F" w:rsidRPr="00E57628" w:rsidRDefault="000D4E1F" w:rsidP="00E840F9">
            <w:pPr>
              <w:pStyle w:val="TableText0"/>
              <w:keepLines/>
              <w:jc w:val="center"/>
              <w:rPr>
                <w:szCs w:val="20"/>
              </w:rPr>
            </w:pPr>
            <w:r w:rsidRPr="00E57628">
              <w:t>82/122</w:t>
            </w:r>
          </w:p>
        </w:tc>
        <w:tc>
          <w:tcPr>
            <w:tcW w:w="578" w:type="pct"/>
            <w:shd w:val="clear" w:color="auto" w:fill="auto"/>
            <w:vAlign w:val="center"/>
          </w:tcPr>
          <w:p w14:paraId="64835BCF" w14:textId="77777777" w:rsidR="000D4E1F" w:rsidRPr="00E57628" w:rsidRDefault="000D4E1F" w:rsidP="00E840F9">
            <w:pPr>
              <w:pStyle w:val="TableText0"/>
              <w:keepLines/>
              <w:jc w:val="center"/>
              <w:rPr>
                <w:szCs w:val="20"/>
              </w:rPr>
            </w:pPr>
            <w:r w:rsidRPr="00E57628">
              <w:t>33/123</w:t>
            </w:r>
          </w:p>
        </w:tc>
        <w:tc>
          <w:tcPr>
            <w:tcW w:w="759" w:type="pct"/>
            <w:shd w:val="clear" w:color="auto" w:fill="auto"/>
            <w:vAlign w:val="center"/>
          </w:tcPr>
          <w:p w14:paraId="1E65F2E9" w14:textId="4AAF7526" w:rsidR="000D4E1F" w:rsidRPr="00E57628" w:rsidRDefault="000D4E1F" w:rsidP="00E840F9">
            <w:pPr>
              <w:pStyle w:val="TableText0"/>
              <w:keepLines/>
              <w:jc w:val="center"/>
              <w:rPr>
                <w:b/>
                <w:szCs w:val="20"/>
              </w:rPr>
            </w:pPr>
            <w:r w:rsidRPr="00E57628">
              <w:rPr>
                <w:b/>
              </w:rPr>
              <w:t>2.5</w:t>
            </w:r>
            <w:r w:rsidRPr="00E57628">
              <w:rPr>
                <w:b/>
                <w:szCs w:val="20"/>
              </w:rPr>
              <w:t xml:space="preserve"> (</w:t>
            </w:r>
            <w:r w:rsidRPr="00E57628">
              <w:rPr>
                <w:b/>
              </w:rPr>
              <w:t>1.8</w:t>
            </w:r>
            <w:r w:rsidRPr="00E57628">
              <w:rPr>
                <w:b/>
                <w:szCs w:val="20"/>
              </w:rPr>
              <w:t>, 3.</w:t>
            </w:r>
            <w:r w:rsidRPr="00E57628">
              <w:rPr>
                <w:b/>
              </w:rPr>
              <w:t>4</w:t>
            </w:r>
            <w:r w:rsidRPr="00E57628">
              <w:rPr>
                <w:b/>
                <w:szCs w:val="20"/>
              </w:rPr>
              <w:t>)</w:t>
            </w:r>
          </w:p>
        </w:tc>
        <w:tc>
          <w:tcPr>
            <w:tcW w:w="578" w:type="pct"/>
            <w:shd w:val="clear" w:color="auto" w:fill="auto"/>
            <w:vAlign w:val="center"/>
          </w:tcPr>
          <w:p w14:paraId="48249EE6" w14:textId="77777777" w:rsidR="000D4E1F" w:rsidRPr="00E57628" w:rsidRDefault="000D4E1F" w:rsidP="00E840F9">
            <w:pPr>
              <w:pStyle w:val="TableText0"/>
              <w:keepLines/>
              <w:jc w:val="center"/>
              <w:rPr>
                <w:szCs w:val="20"/>
              </w:rPr>
            </w:pPr>
            <w:r w:rsidRPr="00E57628">
              <w:t>67</w:t>
            </w:r>
            <w:r w:rsidRPr="00E57628">
              <w:rPr>
                <w:szCs w:val="20"/>
              </w:rPr>
              <w:t>.2</w:t>
            </w:r>
          </w:p>
        </w:tc>
        <w:tc>
          <w:tcPr>
            <w:tcW w:w="513" w:type="pct"/>
            <w:gridSpan w:val="2"/>
            <w:shd w:val="clear" w:color="auto" w:fill="auto"/>
            <w:vAlign w:val="center"/>
          </w:tcPr>
          <w:p w14:paraId="3FF0B79E" w14:textId="77777777" w:rsidR="000D4E1F" w:rsidRPr="00E57628" w:rsidRDefault="000D4E1F" w:rsidP="00E840F9">
            <w:pPr>
              <w:pStyle w:val="TableText0"/>
              <w:keepLines/>
              <w:jc w:val="center"/>
              <w:rPr>
                <w:szCs w:val="20"/>
              </w:rPr>
            </w:pPr>
            <w:r w:rsidRPr="00E57628">
              <w:t>26.8</w:t>
            </w:r>
          </w:p>
        </w:tc>
        <w:tc>
          <w:tcPr>
            <w:tcW w:w="869" w:type="pct"/>
            <w:gridSpan w:val="2"/>
            <w:shd w:val="clear" w:color="auto" w:fill="auto"/>
            <w:vAlign w:val="center"/>
          </w:tcPr>
          <w:p w14:paraId="10C10EFA" w14:textId="77777777" w:rsidR="000D4E1F" w:rsidRPr="00E57628" w:rsidRDefault="000D4E1F" w:rsidP="00E840F9">
            <w:pPr>
              <w:pStyle w:val="TableText0"/>
              <w:keepLines/>
              <w:jc w:val="center"/>
              <w:rPr>
                <w:b/>
                <w:szCs w:val="20"/>
              </w:rPr>
            </w:pPr>
            <w:r w:rsidRPr="00E57628">
              <w:rPr>
                <w:b/>
              </w:rPr>
              <w:t>40.4</w:t>
            </w:r>
            <w:r w:rsidRPr="00E57628">
              <w:rPr>
                <w:b/>
                <w:szCs w:val="20"/>
              </w:rPr>
              <w:t xml:space="preserve"> (</w:t>
            </w:r>
            <w:r w:rsidRPr="00E57628">
              <w:rPr>
                <w:b/>
              </w:rPr>
              <w:t>28.9</w:t>
            </w:r>
            <w:r w:rsidRPr="00E57628">
              <w:rPr>
                <w:b/>
                <w:szCs w:val="20"/>
              </w:rPr>
              <w:t xml:space="preserve">, </w:t>
            </w:r>
            <w:r w:rsidRPr="00E57628">
              <w:rPr>
                <w:b/>
              </w:rPr>
              <w:t>51.8</w:t>
            </w:r>
            <w:r w:rsidRPr="00E57628">
              <w:rPr>
                <w:b/>
                <w:szCs w:val="20"/>
              </w:rPr>
              <w:t>)</w:t>
            </w:r>
          </w:p>
        </w:tc>
      </w:tr>
      <w:tr w:rsidR="000D4E1F" w:rsidRPr="00E57628" w14:paraId="21056D48" w14:textId="77777777" w:rsidTr="00890377">
        <w:tc>
          <w:tcPr>
            <w:tcW w:w="1156" w:type="pct"/>
            <w:shd w:val="clear" w:color="auto" w:fill="auto"/>
            <w:vAlign w:val="center"/>
          </w:tcPr>
          <w:p w14:paraId="134BA92F" w14:textId="77777777" w:rsidR="000D4E1F" w:rsidRPr="00E57628" w:rsidRDefault="000D4E1F" w:rsidP="00E840F9">
            <w:pPr>
              <w:pStyle w:val="TableText0"/>
              <w:keepLines/>
              <w:rPr>
                <w:szCs w:val="20"/>
              </w:rPr>
            </w:pPr>
            <w:r w:rsidRPr="00E57628">
              <w:rPr>
                <w:szCs w:val="20"/>
              </w:rPr>
              <w:t>Dupilumab 300 mg Q4W</w:t>
            </w:r>
          </w:p>
        </w:tc>
        <w:tc>
          <w:tcPr>
            <w:tcW w:w="547" w:type="pct"/>
            <w:shd w:val="clear" w:color="auto" w:fill="auto"/>
            <w:vAlign w:val="center"/>
          </w:tcPr>
          <w:p w14:paraId="58A63143" w14:textId="77777777" w:rsidR="000D4E1F" w:rsidRPr="00E57628" w:rsidRDefault="000D4E1F" w:rsidP="00E840F9">
            <w:pPr>
              <w:pStyle w:val="TableText0"/>
              <w:keepLines/>
              <w:jc w:val="center"/>
              <w:rPr>
                <w:szCs w:val="20"/>
              </w:rPr>
            </w:pPr>
            <w:r w:rsidRPr="00E57628">
              <w:t>85/122</w:t>
            </w:r>
          </w:p>
        </w:tc>
        <w:tc>
          <w:tcPr>
            <w:tcW w:w="578" w:type="pct"/>
            <w:shd w:val="clear" w:color="auto" w:fill="auto"/>
            <w:vAlign w:val="center"/>
          </w:tcPr>
          <w:p w14:paraId="7ABCB239" w14:textId="77777777" w:rsidR="000D4E1F" w:rsidRPr="00E57628" w:rsidRDefault="000D4E1F" w:rsidP="00E840F9">
            <w:pPr>
              <w:pStyle w:val="TableText0"/>
              <w:keepLines/>
              <w:jc w:val="center"/>
              <w:rPr>
                <w:szCs w:val="20"/>
              </w:rPr>
            </w:pPr>
            <w:r w:rsidRPr="00E57628">
              <w:t>33/123</w:t>
            </w:r>
          </w:p>
        </w:tc>
        <w:tc>
          <w:tcPr>
            <w:tcW w:w="759" w:type="pct"/>
            <w:shd w:val="clear" w:color="auto" w:fill="auto"/>
            <w:vAlign w:val="center"/>
          </w:tcPr>
          <w:p w14:paraId="340E4193" w14:textId="19F7F0B4" w:rsidR="000D4E1F" w:rsidRPr="00E57628" w:rsidRDefault="000D4E1F" w:rsidP="00E840F9">
            <w:pPr>
              <w:pStyle w:val="TableText0"/>
              <w:keepLines/>
              <w:jc w:val="center"/>
              <w:rPr>
                <w:b/>
                <w:szCs w:val="20"/>
              </w:rPr>
            </w:pPr>
            <w:r w:rsidRPr="00E57628">
              <w:rPr>
                <w:b/>
              </w:rPr>
              <w:t>2.6 (1.9, 3.6)</w:t>
            </w:r>
          </w:p>
        </w:tc>
        <w:tc>
          <w:tcPr>
            <w:tcW w:w="578" w:type="pct"/>
            <w:shd w:val="clear" w:color="auto" w:fill="auto"/>
            <w:vAlign w:val="center"/>
          </w:tcPr>
          <w:p w14:paraId="21F66A76" w14:textId="77777777" w:rsidR="000D4E1F" w:rsidRPr="00E57628" w:rsidRDefault="000D4E1F" w:rsidP="00E840F9">
            <w:pPr>
              <w:pStyle w:val="TableText0"/>
              <w:keepLines/>
              <w:jc w:val="center"/>
              <w:rPr>
                <w:szCs w:val="20"/>
              </w:rPr>
            </w:pPr>
            <w:r w:rsidRPr="00E57628">
              <w:t>69.7</w:t>
            </w:r>
          </w:p>
        </w:tc>
        <w:tc>
          <w:tcPr>
            <w:tcW w:w="513" w:type="pct"/>
            <w:gridSpan w:val="2"/>
            <w:shd w:val="clear" w:color="auto" w:fill="auto"/>
            <w:vAlign w:val="center"/>
          </w:tcPr>
          <w:p w14:paraId="055F0457" w14:textId="77777777" w:rsidR="000D4E1F" w:rsidRPr="00E57628" w:rsidRDefault="000D4E1F" w:rsidP="00E840F9">
            <w:pPr>
              <w:pStyle w:val="TableText0"/>
              <w:keepLines/>
              <w:jc w:val="center"/>
              <w:rPr>
                <w:szCs w:val="20"/>
              </w:rPr>
            </w:pPr>
            <w:r w:rsidRPr="00E57628">
              <w:t>26.8</w:t>
            </w:r>
          </w:p>
        </w:tc>
        <w:tc>
          <w:tcPr>
            <w:tcW w:w="869" w:type="pct"/>
            <w:gridSpan w:val="2"/>
            <w:shd w:val="clear" w:color="auto" w:fill="auto"/>
            <w:vAlign w:val="center"/>
          </w:tcPr>
          <w:p w14:paraId="29363E6C" w14:textId="77777777" w:rsidR="000D4E1F" w:rsidRPr="00E57628" w:rsidRDefault="000D4E1F" w:rsidP="00E840F9">
            <w:pPr>
              <w:pStyle w:val="TableText0"/>
              <w:keepLines/>
              <w:jc w:val="center"/>
              <w:rPr>
                <w:b/>
                <w:szCs w:val="20"/>
              </w:rPr>
            </w:pPr>
            <w:r w:rsidRPr="00E57628">
              <w:rPr>
                <w:b/>
              </w:rPr>
              <w:t>42.9 (31.6, 54.2)</w:t>
            </w:r>
          </w:p>
        </w:tc>
      </w:tr>
      <w:tr w:rsidR="000D4E1F" w:rsidRPr="00E57628" w14:paraId="35F35D1B" w14:textId="77777777" w:rsidTr="00B137F8">
        <w:tc>
          <w:tcPr>
            <w:tcW w:w="5000" w:type="pct"/>
            <w:gridSpan w:val="9"/>
            <w:shd w:val="clear" w:color="auto" w:fill="auto"/>
            <w:vAlign w:val="center"/>
          </w:tcPr>
          <w:p w14:paraId="683E37E6" w14:textId="37DBE77A" w:rsidR="000D4E1F" w:rsidRPr="00E57628" w:rsidRDefault="000D4E1F" w:rsidP="00E840F9">
            <w:pPr>
              <w:pStyle w:val="TableText0"/>
              <w:keepLines/>
              <w:rPr>
                <w:b/>
                <w:szCs w:val="20"/>
              </w:rPr>
            </w:pPr>
            <w:r w:rsidRPr="00E57628">
              <w:rPr>
                <w:b/>
                <w:szCs w:val="20"/>
              </w:rPr>
              <w:t xml:space="preserve">EASI 50 and </w:t>
            </w:r>
            <w:r w:rsidR="00766BD7" w:rsidRPr="00E57628">
              <w:rPr>
                <w:b/>
                <w:szCs w:val="20"/>
              </w:rPr>
              <w:t>CDLQI</w:t>
            </w:r>
            <w:r w:rsidRPr="00E57628">
              <w:rPr>
                <w:b/>
                <w:szCs w:val="20"/>
              </w:rPr>
              <w:t>4 &lt;30 kg</w:t>
            </w:r>
          </w:p>
        </w:tc>
      </w:tr>
      <w:tr w:rsidR="000D4E1F" w:rsidRPr="00E57628" w14:paraId="278C34DD" w14:textId="77777777" w:rsidTr="00890377">
        <w:tc>
          <w:tcPr>
            <w:tcW w:w="1156" w:type="pct"/>
            <w:shd w:val="clear" w:color="auto" w:fill="auto"/>
            <w:vAlign w:val="center"/>
          </w:tcPr>
          <w:p w14:paraId="54479386" w14:textId="77777777" w:rsidR="000D4E1F" w:rsidRPr="00E57628" w:rsidRDefault="000D4E1F" w:rsidP="00E840F9">
            <w:pPr>
              <w:pStyle w:val="TableText0"/>
              <w:keepLines/>
              <w:rPr>
                <w:szCs w:val="20"/>
              </w:rPr>
            </w:pPr>
            <w:r w:rsidRPr="00E57628">
              <w:rPr>
                <w:szCs w:val="20"/>
              </w:rPr>
              <w:t>Dupilumab 300 mg Q4W</w:t>
            </w:r>
          </w:p>
        </w:tc>
        <w:tc>
          <w:tcPr>
            <w:tcW w:w="547" w:type="pct"/>
            <w:shd w:val="clear" w:color="auto" w:fill="auto"/>
            <w:vAlign w:val="center"/>
          </w:tcPr>
          <w:p w14:paraId="58F356CB" w14:textId="77777777" w:rsidR="000D4E1F" w:rsidRPr="00E57628" w:rsidRDefault="000D4E1F" w:rsidP="00E840F9">
            <w:pPr>
              <w:pStyle w:val="TableText0"/>
              <w:keepLines/>
              <w:jc w:val="center"/>
              <w:rPr>
                <w:szCs w:val="20"/>
              </w:rPr>
            </w:pPr>
            <w:r w:rsidRPr="00E57628">
              <w:t>50/61</w:t>
            </w:r>
            <w:r w:rsidRPr="00E57628">
              <w:rPr>
                <w:szCs w:val="20"/>
              </w:rPr>
              <w:t xml:space="preserve"> </w:t>
            </w:r>
          </w:p>
        </w:tc>
        <w:tc>
          <w:tcPr>
            <w:tcW w:w="578" w:type="pct"/>
            <w:shd w:val="clear" w:color="auto" w:fill="auto"/>
            <w:vAlign w:val="center"/>
          </w:tcPr>
          <w:p w14:paraId="0A557ECB" w14:textId="77777777" w:rsidR="000D4E1F" w:rsidRPr="00E57628" w:rsidRDefault="000D4E1F" w:rsidP="00E840F9">
            <w:pPr>
              <w:pStyle w:val="TableText0"/>
              <w:keepLines/>
              <w:jc w:val="center"/>
              <w:rPr>
                <w:szCs w:val="20"/>
              </w:rPr>
            </w:pPr>
            <w:r w:rsidRPr="00E57628">
              <w:t>8/29</w:t>
            </w:r>
            <w:r w:rsidRPr="00E57628">
              <w:rPr>
                <w:szCs w:val="20"/>
              </w:rPr>
              <w:t xml:space="preserve"> </w:t>
            </w:r>
          </w:p>
        </w:tc>
        <w:tc>
          <w:tcPr>
            <w:tcW w:w="759" w:type="pct"/>
            <w:shd w:val="clear" w:color="auto" w:fill="auto"/>
            <w:vAlign w:val="center"/>
          </w:tcPr>
          <w:p w14:paraId="0CEDEB72" w14:textId="4F4F8A8A" w:rsidR="000D4E1F" w:rsidRPr="00E57628" w:rsidRDefault="00B137F8" w:rsidP="00E840F9">
            <w:pPr>
              <w:pStyle w:val="TableText0"/>
              <w:keepLines/>
              <w:jc w:val="center"/>
              <w:rPr>
                <w:b/>
                <w:szCs w:val="20"/>
              </w:rPr>
            </w:pPr>
            <w:r w:rsidRPr="00E57628">
              <w:rPr>
                <w:b/>
              </w:rPr>
              <w:t>3.0</w:t>
            </w:r>
            <w:r w:rsidR="000D4E1F" w:rsidRPr="00E57628">
              <w:rPr>
                <w:b/>
                <w:szCs w:val="20"/>
              </w:rPr>
              <w:t xml:space="preserve"> (</w:t>
            </w:r>
            <w:r w:rsidR="000D4E1F" w:rsidRPr="00E57628">
              <w:rPr>
                <w:b/>
              </w:rPr>
              <w:t>1.6</w:t>
            </w:r>
            <w:r w:rsidR="000D4E1F" w:rsidRPr="00E57628">
              <w:rPr>
                <w:b/>
                <w:szCs w:val="20"/>
              </w:rPr>
              <w:t xml:space="preserve">, </w:t>
            </w:r>
            <w:r w:rsidR="000D4E1F" w:rsidRPr="00E57628">
              <w:rPr>
                <w:b/>
              </w:rPr>
              <w:t>5.4</w:t>
            </w:r>
            <w:r w:rsidR="000D4E1F" w:rsidRPr="00E57628">
              <w:rPr>
                <w:b/>
                <w:szCs w:val="20"/>
              </w:rPr>
              <w:t>)</w:t>
            </w:r>
          </w:p>
        </w:tc>
        <w:tc>
          <w:tcPr>
            <w:tcW w:w="578" w:type="pct"/>
            <w:shd w:val="clear" w:color="auto" w:fill="auto"/>
            <w:vAlign w:val="center"/>
          </w:tcPr>
          <w:p w14:paraId="1E6E22A6" w14:textId="77777777" w:rsidR="000D4E1F" w:rsidRPr="00E57628" w:rsidRDefault="000D4E1F" w:rsidP="00E840F9">
            <w:pPr>
              <w:pStyle w:val="TableText0"/>
              <w:keepLines/>
              <w:jc w:val="center"/>
              <w:rPr>
                <w:szCs w:val="20"/>
              </w:rPr>
            </w:pPr>
            <w:r w:rsidRPr="00E57628">
              <w:t>82.0</w:t>
            </w:r>
          </w:p>
        </w:tc>
        <w:tc>
          <w:tcPr>
            <w:tcW w:w="513" w:type="pct"/>
            <w:gridSpan w:val="2"/>
            <w:shd w:val="clear" w:color="auto" w:fill="auto"/>
            <w:vAlign w:val="center"/>
          </w:tcPr>
          <w:p w14:paraId="0233F08F" w14:textId="77777777" w:rsidR="000D4E1F" w:rsidRPr="00E57628" w:rsidRDefault="000D4E1F" w:rsidP="00E840F9">
            <w:pPr>
              <w:pStyle w:val="TableText0"/>
              <w:keepLines/>
              <w:jc w:val="center"/>
              <w:rPr>
                <w:szCs w:val="20"/>
              </w:rPr>
            </w:pPr>
            <w:r w:rsidRPr="00E57628">
              <w:t>27.6</w:t>
            </w:r>
          </w:p>
        </w:tc>
        <w:tc>
          <w:tcPr>
            <w:tcW w:w="869" w:type="pct"/>
            <w:gridSpan w:val="2"/>
            <w:shd w:val="clear" w:color="auto" w:fill="auto"/>
            <w:vAlign w:val="center"/>
          </w:tcPr>
          <w:p w14:paraId="1DA03E8C" w14:textId="77777777" w:rsidR="000D4E1F" w:rsidRPr="00E57628" w:rsidRDefault="000D4E1F" w:rsidP="00E840F9">
            <w:pPr>
              <w:pStyle w:val="TableText0"/>
              <w:keepLines/>
              <w:jc w:val="center"/>
              <w:rPr>
                <w:b/>
                <w:szCs w:val="20"/>
              </w:rPr>
            </w:pPr>
            <w:r w:rsidRPr="00E57628">
              <w:rPr>
                <w:b/>
              </w:rPr>
              <w:t>54.4</w:t>
            </w:r>
            <w:r w:rsidRPr="00E57628">
              <w:rPr>
                <w:b/>
                <w:szCs w:val="20"/>
              </w:rPr>
              <w:t xml:space="preserve"> (</w:t>
            </w:r>
            <w:r w:rsidRPr="00E57628">
              <w:rPr>
                <w:b/>
              </w:rPr>
              <w:t>35.5</w:t>
            </w:r>
            <w:r w:rsidRPr="00E57628">
              <w:rPr>
                <w:b/>
                <w:szCs w:val="20"/>
              </w:rPr>
              <w:t xml:space="preserve">, </w:t>
            </w:r>
            <w:r w:rsidRPr="00E57628">
              <w:rPr>
                <w:b/>
              </w:rPr>
              <w:t>73.3</w:t>
            </w:r>
            <w:r w:rsidRPr="00E57628">
              <w:rPr>
                <w:b/>
                <w:szCs w:val="20"/>
              </w:rPr>
              <w:t>)</w:t>
            </w:r>
          </w:p>
        </w:tc>
      </w:tr>
      <w:tr w:rsidR="000D4E1F" w:rsidRPr="00E57628" w14:paraId="27167FEE" w14:textId="77777777" w:rsidTr="00B137F8">
        <w:tc>
          <w:tcPr>
            <w:tcW w:w="5000" w:type="pct"/>
            <w:gridSpan w:val="9"/>
            <w:shd w:val="clear" w:color="auto" w:fill="auto"/>
            <w:vAlign w:val="center"/>
          </w:tcPr>
          <w:p w14:paraId="48D4CF03" w14:textId="1ED8FB27" w:rsidR="000D4E1F" w:rsidRPr="00E57628" w:rsidRDefault="000D4E1F" w:rsidP="00E840F9">
            <w:pPr>
              <w:pStyle w:val="TableText0"/>
              <w:keepLines/>
              <w:rPr>
                <w:szCs w:val="20"/>
              </w:rPr>
            </w:pPr>
            <w:r w:rsidRPr="00E57628">
              <w:rPr>
                <w:b/>
                <w:szCs w:val="20"/>
              </w:rPr>
              <w:t xml:space="preserve">EASI 50 and </w:t>
            </w:r>
            <w:r w:rsidR="00766BD7" w:rsidRPr="00E57628">
              <w:rPr>
                <w:b/>
                <w:szCs w:val="20"/>
              </w:rPr>
              <w:t>CDLQI</w:t>
            </w:r>
            <w:r w:rsidRPr="00E57628">
              <w:rPr>
                <w:b/>
                <w:szCs w:val="20"/>
              </w:rPr>
              <w:t>4 30 - 60 kg</w:t>
            </w:r>
          </w:p>
        </w:tc>
      </w:tr>
      <w:tr w:rsidR="000D4E1F" w:rsidRPr="00E57628" w14:paraId="4AE2E8F9" w14:textId="77777777" w:rsidTr="00890377">
        <w:tc>
          <w:tcPr>
            <w:tcW w:w="1156" w:type="pct"/>
            <w:shd w:val="clear" w:color="auto" w:fill="auto"/>
            <w:vAlign w:val="center"/>
          </w:tcPr>
          <w:p w14:paraId="25369F22" w14:textId="77777777" w:rsidR="000D4E1F" w:rsidRPr="00E57628" w:rsidRDefault="000D4E1F" w:rsidP="00E840F9">
            <w:pPr>
              <w:pStyle w:val="TableText0"/>
              <w:keepLines/>
              <w:rPr>
                <w:szCs w:val="20"/>
              </w:rPr>
            </w:pPr>
            <w:r w:rsidRPr="00E57628">
              <w:rPr>
                <w:szCs w:val="20"/>
              </w:rPr>
              <w:t>Dupilumab 200 mg Q2W</w:t>
            </w:r>
          </w:p>
        </w:tc>
        <w:tc>
          <w:tcPr>
            <w:tcW w:w="547" w:type="pct"/>
            <w:shd w:val="clear" w:color="auto" w:fill="auto"/>
            <w:vAlign w:val="center"/>
          </w:tcPr>
          <w:p w14:paraId="3B83B4BE" w14:textId="77777777" w:rsidR="000D4E1F" w:rsidRPr="00E57628" w:rsidRDefault="000D4E1F" w:rsidP="00E840F9">
            <w:pPr>
              <w:pStyle w:val="TableText0"/>
              <w:keepLines/>
              <w:jc w:val="center"/>
              <w:rPr>
                <w:szCs w:val="20"/>
              </w:rPr>
            </w:pPr>
            <w:r w:rsidRPr="00E57628">
              <w:t>40/56</w:t>
            </w:r>
            <w:r w:rsidRPr="00E57628">
              <w:rPr>
                <w:szCs w:val="20"/>
              </w:rPr>
              <w:t xml:space="preserve"> </w:t>
            </w:r>
          </w:p>
        </w:tc>
        <w:tc>
          <w:tcPr>
            <w:tcW w:w="578" w:type="pct"/>
            <w:shd w:val="clear" w:color="auto" w:fill="auto"/>
            <w:vAlign w:val="center"/>
          </w:tcPr>
          <w:p w14:paraId="46B9AB40" w14:textId="77777777" w:rsidR="000D4E1F" w:rsidRPr="00E57628" w:rsidRDefault="000D4E1F" w:rsidP="00E840F9">
            <w:pPr>
              <w:pStyle w:val="TableText0"/>
              <w:keepLines/>
              <w:jc w:val="center"/>
              <w:rPr>
                <w:szCs w:val="20"/>
              </w:rPr>
            </w:pPr>
            <w:r w:rsidRPr="00E57628">
              <w:t>8/27</w:t>
            </w:r>
          </w:p>
        </w:tc>
        <w:tc>
          <w:tcPr>
            <w:tcW w:w="759" w:type="pct"/>
            <w:shd w:val="clear" w:color="auto" w:fill="auto"/>
            <w:vAlign w:val="center"/>
          </w:tcPr>
          <w:p w14:paraId="5BEB8200" w14:textId="04B31C24" w:rsidR="000D4E1F" w:rsidRPr="00E57628" w:rsidRDefault="000D4E1F" w:rsidP="00E840F9">
            <w:pPr>
              <w:pStyle w:val="TableText0"/>
              <w:keepLines/>
              <w:jc w:val="center"/>
              <w:rPr>
                <w:b/>
                <w:szCs w:val="20"/>
              </w:rPr>
            </w:pPr>
            <w:r w:rsidRPr="00E57628">
              <w:rPr>
                <w:b/>
              </w:rPr>
              <w:t>2.4</w:t>
            </w:r>
            <w:r w:rsidRPr="00E57628">
              <w:rPr>
                <w:b/>
                <w:szCs w:val="20"/>
              </w:rPr>
              <w:t xml:space="preserve"> (</w:t>
            </w:r>
            <w:r w:rsidRPr="00E57628">
              <w:rPr>
                <w:b/>
              </w:rPr>
              <w:t>1.3</w:t>
            </w:r>
            <w:r w:rsidRPr="00E57628">
              <w:rPr>
                <w:b/>
                <w:szCs w:val="20"/>
              </w:rPr>
              <w:t>, 4.4)</w:t>
            </w:r>
          </w:p>
        </w:tc>
        <w:tc>
          <w:tcPr>
            <w:tcW w:w="578" w:type="pct"/>
            <w:shd w:val="clear" w:color="auto" w:fill="auto"/>
            <w:vAlign w:val="center"/>
          </w:tcPr>
          <w:p w14:paraId="74E72C56" w14:textId="664B4620" w:rsidR="000D4E1F" w:rsidRPr="00E57628" w:rsidRDefault="003B0807" w:rsidP="00E840F9">
            <w:pPr>
              <w:pStyle w:val="TableText0"/>
              <w:keepLines/>
              <w:jc w:val="center"/>
              <w:rPr>
                <w:szCs w:val="20"/>
              </w:rPr>
            </w:pPr>
            <w:r w:rsidRPr="00E57628">
              <w:t>71.4</w:t>
            </w:r>
          </w:p>
        </w:tc>
        <w:tc>
          <w:tcPr>
            <w:tcW w:w="513" w:type="pct"/>
            <w:gridSpan w:val="2"/>
            <w:shd w:val="clear" w:color="auto" w:fill="auto"/>
            <w:vAlign w:val="center"/>
          </w:tcPr>
          <w:p w14:paraId="639CE67C" w14:textId="77777777" w:rsidR="000D4E1F" w:rsidRPr="00E57628" w:rsidRDefault="000D4E1F" w:rsidP="00E840F9">
            <w:pPr>
              <w:pStyle w:val="TableText0"/>
              <w:keepLines/>
              <w:jc w:val="center"/>
              <w:rPr>
                <w:szCs w:val="20"/>
              </w:rPr>
            </w:pPr>
            <w:r w:rsidRPr="00E57628">
              <w:t>29.6</w:t>
            </w:r>
          </w:p>
        </w:tc>
        <w:tc>
          <w:tcPr>
            <w:tcW w:w="869" w:type="pct"/>
            <w:gridSpan w:val="2"/>
            <w:shd w:val="clear" w:color="auto" w:fill="auto"/>
            <w:vAlign w:val="center"/>
          </w:tcPr>
          <w:p w14:paraId="15431E02" w14:textId="35F27DC3" w:rsidR="000D4E1F" w:rsidRPr="00E57628" w:rsidRDefault="003B0807" w:rsidP="00E840F9">
            <w:pPr>
              <w:pStyle w:val="TableText0"/>
              <w:keepLines/>
              <w:jc w:val="center"/>
              <w:rPr>
                <w:b/>
                <w:szCs w:val="20"/>
              </w:rPr>
            </w:pPr>
            <w:r w:rsidRPr="00E57628">
              <w:rPr>
                <w:b/>
                <w:szCs w:val="20"/>
              </w:rPr>
              <w:t>41.8 (20.9, 62.7)</w:t>
            </w:r>
          </w:p>
        </w:tc>
      </w:tr>
      <w:tr w:rsidR="000D4E1F" w:rsidRPr="00E57628" w14:paraId="5AE8FDA8" w14:textId="77777777" w:rsidTr="00B137F8">
        <w:tc>
          <w:tcPr>
            <w:tcW w:w="5000" w:type="pct"/>
            <w:gridSpan w:val="9"/>
            <w:tcBorders>
              <w:top w:val="double" w:sz="4" w:space="0" w:color="auto"/>
            </w:tcBorders>
            <w:shd w:val="clear" w:color="auto" w:fill="auto"/>
            <w:vAlign w:val="center"/>
          </w:tcPr>
          <w:p w14:paraId="7E1085C6" w14:textId="77777777" w:rsidR="000D4E1F" w:rsidRPr="00E57628" w:rsidRDefault="000D4E1F" w:rsidP="00E840F9">
            <w:pPr>
              <w:pStyle w:val="TableText0"/>
              <w:keepLines/>
              <w:rPr>
                <w:b/>
                <w:szCs w:val="20"/>
              </w:rPr>
            </w:pPr>
            <w:r w:rsidRPr="00E57628">
              <w:rPr>
                <w:b/>
                <w:szCs w:val="20"/>
              </w:rPr>
              <w:t xml:space="preserve">Harms </w:t>
            </w:r>
            <w:r w:rsidRPr="00E57628">
              <w:rPr>
                <w:b/>
              </w:rPr>
              <w:t>– overall trial population</w:t>
            </w:r>
          </w:p>
        </w:tc>
      </w:tr>
      <w:tr w:rsidR="000D4E1F" w:rsidRPr="00E57628" w14:paraId="5FE08133" w14:textId="77777777" w:rsidTr="00B137F8">
        <w:tc>
          <w:tcPr>
            <w:tcW w:w="1156" w:type="pct"/>
            <w:vMerge w:val="restart"/>
            <w:shd w:val="clear" w:color="auto" w:fill="auto"/>
            <w:vAlign w:val="center"/>
          </w:tcPr>
          <w:p w14:paraId="3757F245" w14:textId="77777777" w:rsidR="000D4E1F" w:rsidRPr="00E57628" w:rsidRDefault="000D4E1F" w:rsidP="00E840F9">
            <w:pPr>
              <w:pStyle w:val="TableText0"/>
              <w:keepLines/>
              <w:rPr>
                <w:szCs w:val="20"/>
              </w:rPr>
            </w:pPr>
          </w:p>
        </w:tc>
        <w:tc>
          <w:tcPr>
            <w:tcW w:w="547" w:type="pct"/>
            <w:vMerge w:val="restart"/>
            <w:shd w:val="clear" w:color="auto" w:fill="auto"/>
            <w:vAlign w:val="center"/>
          </w:tcPr>
          <w:p w14:paraId="43F60B8C" w14:textId="77777777" w:rsidR="000D4E1F" w:rsidRPr="00E57628" w:rsidRDefault="000D4E1F" w:rsidP="00E840F9">
            <w:pPr>
              <w:pStyle w:val="TableText0"/>
              <w:keepLines/>
              <w:jc w:val="center"/>
              <w:rPr>
                <w:b/>
                <w:szCs w:val="20"/>
              </w:rPr>
            </w:pPr>
            <w:r w:rsidRPr="00E57628">
              <w:rPr>
                <w:b/>
                <w:szCs w:val="20"/>
              </w:rPr>
              <w:t>Dupilumab</w:t>
            </w:r>
          </w:p>
        </w:tc>
        <w:tc>
          <w:tcPr>
            <w:tcW w:w="578" w:type="pct"/>
            <w:vMerge w:val="restart"/>
            <w:shd w:val="clear" w:color="auto" w:fill="auto"/>
            <w:vAlign w:val="center"/>
          </w:tcPr>
          <w:p w14:paraId="5125C277" w14:textId="77777777" w:rsidR="000D4E1F" w:rsidRPr="00E57628" w:rsidRDefault="000D4E1F" w:rsidP="00E840F9">
            <w:pPr>
              <w:pStyle w:val="TableText0"/>
              <w:keepLines/>
              <w:jc w:val="center"/>
              <w:rPr>
                <w:b/>
                <w:szCs w:val="20"/>
              </w:rPr>
            </w:pPr>
            <w:r w:rsidRPr="00E57628">
              <w:rPr>
                <w:b/>
                <w:szCs w:val="20"/>
              </w:rPr>
              <w:t>Placebo</w:t>
            </w:r>
          </w:p>
        </w:tc>
        <w:tc>
          <w:tcPr>
            <w:tcW w:w="759" w:type="pct"/>
            <w:vMerge w:val="restart"/>
            <w:shd w:val="clear" w:color="auto" w:fill="auto"/>
            <w:vAlign w:val="center"/>
          </w:tcPr>
          <w:p w14:paraId="30A22972" w14:textId="77777777" w:rsidR="000D4E1F" w:rsidRPr="00E57628" w:rsidRDefault="000D4E1F" w:rsidP="00E840F9">
            <w:pPr>
              <w:pStyle w:val="TableText0"/>
              <w:keepLines/>
              <w:jc w:val="center"/>
              <w:rPr>
                <w:b/>
                <w:szCs w:val="20"/>
              </w:rPr>
            </w:pPr>
            <w:r w:rsidRPr="00E57628">
              <w:rPr>
                <w:b/>
                <w:szCs w:val="20"/>
              </w:rPr>
              <w:t>RR</w:t>
            </w:r>
          </w:p>
          <w:p w14:paraId="581CC890" w14:textId="77777777" w:rsidR="000D4E1F" w:rsidRPr="00E57628" w:rsidRDefault="000D4E1F" w:rsidP="00E840F9">
            <w:pPr>
              <w:pStyle w:val="TableText0"/>
              <w:keepLines/>
              <w:jc w:val="center"/>
              <w:rPr>
                <w:b/>
                <w:szCs w:val="20"/>
              </w:rPr>
            </w:pPr>
            <w:r w:rsidRPr="00E57628">
              <w:rPr>
                <w:b/>
                <w:szCs w:val="20"/>
              </w:rPr>
              <w:t>(95% CI)</w:t>
            </w:r>
          </w:p>
        </w:tc>
        <w:tc>
          <w:tcPr>
            <w:tcW w:w="1129" w:type="pct"/>
            <w:gridSpan w:val="4"/>
            <w:shd w:val="clear" w:color="auto" w:fill="auto"/>
            <w:vAlign w:val="center"/>
          </w:tcPr>
          <w:p w14:paraId="63472775" w14:textId="77777777" w:rsidR="000D4E1F" w:rsidRPr="00E57628" w:rsidRDefault="000D4E1F" w:rsidP="00E840F9">
            <w:pPr>
              <w:pStyle w:val="TableText0"/>
              <w:keepLines/>
              <w:jc w:val="center"/>
              <w:rPr>
                <w:b/>
                <w:szCs w:val="20"/>
              </w:rPr>
            </w:pPr>
            <w:r w:rsidRPr="00E57628">
              <w:rPr>
                <w:b/>
                <w:szCs w:val="20"/>
              </w:rPr>
              <w:t>Events/100 patients</w:t>
            </w:r>
          </w:p>
        </w:tc>
        <w:tc>
          <w:tcPr>
            <w:tcW w:w="831" w:type="pct"/>
            <w:vMerge w:val="restart"/>
            <w:shd w:val="clear" w:color="auto" w:fill="auto"/>
            <w:vAlign w:val="center"/>
          </w:tcPr>
          <w:p w14:paraId="3BC1A9F7" w14:textId="77777777" w:rsidR="000D4E1F" w:rsidRPr="00E57628" w:rsidRDefault="000D4E1F" w:rsidP="00E840F9">
            <w:pPr>
              <w:pStyle w:val="TableText0"/>
              <w:keepLines/>
              <w:jc w:val="center"/>
              <w:rPr>
                <w:b/>
                <w:szCs w:val="20"/>
              </w:rPr>
            </w:pPr>
            <w:r w:rsidRPr="00E57628">
              <w:rPr>
                <w:b/>
                <w:szCs w:val="20"/>
              </w:rPr>
              <w:t>RD</w:t>
            </w:r>
          </w:p>
          <w:p w14:paraId="0FA2493E" w14:textId="77777777" w:rsidR="000D4E1F" w:rsidRPr="00E57628" w:rsidRDefault="000D4E1F" w:rsidP="00E840F9">
            <w:pPr>
              <w:pStyle w:val="TableText0"/>
              <w:keepLines/>
              <w:jc w:val="center"/>
              <w:rPr>
                <w:b/>
                <w:szCs w:val="20"/>
              </w:rPr>
            </w:pPr>
            <w:r w:rsidRPr="00E57628">
              <w:rPr>
                <w:b/>
                <w:szCs w:val="20"/>
              </w:rPr>
              <w:t>(95% CI)</w:t>
            </w:r>
          </w:p>
        </w:tc>
      </w:tr>
      <w:tr w:rsidR="000D4E1F" w:rsidRPr="00E57628" w14:paraId="479C7035" w14:textId="77777777" w:rsidTr="00B137F8">
        <w:tc>
          <w:tcPr>
            <w:tcW w:w="1156" w:type="pct"/>
            <w:vMerge/>
            <w:shd w:val="clear" w:color="auto" w:fill="auto"/>
            <w:vAlign w:val="center"/>
          </w:tcPr>
          <w:p w14:paraId="42C96BC7" w14:textId="77777777" w:rsidR="000D4E1F" w:rsidRPr="00E57628" w:rsidRDefault="000D4E1F" w:rsidP="00E840F9">
            <w:pPr>
              <w:pStyle w:val="TableText0"/>
              <w:keepLines/>
              <w:rPr>
                <w:szCs w:val="20"/>
              </w:rPr>
            </w:pPr>
          </w:p>
        </w:tc>
        <w:tc>
          <w:tcPr>
            <w:tcW w:w="547" w:type="pct"/>
            <w:vMerge/>
            <w:shd w:val="clear" w:color="auto" w:fill="auto"/>
            <w:vAlign w:val="center"/>
          </w:tcPr>
          <w:p w14:paraId="44387A7F" w14:textId="77777777" w:rsidR="000D4E1F" w:rsidRPr="00E57628" w:rsidRDefault="000D4E1F" w:rsidP="00E840F9">
            <w:pPr>
              <w:pStyle w:val="TableText0"/>
              <w:keepLines/>
              <w:rPr>
                <w:szCs w:val="20"/>
              </w:rPr>
            </w:pPr>
          </w:p>
        </w:tc>
        <w:tc>
          <w:tcPr>
            <w:tcW w:w="578" w:type="pct"/>
            <w:vMerge/>
            <w:shd w:val="clear" w:color="auto" w:fill="auto"/>
            <w:vAlign w:val="center"/>
          </w:tcPr>
          <w:p w14:paraId="45C045BC" w14:textId="77777777" w:rsidR="000D4E1F" w:rsidRPr="00E57628" w:rsidRDefault="000D4E1F" w:rsidP="00E840F9">
            <w:pPr>
              <w:pStyle w:val="TableText0"/>
              <w:keepLines/>
              <w:rPr>
                <w:szCs w:val="20"/>
              </w:rPr>
            </w:pPr>
          </w:p>
        </w:tc>
        <w:tc>
          <w:tcPr>
            <w:tcW w:w="759" w:type="pct"/>
            <w:vMerge/>
            <w:shd w:val="clear" w:color="auto" w:fill="auto"/>
            <w:vAlign w:val="center"/>
          </w:tcPr>
          <w:p w14:paraId="7C4010D7" w14:textId="77777777" w:rsidR="000D4E1F" w:rsidRPr="00E57628" w:rsidRDefault="000D4E1F" w:rsidP="00E840F9">
            <w:pPr>
              <w:pStyle w:val="TableText0"/>
              <w:keepLines/>
              <w:rPr>
                <w:szCs w:val="20"/>
              </w:rPr>
            </w:pPr>
          </w:p>
        </w:tc>
        <w:tc>
          <w:tcPr>
            <w:tcW w:w="607" w:type="pct"/>
            <w:gridSpan w:val="2"/>
            <w:shd w:val="clear" w:color="auto" w:fill="auto"/>
            <w:vAlign w:val="center"/>
          </w:tcPr>
          <w:p w14:paraId="40D2F640" w14:textId="77777777" w:rsidR="000D4E1F" w:rsidRPr="00E57628" w:rsidRDefault="000D4E1F" w:rsidP="00E840F9">
            <w:pPr>
              <w:pStyle w:val="TableText0"/>
              <w:keepLines/>
              <w:jc w:val="center"/>
              <w:rPr>
                <w:b/>
                <w:szCs w:val="20"/>
              </w:rPr>
            </w:pPr>
            <w:r w:rsidRPr="00E57628">
              <w:rPr>
                <w:b/>
                <w:szCs w:val="20"/>
              </w:rPr>
              <w:t>Dupilumab</w:t>
            </w:r>
          </w:p>
        </w:tc>
        <w:tc>
          <w:tcPr>
            <w:tcW w:w="522" w:type="pct"/>
            <w:gridSpan w:val="2"/>
            <w:shd w:val="clear" w:color="auto" w:fill="auto"/>
            <w:vAlign w:val="center"/>
          </w:tcPr>
          <w:p w14:paraId="783DCFAF" w14:textId="77777777" w:rsidR="000D4E1F" w:rsidRPr="00E57628" w:rsidRDefault="000D4E1F" w:rsidP="00E840F9">
            <w:pPr>
              <w:pStyle w:val="TableText0"/>
              <w:keepLines/>
              <w:jc w:val="center"/>
              <w:rPr>
                <w:b/>
                <w:szCs w:val="20"/>
              </w:rPr>
            </w:pPr>
            <w:r w:rsidRPr="00E57628">
              <w:rPr>
                <w:b/>
                <w:szCs w:val="20"/>
              </w:rPr>
              <w:t>Placebo</w:t>
            </w:r>
          </w:p>
        </w:tc>
        <w:tc>
          <w:tcPr>
            <w:tcW w:w="831" w:type="pct"/>
            <w:vMerge/>
            <w:shd w:val="clear" w:color="auto" w:fill="auto"/>
            <w:vAlign w:val="center"/>
          </w:tcPr>
          <w:p w14:paraId="765575FD" w14:textId="77777777" w:rsidR="000D4E1F" w:rsidRPr="00E57628" w:rsidRDefault="000D4E1F" w:rsidP="00E840F9">
            <w:pPr>
              <w:pStyle w:val="TableText0"/>
              <w:keepLines/>
              <w:rPr>
                <w:szCs w:val="20"/>
              </w:rPr>
            </w:pPr>
          </w:p>
        </w:tc>
      </w:tr>
      <w:tr w:rsidR="000D4E1F" w:rsidRPr="00E57628" w14:paraId="63E59AAC" w14:textId="77777777" w:rsidTr="00B137F8">
        <w:tc>
          <w:tcPr>
            <w:tcW w:w="1156" w:type="pct"/>
            <w:shd w:val="clear" w:color="auto" w:fill="auto"/>
            <w:vAlign w:val="center"/>
          </w:tcPr>
          <w:p w14:paraId="5789807D" w14:textId="77777777" w:rsidR="000D4E1F" w:rsidRPr="00E57628" w:rsidRDefault="000D4E1F" w:rsidP="00E840F9">
            <w:pPr>
              <w:pStyle w:val="TableText0"/>
              <w:keepLines/>
              <w:rPr>
                <w:szCs w:val="20"/>
              </w:rPr>
            </w:pPr>
            <w:r w:rsidRPr="00E57628">
              <w:rPr>
                <w:szCs w:val="20"/>
              </w:rPr>
              <w:t xml:space="preserve">Conjunctivitis </w:t>
            </w:r>
          </w:p>
        </w:tc>
        <w:tc>
          <w:tcPr>
            <w:tcW w:w="547" w:type="pct"/>
            <w:shd w:val="clear" w:color="auto" w:fill="auto"/>
            <w:vAlign w:val="center"/>
          </w:tcPr>
          <w:p w14:paraId="51131014" w14:textId="77777777" w:rsidR="000D4E1F" w:rsidRPr="00E57628" w:rsidRDefault="000D4E1F" w:rsidP="00E840F9">
            <w:pPr>
              <w:pStyle w:val="TableText0"/>
              <w:keepLines/>
              <w:jc w:val="center"/>
              <w:rPr>
                <w:szCs w:val="20"/>
              </w:rPr>
            </w:pPr>
            <w:r w:rsidRPr="00E57628">
              <w:t>26</w:t>
            </w:r>
            <w:r w:rsidRPr="00E57628">
              <w:rPr>
                <w:szCs w:val="20"/>
              </w:rPr>
              <w:t>/</w:t>
            </w:r>
            <w:r w:rsidRPr="00E57628">
              <w:t>242</w:t>
            </w:r>
          </w:p>
        </w:tc>
        <w:tc>
          <w:tcPr>
            <w:tcW w:w="578" w:type="pct"/>
            <w:shd w:val="clear" w:color="auto" w:fill="auto"/>
            <w:vAlign w:val="center"/>
          </w:tcPr>
          <w:p w14:paraId="635CB2D8" w14:textId="77777777" w:rsidR="000D4E1F" w:rsidRPr="00E57628" w:rsidRDefault="000D4E1F" w:rsidP="00E840F9">
            <w:pPr>
              <w:pStyle w:val="TableText0"/>
              <w:keepLines/>
              <w:jc w:val="center"/>
              <w:rPr>
                <w:szCs w:val="20"/>
              </w:rPr>
            </w:pPr>
            <w:r w:rsidRPr="00E57628">
              <w:t>5</w:t>
            </w:r>
            <w:r w:rsidRPr="00E57628">
              <w:rPr>
                <w:szCs w:val="20"/>
              </w:rPr>
              <w:t>/</w:t>
            </w:r>
            <w:r w:rsidRPr="00E57628">
              <w:t>120</w:t>
            </w:r>
          </w:p>
        </w:tc>
        <w:tc>
          <w:tcPr>
            <w:tcW w:w="759" w:type="pct"/>
            <w:shd w:val="clear" w:color="auto" w:fill="auto"/>
            <w:vAlign w:val="center"/>
          </w:tcPr>
          <w:p w14:paraId="7645F1AA" w14:textId="01BB89C0" w:rsidR="000D4E1F" w:rsidRPr="00E57628" w:rsidRDefault="000D4E1F" w:rsidP="00E840F9">
            <w:pPr>
              <w:pStyle w:val="TableText0"/>
              <w:keepLines/>
              <w:jc w:val="center"/>
              <w:rPr>
                <w:b/>
                <w:szCs w:val="20"/>
              </w:rPr>
            </w:pPr>
            <w:r w:rsidRPr="00E57628">
              <w:rPr>
                <w:b/>
              </w:rPr>
              <w:t>2.</w:t>
            </w:r>
            <w:r w:rsidR="00B137F8" w:rsidRPr="00E57628">
              <w:rPr>
                <w:b/>
              </w:rPr>
              <w:t>6</w:t>
            </w:r>
            <w:r w:rsidRPr="00E57628">
              <w:rPr>
                <w:b/>
              </w:rPr>
              <w:t>8</w:t>
            </w:r>
            <w:r w:rsidRPr="00E57628">
              <w:rPr>
                <w:b/>
                <w:szCs w:val="20"/>
              </w:rPr>
              <w:t xml:space="preserve"> (1.</w:t>
            </w:r>
            <w:r w:rsidRPr="00E57628">
              <w:rPr>
                <w:b/>
              </w:rPr>
              <w:t>02</w:t>
            </w:r>
            <w:r w:rsidRPr="00E57628">
              <w:rPr>
                <w:b/>
                <w:szCs w:val="20"/>
              </w:rPr>
              <w:t>, 6.</w:t>
            </w:r>
            <w:r w:rsidR="00B137F8" w:rsidRPr="00E57628">
              <w:rPr>
                <w:b/>
                <w:szCs w:val="20"/>
              </w:rPr>
              <w:t>6</w:t>
            </w:r>
            <w:r w:rsidRPr="00E57628">
              <w:rPr>
                <w:b/>
                <w:szCs w:val="20"/>
              </w:rPr>
              <w:t>)</w:t>
            </w:r>
          </w:p>
        </w:tc>
        <w:tc>
          <w:tcPr>
            <w:tcW w:w="607" w:type="pct"/>
            <w:gridSpan w:val="2"/>
            <w:shd w:val="clear" w:color="auto" w:fill="auto"/>
            <w:vAlign w:val="center"/>
          </w:tcPr>
          <w:p w14:paraId="745507DB" w14:textId="77777777" w:rsidR="000D4E1F" w:rsidRPr="00E57628" w:rsidRDefault="000D4E1F" w:rsidP="00E840F9">
            <w:pPr>
              <w:pStyle w:val="TableText0"/>
              <w:keepLines/>
              <w:jc w:val="center"/>
              <w:rPr>
                <w:szCs w:val="20"/>
              </w:rPr>
            </w:pPr>
            <w:r w:rsidRPr="00E57628">
              <w:t>10.7</w:t>
            </w:r>
          </w:p>
        </w:tc>
        <w:tc>
          <w:tcPr>
            <w:tcW w:w="522" w:type="pct"/>
            <w:gridSpan w:val="2"/>
            <w:shd w:val="clear" w:color="auto" w:fill="auto"/>
            <w:vAlign w:val="center"/>
          </w:tcPr>
          <w:p w14:paraId="7D1B5B8F" w14:textId="77777777" w:rsidR="000D4E1F" w:rsidRPr="00E57628" w:rsidRDefault="000D4E1F" w:rsidP="00E840F9">
            <w:pPr>
              <w:pStyle w:val="TableText0"/>
              <w:keepLines/>
              <w:jc w:val="center"/>
              <w:rPr>
                <w:szCs w:val="20"/>
              </w:rPr>
            </w:pPr>
            <w:r w:rsidRPr="00E57628">
              <w:t>4.2</w:t>
            </w:r>
          </w:p>
        </w:tc>
        <w:tc>
          <w:tcPr>
            <w:tcW w:w="831" w:type="pct"/>
            <w:shd w:val="clear" w:color="auto" w:fill="auto"/>
            <w:vAlign w:val="center"/>
          </w:tcPr>
          <w:p w14:paraId="1D9478A9" w14:textId="77777777" w:rsidR="000D4E1F" w:rsidRPr="00E57628" w:rsidRDefault="000D4E1F" w:rsidP="00E840F9">
            <w:pPr>
              <w:pStyle w:val="TableText0"/>
              <w:keepLines/>
              <w:jc w:val="center"/>
              <w:rPr>
                <w:b/>
                <w:szCs w:val="20"/>
              </w:rPr>
            </w:pPr>
            <w:r w:rsidRPr="00E57628">
              <w:rPr>
                <w:b/>
              </w:rPr>
              <w:t>6.5</w:t>
            </w:r>
            <w:r w:rsidRPr="00E57628">
              <w:rPr>
                <w:b/>
                <w:szCs w:val="20"/>
              </w:rPr>
              <w:t xml:space="preserve"> (</w:t>
            </w:r>
            <w:r w:rsidRPr="00E57628">
              <w:rPr>
                <w:b/>
              </w:rPr>
              <w:t>1.2</w:t>
            </w:r>
            <w:r w:rsidRPr="00E57628">
              <w:rPr>
                <w:b/>
                <w:szCs w:val="20"/>
              </w:rPr>
              <w:t xml:space="preserve">, </w:t>
            </w:r>
            <w:r w:rsidRPr="00E57628">
              <w:rPr>
                <w:b/>
              </w:rPr>
              <w:t>11.8</w:t>
            </w:r>
            <w:r w:rsidRPr="00E57628">
              <w:rPr>
                <w:b/>
                <w:szCs w:val="20"/>
              </w:rPr>
              <w:t>)</w:t>
            </w:r>
          </w:p>
        </w:tc>
      </w:tr>
      <w:tr w:rsidR="000D4E1F" w:rsidRPr="00E57628" w14:paraId="10665519" w14:textId="77777777" w:rsidTr="00B137F8">
        <w:tc>
          <w:tcPr>
            <w:tcW w:w="1156" w:type="pct"/>
            <w:shd w:val="clear" w:color="auto" w:fill="auto"/>
            <w:vAlign w:val="center"/>
          </w:tcPr>
          <w:p w14:paraId="7A6BA9EC" w14:textId="77777777" w:rsidR="000D4E1F" w:rsidRPr="00E57628" w:rsidRDefault="000D4E1F" w:rsidP="00E840F9">
            <w:pPr>
              <w:pStyle w:val="TableText0"/>
              <w:keepLines/>
              <w:rPr>
                <w:szCs w:val="20"/>
              </w:rPr>
            </w:pPr>
            <w:r w:rsidRPr="00E57628">
              <w:rPr>
                <w:szCs w:val="20"/>
              </w:rPr>
              <w:t xml:space="preserve">Injection site reaction </w:t>
            </w:r>
          </w:p>
        </w:tc>
        <w:tc>
          <w:tcPr>
            <w:tcW w:w="547" w:type="pct"/>
            <w:shd w:val="clear" w:color="auto" w:fill="auto"/>
            <w:vAlign w:val="center"/>
          </w:tcPr>
          <w:p w14:paraId="0F62C317" w14:textId="77777777" w:rsidR="000D4E1F" w:rsidRPr="00E57628" w:rsidRDefault="000D4E1F" w:rsidP="00E840F9">
            <w:pPr>
              <w:pStyle w:val="TableText0"/>
              <w:keepLines/>
              <w:jc w:val="center"/>
              <w:rPr>
                <w:szCs w:val="20"/>
              </w:rPr>
            </w:pPr>
            <w:r w:rsidRPr="00E57628">
              <w:t>25/242</w:t>
            </w:r>
          </w:p>
        </w:tc>
        <w:tc>
          <w:tcPr>
            <w:tcW w:w="578" w:type="pct"/>
            <w:shd w:val="clear" w:color="auto" w:fill="auto"/>
            <w:vAlign w:val="center"/>
          </w:tcPr>
          <w:p w14:paraId="5AE302AD" w14:textId="77777777" w:rsidR="000D4E1F" w:rsidRPr="00E57628" w:rsidRDefault="000D4E1F" w:rsidP="00E840F9">
            <w:pPr>
              <w:pStyle w:val="TableText0"/>
              <w:keepLines/>
              <w:jc w:val="center"/>
              <w:rPr>
                <w:szCs w:val="20"/>
              </w:rPr>
            </w:pPr>
            <w:r w:rsidRPr="00E57628">
              <w:t>7/120</w:t>
            </w:r>
          </w:p>
        </w:tc>
        <w:tc>
          <w:tcPr>
            <w:tcW w:w="759" w:type="pct"/>
            <w:shd w:val="clear" w:color="auto" w:fill="auto"/>
            <w:vAlign w:val="center"/>
          </w:tcPr>
          <w:p w14:paraId="51EA7EF6" w14:textId="514A990A" w:rsidR="000D4E1F" w:rsidRPr="00E57628" w:rsidRDefault="000D4E1F" w:rsidP="00E840F9">
            <w:pPr>
              <w:pStyle w:val="TableText0"/>
              <w:keepLines/>
              <w:jc w:val="center"/>
              <w:rPr>
                <w:bCs w:val="0"/>
                <w:szCs w:val="20"/>
              </w:rPr>
            </w:pPr>
            <w:r w:rsidRPr="00E57628">
              <w:rPr>
                <w:bCs w:val="0"/>
              </w:rPr>
              <w:t>1.</w:t>
            </w:r>
            <w:r w:rsidR="00B137F8" w:rsidRPr="00E57628">
              <w:rPr>
                <w:bCs w:val="0"/>
              </w:rPr>
              <w:t>8</w:t>
            </w:r>
            <w:r w:rsidRPr="00E57628">
              <w:rPr>
                <w:bCs w:val="0"/>
                <w:szCs w:val="20"/>
              </w:rPr>
              <w:t xml:space="preserve"> (</w:t>
            </w:r>
            <w:r w:rsidRPr="00E57628">
              <w:rPr>
                <w:bCs w:val="0"/>
              </w:rPr>
              <w:t>0.</w:t>
            </w:r>
            <w:r w:rsidR="00B137F8" w:rsidRPr="00E57628">
              <w:rPr>
                <w:bCs w:val="0"/>
              </w:rPr>
              <w:t>8</w:t>
            </w:r>
            <w:r w:rsidRPr="00E57628">
              <w:rPr>
                <w:bCs w:val="0"/>
                <w:szCs w:val="20"/>
              </w:rPr>
              <w:t xml:space="preserve">, </w:t>
            </w:r>
            <w:r w:rsidR="00B137F8" w:rsidRPr="00E57628">
              <w:rPr>
                <w:bCs w:val="0"/>
                <w:szCs w:val="20"/>
              </w:rPr>
              <w:t>4.0</w:t>
            </w:r>
            <w:r w:rsidRPr="00E57628">
              <w:rPr>
                <w:bCs w:val="0"/>
                <w:szCs w:val="20"/>
              </w:rPr>
              <w:t>)</w:t>
            </w:r>
          </w:p>
        </w:tc>
        <w:tc>
          <w:tcPr>
            <w:tcW w:w="607" w:type="pct"/>
            <w:gridSpan w:val="2"/>
            <w:shd w:val="clear" w:color="auto" w:fill="auto"/>
            <w:vAlign w:val="center"/>
          </w:tcPr>
          <w:p w14:paraId="2C159496" w14:textId="77777777" w:rsidR="000D4E1F" w:rsidRPr="00E57628" w:rsidRDefault="000D4E1F" w:rsidP="00E840F9">
            <w:pPr>
              <w:pStyle w:val="TableText0"/>
              <w:keepLines/>
              <w:jc w:val="center"/>
              <w:rPr>
                <w:szCs w:val="20"/>
              </w:rPr>
            </w:pPr>
            <w:r w:rsidRPr="00E57628">
              <w:t>10.3</w:t>
            </w:r>
          </w:p>
        </w:tc>
        <w:tc>
          <w:tcPr>
            <w:tcW w:w="522" w:type="pct"/>
            <w:gridSpan w:val="2"/>
            <w:shd w:val="clear" w:color="auto" w:fill="auto"/>
            <w:vAlign w:val="center"/>
          </w:tcPr>
          <w:p w14:paraId="52F20393" w14:textId="77777777" w:rsidR="000D4E1F" w:rsidRPr="00E57628" w:rsidRDefault="000D4E1F" w:rsidP="00E840F9">
            <w:pPr>
              <w:pStyle w:val="TableText0"/>
              <w:keepLines/>
              <w:jc w:val="center"/>
              <w:rPr>
                <w:szCs w:val="20"/>
              </w:rPr>
            </w:pPr>
            <w:r w:rsidRPr="00E57628">
              <w:t>5.8</w:t>
            </w:r>
          </w:p>
        </w:tc>
        <w:tc>
          <w:tcPr>
            <w:tcW w:w="831" w:type="pct"/>
            <w:shd w:val="clear" w:color="auto" w:fill="auto"/>
            <w:vAlign w:val="center"/>
          </w:tcPr>
          <w:p w14:paraId="301AD4E6" w14:textId="35DDF118" w:rsidR="000D4E1F" w:rsidRPr="00E57628" w:rsidRDefault="000D4E1F" w:rsidP="00E840F9">
            <w:pPr>
              <w:pStyle w:val="TableText0"/>
              <w:keepLines/>
              <w:jc w:val="center"/>
              <w:rPr>
                <w:szCs w:val="20"/>
              </w:rPr>
            </w:pPr>
            <w:r w:rsidRPr="00E57628">
              <w:rPr>
                <w:bCs w:val="0"/>
              </w:rPr>
              <w:t>4.5</w:t>
            </w:r>
            <w:r w:rsidRPr="00E57628">
              <w:rPr>
                <w:bCs w:val="0"/>
                <w:szCs w:val="20"/>
              </w:rPr>
              <w:t xml:space="preserve"> (</w:t>
            </w:r>
            <w:r w:rsidRPr="00E57628">
              <w:rPr>
                <w:bCs w:val="0"/>
              </w:rPr>
              <w:t>-1.2</w:t>
            </w:r>
            <w:r w:rsidRPr="00E57628">
              <w:rPr>
                <w:bCs w:val="0"/>
                <w:szCs w:val="20"/>
              </w:rPr>
              <w:t xml:space="preserve">, </w:t>
            </w:r>
            <w:r w:rsidRPr="00E57628">
              <w:rPr>
                <w:bCs w:val="0"/>
              </w:rPr>
              <w:t>10.2</w:t>
            </w:r>
            <w:r w:rsidRPr="00E57628">
              <w:rPr>
                <w:bCs w:val="0"/>
                <w:szCs w:val="20"/>
              </w:rPr>
              <w:t>)</w:t>
            </w:r>
          </w:p>
        </w:tc>
      </w:tr>
    </w:tbl>
    <w:p w14:paraId="755CC857" w14:textId="77777777" w:rsidR="00F625FE" w:rsidRPr="00E57628" w:rsidRDefault="00F625FE" w:rsidP="00F625FE">
      <w:pPr>
        <w:pStyle w:val="TableFigureFooter"/>
        <w:rPr>
          <w:sz w:val="20"/>
        </w:rPr>
      </w:pPr>
      <w:r w:rsidRPr="00E57628">
        <w:t>Source: complied during the evaluation</w:t>
      </w:r>
    </w:p>
    <w:p w14:paraId="3E8BADE3" w14:textId="7CFBCB40" w:rsidR="00D77B1B" w:rsidRPr="00E57628" w:rsidRDefault="003D2D12" w:rsidP="006E262D">
      <w:pPr>
        <w:pStyle w:val="TableFigureFooter"/>
      </w:pPr>
      <w:r w:rsidRPr="00E57628">
        <w:rPr>
          <w:szCs w:val="18"/>
        </w:rPr>
        <w:t>AD = atopic dermatitis; CI = confidence interval; EASI = Eczema Area and Severity Index; Q2W = every two weeks; Q4W = every four weeks;</w:t>
      </w:r>
      <w:r w:rsidRPr="00E57628">
        <w:t xml:space="preserve"> </w:t>
      </w:r>
      <w:r w:rsidR="00F625FE" w:rsidRPr="00E57628">
        <w:t>RD = risk difference; RR = risk ratio</w:t>
      </w:r>
    </w:p>
    <w:bookmarkEnd w:id="25"/>
    <w:p w14:paraId="56A22B9E" w14:textId="4A8C8094" w:rsidR="002441D2" w:rsidRPr="00E57628" w:rsidRDefault="000322AF" w:rsidP="00D02C8F">
      <w:pPr>
        <w:pStyle w:val="3-BodyText"/>
        <w:spacing w:after="0"/>
      </w:pPr>
      <w:proofErr w:type="gramStart"/>
      <w:r w:rsidRPr="00E57628">
        <w:t>On the basis of</w:t>
      </w:r>
      <w:proofErr w:type="gramEnd"/>
      <w:r w:rsidRPr="00E57628">
        <w:t xml:space="preserve"> direct evidence presented by the submission, for every 100 patients treated with dupilumab in comparison to placebo over 16 weeks of treatment:</w:t>
      </w:r>
    </w:p>
    <w:p w14:paraId="3DC754A2" w14:textId="516AE9BC" w:rsidR="00184B0E" w:rsidRPr="00E57628" w:rsidRDefault="000322AF" w:rsidP="00D02C8F">
      <w:pPr>
        <w:pStyle w:val="ListParagraph"/>
        <w:spacing w:after="0"/>
        <w:ind w:left="1134" w:hanging="425"/>
      </w:pPr>
      <w:r w:rsidRPr="00E57628">
        <w:t xml:space="preserve">Approximately 40 to 43 additional patients with severe AD would have at least a 75% improvement in EASI score from </w:t>
      </w:r>
      <w:proofErr w:type="gramStart"/>
      <w:r w:rsidRPr="00E57628">
        <w:t>baseline;</w:t>
      </w:r>
      <w:proofErr w:type="gramEnd"/>
    </w:p>
    <w:p w14:paraId="6D1323A1" w14:textId="24889145" w:rsidR="000322AF" w:rsidRPr="00E57628" w:rsidRDefault="000322AF" w:rsidP="00D02C8F">
      <w:pPr>
        <w:pStyle w:val="ListParagraph"/>
        <w:spacing w:after="0"/>
        <w:ind w:left="1134" w:hanging="425"/>
      </w:pPr>
      <w:r w:rsidRPr="00E57628">
        <w:t xml:space="preserve">Approximately </w:t>
      </w:r>
      <w:r w:rsidR="00117A09" w:rsidRPr="00E57628">
        <w:t>42</w:t>
      </w:r>
      <w:r w:rsidR="007200EC">
        <w:t xml:space="preserve"> to </w:t>
      </w:r>
      <w:r w:rsidR="00117A09" w:rsidRPr="00E57628">
        <w:t xml:space="preserve">54 </w:t>
      </w:r>
      <w:r w:rsidRPr="00E57628">
        <w:t xml:space="preserve">additional patients would have at least a 50% improvement in EASI AND a </w:t>
      </w:r>
      <w:proofErr w:type="gramStart"/>
      <w:r w:rsidRPr="00E57628">
        <w:t>4 point</w:t>
      </w:r>
      <w:proofErr w:type="gramEnd"/>
      <w:r w:rsidRPr="00E57628">
        <w:t xml:space="preserve"> improvement in CDLQI score from baseline;</w:t>
      </w:r>
    </w:p>
    <w:p w14:paraId="5A364A95" w14:textId="75DCD90B" w:rsidR="000322AF" w:rsidRPr="00E57628" w:rsidRDefault="000322AF" w:rsidP="00D02C8F">
      <w:pPr>
        <w:pStyle w:val="ListParagraph"/>
        <w:spacing w:after="0"/>
        <w:ind w:left="1134" w:hanging="425"/>
      </w:pPr>
      <w:r w:rsidRPr="00E57628">
        <w:t xml:space="preserve">Approximately 7 additional patients with severe AD will </w:t>
      </w:r>
      <w:r w:rsidR="00D02C8F" w:rsidRPr="00E57628">
        <w:t>experience</w:t>
      </w:r>
      <w:r w:rsidRPr="00E57628">
        <w:t xml:space="preserve"> </w:t>
      </w:r>
      <w:proofErr w:type="gramStart"/>
      <w:r w:rsidRPr="00E57628">
        <w:t>conjunctivitis;</w:t>
      </w:r>
      <w:proofErr w:type="gramEnd"/>
      <w:r w:rsidR="003D2D12" w:rsidRPr="00E57628">
        <w:t xml:space="preserve"> </w:t>
      </w:r>
    </w:p>
    <w:p w14:paraId="0D95A465" w14:textId="45801A99" w:rsidR="000322AF" w:rsidRPr="00E57628" w:rsidRDefault="000322AF" w:rsidP="00D02C8F">
      <w:pPr>
        <w:pStyle w:val="ListParagraph"/>
        <w:spacing w:after="0"/>
        <w:ind w:left="1134" w:hanging="425"/>
      </w:pPr>
      <w:r w:rsidRPr="00E57628">
        <w:t xml:space="preserve">Approximately 5 additional patients with severe AD </w:t>
      </w:r>
      <w:r w:rsidR="00CB6AF9" w:rsidRPr="00E57628">
        <w:t xml:space="preserve">will </w:t>
      </w:r>
      <w:r w:rsidR="00D02C8F" w:rsidRPr="00E57628">
        <w:t>experience</w:t>
      </w:r>
      <w:r w:rsidRPr="00E57628">
        <w:t xml:space="preserve"> an injection site reaction</w:t>
      </w:r>
      <w:r w:rsidR="003D2D12" w:rsidRPr="00E57628">
        <w:t>.</w:t>
      </w:r>
    </w:p>
    <w:p w14:paraId="7A1772B6" w14:textId="23BB3145" w:rsidR="00B60939" w:rsidRPr="00E57628" w:rsidRDefault="00B60939" w:rsidP="00E9094A">
      <w:pPr>
        <w:pStyle w:val="4-SubsectionHeading"/>
      </w:pPr>
      <w:bookmarkStart w:id="26" w:name="_Toc22897644"/>
      <w:bookmarkStart w:id="27" w:name="_Toc93325005"/>
      <w:r w:rsidRPr="00E57628">
        <w:t>Clinical claim</w:t>
      </w:r>
      <w:bookmarkEnd w:id="26"/>
      <w:bookmarkEnd w:id="27"/>
    </w:p>
    <w:p w14:paraId="6CE83FD8" w14:textId="5DF06E56" w:rsidR="008A21C8" w:rsidRPr="00C80985" w:rsidRDefault="008A21C8" w:rsidP="00E9094A">
      <w:pPr>
        <w:pStyle w:val="3-BodyText"/>
      </w:pPr>
      <w:r w:rsidRPr="00C80985">
        <w:t>The submission described dupilumab as superior in terms of effectiveness compared with placebo.</w:t>
      </w:r>
      <w:r w:rsidR="00727E48" w:rsidRPr="00C80985">
        <w:t xml:space="preserve"> </w:t>
      </w:r>
      <w:proofErr w:type="gramStart"/>
      <w:r w:rsidRPr="00C80985">
        <w:t>In regard to</w:t>
      </w:r>
      <w:proofErr w:type="gramEnd"/>
      <w:r w:rsidRPr="00C80985">
        <w:t xml:space="preserve"> safety, the submission described dupilumab as having a </w:t>
      </w:r>
      <w:r w:rsidRPr="00C80985">
        <w:lastRenderedPageBreak/>
        <w:t>similar safety profile, with the exception of injection site reactions and conjunctivitis, compared with placebo.</w:t>
      </w:r>
    </w:p>
    <w:p w14:paraId="5ED3E418" w14:textId="7FF1DEFE" w:rsidR="008A21C8" w:rsidRPr="0056085A" w:rsidRDefault="008A21C8" w:rsidP="0056085A">
      <w:pPr>
        <w:pStyle w:val="3-BodyText"/>
        <w:rPr>
          <w:iCs/>
        </w:rPr>
      </w:pPr>
      <w:r w:rsidRPr="0056085A">
        <w:rPr>
          <w:iCs/>
        </w:rPr>
        <w:t>The therapeutic conclusion presented in the submission is adequately supported by the evidence presented in the submission.</w:t>
      </w:r>
      <w:r w:rsidR="00727E48" w:rsidRPr="0056085A">
        <w:rPr>
          <w:iCs/>
        </w:rPr>
        <w:t xml:space="preserve"> </w:t>
      </w:r>
      <w:r w:rsidRPr="0056085A">
        <w:rPr>
          <w:iCs/>
        </w:rPr>
        <w:t xml:space="preserve">All comparisons of effectiveness, </w:t>
      </w:r>
      <w:proofErr w:type="gramStart"/>
      <w:r w:rsidRPr="0056085A">
        <w:rPr>
          <w:iCs/>
        </w:rPr>
        <w:t>with the exception of</w:t>
      </w:r>
      <w:proofErr w:type="gramEnd"/>
      <w:r w:rsidRPr="0056085A">
        <w:rPr>
          <w:iCs/>
        </w:rPr>
        <w:t xml:space="preserve"> one (proportion with IGA 0 or 1 in the &lt;30 kg weight group), showed a statistically significant advantage for dupilumab compared to placebo.</w:t>
      </w:r>
      <w:r w:rsidR="00727E48" w:rsidRPr="0056085A">
        <w:rPr>
          <w:iCs/>
        </w:rPr>
        <w:t xml:space="preserve"> </w:t>
      </w:r>
      <w:r w:rsidR="0056085A">
        <w:rPr>
          <w:iCs/>
        </w:rPr>
        <w:t>T</w:t>
      </w:r>
      <w:r w:rsidRPr="0056085A">
        <w:rPr>
          <w:iCs/>
        </w:rPr>
        <w:t xml:space="preserve">he submission presented no evidence </w:t>
      </w:r>
      <w:r w:rsidR="0056085A" w:rsidRPr="00BF43F9">
        <w:rPr>
          <w:iCs/>
        </w:rPr>
        <w:t>specific to the</w:t>
      </w:r>
      <w:r w:rsidRPr="00BF43F9">
        <w:rPr>
          <w:iCs/>
        </w:rPr>
        <w:t xml:space="preserve"> ≥60 kg weight group, </w:t>
      </w:r>
      <w:r w:rsidR="0056085A" w:rsidRPr="00BF43F9">
        <w:rPr>
          <w:iCs/>
        </w:rPr>
        <w:t xml:space="preserve">however the ESC considered that effectiveness in this group is likely to be consistent with evidence in the paediatric population &lt;60kg and the evidence previously considered for the adult/adolescent population. </w:t>
      </w:r>
    </w:p>
    <w:p w14:paraId="590ED5E3" w14:textId="5B848154" w:rsidR="008A21C8" w:rsidRPr="00C80985" w:rsidRDefault="008A21C8" w:rsidP="00E9094A">
      <w:pPr>
        <w:pStyle w:val="3-BodyText"/>
        <w:rPr>
          <w:iCs/>
        </w:rPr>
      </w:pPr>
      <w:r w:rsidRPr="00C80985">
        <w:rPr>
          <w:iCs/>
        </w:rPr>
        <w:t>In its consideration of dupilumab for an adult population in July 2018, the PBAC considered</w:t>
      </w:r>
      <w:r w:rsidRPr="00C80985">
        <w:t xml:space="preserve"> that the efficacy and safety claims were only reasonable for up to 16 weeks of treatment (para 6.36, July 2018 dupilumab PSD).</w:t>
      </w:r>
      <w:r w:rsidR="00727E48" w:rsidRPr="00C80985">
        <w:t xml:space="preserve"> </w:t>
      </w:r>
      <w:r w:rsidRPr="00C80985">
        <w:t xml:space="preserve">While the submission has applied adult data in the model beyond 16 weeks, there </w:t>
      </w:r>
      <w:r w:rsidR="0056085A">
        <w:t>wa</w:t>
      </w:r>
      <w:r w:rsidRPr="00C80985">
        <w:t>s no longer-term evidence for the use of dupilumab in AD</w:t>
      </w:r>
      <w:r w:rsidR="0056085A">
        <w:t xml:space="preserve"> </w:t>
      </w:r>
      <w:r w:rsidR="0056085A" w:rsidRPr="00BF43F9">
        <w:t>for the paediatric population</w:t>
      </w:r>
      <w:r w:rsidRPr="00BF43F9">
        <w:t>.</w:t>
      </w:r>
    </w:p>
    <w:p w14:paraId="13D7AAAA" w14:textId="110A2ADB" w:rsidR="008A21C8" w:rsidRPr="00101BC0" w:rsidRDefault="007B30F8" w:rsidP="00E9094A">
      <w:pPr>
        <w:pStyle w:val="3-BodyText"/>
        <w:rPr>
          <w:iCs/>
        </w:rPr>
      </w:pPr>
      <w:r w:rsidRPr="00C80985">
        <w:t>Given recent literature addressing the risk of conjunctivitis with dupilumab and the inclusion of conjunctivitis costs in the economic model, along with publications addressing AEs in a paediatric population being treated for AD (</w:t>
      </w:r>
      <w:proofErr w:type="gramStart"/>
      <w:r w:rsidRPr="00C80985">
        <w:t>e.g.</w:t>
      </w:r>
      <w:proofErr w:type="gramEnd"/>
      <w:r w:rsidRPr="00C80985">
        <w:t xml:space="preserve"> McKenzie 2021; </w:t>
      </w:r>
      <w:proofErr w:type="spellStart"/>
      <w:r w:rsidRPr="00C80985">
        <w:rPr>
          <w:iCs/>
        </w:rPr>
        <w:t>Muzumdar</w:t>
      </w:r>
      <w:proofErr w:type="spellEnd"/>
      <w:r w:rsidRPr="00C80985">
        <w:rPr>
          <w:iCs/>
        </w:rPr>
        <w:t xml:space="preserve"> 2020;</w:t>
      </w:r>
      <w:r w:rsidRPr="00C80985">
        <w:t xml:space="preserve"> Parker 2021) it remains reasonable for the safety claim to be one of </w:t>
      </w:r>
      <w:r w:rsidRPr="00101BC0">
        <w:t>inferiority</w:t>
      </w:r>
      <w:r w:rsidR="0056085A" w:rsidRPr="00101BC0">
        <w:t xml:space="preserve"> and this was accepted in the PSCR</w:t>
      </w:r>
      <w:r w:rsidRPr="00101BC0">
        <w:t>.</w:t>
      </w:r>
    </w:p>
    <w:p w14:paraId="3537AC22" w14:textId="27892A5F" w:rsidR="00BF43F9" w:rsidRPr="00101BC0" w:rsidRDefault="00BF43F9" w:rsidP="00BF43F9">
      <w:pPr>
        <w:widowControl w:val="0"/>
        <w:numPr>
          <w:ilvl w:val="1"/>
          <w:numId w:val="1"/>
        </w:numPr>
        <w:spacing w:after="120"/>
        <w:rPr>
          <w:rFonts w:cs="Arial"/>
          <w:snapToGrid w:val="0"/>
          <w:szCs w:val="20"/>
        </w:rPr>
      </w:pPr>
      <w:bookmarkStart w:id="28" w:name="_Hlk76376200"/>
      <w:r w:rsidRPr="00101BC0">
        <w:rPr>
          <w:rFonts w:cs="Arial"/>
          <w:iCs/>
          <w:snapToGrid w:val="0"/>
          <w:lang w:eastAsia="en-AU"/>
        </w:rPr>
        <w:t>The</w:t>
      </w:r>
      <w:r w:rsidRPr="00101BC0">
        <w:rPr>
          <w:rFonts w:cs="Arial"/>
          <w:snapToGrid w:val="0"/>
          <w:szCs w:val="20"/>
        </w:rPr>
        <w:t xml:space="preserve"> PBAC considered that the claim of superior comparative effectiveness was reasonable.</w:t>
      </w:r>
    </w:p>
    <w:p w14:paraId="4E1ADC3D" w14:textId="1948FBA7" w:rsidR="00BF43F9" w:rsidRPr="00101BC0" w:rsidRDefault="00BF43F9" w:rsidP="00BF43F9">
      <w:pPr>
        <w:widowControl w:val="0"/>
        <w:numPr>
          <w:ilvl w:val="1"/>
          <w:numId w:val="1"/>
        </w:numPr>
        <w:spacing w:after="120"/>
        <w:rPr>
          <w:rFonts w:cs="Arial"/>
          <w:snapToGrid w:val="0"/>
          <w:szCs w:val="20"/>
        </w:rPr>
      </w:pPr>
      <w:r w:rsidRPr="00101BC0">
        <w:rPr>
          <w:rFonts w:cs="Arial"/>
          <w:snapToGrid w:val="0"/>
          <w:szCs w:val="20"/>
        </w:rPr>
        <w:t>The PBAC considered that the claim of inferior comparative safety was reasonable.</w:t>
      </w:r>
      <w:bookmarkEnd w:id="28"/>
    </w:p>
    <w:p w14:paraId="74A1172E" w14:textId="128C170E" w:rsidR="00B60939" w:rsidRPr="00E57628" w:rsidRDefault="00B60939" w:rsidP="00E9094A">
      <w:pPr>
        <w:pStyle w:val="4-SubsectionHeading"/>
      </w:pPr>
      <w:bookmarkStart w:id="29" w:name="_Toc22897645"/>
      <w:bookmarkStart w:id="30" w:name="_Toc93325006"/>
      <w:r w:rsidRPr="00E57628">
        <w:t>Economic analysis</w:t>
      </w:r>
      <w:bookmarkEnd w:id="29"/>
      <w:bookmarkEnd w:id="30"/>
      <w:r w:rsidR="00491B3A" w:rsidRPr="00E57628">
        <w:t xml:space="preserve"> </w:t>
      </w:r>
    </w:p>
    <w:p w14:paraId="77543A84" w14:textId="28CCAEA4" w:rsidR="00AD04C2" w:rsidRPr="00C80985" w:rsidRDefault="00AD04C2" w:rsidP="00C932E8">
      <w:pPr>
        <w:pStyle w:val="3-BodyText"/>
        <w:spacing w:after="0"/>
        <w:rPr>
          <w:b/>
          <w:bCs/>
        </w:rPr>
      </w:pPr>
      <w:r w:rsidRPr="00C80985">
        <w:t>The submission presented a Markov cohort model that was adapted for a paediatric population from the March 2020 model for adults.</w:t>
      </w:r>
      <w:r w:rsidR="00727E48" w:rsidRPr="00C80985">
        <w:t xml:space="preserve"> </w:t>
      </w:r>
      <w:r w:rsidRPr="00C80985">
        <w:t>As for the March 2020</w:t>
      </w:r>
      <w:r w:rsidR="00301999" w:rsidRPr="00C80985">
        <w:t xml:space="preserve"> model for adults</w:t>
      </w:r>
      <w:r w:rsidRPr="00C80985">
        <w:t>, the type of economic evaluation was a cost-utility analysis.</w:t>
      </w:r>
      <w:r w:rsidR="00727E48" w:rsidRPr="00C80985">
        <w:t xml:space="preserve"> </w:t>
      </w:r>
      <w:r w:rsidRPr="00C80985">
        <w:t>The submission listed the following changes from the March 2020 model:</w:t>
      </w:r>
    </w:p>
    <w:p w14:paraId="2DE27F11" w14:textId="46444C4C" w:rsidR="00C932E8" w:rsidRPr="00C80985" w:rsidRDefault="00C932E8" w:rsidP="00894D0F">
      <w:pPr>
        <w:pStyle w:val="ListParagraph"/>
        <w:numPr>
          <w:ilvl w:val="0"/>
          <w:numId w:val="9"/>
        </w:numPr>
        <w:spacing w:after="0"/>
        <w:ind w:left="993" w:hanging="284"/>
      </w:pPr>
      <w:r w:rsidRPr="00C80985">
        <w:t>Patient demographics have been updated to reflect the population in Study 1652.</w:t>
      </w:r>
      <w:r w:rsidR="00727E48" w:rsidRPr="00C80985">
        <w:t xml:space="preserve"> </w:t>
      </w:r>
      <w:r w:rsidRPr="00C80985">
        <w:rPr>
          <w:iCs/>
        </w:rPr>
        <w:t>The patient demographics applied in the model do not reflect the Study 1652 post</w:t>
      </w:r>
      <w:r w:rsidR="00CB6AF9" w:rsidRPr="00C80985">
        <w:rPr>
          <w:iCs/>
        </w:rPr>
        <w:noBreakHyphen/>
      </w:r>
      <w:r w:rsidRPr="00C80985">
        <w:rPr>
          <w:iCs/>
        </w:rPr>
        <w:t>hoc subgroup that provided the efficacy data.</w:t>
      </w:r>
    </w:p>
    <w:p w14:paraId="6531754F" w14:textId="4F549422" w:rsidR="00C932E8" w:rsidRPr="00C80985" w:rsidRDefault="00C932E8" w:rsidP="00C932E8">
      <w:pPr>
        <w:pStyle w:val="ListBullet"/>
        <w:ind w:left="993" w:hanging="284"/>
        <w:rPr>
          <w:lang w:eastAsia="en-AU"/>
        </w:rPr>
      </w:pPr>
      <w:r w:rsidRPr="00C80985">
        <w:rPr>
          <w:lang w:eastAsia="en-AU"/>
        </w:rPr>
        <w:t xml:space="preserve">Response rate was based on Study 1652 (change in </w:t>
      </w:r>
      <w:r w:rsidR="00766BD7" w:rsidRPr="00C80985">
        <w:rPr>
          <w:lang w:eastAsia="en-AU"/>
        </w:rPr>
        <w:t>CDLQI</w:t>
      </w:r>
      <w:r w:rsidRPr="00C80985">
        <w:rPr>
          <w:lang w:eastAsia="en-AU"/>
        </w:rPr>
        <w:t xml:space="preserve"> of at least 4 points and proportion of patients with EASI 50 over the first 16 weeks of the model.</w:t>
      </w:r>
      <w:r w:rsidR="00727E48" w:rsidRPr="00C80985">
        <w:rPr>
          <w:lang w:eastAsia="en-AU"/>
        </w:rPr>
        <w:t xml:space="preserve"> </w:t>
      </w:r>
      <w:r w:rsidRPr="00C80985">
        <w:rPr>
          <w:lang w:eastAsia="en-AU"/>
        </w:rPr>
        <w:t xml:space="preserve">The model </w:t>
      </w:r>
      <w:r w:rsidRPr="00071DE8">
        <w:rPr>
          <w:lang w:eastAsia="en-AU"/>
        </w:rPr>
        <w:t>also includes use of adult data from CHRONOS for Week 42 responses and from the SOLO trials for utility values.</w:t>
      </w:r>
    </w:p>
    <w:p w14:paraId="356E3223" w14:textId="77777777" w:rsidR="00C932E8" w:rsidRPr="00C80985" w:rsidRDefault="00C932E8" w:rsidP="00C932E8">
      <w:pPr>
        <w:pStyle w:val="ListBullet"/>
        <w:ind w:left="993" w:hanging="284"/>
        <w:rPr>
          <w:lang w:eastAsia="en-AU"/>
        </w:rPr>
      </w:pPr>
      <w:r w:rsidRPr="00C80985">
        <w:rPr>
          <w:lang w:eastAsia="en-AU"/>
        </w:rPr>
        <w:t>Results of a new paediatric resource use survey.</w:t>
      </w:r>
    </w:p>
    <w:p w14:paraId="5F864BC5" w14:textId="77777777" w:rsidR="00C932E8" w:rsidRPr="00C80985" w:rsidRDefault="00C932E8" w:rsidP="00C932E8">
      <w:pPr>
        <w:pStyle w:val="ListBullet"/>
        <w:ind w:left="993" w:hanging="284"/>
        <w:rPr>
          <w:lang w:eastAsia="en-AU"/>
        </w:rPr>
      </w:pPr>
      <w:r w:rsidRPr="00C80985">
        <w:rPr>
          <w:lang w:eastAsia="en-AU"/>
        </w:rPr>
        <w:t>All costs were updated to October 2021 values.</w:t>
      </w:r>
    </w:p>
    <w:p w14:paraId="3E15A35A" w14:textId="2639CFF8" w:rsidR="00C932E8" w:rsidRPr="00C80985" w:rsidRDefault="00C932E8" w:rsidP="00C932E8">
      <w:pPr>
        <w:pStyle w:val="ListBullet"/>
        <w:ind w:left="993" w:hanging="284"/>
        <w:rPr>
          <w:lang w:eastAsia="en-AU"/>
        </w:rPr>
      </w:pPr>
      <w:r w:rsidRPr="00C80985">
        <w:rPr>
          <w:lang w:eastAsia="en-AU"/>
        </w:rPr>
        <w:t>The rates of conjunctivitis were changed to those from Study 1652.</w:t>
      </w:r>
      <w:r w:rsidR="00727E48" w:rsidRPr="00C80985">
        <w:rPr>
          <w:lang w:eastAsia="en-AU"/>
        </w:rPr>
        <w:t xml:space="preserve"> </w:t>
      </w:r>
      <w:r w:rsidRPr="00C80985">
        <w:rPr>
          <w:iCs/>
          <w:lang w:eastAsia="en-AU"/>
        </w:rPr>
        <w:t>The rates of conjunctivitis applied in the model were from the overall trial population.</w:t>
      </w:r>
    </w:p>
    <w:p w14:paraId="0B7F8EDE" w14:textId="7AC3ABEC" w:rsidR="00C932E8" w:rsidRPr="00C80985" w:rsidRDefault="00C932E8" w:rsidP="00C932E8">
      <w:pPr>
        <w:pStyle w:val="ListBullet"/>
        <w:spacing w:after="120"/>
        <w:ind w:left="993" w:hanging="284"/>
        <w:rPr>
          <w:lang w:eastAsia="en-AU"/>
        </w:rPr>
      </w:pPr>
      <w:r w:rsidRPr="00C80985">
        <w:rPr>
          <w:lang w:eastAsia="en-AU"/>
        </w:rPr>
        <w:lastRenderedPageBreak/>
        <w:t>Use of a weighted DPMQ to reflect Q4W dosing for patients weighing</w:t>
      </w:r>
      <w:r w:rsidR="00727E48" w:rsidRPr="00C80985">
        <w:rPr>
          <w:lang w:eastAsia="en-AU"/>
        </w:rPr>
        <w:t xml:space="preserve"> </w:t>
      </w:r>
      <w:r w:rsidRPr="00C80985">
        <w:rPr>
          <w:lang w:eastAsia="en-AU"/>
        </w:rPr>
        <w:t>15 to 30 kg.</w:t>
      </w:r>
      <w:r w:rsidR="00727E48" w:rsidRPr="00C80985">
        <w:rPr>
          <w:lang w:eastAsia="en-AU"/>
        </w:rPr>
        <w:t xml:space="preserve"> </w:t>
      </w:r>
      <w:r w:rsidR="000B1BCA">
        <w:rPr>
          <w:iCs/>
        </w:rPr>
        <w:t>The</w:t>
      </w:r>
      <w:r w:rsidRPr="00C80985">
        <w:rPr>
          <w:iCs/>
        </w:rPr>
        <w:t xml:space="preserve"> weighted price accommodates the Q4W dose of dupilumab that cannot be used in the model, </w:t>
      </w:r>
      <w:r w:rsidR="000B1BCA">
        <w:rPr>
          <w:iCs/>
        </w:rPr>
        <w:t xml:space="preserve">however </w:t>
      </w:r>
      <w:r w:rsidRPr="00C80985">
        <w:rPr>
          <w:iCs/>
        </w:rPr>
        <w:t>it would have been more informative had the model been designed to use the doses of dupilumab that are being requested for PBS listing, and that were used in the clinical evidence.</w:t>
      </w:r>
      <w:r w:rsidR="0095547A">
        <w:rPr>
          <w:iCs/>
        </w:rPr>
        <w:t xml:space="preserve"> </w:t>
      </w:r>
    </w:p>
    <w:p w14:paraId="24B134B9" w14:textId="77777777" w:rsidR="00AA723C" w:rsidRPr="00AA723C" w:rsidRDefault="0083071C" w:rsidP="00AA723C">
      <w:pPr>
        <w:pStyle w:val="3-BodyText"/>
      </w:pPr>
      <w:r w:rsidRPr="00A44042">
        <w:t>The requested cost per patient for dupilumab in paediatric patients was similar to that for adult patients ($</w:t>
      </w:r>
      <w:proofErr w:type="gramStart"/>
      <w:r w:rsidR="00B85535" w:rsidRPr="00AA723C">
        <w:rPr>
          <w:color w:val="000000"/>
          <w:w w:val="15"/>
          <w:shd w:val="solid" w:color="000000" w:fill="000000"/>
          <w:fitText w:val="-20" w:id="-1500860413"/>
          <w14:textFill>
            <w14:solidFill>
              <w14:srgbClr w14:val="000000">
                <w14:alpha w14:val="100000"/>
              </w14:srgbClr>
            </w14:solidFill>
          </w14:textFill>
        </w:rPr>
        <w:t xml:space="preserve">|  </w:t>
      </w:r>
      <w:r w:rsidR="00B85535" w:rsidRPr="00AA723C">
        <w:rPr>
          <w:color w:val="000000"/>
          <w:spacing w:val="-69"/>
          <w:w w:val="15"/>
          <w:shd w:val="solid" w:color="000000" w:fill="000000"/>
          <w:fitText w:val="-20" w:id="-1500860413"/>
          <w14:textFill>
            <w14:solidFill>
              <w14:srgbClr w14:val="000000">
                <w14:alpha w14:val="100000"/>
              </w14:srgbClr>
            </w14:solidFill>
          </w14:textFill>
        </w:rPr>
        <w:t>|</w:t>
      </w:r>
      <w:proofErr w:type="gramEnd"/>
      <w:r w:rsidRPr="00A44042">
        <w:t xml:space="preserve"> versus $</w:t>
      </w:r>
      <w:r w:rsidR="00B85535" w:rsidRPr="00AA723C">
        <w:rPr>
          <w:color w:val="000000"/>
          <w:w w:val="15"/>
          <w:shd w:val="solid" w:color="000000" w:fill="000000"/>
          <w:fitText w:val="-20" w:id="-1500860412"/>
          <w14:textFill>
            <w14:solidFill>
              <w14:srgbClr w14:val="000000">
                <w14:alpha w14:val="100000"/>
              </w14:srgbClr>
            </w14:solidFill>
          </w14:textFill>
        </w:rPr>
        <w:t xml:space="preserve">|  </w:t>
      </w:r>
      <w:r w:rsidR="00B85535" w:rsidRPr="00AA723C">
        <w:rPr>
          <w:color w:val="000000"/>
          <w:spacing w:val="-69"/>
          <w:w w:val="15"/>
          <w:shd w:val="solid" w:color="000000" w:fill="000000"/>
          <w:fitText w:val="-20" w:id="-1500860412"/>
          <w14:textFill>
            <w14:solidFill>
              <w14:srgbClr w14:val="000000">
                <w14:alpha w14:val="100000"/>
              </w14:srgbClr>
            </w14:solidFill>
          </w14:textFill>
        </w:rPr>
        <w:t>|</w:t>
      </w:r>
      <w:r w:rsidRPr="00A44042">
        <w:t xml:space="preserve"> per 2 weeks of treatment) however, the estimated ICER was substantially lower (</w:t>
      </w:r>
      <w:r w:rsidR="005159C4">
        <w:t>$25,000 to &lt; $35,000</w:t>
      </w:r>
      <w:r w:rsidRPr="00A44042">
        <w:t xml:space="preserve">/QALY versus </w:t>
      </w:r>
      <w:r w:rsidR="005159C4">
        <w:t>$45,000 to &lt; $55,000</w:t>
      </w:r>
      <w:r w:rsidRPr="00A44042">
        <w:t xml:space="preserve">/QALY). This was largely due to differences in non-drug health care resource use (see </w:t>
      </w:r>
      <w:r w:rsidRPr="00A44042">
        <w:fldChar w:fldCharType="begin"/>
      </w:r>
      <w:r w:rsidRPr="00A44042">
        <w:instrText xml:space="preserve"> REF _Ref96117583 \h  \* MERGEFORMAT </w:instrText>
      </w:r>
      <w:r w:rsidRPr="00A44042">
        <w:fldChar w:fldCharType="separate"/>
      </w:r>
      <w:r w:rsidR="00AA723C" w:rsidRPr="00AA723C">
        <w:br w:type="page"/>
      </w:r>
    </w:p>
    <w:p w14:paraId="350C7F69" w14:textId="68279273" w:rsidR="00AD04C2" w:rsidRPr="00C80985" w:rsidRDefault="00AA723C" w:rsidP="003C7770">
      <w:pPr>
        <w:pStyle w:val="3-BodyText"/>
      </w:pPr>
      <w:r w:rsidRPr="00AA723C">
        <w:lastRenderedPageBreak/>
        <w:t>Table</w:t>
      </w:r>
      <w:r w:rsidRPr="00C80985">
        <w:rPr>
          <w:rStyle w:val="CommentReference"/>
          <w:szCs w:val="24"/>
        </w:rPr>
        <w:t xml:space="preserve"> </w:t>
      </w:r>
      <w:r>
        <w:rPr>
          <w:rStyle w:val="CommentReference"/>
          <w:noProof/>
          <w:szCs w:val="24"/>
        </w:rPr>
        <w:t>9</w:t>
      </w:r>
      <w:r w:rsidR="0083071C" w:rsidRPr="00A44042">
        <w:fldChar w:fldCharType="end"/>
      </w:r>
      <w:r w:rsidR="0083071C" w:rsidRPr="00A44042">
        <w:t xml:space="preserve">). </w:t>
      </w:r>
      <w:r w:rsidR="00A44042">
        <w:t xml:space="preserve">The Pre-PBAC response argued that </w:t>
      </w:r>
      <w:r w:rsidR="00A44042" w:rsidRPr="00A44042">
        <w:t>this reflects differences in the clinical treatment practices</w:t>
      </w:r>
      <w:r w:rsidR="00A44042">
        <w:t xml:space="preserve"> </w:t>
      </w:r>
      <w:r w:rsidR="00A44042" w:rsidRPr="00A44042">
        <w:t>between adult and paediatric patients.</w:t>
      </w:r>
      <w:r w:rsidR="00A44042">
        <w:t xml:space="preserve"> </w:t>
      </w:r>
      <w:r w:rsidR="00854A1F" w:rsidRPr="00A44042">
        <w:t>Following is a table outlining the values and</w:t>
      </w:r>
      <w:r w:rsidR="00854A1F" w:rsidRPr="00C80985">
        <w:t xml:space="preserve"> components used in the paediatric and March 2020 adult model, including the estimated impact on the ICER of the changes.</w:t>
      </w:r>
    </w:p>
    <w:p w14:paraId="6E564E20" w14:textId="77777777" w:rsidR="006B0524" w:rsidRDefault="006B0524">
      <w:pPr>
        <w:jc w:val="left"/>
        <w:rPr>
          <w:rStyle w:val="CommentReference"/>
          <w:rFonts w:cs="Arial"/>
          <w:snapToGrid w:val="0"/>
          <w:szCs w:val="24"/>
          <w:lang w:eastAsia="en-AU"/>
        </w:rPr>
      </w:pPr>
      <w:bookmarkStart w:id="31" w:name="_Ref96117583"/>
      <w:r>
        <w:rPr>
          <w:rStyle w:val="CommentReference"/>
          <w:szCs w:val="24"/>
        </w:rPr>
        <w:br w:type="page"/>
      </w:r>
    </w:p>
    <w:p w14:paraId="1309C636" w14:textId="7EA8CBC8" w:rsidR="00854A1F" w:rsidRPr="00C80985" w:rsidRDefault="00AB4654" w:rsidP="00AB4654">
      <w:pPr>
        <w:pStyle w:val="3-BodyText"/>
        <w:numPr>
          <w:ilvl w:val="0"/>
          <w:numId w:val="0"/>
        </w:numPr>
        <w:spacing w:after="0"/>
      </w:pPr>
      <w:r w:rsidRPr="00C80985">
        <w:rPr>
          <w:rStyle w:val="CommentReference"/>
          <w:szCs w:val="24"/>
        </w:rPr>
        <w:lastRenderedPageBreak/>
        <w:t xml:space="preserve">Table </w:t>
      </w:r>
      <w:r w:rsidRPr="00C80985">
        <w:rPr>
          <w:rStyle w:val="CommentReference"/>
          <w:b w:val="0"/>
          <w:szCs w:val="24"/>
        </w:rPr>
        <w:fldChar w:fldCharType="begin"/>
      </w:r>
      <w:r w:rsidRPr="00C80985">
        <w:rPr>
          <w:rStyle w:val="CommentReference"/>
          <w:szCs w:val="24"/>
        </w:rPr>
        <w:instrText xml:space="preserve"> SEQ Table \* ARABIC </w:instrText>
      </w:r>
      <w:r w:rsidRPr="00C80985">
        <w:rPr>
          <w:rStyle w:val="CommentReference"/>
          <w:b w:val="0"/>
          <w:szCs w:val="24"/>
        </w:rPr>
        <w:fldChar w:fldCharType="separate"/>
      </w:r>
      <w:r w:rsidR="00AA723C">
        <w:rPr>
          <w:rStyle w:val="CommentReference"/>
          <w:noProof/>
          <w:szCs w:val="24"/>
        </w:rPr>
        <w:t>9</w:t>
      </w:r>
      <w:r w:rsidRPr="00C80985">
        <w:rPr>
          <w:rStyle w:val="CommentReference"/>
          <w:b w:val="0"/>
          <w:szCs w:val="24"/>
        </w:rPr>
        <w:fldChar w:fldCharType="end"/>
      </w:r>
      <w:bookmarkEnd w:id="31"/>
      <w:r w:rsidR="00854A1F" w:rsidRPr="00C80985">
        <w:t xml:space="preserve">: </w:t>
      </w:r>
      <w:r w:rsidR="001B032D">
        <w:rPr>
          <w:rFonts w:ascii="Arial Narrow" w:hAnsi="Arial Narrow"/>
          <w:b/>
          <w:bCs/>
          <w:sz w:val="20"/>
          <w:szCs w:val="20"/>
        </w:rPr>
        <w:t>Impact of changes from the March 2020 adult AD model</w:t>
      </w:r>
    </w:p>
    <w:tbl>
      <w:tblPr>
        <w:tblStyle w:val="TableGrid"/>
        <w:tblW w:w="8926" w:type="dxa"/>
        <w:tblCellMar>
          <w:left w:w="28" w:type="dxa"/>
          <w:right w:w="28" w:type="dxa"/>
        </w:tblCellMar>
        <w:tblLook w:val="04A0" w:firstRow="1" w:lastRow="0" w:firstColumn="1" w:lastColumn="0" w:noHBand="0" w:noVBand="1"/>
      </w:tblPr>
      <w:tblGrid>
        <w:gridCol w:w="2689"/>
        <w:gridCol w:w="1205"/>
        <w:gridCol w:w="1346"/>
        <w:gridCol w:w="1134"/>
        <w:gridCol w:w="1276"/>
        <w:gridCol w:w="1276"/>
      </w:tblGrid>
      <w:tr w:rsidR="00854A1F" w:rsidRPr="00C80985" w14:paraId="46D61227" w14:textId="77777777" w:rsidTr="00E840F9">
        <w:trPr>
          <w:tblHeader/>
        </w:trPr>
        <w:tc>
          <w:tcPr>
            <w:tcW w:w="2689" w:type="dxa"/>
            <w:vAlign w:val="center"/>
          </w:tcPr>
          <w:p w14:paraId="4FE7F3A9" w14:textId="77777777" w:rsidR="00854A1F" w:rsidRPr="00C80985" w:rsidRDefault="00854A1F" w:rsidP="00E840F9">
            <w:pPr>
              <w:tabs>
                <w:tab w:val="left" w:pos="164"/>
              </w:tabs>
              <w:rPr>
                <w:rFonts w:ascii="Arial Narrow" w:hAnsi="Arial Narrow"/>
                <w:b/>
                <w:bCs/>
                <w:sz w:val="20"/>
                <w:szCs w:val="20"/>
              </w:rPr>
            </w:pPr>
          </w:p>
        </w:tc>
        <w:tc>
          <w:tcPr>
            <w:tcW w:w="2551" w:type="dxa"/>
            <w:gridSpan w:val="2"/>
            <w:vAlign w:val="center"/>
          </w:tcPr>
          <w:p w14:paraId="107B68EC" w14:textId="77777777" w:rsidR="00854A1F" w:rsidRPr="00C80985" w:rsidRDefault="00854A1F" w:rsidP="00E840F9">
            <w:pPr>
              <w:jc w:val="center"/>
              <w:rPr>
                <w:rFonts w:ascii="Arial Narrow" w:hAnsi="Arial Narrow"/>
                <w:b/>
                <w:bCs/>
                <w:sz w:val="20"/>
                <w:szCs w:val="20"/>
              </w:rPr>
            </w:pPr>
            <w:r w:rsidRPr="00C80985">
              <w:rPr>
                <w:rFonts w:ascii="Arial Narrow" w:hAnsi="Arial Narrow"/>
                <w:b/>
                <w:bCs/>
                <w:sz w:val="20"/>
                <w:szCs w:val="20"/>
              </w:rPr>
              <w:t>Paediatric model</w:t>
            </w:r>
          </w:p>
        </w:tc>
        <w:tc>
          <w:tcPr>
            <w:tcW w:w="2410" w:type="dxa"/>
            <w:gridSpan w:val="2"/>
            <w:vAlign w:val="center"/>
          </w:tcPr>
          <w:p w14:paraId="6974E6FF" w14:textId="77777777" w:rsidR="00854A1F" w:rsidRPr="00C80985" w:rsidRDefault="00854A1F" w:rsidP="00E840F9">
            <w:pPr>
              <w:jc w:val="center"/>
              <w:rPr>
                <w:rFonts w:ascii="Arial Narrow" w:hAnsi="Arial Narrow"/>
                <w:b/>
                <w:bCs/>
                <w:sz w:val="20"/>
                <w:szCs w:val="20"/>
              </w:rPr>
            </w:pPr>
            <w:r w:rsidRPr="00C80985">
              <w:rPr>
                <w:rFonts w:ascii="Arial Narrow" w:hAnsi="Arial Narrow"/>
                <w:b/>
                <w:bCs/>
                <w:sz w:val="20"/>
                <w:szCs w:val="20"/>
              </w:rPr>
              <w:t>Adult model</w:t>
            </w:r>
          </w:p>
        </w:tc>
        <w:tc>
          <w:tcPr>
            <w:tcW w:w="1276" w:type="dxa"/>
            <w:vAlign w:val="center"/>
          </w:tcPr>
          <w:p w14:paraId="44CEA67E" w14:textId="77777777" w:rsidR="00854A1F" w:rsidRPr="00C80985" w:rsidRDefault="00854A1F" w:rsidP="00E840F9">
            <w:pPr>
              <w:jc w:val="center"/>
              <w:rPr>
                <w:rFonts w:ascii="Arial Narrow" w:hAnsi="Arial Narrow"/>
                <w:b/>
                <w:bCs/>
                <w:sz w:val="20"/>
                <w:szCs w:val="20"/>
              </w:rPr>
            </w:pPr>
            <w:r w:rsidRPr="00C80985">
              <w:rPr>
                <w:rFonts w:ascii="Arial Narrow" w:hAnsi="Arial Narrow"/>
                <w:b/>
                <w:bCs/>
                <w:sz w:val="20"/>
                <w:szCs w:val="20"/>
              </w:rPr>
              <w:t>Impact on ICER</w:t>
            </w:r>
          </w:p>
        </w:tc>
      </w:tr>
      <w:tr w:rsidR="00854A1F" w:rsidRPr="00C80985" w14:paraId="517929AE" w14:textId="77777777" w:rsidTr="00E840F9">
        <w:tc>
          <w:tcPr>
            <w:tcW w:w="8926" w:type="dxa"/>
            <w:gridSpan w:val="6"/>
            <w:vAlign w:val="center"/>
          </w:tcPr>
          <w:p w14:paraId="1D834EF7" w14:textId="77777777" w:rsidR="00854A1F" w:rsidRPr="00C80985" w:rsidRDefault="00854A1F" w:rsidP="00E840F9">
            <w:pPr>
              <w:tabs>
                <w:tab w:val="left" w:pos="164"/>
              </w:tabs>
              <w:jc w:val="left"/>
              <w:rPr>
                <w:rFonts w:ascii="Arial Narrow" w:hAnsi="Arial Narrow"/>
                <w:b/>
                <w:bCs/>
                <w:sz w:val="20"/>
                <w:szCs w:val="20"/>
              </w:rPr>
            </w:pPr>
            <w:r w:rsidRPr="00C80985">
              <w:rPr>
                <w:rFonts w:ascii="Arial Narrow" w:hAnsi="Arial Narrow"/>
                <w:b/>
                <w:bCs/>
                <w:sz w:val="20"/>
                <w:szCs w:val="20"/>
              </w:rPr>
              <w:t>Baseline characteristics</w:t>
            </w:r>
          </w:p>
        </w:tc>
      </w:tr>
      <w:tr w:rsidR="00854A1F" w:rsidRPr="00C80985" w14:paraId="16F16B85" w14:textId="77777777" w:rsidTr="00E840F9">
        <w:tc>
          <w:tcPr>
            <w:tcW w:w="2689" w:type="dxa"/>
            <w:vAlign w:val="center"/>
          </w:tcPr>
          <w:p w14:paraId="3040CAC8" w14:textId="77777777" w:rsidR="00854A1F" w:rsidRPr="00C80985" w:rsidRDefault="00854A1F" w:rsidP="00E840F9">
            <w:pPr>
              <w:tabs>
                <w:tab w:val="left" w:pos="164"/>
              </w:tabs>
              <w:rPr>
                <w:rFonts w:ascii="Arial Narrow" w:hAnsi="Arial Narrow"/>
                <w:sz w:val="20"/>
                <w:szCs w:val="20"/>
              </w:rPr>
            </w:pPr>
            <w:r w:rsidRPr="00C80985">
              <w:rPr>
                <w:rFonts w:ascii="Arial Narrow" w:hAnsi="Arial Narrow"/>
                <w:sz w:val="20"/>
                <w:szCs w:val="20"/>
              </w:rPr>
              <w:tab/>
              <w:t>Gender (% male)</w:t>
            </w:r>
          </w:p>
        </w:tc>
        <w:tc>
          <w:tcPr>
            <w:tcW w:w="2551" w:type="dxa"/>
            <w:gridSpan w:val="2"/>
            <w:vAlign w:val="center"/>
          </w:tcPr>
          <w:p w14:paraId="40B03AF0"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49.9%</w:t>
            </w:r>
          </w:p>
        </w:tc>
        <w:tc>
          <w:tcPr>
            <w:tcW w:w="2410" w:type="dxa"/>
            <w:gridSpan w:val="2"/>
            <w:vAlign w:val="center"/>
          </w:tcPr>
          <w:p w14:paraId="43D1F2B0"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60%</w:t>
            </w:r>
          </w:p>
        </w:tc>
        <w:tc>
          <w:tcPr>
            <w:tcW w:w="1276" w:type="dxa"/>
            <w:vMerge w:val="restart"/>
            <w:vAlign w:val="center"/>
          </w:tcPr>
          <w:p w14:paraId="68581A2F"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-0.07%</w:t>
            </w:r>
          </w:p>
        </w:tc>
      </w:tr>
      <w:tr w:rsidR="00854A1F" w:rsidRPr="00C80985" w14:paraId="19832310" w14:textId="77777777" w:rsidTr="00E840F9">
        <w:tc>
          <w:tcPr>
            <w:tcW w:w="2689" w:type="dxa"/>
            <w:vAlign w:val="center"/>
          </w:tcPr>
          <w:p w14:paraId="46B69D1D" w14:textId="77777777" w:rsidR="00854A1F" w:rsidRPr="00C80985" w:rsidRDefault="00854A1F" w:rsidP="00E840F9">
            <w:pPr>
              <w:tabs>
                <w:tab w:val="left" w:pos="164"/>
              </w:tabs>
              <w:rPr>
                <w:rFonts w:ascii="Arial Narrow" w:hAnsi="Arial Narrow"/>
                <w:sz w:val="20"/>
                <w:szCs w:val="20"/>
              </w:rPr>
            </w:pPr>
            <w:r w:rsidRPr="00C80985">
              <w:rPr>
                <w:rFonts w:ascii="Arial Narrow" w:hAnsi="Arial Narrow"/>
                <w:sz w:val="20"/>
                <w:szCs w:val="20"/>
              </w:rPr>
              <w:tab/>
              <w:t>Age (years)</w:t>
            </w:r>
          </w:p>
        </w:tc>
        <w:tc>
          <w:tcPr>
            <w:tcW w:w="2551" w:type="dxa"/>
            <w:gridSpan w:val="2"/>
            <w:vAlign w:val="center"/>
          </w:tcPr>
          <w:p w14:paraId="66B64C88"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8.5</w:t>
            </w:r>
          </w:p>
        </w:tc>
        <w:tc>
          <w:tcPr>
            <w:tcW w:w="2410" w:type="dxa"/>
            <w:gridSpan w:val="2"/>
            <w:vAlign w:val="center"/>
          </w:tcPr>
          <w:p w14:paraId="7AA2E5EE"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38</w:t>
            </w:r>
          </w:p>
        </w:tc>
        <w:tc>
          <w:tcPr>
            <w:tcW w:w="1276" w:type="dxa"/>
            <w:vMerge/>
            <w:vAlign w:val="center"/>
          </w:tcPr>
          <w:p w14:paraId="565BC436" w14:textId="77777777" w:rsidR="00854A1F" w:rsidRPr="00C80985" w:rsidRDefault="00854A1F" w:rsidP="00E840F9">
            <w:pPr>
              <w:jc w:val="center"/>
              <w:rPr>
                <w:rFonts w:ascii="Arial Narrow" w:hAnsi="Arial Narrow"/>
                <w:sz w:val="20"/>
                <w:szCs w:val="20"/>
              </w:rPr>
            </w:pPr>
          </w:p>
        </w:tc>
      </w:tr>
      <w:tr w:rsidR="00854A1F" w:rsidRPr="00C80985" w14:paraId="69053150" w14:textId="77777777" w:rsidTr="00E840F9">
        <w:tc>
          <w:tcPr>
            <w:tcW w:w="2689" w:type="dxa"/>
            <w:vAlign w:val="center"/>
          </w:tcPr>
          <w:p w14:paraId="56E4CF50" w14:textId="77777777" w:rsidR="00854A1F" w:rsidRPr="00C80985" w:rsidRDefault="00854A1F" w:rsidP="00E840F9">
            <w:pPr>
              <w:tabs>
                <w:tab w:val="left" w:pos="164"/>
              </w:tabs>
              <w:rPr>
                <w:rFonts w:ascii="Arial Narrow" w:hAnsi="Arial Narrow"/>
                <w:sz w:val="20"/>
                <w:szCs w:val="20"/>
              </w:rPr>
            </w:pPr>
            <w:r w:rsidRPr="00C80985">
              <w:rPr>
                <w:rFonts w:ascii="Arial Narrow" w:hAnsi="Arial Narrow"/>
                <w:sz w:val="20"/>
                <w:szCs w:val="20"/>
              </w:rPr>
              <w:tab/>
              <w:t xml:space="preserve">Patient weight </w:t>
            </w:r>
          </w:p>
        </w:tc>
        <w:tc>
          <w:tcPr>
            <w:tcW w:w="2551" w:type="dxa"/>
            <w:gridSpan w:val="2"/>
            <w:vAlign w:val="center"/>
          </w:tcPr>
          <w:p w14:paraId="22F21A3D"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31.5 kg</w:t>
            </w:r>
          </w:p>
        </w:tc>
        <w:tc>
          <w:tcPr>
            <w:tcW w:w="2410" w:type="dxa"/>
            <w:gridSpan w:val="2"/>
            <w:vAlign w:val="center"/>
          </w:tcPr>
          <w:p w14:paraId="3CE55866"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75 kg</w:t>
            </w:r>
          </w:p>
        </w:tc>
        <w:tc>
          <w:tcPr>
            <w:tcW w:w="1276" w:type="dxa"/>
            <w:vMerge/>
            <w:vAlign w:val="center"/>
          </w:tcPr>
          <w:p w14:paraId="457D0A69" w14:textId="77777777" w:rsidR="00854A1F" w:rsidRPr="00C80985" w:rsidRDefault="00854A1F" w:rsidP="00E840F9">
            <w:pPr>
              <w:jc w:val="center"/>
              <w:rPr>
                <w:rFonts w:ascii="Arial Narrow" w:hAnsi="Arial Narrow"/>
                <w:sz w:val="20"/>
                <w:szCs w:val="20"/>
              </w:rPr>
            </w:pPr>
          </w:p>
        </w:tc>
      </w:tr>
      <w:tr w:rsidR="00854A1F" w:rsidRPr="00C80985" w14:paraId="7FCBBD76" w14:textId="77777777" w:rsidTr="00E840F9">
        <w:tc>
          <w:tcPr>
            <w:tcW w:w="8926" w:type="dxa"/>
            <w:gridSpan w:val="6"/>
            <w:vAlign w:val="center"/>
          </w:tcPr>
          <w:p w14:paraId="0741BBBC" w14:textId="77777777" w:rsidR="00854A1F" w:rsidRPr="00C80985" w:rsidRDefault="00854A1F" w:rsidP="00E840F9">
            <w:pPr>
              <w:jc w:val="left"/>
              <w:rPr>
                <w:rFonts w:ascii="Arial Narrow" w:hAnsi="Arial Narrow"/>
                <w:b/>
                <w:bCs/>
                <w:sz w:val="20"/>
                <w:szCs w:val="20"/>
              </w:rPr>
            </w:pPr>
            <w:r w:rsidRPr="00C80985">
              <w:rPr>
                <w:rFonts w:ascii="Arial Narrow" w:hAnsi="Arial Narrow"/>
                <w:b/>
                <w:bCs/>
                <w:sz w:val="20"/>
                <w:szCs w:val="20"/>
              </w:rPr>
              <w:t xml:space="preserve">Week 16 response </w:t>
            </w:r>
          </w:p>
        </w:tc>
      </w:tr>
      <w:tr w:rsidR="00854A1F" w:rsidRPr="00C80985" w14:paraId="587DBB20" w14:textId="77777777" w:rsidTr="00E840F9">
        <w:tc>
          <w:tcPr>
            <w:tcW w:w="2689" w:type="dxa"/>
            <w:vAlign w:val="center"/>
          </w:tcPr>
          <w:p w14:paraId="4630517A" w14:textId="77777777" w:rsidR="00854A1F" w:rsidRPr="00C80985" w:rsidRDefault="00854A1F" w:rsidP="00E840F9">
            <w:pPr>
              <w:tabs>
                <w:tab w:val="left" w:pos="164"/>
              </w:tabs>
              <w:rPr>
                <w:rFonts w:ascii="Arial Narrow" w:hAnsi="Arial Narrow"/>
                <w:sz w:val="20"/>
                <w:szCs w:val="20"/>
              </w:rPr>
            </w:pPr>
            <w:r w:rsidRPr="00C80985">
              <w:rPr>
                <w:rFonts w:ascii="Arial Narrow" w:hAnsi="Arial Narrow"/>
                <w:sz w:val="20"/>
                <w:szCs w:val="20"/>
              </w:rPr>
              <w:tab/>
              <w:t>Dupilumab</w:t>
            </w:r>
          </w:p>
        </w:tc>
        <w:tc>
          <w:tcPr>
            <w:tcW w:w="2551" w:type="dxa"/>
            <w:gridSpan w:val="2"/>
            <w:vAlign w:val="center"/>
          </w:tcPr>
          <w:p w14:paraId="46B287AB"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76.9%</w:t>
            </w:r>
          </w:p>
        </w:tc>
        <w:tc>
          <w:tcPr>
            <w:tcW w:w="2410" w:type="dxa"/>
            <w:gridSpan w:val="2"/>
            <w:vAlign w:val="center"/>
          </w:tcPr>
          <w:p w14:paraId="4A0B7680"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59.6%</w:t>
            </w:r>
          </w:p>
        </w:tc>
        <w:tc>
          <w:tcPr>
            <w:tcW w:w="1276" w:type="dxa"/>
            <w:vMerge w:val="restart"/>
            <w:vAlign w:val="center"/>
          </w:tcPr>
          <w:p w14:paraId="34CDDC00"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-1.7%</w:t>
            </w:r>
          </w:p>
        </w:tc>
      </w:tr>
      <w:tr w:rsidR="00854A1F" w:rsidRPr="00C80985" w14:paraId="4518A16D" w14:textId="77777777" w:rsidTr="00E840F9">
        <w:tc>
          <w:tcPr>
            <w:tcW w:w="2689" w:type="dxa"/>
            <w:vAlign w:val="center"/>
          </w:tcPr>
          <w:p w14:paraId="6A808D45" w14:textId="77777777" w:rsidR="00854A1F" w:rsidRPr="00C80985" w:rsidRDefault="00854A1F" w:rsidP="00E840F9">
            <w:pPr>
              <w:tabs>
                <w:tab w:val="left" w:pos="164"/>
              </w:tabs>
              <w:rPr>
                <w:rFonts w:ascii="Arial Narrow" w:hAnsi="Arial Narrow"/>
                <w:sz w:val="20"/>
                <w:szCs w:val="20"/>
              </w:rPr>
            </w:pPr>
            <w:r w:rsidRPr="00C80985">
              <w:rPr>
                <w:rFonts w:ascii="Arial Narrow" w:hAnsi="Arial Narrow"/>
                <w:sz w:val="20"/>
                <w:szCs w:val="20"/>
              </w:rPr>
              <w:tab/>
              <w:t>Placebo</w:t>
            </w:r>
          </w:p>
        </w:tc>
        <w:tc>
          <w:tcPr>
            <w:tcW w:w="2551" w:type="dxa"/>
            <w:gridSpan w:val="2"/>
            <w:vAlign w:val="center"/>
          </w:tcPr>
          <w:p w14:paraId="60B87751"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28.6%</w:t>
            </w:r>
          </w:p>
        </w:tc>
        <w:tc>
          <w:tcPr>
            <w:tcW w:w="2410" w:type="dxa"/>
            <w:gridSpan w:val="2"/>
            <w:vAlign w:val="center"/>
          </w:tcPr>
          <w:p w14:paraId="1FC643CE"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19.9%</w:t>
            </w:r>
          </w:p>
        </w:tc>
        <w:tc>
          <w:tcPr>
            <w:tcW w:w="1276" w:type="dxa"/>
            <w:vMerge/>
            <w:vAlign w:val="center"/>
          </w:tcPr>
          <w:p w14:paraId="14240676" w14:textId="77777777" w:rsidR="00854A1F" w:rsidRPr="00C80985" w:rsidRDefault="00854A1F" w:rsidP="00E840F9">
            <w:pPr>
              <w:jc w:val="center"/>
              <w:rPr>
                <w:rFonts w:ascii="Arial Narrow" w:hAnsi="Arial Narrow"/>
                <w:sz w:val="20"/>
                <w:szCs w:val="20"/>
              </w:rPr>
            </w:pPr>
          </w:p>
        </w:tc>
      </w:tr>
      <w:tr w:rsidR="00854A1F" w:rsidRPr="00C80985" w14:paraId="590D290A" w14:textId="77777777" w:rsidTr="00E840F9">
        <w:tc>
          <w:tcPr>
            <w:tcW w:w="8926" w:type="dxa"/>
            <w:gridSpan w:val="6"/>
            <w:vAlign w:val="center"/>
          </w:tcPr>
          <w:p w14:paraId="5CF5B427" w14:textId="7A6424DE" w:rsidR="00854A1F" w:rsidRPr="00C80985" w:rsidRDefault="00854A1F" w:rsidP="00E840F9">
            <w:pPr>
              <w:jc w:val="left"/>
              <w:rPr>
                <w:rFonts w:ascii="Arial Narrow" w:hAnsi="Arial Narrow"/>
                <w:b/>
                <w:bCs/>
                <w:sz w:val="20"/>
                <w:szCs w:val="20"/>
              </w:rPr>
            </w:pPr>
            <w:r w:rsidRPr="00C80985">
              <w:rPr>
                <w:rFonts w:ascii="Arial Narrow" w:hAnsi="Arial Narrow"/>
                <w:b/>
                <w:bCs/>
                <w:sz w:val="20"/>
                <w:szCs w:val="20"/>
              </w:rPr>
              <w:t>Health resource use survey – number of services</w:t>
            </w:r>
            <w:r w:rsidR="00DE5A11" w:rsidRPr="00C80985">
              <w:rPr>
                <w:rFonts w:ascii="Arial Narrow" w:hAnsi="Arial Narrow"/>
                <w:b/>
                <w:bCs/>
                <w:sz w:val="20"/>
                <w:szCs w:val="20"/>
              </w:rPr>
              <w:t xml:space="preserve"> per year</w:t>
            </w:r>
          </w:p>
        </w:tc>
      </w:tr>
      <w:tr w:rsidR="00854A1F" w:rsidRPr="00C80985" w14:paraId="7E5B2C09" w14:textId="77777777" w:rsidTr="00E840F9">
        <w:tc>
          <w:tcPr>
            <w:tcW w:w="2689" w:type="dxa"/>
            <w:vAlign w:val="center"/>
          </w:tcPr>
          <w:p w14:paraId="68EC3B8C" w14:textId="77777777" w:rsidR="00854A1F" w:rsidRPr="00C80985" w:rsidRDefault="00854A1F" w:rsidP="00E840F9">
            <w:pPr>
              <w:tabs>
                <w:tab w:val="left" w:pos="164"/>
              </w:tabs>
              <w:rPr>
                <w:rFonts w:ascii="Arial Narrow" w:hAnsi="Arial Narrow"/>
                <w:sz w:val="20"/>
                <w:szCs w:val="20"/>
              </w:rPr>
            </w:pPr>
          </w:p>
        </w:tc>
        <w:tc>
          <w:tcPr>
            <w:tcW w:w="1205" w:type="dxa"/>
            <w:vAlign w:val="center"/>
          </w:tcPr>
          <w:p w14:paraId="49B55EAC" w14:textId="77777777" w:rsidR="00854A1F" w:rsidRPr="00C80985" w:rsidRDefault="00854A1F" w:rsidP="00E840F9">
            <w:pPr>
              <w:jc w:val="center"/>
              <w:rPr>
                <w:rFonts w:ascii="Arial Narrow" w:hAnsi="Arial Narrow"/>
                <w:sz w:val="20"/>
                <w:szCs w:val="20"/>
              </w:rPr>
            </w:pPr>
            <w:r w:rsidRPr="00C80985">
              <w:rPr>
                <w:rFonts w:ascii="Arial Narrow" w:hAnsi="Arial Narrow"/>
                <w:b/>
                <w:bCs/>
                <w:sz w:val="20"/>
                <w:szCs w:val="20"/>
              </w:rPr>
              <w:t>Responder</w:t>
            </w:r>
          </w:p>
        </w:tc>
        <w:tc>
          <w:tcPr>
            <w:tcW w:w="1346" w:type="dxa"/>
            <w:vAlign w:val="center"/>
          </w:tcPr>
          <w:p w14:paraId="4DFDCD24" w14:textId="77777777" w:rsidR="00854A1F" w:rsidRPr="00C80985" w:rsidRDefault="00854A1F" w:rsidP="00E840F9">
            <w:pPr>
              <w:jc w:val="center"/>
              <w:rPr>
                <w:rFonts w:ascii="Arial Narrow" w:hAnsi="Arial Narrow"/>
                <w:sz w:val="20"/>
                <w:szCs w:val="20"/>
              </w:rPr>
            </w:pPr>
            <w:r w:rsidRPr="00C80985">
              <w:rPr>
                <w:rFonts w:ascii="Arial Narrow" w:hAnsi="Arial Narrow"/>
                <w:b/>
                <w:bCs/>
                <w:sz w:val="20"/>
                <w:szCs w:val="20"/>
              </w:rPr>
              <w:t>Non-responder</w:t>
            </w:r>
          </w:p>
        </w:tc>
        <w:tc>
          <w:tcPr>
            <w:tcW w:w="1134" w:type="dxa"/>
            <w:vAlign w:val="center"/>
          </w:tcPr>
          <w:p w14:paraId="1CB3C40F" w14:textId="77777777" w:rsidR="00854A1F" w:rsidRPr="00C80985" w:rsidRDefault="00854A1F" w:rsidP="00E840F9">
            <w:pPr>
              <w:jc w:val="center"/>
              <w:rPr>
                <w:rFonts w:ascii="Arial Narrow" w:hAnsi="Arial Narrow"/>
                <w:sz w:val="20"/>
                <w:szCs w:val="20"/>
              </w:rPr>
            </w:pPr>
            <w:r w:rsidRPr="00C80985">
              <w:rPr>
                <w:rFonts w:ascii="Arial Narrow" w:hAnsi="Arial Narrow"/>
                <w:b/>
                <w:bCs/>
                <w:sz w:val="20"/>
                <w:szCs w:val="20"/>
              </w:rPr>
              <w:t>Responder</w:t>
            </w:r>
          </w:p>
        </w:tc>
        <w:tc>
          <w:tcPr>
            <w:tcW w:w="1276" w:type="dxa"/>
            <w:vAlign w:val="center"/>
          </w:tcPr>
          <w:p w14:paraId="37752F18" w14:textId="77777777" w:rsidR="00854A1F" w:rsidRPr="00C80985" w:rsidRDefault="00854A1F" w:rsidP="00E840F9">
            <w:pPr>
              <w:jc w:val="center"/>
              <w:rPr>
                <w:rFonts w:ascii="Arial Narrow" w:hAnsi="Arial Narrow"/>
                <w:sz w:val="20"/>
                <w:szCs w:val="20"/>
              </w:rPr>
            </w:pPr>
            <w:r w:rsidRPr="00C80985">
              <w:rPr>
                <w:rFonts w:ascii="Arial Narrow" w:hAnsi="Arial Narrow"/>
                <w:b/>
                <w:bCs/>
                <w:sz w:val="20"/>
                <w:szCs w:val="20"/>
              </w:rPr>
              <w:t>Non-responder</w:t>
            </w:r>
          </w:p>
        </w:tc>
        <w:tc>
          <w:tcPr>
            <w:tcW w:w="1276" w:type="dxa"/>
            <w:vAlign w:val="center"/>
          </w:tcPr>
          <w:p w14:paraId="259C75AD" w14:textId="77777777" w:rsidR="00854A1F" w:rsidRPr="00C80985" w:rsidRDefault="00854A1F" w:rsidP="00E840F9">
            <w:pPr>
              <w:jc w:val="center"/>
              <w:rPr>
                <w:rFonts w:ascii="Arial Narrow" w:hAnsi="Arial Narrow"/>
                <w:sz w:val="20"/>
                <w:szCs w:val="20"/>
              </w:rPr>
            </w:pPr>
          </w:p>
        </w:tc>
      </w:tr>
      <w:tr w:rsidR="00854A1F" w:rsidRPr="00C80985" w14:paraId="015A6134" w14:textId="77777777" w:rsidTr="00E840F9">
        <w:tc>
          <w:tcPr>
            <w:tcW w:w="2689" w:type="dxa"/>
            <w:vAlign w:val="center"/>
          </w:tcPr>
          <w:p w14:paraId="0AB54C56" w14:textId="77777777" w:rsidR="00854A1F" w:rsidRPr="00C80985" w:rsidRDefault="00854A1F" w:rsidP="00E840F9">
            <w:pPr>
              <w:tabs>
                <w:tab w:val="left" w:pos="164"/>
              </w:tabs>
              <w:rPr>
                <w:rFonts w:ascii="Arial Narrow" w:hAnsi="Arial Narrow"/>
                <w:sz w:val="20"/>
                <w:szCs w:val="20"/>
              </w:rPr>
            </w:pPr>
            <w:r w:rsidRPr="00C80985">
              <w:rPr>
                <w:rFonts w:ascii="Arial Narrow" w:hAnsi="Arial Narrow"/>
                <w:sz w:val="20"/>
                <w:szCs w:val="20"/>
              </w:rPr>
              <w:tab/>
              <w:t>Primary care visit</w:t>
            </w:r>
          </w:p>
        </w:tc>
        <w:tc>
          <w:tcPr>
            <w:tcW w:w="1205" w:type="dxa"/>
            <w:vAlign w:val="center"/>
          </w:tcPr>
          <w:p w14:paraId="683E247B"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4.5</w:t>
            </w:r>
          </w:p>
        </w:tc>
        <w:tc>
          <w:tcPr>
            <w:tcW w:w="1346" w:type="dxa"/>
            <w:vAlign w:val="center"/>
          </w:tcPr>
          <w:p w14:paraId="330A6717"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10.8</w:t>
            </w:r>
          </w:p>
        </w:tc>
        <w:tc>
          <w:tcPr>
            <w:tcW w:w="1134" w:type="dxa"/>
            <w:vAlign w:val="center"/>
          </w:tcPr>
          <w:p w14:paraId="3121A01E"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3.3</w:t>
            </w:r>
          </w:p>
        </w:tc>
        <w:tc>
          <w:tcPr>
            <w:tcW w:w="1276" w:type="dxa"/>
            <w:vAlign w:val="center"/>
          </w:tcPr>
          <w:p w14:paraId="720872AA"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8.1</w:t>
            </w:r>
          </w:p>
        </w:tc>
        <w:tc>
          <w:tcPr>
            <w:tcW w:w="1276" w:type="dxa"/>
            <w:vMerge w:val="restart"/>
            <w:vAlign w:val="center"/>
          </w:tcPr>
          <w:p w14:paraId="4923E6CF"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-30.97%</w:t>
            </w:r>
          </w:p>
        </w:tc>
      </w:tr>
      <w:tr w:rsidR="00854A1F" w:rsidRPr="00C80985" w14:paraId="771E3B52" w14:textId="77777777" w:rsidTr="00E840F9">
        <w:tc>
          <w:tcPr>
            <w:tcW w:w="2689" w:type="dxa"/>
            <w:vAlign w:val="center"/>
          </w:tcPr>
          <w:p w14:paraId="034FBEBE" w14:textId="77777777" w:rsidR="00854A1F" w:rsidRPr="00C80985" w:rsidRDefault="00854A1F" w:rsidP="00E840F9">
            <w:pPr>
              <w:tabs>
                <w:tab w:val="left" w:pos="164"/>
              </w:tabs>
              <w:rPr>
                <w:rFonts w:ascii="Arial Narrow" w:hAnsi="Arial Narrow"/>
                <w:sz w:val="20"/>
                <w:szCs w:val="20"/>
              </w:rPr>
            </w:pPr>
            <w:r w:rsidRPr="00C80985">
              <w:rPr>
                <w:rFonts w:ascii="Arial Narrow" w:hAnsi="Arial Narrow"/>
                <w:sz w:val="20"/>
                <w:szCs w:val="20"/>
              </w:rPr>
              <w:tab/>
              <w:t>Specialist visit</w:t>
            </w:r>
          </w:p>
        </w:tc>
        <w:tc>
          <w:tcPr>
            <w:tcW w:w="1205" w:type="dxa"/>
            <w:vAlign w:val="center"/>
          </w:tcPr>
          <w:p w14:paraId="25553101"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3.0</w:t>
            </w:r>
          </w:p>
        </w:tc>
        <w:tc>
          <w:tcPr>
            <w:tcW w:w="1346" w:type="dxa"/>
            <w:vAlign w:val="center"/>
          </w:tcPr>
          <w:p w14:paraId="5045B842"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7.9</w:t>
            </w:r>
          </w:p>
        </w:tc>
        <w:tc>
          <w:tcPr>
            <w:tcW w:w="1134" w:type="dxa"/>
            <w:vAlign w:val="center"/>
          </w:tcPr>
          <w:p w14:paraId="1DBA92B5"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3.5</w:t>
            </w:r>
          </w:p>
        </w:tc>
        <w:tc>
          <w:tcPr>
            <w:tcW w:w="1276" w:type="dxa"/>
            <w:vAlign w:val="center"/>
          </w:tcPr>
          <w:p w14:paraId="199AF9EE"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7.6</w:t>
            </w:r>
          </w:p>
        </w:tc>
        <w:tc>
          <w:tcPr>
            <w:tcW w:w="1276" w:type="dxa"/>
            <w:vMerge/>
            <w:vAlign w:val="center"/>
          </w:tcPr>
          <w:p w14:paraId="6972E092" w14:textId="77777777" w:rsidR="00854A1F" w:rsidRPr="00C80985" w:rsidRDefault="00854A1F" w:rsidP="00E840F9">
            <w:pPr>
              <w:jc w:val="center"/>
              <w:rPr>
                <w:rFonts w:ascii="Arial Narrow" w:hAnsi="Arial Narrow"/>
                <w:sz w:val="20"/>
                <w:szCs w:val="20"/>
              </w:rPr>
            </w:pPr>
          </w:p>
        </w:tc>
      </w:tr>
      <w:tr w:rsidR="00854A1F" w:rsidRPr="00C80985" w14:paraId="0F63F95E" w14:textId="77777777" w:rsidTr="00E840F9">
        <w:tc>
          <w:tcPr>
            <w:tcW w:w="2689" w:type="dxa"/>
            <w:vAlign w:val="center"/>
          </w:tcPr>
          <w:p w14:paraId="5DD6A369" w14:textId="77777777" w:rsidR="00854A1F" w:rsidRPr="00C80985" w:rsidRDefault="00854A1F" w:rsidP="00E840F9">
            <w:pPr>
              <w:tabs>
                <w:tab w:val="left" w:pos="164"/>
              </w:tabs>
              <w:rPr>
                <w:rFonts w:ascii="Arial Narrow" w:hAnsi="Arial Narrow"/>
                <w:sz w:val="20"/>
                <w:szCs w:val="20"/>
              </w:rPr>
            </w:pPr>
            <w:r w:rsidRPr="00C80985">
              <w:rPr>
                <w:rFonts w:ascii="Arial Narrow" w:hAnsi="Arial Narrow"/>
                <w:sz w:val="20"/>
                <w:szCs w:val="20"/>
              </w:rPr>
              <w:tab/>
              <w:t>Emergency room visit</w:t>
            </w:r>
          </w:p>
        </w:tc>
        <w:tc>
          <w:tcPr>
            <w:tcW w:w="1205" w:type="dxa"/>
            <w:vAlign w:val="center"/>
          </w:tcPr>
          <w:p w14:paraId="0E47DF45"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0.4</w:t>
            </w:r>
          </w:p>
        </w:tc>
        <w:tc>
          <w:tcPr>
            <w:tcW w:w="1346" w:type="dxa"/>
            <w:vAlign w:val="center"/>
          </w:tcPr>
          <w:p w14:paraId="764D11A9"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3.3</w:t>
            </w:r>
          </w:p>
        </w:tc>
        <w:tc>
          <w:tcPr>
            <w:tcW w:w="1134" w:type="dxa"/>
            <w:vAlign w:val="center"/>
          </w:tcPr>
          <w:p w14:paraId="05AB780F"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0.1</w:t>
            </w:r>
          </w:p>
        </w:tc>
        <w:tc>
          <w:tcPr>
            <w:tcW w:w="1276" w:type="dxa"/>
            <w:vAlign w:val="center"/>
          </w:tcPr>
          <w:p w14:paraId="1E298E13"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1.5</w:t>
            </w:r>
          </w:p>
        </w:tc>
        <w:tc>
          <w:tcPr>
            <w:tcW w:w="1276" w:type="dxa"/>
            <w:vMerge/>
            <w:vAlign w:val="center"/>
          </w:tcPr>
          <w:p w14:paraId="3B3C3257" w14:textId="77777777" w:rsidR="00854A1F" w:rsidRPr="00C80985" w:rsidRDefault="00854A1F" w:rsidP="00E840F9">
            <w:pPr>
              <w:jc w:val="center"/>
              <w:rPr>
                <w:rFonts w:ascii="Arial Narrow" w:hAnsi="Arial Narrow"/>
                <w:sz w:val="20"/>
                <w:szCs w:val="20"/>
              </w:rPr>
            </w:pPr>
          </w:p>
        </w:tc>
      </w:tr>
      <w:tr w:rsidR="00854A1F" w:rsidRPr="00C80985" w14:paraId="63E26E5D" w14:textId="77777777" w:rsidTr="00E840F9">
        <w:tc>
          <w:tcPr>
            <w:tcW w:w="2689" w:type="dxa"/>
            <w:vAlign w:val="center"/>
          </w:tcPr>
          <w:p w14:paraId="096242C0" w14:textId="77777777" w:rsidR="00854A1F" w:rsidRPr="00C80985" w:rsidRDefault="00854A1F" w:rsidP="00E840F9">
            <w:pPr>
              <w:tabs>
                <w:tab w:val="left" w:pos="164"/>
              </w:tabs>
              <w:rPr>
                <w:rFonts w:ascii="Arial Narrow" w:hAnsi="Arial Narrow"/>
                <w:sz w:val="20"/>
                <w:szCs w:val="20"/>
              </w:rPr>
            </w:pPr>
            <w:r w:rsidRPr="00C80985">
              <w:rPr>
                <w:rFonts w:ascii="Arial Narrow" w:hAnsi="Arial Narrow"/>
                <w:sz w:val="20"/>
                <w:szCs w:val="20"/>
              </w:rPr>
              <w:tab/>
              <w:t>Hospitalisations</w:t>
            </w:r>
          </w:p>
        </w:tc>
        <w:tc>
          <w:tcPr>
            <w:tcW w:w="1205" w:type="dxa"/>
            <w:vAlign w:val="center"/>
          </w:tcPr>
          <w:p w14:paraId="19A76AB0"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0.1</w:t>
            </w:r>
          </w:p>
        </w:tc>
        <w:tc>
          <w:tcPr>
            <w:tcW w:w="1346" w:type="dxa"/>
            <w:vAlign w:val="center"/>
          </w:tcPr>
          <w:p w14:paraId="46B4987C"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1.9</w:t>
            </w:r>
          </w:p>
        </w:tc>
        <w:tc>
          <w:tcPr>
            <w:tcW w:w="1134" w:type="dxa"/>
            <w:vAlign w:val="center"/>
          </w:tcPr>
          <w:p w14:paraId="194AAFE1"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0.1</w:t>
            </w:r>
          </w:p>
        </w:tc>
        <w:tc>
          <w:tcPr>
            <w:tcW w:w="1276" w:type="dxa"/>
            <w:vAlign w:val="center"/>
          </w:tcPr>
          <w:p w14:paraId="614A149E"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1.0</w:t>
            </w:r>
          </w:p>
        </w:tc>
        <w:tc>
          <w:tcPr>
            <w:tcW w:w="1276" w:type="dxa"/>
            <w:vMerge/>
            <w:vAlign w:val="center"/>
          </w:tcPr>
          <w:p w14:paraId="7205CEFB" w14:textId="77777777" w:rsidR="00854A1F" w:rsidRPr="00C80985" w:rsidRDefault="00854A1F" w:rsidP="00E840F9">
            <w:pPr>
              <w:jc w:val="center"/>
              <w:rPr>
                <w:rFonts w:ascii="Arial Narrow" w:hAnsi="Arial Narrow"/>
                <w:sz w:val="20"/>
                <w:szCs w:val="20"/>
              </w:rPr>
            </w:pPr>
          </w:p>
        </w:tc>
      </w:tr>
      <w:tr w:rsidR="00854A1F" w:rsidRPr="00C80985" w14:paraId="0ECB569D" w14:textId="77777777" w:rsidTr="00E840F9">
        <w:tc>
          <w:tcPr>
            <w:tcW w:w="2689" w:type="dxa"/>
            <w:vAlign w:val="center"/>
          </w:tcPr>
          <w:p w14:paraId="00B0D74E" w14:textId="77777777" w:rsidR="00854A1F" w:rsidRPr="00C80985" w:rsidRDefault="00854A1F" w:rsidP="00E840F9">
            <w:pPr>
              <w:tabs>
                <w:tab w:val="left" w:pos="164"/>
              </w:tabs>
              <w:rPr>
                <w:rFonts w:ascii="Arial Narrow" w:hAnsi="Arial Narrow"/>
                <w:sz w:val="20"/>
                <w:szCs w:val="20"/>
              </w:rPr>
            </w:pPr>
            <w:r w:rsidRPr="00C80985">
              <w:rPr>
                <w:rFonts w:ascii="Arial Narrow" w:hAnsi="Arial Narrow"/>
                <w:sz w:val="20"/>
                <w:szCs w:val="20"/>
              </w:rPr>
              <w:tab/>
              <w:t>Phototherapy treatments</w:t>
            </w:r>
          </w:p>
        </w:tc>
        <w:tc>
          <w:tcPr>
            <w:tcW w:w="1205" w:type="dxa"/>
            <w:vAlign w:val="center"/>
          </w:tcPr>
          <w:p w14:paraId="1B4085EF"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3.6</w:t>
            </w:r>
          </w:p>
        </w:tc>
        <w:tc>
          <w:tcPr>
            <w:tcW w:w="1346" w:type="dxa"/>
            <w:vAlign w:val="center"/>
          </w:tcPr>
          <w:p w14:paraId="155ED6F4"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25.3</w:t>
            </w:r>
          </w:p>
        </w:tc>
        <w:tc>
          <w:tcPr>
            <w:tcW w:w="1134" w:type="dxa"/>
            <w:vAlign w:val="center"/>
          </w:tcPr>
          <w:p w14:paraId="7269054C"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36.6</w:t>
            </w:r>
          </w:p>
        </w:tc>
        <w:tc>
          <w:tcPr>
            <w:tcW w:w="1276" w:type="dxa"/>
            <w:vAlign w:val="center"/>
          </w:tcPr>
          <w:p w14:paraId="41FD3513"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93.1</w:t>
            </w:r>
          </w:p>
        </w:tc>
        <w:tc>
          <w:tcPr>
            <w:tcW w:w="1276" w:type="dxa"/>
            <w:vMerge/>
            <w:vAlign w:val="center"/>
          </w:tcPr>
          <w:p w14:paraId="29E9F0E5" w14:textId="77777777" w:rsidR="00854A1F" w:rsidRPr="00C80985" w:rsidRDefault="00854A1F" w:rsidP="00E840F9">
            <w:pPr>
              <w:jc w:val="center"/>
              <w:rPr>
                <w:rFonts w:ascii="Arial Narrow" w:hAnsi="Arial Narrow"/>
                <w:sz w:val="20"/>
                <w:szCs w:val="20"/>
              </w:rPr>
            </w:pPr>
          </w:p>
        </w:tc>
      </w:tr>
      <w:tr w:rsidR="00854A1F" w:rsidRPr="00C80985" w14:paraId="51194299" w14:textId="77777777" w:rsidTr="00E840F9">
        <w:tc>
          <w:tcPr>
            <w:tcW w:w="2689" w:type="dxa"/>
            <w:vAlign w:val="center"/>
          </w:tcPr>
          <w:p w14:paraId="29C67B36" w14:textId="77777777" w:rsidR="00854A1F" w:rsidRPr="00C80985" w:rsidRDefault="00854A1F" w:rsidP="00E840F9">
            <w:pPr>
              <w:tabs>
                <w:tab w:val="left" w:pos="164"/>
              </w:tabs>
              <w:rPr>
                <w:rFonts w:ascii="Arial Narrow" w:hAnsi="Arial Narrow"/>
                <w:sz w:val="20"/>
                <w:szCs w:val="20"/>
              </w:rPr>
            </w:pPr>
            <w:r w:rsidRPr="00C80985">
              <w:rPr>
                <w:rFonts w:ascii="Arial Narrow" w:hAnsi="Arial Narrow"/>
                <w:sz w:val="20"/>
                <w:szCs w:val="20"/>
              </w:rPr>
              <w:tab/>
              <w:t>TCI prescriptions</w:t>
            </w:r>
          </w:p>
        </w:tc>
        <w:tc>
          <w:tcPr>
            <w:tcW w:w="1205" w:type="dxa"/>
            <w:vAlign w:val="center"/>
          </w:tcPr>
          <w:p w14:paraId="3E71869B"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5.6</w:t>
            </w:r>
          </w:p>
        </w:tc>
        <w:tc>
          <w:tcPr>
            <w:tcW w:w="1346" w:type="dxa"/>
            <w:vAlign w:val="center"/>
          </w:tcPr>
          <w:p w14:paraId="2445C6CC"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11.1</w:t>
            </w:r>
          </w:p>
        </w:tc>
        <w:tc>
          <w:tcPr>
            <w:tcW w:w="1134" w:type="dxa"/>
            <w:vAlign w:val="center"/>
          </w:tcPr>
          <w:p w14:paraId="23E83576"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8.7</w:t>
            </w:r>
          </w:p>
        </w:tc>
        <w:tc>
          <w:tcPr>
            <w:tcW w:w="1276" w:type="dxa"/>
            <w:vAlign w:val="center"/>
          </w:tcPr>
          <w:p w14:paraId="1E57AFEF"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16.1</w:t>
            </w:r>
          </w:p>
        </w:tc>
        <w:tc>
          <w:tcPr>
            <w:tcW w:w="1276" w:type="dxa"/>
            <w:vMerge/>
            <w:vAlign w:val="center"/>
          </w:tcPr>
          <w:p w14:paraId="250522EA" w14:textId="77777777" w:rsidR="00854A1F" w:rsidRPr="00C80985" w:rsidRDefault="00854A1F" w:rsidP="00E840F9">
            <w:pPr>
              <w:jc w:val="center"/>
              <w:rPr>
                <w:rFonts w:ascii="Arial Narrow" w:hAnsi="Arial Narrow"/>
                <w:sz w:val="20"/>
                <w:szCs w:val="20"/>
              </w:rPr>
            </w:pPr>
          </w:p>
        </w:tc>
      </w:tr>
      <w:tr w:rsidR="00854A1F" w:rsidRPr="00C80985" w14:paraId="2EEB8684" w14:textId="77777777" w:rsidTr="00E840F9">
        <w:tc>
          <w:tcPr>
            <w:tcW w:w="2689" w:type="dxa"/>
            <w:vAlign w:val="center"/>
          </w:tcPr>
          <w:p w14:paraId="511CCE62" w14:textId="77777777" w:rsidR="00854A1F" w:rsidRPr="00C80985" w:rsidRDefault="00854A1F" w:rsidP="00E840F9">
            <w:pPr>
              <w:tabs>
                <w:tab w:val="left" w:pos="164"/>
              </w:tabs>
              <w:rPr>
                <w:rFonts w:ascii="Arial Narrow" w:hAnsi="Arial Narrow"/>
                <w:sz w:val="20"/>
                <w:szCs w:val="20"/>
              </w:rPr>
            </w:pPr>
            <w:r w:rsidRPr="00C80985">
              <w:rPr>
                <w:rFonts w:ascii="Arial Narrow" w:hAnsi="Arial Narrow"/>
                <w:sz w:val="20"/>
                <w:szCs w:val="20"/>
              </w:rPr>
              <w:tab/>
              <w:t>Oral antibiotics</w:t>
            </w:r>
          </w:p>
        </w:tc>
        <w:tc>
          <w:tcPr>
            <w:tcW w:w="1205" w:type="dxa"/>
            <w:vAlign w:val="center"/>
          </w:tcPr>
          <w:p w14:paraId="59266788"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1.2</w:t>
            </w:r>
          </w:p>
        </w:tc>
        <w:tc>
          <w:tcPr>
            <w:tcW w:w="1346" w:type="dxa"/>
            <w:vAlign w:val="center"/>
          </w:tcPr>
          <w:p w14:paraId="315EB5C2"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5.1</w:t>
            </w:r>
          </w:p>
        </w:tc>
        <w:tc>
          <w:tcPr>
            <w:tcW w:w="1134" w:type="dxa"/>
            <w:vAlign w:val="center"/>
          </w:tcPr>
          <w:p w14:paraId="196F95CA"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1.6</w:t>
            </w:r>
          </w:p>
        </w:tc>
        <w:tc>
          <w:tcPr>
            <w:tcW w:w="1276" w:type="dxa"/>
            <w:vAlign w:val="center"/>
          </w:tcPr>
          <w:p w14:paraId="68D236B4"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4.5</w:t>
            </w:r>
          </w:p>
        </w:tc>
        <w:tc>
          <w:tcPr>
            <w:tcW w:w="1276" w:type="dxa"/>
            <w:vMerge/>
            <w:vAlign w:val="center"/>
          </w:tcPr>
          <w:p w14:paraId="63898CCD" w14:textId="77777777" w:rsidR="00854A1F" w:rsidRPr="00C80985" w:rsidRDefault="00854A1F" w:rsidP="00E840F9">
            <w:pPr>
              <w:jc w:val="center"/>
              <w:rPr>
                <w:rFonts w:ascii="Arial Narrow" w:hAnsi="Arial Narrow"/>
                <w:sz w:val="20"/>
                <w:szCs w:val="20"/>
              </w:rPr>
            </w:pPr>
          </w:p>
        </w:tc>
      </w:tr>
      <w:tr w:rsidR="00854A1F" w:rsidRPr="00C80985" w14:paraId="55BD1FB8" w14:textId="77777777" w:rsidTr="00E840F9">
        <w:tc>
          <w:tcPr>
            <w:tcW w:w="2689" w:type="dxa"/>
            <w:vAlign w:val="center"/>
          </w:tcPr>
          <w:p w14:paraId="1C943AF7" w14:textId="77777777" w:rsidR="00854A1F" w:rsidRPr="00C80985" w:rsidRDefault="00854A1F" w:rsidP="00E840F9">
            <w:pPr>
              <w:tabs>
                <w:tab w:val="left" w:pos="164"/>
              </w:tabs>
              <w:rPr>
                <w:rFonts w:ascii="Arial Narrow" w:hAnsi="Arial Narrow"/>
                <w:sz w:val="20"/>
                <w:szCs w:val="20"/>
              </w:rPr>
            </w:pPr>
            <w:r w:rsidRPr="00C80985">
              <w:rPr>
                <w:rFonts w:ascii="Arial Narrow" w:hAnsi="Arial Narrow"/>
                <w:sz w:val="20"/>
                <w:szCs w:val="20"/>
              </w:rPr>
              <w:tab/>
              <w:t>Resource use costs</w:t>
            </w:r>
          </w:p>
        </w:tc>
        <w:tc>
          <w:tcPr>
            <w:tcW w:w="2551" w:type="dxa"/>
            <w:gridSpan w:val="2"/>
            <w:vAlign w:val="center"/>
          </w:tcPr>
          <w:p w14:paraId="7DA6D45E"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2021 values</w:t>
            </w:r>
          </w:p>
        </w:tc>
        <w:tc>
          <w:tcPr>
            <w:tcW w:w="2410" w:type="dxa"/>
            <w:gridSpan w:val="2"/>
            <w:vAlign w:val="center"/>
          </w:tcPr>
          <w:p w14:paraId="042E14A9"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2020 values</w:t>
            </w:r>
          </w:p>
        </w:tc>
        <w:tc>
          <w:tcPr>
            <w:tcW w:w="1276" w:type="dxa"/>
            <w:vAlign w:val="center"/>
          </w:tcPr>
          <w:p w14:paraId="76DB4A45"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-0.01%</w:t>
            </w:r>
          </w:p>
        </w:tc>
      </w:tr>
      <w:tr w:rsidR="00854A1F" w:rsidRPr="00C80985" w14:paraId="0A642814" w14:textId="77777777" w:rsidTr="00E840F9">
        <w:tc>
          <w:tcPr>
            <w:tcW w:w="8926" w:type="dxa"/>
            <w:gridSpan w:val="6"/>
            <w:vAlign w:val="center"/>
          </w:tcPr>
          <w:p w14:paraId="5376A9FD" w14:textId="77777777" w:rsidR="00854A1F" w:rsidRPr="00C80985" w:rsidRDefault="00854A1F" w:rsidP="00E840F9">
            <w:pPr>
              <w:jc w:val="left"/>
              <w:rPr>
                <w:rFonts w:ascii="Arial Narrow" w:hAnsi="Arial Narrow"/>
                <w:b/>
                <w:bCs/>
                <w:sz w:val="20"/>
                <w:szCs w:val="20"/>
              </w:rPr>
            </w:pPr>
            <w:r w:rsidRPr="00C80985">
              <w:rPr>
                <w:rFonts w:ascii="Arial Narrow" w:hAnsi="Arial Narrow"/>
                <w:b/>
                <w:bCs/>
                <w:sz w:val="20"/>
                <w:szCs w:val="20"/>
              </w:rPr>
              <w:t>Conjunctivitis – annual events</w:t>
            </w:r>
          </w:p>
        </w:tc>
      </w:tr>
      <w:tr w:rsidR="00854A1F" w:rsidRPr="00C80985" w14:paraId="192DB0DA" w14:textId="77777777" w:rsidTr="00E840F9">
        <w:tc>
          <w:tcPr>
            <w:tcW w:w="2689" w:type="dxa"/>
            <w:vAlign w:val="center"/>
          </w:tcPr>
          <w:p w14:paraId="3F624096" w14:textId="77777777" w:rsidR="00854A1F" w:rsidRPr="00C80985" w:rsidRDefault="00854A1F" w:rsidP="00E840F9">
            <w:pPr>
              <w:tabs>
                <w:tab w:val="left" w:pos="164"/>
              </w:tabs>
              <w:rPr>
                <w:rFonts w:ascii="Arial Narrow" w:hAnsi="Arial Narrow"/>
                <w:sz w:val="20"/>
                <w:szCs w:val="20"/>
              </w:rPr>
            </w:pPr>
          </w:p>
        </w:tc>
        <w:tc>
          <w:tcPr>
            <w:tcW w:w="1205" w:type="dxa"/>
            <w:vAlign w:val="center"/>
          </w:tcPr>
          <w:p w14:paraId="3754929C" w14:textId="77777777" w:rsidR="00854A1F" w:rsidRPr="00C80985" w:rsidRDefault="00854A1F" w:rsidP="00E840F9">
            <w:pPr>
              <w:jc w:val="center"/>
              <w:rPr>
                <w:rFonts w:ascii="Arial Narrow" w:hAnsi="Arial Narrow"/>
                <w:sz w:val="20"/>
                <w:szCs w:val="20"/>
              </w:rPr>
            </w:pPr>
            <w:r w:rsidRPr="00C80985">
              <w:rPr>
                <w:rFonts w:ascii="Arial Narrow" w:hAnsi="Arial Narrow"/>
                <w:b/>
                <w:bCs/>
                <w:sz w:val="20"/>
                <w:szCs w:val="20"/>
              </w:rPr>
              <w:t>Responder</w:t>
            </w:r>
          </w:p>
        </w:tc>
        <w:tc>
          <w:tcPr>
            <w:tcW w:w="1346" w:type="dxa"/>
            <w:vAlign w:val="center"/>
          </w:tcPr>
          <w:p w14:paraId="42893587" w14:textId="77777777" w:rsidR="00854A1F" w:rsidRPr="00C80985" w:rsidRDefault="00854A1F" w:rsidP="00E840F9">
            <w:pPr>
              <w:jc w:val="center"/>
              <w:rPr>
                <w:rFonts w:ascii="Arial Narrow" w:hAnsi="Arial Narrow"/>
                <w:sz w:val="20"/>
                <w:szCs w:val="20"/>
              </w:rPr>
            </w:pPr>
            <w:r w:rsidRPr="00C80985">
              <w:rPr>
                <w:rFonts w:ascii="Arial Narrow" w:hAnsi="Arial Narrow"/>
                <w:b/>
                <w:bCs/>
                <w:sz w:val="20"/>
                <w:szCs w:val="20"/>
              </w:rPr>
              <w:t>Non-responder</w:t>
            </w:r>
          </w:p>
        </w:tc>
        <w:tc>
          <w:tcPr>
            <w:tcW w:w="1134" w:type="dxa"/>
            <w:vAlign w:val="center"/>
          </w:tcPr>
          <w:p w14:paraId="24D74121" w14:textId="77777777" w:rsidR="00854A1F" w:rsidRPr="00C80985" w:rsidRDefault="00854A1F" w:rsidP="00E840F9">
            <w:pPr>
              <w:jc w:val="center"/>
              <w:rPr>
                <w:rFonts w:ascii="Arial Narrow" w:hAnsi="Arial Narrow"/>
                <w:sz w:val="20"/>
                <w:szCs w:val="20"/>
              </w:rPr>
            </w:pPr>
            <w:r w:rsidRPr="00C80985">
              <w:rPr>
                <w:rFonts w:ascii="Arial Narrow" w:hAnsi="Arial Narrow"/>
                <w:b/>
                <w:bCs/>
                <w:sz w:val="20"/>
                <w:szCs w:val="20"/>
              </w:rPr>
              <w:t>Responder</w:t>
            </w:r>
          </w:p>
        </w:tc>
        <w:tc>
          <w:tcPr>
            <w:tcW w:w="1276" w:type="dxa"/>
            <w:vAlign w:val="center"/>
          </w:tcPr>
          <w:p w14:paraId="70EA5498" w14:textId="77777777" w:rsidR="00854A1F" w:rsidRPr="00C80985" w:rsidRDefault="00854A1F" w:rsidP="00E840F9">
            <w:pPr>
              <w:jc w:val="center"/>
              <w:rPr>
                <w:rFonts w:ascii="Arial Narrow" w:hAnsi="Arial Narrow"/>
                <w:sz w:val="20"/>
                <w:szCs w:val="20"/>
              </w:rPr>
            </w:pPr>
            <w:r w:rsidRPr="00C80985">
              <w:rPr>
                <w:rFonts w:ascii="Arial Narrow" w:hAnsi="Arial Narrow"/>
                <w:b/>
                <w:bCs/>
                <w:sz w:val="20"/>
                <w:szCs w:val="20"/>
              </w:rPr>
              <w:t>Non-responder</w:t>
            </w:r>
          </w:p>
        </w:tc>
        <w:tc>
          <w:tcPr>
            <w:tcW w:w="1276" w:type="dxa"/>
            <w:vAlign w:val="center"/>
          </w:tcPr>
          <w:p w14:paraId="68BC419A" w14:textId="77777777" w:rsidR="00854A1F" w:rsidRPr="00C80985" w:rsidRDefault="00854A1F" w:rsidP="00E840F9">
            <w:pPr>
              <w:jc w:val="center"/>
              <w:rPr>
                <w:rFonts w:ascii="Arial Narrow" w:hAnsi="Arial Narrow"/>
                <w:sz w:val="20"/>
                <w:szCs w:val="20"/>
              </w:rPr>
            </w:pPr>
          </w:p>
        </w:tc>
      </w:tr>
      <w:tr w:rsidR="00854A1F" w:rsidRPr="00C80985" w14:paraId="011BBBD6" w14:textId="77777777" w:rsidTr="00E840F9">
        <w:tc>
          <w:tcPr>
            <w:tcW w:w="2689" w:type="dxa"/>
            <w:vAlign w:val="center"/>
          </w:tcPr>
          <w:p w14:paraId="08E650FF" w14:textId="77777777" w:rsidR="00854A1F" w:rsidRPr="00C80985" w:rsidRDefault="00854A1F" w:rsidP="00E840F9">
            <w:pPr>
              <w:tabs>
                <w:tab w:val="left" w:pos="164"/>
              </w:tabs>
              <w:rPr>
                <w:rFonts w:ascii="Arial Narrow" w:hAnsi="Arial Narrow"/>
                <w:sz w:val="20"/>
                <w:szCs w:val="20"/>
              </w:rPr>
            </w:pPr>
            <w:r w:rsidRPr="00C80985">
              <w:rPr>
                <w:rFonts w:ascii="Arial Narrow" w:hAnsi="Arial Narrow"/>
                <w:sz w:val="20"/>
                <w:szCs w:val="20"/>
              </w:rPr>
              <w:tab/>
              <w:t>Dupilumab</w:t>
            </w:r>
          </w:p>
        </w:tc>
        <w:tc>
          <w:tcPr>
            <w:tcW w:w="1205" w:type="dxa"/>
            <w:vAlign w:val="center"/>
          </w:tcPr>
          <w:p w14:paraId="06BE0A27"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0.11</w:t>
            </w:r>
          </w:p>
        </w:tc>
        <w:tc>
          <w:tcPr>
            <w:tcW w:w="1346" w:type="dxa"/>
            <w:vAlign w:val="center"/>
          </w:tcPr>
          <w:p w14:paraId="43982088"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0.11</w:t>
            </w:r>
          </w:p>
        </w:tc>
        <w:tc>
          <w:tcPr>
            <w:tcW w:w="1134" w:type="dxa"/>
            <w:vAlign w:val="center"/>
          </w:tcPr>
          <w:p w14:paraId="3E24DB3F"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0.44</w:t>
            </w:r>
          </w:p>
        </w:tc>
        <w:tc>
          <w:tcPr>
            <w:tcW w:w="1276" w:type="dxa"/>
            <w:vAlign w:val="center"/>
          </w:tcPr>
          <w:p w14:paraId="26FBD18F"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0.0</w:t>
            </w:r>
          </w:p>
        </w:tc>
        <w:tc>
          <w:tcPr>
            <w:tcW w:w="1276" w:type="dxa"/>
            <w:vMerge w:val="restart"/>
            <w:vAlign w:val="center"/>
          </w:tcPr>
          <w:p w14:paraId="25A33457"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-0.34%</w:t>
            </w:r>
          </w:p>
        </w:tc>
      </w:tr>
      <w:tr w:rsidR="00854A1F" w:rsidRPr="00C80985" w14:paraId="4AA9A01F" w14:textId="77777777" w:rsidTr="00E840F9">
        <w:tc>
          <w:tcPr>
            <w:tcW w:w="2689" w:type="dxa"/>
            <w:vAlign w:val="center"/>
          </w:tcPr>
          <w:p w14:paraId="2001A622" w14:textId="77777777" w:rsidR="00854A1F" w:rsidRPr="00C80985" w:rsidRDefault="00854A1F" w:rsidP="00E840F9">
            <w:pPr>
              <w:tabs>
                <w:tab w:val="left" w:pos="164"/>
              </w:tabs>
              <w:rPr>
                <w:rFonts w:ascii="Arial Narrow" w:hAnsi="Arial Narrow"/>
                <w:sz w:val="20"/>
                <w:szCs w:val="20"/>
              </w:rPr>
            </w:pPr>
            <w:r w:rsidRPr="00C80985">
              <w:rPr>
                <w:rFonts w:ascii="Arial Narrow" w:hAnsi="Arial Narrow"/>
                <w:sz w:val="20"/>
                <w:szCs w:val="20"/>
              </w:rPr>
              <w:tab/>
              <w:t>Placebo</w:t>
            </w:r>
          </w:p>
        </w:tc>
        <w:tc>
          <w:tcPr>
            <w:tcW w:w="1205" w:type="dxa"/>
            <w:vAlign w:val="center"/>
          </w:tcPr>
          <w:p w14:paraId="7A4F3254"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0.04</w:t>
            </w:r>
          </w:p>
        </w:tc>
        <w:tc>
          <w:tcPr>
            <w:tcW w:w="1346" w:type="dxa"/>
            <w:vAlign w:val="center"/>
          </w:tcPr>
          <w:p w14:paraId="4B4AACE6"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0.04</w:t>
            </w:r>
          </w:p>
        </w:tc>
        <w:tc>
          <w:tcPr>
            <w:tcW w:w="1134" w:type="dxa"/>
            <w:vAlign w:val="center"/>
          </w:tcPr>
          <w:p w14:paraId="0AD7D6D7"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0.0</w:t>
            </w:r>
          </w:p>
        </w:tc>
        <w:tc>
          <w:tcPr>
            <w:tcW w:w="1276" w:type="dxa"/>
            <w:vAlign w:val="center"/>
          </w:tcPr>
          <w:p w14:paraId="15599D12"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0.0</w:t>
            </w:r>
          </w:p>
        </w:tc>
        <w:tc>
          <w:tcPr>
            <w:tcW w:w="1276" w:type="dxa"/>
            <w:vMerge/>
            <w:vAlign w:val="center"/>
          </w:tcPr>
          <w:p w14:paraId="29EB8066" w14:textId="77777777" w:rsidR="00854A1F" w:rsidRPr="00C80985" w:rsidRDefault="00854A1F" w:rsidP="00E840F9">
            <w:pPr>
              <w:jc w:val="center"/>
              <w:rPr>
                <w:rFonts w:ascii="Arial Narrow" w:hAnsi="Arial Narrow"/>
                <w:sz w:val="20"/>
                <w:szCs w:val="20"/>
              </w:rPr>
            </w:pPr>
          </w:p>
        </w:tc>
      </w:tr>
      <w:tr w:rsidR="00854A1F" w:rsidRPr="00C80985" w14:paraId="43F635B8" w14:textId="77777777" w:rsidTr="00E840F9">
        <w:tc>
          <w:tcPr>
            <w:tcW w:w="8926" w:type="dxa"/>
            <w:gridSpan w:val="6"/>
            <w:vAlign w:val="center"/>
          </w:tcPr>
          <w:p w14:paraId="6870A1A5" w14:textId="77777777" w:rsidR="00854A1F" w:rsidRPr="00C80985" w:rsidRDefault="00854A1F" w:rsidP="00E840F9">
            <w:pPr>
              <w:jc w:val="left"/>
              <w:rPr>
                <w:rFonts w:ascii="Arial Narrow" w:hAnsi="Arial Narrow"/>
                <w:b/>
                <w:bCs/>
                <w:sz w:val="20"/>
                <w:szCs w:val="20"/>
              </w:rPr>
            </w:pPr>
            <w:r w:rsidRPr="00C80985">
              <w:rPr>
                <w:rFonts w:ascii="Arial Narrow" w:hAnsi="Arial Narrow"/>
                <w:b/>
                <w:bCs/>
                <w:sz w:val="20"/>
                <w:szCs w:val="20"/>
              </w:rPr>
              <w:t>Utility values</w:t>
            </w:r>
          </w:p>
        </w:tc>
      </w:tr>
      <w:tr w:rsidR="00854A1F" w:rsidRPr="00C80985" w14:paraId="195B370A" w14:textId="77777777" w:rsidTr="00E840F9">
        <w:tc>
          <w:tcPr>
            <w:tcW w:w="2689" w:type="dxa"/>
            <w:vAlign w:val="center"/>
          </w:tcPr>
          <w:p w14:paraId="5777BA92" w14:textId="77777777" w:rsidR="00854A1F" w:rsidRPr="00C80985" w:rsidRDefault="00854A1F" w:rsidP="00E840F9">
            <w:pPr>
              <w:tabs>
                <w:tab w:val="left" w:pos="164"/>
              </w:tabs>
              <w:rPr>
                <w:rFonts w:ascii="Arial Narrow" w:hAnsi="Arial Narrow"/>
                <w:sz w:val="20"/>
                <w:szCs w:val="20"/>
              </w:rPr>
            </w:pPr>
            <w:r w:rsidRPr="00C80985">
              <w:rPr>
                <w:rFonts w:ascii="Arial Narrow" w:hAnsi="Arial Narrow"/>
                <w:sz w:val="20"/>
                <w:szCs w:val="20"/>
              </w:rPr>
              <w:tab/>
              <w:t>Baseline (both arms)</w:t>
            </w:r>
          </w:p>
        </w:tc>
        <w:tc>
          <w:tcPr>
            <w:tcW w:w="2551" w:type="dxa"/>
            <w:gridSpan w:val="2"/>
            <w:vAlign w:val="center"/>
          </w:tcPr>
          <w:p w14:paraId="273D4E01"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0.637</w:t>
            </w:r>
          </w:p>
        </w:tc>
        <w:tc>
          <w:tcPr>
            <w:tcW w:w="2410" w:type="dxa"/>
            <w:gridSpan w:val="2"/>
            <w:vAlign w:val="center"/>
          </w:tcPr>
          <w:p w14:paraId="75E64378"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0.60</w:t>
            </w:r>
          </w:p>
        </w:tc>
        <w:tc>
          <w:tcPr>
            <w:tcW w:w="1276" w:type="dxa"/>
            <w:vMerge w:val="restart"/>
            <w:vAlign w:val="center"/>
          </w:tcPr>
          <w:p w14:paraId="1DB73AE5"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0.88%</w:t>
            </w:r>
          </w:p>
        </w:tc>
      </w:tr>
      <w:tr w:rsidR="00854A1F" w:rsidRPr="00C80985" w14:paraId="6EAB16A0" w14:textId="77777777" w:rsidTr="00E840F9">
        <w:tc>
          <w:tcPr>
            <w:tcW w:w="2689" w:type="dxa"/>
            <w:vAlign w:val="center"/>
          </w:tcPr>
          <w:p w14:paraId="5B5B37EC" w14:textId="77777777" w:rsidR="00854A1F" w:rsidRPr="00C80985" w:rsidRDefault="00854A1F" w:rsidP="00E840F9">
            <w:pPr>
              <w:tabs>
                <w:tab w:val="left" w:pos="164"/>
              </w:tabs>
              <w:rPr>
                <w:rFonts w:ascii="Arial Narrow" w:hAnsi="Arial Narrow"/>
                <w:sz w:val="20"/>
                <w:szCs w:val="20"/>
              </w:rPr>
            </w:pPr>
            <w:r w:rsidRPr="00C80985">
              <w:rPr>
                <w:rFonts w:ascii="Arial Narrow" w:hAnsi="Arial Narrow"/>
                <w:sz w:val="20"/>
                <w:szCs w:val="20"/>
              </w:rPr>
              <w:tab/>
              <w:t xml:space="preserve">Week 0-16 </w:t>
            </w:r>
          </w:p>
          <w:p w14:paraId="557D48E7" w14:textId="77777777" w:rsidR="00854A1F" w:rsidRPr="00C80985" w:rsidRDefault="00854A1F" w:rsidP="00E840F9">
            <w:pPr>
              <w:tabs>
                <w:tab w:val="left" w:pos="164"/>
              </w:tabs>
              <w:rPr>
                <w:rFonts w:ascii="Arial Narrow" w:hAnsi="Arial Narrow"/>
                <w:sz w:val="20"/>
                <w:szCs w:val="20"/>
              </w:rPr>
            </w:pPr>
            <w:r w:rsidRPr="00C80985">
              <w:rPr>
                <w:rFonts w:ascii="Arial Narrow" w:hAnsi="Arial Narrow"/>
                <w:sz w:val="20"/>
                <w:szCs w:val="20"/>
              </w:rPr>
              <w:tab/>
              <w:t>(before response assessed)</w:t>
            </w:r>
          </w:p>
        </w:tc>
        <w:tc>
          <w:tcPr>
            <w:tcW w:w="2551" w:type="dxa"/>
            <w:gridSpan w:val="2"/>
            <w:vAlign w:val="center"/>
          </w:tcPr>
          <w:p w14:paraId="42629C89" w14:textId="77777777" w:rsidR="00854A1F" w:rsidRPr="00C80985" w:rsidRDefault="00854A1F" w:rsidP="00E840F9">
            <w:pPr>
              <w:jc w:val="center"/>
              <w:rPr>
                <w:rFonts w:ascii="Arial Narrow" w:hAnsi="Arial Narrow"/>
                <w:sz w:val="20"/>
                <w:szCs w:val="20"/>
              </w:rPr>
            </w:pPr>
            <w:proofErr w:type="spellStart"/>
            <w:r w:rsidRPr="00C80985">
              <w:rPr>
                <w:rFonts w:ascii="Arial Narrow" w:hAnsi="Arial Narrow"/>
                <w:sz w:val="20"/>
                <w:szCs w:val="20"/>
              </w:rPr>
              <w:t>Dupi</w:t>
            </w:r>
            <w:proofErr w:type="spellEnd"/>
            <w:r w:rsidRPr="00C80985">
              <w:rPr>
                <w:rFonts w:ascii="Arial Narrow" w:hAnsi="Arial Narrow"/>
                <w:sz w:val="20"/>
                <w:szCs w:val="20"/>
              </w:rPr>
              <w:t xml:space="preserve"> = </w:t>
            </w:r>
            <w:r w:rsidRPr="00C80985">
              <w:rPr>
                <w:rFonts w:ascii="Arial Narrow" w:hAnsi="Arial Narrow"/>
                <w:iCs/>
                <w:sz w:val="20"/>
                <w:szCs w:val="20"/>
              </w:rPr>
              <w:t>0.845</w:t>
            </w:r>
            <w:r w:rsidRPr="00C80985">
              <w:rPr>
                <w:rFonts w:ascii="Arial Narrow" w:hAnsi="Arial Narrow"/>
                <w:iCs/>
                <w:sz w:val="20"/>
                <w:szCs w:val="20"/>
                <w:vertAlign w:val="superscript"/>
              </w:rPr>
              <w:t>a</w:t>
            </w:r>
            <w:r w:rsidRPr="00C80985">
              <w:rPr>
                <w:rFonts w:ascii="Arial Narrow" w:hAnsi="Arial Narrow"/>
                <w:sz w:val="20"/>
                <w:szCs w:val="20"/>
                <w:vertAlign w:val="superscript"/>
              </w:rPr>
              <w:t xml:space="preserve"> </w:t>
            </w:r>
          </w:p>
          <w:p w14:paraId="5C1C0CB5"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 xml:space="preserve">Placebo = </w:t>
            </w:r>
            <w:r w:rsidRPr="00C80985">
              <w:rPr>
                <w:rFonts w:ascii="Arial Narrow" w:hAnsi="Arial Narrow"/>
                <w:iCs/>
                <w:sz w:val="20"/>
                <w:szCs w:val="20"/>
              </w:rPr>
              <w:t>0.678</w:t>
            </w:r>
          </w:p>
        </w:tc>
        <w:tc>
          <w:tcPr>
            <w:tcW w:w="2410" w:type="dxa"/>
            <w:gridSpan w:val="2"/>
            <w:vAlign w:val="center"/>
          </w:tcPr>
          <w:p w14:paraId="3B206CE5" w14:textId="77777777" w:rsidR="00854A1F" w:rsidRPr="00C80985" w:rsidRDefault="00854A1F" w:rsidP="00E840F9">
            <w:pPr>
              <w:jc w:val="center"/>
              <w:rPr>
                <w:rFonts w:ascii="Arial Narrow" w:hAnsi="Arial Narrow"/>
                <w:sz w:val="20"/>
                <w:szCs w:val="20"/>
              </w:rPr>
            </w:pPr>
            <w:proofErr w:type="spellStart"/>
            <w:r w:rsidRPr="00C80985">
              <w:rPr>
                <w:rFonts w:ascii="Arial Narrow" w:hAnsi="Arial Narrow"/>
                <w:sz w:val="20"/>
                <w:szCs w:val="20"/>
              </w:rPr>
              <w:t>Dupi</w:t>
            </w:r>
            <w:proofErr w:type="spellEnd"/>
            <w:r w:rsidRPr="00C80985">
              <w:rPr>
                <w:rFonts w:ascii="Arial Narrow" w:hAnsi="Arial Narrow"/>
                <w:sz w:val="20"/>
                <w:szCs w:val="20"/>
              </w:rPr>
              <w:t xml:space="preserve"> = 0.847 </w:t>
            </w:r>
          </w:p>
          <w:p w14:paraId="65FE71AB"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Placebo = 0.686</w:t>
            </w:r>
          </w:p>
        </w:tc>
        <w:tc>
          <w:tcPr>
            <w:tcW w:w="1276" w:type="dxa"/>
            <w:vMerge/>
            <w:vAlign w:val="center"/>
          </w:tcPr>
          <w:p w14:paraId="6D5B9D36" w14:textId="77777777" w:rsidR="00854A1F" w:rsidRPr="00C80985" w:rsidRDefault="00854A1F" w:rsidP="00E840F9">
            <w:pPr>
              <w:jc w:val="center"/>
              <w:rPr>
                <w:rFonts w:ascii="Arial Narrow" w:hAnsi="Arial Narrow"/>
                <w:sz w:val="20"/>
                <w:szCs w:val="20"/>
              </w:rPr>
            </w:pPr>
          </w:p>
        </w:tc>
      </w:tr>
      <w:tr w:rsidR="00854A1F" w:rsidRPr="00C80985" w14:paraId="32392BB7" w14:textId="77777777" w:rsidTr="00E840F9">
        <w:tc>
          <w:tcPr>
            <w:tcW w:w="2689" w:type="dxa"/>
            <w:vAlign w:val="center"/>
          </w:tcPr>
          <w:p w14:paraId="348FFBA0" w14:textId="77777777" w:rsidR="00854A1F" w:rsidRPr="00C80985" w:rsidRDefault="00854A1F" w:rsidP="00E840F9">
            <w:pPr>
              <w:tabs>
                <w:tab w:val="left" w:pos="164"/>
              </w:tabs>
              <w:rPr>
                <w:rFonts w:ascii="Arial Narrow" w:hAnsi="Arial Narrow"/>
                <w:sz w:val="20"/>
                <w:szCs w:val="20"/>
              </w:rPr>
            </w:pPr>
            <w:r w:rsidRPr="00C80985">
              <w:rPr>
                <w:rFonts w:ascii="Arial Narrow" w:hAnsi="Arial Narrow"/>
                <w:sz w:val="20"/>
                <w:szCs w:val="20"/>
              </w:rPr>
              <w:tab/>
              <w:t>Week 16 responders (both arms)</w:t>
            </w:r>
          </w:p>
        </w:tc>
        <w:tc>
          <w:tcPr>
            <w:tcW w:w="2551" w:type="dxa"/>
            <w:gridSpan w:val="2"/>
            <w:vAlign w:val="center"/>
          </w:tcPr>
          <w:p w14:paraId="12B4FA93" w14:textId="77777777" w:rsidR="00854A1F" w:rsidRPr="00C80985" w:rsidRDefault="00854A1F" w:rsidP="00E840F9">
            <w:pPr>
              <w:jc w:val="center"/>
              <w:rPr>
                <w:rFonts w:ascii="Arial Narrow" w:hAnsi="Arial Narrow"/>
                <w:sz w:val="20"/>
                <w:szCs w:val="20"/>
              </w:rPr>
            </w:pPr>
            <w:r w:rsidRPr="00C80985">
              <w:rPr>
                <w:rFonts w:ascii="Arial Narrow" w:hAnsi="Arial Narrow"/>
                <w:iCs/>
                <w:sz w:val="20"/>
                <w:szCs w:val="20"/>
              </w:rPr>
              <w:t>0.929</w:t>
            </w:r>
            <w:r w:rsidRPr="00C80985">
              <w:rPr>
                <w:rFonts w:ascii="Arial Narrow" w:hAnsi="Arial Narrow"/>
                <w:iCs/>
                <w:sz w:val="20"/>
                <w:szCs w:val="20"/>
                <w:vertAlign w:val="superscript"/>
              </w:rPr>
              <w:t>a</w:t>
            </w:r>
          </w:p>
        </w:tc>
        <w:tc>
          <w:tcPr>
            <w:tcW w:w="2410" w:type="dxa"/>
            <w:gridSpan w:val="2"/>
            <w:vAlign w:val="center"/>
          </w:tcPr>
          <w:p w14:paraId="43FD9DE3"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0.910</w:t>
            </w:r>
          </w:p>
        </w:tc>
        <w:tc>
          <w:tcPr>
            <w:tcW w:w="1276" w:type="dxa"/>
            <w:vMerge/>
            <w:vAlign w:val="center"/>
          </w:tcPr>
          <w:p w14:paraId="739EE80D" w14:textId="77777777" w:rsidR="00854A1F" w:rsidRPr="00C80985" w:rsidRDefault="00854A1F" w:rsidP="00E840F9">
            <w:pPr>
              <w:jc w:val="center"/>
              <w:rPr>
                <w:rFonts w:ascii="Arial Narrow" w:hAnsi="Arial Narrow"/>
                <w:sz w:val="20"/>
                <w:szCs w:val="20"/>
              </w:rPr>
            </w:pPr>
          </w:p>
        </w:tc>
      </w:tr>
      <w:tr w:rsidR="00854A1F" w:rsidRPr="00C80985" w14:paraId="349C8069" w14:textId="77777777" w:rsidTr="00E840F9">
        <w:tc>
          <w:tcPr>
            <w:tcW w:w="2689" w:type="dxa"/>
            <w:vAlign w:val="center"/>
          </w:tcPr>
          <w:p w14:paraId="564EE206" w14:textId="77777777" w:rsidR="00854A1F" w:rsidRPr="00C80985" w:rsidRDefault="00854A1F" w:rsidP="00E840F9">
            <w:pPr>
              <w:tabs>
                <w:tab w:val="left" w:pos="164"/>
              </w:tabs>
              <w:rPr>
                <w:rFonts w:ascii="Arial Narrow" w:hAnsi="Arial Narrow"/>
                <w:sz w:val="20"/>
                <w:szCs w:val="20"/>
              </w:rPr>
            </w:pPr>
            <w:r w:rsidRPr="00C80985">
              <w:rPr>
                <w:rFonts w:ascii="Arial Narrow" w:hAnsi="Arial Narrow"/>
                <w:sz w:val="20"/>
                <w:szCs w:val="20"/>
              </w:rPr>
              <w:tab/>
              <w:t>Week 44 responders (both arms)</w:t>
            </w:r>
          </w:p>
        </w:tc>
        <w:tc>
          <w:tcPr>
            <w:tcW w:w="2551" w:type="dxa"/>
            <w:gridSpan w:val="2"/>
            <w:vAlign w:val="center"/>
          </w:tcPr>
          <w:p w14:paraId="2B41D227" w14:textId="77777777" w:rsidR="00854A1F" w:rsidRPr="00C80985" w:rsidRDefault="00854A1F" w:rsidP="00E840F9">
            <w:pPr>
              <w:jc w:val="center"/>
              <w:rPr>
                <w:rFonts w:ascii="Arial Narrow" w:hAnsi="Arial Narrow"/>
                <w:sz w:val="20"/>
                <w:szCs w:val="20"/>
              </w:rPr>
            </w:pPr>
            <w:r w:rsidRPr="00C80985">
              <w:rPr>
                <w:rFonts w:ascii="Arial Narrow" w:hAnsi="Arial Narrow"/>
                <w:iCs/>
                <w:sz w:val="20"/>
                <w:szCs w:val="20"/>
              </w:rPr>
              <w:t>0.827</w:t>
            </w:r>
            <w:r w:rsidRPr="00C80985">
              <w:rPr>
                <w:rFonts w:ascii="Arial Narrow" w:hAnsi="Arial Narrow"/>
                <w:iCs/>
                <w:sz w:val="20"/>
                <w:szCs w:val="20"/>
                <w:vertAlign w:val="superscript"/>
              </w:rPr>
              <w:t>a</w:t>
            </w:r>
          </w:p>
        </w:tc>
        <w:tc>
          <w:tcPr>
            <w:tcW w:w="2410" w:type="dxa"/>
            <w:gridSpan w:val="2"/>
            <w:vAlign w:val="center"/>
          </w:tcPr>
          <w:p w14:paraId="1727F112"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0.790</w:t>
            </w:r>
          </w:p>
        </w:tc>
        <w:tc>
          <w:tcPr>
            <w:tcW w:w="1276" w:type="dxa"/>
            <w:vMerge/>
            <w:vAlign w:val="center"/>
          </w:tcPr>
          <w:p w14:paraId="7257FD47" w14:textId="77777777" w:rsidR="00854A1F" w:rsidRPr="00C80985" w:rsidRDefault="00854A1F" w:rsidP="00E840F9">
            <w:pPr>
              <w:jc w:val="center"/>
              <w:rPr>
                <w:rFonts w:ascii="Arial Narrow" w:hAnsi="Arial Narrow"/>
                <w:sz w:val="20"/>
                <w:szCs w:val="20"/>
              </w:rPr>
            </w:pPr>
          </w:p>
        </w:tc>
      </w:tr>
      <w:tr w:rsidR="00854A1F" w:rsidRPr="00C80985" w14:paraId="07E5E655" w14:textId="77777777" w:rsidTr="00E840F9">
        <w:tc>
          <w:tcPr>
            <w:tcW w:w="8926" w:type="dxa"/>
            <w:gridSpan w:val="6"/>
            <w:vAlign w:val="center"/>
          </w:tcPr>
          <w:p w14:paraId="72F6FA1C" w14:textId="77777777" w:rsidR="00854A1F" w:rsidRPr="00C80985" w:rsidRDefault="00854A1F" w:rsidP="00E840F9">
            <w:pPr>
              <w:jc w:val="left"/>
              <w:rPr>
                <w:rFonts w:ascii="Arial Narrow" w:hAnsi="Arial Narrow"/>
                <w:b/>
                <w:bCs/>
                <w:sz w:val="20"/>
                <w:szCs w:val="20"/>
              </w:rPr>
            </w:pPr>
            <w:r w:rsidRPr="00C80985">
              <w:rPr>
                <w:rFonts w:ascii="Arial Narrow" w:hAnsi="Arial Narrow"/>
                <w:b/>
                <w:bCs/>
                <w:sz w:val="20"/>
                <w:szCs w:val="20"/>
              </w:rPr>
              <w:t>Drug cost</w:t>
            </w:r>
          </w:p>
        </w:tc>
      </w:tr>
      <w:tr w:rsidR="00854A1F" w:rsidRPr="00C80985" w14:paraId="16D76323" w14:textId="77777777" w:rsidTr="00E840F9">
        <w:tc>
          <w:tcPr>
            <w:tcW w:w="2689" w:type="dxa"/>
            <w:vAlign w:val="center"/>
          </w:tcPr>
          <w:p w14:paraId="19C1FC8F" w14:textId="77777777" w:rsidR="00854A1F" w:rsidRPr="00C80985" w:rsidRDefault="00854A1F" w:rsidP="00E840F9">
            <w:pPr>
              <w:tabs>
                <w:tab w:val="left" w:pos="164"/>
              </w:tabs>
              <w:rPr>
                <w:rFonts w:ascii="Arial Narrow" w:hAnsi="Arial Narrow"/>
                <w:iCs/>
                <w:sz w:val="20"/>
                <w:szCs w:val="20"/>
              </w:rPr>
            </w:pPr>
            <w:r w:rsidRPr="00C80985">
              <w:rPr>
                <w:rFonts w:ascii="Arial Narrow" w:hAnsi="Arial Narrow"/>
                <w:iCs/>
                <w:sz w:val="20"/>
                <w:szCs w:val="20"/>
              </w:rPr>
              <w:tab/>
              <w:t>Requested DPMQ</w:t>
            </w:r>
          </w:p>
        </w:tc>
        <w:tc>
          <w:tcPr>
            <w:tcW w:w="2551" w:type="dxa"/>
            <w:gridSpan w:val="2"/>
            <w:vAlign w:val="center"/>
          </w:tcPr>
          <w:p w14:paraId="4202BDD6" w14:textId="32E416DD" w:rsidR="00854A1F" w:rsidRPr="00C80985" w:rsidRDefault="00854A1F" w:rsidP="00E840F9">
            <w:pPr>
              <w:jc w:val="center"/>
              <w:rPr>
                <w:rFonts w:ascii="Arial Narrow" w:hAnsi="Arial Narrow"/>
                <w:iCs/>
                <w:sz w:val="20"/>
                <w:szCs w:val="20"/>
              </w:rPr>
            </w:pPr>
            <w:r w:rsidRPr="00C80985">
              <w:rPr>
                <w:rFonts w:ascii="Arial Narrow" w:hAnsi="Arial Narrow"/>
                <w:iCs/>
                <w:sz w:val="20"/>
                <w:szCs w:val="20"/>
              </w:rPr>
              <w:t>Q2W: $</w:t>
            </w:r>
            <w:r w:rsidR="00B85535" w:rsidRPr="00B85535">
              <w:rPr>
                <w:rFonts w:ascii="Arial Narrow" w:hAnsi="Arial Narrow" w:hint="eastAsia"/>
                <w:iCs/>
                <w:color w:val="000000"/>
                <w:w w:val="27"/>
                <w:sz w:val="20"/>
                <w:szCs w:val="20"/>
                <w:shd w:val="solid" w:color="000000" w:fill="000000"/>
                <w:fitText w:val="120" w:id="-1500860411"/>
                <w14:textFill>
                  <w14:solidFill>
                    <w14:srgbClr w14:val="000000">
                      <w14:alpha w14:val="100000"/>
                    </w14:srgbClr>
                  </w14:solidFill>
                </w14:textFill>
              </w:rPr>
              <w:t xml:space="preserve">　</w:t>
            </w:r>
            <w:proofErr w:type="gramStart"/>
            <w:r w:rsidR="00B85535" w:rsidRPr="00B85535">
              <w:rPr>
                <w:rFonts w:ascii="Arial Narrow" w:hAnsi="Arial Narrow"/>
                <w:iCs/>
                <w:color w:val="000000"/>
                <w:w w:val="27"/>
                <w:sz w:val="20"/>
                <w:szCs w:val="20"/>
                <w:shd w:val="solid" w:color="000000" w:fill="000000"/>
                <w:fitText w:val="120" w:id="-1500860411"/>
                <w14:textFill>
                  <w14:solidFill>
                    <w14:srgbClr w14:val="000000">
                      <w14:alpha w14:val="100000"/>
                    </w14:srgbClr>
                  </w14:solidFill>
                </w14:textFill>
              </w:rPr>
              <w:t>|</w:t>
            </w:r>
            <w:r w:rsidR="00B85535" w:rsidRPr="00B85535">
              <w:rPr>
                <w:rFonts w:ascii="Arial Narrow" w:hAnsi="Arial Narrow" w:hint="eastAsia"/>
                <w:iCs/>
                <w:color w:val="000000"/>
                <w:spacing w:val="2"/>
                <w:w w:val="27"/>
                <w:sz w:val="20"/>
                <w:szCs w:val="20"/>
                <w:shd w:val="solid" w:color="000000" w:fill="000000"/>
                <w:fitText w:val="120" w:id="-1500860411"/>
                <w14:textFill>
                  <w14:solidFill>
                    <w14:srgbClr w14:val="000000">
                      <w14:alpha w14:val="100000"/>
                    </w14:srgbClr>
                  </w14:solidFill>
                </w14:textFill>
              </w:rPr>
              <w:t xml:space="preserve">　</w:t>
            </w:r>
            <w:r w:rsidRPr="00C80985">
              <w:rPr>
                <w:rFonts w:ascii="Arial Narrow" w:hAnsi="Arial Narrow"/>
                <w:iCs/>
                <w:sz w:val="20"/>
                <w:szCs w:val="20"/>
              </w:rPr>
              <w:t>;</w:t>
            </w:r>
            <w:proofErr w:type="gramEnd"/>
            <w:r w:rsidRPr="00C80985">
              <w:rPr>
                <w:rFonts w:ascii="Arial Narrow" w:hAnsi="Arial Narrow"/>
                <w:iCs/>
                <w:sz w:val="20"/>
                <w:szCs w:val="20"/>
              </w:rPr>
              <w:t xml:space="preserve"> Q4W: $</w:t>
            </w:r>
            <w:r w:rsidR="00B85535" w:rsidRPr="00B85535">
              <w:rPr>
                <w:rFonts w:ascii="Arial Narrow" w:hAnsi="Arial Narrow"/>
                <w:iCs/>
                <w:color w:val="000000"/>
                <w:sz w:val="20"/>
                <w:szCs w:val="20"/>
                <w:shd w:val="solid" w:color="000000" w:fill="000000"/>
                <w14:textFill>
                  <w14:solidFill>
                    <w14:srgbClr w14:val="000000">
                      <w14:alpha w14:val="100000"/>
                    </w14:srgbClr>
                  </w14:solidFill>
                </w14:textFill>
              </w:rPr>
              <w:t>|</w:t>
            </w:r>
          </w:p>
        </w:tc>
        <w:tc>
          <w:tcPr>
            <w:tcW w:w="2410" w:type="dxa"/>
            <w:gridSpan w:val="2"/>
            <w:vAlign w:val="center"/>
          </w:tcPr>
          <w:p w14:paraId="7E3983F2" w14:textId="2431B18E" w:rsidR="00854A1F" w:rsidRPr="00C80985" w:rsidRDefault="00854A1F" w:rsidP="00E840F9">
            <w:pPr>
              <w:jc w:val="center"/>
              <w:rPr>
                <w:rFonts w:ascii="Arial Narrow" w:hAnsi="Arial Narrow"/>
                <w:iCs/>
                <w:sz w:val="20"/>
                <w:szCs w:val="20"/>
              </w:rPr>
            </w:pPr>
            <w:r w:rsidRPr="00C80985">
              <w:rPr>
                <w:rFonts w:ascii="Arial Narrow" w:hAnsi="Arial Narrow" w:cs="Arial"/>
                <w:iCs/>
                <w:sz w:val="20"/>
                <w:szCs w:val="20"/>
              </w:rPr>
              <w:t>Q2W: $</w:t>
            </w:r>
            <w:r w:rsidR="00B85535" w:rsidRPr="00B85535">
              <w:rPr>
                <w:rFonts w:ascii="Arial Narrow" w:hAnsi="Arial Narrow" w:cs="Arial"/>
                <w:iCs/>
                <w:color w:val="000000"/>
                <w:sz w:val="20"/>
                <w:szCs w:val="20"/>
                <w:shd w:val="solid" w:color="000000" w:fill="000000"/>
                <w14:textFill>
                  <w14:solidFill>
                    <w14:srgbClr w14:val="000000">
                      <w14:alpha w14:val="100000"/>
                    </w14:srgbClr>
                  </w14:solidFill>
                </w14:textFill>
              </w:rPr>
              <w:t>|</w:t>
            </w:r>
          </w:p>
        </w:tc>
        <w:tc>
          <w:tcPr>
            <w:tcW w:w="1276" w:type="dxa"/>
            <w:vAlign w:val="center"/>
          </w:tcPr>
          <w:p w14:paraId="7F87C682"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w:t>
            </w:r>
          </w:p>
        </w:tc>
      </w:tr>
      <w:tr w:rsidR="00854A1F" w:rsidRPr="00C80985" w14:paraId="100F1B04" w14:textId="77777777" w:rsidTr="00E840F9">
        <w:tc>
          <w:tcPr>
            <w:tcW w:w="2689" w:type="dxa"/>
            <w:vAlign w:val="center"/>
          </w:tcPr>
          <w:p w14:paraId="6002FD92" w14:textId="77777777" w:rsidR="00854A1F" w:rsidRPr="00C80985" w:rsidRDefault="00854A1F" w:rsidP="00E840F9">
            <w:pPr>
              <w:tabs>
                <w:tab w:val="left" w:pos="164"/>
              </w:tabs>
              <w:rPr>
                <w:rFonts w:ascii="Arial Narrow" w:hAnsi="Arial Narrow"/>
                <w:sz w:val="20"/>
                <w:szCs w:val="20"/>
              </w:rPr>
            </w:pPr>
            <w:r w:rsidRPr="00C80985">
              <w:rPr>
                <w:rFonts w:ascii="Arial Narrow" w:hAnsi="Arial Narrow"/>
                <w:sz w:val="20"/>
                <w:szCs w:val="20"/>
              </w:rPr>
              <w:tab/>
              <w:t xml:space="preserve">DPMQ, per 2 weeks of treatment </w:t>
            </w:r>
          </w:p>
        </w:tc>
        <w:tc>
          <w:tcPr>
            <w:tcW w:w="2551" w:type="dxa"/>
            <w:gridSpan w:val="2"/>
            <w:vAlign w:val="center"/>
          </w:tcPr>
          <w:p w14:paraId="6DC6AB4B" w14:textId="52B5EDB6" w:rsidR="00854A1F" w:rsidRPr="00C80985" w:rsidRDefault="00854A1F" w:rsidP="00E840F9">
            <w:pPr>
              <w:jc w:val="center"/>
              <w:rPr>
                <w:rFonts w:ascii="Arial Narrow" w:hAnsi="Arial Narrow"/>
                <w:sz w:val="20"/>
                <w:szCs w:val="20"/>
              </w:rPr>
            </w:pPr>
            <w:r w:rsidRPr="00C80985">
              <w:rPr>
                <w:rFonts w:ascii="Arial Narrow" w:hAnsi="Arial Narrow"/>
                <w:sz w:val="20"/>
                <w:szCs w:val="20"/>
              </w:rPr>
              <w:t>$</w:t>
            </w:r>
            <w:r w:rsidR="00B85535" w:rsidRPr="00B85535">
              <w:rPr>
                <w:rFonts w:ascii="Arial Narrow" w:hAnsi="Arial Narrow"/>
                <w:color w:val="000000"/>
                <w:sz w:val="20"/>
                <w:szCs w:val="20"/>
                <w:shd w:val="solid" w:color="000000" w:fill="000000"/>
                <w14:textFill>
                  <w14:solidFill>
                    <w14:srgbClr w14:val="000000">
                      <w14:alpha w14:val="100000"/>
                    </w14:srgbClr>
                  </w14:solidFill>
                </w14:textFill>
              </w:rPr>
              <w:t>|</w:t>
            </w:r>
            <w:r w:rsidRPr="00C80985">
              <w:rPr>
                <w:rFonts w:ascii="Arial Narrow" w:hAnsi="Arial Narrow"/>
                <w:sz w:val="20"/>
                <w:szCs w:val="20"/>
                <w:vertAlign w:val="superscript"/>
              </w:rPr>
              <w:t>b</w:t>
            </w:r>
          </w:p>
        </w:tc>
        <w:tc>
          <w:tcPr>
            <w:tcW w:w="2410" w:type="dxa"/>
            <w:gridSpan w:val="2"/>
            <w:vAlign w:val="center"/>
          </w:tcPr>
          <w:p w14:paraId="79A6539B" w14:textId="373836C3" w:rsidR="00854A1F" w:rsidRPr="00C80985" w:rsidRDefault="00854A1F" w:rsidP="00E840F9">
            <w:pPr>
              <w:jc w:val="center"/>
              <w:rPr>
                <w:rFonts w:ascii="Arial Narrow" w:hAnsi="Arial Narrow"/>
                <w:sz w:val="20"/>
                <w:szCs w:val="20"/>
              </w:rPr>
            </w:pPr>
            <w:r w:rsidRPr="00C80985">
              <w:rPr>
                <w:rFonts w:ascii="Arial Narrow" w:hAnsi="Arial Narrow"/>
                <w:sz w:val="20"/>
                <w:szCs w:val="20"/>
              </w:rPr>
              <w:t>$</w:t>
            </w:r>
            <w:r w:rsidR="00B85535" w:rsidRPr="00B85535">
              <w:rPr>
                <w:rFonts w:ascii="Arial Narrow" w:hAnsi="Arial Narrow"/>
                <w:color w:val="000000"/>
                <w:sz w:val="20"/>
                <w:szCs w:val="20"/>
                <w:shd w:val="solid" w:color="000000" w:fill="000000"/>
                <w14:textFill>
                  <w14:solidFill>
                    <w14:srgbClr w14:val="000000">
                      <w14:alpha w14:val="100000"/>
                    </w14:srgbClr>
                  </w14:solidFill>
                </w14:textFill>
              </w:rPr>
              <w:t>|</w:t>
            </w:r>
          </w:p>
        </w:tc>
        <w:tc>
          <w:tcPr>
            <w:tcW w:w="1276" w:type="dxa"/>
            <w:vAlign w:val="center"/>
          </w:tcPr>
          <w:p w14:paraId="7CE248C8"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-3.31%</w:t>
            </w:r>
          </w:p>
        </w:tc>
      </w:tr>
      <w:tr w:rsidR="00854A1F" w:rsidRPr="00C80985" w14:paraId="53AA6202" w14:textId="77777777" w:rsidTr="00E840F9">
        <w:tc>
          <w:tcPr>
            <w:tcW w:w="8926" w:type="dxa"/>
            <w:gridSpan w:val="6"/>
            <w:vAlign w:val="center"/>
          </w:tcPr>
          <w:p w14:paraId="2E8C33C2" w14:textId="77777777" w:rsidR="00854A1F" w:rsidRPr="00C80985" w:rsidRDefault="00854A1F" w:rsidP="00E840F9">
            <w:pPr>
              <w:jc w:val="left"/>
              <w:rPr>
                <w:rFonts w:ascii="Arial Narrow" w:hAnsi="Arial Narrow"/>
                <w:b/>
                <w:bCs/>
                <w:sz w:val="20"/>
                <w:szCs w:val="20"/>
              </w:rPr>
            </w:pPr>
            <w:r w:rsidRPr="00C80985">
              <w:rPr>
                <w:rFonts w:ascii="Arial Narrow" w:hAnsi="Arial Narrow"/>
                <w:b/>
                <w:bCs/>
                <w:sz w:val="20"/>
                <w:szCs w:val="20"/>
              </w:rPr>
              <w:t>ICER/QALY</w:t>
            </w:r>
          </w:p>
        </w:tc>
      </w:tr>
      <w:tr w:rsidR="00854A1F" w:rsidRPr="00C80985" w14:paraId="1CA2B37B" w14:textId="77777777" w:rsidTr="00E840F9">
        <w:tc>
          <w:tcPr>
            <w:tcW w:w="2689" w:type="dxa"/>
            <w:vAlign w:val="center"/>
          </w:tcPr>
          <w:p w14:paraId="4A7EB9F9" w14:textId="77777777" w:rsidR="00854A1F" w:rsidRPr="00C80985" w:rsidRDefault="00854A1F" w:rsidP="00E840F9">
            <w:pPr>
              <w:tabs>
                <w:tab w:val="left" w:pos="164"/>
              </w:tabs>
              <w:rPr>
                <w:rFonts w:ascii="Arial Narrow" w:hAnsi="Arial Narrow"/>
                <w:sz w:val="20"/>
                <w:szCs w:val="20"/>
              </w:rPr>
            </w:pPr>
            <w:r w:rsidRPr="00C80985">
              <w:rPr>
                <w:rFonts w:ascii="Arial Narrow" w:hAnsi="Arial Narrow"/>
                <w:sz w:val="20"/>
                <w:szCs w:val="20"/>
              </w:rPr>
              <w:tab/>
              <w:t>Base case</w:t>
            </w:r>
          </w:p>
        </w:tc>
        <w:tc>
          <w:tcPr>
            <w:tcW w:w="2551" w:type="dxa"/>
            <w:gridSpan w:val="2"/>
            <w:vAlign w:val="center"/>
          </w:tcPr>
          <w:p w14:paraId="7AB157BA" w14:textId="60130D50" w:rsidR="00854A1F" w:rsidRPr="00AD21C5" w:rsidRDefault="006E4521" w:rsidP="00E840F9">
            <w:pPr>
              <w:jc w:val="center"/>
              <w:rPr>
                <w:rFonts w:ascii="Arial Narrow" w:hAnsi="Arial Narrow"/>
                <w:sz w:val="20"/>
                <w:szCs w:val="20"/>
                <w:vertAlign w:val="superscript"/>
              </w:rPr>
            </w:pPr>
            <w:r w:rsidRPr="00C80985">
              <w:rPr>
                <w:rFonts w:ascii="Arial Narrow" w:hAnsi="Arial Narrow"/>
                <w:sz w:val="20"/>
                <w:szCs w:val="20"/>
              </w:rPr>
              <w:t xml:space="preserve"> $</w:t>
            </w:r>
            <w:r w:rsidR="00B85535" w:rsidRPr="00B85535">
              <w:rPr>
                <w:rFonts w:ascii="Arial Narrow" w:hAnsi="Arial Narrow"/>
                <w:color w:val="000000"/>
                <w:sz w:val="20"/>
                <w:szCs w:val="20"/>
                <w:shd w:val="solid" w:color="000000" w:fill="000000"/>
                <w14:textFill>
                  <w14:solidFill>
                    <w14:srgbClr w14:val="000000">
                      <w14:alpha w14:val="100000"/>
                    </w14:srgbClr>
                  </w14:solidFill>
                </w14:textFill>
              </w:rPr>
              <w:t>|</w:t>
            </w:r>
            <w:r w:rsidR="00AD21C5">
              <w:rPr>
                <w:rFonts w:ascii="Arial Narrow" w:hAnsi="Arial Narrow"/>
                <w:sz w:val="20"/>
                <w:szCs w:val="20"/>
                <w:vertAlign w:val="superscript"/>
              </w:rPr>
              <w:t>1</w:t>
            </w:r>
          </w:p>
        </w:tc>
        <w:tc>
          <w:tcPr>
            <w:tcW w:w="2410" w:type="dxa"/>
            <w:gridSpan w:val="2"/>
            <w:vAlign w:val="center"/>
          </w:tcPr>
          <w:p w14:paraId="007F6559" w14:textId="5CBB0C8E" w:rsidR="00854A1F" w:rsidRPr="00C80985" w:rsidRDefault="006E4521" w:rsidP="00E840F9">
            <w:pPr>
              <w:jc w:val="center"/>
              <w:rPr>
                <w:rFonts w:ascii="Arial Narrow" w:hAnsi="Arial Narrow"/>
                <w:sz w:val="20"/>
                <w:szCs w:val="20"/>
              </w:rPr>
            </w:pPr>
            <w:r w:rsidRPr="00C80985">
              <w:rPr>
                <w:rFonts w:ascii="Arial Narrow" w:hAnsi="Arial Narrow"/>
                <w:sz w:val="20"/>
                <w:szCs w:val="20"/>
              </w:rPr>
              <w:t>$</w:t>
            </w:r>
            <w:r w:rsidR="00B85535" w:rsidRPr="00B85535">
              <w:rPr>
                <w:rFonts w:ascii="Arial Narrow" w:hAnsi="Arial Narrow"/>
                <w:color w:val="000000"/>
                <w:sz w:val="20"/>
                <w:szCs w:val="20"/>
                <w:shd w:val="solid" w:color="000000" w:fill="000000"/>
                <w14:textFill>
                  <w14:solidFill>
                    <w14:srgbClr w14:val="000000">
                      <w14:alpha w14:val="100000"/>
                    </w14:srgbClr>
                  </w14:solidFill>
                </w14:textFill>
              </w:rPr>
              <w:t>|</w:t>
            </w:r>
            <w:r w:rsidRPr="00C80985">
              <w:rPr>
                <w:rFonts w:ascii="Arial Narrow" w:hAnsi="Arial Narrow"/>
                <w:sz w:val="20"/>
                <w:szCs w:val="20"/>
                <w:vertAlign w:val="superscript"/>
              </w:rPr>
              <w:t>c</w:t>
            </w:r>
            <w:r w:rsidR="00AD21C5">
              <w:rPr>
                <w:rFonts w:ascii="Arial Narrow" w:hAnsi="Arial Narrow"/>
                <w:sz w:val="20"/>
                <w:szCs w:val="20"/>
                <w:vertAlign w:val="superscript"/>
              </w:rPr>
              <w:t>2</w:t>
            </w:r>
          </w:p>
        </w:tc>
        <w:tc>
          <w:tcPr>
            <w:tcW w:w="1276" w:type="dxa"/>
            <w:vAlign w:val="center"/>
          </w:tcPr>
          <w:p w14:paraId="325FB4AA" w14:textId="77777777" w:rsidR="00854A1F" w:rsidRPr="00C80985" w:rsidRDefault="00854A1F" w:rsidP="00E840F9">
            <w:pPr>
              <w:jc w:val="center"/>
              <w:rPr>
                <w:rFonts w:ascii="Arial Narrow" w:hAnsi="Arial Narrow"/>
                <w:sz w:val="20"/>
                <w:szCs w:val="20"/>
              </w:rPr>
            </w:pPr>
            <w:r w:rsidRPr="00C80985">
              <w:rPr>
                <w:rFonts w:ascii="Arial Narrow" w:hAnsi="Arial Narrow"/>
                <w:sz w:val="20"/>
                <w:szCs w:val="20"/>
              </w:rPr>
              <w:t>-</w:t>
            </w:r>
          </w:p>
        </w:tc>
      </w:tr>
    </w:tbl>
    <w:p w14:paraId="7FC10192" w14:textId="42B030CA" w:rsidR="00854A1F" w:rsidRPr="00C80985" w:rsidRDefault="00854A1F" w:rsidP="00854A1F">
      <w:pPr>
        <w:rPr>
          <w:rFonts w:ascii="Arial Narrow" w:hAnsi="Arial Narrow"/>
          <w:sz w:val="18"/>
          <w:szCs w:val="18"/>
        </w:rPr>
      </w:pPr>
      <w:r w:rsidRPr="00C80985">
        <w:rPr>
          <w:rFonts w:ascii="Arial Narrow" w:hAnsi="Arial Narrow"/>
          <w:sz w:val="18"/>
          <w:szCs w:val="18"/>
        </w:rPr>
        <w:t>Source:</w:t>
      </w:r>
      <w:r w:rsidR="00727E48" w:rsidRPr="00C80985">
        <w:rPr>
          <w:rFonts w:ascii="Arial Narrow" w:hAnsi="Arial Narrow"/>
          <w:sz w:val="18"/>
          <w:szCs w:val="18"/>
        </w:rPr>
        <w:t xml:space="preserve"> </w:t>
      </w:r>
      <w:r w:rsidRPr="00C80985">
        <w:rPr>
          <w:rFonts w:ascii="Arial Narrow" w:hAnsi="Arial Narrow"/>
          <w:sz w:val="18"/>
          <w:szCs w:val="18"/>
        </w:rPr>
        <w:t>Table 3-1, p174 of the submission</w:t>
      </w:r>
    </w:p>
    <w:p w14:paraId="2A663E3E" w14:textId="77777777" w:rsidR="00854A1F" w:rsidRPr="00C80985" w:rsidRDefault="00854A1F" w:rsidP="00854A1F">
      <w:pPr>
        <w:rPr>
          <w:rFonts w:ascii="Arial Narrow" w:hAnsi="Arial Narrow"/>
          <w:sz w:val="18"/>
          <w:szCs w:val="18"/>
        </w:rPr>
      </w:pPr>
      <w:r w:rsidRPr="00C80985">
        <w:rPr>
          <w:rFonts w:ascii="Arial Narrow" w:hAnsi="Arial Narrow"/>
          <w:sz w:val="18"/>
          <w:szCs w:val="18"/>
        </w:rPr>
        <w:t xml:space="preserve">DPMQ = dispensed price maximum quantity; </w:t>
      </w:r>
      <w:proofErr w:type="spellStart"/>
      <w:r w:rsidRPr="00C80985">
        <w:rPr>
          <w:rFonts w:ascii="Arial Narrow" w:hAnsi="Arial Narrow"/>
          <w:sz w:val="18"/>
          <w:szCs w:val="18"/>
        </w:rPr>
        <w:t>Dupi</w:t>
      </w:r>
      <w:proofErr w:type="spellEnd"/>
      <w:r w:rsidRPr="00C80985">
        <w:rPr>
          <w:rFonts w:ascii="Arial Narrow" w:hAnsi="Arial Narrow"/>
          <w:sz w:val="18"/>
          <w:szCs w:val="18"/>
        </w:rPr>
        <w:t xml:space="preserve"> = dupilumab; Q2W = every two weeks; Q4W = every four weeks; TCI = topical calcineurin </w:t>
      </w:r>
      <w:proofErr w:type="gramStart"/>
      <w:r w:rsidRPr="00C80985">
        <w:rPr>
          <w:rFonts w:ascii="Arial Narrow" w:hAnsi="Arial Narrow"/>
          <w:sz w:val="18"/>
          <w:szCs w:val="18"/>
        </w:rPr>
        <w:t>inhibitors;</w:t>
      </w:r>
      <w:proofErr w:type="gramEnd"/>
      <w:r w:rsidRPr="00C80985">
        <w:rPr>
          <w:rFonts w:ascii="Arial Narrow" w:hAnsi="Arial Narrow"/>
          <w:sz w:val="18"/>
          <w:szCs w:val="18"/>
        </w:rPr>
        <w:t xml:space="preserve"> </w:t>
      </w:r>
    </w:p>
    <w:p w14:paraId="2F6EA246" w14:textId="3ABD83EB" w:rsidR="00854A1F" w:rsidRPr="00C80985" w:rsidRDefault="00854A1F" w:rsidP="00854A1F">
      <w:pPr>
        <w:tabs>
          <w:tab w:val="left" w:pos="142"/>
        </w:tabs>
        <w:ind w:left="142" w:hanging="142"/>
        <w:rPr>
          <w:rFonts w:ascii="Arial Narrow" w:hAnsi="Arial Narrow"/>
          <w:iCs/>
          <w:sz w:val="18"/>
          <w:szCs w:val="18"/>
          <w:vertAlign w:val="superscript"/>
        </w:rPr>
      </w:pPr>
      <w:r w:rsidRPr="00C80985">
        <w:rPr>
          <w:rFonts w:ascii="Arial Narrow" w:hAnsi="Arial Narrow"/>
          <w:iCs/>
          <w:sz w:val="18"/>
          <w:szCs w:val="18"/>
          <w:vertAlign w:val="superscript"/>
        </w:rPr>
        <w:t>a</w:t>
      </w:r>
      <w:r w:rsidRPr="00C80985">
        <w:rPr>
          <w:rFonts w:ascii="Arial Narrow" w:hAnsi="Arial Narrow"/>
          <w:iCs/>
          <w:sz w:val="18"/>
          <w:szCs w:val="18"/>
        </w:rPr>
        <w:tab/>
        <w:t>Table 3-1 of the submission had the Week 0-16 utility for dupilumab as 0.847, and for placebo 0.680, however the model used the values 0.845 and 0.678, respectively.</w:t>
      </w:r>
      <w:r w:rsidR="00727E48" w:rsidRPr="00C80985">
        <w:rPr>
          <w:rFonts w:ascii="Arial Narrow" w:hAnsi="Arial Narrow"/>
          <w:iCs/>
          <w:sz w:val="18"/>
          <w:szCs w:val="18"/>
        </w:rPr>
        <w:t xml:space="preserve"> </w:t>
      </w:r>
      <w:r w:rsidRPr="00C80985">
        <w:rPr>
          <w:rFonts w:ascii="Arial Narrow" w:hAnsi="Arial Narrow"/>
          <w:iCs/>
          <w:sz w:val="18"/>
          <w:szCs w:val="18"/>
        </w:rPr>
        <w:t>The latter values were also reported in Table 3-7 of the submission.</w:t>
      </w:r>
      <w:r w:rsidR="00727E48" w:rsidRPr="00C80985">
        <w:rPr>
          <w:rFonts w:ascii="Arial Narrow" w:hAnsi="Arial Narrow"/>
          <w:iCs/>
          <w:sz w:val="18"/>
          <w:szCs w:val="18"/>
        </w:rPr>
        <w:t xml:space="preserve"> </w:t>
      </w:r>
      <w:r w:rsidRPr="00C80985">
        <w:rPr>
          <w:rFonts w:ascii="Arial Narrow" w:hAnsi="Arial Narrow"/>
          <w:iCs/>
          <w:sz w:val="18"/>
          <w:szCs w:val="18"/>
        </w:rPr>
        <w:t>Similarly, for Week 16 responder utility Table 3-1 reported 0.931, however the model used 0.929, and 0.929 is also reported in Table 3-7 of the submission.</w:t>
      </w:r>
      <w:r w:rsidR="00727E48" w:rsidRPr="00C80985">
        <w:rPr>
          <w:rFonts w:ascii="Arial Narrow" w:hAnsi="Arial Narrow"/>
          <w:iCs/>
          <w:sz w:val="18"/>
          <w:szCs w:val="18"/>
        </w:rPr>
        <w:t xml:space="preserve"> </w:t>
      </w:r>
      <w:r w:rsidRPr="00C80985">
        <w:rPr>
          <w:rFonts w:ascii="Arial Narrow" w:hAnsi="Arial Narrow"/>
          <w:iCs/>
          <w:sz w:val="18"/>
          <w:szCs w:val="18"/>
        </w:rPr>
        <w:t>Finally, for Week 44 responders Table 3-1 had the value 0.829, but the model and Table 3-7 have the value 0.827.</w:t>
      </w:r>
      <w:r w:rsidR="00727E48" w:rsidRPr="00C80985">
        <w:rPr>
          <w:rFonts w:ascii="Arial Narrow" w:hAnsi="Arial Narrow"/>
          <w:iCs/>
          <w:sz w:val="18"/>
          <w:szCs w:val="18"/>
        </w:rPr>
        <w:t xml:space="preserve"> </w:t>
      </w:r>
    </w:p>
    <w:p w14:paraId="4254116D" w14:textId="77777777" w:rsidR="00854A1F" w:rsidRPr="00C80985" w:rsidRDefault="00854A1F" w:rsidP="00854A1F">
      <w:pPr>
        <w:tabs>
          <w:tab w:val="left" w:pos="142"/>
        </w:tabs>
        <w:rPr>
          <w:rFonts w:ascii="Arial Narrow" w:hAnsi="Arial Narrow"/>
          <w:sz w:val="18"/>
          <w:szCs w:val="18"/>
        </w:rPr>
      </w:pPr>
      <w:r w:rsidRPr="00C80985">
        <w:rPr>
          <w:rFonts w:ascii="Arial Narrow" w:hAnsi="Arial Narrow"/>
          <w:sz w:val="18"/>
          <w:szCs w:val="18"/>
          <w:vertAlign w:val="superscript"/>
        </w:rPr>
        <w:t>b</w:t>
      </w:r>
      <w:r w:rsidRPr="00C80985">
        <w:rPr>
          <w:rFonts w:ascii="Arial Narrow" w:hAnsi="Arial Narrow"/>
          <w:sz w:val="18"/>
          <w:szCs w:val="18"/>
        </w:rPr>
        <w:tab/>
      </w:r>
      <w:proofErr w:type="gramStart"/>
      <w:r w:rsidRPr="00C80985">
        <w:rPr>
          <w:rFonts w:ascii="Arial Narrow" w:hAnsi="Arial Narrow"/>
          <w:sz w:val="18"/>
          <w:szCs w:val="18"/>
        </w:rPr>
        <w:t>The</w:t>
      </w:r>
      <w:proofErr w:type="gramEnd"/>
      <w:r w:rsidRPr="00C80985">
        <w:rPr>
          <w:rFonts w:ascii="Arial Narrow" w:hAnsi="Arial Narrow"/>
          <w:sz w:val="18"/>
          <w:szCs w:val="18"/>
        </w:rPr>
        <w:t xml:space="preserve"> proposed ex-manufacturer price is the same per patient per year but Q4W dosing reduces supply chain costs for some patients.</w:t>
      </w:r>
    </w:p>
    <w:p w14:paraId="72FB81E7" w14:textId="3E005DA8" w:rsidR="00854A1F" w:rsidRDefault="00854A1F" w:rsidP="00854A1F">
      <w:pPr>
        <w:pStyle w:val="3-BodyText"/>
        <w:numPr>
          <w:ilvl w:val="0"/>
          <w:numId w:val="0"/>
        </w:numPr>
        <w:tabs>
          <w:tab w:val="left" w:pos="142"/>
        </w:tabs>
        <w:rPr>
          <w:rFonts w:ascii="Arial Narrow" w:hAnsi="Arial Narrow"/>
          <w:sz w:val="18"/>
          <w:szCs w:val="18"/>
        </w:rPr>
      </w:pPr>
      <w:r w:rsidRPr="00C80985">
        <w:rPr>
          <w:rFonts w:ascii="Arial Narrow" w:hAnsi="Arial Narrow"/>
          <w:sz w:val="18"/>
          <w:szCs w:val="18"/>
          <w:vertAlign w:val="superscript"/>
        </w:rPr>
        <w:t>c</w:t>
      </w:r>
      <w:r w:rsidRPr="00C80985">
        <w:rPr>
          <w:rFonts w:ascii="Arial Narrow" w:hAnsi="Arial Narrow"/>
          <w:sz w:val="18"/>
          <w:szCs w:val="18"/>
        </w:rPr>
        <w:tab/>
        <w:t>Base case ICER for the March 2020 model corrected for an error in applying non-conditional probabilities to derive Week 42 response.</w:t>
      </w:r>
    </w:p>
    <w:p w14:paraId="6F9894ED" w14:textId="77777777" w:rsidR="00AD21C5" w:rsidRPr="009868C4" w:rsidRDefault="00AD21C5" w:rsidP="00AD21C5">
      <w:pPr>
        <w:pStyle w:val="TableFigureFooter"/>
        <w:spacing w:after="0"/>
        <w:contextualSpacing w:val="0"/>
      </w:pPr>
      <w:r w:rsidRPr="009868C4">
        <w:rPr>
          <w:i/>
        </w:rPr>
        <w:t>The redacted values correspond to the following ranges</w:t>
      </w:r>
      <w:r>
        <w:rPr>
          <w:i/>
        </w:rPr>
        <w:t xml:space="preserve">: </w:t>
      </w:r>
    </w:p>
    <w:p w14:paraId="6B98AE96" w14:textId="6E5BEB5B" w:rsidR="00AD21C5" w:rsidRDefault="00AD21C5" w:rsidP="0044577E">
      <w:pPr>
        <w:pStyle w:val="3-BodyText"/>
        <w:numPr>
          <w:ilvl w:val="0"/>
          <w:numId w:val="0"/>
        </w:numPr>
        <w:tabs>
          <w:tab w:val="left" w:pos="142"/>
        </w:tabs>
        <w:spacing w:after="0"/>
        <w:rPr>
          <w:rFonts w:ascii="Arial Narrow" w:hAnsi="Arial Narrow"/>
          <w:sz w:val="18"/>
          <w:szCs w:val="18"/>
        </w:rPr>
      </w:pPr>
      <w:r w:rsidRPr="00AD21C5">
        <w:rPr>
          <w:rFonts w:ascii="Arial Narrow" w:hAnsi="Arial Narrow"/>
          <w:sz w:val="18"/>
          <w:szCs w:val="18"/>
          <w:vertAlign w:val="superscript"/>
        </w:rPr>
        <w:t>1</w:t>
      </w:r>
      <w:r w:rsidRPr="00AD21C5">
        <w:rPr>
          <w:rFonts w:ascii="Arial Narrow" w:hAnsi="Arial Narrow"/>
          <w:sz w:val="18"/>
          <w:szCs w:val="18"/>
        </w:rPr>
        <w:t>$25,000 to &lt; $35,000</w:t>
      </w:r>
    </w:p>
    <w:p w14:paraId="57610149" w14:textId="39B39BED" w:rsidR="00AD21C5" w:rsidRDefault="00AD21C5" w:rsidP="0044577E">
      <w:pPr>
        <w:pStyle w:val="3-BodyText"/>
        <w:numPr>
          <w:ilvl w:val="0"/>
          <w:numId w:val="0"/>
        </w:numPr>
        <w:tabs>
          <w:tab w:val="left" w:pos="142"/>
        </w:tabs>
        <w:spacing w:after="0"/>
        <w:rPr>
          <w:rFonts w:ascii="Arial Narrow" w:hAnsi="Arial Narrow"/>
          <w:sz w:val="18"/>
          <w:szCs w:val="18"/>
        </w:rPr>
      </w:pPr>
      <w:r>
        <w:rPr>
          <w:rFonts w:ascii="Arial Narrow" w:hAnsi="Arial Narrow"/>
          <w:sz w:val="18"/>
          <w:szCs w:val="18"/>
          <w:vertAlign w:val="superscript"/>
        </w:rPr>
        <w:t>2</w:t>
      </w:r>
      <w:r>
        <w:rPr>
          <w:rFonts w:ascii="Arial Narrow" w:hAnsi="Arial Narrow"/>
          <w:sz w:val="18"/>
          <w:szCs w:val="18"/>
        </w:rPr>
        <w:t>45,000 to &lt; $55,000</w:t>
      </w:r>
    </w:p>
    <w:p w14:paraId="3A719689" w14:textId="77777777" w:rsidR="0044577E" w:rsidRPr="00AD21C5" w:rsidRDefault="0044577E" w:rsidP="0044577E">
      <w:pPr>
        <w:pStyle w:val="3-BodyText"/>
        <w:numPr>
          <w:ilvl w:val="0"/>
          <w:numId w:val="0"/>
        </w:numPr>
        <w:tabs>
          <w:tab w:val="left" w:pos="142"/>
        </w:tabs>
        <w:spacing w:after="0"/>
        <w:rPr>
          <w:rFonts w:ascii="Arial Narrow" w:hAnsi="Arial Narrow"/>
          <w:sz w:val="18"/>
          <w:szCs w:val="18"/>
        </w:rPr>
      </w:pPr>
    </w:p>
    <w:p w14:paraId="16C8653C" w14:textId="6ECA6E83" w:rsidR="008C5739" w:rsidRPr="00C80985" w:rsidRDefault="00854A1F" w:rsidP="00B342F2">
      <w:pPr>
        <w:pStyle w:val="3-BodyText"/>
      </w:pPr>
      <w:r w:rsidRPr="00C80985">
        <w:t>The table below provides a summary of the key components of the current paediatric model, along with a summary of the March 2020 adult model</w:t>
      </w:r>
      <w:r w:rsidR="00117A09" w:rsidRPr="00C80985">
        <w:t xml:space="preserve"> </w:t>
      </w:r>
      <w:r w:rsidR="00301999" w:rsidRPr="00C80985">
        <w:t xml:space="preserve">that </w:t>
      </w:r>
      <w:r w:rsidR="000B1BCA">
        <w:t xml:space="preserve">the </w:t>
      </w:r>
      <w:r w:rsidR="00301999" w:rsidRPr="00C80985">
        <w:t>current paediatric model was based on.</w:t>
      </w:r>
    </w:p>
    <w:p w14:paraId="15A9AFA4" w14:textId="56774910" w:rsidR="00275C5A" w:rsidRPr="00C80985" w:rsidRDefault="00AB4654" w:rsidP="00641FB3">
      <w:pPr>
        <w:pStyle w:val="TableFigureHeading"/>
        <w:rPr>
          <w:rStyle w:val="CommentReference"/>
          <w:b/>
          <w:szCs w:val="24"/>
        </w:rPr>
      </w:pPr>
      <w:r w:rsidRPr="00C80985">
        <w:rPr>
          <w:rStyle w:val="CommentReference"/>
          <w:b/>
          <w:szCs w:val="24"/>
        </w:rPr>
        <w:lastRenderedPageBreak/>
        <w:t xml:space="preserve">Table </w:t>
      </w:r>
      <w:r w:rsidRPr="00C80985">
        <w:rPr>
          <w:rStyle w:val="CommentReference"/>
          <w:b/>
          <w:szCs w:val="24"/>
        </w:rPr>
        <w:fldChar w:fldCharType="begin"/>
      </w:r>
      <w:r w:rsidRPr="00C80985">
        <w:rPr>
          <w:rStyle w:val="CommentReference"/>
          <w:b/>
          <w:szCs w:val="24"/>
        </w:rPr>
        <w:instrText xml:space="preserve"> SEQ Table \* ARABIC </w:instrText>
      </w:r>
      <w:r w:rsidRPr="00C80985">
        <w:rPr>
          <w:rStyle w:val="CommentReference"/>
          <w:b/>
          <w:szCs w:val="24"/>
        </w:rPr>
        <w:fldChar w:fldCharType="separate"/>
      </w:r>
      <w:r w:rsidR="00AA723C">
        <w:rPr>
          <w:rStyle w:val="CommentReference"/>
          <w:b/>
          <w:noProof/>
          <w:szCs w:val="24"/>
        </w:rPr>
        <w:t>10</w:t>
      </w:r>
      <w:r w:rsidRPr="00C80985">
        <w:rPr>
          <w:rStyle w:val="CommentReference"/>
          <w:b/>
          <w:szCs w:val="24"/>
        </w:rPr>
        <w:fldChar w:fldCharType="end"/>
      </w:r>
      <w:r w:rsidR="00275C5A" w:rsidRPr="00C80985">
        <w:rPr>
          <w:rStyle w:val="CommentReference"/>
          <w:b/>
          <w:szCs w:val="24"/>
        </w:rPr>
        <w:t>: Summary of model structure</w:t>
      </w:r>
      <w:r w:rsidR="00184B0E" w:rsidRPr="00C80985">
        <w:rPr>
          <w:rStyle w:val="CommentReference"/>
          <w:b/>
          <w:szCs w:val="24"/>
        </w:rPr>
        <w:t xml:space="preserve">, key </w:t>
      </w:r>
      <w:proofErr w:type="gramStart"/>
      <w:r w:rsidR="00184B0E" w:rsidRPr="00C80985">
        <w:rPr>
          <w:rStyle w:val="CommentReference"/>
          <w:b/>
          <w:szCs w:val="24"/>
        </w:rPr>
        <w:t>inputs</w:t>
      </w:r>
      <w:proofErr w:type="gramEnd"/>
      <w:r w:rsidR="00275C5A" w:rsidRPr="00C80985">
        <w:rPr>
          <w:rStyle w:val="CommentReference"/>
          <w:b/>
          <w:szCs w:val="24"/>
        </w:rPr>
        <w:t xml:space="preserve">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06"/>
        <w:gridCol w:w="3809"/>
        <w:gridCol w:w="3802"/>
      </w:tblGrid>
      <w:tr w:rsidR="00A8265D" w:rsidRPr="00C80985" w14:paraId="386AB7F9" w14:textId="77777777" w:rsidTr="00E840F9">
        <w:tc>
          <w:tcPr>
            <w:tcW w:w="780" w:type="pct"/>
          </w:tcPr>
          <w:p w14:paraId="50AA91A7" w14:textId="77777777" w:rsidR="00A8265D" w:rsidRPr="00C80985" w:rsidRDefault="00A8265D" w:rsidP="00E840F9">
            <w:pPr>
              <w:pStyle w:val="In-tableHeading"/>
              <w:rPr>
                <w:lang w:val="en-AU"/>
              </w:rPr>
            </w:pPr>
            <w:r w:rsidRPr="00C80985">
              <w:rPr>
                <w:lang w:val="en-AU"/>
              </w:rPr>
              <w:t>Component</w:t>
            </w:r>
          </w:p>
        </w:tc>
        <w:tc>
          <w:tcPr>
            <w:tcW w:w="2112" w:type="pct"/>
          </w:tcPr>
          <w:p w14:paraId="3AA2A629" w14:textId="77777777" w:rsidR="00A8265D" w:rsidRPr="00C80985" w:rsidRDefault="00A8265D" w:rsidP="00E840F9">
            <w:pPr>
              <w:pStyle w:val="In-tableHeading"/>
              <w:jc w:val="center"/>
              <w:rPr>
                <w:lang w:val="en-AU"/>
              </w:rPr>
            </w:pPr>
            <w:r w:rsidRPr="00C80985">
              <w:rPr>
                <w:lang w:val="en-AU"/>
              </w:rPr>
              <w:t>March 2020 adult model</w:t>
            </w:r>
          </w:p>
        </w:tc>
        <w:tc>
          <w:tcPr>
            <w:tcW w:w="2108" w:type="pct"/>
          </w:tcPr>
          <w:p w14:paraId="0CCD3B5B" w14:textId="77777777" w:rsidR="00A8265D" w:rsidRPr="00C80985" w:rsidRDefault="00A8265D" w:rsidP="00E840F9">
            <w:pPr>
              <w:pStyle w:val="In-tableHeading"/>
              <w:jc w:val="center"/>
              <w:rPr>
                <w:lang w:val="en-AU"/>
              </w:rPr>
            </w:pPr>
            <w:r w:rsidRPr="00C80985">
              <w:rPr>
                <w:lang w:val="en-AU"/>
              </w:rPr>
              <w:t>Current paediatric model</w:t>
            </w:r>
          </w:p>
        </w:tc>
      </w:tr>
      <w:tr w:rsidR="00A8265D" w:rsidRPr="00C80985" w14:paraId="42E16CC2" w14:textId="77777777" w:rsidTr="00E840F9">
        <w:tc>
          <w:tcPr>
            <w:tcW w:w="780" w:type="pct"/>
            <w:vAlign w:val="center"/>
          </w:tcPr>
          <w:p w14:paraId="7120A1D9" w14:textId="77777777" w:rsidR="00A8265D" w:rsidRPr="00C80985" w:rsidRDefault="00A8265D" w:rsidP="00E840F9">
            <w:pPr>
              <w:pStyle w:val="TableText0"/>
              <w:rPr>
                <w:bCs w:val="0"/>
                <w:szCs w:val="20"/>
              </w:rPr>
            </w:pPr>
            <w:r w:rsidRPr="00C80985">
              <w:rPr>
                <w:bCs w:val="0"/>
                <w:szCs w:val="20"/>
              </w:rPr>
              <w:t xml:space="preserve">Type of analysis </w:t>
            </w:r>
          </w:p>
        </w:tc>
        <w:tc>
          <w:tcPr>
            <w:tcW w:w="2112" w:type="pct"/>
          </w:tcPr>
          <w:p w14:paraId="0BEDEC3C" w14:textId="77777777" w:rsidR="00A8265D" w:rsidRPr="00C80985" w:rsidRDefault="00A8265D" w:rsidP="00E840F9">
            <w:pPr>
              <w:pStyle w:val="TableText0"/>
              <w:rPr>
                <w:bCs w:val="0"/>
                <w:szCs w:val="20"/>
              </w:rPr>
            </w:pPr>
            <w:r w:rsidRPr="00C80985">
              <w:rPr>
                <w:bCs w:val="0"/>
                <w:szCs w:val="20"/>
              </w:rPr>
              <w:t xml:space="preserve">Cost-utility analysis </w:t>
            </w:r>
          </w:p>
        </w:tc>
        <w:tc>
          <w:tcPr>
            <w:tcW w:w="2108" w:type="pct"/>
          </w:tcPr>
          <w:p w14:paraId="418C6A93" w14:textId="77777777" w:rsidR="00A8265D" w:rsidRPr="00C80985" w:rsidRDefault="00A8265D" w:rsidP="00E840F9">
            <w:pPr>
              <w:pStyle w:val="TableText0"/>
            </w:pPr>
            <w:r w:rsidRPr="00C80985">
              <w:t>Cost-utility analysis</w:t>
            </w:r>
          </w:p>
        </w:tc>
      </w:tr>
      <w:tr w:rsidR="00A8265D" w:rsidRPr="00C80985" w14:paraId="09CF1E2E" w14:textId="77777777" w:rsidTr="00E840F9">
        <w:tc>
          <w:tcPr>
            <w:tcW w:w="780" w:type="pct"/>
            <w:vAlign w:val="center"/>
          </w:tcPr>
          <w:p w14:paraId="5D1622C5" w14:textId="77777777" w:rsidR="00A8265D" w:rsidRPr="00C80985" w:rsidRDefault="00A8265D" w:rsidP="00E840F9">
            <w:pPr>
              <w:pStyle w:val="TableText0"/>
              <w:rPr>
                <w:bCs w:val="0"/>
                <w:szCs w:val="20"/>
              </w:rPr>
            </w:pPr>
            <w:r w:rsidRPr="00C80985">
              <w:rPr>
                <w:bCs w:val="0"/>
                <w:szCs w:val="20"/>
              </w:rPr>
              <w:t>Comparator</w:t>
            </w:r>
          </w:p>
        </w:tc>
        <w:tc>
          <w:tcPr>
            <w:tcW w:w="2112" w:type="pct"/>
          </w:tcPr>
          <w:p w14:paraId="3540C6AB" w14:textId="77777777" w:rsidR="00A8265D" w:rsidRPr="00C80985" w:rsidRDefault="00A8265D" w:rsidP="00E840F9">
            <w:pPr>
              <w:pStyle w:val="TableText0"/>
              <w:rPr>
                <w:bCs w:val="0"/>
                <w:szCs w:val="20"/>
              </w:rPr>
            </w:pPr>
            <w:r w:rsidRPr="00C80985">
              <w:t>Placebo for SoC</w:t>
            </w:r>
          </w:p>
        </w:tc>
        <w:tc>
          <w:tcPr>
            <w:tcW w:w="2108" w:type="pct"/>
          </w:tcPr>
          <w:p w14:paraId="11126591" w14:textId="77777777" w:rsidR="00A8265D" w:rsidRPr="00C80985" w:rsidRDefault="00A8265D" w:rsidP="00E840F9">
            <w:pPr>
              <w:pStyle w:val="TableText0"/>
            </w:pPr>
            <w:r w:rsidRPr="00C80985">
              <w:t>Placebo</w:t>
            </w:r>
          </w:p>
        </w:tc>
      </w:tr>
      <w:tr w:rsidR="00A8265D" w:rsidRPr="00C80985" w14:paraId="422A7EBE" w14:textId="77777777" w:rsidTr="00E840F9">
        <w:tc>
          <w:tcPr>
            <w:tcW w:w="780" w:type="pct"/>
            <w:vAlign w:val="center"/>
          </w:tcPr>
          <w:p w14:paraId="69C58E85" w14:textId="77777777" w:rsidR="00A8265D" w:rsidRPr="00C80985" w:rsidRDefault="00A8265D" w:rsidP="00E840F9">
            <w:pPr>
              <w:pStyle w:val="TableText0"/>
              <w:rPr>
                <w:bCs w:val="0"/>
                <w:szCs w:val="20"/>
              </w:rPr>
            </w:pPr>
            <w:r w:rsidRPr="00C80985">
              <w:rPr>
                <w:bCs w:val="0"/>
                <w:szCs w:val="20"/>
              </w:rPr>
              <w:t xml:space="preserve">Outcomes </w:t>
            </w:r>
          </w:p>
        </w:tc>
        <w:tc>
          <w:tcPr>
            <w:tcW w:w="2112" w:type="pct"/>
          </w:tcPr>
          <w:p w14:paraId="5AF96CEA" w14:textId="77777777" w:rsidR="00A8265D" w:rsidRPr="00C80985" w:rsidRDefault="00A8265D" w:rsidP="00E840F9">
            <w:pPr>
              <w:pStyle w:val="TableText0"/>
              <w:rPr>
                <w:bCs w:val="0"/>
                <w:szCs w:val="20"/>
              </w:rPr>
            </w:pPr>
            <w:r w:rsidRPr="00C80985">
              <w:rPr>
                <w:bCs w:val="0"/>
                <w:szCs w:val="20"/>
              </w:rPr>
              <w:t xml:space="preserve">% of patients with DLQI4 and EASI 50, life years, quality adjusted life years, resource utilisation </w:t>
            </w:r>
          </w:p>
        </w:tc>
        <w:tc>
          <w:tcPr>
            <w:tcW w:w="2108" w:type="pct"/>
          </w:tcPr>
          <w:p w14:paraId="2DD43CBA" w14:textId="4BAE2C7E" w:rsidR="00A8265D" w:rsidRPr="00C80985" w:rsidRDefault="00A8265D" w:rsidP="00E840F9">
            <w:pPr>
              <w:pStyle w:val="TableText0"/>
            </w:pPr>
            <w:r w:rsidRPr="00C80985">
              <w:t xml:space="preserve">% of patients with </w:t>
            </w:r>
            <w:r w:rsidR="00766BD7" w:rsidRPr="00C80985">
              <w:t>CDLQI</w:t>
            </w:r>
            <w:r w:rsidRPr="00C80985">
              <w:t>4 or DLQI and EASI 50, quality adjusted life years, resource utilisation</w:t>
            </w:r>
          </w:p>
        </w:tc>
      </w:tr>
      <w:tr w:rsidR="00A8265D" w:rsidRPr="00C80985" w14:paraId="2C6D98A8" w14:textId="77777777" w:rsidTr="00E840F9">
        <w:tc>
          <w:tcPr>
            <w:tcW w:w="780" w:type="pct"/>
            <w:vAlign w:val="center"/>
          </w:tcPr>
          <w:p w14:paraId="734D0A53" w14:textId="77777777" w:rsidR="00A8265D" w:rsidRPr="00C80985" w:rsidRDefault="00A8265D" w:rsidP="00E840F9">
            <w:pPr>
              <w:pStyle w:val="TableText0"/>
              <w:rPr>
                <w:bCs w:val="0"/>
                <w:szCs w:val="20"/>
              </w:rPr>
            </w:pPr>
            <w:r w:rsidRPr="00C80985">
              <w:rPr>
                <w:bCs w:val="0"/>
                <w:szCs w:val="20"/>
              </w:rPr>
              <w:t>Clinical evidence</w:t>
            </w:r>
          </w:p>
        </w:tc>
        <w:tc>
          <w:tcPr>
            <w:tcW w:w="2112" w:type="pct"/>
          </w:tcPr>
          <w:p w14:paraId="6D92010B" w14:textId="77777777" w:rsidR="00A8265D" w:rsidRPr="00C80985" w:rsidRDefault="00A8265D" w:rsidP="00E840F9">
            <w:pPr>
              <w:pStyle w:val="TableText0"/>
              <w:rPr>
                <w:bCs w:val="0"/>
                <w:szCs w:val="20"/>
              </w:rPr>
            </w:pPr>
            <w:r w:rsidRPr="00C80985">
              <w:rPr>
                <w:rFonts w:cs="Arial"/>
              </w:rPr>
              <w:t>PGA=4 and EASI ≥20 sub-group of CHRONOS, SOLO 1, SOLO 2 &amp; Study 1021 for Week 16 response rates and CHRONOS (Week 44 data) for Week 42 response rates.</w:t>
            </w:r>
          </w:p>
        </w:tc>
        <w:tc>
          <w:tcPr>
            <w:tcW w:w="2108" w:type="pct"/>
            <w:vAlign w:val="center"/>
          </w:tcPr>
          <w:p w14:paraId="153EFC9C" w14:textId="77777777" w:rsidR="00A8265D" w:rsidRPr="00C80985" w:rsidRDefault="00A8265D" w:rsidP="00E840F9">
            <w:pPr>
              <w:pStyle w:val="TableText0"/>
            </w:pPr>
            <w:r w:rsidRPr="00C80985">
              <w:rPr>
                <w:rFonts w:cs="Arial"/>
              </w:rPr>
              <w:t>Post-hoc subgroup of Study 1652 including only patients weighing ≤60 kg; maintenance response data from the adult CHRONOS trial, and utility values from the adult SOLO trials.</w:t>
            </w:r>
          </w:p>
        </w:tc>
      </w:tr>
      <w:tr w:rsidR="00A8265D" w:rsidRPr="00C80985" w14:paraId="122F36D3" w14:textId="77777777" w:rsidTr="00E840F9">
        <w:tc>
          <w:tcPr>
            <w:tcW w:w="780" w:type="pct"/>
            <w:vAlign w:val="center"/>
          </w:tcPr>
          <w:p w14:paraId="0386306A" w14:textId="77777777" w:rsidR="00A8265D" w:rsidRPr="00C80985" w:rsidRDefault="00A8265D" w:rsidP="00E840F9">
            <w:pPr>
              <w:pStyle w:val="TableText0"/>
              <w:rPr>
                <w:bCs w:val="0"/>
                <w:szCs w:val="20"/>
              </w:rPr>
            </w:pPr>
            <w:r w:rsidRPr="00C80985">
              <w:rPr>
                <w:bCs w:val="0"/>
                <w:szCs w:val="20"/>
              </w:rPr>
              <w:t xml:space="preserve">Time horizon </w:t>
            </w:r>
          </w:p>
        </w:tc>
        <w:tc>
          <w:tcPr>
            <w:tcW w:w="2112" w:type="pct"/>
          </w:tcPr>
          <w:p w14:paraId="4DFBFBA5" w14:textId="77777777" w:rsidR="00A8265D" w:rsidRPr="00C80985" w:rsidRDefault="00A8265D" w:rsidP="00E840F9">
            <w:pPr>
              <w:pStyle w:val="TableText0"/>
              <w:rPr>
                <w:bCs w:val="0"/>
                <w:szCs w:val="20"/>
              </w:rPr>
            </w:pPr>
            <w:r w:rsidRPr="00C80985">
              <w:rPr>
                <w:bCs w:val="0"/>
                <w:szCs w:val="20"/>
              </w:rPr>
              <w:t xml:space="preserve">5 years </w:t>
            </w:r>
          </w:p>
        </w:tc>
        <w:tc>
          <w:tcPr>
            <w:tcW w:w="2108" w:type="pct"/>
          </w:tcPr>
          <w:p w14:paraId="56F1B811" w14:textId="77777777" w:rsidR="00A8265D" w:rsidRPr="00C80985" w:rsidRDefault="00A8265D" w:rsidP="00E840F9">
            <w:pPr>
              <w:pStyle w:val="TableText0"/>
            </w:pPr>
            <w:r w:rsidRPr="00C80985">
              <w:t>5 years</w:t>
            </w:r>
          </w:p>
        </w:tc>
      </w:tr>
      <w:tr w:rsidR="00A8265D" w:rsidRPr="00C80985" w14:paraId="2108C88B" w14:textId="77777777" w:rsidTr="00E840F9">
        <w:tc>
          <w:tcPr>
            <w:tcW w:w="780" w:type="pct"/>
            <w:vAlign w:val="center"/>
          </w:tcPr>
          <w:p w14:paraId="3856FD8B" w14:textId="77777777" w:rsidR="00A8265D" w:rsidRPr="00C80985" w:rsidRDefault="00A8265D" w:rsidP="00E840F9">
            <w:pPr>
              <w:pStyle w:val="TableText0"/>
              <w:rPr>
                <w:bCs w:val="0"/>
                <w:szCs w:val="20"/>
              </w:rPr>
            </w:pPr>
            <w:r w:rsidRPr="00C80985">
              <w:rPr>
                <w:bCs w:val="0"/>
                <w:szCs w:val="20"/>
              </w:rPr>
              <w:t xml:space="preserve">Method(s) used to generate results </w:t>
            </w:r>
          </w:p>
        </w:tc>
        <w:tc>
          <w:tcPr>
            <w:tcW w:w="2112" w:type="pct"/>
          </w:tcPr>
          <w:p w14:paraId="7C497C82" w14:textId="77777777" w:rsidR="00A8265D" w:rsidRPr="00C80985" w:rsidRDefault="00A8265D" w:rsidP="00E840F9">
            <w:pPr>
              <w:pStyle w:val="TableText0"/>
              <w:rPr>
                <w:bCs w:val="0"/>
                <w:szCs w:val="20"/>
              </w:rPr>
            </w:pPr>
            <w:r w:rsidRPr="00C80985">
              <w:rPr>
                <w:bCs w:val="0"/>
                <w:szCs w:val="20"/>
              </w:rPr>
              <w:t xml:space="preserve">Markov cohort model (with a prior decision tree for initial treatment and the first cycle of maintenance treatment) </w:t>
            </w:r>
          </w:p>
        </w:tc>
        <w:tc>
          <w:tcPr>
            <w:tcW w:w="2108" w:type="pct"/>
            <w:vAlign w:val="center"/>
          </w:tcPr>
          <w:p w14:paraId="2A3A7E37" w14:textId="77777777" w:rsidR="00A8265D" w:rsidRPr="00C80985" w:rsidRDefault="00A8265D" w:rsidP="00E840F9">
            <w:pPr>
              <w:pStyle w:val="TableText0"/>
            </w:pPr>
            <w:r w:rsidRPr="00C80985">
              <w:t>As per March 2020</w:t>
            </w:r>
          </w:p>
        </w:tc>
      </w:tr>
      <w:tr w:rsidR="00A8265D" w:rsidRPr="00C80985" w14:paraId="3806D71D" w14:textId="77777777" w:rsidTr="00E840F9">
        <w:tc>
          <w:tcPr>
            <w:tcW w:w="780" w:type="pct"/>
            <w:vAlign w:val="center"/>
          </w:tcPr>
          <w:p w14:paraId="690237B0" w14:textId="77777777" w:rsidR="00A8265D" w:rsidRPr="00C80985" w:rsidRDefault="00A8265D" w:rsidP="00E840F9">
            <w:pPr>
              <w:pStyle w:val="TableText0"/>
              <w:rPr>
                <w:bCs w:val="0"/>
                <w:szCs w:val="20"/>
              </w:rPr>
            </w:pPr>
            <w:r w:rsidRPr="00C80985">
              <w:rPr>
                <w:bCs w:val="0"/>
                <w:szCs w:val="20"/>
              </w:rPr>
              <w:t xml:space="preserve">Health states </w:t>
            </w:r>
          </w:p>
        </w:tc>
        <w:tc>
          <w:tcPr>
            <w:tcW w:w="2112" w:type="pct"/>
          </w:tcPr>
          <w:p w14:paraId="151F47D0" w14:textId="77777777" w:rsidR="00A8265D" w:rsidRPr="00C80985" w:rsidRDefault="00A8265D" w:rsidP="00E840F9">
            <w:pPr>
              <w:pStyle w:val="TableText0"/>
            </w:pPr>
            <w:r w:rsidRPr="00C80985">
              <w:t>Four possible health states:</w:t>
            </w:r>
          </w:p>
          <w:p w14:paraId="6C12A71D" w14:textId="77777777" w:rsidR="00A8265D" w:rsidRPr="00C80985" w:rsidRDefault="00A8265D" w:rsidP="00894D0F">
            <w:pPr>
              <w:pStyle w:val="TableText0"/>
              <w:keepLines/>
              <w:numPr>
                <w:ilvl w:val="0"/>
                <w:numId w:val="8"/>
              </w:numPr>
              <w:ind w:left="170" w:hanging="170"/>
            </w:pPr>
            <w:r w:rsidRPr="00C80985">
              <w:t>Induction treatment (16 weeks)</w:t>
            </w:r>
          </w:p>
          <w:p w14:paraId="22A1F85A" w14:textId="001D258F" w:rsidR="00A8265D" w:rsidRPr="00C80985" w:rsidRDefault="00A8265D" w:rsidP="00894D0F">
            <w:pPr>
              <w:pStyle w:val="TableText0"/>
              <w:keepLines/>
              <w:numPr>
                <w:ilvl w:val="0"/>
                <w:numId w:val="8"/>
              </w:numPr>
              <w:ind w:left="170" w:hanging="170"/>
            </w:pPr>
            <w:r w:rsidRPr="00C80985">
              <w:t>Responder (</w:t>
            </w:r>
            <w:r w:rsidR="00766BD7" w:rsidRPr="00C80985">
              <w:t>CDLQI</w:t>
            </w:r>
            <w:r w:rsidRPr="00C80985">
              <w:t>4 and EASI 50)</w:t>
            </w:r>
          </w:p>
          <w:p w14:paraId="3AC14F11" w14:textId="3C883DB0" w:rsidR="00A8265D" w:rsidRPr="00C80985" w:rsidRDefault="00A8265D" w:rsidP="00894D0F">
            <w:pPr>
              <w:pStyle w:val="TableText0"/>
              <w:keepLines/>
              <w:numPr>
                <w:ilvl w:val="0"/>
                <w:numId w:val="8"/>
              </w:numPr>
              <w:ind w:left="170" w:hanging="170"/>
            </w:pPr>
            <w:r w:rsidRPr="00C80985">
              <w:t xml:space="preserve">Non-responder (change in </w:t>
            </w:r>
            <w:r w:rsidR="00766BD7" w:rsidRPr="00C80985">
              <w:t>CDLQI</w:t>
            </w:r>
            <w:r w:rsidRPr="00C80985">
              <w:t xml:space="preserve"> &lt; 4 points from baseline and/or change in EASI score &lt;50% from baseline)</w:t>
            </w:r>
          </w:p>
          <w:p w14:paraId="250305C3" w14:textId="77777777" w:rsidR="00A8265D" w:rsidRPr="00C80985" w:rsidRDefault="00A8265D" w:rsidP="00894D0F">
            <w:pPr>
              <w:pStyle w:val="TableText0"/>
              <w:keepLines/>
              <w:numPr>
                <w:ilvl w:val="0"/>
                <w:numId w:val="8"/>
              </w:numPr>
              <w:ind w:left="170" w:hanging="170"/>
            </w:pPr>
            <w:r w:rsidRPr="00C80985">
              <w:t>All-cause death</w:t>
            </w:r>
          </w:p>
        </w:tc>
        <w:tc>
          <w:tcPr>
            <w:tcW w:w="2108" w:type="pct"/>
            <w:vAlign w:val="center"/>
          </w:tcPr>
          <w:p w14:paraId="0000C15E" w14:textId="77777777" w:rsidR="00A8265D" w:rsidRPr="00C80985" w:rsidRDefault="00A8265D" w:rsidP="00E840F9">
            <w:pPr>
              <w:pStyle w:val="TableText0"/>
              <w:keepLines/>
            </w:pPr>
            <w:r w:rsidRPr="00C80985">
              <w:t>As per March 2020</w:t>
            </w:r>
          </w:p>
        </w:tc>
      </w:tr>
      <w:tr w:rsidR="00A8265D" w:rsidRPr="00C80985" w14:paraId="2F54ADA4" w14:textId="77777777" w:rsidTr="00E840F9">
        <w:tc>
          <w:tcPr>
            <w:tcW w:w="780" w:type="pct"/>
            <w:vAlign w:val="center"/>
          </w:tcPr>
          <w:p w14:paraId="79775491" w14:textId="77777777" w:rsidR="00A8265D" w:rsidRPr="00C80985" w:rsidRDefault="00A8265D" w:rsidP="00E840F9">
            <w:pPr>
              <w:pStyle w:val="TableText0"/>
              <w:rPr>
                <w:bCs w:val="0"/>
                <w:szCs w:val="20"/>
              </w:rPr>
            </w:pPr>
            <w:r w:rsidRPr="00C80985">
              <w:rPr>
                <w:bCs w:val="0"/>
                <w:szCs w:val="20"/>
              </w:rPr>
              <w:t>Cycle length</w:t>
            </w:r>
            <w:r w:rsidRPr="00C80985">
              <w:rPr>
                <w:bCs w:val="0"/>
                <w:position w:val="6"/>
                <w:szCs w:val="20"/>
                <w:vertAlign w:val="superscript"/>
              </w:rPr>
              <w:t>a</w:t>
            </w:r>
            <w:r w:rsidRPr="00C80985">
              <w:rPr>
                <w:bCs w:val="0"/>
                <w:position w:val="6"/>
                <w:szCs w:val="20"/>
              </w:rPr>
              <w:t xml:space="preserve"> </w:t>
            </w:r>
          </w:p>
        </w:tc>
        <w:tc>
          <w:tcPr>
            <w:tcW w:w="2112" w:type="pct"/>
          </w:tcPr>
          <w:p w14:paraId="71F42EEA" w14:textId="77777777" w:rsidR="00A8265D" w:rsidRPr="00C80985" w:rsidRDefault="00A8265D" w:rsidP="00E840F9">
            <w:pPr>
              <w:pStyle w:val="TableText0"/>
              <w:rPr>
                <w:bCs w:val="0"/>
                <w:szCs w:val="20"/>
              </w:rPr>
            </w:pPr>
            <w:r w:rsidRPr="00C80985">
              <w:rPr>
                <w:bCs w:val="0"/>
                <w:szCs w:val="20"/>
              </w:rPr>
              <w:t xml:space="preserve">6 months </w:t>
            </w:r>
          </w:p>
        </w:tc>
        <w:tc>
          <w:tcPr>
            <w:tcW w:w="2108" w:type="pct"/>
          </w:tcPr>
          <w:p w14:paraId="3FB8CB1B" w14:textId="77777777" w:rsidR="00A8265D" w:rsidRPr="00C80985" w:rsidRDefault="00A8265D" w:rsidP="00E840F9">
            <w:pPr>
              <w:pStyle w:val="TableText0"/>
            </w:pPr>
            <w:r w:rsidRPr="00C80985">
              <w:t>As per March 2020</w:t>
            </w:r>
          </w:p>
        </w:tc>
      </w:tr>
      <w:tr w:rsidR="00A8265D" w:rsidRPr="00C80985" w14:paraId="65D27880" w14:textId="77777777" w:rsidTr="00E840F9">
        <w:tc>
          <w:tcPr>
            <w:tcW w:w="780" w:type="pct"/>
            <w:vAlign w:val="center"/>
          </w:tcPr>
          <w:p w14:paraId="5E963675" w14:textId="77777777" w:rsidR="00A8265D" w:rsidRPr="00C80985" w:rsidRDefault="00A8265D" w:rsidP="00E840F9">
            <w:pPr>
              <w:pStyle w:val="TableText0"/>
              <w:rPr>
                <w:bCs w:val="0"/>
                <w:szCs w:val="20"/>
              </w:rPr>
            </w:pPr>
            <w:r w:rsidRPr="00C80985">
              <w:rPr>
                <w:bCs w:val="0"/>
                <w:szCs w:val="20"/>
              </w:rPr>
              <w:t xml:space="preserve">Transition probabilities </w:t>
            </w:r>
          </w:p>
        </w:tc>
        <w:tc>
          <w:tcPr>
            <w:tcW w:w="2112" w:type="pct"/>
          </w:tcPr>
          <w:p w14:paraId="43B40417" w14:textId="77777777" w:rsidR="00A8265D" w:rsidRPr="00C80985" w:rsidRDefault="00A8265D" w:rsidP="00E840F9">
            <w:pPr>
              <w:pStyle w:val="TableText0"/>
              <w:rPr>
                <w:bCs w:val="0"/>
                <w:szCs w:val="20"/>
              </w:rPr>
            </w:pPr>
            <w:r w:rsidRPr="00C80985">
              <w:rPr>
                <w:bCs w:val="0"/>
                <w:szCs w:val="20"/>
              </w:rPr>
              <w:t>% of patients with response (DLQI4 and EASI 50), maintenance of response (DLQI4 and EASI 50),</w:t>
            </w:r>
            <w:r w:rsidRPr="00C80985">
              <w:rPr>
                <w:bCs w:val="0"/>
                <w:szCs w:val="20"/>
              </w:rPr>
              <w:br/>
              <w:t xml:space="preserve">All-cause death: Age and sex specific Australian mortality rates (Australian lifetables) </w:t>
            </w:r>
          </w:p>
        </w:tc>
        <w:tc>
          <w:tcPr>
            <w:tcW w:w="2108" w:type="pct"/>
          </w:tcPr>
          <w:p w14:paraId="6C0DBB2C" w14:textId="6804136E" w:rsidR="00A8265D" w:rsidRPr="00C80985" w:rsidRDefault="00A8265D" w:rsidP="00E840F9">
            <w:pPr>
              <w:pStyle w:val="TableText0"/>
            </w:pPr>
            <w:r w:rsidRPr="00C80985">
              <w:t xml:space="preserve">As per March 2020, with the exception that Week 16 response used </w:t>
            </w:r>
            <w:r w:rsidR="00766BD7" w:rsidRPr="00C80985">
              <w:t>CDLQI</w:t>
            </w:r>
            <w:r w:rsidRPr="00C80985">
              <w:t xml:space="preserve"> instead of DLQI</w:t>
            </w:r>
          </w:p>
        </w:tc>
      </w:tr>
    </w:tbl>
    <w:p w14:paraId="677FFA26" w14:textId="77777777" w:rsidR="00A8265D" w:rsidRPr="00C80985" w:rsidRDefault="00A8265D" w:rsidP="00A8265D">
      <w:pPr>
        <w:pStyle w:val="TableFigureFooter"/>
      </w:pPr>
      <w:r w:rsidRPr="00C80985">
        <w:t>Source: Table 3-2, p175-176 of the submission; Table 12, p21 of the March 2020 dupilumab PSD.</w:t>
      </w:r>
    </w:p>
    <w:p w14:paraId="33AC6091" w14:textId="2E629FD4" w:rsidR="00A8265D" w:rsidRPr="00C80985" w:rsidRDefault="00766BD7" w:rsidP="00A8265D">
      <w:pPr>
        <w:pStyle w:val="TableFigureFooter"/>
      </w:pPr>
      <w:r w:rsidRPr="00C80985">
        <w:t>CDLQI</w:t>
      </w:r>
      <w:r w:rsidR="00A8265D" w:rsidRPr="00C80985">
        <w:t xml:space="preserve"> = </w:t>
      </w:r>
      <w:r w:rsidR="00A8265D" w:rsidRPr="00C80985">
        <w:rPr>
          <w:szCs w:val="18"/>
        </w:rPr>
        <w:t xml:space="preserve">Children’s Dermatology Life Quality Index; DLQI = Dermatology Life Quality Index; </w:t>
      </w:r>
      <w:r w:rsidR="00A8265D" w:rsidRPr="00C80985">
        <w:t>EASI = Eczema Area and Severity Index; SoC = standard of care</w:t>
      </w:r>
    </w:p>
    <w:p w14:paraId="213DED56" w14:textId="77016F91" w:rsidR="003270E4" w:rsidRPr="00C80985" w:rsidRDefault="00A8265D" w:rsidP="00A8265D">
      <w:pPr>
        <w:pStyle w:val="TableFigureFooter"/>
        <w:tabs>
          <w:tab w:val="left" w:pos="142"/>
        </w:tabs>
      </w:pPr>
      <w:proofErr w:type="spellStart"/>
      <w:r w:rsidRPr="00C80985">
        <w:rPr>
          <w:vertAlign w:val="superscript"/>
        </w:rPr>
        <w:t>a</w:t>
      </w:r>
      <w:proofErr w:type="spellEnd"/>
      <w:r w:rsidRPr="00C80985">
        <w:tab/>
        <w:t>For the Markov component of the model.</w:t>
      </w:r>
    </w:p>
    <w:p w14:paraId="5723F68C" w14:textId="6AC655BD" w:rsidR="005E7012" w:rsidRPr="00C80985" w:rsidRDefault="00BA395F" w:rsidP="007930C3">
      <w:pPr>
        <w:pStyle w:val="3-BodyText"/>
      </w:pPr>
      <w:bookmarkStart w:id="32" w:name="_Ref96114889"/>
      <w:r w:rsidRPr="00C80985">
        <w:rPr>
          <w:iCs/>
        </w:rPr>
        <w:t xml:space="preserve">The data sources applied in the economic model </w:t>
      </w:r>
      <w:r w:rsidR="00071DE8">
        <w:rPr>
          <w:iCs/>
        </w:rPr>
        <w:t>included both</w:t>
      </w:r>
      <w:r w:rsidRPr="00C80985">
        <w:rPr>
          <w:iCs/>
        </w:rPr>
        <w:t xml:space="preserve"> paediatric and adult sources, with adult response data used beyond Week 16 and for all utility values.</w:t>
      </w:r>
      <w:r w:rsidR="00727E48" w:rsidRPr="00C80985">
        <w:rPr>
          <w:iCs/>
        </w:rPr>
        <w:t xml:space="preserve"> </w:t>
      </w:r>
      <w:r w:rsidR="00101BC0">
        <w:rPr>
          <w:iCs/>
        </w:rPr>
        <w:t xml:space="preserve">The pre-PBAC response (p1) argued that in the absence of paediatric-specific values the use of adult </w:t>
      </w:r>
      <w:r w:rsidR="00F43F84">
        <w:rPr>
          <w:iCs/>
        </w:rPr>
        <w:t>values</w:t>
      </w:r>
      <w:r w:rsidR="00101BC0">
        <w:rPr>
          <w:iCs/>
        </w:rPr>
        <w:t xml:space="preserve"> was appropriate and adequately captures the benefits of dupilumab therapy in paediatric patients. </w:t>
      </w:r>
      <w:r w:rsidRPr="00C80985">
        <w:rPr>
          <w:iCs/>
        </w:rPr>
        <w:t>While the baseline disease characteristics were sourced from the overall trial population of Study 1652, response data was sourced from a post-hoc subgroup.</w:t>
      </w:r>
      <w:r w:rsidR="00727E48" w:rsidRPr="00C80985">
        <w:rPr>
          <w:iCs/>
        </w:rPr>
        <w:t xml:space="preserve"> </w:t>
      </w:r>
      <w:r w:rsidR="005E7012" w:rsidRPr="00C80985">
        <w:t>The following table outlines the clinical evidence applied in the model.</w:t>
      </w:r>
      <w:r w:rsidR="00252E78">
        <w:t xml:space="preserve"> </w:t>
      </w:r>
      <w:bookmarkEnd w:id="32"/>
    </w:p>
    <w:p w14:paraId="1B59AC98" w14:textId="3D8A6197" w:rsidR="005E7012" w:rsidRPr="00C80985" w:rsidRDefault="005E7012" w:rsidP="0017319A">
      <w:pPr>
        <w:pStyle w:val="3-BodyText"/>
        <w:keepNext/>
        <w:numPr>
          <w:ilvl w:val="0"/>
          <w:numId w:val="0"/>
        </w:numPr>
        <w:spacing w:after="0"/>
      </w:pPr>
      <w:r w:rsidRPr="00C80985">
        <w:rPr>
          <w:rStyle w:val="CommentReference"/>
          <w:szCs w:val="24"/>
        </w:rPr>
        <w:lastRenderedPageBreak/>
        <w:t xml:space="preserve">Table </w:t>
      </w:r>
      <w:r w:rsidRPr="00C80985">
        <w:rPr>
          <w:rStyle w:val="CommentReference"/>
          <w:bCs/>
          <w:szCs w:val="24"/>
        </w:rPr>
        <w:fldChar w:fldCharType="begin"/>
      </w:r>
      <w:r w:rsidRPr="00C80985">
        <w:rPr>
          <w:rStyle w:val="CommentReference"/>
          <w:bCs/>
          <w:szCs w:val="24"/>
        </w:rPr>
        <w:instrText xml:space="preserve"> SEQ Table \* ARABIC </w:instrText>
      </w:r>
      <w:r w:rsidRPr="00C80985">
        <w:rPr>
          <w:rStyle w:val="CommentReference"/>
          <w:bCs/>
          <w:szCs w:val="24"/>
        </w:rPr>
        <w:fldChar w:fldCharType="separate"/>
      </w:r>
      <w:r w:rsidR="00AA723C">
        <w:rPr>
          <w:rStyle w:val="CommentReference"/>
          <w:bCs/>
          <w:noProof/>
          <w:szCs w:val="24"/>
        </w:rPr>
        <w:t>11</w:t>
      </w:r>
      <w:r w:rsidRPr="00C80985">
        <w:rPr>
          <w:rStyle w:val="CommentReference"/>
          <w:bCs/>
          <w:szCs w:val="24"/>
        </w:rPr>
        <w:fldChar w:fldCharType="end"/>
      </w:r>
      <w:r w:rsidRPr="00C80985">
        <w:rPr>
          <w:rStyle w:val="CommentReference"/>
          <w:szCs w:val="24"/>
        </w:rPr>
        <w:t xml:space="preserve">: </w:t>
      </w:r>
      <w:r w:rsidR="0017319A" w:rsidRPr="00C80985">
        <w:rPr>
          <w:rStyle w:val="CommentReference"/>
          <w:szCs w:val="24"/>
        </w:rPr>
        <w:t>Evidence sources used in the model</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63"/>
        <w:gridCol w:w="4821"/>
        <w:gridCol w:w="1843"/>
      </w:tblGrid>
      <w:tr w:rsidR="00E13EE7" w:rsidRPr="00C80985" w14:paraId="1F0106C1" w14:textId="77777777" w:rsidTr="00E13EE7">
        <w:tc>
          <w:tcPr>
            <w:tcW w:w="1268" w:type="pct"/>
          </w:tcPr>
          <w:p w14:paraId="626F7E92" w14:textId="3CE5B737" w:rsidR="0017319A" w:rsidRPr="00C80985" w:rsidRDefault="0017319A" w:rsidP="0017319A">
            <w:pPr>
              <w:pStyle w:val="In-tableHeading"/>
              <w:rPr>
                <w:lang w:val="en-AU"/>
              </w:rPr>
            </w:pPr>
            <w:r w:rsidRPr="00C80985">
              <w:rPr>
                <w:lang w:val="en-AU"/>
              </w:rPr>
              <w:t>Variable</w:t>
            </w:r>
          </w:p>
        </w:tc>
        <w:tc>
          <w:tcPr>
            <w:tcW w:w="2700" w:type="pct"/>
          </w:tcPr>
          <w:p w14:paraId="6A5780BA" w14:textId="429D6367" w:rsidR="0017319A" w:rsidRPr="00C80985" w:rsidRDefault="0017319A" w:rsidP="0017319A">
            <w:pPr>
              <w:pStyle w:val="In-tableHeading"/>
              <w:jc w:val="center"/>
              <w:rPr>
                <w:lang w:val="en-AU"/>
              </w:rPr>
            </w:pPr>
            <w:r w:rsidRPr="00C80985">
              <w:rPr>
                <w:lang w:val="en-AU"/>
              </w:rPr>
              <w:t>Source</w:t>
            </w:r>
          </w:p>
        </w:tc>
        <w:tc>
          <w:tcPr>
            <w:tcW w:w="1032" w:type="pct"/>
          </w:tcPr>
          <w:p w14:paraId="39F249AB" w14:textId="0A722E34" w:rsidR="0017319A" w:rsidRPr="00C80985" w:rsidRDefault="0017319A" w:rsidP="0017319A">
            <w:pPr>
              <w:pStyle w:val="In-tableHeading"/>
              <w:jc w:val="center"/>
              <w:rPr>
                <w:lang w:val="en-AU"/>
              </w:rPr>
            </w:pPr>
            <w:r w:rsidRPr="00C80985">
              <w:rPr>
                <w:lang w:val="en-AU"/>
              </w:rPr>
              <w:t>Paediatric or adult</w:t>
            </w:r>
          </w:p>
        </w:tc>
      </w:tr>
      <w:tr w:rsidR="00E13EE7" w:rsidRPr="00C80985" w14:paraId="71D0EDE8" w14:textId="77777777" w:rsidTr="00E13EE7">
        <w:tc>
          <w:tcPr>
            <w:tcW w:w="1268" w:type="pct"/>
            <w:vAlign w:val="center"/>
          </w:tcPr>
          <w:p w14:paraId="056CE798" w14:textId="7E3AE706" w:rsidR="0017319A" w:rsidRPr="00C80985" w:rsidRDefault="0017319A" w:rsidP="00E840F9">
            <w:pPr>
              <w:pStyle w:val="TableText0"/>
              <w:rPr>
                <w:bCs w:val="0"/>
                <w:szCs w:val="20"/>
              </w:rPr>
            </w:pPr>
            <w:r w:rsidRPr="00C80985">
              <w:rPr>
                <w:bCs w:val="0"/>
                <w:szCs w:val="20"/>
              </w:rPr>
              <w:t>P</w:t>
            </w:r>
            <w:r w:rsidRPr="00C80985">
              <w:rPr>
                <w:szCs w:val="20"/>
              </w:rPr>
              <w:t>atient characteristics</w:t>
            </w:r>
            <w:r w:rsidRPr="00C80985">
              <w:rPr>
                <w:bCs w:val="0"/>
                <w:szCs w:val="20"/>
              </w:rPr>
              <w:t xml:space="preserve"> </w:t>
            </w:r>
          </w:p>
        </w:tc>
        <w:tc>
          <w:tcPr>
            <w:tcW w:w="2700" w:type="pct"/>
          </w:tcPr>
          <w:p w14:paraId="3DFD5EA7" w14:textId="6B4B41FA" w:rsidR="0017319A" w:rsidRPr="00C80985" w:rsidRDefault="0017319A" w:rsidP="00E840F9">
            <w:pPr>
              <w:pStyle w:val="TableText0"/>
              <w:rPr>
                <w:bCs w:val="0"/>
                <w:szCs w:val="20"/>
              </w:rPr>
            </w:pPr>
            <w:r w:rsidRPr="00C80985">
              <w:rPr>
                <w:bCs w:val="0"/>
                <w:szCs w:val="20"/>
              </w:rPr>
              <w:t>D</w:t>
            </w:r>
            <w:r w:rsidRPr="00C80985">
              <w:rPr>
                <w:szCs w:val="20"/>
              </w:rPr>
              <w:t>emographic data from the Study 1652 overall trial population (N=</w:t>
            </w:r>
            <w:r w:rsidR="007062E1" w:rsidRPr="00C80985">
              <w:rPr>
                <w:szCs w:val="20"/>
              </w:rPr>
              <w:t>367</w:t>
            </w:r>
            <w:r w:rsidRPr="00C80985">
              <w:rPr>
                <w:szCs w:val="20"/>
              </w:rPr>
              <w:t>)</w:t>
            </w:r>
          </w:p>
        </w:tc>
        <w:tc>
          <w:tcPr>
            <w:tcW w:w="1032" w:type="pct"/>
          </w:tcPr>
          <w:p w14:paraId="3C24FB7E" w14:textId="461D2060" w:rsidR="0017319A" w:rsidRPr="00C80985" w:rsidRDefault="007062E1" w:rsidP="00E840F9">
            <w:pPr>
              <w:pStyle w:val="TableText0"/>
            </w:pPr>
            <w:r w:rsidRPr="00C80985">
              <w:t>Paediatric</w:t>
            </w:r>
          </w:p>
        </w:tc>
      </w:tr>
      <w:tr w:rsidR="00E13EE7" w:rsidRPr="00C80985" w14:paraId="749DBBC3" w14:textId="77777777" w:rsidTr="00E13EE7">
        <w:tc>
          <w:tcPr>
            <w:tcW w:w="1268" w:type="pct"/>
            <w:vAlign w:val="center"/>
          </w:tcPr>
          <w:p w14:paraId="7743D503" w14:textId="4D48571E" w:rsidR="0017319A" w:rsidRPr="00C80985" w:rsidRDefault="007062E1" w:rsidP="00E840F9">
            <w:pPr>
              <w:pStyle w:val="TableText0"/>
              <w:rPr>
                <w:bCs w:val="0"/>
                <w:szCs w:val="20"/>
              </w:rPr>
            </w:pPr>
            <w:r w:rsidRPr="00C80985">
              <w:rPr>
                <w:bCs w:val="0"/>
                <w:szCs w:val="20"/>
              </w:rPr>
              <w:t>W</w:t>
            </w:r>
            <w:r w:rsidRPr="00C80985">
              <w:rPr>
                <w:szCs w:val="20"/>
              </w:rPr>
              <w:t>eek 16 response rate</w:t>
            </w:r>
          </w:p>
        </w:tc>
        <w:tc>
          <w:tcPr>
            <w:tcW w:w="2700" w:type="pct"/>
          </w:tcPr>
          <w:p w14:paraId="004FDE7D" w14:textId="68ADE6B0" w:rsidR="0017319A" w:rsidRPr="00C80985" w:rsidRDefault="007062E1" w:rsidP="00E840F9">
            <w:pPr>
              <w:pStyle w:val="TableText0"/>
              <w:rPr>
                <w:bCs w:val="0"/>
                <w:szCs w:val="20"/>
              </w:rPr>
            </w:pPr>
            <w:r w:rsidRPr="00C80985">
              <w:rPr>
                <w:bCs w:val="0"/>
                <w:szCs w:val="20"/>
              </w:rPr>
              <w:t>E</w:t>
            </w:r>
            <w:r w:rsidRPr="00C80985">
              <w:rPr>
                <w:szCs w:val="20"/>
              </w:rPr>
              <w:t>ASI 50 and CDLQI post-hoc subgroup with weight groups lumped together (N=173)</w:t>
            </w:r>
          </w:p>
        </w:tc>
        <w:tc>
          <w:tcPr>
            <w:tcW w:w="1032" w:type="pct"/>
          </w:tcPr>
          <w:p w14:paraId="13170168" w14:textId="48976ACC" w:rsidR="0017319A" w:rsidRPr="00C80985" w:rsidRDefault="007062E1" w:rsidP="00E840F9">
            <w:pPr>
              <w:pStyle w:val="TableText0"/>
            </w:pPr>
            <w:r w:rsidRPr="00C80985">
              <w:t>Paediatric</w:t>
            </w:r>
          </w:p>
        </w:tc>
      </w:tr>
      <w:tr w:rsidR="00E13EE7" w:rsidRPr="00C80985" w14:paraId="3E79B8D6" w14:textId="77777777" w:rsidTr="00E13EE7">
        <w:tc>
          <w:tcPr>
            <w:tcW w:w="1268" w:type="pct"/>
            <w:vAlign w:val="center"/>
          </w:tcPr>
          <w:p w14:paraId="62390CE6" w14:textId="6BF4BC98" w:rsidR="0017319A" w:rsidRPr="00C80985" w:rsidRDefault="007062E1" w:rsidP="00E840F9">
            <w:pPr>
              <w:pStyle w:val="TableText0"/>
              <w:rPr>
                <w:bCs w:val="0"/>
                <w:szCs w:val="20"/>
              </w:rPr>
            </w:pPr>
            <w:r w:rsidRPr="00C80985">
              <w:rPr>
                <w:bCs w:val="0"/>
                <w:szCs w:val="20"/>
              </w:rPr>
              <w:t>Week 42 response rate and ongoing maintenance</w:t>
            </w:r>
          </w:p>
        </w:tc>
        <w:tc>
          <w:tcPr>
            <w:tcW w:w="2700" w:type="pct"/>
          </w:tcPr>
          <w:p w14:paraId="41B0B689" w14:textId="359F4D24" w:rsidR="0017319A" w:rsidRPr="00C80985" w:rsidRDefault="007062E1" w:rsidP="00E840F9">
            <w:pPr>
              <w:pStyle w:val="TableText0"/>
              <w:rPr>
                <w:bCs w:val="0"/>
                <w:szCs w:val="20"/>
              </w:rPr>
            </w:pPr>
            <w:r w:rsidRPr="00C80985">
              <w:rPr>
                <w:bCs w:val="0"/>
                <w:szCs w:val="20"/>
              </w:rPr>
              <w:t>CHRONOS</w:t>
            </w:r>
          </w:p>
        </w:tc>
        <w:tc>
          <w:tcPr>
            <w:tcW w:w="1032" w:type="pct"/>
          </w:tcPr>
          <w:p w14:paraId="33577D96" w14:textId="1F64EB42" w:rsidR="0017319A" w:rsidRPr="00C80985" w:rsidRDefault="007062E1" w:rsidP="00E840F9">
            <w:pPr>
              <w:pStyle w:val="TableText0"/>
            </w:pPr>
            <w:r w:rsidRPr="00C80985">
              <w:t>Adult</w:t>
            </w:r>
          </w:p>
        </w:tc>
      </w:tr>
      <w:tr w:rsidR="00E13EE7" w:rsidRPr="00C80985" w14:paraId="5C5299F4" w14:textId="77777777" w:rsidTr="00E13EE7">
        <w:tc>
          <w:tcPr>
            <w:tcW w:w="1268" w:type="pct"/>
            <w:vAlign w:val="center"/>
          </w:tcPr>
          <w:p w14:paraId="5EB4BF4F" w14:textId="2F833E1B" w:rsidR="0017319A" w:rsidRPr="00C80985" w:rsidRDefault="00A73E0E" w:rsidP="00E840F9">
            <w:pPr>
              <w:pStyle w:val="TableText0"/>
              <w:rPr>
                <w:bCs w:val="0"/>
                <w:szCs w:val="20"/>
              </w:rPr>
            </w:pPr>
            <w:r w:rsidRPr="00C80985">
              <w:rPr>
                <w:bCs w:val="0"/>
                <w:szCs w:val="20"/>
              </w:rPr>
              <w:t xml:space="preserve">Discontinuation </w:t>
            </w:r>
          </w:p>
        </w:tc>
        <w:tc>
          <w:tcPr>
            <w:tcW w:w="2700" w:type="pct"/>
          </w:tcPr>
          <w:p w14:paraId="571C242C" w14:textId="44761E34" w:rsidR="0017319A" w:rsidRPr="00C80985" w:rsidRDefault="00A73E0E" w:rsidP="00E840F9">
            <w:pPr>
              <w:pStyle w:val="TableText0"/>
              <w:rPr>
                <w:bCs w:val="0"/>
                <w:szCs w:val="20"/>
              </w:rPr>
            </w:pPr>
            <w:r w:rsidRPr="00C80985">
              <w:rPr>
                <w:bCs w:val="0"/>
                <w:szCs w:val="20"/>
              </w:rPr>
              <w:t>SOLO trials (rate cannot be confirmed)</w:t>
            </w:r>
          </w:p>
        </w:tc>
        <w:tc>
          <w:tcPr>
            <w:tcW w:w="1032" w:type="pct"/>
            <w:vAlign w:val="center"/>
          </w:tcPr>
          <w:p w14:paraId="6DA48A18" w14:textId="5D674DA1" w:rsidR="0017319A" w:rsidRPr="00C80985" w:rsidRDefault="00A73E0E" w:rsidP="00E840F9">
            <w:pPr>
              <w:pStyle w:val="TableText0"/>
            </w:pPr>
            <w:r w:rsidRPr="00C80985">
              <w:t>Adult</w:t>
            </w:r>
          </w:p>
        </w:tc>
      </w:tr>
      <w:tr w:rsidR="00AA0344" w:rsidRPr="00C80985" w14:paraId="2C0F5642" w14:textId="77777777" w:rsidTr="00E13EE7">
        <w:tc>
          <w:tcPr>
            <w:tcW w:w="1268" w:type="pct"/>
            <w:vAlign w:val="center"/>
          </w:tcPr>
          <w:p w14:paraId="033A6684" w14:textId="40601091" w:rsidR="00AA0344" w:rsidRPr="00C80985" w:rsidRDefault="003A020F" w:rsidP="00E840F9">
            <w:pPr>
              <w:pStyle w:val="TableText0"/>
              <w:rPr>
                <w:bCs w:val="0"/>
                <w:szCs w:val="20"/>
              </w:rPr>
            </w:pPr>
            <w:r w:rsidRPr="00C80985">
              <w:rPr>
                <w:bCs w:val="0"/>
                <w:szCs w:val="20"/>
              </w:rPr>
              <w:t xml:space="preserve">Utility values for </w:t>
            </w:r>
            <w:r w:rsidRPr="00C80985">
              <w:t>baseline, responders; non-responders</w:t>
            </w:r>
          </w:p>
        </w:tc>
        <w:tc>
          <w:tcPr>
            <w:tcW w:w="2700" w:type="pct"/>
          </w:tcPr>
          <w:p w14:paraId="727B8B86" w14:textId="0CDA43D7" w:rsidR="00AA0344" w:rsidRPr="00C80985" w:rsidRDefault="003A020F" w:rsidP="00E840F9">
            <w:pPr>
              <w:pStyle w:val="TableText0"/>
              <w:rPr>
                <w:bCs w:val="0"/>
                <w:szCs w:val="20"/>
              </w:rPr>
            </w:pPr>
            <w:r w:rsidRPr="00C80985">
              <w:t xml:space="preserve">Adult data sourced from post-hoc analysis of SOLO1 and SOLO2 for </w:t>
            </w:r>
            <w:proofErr w:type="gramStart"/>
            <w:r w:rsidRPr="00C80985">
              <w:t xml:space="preserve">18 to 25 year </w:t>
            </w:r>
            <w:proofErr w:type="spellStart"/>
            <w:r w:rsidRPr="00C80985">
              <w:t>olds</w:t>
            </w:r>
            <w:proofErr w:type="spellEnd"/>
            <w:proofErr w:type="gramEnd"/>
            <w:r w:rsidRPr="00C80985">
              <w:t>; CHRONOS</w:t>
            </w:r>
          </w:p>
        </w:tc>
        <w:tc>
          <w:tcPr>
            <w:tcW w:w="1032" w:type="pct"/>
          </w:tcPr>
          <w:p w14:paraId="08A48F05" w14:textId="1FD61EF8" w:rsidR="00AA0344" w:rsidRPr="00C80985" w:rsidRDefault="003A020F" w:rsidP="00E840F9">
            <w:pPr>
              <w:pStyle w:val="TableText0"/>
            </w:pPr>
            <w:r w:rsidRPr="00C80985">
              <w:t>Adult</w:t>
            </w:r>
          </w:p>
        </w:tc>
      </w:tr>
      <w:tr w:rsidR="00E13EE7" w:rsidRPr="00C80985" w14:paraId="5B6E034A" w14:textId="77777777" w:rsidTr="00E13EE7">
        <w:tc>
          <w:tcPr>
            <w:tcW w:w="1268" w:type="pct"/>
            <w:vAlign w:val="center"/>
          </w:tcPr>
          <w:p w14:paraId="67E8FA62" w14:textId="693D78AE" w:rsidR="0017319A" w:rsidRPr="00C80985" w:rsidRDefault="00A73E0E" w:rsidP="00E840F9">
            <w:pPr>
              <w:pStyle w:val="TableText0"/>
              <w:rPr>
                <w:bCs w:val="0"/>
                <w:szCs w:val="20"/>
              </w:rPr>
            </w:pPr>
            <w:r w:rsidRPr="00C80985">
              <w:rPr>
                <w:bCs w:val="0"/>
                <w:szCs w:val="20"/>
              </w:rPr>
              <w:t>Background mortality</w:t>
            </w:r>
            <w:r w:rsidR="0017319A" w:rsidRPr="00C80985">
              <w:rPr>
                <w:bCs w:val="0"/>
                <w:szCs w:val="20"/>
              </w:rPr>
              <w:t xml:space="preserve"> </w:t>
            </w:r>
          </w:p>
        </w:tc>
        <w:tc>
          <w:tcPr>
            <w:tcW w:w="2700" w:type="pct"/>
          </w:tcPr>
          <w:p w14:paraId="6FDA6C26" w14:textId="6A3A0D04" w:rsidR="0017319A" w:rsidRPr="00C80985" w:rsidRDefault="00A73E0E" w:rsidP="00E840F9">
            <w:pPr>
              <w:pStyle w:val="TableText0"/>
              <w:rPr>
                <w:bCs w:val="0"/>
                <w:szCs w:val="20"/>
              </w:rPr>
            </w:pPr>
            <w:r w:rsidRPr="00C80985">
              <w:rPr>
                <w:bCs w:val="0"/>
                <w:szCs w:val="20"/>
              </w:rPr>
              <w:t xml:space="preserve">Australian lifetable data, </w:t>
            </w:r>
            <w:proofErr w:type="gramStart"/>
            <w:r w:rsidRPr="00C80985">
              <w:rPr>
                <w:bCs w:val="0"/>
                <w:szCs w:val="20"/>
              </w:rPr>
              <w:t>age</w:t>
            </w:r>
            <w:proofErr w:type="gramEnd"/>
            <w:r w:rsidRPr="00C80985">
              <w:rPr>
                <w:bCs w:val="0"/>
                <w:szCs w:val="20"/>
              </w:rPr>
              <w:t xml:space="preserve"> and gender-adjusted</w:t>
            </w:r>
          </w:p>
        </w:tc>
        <w:tc>
          <w:tcPr>
            <w:tcW w:w="1032" w:type="pct"/>
          </w:tcPr>
          <w:p w14:paraId="2973D2E2" w14:textId="6E548497" w:rsidR="0017319A" w:rsidRPr="00C80985" w:rsidRDefault="00A73E0E" w:rsidP="00E840F9">
            <w:pPr>
              <w:pStyle w:val="TableText0"/>
            </w:pPr>
            <w:r w:rsidRPr="00C80985">
              <w:t>Paediatric</w:t>
            </w:r>
          </w:p>
        </w:tc>
      </w:tr>
      <w:tr w:rsidR="00E13EE7" w:rsidRPr="00C80985" w14:paraId="4DDB0018" w14:textId="77777777" w:rsidTr="00E13EE7">
        <w:tc>
          <w:tcPr>
            <w:tcW w:w="1268" w:type="pct"/>
            <w:vAlign w:val="center"/>
          </w:tcPr>
          <w:p w14:paraId="268109E6" w14:textId="30BC53DE" w:rsidR="0017319A" w:rsidRPr="00C80985" w:rsidRDefault="00A73E0E" w:rsidP="00E840F9">
            <w:pPr>
              <w:pStyle w:val="TableText0"/>
              <w:rPr>
                <w:bCs w:val="0"/>
                <w:szCs w:val="20"/>
              </w:rPr>
            </w:pPr>
            <w:r w:rsidRPr="00C80985">
              <w:rPr>
                <w:bCs w:val="0"/>
                <w:szCs w:val="20"/>
              </w:rPr>
              <w:t>Conjunctivitis</w:t>
            </w:r>
          </w:p>
        </w:tc>
        <w:tc>
          <w:tcPr>
            <w:tcW w:w="2700" w:type="pct"/>
          </w:tcPr>
          <w:p w14:paraId="706C7A03" w14:textId="73B0FB0A" w:rsidR="0017319A" w:rsidRPr="00C80985" w:rsidRDefault="00AA0344" w:rsidP="00E840F9">
            <w:pPr>
              <w:pStyle w:val="TableText0"/>
              <w:rPr>
                <w:bCs w:val="0"/>
                <w:szCs w:val="20"/>
              </w:rPr>
            </w:pPr>
            <w:r w:rsidRPr="00C80985">
              <w:rPr>
                <w:bCs w:val="0"/>
                <w:szCs w:val="20"/>
              </w:rPr>
              <w:t xml:space="preserve">Number of events used to </w:t>
            </w:r>
            <w:r w:rsidR="003A020F" w:rsidRPr="00C80985">
              <w:rPr>
                <w:bCs w:val="0"/>
                <w:szCs w:val="20"/>
              </w:rPr>
              <w:t>calculate</w:t>
            </w:r>
            <w:r w:rsidRPr="00C80985">
              <w:rPr>
                <w:bCs w:val="0"/>
                <w:szCs w:val="20"/>
              </w:rPr>
              <w:t xml:space="preserve"> treatment cost – Study 1652</w:t>
            </w:r>
          </w:p>
          <w:p w14:paraId="3F657221" w14:textId="636B8995" w:rsidR="00AA0344" w:rsidRPr="00C80985" w:rsidRDefault="00AA0344" w:rsidP="00E840F9">
            <w:pPr>
              <w:pStyle w:val="TableText0"/>
              <w:rPr>
                <w:bCs w:val="0"/>
                <w:szCs w:val="20"/>
              </w:rPr>
            </w:pPr>
            <w:r w:rsidRPr="00C80985">
              <w:rPr>
                <w:bCs w:val="0"/>
                <w:szCs w:val="20"/>
              </w:rPr>
              <w:t>Treatment episodes – clinician survey</w:t>
            </w:r>
          </w:p>
        </w:tc>
        <w:tc>
          <w:tcPr>
            <w:tcW w:w="1032" w:type="pct"/>
            <w:vAlign w:val="center"/>
          </w:tcPr>
          <w:p w14:paraId="56BA0D15" w14:textId="1553F253" w:rsidR="003A020F" w:rsidRPr="00C80985" w:rsidRDefault="00AA0344" w:rsidP="00E840F9">
            <w:pPr>
              <w:pStyle w:val="TableText0"/>
            </w:pPr>
            <w:r w:rsidRPr="00C80985">
              <w:t xml:space="preserve">Paediatric </w:t>
            </w:r>
          </w:p>
          <w:p w14:paraId="31D830F5" w14:textId="5705A227" w:rsidR="0017319A" w:rsidRPr="00C80985" w:rsidRDefault="003A020F" w:rsidP="00E840F9">
            <w:pPr>
              <w:pStyle w:val="TableText0"/>
            </w:pPr>
            <w:r w:rsidRPr="00C80985">
              <w:t>A</w:t>
            </w:r>
            <w:r w:rsidR="00AA0344" w:rsidRPr="00C80985">
              <w:t>dult</w:t>
            </w:r>
          </w:p>
        </w:tc>
      </w:tr>
      <w:tr w:rsidR="00E13EE7" w:rsidRPr="00C80985" w14:paraId="2CF39271" w14:textId="77777777" w:rsidTr="00E13EE7">
        <w:tc>
          <w:tcPr>
            <w:tcW w:w="1268" w:type="pct"/>
            <w:vAlign w:val="center"/>
          </w:tcPr>
          <w:p w14:paraId="659F716F" w14:textId="445E0398" w:rsidR="0017319A" w:rsidRPr="00C80985" w:rsidRDefault="00AA0344" w:rsidP="00E840F9">
            <w:pPr>
              <w:pStyle w:val="TableText0"/>
              <w:rPr>
                <w:bCs w:val="0"/>
                <w:szCs w:val="20"/>
              </w:rPr>
            </w:pPr>
            <w:r w:rsidRPr="00C80985">
              <w:rPr>
                <w:bCs w:val="0"/>
                <w:szCs w:val="20"/>
              </w:rPr>
              <w:t>Other resource use</w:t>
            </w:r>
            <w:r w:rsidR="0017319A" w:rsidRPr="00C80985">
              <w:rPr>
                <w:bCs w:val="0"/>
                <w:szCs w:val="20"/>
              </w:rPr>
              <w:t xml:space="preserve"> </w:t>
            </w:r>
          </w:p>
        </w:tc>
        <w:tc>
          <w:tcPr>
            <w:tcW w:w="2700" w:type="pct"/>
          </w:tcPr>
          <w:p w14:paraId="784E1BCB" w14:textId="7254C95A" w:rsidR="0017319A" w:rsidRPr="00C80985" w:rsidRDefault="00AA0344" w:rsidP="0017319A">
            <w:pPr>
              <w:pStyle w:val="TableText0"/>
              <w:keepLines/>
            </w:pPr>
            <w:r w:rsidRPr="00C80985">
              <w:t>Clinician survey</w:t>
            </w:r>
          </w:p>
        </w:tc>
        <w:tc>
          <w:tcPr>
            <w:tcW w:w="1032" w:type="pct"/>
            <w:vAlign w:val="center"/>
          </w:tcPr>
          <w:p w14:paraId="678D25E4" w14:textId="6761F824" w:rsidR="0017319A" w:rsidRPr="00101BC0" w:rsidRDefault="00071DE8" w:rsidP="00E840F9">
            <w:pPr>
              <w:pStyle w:val="TableText0"/>
              <w:keepLines/>
            </w:pPr>
            <w:r w:rsidRPr="00101BC0">
              <w:t>Paediatric</w:t>
            </w:r>
          </w:p>
        </w:tc>
      </w:tr>
    </w:tbl>
    <w:p w14:paraId="3DA1AFCB" w14:textId="1E6977A8" w:rsidR="005E7012" w:rsidRPr="00C80985" w:rsidRDefault="003A020F" w:rsidP="003A020F">
      <w:pPr>
        <w:pStyle w:val="3-BodyText"/>
        <w:numPr>
          <w:ilvl w:val="0"/>
          <w:numId w:val="0"/>
        </w:numPr>
        <w:spacing w:after="0"/>
        <w:rPr>
          <w:rFonts w:ascii="Arial Narrow" w:hAnsi="Arial Narrow"/>
          <w:sz w:val="18"/>
          <w:szCs w:val="18"/>
        </w:rPr>
      </w:pPr>
      <w:r w:rsidRPr="00C80985">
        <w:rPr>
          <w:rFonts w:ascii="Arial Narrow" w:hAnsi="Arial Narrow"/>
          <w:sz w:val="18"/>
          <w:szCs w:val="18"/>
        </w:rPr>
        <w:t>Source: Section 3.3 – Section 3.6, p181-194 of the submission.</w:t>
      </w:r>
    </w:p>
    <w:p w14:paraId="748F4996" w14:textId="2A8F86B2" w:rsidR="005E7012" w:rsidRPr="00C80985" w:rsidRDefault="003A020F" w:rsidP="005E7012">
      <w:pPr>
        <w:pStyle w:val="3-BodyText"/>
        <w:numPr>
          <w:ilvl w:val="0"/>
          <w:numId w:val="0"/>
        </w:numPr>
        <w:rPr>
          <w:rFonts w:ascii="Arial Narrow" w:hAnsi="Arial Narrow"/>
          <w:sz w:val="18"/>
          <w:szCs w:val="18"/>
        </w:rPr>
      </w:pPr>
      <w:r w:rsidRPr="00C80985">
        <w:rPr>
          <w:rFonts w:ascii="Arial Narrow" w:hAnsi="Arial Narrow"/>
          <w:sz w:val="18"/>
          <w:szCs w:val="18"/>
        </w:rPr>
        <w:t>CDLQI = Children’s Dermatology Life Quality Index; EASI = Eczema Area and Severity Index</w:t>
      </w:r>
    </w:p>
    <w:p w14:paraId="132A964B" w14:textId="27F638F4" w:rsidR="0058692F" w:rsidRPr="00CE6834" w:rsidRDefault="0058692F" w:rsidP="002E1071">
      <w:pPr>
        <w:pStyle w:val="3-BodyText"/>
        <w:rPr>
          <w:i/>
          <w:iCs/>
        </w:rPr>
      </w:pPr>
      <w:r w:rsidRPr="00C80985">
        <w:t xml:space="preserve">The submission </w:t>
      </w:r>
      <w:r w:rsidR="00101BC0">
        <w:t>stated</w:t>
      </w:r>
      <w:r w:rsidR="00101BC0" w:rsidRPr="00C80985">
        <w:t xml:space="preserve"> </w:t>
      </w:r>
      <w:r w:rsidRPr="00C80985">
        <w:t xml:space="preserve">that as the Week 16 responses were similar between Study 1652 and CHRONOS, there </w:t>
      </w:r>
      <w:r w:rsidR="00C6771E" w:rsidRPr="00C80985">
        <w:t>wa</w:t>
      </w:r>
      <w:r w:rsidRPr="00C80985">
        <w:t>s no clinical rationale to suggest maintenance of response will differ between adults and children.</w:t>
      </w:r>
      <w:r w:rsidR="00727E48" w:rsidRPr="00C80985">
        <w:rPr>
          <w:iCs/>
        </w:rPr>
        <w:t xml:space="preserve"> </w:t>
      </w:r>
      <w:r w:rsidRPr="00C80985">
        <w:rPr>
          <w:iCs/>
        </w:rPr>
        <w:t xml:space="preserve">There </w:t>
      </w:r>
      <w:r w:rsidR="00301999" w:rsidRPr="00C80985">
        <w:rPr>
          <w:iCs/>
        </w:rPr>
        <w:t>wa</w:t>
      </w:r>
      <w:r w:rsidRPr="00C80985">
        <w:rPr>
          <w:iCs/>
        </w:rPr>
        <w:t xml:space="preserve">s no evidence </w:t>
      </w:r>
      <w:r w:rsidR="00220B0A">
        <w:rPr>
          <w:iCs/>
        </w:rPr>
        <w:t xml:space="preserve">presented </w:t>
      </w:r>
      <w:r w:rsidRPr="00C80985">
        <w:rPr>
          <w:iCs/>
        </w:rPr>
        <w:t xml:space="preserve">to demonstrate that maintenance of response will not differ </w:t>
      </w:r>
      <w:r w:rsidRPr="00220B0A">
        <w:t>between adults and children</w:t>
      </w:r>
      <w:r w:rsidRPr="00CE6834">
        <w:rPr>
          <w:i/>
          <w:iCs/>
        </w:rPr>
        <w:t>.</w:t>
      </w:r>
      <w:r w:rsidR="00220B0A" w:rsidRPr="00CE6834">
        <w:rPr>
          <w:i/>
          <w:iCs/>
        </w:rPr>
        <w:t xml:space="preserve"> </w:t>
      </w:r>
      <w:r w:rsidR="00220B0A" w:rsidRPr="00BF43F9">
        <w:t>The PSCR noted that if maintenance of response was lowered or raised by 10% in sensitivity analysis, the impact on the ICER was minor (ICER only changed by approximately $1</w:t>
      </w:r>
      <w:r w:rsidR="00FA11DC" w:rsidRPr="00BF43F9">
        <w:t>,</w:t>
      </w:r>
      <w:r w:rsidR="00220B0A" w:rsidRPr="00BF43F9">
        <w:t>000).</w:t>
      </w:r>
    </w:p>
    <w:p w14:paraId="0CD99FE2" w14:textId="6E68C05F" w:rsidR="00220B0A" w:rsidRPr="00BF43F9" w:rsidRDefault="00220B0A" w:rsidP="00220B0A">
      <w:pPr>
        <w:pStyle w:val="3-BodyText"/>
      </w:pPr>
      <w:r w:rsidRPr="00BF43F9">
        <w:t xml:space="preserve">The PSCR acknowledged (p3) that baseline utility values may differ between adult and paediatric patients and argued that, as quality of life impacts on the ICER are driven by the change in utility following initiation of treatment, it is reasonable to assume that any change in utility would be similar for patients responding to therapy regardless of age or baseline utility value. No evidence was presented to support the assumption that the change in utility will be the same for adults and paediatric patients. </w:t>
      </w:r>
    </w:p>
    <w:p w14:paraId="7D52AC1B" w14:textId="41243560" w:rsidR="00BA395F" w:rsidRPr="00C80985" w:rsidRDefault="0058692F" w:rsidP="002E1071">
      <w:pPr>
        <w:pStyle w:val="3-BodyText"/>
      </w:pPr>
      <w:r w:rsidRPr="00C80985">
        <w:rPr>
          <w:iCs/>
        </w:rPr>
        <w:t>The submission pooled together results for the two weight groups from Study 1652.</w:t>
      </w:r>
      <w:r w:rsidR="00727E48" w:rsidRPr="00C80985">
        <w:rPr>
          <w:iCs/>
        </w:rPr>
        <w:t xml:space="preserve"> </w:t>
      </w:r>
      <w:r w:rsidRPr="00C80985">
        <w:rPr>
          <w:iCs/>
        </w:rPr>
        <w:t xml:space="preserve">There </w:t>
      </w:r>
      <w:r w:rsidR="00301999" w:rsidRPr="00C80985">
        <w:rPr>
          <w:iCs/>
        </w:rPr>
        <w:t>wa</w:t>
      </w:r>
      <w:r w:rsidRPr="00C80985">
        <w:rPr>
          <w:iCs/>
        </w:rPr>
        <w:t>s no evidence used in the model for the ≥60 kg weight group</w:t>
      </w:r>
      <w:r w:rsidR="00272591">
        <w:rPr>
          <w:iCs/>
        </w:rPr>
        <w:t>.</w:t>
      </w:r>
      <w:r w:rsidR="00727E48" w:rsidRPr="00C80985">
        <w:rPr>
          <w:iCs/>
        </w:rPr>
        <w:t xml:space="preserve"> </w:t>
      </w:r>
      <w:r w:rsidRPr="00C80985">
        <w:rPr>
          <w:iCs/>
        </w:rPr>
        <w:t xml:space="preserve">There </w:t>
      </w:r>
      <w:r w:rsidR="00272591">
        <w:rPr>
          <w:iCs/>
        </w:rPr>
        <w:t>were</w:t>
      </w:r>
      <w:r w:rsidRPr="00C80985">
        <w:rPr>
          <w:iCs/>
        </w:rPr>
        <w:t xml:space="preserve"> no between-trial-arm comparisons provided for Study 1652, and it may not be reasonable to assume the results are statistically the same across weight groups.</w:t>
      </w:r>
      <w:r w:rsidR="00727E48" w:rsidRPr="00C80985">
        <w:rPr>
          <w:iCs/>
        </w:rPr>
        <w:t xml:space="preserve"> </w:t>
      </w:r>
      <w:r w:rsidR="00BC2DF7" w:rsidRPr="00C80985">
        <w:rPr>
          <w:iCs/>
        </w:rPr>
        <w:t>T</w:t>
      </w:r>
      <w:r w:rsidRPr="00C80985">
        <w:rPr>
          <w:iCs/>
        </w:rPr>
        <w:t xml:space="preserve">he results for the proportion with EASI 50 and </w:t>
      </w:r>
      <w:r w:rsidR="00E24819" w:rsidRPr="00C80985">
        <w:rPr>
          <w:iCs/>
        </w:rPr>
        <w:t>CDLQI</w:t>
      </w:r>
      <w:r w:rsidRPr="00C80985">
        <w:rPr>
          <w:iCs/>
        </w:rPr>
        <w:t>4 in the &lt;30 kg and 30–60 kg weight groups in Study 1652 were numerically different for the dupilumab group.</w:t>
      </w:r>
      <w:r w:rsidR="00727E48" w:rsidRPr="00C80985">
        <w:rPr>
          <w:iCs/>
        </w:rPr>
        <w:t xml:space="preserve"> </w:t>
      </w:r>
      <w:r w:rsidRPr="00C80985">
        <w:rPr>
          <w:iCs/>
        </w:rPr>
        <w:t>Those results are provided in the table below.</w:t>
      </w:r>
    </w:p>
    <w:p w14:paraId="6D532FBA" w14:textId="41A3E7EB" w:rsidR="00A8265D" w:rsidRPr="00C80985" w:rsidRDefault="0058692F" w:rsidP="00FA11DC">
      <w:pPr>
        <w:pStyle w:val="3-BodyText"/>
        <w:keepNext/>
        <w:keepLines/>
        <w:numPr>
          <w:ilvl w:val="0"/>
          <w:numId w:val="0"/>
        </w:numPr>
        <w:spacing w:after="0"/>
      </w:pPr>
      <w:r w:rsidRPr="00C80985">
        <w:rPr>
          <w:rStyle w:val="CommentReference"/>
          <w:szCs w:val="24"/>
        </w:rPr>
        <w:lastRenderedPageBreak/>
        <w:t xml:space="preserve">Table </w:t>
      </w:r>
      <w:r w:rsidRPr="00C80985">
        <w:rPr>
          <w:rStyle w:val="CommentReference"/>
          <w:bCs/>
          <w:szCs w:val="24"/>
        </w:rPr>
        <w:fldChar w:fldCharType="begin"/>
      </w:r>
      <w:r w:rsidRPr="00C80985">
        <w:rPr>
          <w:rStyle w:val="CommentReference"/>
          <w:bCs/>
          <w:szCs w:val="24"/>
        </w:rPr>
        <w:instrText xml:space="preserve"> SEQ Table \* ARABIC </w:instrText>
      </w:r>
      <w:r w:rsidRPr="00C80985">
        <w:rPr>
          <w:rStyle w:val="CommentReference"/>
          <w:bCs/>
          <w:szCs w:val="24"/>
        </w:rPr>
        <w:fldChar w:fldCharType="separate"/>
      </w:r>
      <w:r w:rsidR="00AA723C">
        <w:rPr>
          <w:rStyle w:val="CommentReference"/>
          <w:bCs/>
          <w:noProof/>
          <w:szCs w:val="24"/>
        </w:rPr>
        <w:t>12</w:t>
      </w:r>
      <w:r w:rsidRPr="00C80985">
        <w:rPr>
          <w:rStyle w:val="CommentReference"/>
          <w:bCs/>
          <w:szCs w:val="24"/>
        </w:rPr>
        <w:fldChar w:fldCharType="end"/>
      </w:r>
      <w:r w:rsidRPr="00C80985">
        <w:rPr>
          <w:rStyle w:val="CommentReference"/>
          <w:szCs w:val="24"/>
        </w:rPr>
        <w:t xml:space="preserve">: </w:t>
      </w:r>
      <w:r w:rsidR="000C0542" w:rsidRPr="00C80985">
        <w:rPr>
          <w:rStyle w:val="CommentReference"/>
          <w:szCs w:val="24"/>
        </w:rPr>
        <w:t>Probability of Week 16 response for each weight group in Study 1652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792"/>
        <w:gridCol w:w="2115"/>
        <w:gridCol w:w="2110"/>
      </w:tblGrid>
      <w:tr w:rsidR="000C0542" w:rsidRPr="00C80985" w14:paraId="223402B0" w14:textId="77777777" w:rsidTr="00D53859">
        <w:trPr>
          <w:tblHeader/>
        </w:trPr>
        <w:tc>
          <w:tcPr>
            <w:tcW w:w="2657" w:type="pct"/>
            <w:vAlign w:val="center"/>
          </w:tcPr>
          <w:p w14:paraId="77F90AD6" w14:textId="77777777" w:rsidR="000C0542" w:rsidRPr="00C80985" w:rsidRDefault="000C0542" w:rsidP="00FA11DC">
            <w:pPr>
              <w:pStyle w:val="In-tableHeading"/>
              <w:keepLines/>
              <w:widowControl w:val="0"/>
              <w:tabs>
                <w:tab w:val="left" w:pos="244"/>
              </w:tabs>
              <w:rPr>
                <w:lang w:val="en-AU"/>
              </w:rPr>
            </w:pPr>
            <w:r w:rsidRPr="00C80985">
              <w:rPr>
                <w:lang w:val="en-AU"/>
              </w:rPr>
              <w:t>Response</w:t>
            </w:r>
          </w:p>
        </w:tc>
        <w:tc>
          <w:tcPr>
            <w:tcW w:w="1173" w:type="pct"/>
            <w:vAlign w:val="center"/>
          </w:tcPr>
          <w:p w14:paraId="2821AC74" w14:textId="77777777" w:rsidR="000C0542" w:rsidRPr="00C80985" w:rsidRDefault="000C0542" w:rsidP="00FA11DC">
            <w:pPr>
              <w:pStyle w:val="In-tableHeading"/>
              <w:keepLines/>
              <w:widowControl w:val="0"/>
              <w:jc w:val="center"/>
              <w:rPr>
                <w:lang w:val="en-AU"/>
              </w:rPr>
            </w:pPr>
            <w:r w:rsidRPr="00C80985">
              <w:rPr>
                <w:lang w:val="en-AU"/>
              </w:rPr>
              <w:t>Dupilumab &lt;30 kg</w:t>
            </w:r>
          </w:p>
        </w:tc>
        <w:tc>
          <w:tcPr>
            <w:tcW w:w="1170" w:type="pct"/>
            <w:vAlign w:val="center"/>
          </w:tcPr>
          <w:p w14:paraId="2EE1A998" w14:textId="77777777" w:rsidR="000C0542" w:rsidRPr="00C80985" w:rsidRDefault="000C0542" w:rsidP="00FA11DC">
            <w:pPr>
              <w:pStyle w:val="In-tableHeading"/>
              <w:keepLines/>
              <w:widowControl w:val="0"/>
              <w:jc w:val="center"/>
              <w:rPr>
                <w:lang w:val="en-AU"/>
              </w:rPr>
            </w:pPr>
            <w:r w:rsidRPr="00C80985">
              <w:rPr>
                <w:lang w:val="en-AU"/>
              </w:rPr>
              <w:t>Dupilumab 30 – 60 kg</w:t>
            </w:r>
          </w:p>
        </w:tc>
      </w:tr>
      <w:tr w:rsidR="000C0542" w:rsidRPr="00C80985" w14:paraId="02576E58" w14:textId="77777777" w:rsidTr="00D53859">
        <w:tc>
          <w:tcPr>
            <w:tcW w:w="2657" w:type="pct"/>
            <w:vAlign w:val="center"/>
          </w:tcPr>
          <w:p w14:paraId="4057E4F1" w14:textId="77777777" w:rsidR="000C0542" w:rsidRPr="00C80985" w:rsidRDefault="000C0542" w:rsidP="00FA11DC">
            <w:pPr>
              <w:pStyle w:val="TableText0"/>
              <w:keepLines/>
              <w:widowControl w:val="0"/>
              <w:tabs>
                <w:tab w:val="left" w:pos="244"/>
              </w:tabs>
              <w:rPr>
                <w:bCs w:val="0"/>
              </w:rPr>
            </w:pPr>
            <w:r w:rsidRPr="00C80985">
              <w:rPr>
                <w:bCs w:val="0"/>
              </w:rPr>
              <w:t>EASI 50 and CDLQI4 response at Week 16</w:t>
            </w:r>
          </w:p>
        </w:tc>
        <w:tc>
          <w:tcPr>
            <w:tcW w:w="1173" w:type="pct"/>
            <w:vAlign w:val="center"/>
          </w:tcPr>
          <w:p w14:paraId="06F6C493" w14:textId="77777777" w:rsidR="000C0542" w:rsidRPr="00C80985" w:rsidRDefault="000C0542" w:rsidP="00FA11DC">
            <w:pPr>
              <w:pStyle w:val="TableText0"/>
              <w:keepLines/>
              <w:widowControl w:val="0"/>
              <w:jc w:val="center"/>
              <w:rPr>
                <w:bCs w:val="0"/>
              </w:rPr>
            </w:pPr>
            <w:r w:rsidRPr="00C80985">
              <w:rPr>
                <w:bCs w:val="0"/>
              </w:rPr>
              <w:t>5</w:t>
            </w:r>
            <w:r w:rsidRPr="00C80985">
              <w:t>0/61 (82.0%)</w:t>
            </w:r>
          </w:p>
        </w:tc>
        <w:tc>
          <w:tcPr>
            <w:tcW w:w="1170" w:type="pct"/>
            <w:vAlign w:val="center"/>
          </w:tcPr>
          <w:p w14:paraId="43DFF8C5" w14:textId="77777777" w:rsidR="000C0542" w:rsidRPr="00C80985" w:rsidRDefault="000C0542" w:rsidP="00FA11DC">
            <w:pPr>
              <w:pStyle w:val="TableText0"/>
              <w:keepLines/>
              <w:widowControl w:val="0"/>
              <w:jc w:val="center"/>
              <w:rPr>
                <w:bCs w:val="0"/>
              </w:rPr>
            </w:pPr>
            <w:r w:rsidRPr="00C80985">
              <w:rPr>
                <w:bCs w:val="0"/>
              </w:rPr>
              <w:t>4</w:t>
            </w:r>
            <w:r w:rsidRPr="00C80985">
              <w:t>0/56 (71.4%)</w:t>
            </w:r>
          </w:p>
        </w:tc>
      </w:tr>
      <w:tr w:rsidR="000C0542" w:rsidRPr="00C80985" w14:paraId="72D1FF2C" w14:textId="77777777" w:rsidTr="00D53859">
        <w:tc>
          <w:tcPr>
            <w:tcW w:w="2657" w:type="pct"/>
            <w:vAlign w:val="center"/>
          </w:tcPr>
          <w:p w14:paraId="6F30D219" w14:textId="77777777" w:rsidR="000C0542" w:rsidRPr="00C80985" w:rsidRDefault="000C0542" w:rsidP="00FA11DC">
            <w:pPr>
              <w:pStyle w:val="TableText0"/>
              <w:keepLines/>
              <w:widowControl w:val="0"/>
              <w:tabs>
                <w:tab w:val="left" w:pos="244"/>
              </w:tabs>
              <w:rPr>
                <w:bCs w:val="0"/>
              </w:rPr>
            </w:pPr>
          </w:p>
        </w:tc>
        <w:tc>
          <w:tcPr>
            <w:tcW w:w="2343" w:type="pct"/>
            <w:gridSpan w:val="2"/>
            <w:vAlign w:val="center"/>
          </w:tcPr>
          <w:p w14:paraId="3EF908C3" w14:textId="77777777" w:rsidR="000C0542" w:rsidRPr="00C80985" w:rsidRDefault="000C0542" w:rsidP="00FA11DC">
            <w:pPr>
              <w:pStyle w:val="TableText0"/>
              <w:keepLines/>
              <w:widowControl w:val="0"/>
              <w:jc w:val="center"/>
              <w:rPr>
                <w:b/>
              </w:rPr>
            </w:pPr>
            <w:r w:rsidRPr="00C80985">
              <w:rPr>
                <w:b/>
              </w:rPr>
              <w:t>Weight groups combined</w:t>
            </w:r>
          </w:p>
        </w:tc>
      </w:tr>
      <w:tr w:rsidR="000C0542" w:rsidRPr="00C80985" w14:paraId="2B719CFB" w14:textId="77777777" w:rsidTr="00D53859">
        <w:tc>
          <w:tcPr>
            <w:tcW w:w="2657" w:type="pct"/>
            <w:vAlign w:val="center"/>
          </w:tcPr>
          <w:p w14:paraId="7D372F1F" w14:textId="77777777" w:rsidR="000C0542" w:rsidRPr="00C80985" w:rsidRDefault="000C0542" w:rsidP="00FA11DC">
            <w:pPr>
              <w:pStyle w:val="TableText0"/>
              <w:keepLines/>
              <w:widowControl w:val="0"/>
              <w:tabs>
                <w:tab w:val="left" w:pos="244"/>
              </w:tabs>
              <w:rPr>
                <w:bCs w:val="0"/>
              </w:rPr>
            </w:pPr>
            <w:r w:rsidRPr="00C80985">
              <w:rPr>
                <w:bCs w:val="0"/>
              </w:rPr>
              <w:t>EASI 50 and CDLQI4 response at Week 16</w:t>
            </w:r>
          </w:p>
        </w:tc>
        <w:tc>
          <w:tcPr>
            <w:tcW w:w="2343" w:type="pct"/>
            <w:gridSpan w:val="2"/>
            <w:vAlign w:val="center"/>
          </w:tcPr>
          <w:p w14:paraId="4917A715" w14:textId="77777777" w:rsidR="000C0542" w:rsidRPr="00C80985" w:rsidRDefault="000C0542" w:rsidP="00FA11DC">
            <w:pPr>
              <w:pStyle w:val="TableText0"/>
              <w:keepLines/>
              <w:widowControl w:val="0"/>
              <w:jc w:val="center"/>
              <w:rPr>
                <w:bCs w:val="0"/>
              </w:rPr>
            </w:pPr>
            <w:r w:rsidRPr="00C80985">
              <w:rPr>
                <w:bCs w:val="0"/>
              </w:rPr>
              <w:t>90/117 (76.9%)</w:t>
            </w:r>
          </w:p>
        </w:tc>
      </w:tr>
    </w:tbl>
    <w:p w14:paraId="3B06E9B9" w14:textId="2684D9BA" w:rsidR="0058692F" w:rsidRPr="00C80985" w:rsidRDefault="000C0542" w:rsidP="00FA11DC">
      <w:pPr>
        <w:pStyle w:val="TableFigureFooter"/>
        <w:keepNext/>
        <w:keepLines/>
        <w:spacing w:after="0"/>
      </w:pPr>
      <w:r w:rsidRPr="00C80985">
        <w:t>Source: Table 1.5, p11 of AD162_Australia_request26APR2021_30APR21in Attachment 5 of the submission</w:t>
      </w:r>
      <w:r w:rsidR="0058692F" w:rsidRPr="00C80985">
        <w:t>.</w:t>
      </w:r>
    </w:p>
    <w:p w14:paraId="0FBF10F8" w14:textId="3BC4BC21" w:rsidR="0058692F" w:rsidRPr="00C80985" w:rsidRDefault="00CE70CC" w:rsidP="00FA11DC">
      <w:pPr>
        <w:pStyle w:val="3-BodyText"/>
        <w:keepNext/>
        <w:keepLines/>
        <w:numPr>
          <w:ilvl w:val="0"/>
          <w:numId w:val="0"/>
        </w:numPr>
        <w:rPr>
          <w:rFonts w:ascii="Arial Narrow" w:hAnsi="Arial Narrow"/>
          <w:sz w:val="18"/>
          <w:szCs w:val="18"/>
        </w:rPr>
      </w:pPr>
      <w:r w:rsidRPr="00C80985">
        <w:rPr>
          <w:rFonts w:ascii="Arial Narrow" w:hAnsi="Arial Narrow"/>
          <w:sz w:val="18"/>
          <w:szCs w:val="18"/>
        </w:rPr>
        <w:t>C</w:t>
      </w:r>
      <w:r w:rsidR="0058692F" w:rsidRPr="00C80985">
        <w:rPr>
          <w:rFonts w:ascii="Arial Narrow" w:hAnsi="Arial Narrow"/>
          <w:sz w:val="18"/>
          <w:szCs w:val="18"/>
        </w:rPr>
        <w:t>DLQI = Children’s Dermatology Life Quality Index; EASI = Eczema Area and Severity Index</w:t>
      </w:r>
    </w:p>
    <w:p w14:paraId="5A51A556" w14:textId="4420EC0B" w:rsidR="00516B67" w:rsidRPr="00C80985" w:rsidRDefault="00B63D62" w:rsidP="00BB00B3">
      <w:pPr>
        <w:pStyle w:val="3-BodyText"/>
      </w:pPr>
      <w:bookmarkStart w:id="33" w:name="_Ref96114857"/>
      <w:r w:rsidRPr="00C80985">
        <w:t xml:space="preserve">The response rates used across the model duration are provided in the table below.  For Years 2 to 5 the submission applied values from the adult CHRONOS trial, which were based on a regression approach using time to first rescue treatment or withdrawal in the CHRONOS trial. The data were applied as an annual proportion of patients that had not required rescue or withdrawn from the trial, which </w:t>
      </w:r>
      <w:r w:rsidR="00C54EDE" w:rsidRPr="00C80985">
        <w:t>the submission</w:t>
      </w:r>
      <w:r w:rsidRPr="00C80985">
        <w:t xml:space="preserve"> considered to be an appropriate proxy for the maintenance of effect</w:t>
      </w:r>
      <w:r w:rsidR="008D77E0" w:rsidRPr="00C80985">
        <w:t>.</w:t>
      </w:r>
      <w:r w:rsidR="00CE6834">
        <w:t xml:space="preserve"> </w:t>
      </w:r>
      <w:r w:rsidR="00CE6834" w:rsidRPr="00BF43F9">
        <w:t>Maintenance of response applied in the paediatric model was based on the same probability of response as was applied in the adult and adolescent model</w:t>
      </w:r>
      <w:r w:rsidR="00FA11DC" w:rsidRPr="00BF43F9">
        <w:t xml:space="preserve"> in years </w:t>
      </w:r>
      <w:r w:rsidR="000B1BCA" w:rsidRPr="00BF43F9">
        <w:t>two</w:t>
      </w:r>
      <w:r w:rsidR="00FA11DC" w:rsidRPr="00BF43F9">
        <w:t xml:space="preserve"> to </w:t>
      </w:r>
      <w:r w:rsidR="000B1BCA" w:rsidRPr="00BF43F9">
        <w:t>five</w:t>
      </w:r>
      <w:r w:rsidR="00CE6834" w:rsidRPr="00BF43F9">
        <w:t>.</w:t>
      </w:r>
      <w:bookmarkEnd w:id="33"/>
      <w:r w:rsidR="00FA11DC" w:rsidRPr="00B15DB1">
        <w:rPr>
          <w:i/>
          <w:iCs/>
        </w:rPr>
        <w:t xml:space="preserve"> </w:t>
      </w:r>
    </w:p>
    <w:p w14:paraId="5BEBB3F3" w14:textId="47028E48" w:rsidR="008D77E0" w:rsidRPr="00C80985" w:rsidRDefault="008D77E0" w:rsidP="008D77E0">
      <w:pPr>
        <w:pStyle w:val="3-BodyText"/>
        <w:numPr>
          <w:ilvl w:val="0"/>
          <w:numId w:val="0"/>
        </w:numPr>
        <w:spacing w:after="0"/>
      </w:pPr>
      <w:r w:rsidRPr="00C80985">
        <w:rPr>
          <w:rStyle w:val="CommentReference"/>
          <w:szCs w:val="24"/>
        </w:rPr>
        <w:t xml:space="preserve">Table </w:t>
      </w:r>
      <w:r w:rsidRPr="00C80985">
        <w:rPr>
          <w:rStyle w:val="CommentReference"/>
          <w:bCs/>
          <w:szCs w:val="24"/>
        </w:rPr>
        <w:fldChar w:fldCharType="begin"/>
      </w:r>
      <w:r w:rsidRPr="00C80985">
        <w:rPr>
          <w:rStyle w:val="CommentReference"/>
          <w:bCs/>
          <w:szCs w:val="24"/>
        </w:rPr>
        <w:instrText xml:space="preserve"> SEQ Table \* ARABIC </w:instrText>
      </w:r>
      <w:r w:rsidRPr="00C80985">
        <w:rPr>
          <w:rStyle w:val="CommentReference"/>
          <w:bCs/>
          <w:szCs w:val="24"/>
        </w:rPr>
        <w:fldChar w:fldCharType="separate"/>
      </w:r>
      <w:r w:rsidR="00AA723C">
        <w:rPr>
          <w:rStyle w:val="CommentReference"/>
          <w:bCs/>
          <w:noProof/>
          <w:szCs w:val="24"/>
        </w:rPr>
        <w:t>13</w:t>
      </w:r>
      <w:r w:rsidRPr="00C80985">
        <w:rPr>
          <w:rStyle w:val="CommentReference"/>
          <w:bCs/>
          <w:szCs w:val="24"/>
        </w:rPr>
        <w:fldChar w:fldCharType="end"/>
      </w:r>
      <w:r w:rsidRPr="00C80985">
        <w:rPr>
          <w:rStyle w:val="CommentReference"/>
          <w:szCs w:val="24"/>
        </w:rPr>
        <w:t>: Probability of response applied in the model</w:t>
      </w: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81"/>
        <w:gridCol w:w="1435"/>
        <w:gridCol w:w="1407"/>
        <w:gridCol w:w="2413"/>
      </w:tblGrid>
      <w:tr w:rsidR="008D77E0" w:rsidRPr="00C80985" w14:paraId="0872AE8B" w14:textId="77777777" w:rsidTr="00D53859">
        <w:trPr>
          <w:tblHeader/>
        </w:trPr>
        <w:tc>
          <w:tcPr>
            <w:tcW w:w="2060" w:type="pct"/>
            <w:vAlign w:val="center"/>
          </w:tcPr>
          <w:p w14:paraId="618A8D02" w14:textId="77777777" w:rsidR="008D77E0" w:rsidRPr="00C80985" w:rsidRDefault="008D77E0" w:rsidP="00D53859">
            <w:pPr>
              <w:pStyle w:val="In-tableHeading"/>
              <w:keepNext w:val="0"/>
              <w:widowControl w:val="0"/>
              <w:tabs>
                <w:tab w:val="left" w:pos="244"/>
              </w:tabs>
              <w:rPr>
                <w:lang w:val="en-AU"/>
              </w:rPr>
            </w:pPr>
            <w:r w:rsidRPr="00C80985">
              <w:rPr>
                <w:lang w:val="en-AU"/>
              </w:rPr>
              <w:t>Response</w:t>
            </w:r>
          </w:p>
        </w:tc>
        <w:tc>
          <w:tcPr>
            <w:tcW w:w="803" w:type="pct"/>
            <w:vAlign w:val="center"/>
          </w:tcPr>
          <w:p w14:paraId="1B505E72" w14:textId="77777777" w:rsidR="008D77E0" w:rsidRPr="00C80985" w:rsidRDefault="008D77E0" w:rsidP="00D53859">
            <w:pPr>
              <w:pStyle w:val="In-tableHeading"/>
              <w:keepNext w:val="0"/>
              <w:widowControl w:val="0"/>
              <w:jc w:val="center"/>
              <w:rPr>
                <w:lang w:val="en-AU"/>
              </w:rPr>
            </w:pPr>
            <w:r w:rsidRPr="00C80985">
              <w:rPr>
                <w:lang w:val="en-AU"/>
              </w:rPr>
              <w:t>Dupilumab</w:t>
            </w:r>
          </w:p>
        </w:tc>
        <w:tc>
          <w:tcPr>
            <w:tcW w:w="787" w:type="pct"/>
            <w:vAlign w:val="center"/>
          </w:tcPr>
          <w:p w14:paraId="7543F149" w14:textId="77777777" w:rsidR="008D77E0" w:rsidRPr="00C80985" w:rsidRDefault="008D77E0" w:rsidP="00D53859">
            <w:pPr>
              <w:pStyle w:val="In-tableHeading"/>
              <w:keepNext w:val="0"/>
              <w:widowControl w:val="0"/>
              <w:jc w:val="center"/>
              <w:rPr>
                <w:lang w:val="en-AU"/>
              </w:rPr>
            </w:pPr>
            <w:r w:rsidRPr="00C80985">
              <w:rPr>
                <w:lang w:val="en-AU"/>
              </w:rPr>
              <w:t>Placebo</w:t>
            </w:r>
          </w:p>
        </w:tc>
        <w:tc>
          <w:tcPr>
            <w:tcW w:w="1350" w:type="pct"/>
            <w:vAlign w:val="center"/>
          </w:tcPr>
          <w:p w14:paraId="4A8C6E5C" w14:textId="77777777" w:rsidR="008D77E0" w:rsidRPr="00C80985" w:rsidRDefault="008D77E0" w:rsidP="00D53859">
            <w:pPr>
              <w:pStyle w:val="In-tableHeading"/>
              <w:keepNext w:val="0"/>
              <w:widowControl w:val="0"/>
              <w:jc w:val="center"/>
              <w:rPr>
                <w:lang w:val="en-AU"/>
              </w:rPr>
            </w:pPr>
            <w:r w:rsidRPr="00C80985">
              <w:rPr>
                <w:lang w:val="en-AU"/>
              </w:rPr>
              <w:t>Source</w:t>
            </w:r>
          </w:p>
        </w:tc>
      </w:tr>
      <w:tr w:rsidR="008D77E0" w:rsidRPr="00C80985" w14:paraId="57FD4576" w14:textId="77777777" w:rsidTr="00D53859">
        <w:tc>
          <w:tcPr>
            <w:tcW w:w="2060" w:type="pct"/>
            <w:vAlign w:val="center"/>
          </w:tcPr>
          <w:p w14:paraId="329ECC49" w14:textId="77777777" w:rsidR="008D77E0" w:rsidRPr="00C80985" w:rsidRDefault="008D77E0" w:rsidP="00D53859">
            <w:pPr>
              <w:pStyle w:val="TableText0"/>
              <w:keepNext w:val="0"/>
              <w:widowControl w:val="0"/>
              <w:tabs>
                <w:tab w:val="left" w:pos="244"/>
              </w:tabs>
              <w:rPr>
                <w:bCs w:val="0"/>
              </w:rPr>
            </w:pPr>
            <w:r w:rsidRPr="00C80985">
              <w:rPr>
                <w:bCs w:val="0"/>
              </w:rPr>
              <w:t>EASI 50 and CDLQI response at Week 16</w:t>
            </w:r>
          </w:p>
        </w:tc>
        <w:tc>
          <w:tcPr>
            <w:tcW w:w="803" w:type="pct"/>
            <w:vAlign w:val="center"/>
          </w:tcPr>
          <w:p w14:paraId="110FD26E" w14:textId="77777777" w:rsidR="008D77E0" w:rsidRPr="00C80985" w:rsidRDefault="008D77E0" w:rsidP="00D53859">
            <w:pPr>
              <w:pStyle w:val="TableText0"/>
              <w:keepNext w:val="0"/>
              <w:widowControl w:val="0"/>
              <w:jc w:val="center"/>
              <w:rPr>
                <w:bCs w:val="0"/>
              </w:rPr>
            </w:pPr>
            <w:r w:rsidRPr="00C80985">
              <w:rPr>
                <w:bCs w:val="0"/>
              </w:rPr>
              <w:t>76.9%</w:t>
            </w:r>
          </w:p>
        </w:tc>
        <w:tc>
          <w:tcPr>
            <w:tcW w:w="787" w:type="pct"/>
            <w:vAlign w:val="center"/>
          </w:tcPr>
          <w:p w14:paraId="27088B7F" w14:textId="77777777" w:rsidR="008D77E0" w:rsidRPr="00C80985" w:rsidRDefault="008D77E0" w:rsidP="00D53859">
            <w:pPr>
              <w:pStyle w:val="TableText0"/>
              <w:keepNext w:val="0"/>
              <w:widowControl w:val="0"/>
              <w:jc w:val="center"/>
              <w:rPr>
                <w:bCs w:val="0"/>
              </w:rPr>
            </w:pPr>
            <w:r w:rsidRPr="00C80985">
              <w:rPr>
                <w:bCs w:val="0"/>
              </w:rPr>
              <w:t>28.6%</w:t>
            </w:r>
          </w:p>
        </w:tc>
        <w:tc>
          <w:tcPr>
            <w:tcW w:w="1350" w:type="pct"/>
            <w:vAlign w:val="center"/>
          </w:tcPr>
          <w:p w14:paraId="0DDC5032" w14:textId="77777777" w:rsidR="008D77E0" w:rsidRPr="00C80985" w:rsidRDefault="008D77E0" w:rsidP="00D53859">
            <w:pPr>
              <w:pStyle w:val="TableText0"/>
              <w:keepNext w:val="0"/>
              <w:widowControl w:val="0"/>
              <w:rPr>
                <w:bCs w:val="0"/>
              </w:rPr>
            </w:pPr>
            <w:r w:rsidRPr="00C80985">
              <w:rPr>
                <w:bCs w:val="0"/>
              </w:rPr>
              <w:t>Study 1652 subgroup</w:t>
            </w:r>
          </w:p>
        </w:tc>
      </w:tr>
      <w:tr w:rsidR="008D77E0" w:rsidRPr="00C80985" w14:paraId="7CDD7E0F" w14:textId="77777777" w:rsidTr="00D53859">
        <w:tc>
          <w:tcPr>
            <w:tcW w:w="2060" w:type="pct"/>
            <w:vAlign w:val="center"/>
          </w:tcPr>
          <w:p w14:paraId="2A5E9BA8" w14:textId="77777777" w:rsidR="008D77E0" w:rsidRPr="00C80985" w:rsidRDefault="008D77E0" w:rsidP="00D53859">
            <w:pPr>
              <w:pStyle w:val="TableText0"/>
              <w:keepNext w:val="0"/>
              <w:widowControl w:val="0"/>
              <w:tabs>
                <w:tab w:val="left" w:pos="244"/>
              </w:tabs>
              <w:rPr>
                <w:bCs w:val="0"/>
              </w:rPr>
            </w:pPr>
            <w:r w:rsidRPr="00C80985">
              <w:rPr>
                <w:bCs w:val="0"/>
              </w:rPr>
              <w:t>EASI 50 and DLQI response at Week 42, conditional on response at Week 16</w:t>
            </w:r>
          </w:p>
        </w:tc>
        <w:tc>
          <w:tcPr>
            <w:tcW w:w="803" w:type="pct"/>
            <w:vAlign w:val="center"/>
          </w:tcPr>
          <w:p w14:paraId="0A864311" w14:textId="77777777" w:rsidR="008D77E0" w:rsidRPr="00C80985" w:rsidRDefault="008D77E0" w:rsidP="00D53859">
            <w:pPr>
              <w:pStyle w:val="TableText0"/>
              <w:keepNext w:val="0"/>
              <w:widowControl w:val="0"/>
              <w:jc w:val="center"/>
              <w:rPr>
                <w:bCs w:val="0"/>
              </w:rPr>
            </w:pPr>
            <w:r w:rsidRPr="00C80985">
              <w:rPr>
                <w:bCs w:val="0"/>
              </w:rPr>
              <w:t>73.6%</w:t>
            </w:r>
          </w:p>
        </w:tc>
        <w:tc>
          <w:tcPr>
            <w:tcW w:w="787" w:type="pct"/>
            <w:vAlign w:val="center"/>
          </w:tcPr>
          <w:p w14:paraId="5BC79E25" w14:textId="77777777" w:rsidR="008D77E0" w:rsidRPr="00C80985" w:rsidRDefault="008D77E0" w:rsidP="00D53859">
            <w:pPr>
              <w:pStyle w:val="TableText0"/>
              <w:keepNext w:val="0"/>
              <w:widowControl w:val="0"/>
              <w:jc w:val="center"/>
              <w:rPr>
                <w:bCs w:val="0"/>
              </w:rPr>
            </w:pPr>
            <w:r w:rsidRPr="00C80985">
              <w:rPr>
                <w:bCs w:val="0"/>
              </w:rPr>
              <w:t>19.1%</w:t>
            </w:r>
          </w:p>
        </w:tc>
        <w:tc>
          <w:tcPr>
            <w:tcW w:w="1350" w:type="pct"/>
            <w:vAlign w:val="center"/>
          </w:tcPr>
          <w:p w14:paraId="140AC969" w14:textId="77777777" w:rsidR="008D77E0" w:rsidRPr="00C80985" w:rsidRDefault="008D77E0" w:rsidP="00D53859">
            <w:pPr>
              <w:pStyle w:val="TableText0"/>
              <w:keepNext w:val="0"/>
              <w:widowControl w:val="0"/>
              <w:rPr>
                <w:bCs w:val="0"/>
              </w:rPr>
            </w:pPr>
            <w:r w:rsidRPr="00C80985">
              <w:rPr>
                <w:bCs w:val="0"/>
              </w:rPr>
              <w:t>CHRONOS Week 44 data</w:t>
            </w:r>
          </w:p>
        </w:tc>
      </w:tr>
      <w:tr w:rsidR="008D77E0" w:rsidRPr="00C80985" w14:paraId="5D6C9E7D" w14:textId="77777777" w:rsidTr="00D53859">
        <w:tc>
          <w:tcPr>
            <w:tcW w:w="2060" w:type="pct"/>
            <w:vAlign w:val="center"/>
          </w:tcPr>
          <w:p w14:paraId="5839F923" w14:textId="77777777" w:rsidR="008D77E0" w:rsidRPr="00C80985" w:rsidRDefault="008D77E0" w:rsidP="00D53859">
            <w:pPr>
              <w:pStyle w:val="TableText0"/>
              <w:keepNext w:val="0"/>
              <w:widowControl w:val="0"/>
              <w:tabs>
                <w:tab w:val="left" w:pos="244"/>
              </w:tabs>
              <w:rPr>
                <w:bCs w:val="0"/>
              </w:rPr>
            </w:pPr>
            <w:r w:rsidRPr="00C80985">
              <w:rPr>
                <w:bCs w:val="0"/>
              </w:rPr>
              <w:t>Year 2</w:t>
            </w:r>
          </w:p>
        </w:tc>
        <w:tc>
          <w:tcPr>
            <w:tcW w:w="803" w:type="pct"/>
            <w:vAlign w:val="center"/>
          </w:tcPr>
          <w:p w14:paraId="43179EF0" w14:textId="77777777" w:rsidR="008D77E0" w:rsidRPr="00C80985" w:rsidRDefault="008D77E0" w:rsidP="00D53859">
            <w:pPr>
              <w:pStyle w:val="TableText0"/>
              <w:keepNext w:val="0"/>
              <w:widowControl w:val="0"/>
              <w:jc w:val="center"/>
              <w:rPr>
                <w:bCs w:val="0"/>
              </w:rPr>
            </w:pPr>
            <w:r w:rsidRPr="00C80985">
              <w:rPr>
                <w:bCs w:val="0"/>
              </w:rPr>
              <w:t>83.2%</w:t>
            </w:r>
          </w:p>
        </w:tc>
        <w:tc>
          <w:tcPr>
            <w:tcW w:w="787" w:type="pct"/>
            <w:vAlign w:val="center"/>
          </w:tcPr>
          <w:p w14:paraId="7C393440" w14:textId="77777777" w:rsidR="008D77E0" w:rsidRPr="00C80985" w:rsidRDefault="008D77E0" w:rsidP="00D53859">
            <w:pPr>
              <w:pStyle w:val="TableText0"/>
              <w:keepNext w:val="0"/>
              <w:widowControl w:val="0"/>
              <w:jc w:val="center"/>
              <w:rPr>
                <w:bCs w:val="0"/>
              </w:rPr>
            </w:pPr>
            <w:r w:rsidRPr="00C80985">
              <w:rPr>
                <w:bCs w:val="0"/>
              </w:rPr>
              <w:t>52.0%</w:t>
            </w:r>
          </w:p>
        </w:tc>
        <w:tc>
          <w:tcPr>
            <w:tcW w:w="1350" w:type="pct"/>
            <w:vMerge w:val="restart"/>
            <w:vAlign w:val="center"/>
          </w:tcPr>
          <w:p w14:paraId="39967E00" w14:textId="77777777" w:rsidR="008D77E0" w:rsidRPr="00C80985" w:rsidRDefault="008D77E0" w:rsidP="00D53859">
            <w:pPr>
              <w:pStyle w:val="TableText0"/>
              <w:keepNext w:val="0"/>
              <w:widowControl w:val="0"/>
              <w:rPr>
                <w:bCs w:val="0"/>
              </w:rPr>
            </w:pPr>
            <w:r w:rsidRPr="00C80985">
              <w:rPr>
                <w:bCs w:val="0"/>
              </w:rPr>
              <w:t>CHRONOS (proportion of patients that had not required rescue or withdrawn from trial)</w:t>
            </w:r>
          </w:p>
        </w:tc>
      </w:tr>
      <w:tr w:rsidR="008D77E0" w:rsidRPr="00C80985" w14:paraId="443F1EBB" w14:textId="77777777" w:rsidTr="00D53859">
        <w:tc>
          <w:tcPr>
            <w:tcW w:w="2060" w:type="pct"/>
            <w:vAlign w:val="center"/>
          </w:tcPr>
          <w:p w14:paraId="2B090F1B" w14:textId="77777777" w:rsidR="008D77E0" w:rsidRPr="00C80985" w:rsidRDefault="008D77E0" w:rsidP="00D53859">
            <w:pPr>
              <w:pStyle w:val="TableText0"/>
              <w:keepNext w:val="0"/>
              <w:widowControl w:val="0"/>
              <w:tabs>
                <w:tab w:val="left" w:pos="244"/>
              </w:tabs>
              <w:rPr>
                <w:bCs w:val="0"/>
              </w:rPr>
            </w:pPr>
            <w:r w:rsidRPr="00C80985">
              <w:rPr>
                <w:bCs w:val="0"/>
              </w:rPr>
              <w:t>Year 3</w:t>
            </w:r>
          </w:p>
        </w:tc>
        <w:tc>
          <w:tcPr>
            <w:tcW w:w="803" w:type="pct"/>
            <w:vAlign w:val="center"/>
          </w:tcPr>
          <w:p w14:paraId="159555A7" w14:textId="77777777" w:rsidR="008D77E0" w:rsidRPr="00C80985" w:rsidRDefault="008D77E0" w:rsidP="00D53859">
            <w:pPr>
              <w:pStyle w:val="TableText0"/>
              <w:keepNext w:val="0"/>
              <w:widowControl w:val="0"/>
              <w:jc w:val="center"/>
              <w:rPr>
                <w:bCs w:val="0"/>
              </w:rPr>
            </w:pPr>
            <w:r w:rsidRPr="00C80985">
              <w:rPr>
                <w:bCs w:val="0"/>
              </w:rPr>
              <w:t>79.9%</w:t>
            </w:r>
          </w:p>
        </w:tc>
        <w:tc>
          <w:tcPr>
            <w:tcW w:w="787" w:type="pct"/>
            <w:vAlign w:val="center"/>
          </w:tcPr>
          <w:p w14:paraId="1D03AF27" w14:textId="77777777" w:rsidR="008D77E0" w:rsidRPr="00C80985" w:rsidRDefault="008D77E0" w:rsidP="00D53859">
            <w:pPr>
              <w:pStyle w:val="TableText0"/>
              <w:keepNext w:val="0"/>
              <w:widowControl w:val="0"/>
              <w:jc w:val="center"/>
              <w:rPr>
                <w:bCs w:val="0"/>
              </w:rPr>
            </w:pPr>
            <w:r w:rsidRPr="00C80985">
              <w:rPr>
                <w:bCs w:val="0"/>
              </w:rPr>
              <w:t>10.3%</w:t>
            </w:r>
          </w:p>
        </w:tc>
        <w:tc>
          <w:tcPr>
            <w:tcW w:w="1350" w:type="pct"/>
            <w:vMerge/>
            <w:vAlign w:val="center"/>
          </w:tcPr>
          <w:p w14:paraId="31632996" w14:textId="77777777" w:rsidR="008D77E0" w:rsidRPr="00C80985" w:rsidRDefault="008D77E0" w:rsidP="00D53859">
            <w:pPr>
              <w:pStyle w:val="TableText0"/>
              <w:keepNext w:val="0"/>
              <w:widowControl w:val="0"/>
              <w:rPr>
                <w:bCs w:val="0"/>
              </w:rPr>
            </w:pPr>
          </w:p>
        </w:tc>
      </w:tr>
      <w:tr w:rsidR="008D77E0" w:rsidRPr="00C80985" w14:paraId="20F5ACE9" w14:textId="77777777" w:rsidTr="00D53859">
        <w:tc>
          <w:tcPr>
            <w:tcW w:w="2060" w:type="pct"/>
            <w:vAlign w:val="center"/>
          </w:tcPr>
          <w:p w14:paraId="448AD176" w14:textId="77777777" w:rsidR="008D77E0" w:rsidRPr="00C80985" w:rsidRDefault="008D77E0" w:rsidP="00D53859">
            <w:pPr>
              <w:pStyle w:val="TableText0"/>
              <w:keepNext w:val="0"/>
              <w:widowControl w:val="0"/>
              <w:tabs>
                <w:tab w:val="left" w:pos="244"/>
              </w:tabs>
              <w:rPr>
                <w:bCs w:val="0"/>
              </w:rPr>
            </w:pPr>
            <w:r w:rsidRPr="00C80985">
              <w:rPr>
                <w:bCs w:val="0"/>
              </w:rPr>
              <w:t>Year 4</w:t>
            </w:r>
          </w:p>
        </w:tc>
        <w:tc>
          <w:tcPr>
            <w:tcW w:w="803" w:type="pct"/>
            <w:vAlign w:val="center"/>
          </w:tcPr>
          <w:p w14:paraId="1C927A6E" w14:textId="77777777" w:rsidR="008D77E0" w:rsidRPr="00C80985" w:rsidRDefault="008D77E0" w:rsidP="00D53859">
            <w:pPr>
              <w:pStyle w:val="TableText0"/>
              <w:keepNext w:val="0"/>
              <w:widowControl w:val="0"/>
              <w:jc w:val="center"/>
              <w:rPr>
                <w:bCs w:val="0"/>
              </w:rPr>
            </w:pPr>
            <w:r w:rsidRPr="00C80985">
              <w:rPr>
                <w:bCs w:val="0"/>
              </w:rPr>
              <w:t>77.2%</w:t>
            </w:r>
          </w:p>
        </w:tc>
        <w:tc>
          <w:tcPr>
            <w:tcW w:w="787" w:type="pct"/>
            <w:vAlign w:val="center"/>
          </w:tcPr>
          <w:p w14:paraId="3A6F8A47" w14:textId="77777777" w:rsidR="008D77E0" w:rsidRPr="00C80985" w:rsidRDefault="008D77E0" w:rsidP="00D53859">
            <w:pPr>
              <w:pStyle w:val="TableText0"/>
              <w:keepNext w:val="0"/>
              <w:widowControl w:val="0"/>
              <w:jc w:val="center"/>
              <w:rPr>
                <w:bCs w:val="0"/>
              </w:rPr>
            </w:pPr>
            <w:r w:rsidRPr="00C80985">
              <w:rPr>
                <w:bCs w:val="0"/>
              </w:rPr>
              <w:t>6.2%</w:t>
            </w:r>
          </w:p>
        </w:tc>
        <w:tc>
          <w:tcPr>
            <w:tcW w:w="1350" w:type="pct"/>
            <w:vMerge/>
            <w:vAlign w:val="center"/>
          </w:tcPr>
          <w:p w14:paraId="6418A819" w14:textId="77777777" w:rsidR="008D77E0" w:rsidRPr="00C80985" w:rsidRDefault="008D77E0" w:rsidP="00D53859">
            <w:pPr>
              <w:pStyle w:val="TableText0"/>
              <w:keepNext w:val="0"/>
              <w:widowControl w:val="0"/>
              <w:rPr>
                <w:bCs w:val="0"/>
              </w:rPr>
            </w:pPr>
          </w:p>
        </w:tc>
      </w:tr>
      <w:tr w:rsidR="008D77E0" w:rsidRPr="00C80985" w14:paraId="4F411085" w14:textId="77777777" w:rsidTr="00D53859">
        <w:tc>
          <w:tcPr>
            <w:tcW w:w="2060" w:type="pct"/>
            <w:vAlign w:val="center"/>
          </w:tcPr>
          <w:p w14:paraId="0BF73AB8" w14:textId="77777777" w:rsidR="008D77E0" w:rsidRPr="00C80985" w:rsidRDefault="008D77E0" w:rsidP="00D53859">
            <w:pPr>
              <w:pStyle w:val="TableText0"/>
              <w:keepNext w:val="0"/>
              <w:widowControl w:val="0"/>
              <w:tabs>
                <w:tab w:val="left" w:pos="244"/>
              </w:tabs>
              <w:rPr>
                <w:bCs w:val="0"/>
              </w:rPr>
            </w:pPr>
            <w:r w:rsidRPr="00C80985">
              <w:rPr>
                <w:bCs w:val="0"/>
              </w:rPr>
              <w:t>Year 5</w:t>
            </w:r>
          </w:p>
        </w:tc>
        <w:tc>
          <w:tcPr>
            <w:tcW w:w="803" w:type="pct"/>
            <w:vAlign w:val="center"/>
          </w:tcPr>
          <w:p w14:paraId="269450AE" w14:textId="77777777" w:rsidR="008D77E0" w:rsidRPr="00C80985" w:rsidRDefault="008D77E0" w:rsidP="00D53859">
            <w:pPr>
              <w:pStyle w:val="TableText0"/>
              <w:keepNext w:val="0"/>
              <w:widowControl w:val="0"/>
              <w:jc w:val="center"/>
              <w:rPr>
                <w:bCs w:val="0"/>
              </w:rPr>
            </w:pPr>
            <w:r w:rsidRPr="00C80985">
              <w:rPr>
                <w:bCs w:val="0"/>
              </w:rPr>
              <w:t>74.8%</w:t>
            </w:r>
          </w:p>
        </w:tc>
        <w:tc>
          <w:tcPr>
            <w:tcW w:w="787" w:type="pct"/>
            <w:vAlign w:val="center"/>
          </w:tcPr>
          <w:p w14:paraId="22E7E0A7" w14:textId="77777777" w:rsidR="008D77E0" w:rsidRPr="00C80985" w:rsidRDefault="008D77E0" w:rsidP="00D53859">
            <w:pPr>
              <w:pStyle w:val="TableText0"/>
              <w:keepNext w:val="0"/>
              <w:widowControl w:val="0"/>
              <w:jc w:val="center"/>
              <w:rPr>
                <w:bCs w:val="0"/>
              </w:rPr>
            </w:pPr>
            <w:r w:rsidRPr="00C80985">
              <w:rPr>
                <w:bCs w:val="0"/>
              </w:rPr>
              <w:t>3.9%</w:t>
            </w:r>
          </w:p>
        </w:tc>
        <w:tc>
          <w:tcPr>
            <w:tcW w:w="1350" w:type="pct"/>
            <w:vMerge/>
            <w:vAlign w:val="center"/>
          </w:tcPr>
          <w:p w14:paraId="34A23E69" w14:textId="77777777" w:rsidR="008D77E0" w:rsidRPr="00C80985" w:rsidRDefault="008D77E0" w:rsidP="00D53859">
            <w:pPr>
              <w:pStyle w:val="TableText0"/>
              <w:keepNext w:val="0"/>
              <w:widowControl w:val="0"/>
              <w:rPr>
                <w:bCs w:val="0"/>
              </w:rPr>
            </w:pPr>
          </w:p>
        </w:tc>
      </w:tr>
    </w:tbl>
    <w:p w14:paraId="0D4A42EC" w14:textId="77777777" w:rsidR="008D77E0" w:rsidRPr="00C80985" w:rsidRDefault="008D77E0" w:rsidP="008D77E0">
      <w:pPr>
        <w:pStyle w:val="TableFigureFooter"/>
        <w:spacing w:after="0"/>
      </w:pPr>
      <w:r w:rsidRPr="00C80985">
        <w:t>Source: Table 3-5, p184; Table 3-6, p187 of the submission.</w:t>
      </w:r>
    </w:p>
    <w:p w14:paraId="192D5C03" w14:textId="1278989C" w:rsidR="008D77E0" w:rsidRPr="00C80985" w:rsidRDefault="008D77E0" w:rsidP="008D77E0">
      <w:pPr>
        <w:pStyle w:val="3-BodyText"/>
        <w:numPr>
          <w:ilvl w:val="0"/>
          <w:numId w:val="0"/>
        </w:numPr>
      </w:pPr>
      <w:r w:rsidRPr="00C80985">
        <w:rPr>
          <w:rFonts w:ascii="Arial Narrow" w:hAnsi="Arial Narrow"/>
          <w:sz w:val="18"/>
          <w:szCs w:val="18"/>
        </w:rPr>
        <w:t>CDLQI = Children’s Dermatology Life Quality Index; DLQI = Dermatology Life Quality Index; EASI = Eczema Area and Severity Index</w:t>
      </w:r>
    </w:p>
    <w:p w14:paraId="37653ECF" w14:textId="40B019D3" w:rsidR="00FA11DC" w:rsidRPr="00BF43F9" w:rsidRDefault="00693BF1" w:rsidP="00D369F2">
      <w:pPr>
        <w:pStyle w:val="3-BodyText"/>
      </w:pPr>
      <w:r w:rsidRPr="00FA11DC">
        <w:rPr>
          <w:iCs/>
        </w:rPr>
        <w:t xml:space="preserve">In its consideration of the adult model in March 2020, the ESC had </w:t>
      </w:r>
      <w:proofErr w:type="gramStart"/>
      <w:r w:rsidRPr="00FA11DC">
        <w:rPr>
          <w:iCs/>
        </w:rPr>
        <w:t>noted  that</w:t>
      </w:r>
      <w:proofErr w:type="gramEnd"/>
      <w:r w:rsidRPr="00FA11DC">
        <w:rPr>
          <w:iCs/>
        </w:rPr>
        <w:t xml:space="preserve"> in the regression analysis used to estimate continued response, the full data set from CHRONOS from baseline was applied for the SOC (i.e. placebo) arm, whereas only data for patients who met the efficacy endpoint at 16 weeks was used for the dupilumab arm. The ESC </w:t>
      </w:r>
      <w:r w:rsidR="00FA11DC">
        <w:rPr>
          <w:iCs/>
        </w:rPr>
        <w:t xml:space="preserve">previously </w:t>
      </w:r>
      <w:r w:rsidRPr="00FA11DC">
        <w:rPr>
          <w:iCs/>
        </w:rPr>
        <w:t>considered the maintenance of response rates from these different approaches was not comparable and this approach favoured dupilumab.</w:t>
      </w:r>
      <w:r w:rsidR="00FA11DC" w:rsidRPr="00FA11DC">
        <w:rPr>
          <w:iCs/>
        </w:rPr>
        <w:t xml:space="preserve"> </w:t>
      </w:r>
      <w:r w:rsidR="00FA11DC" w:rsidRPr="00BF43F9">
        <w:t>The ESC noted that t</w:t>
      </w:r>
      <w:r w:rsidRPr="00BF43F9">
        <w:t>he same concern would apply to the response rates applied in the current model.</w:t>
      </w:r>
      <w:r w:rsidR="00DA7A83" w:rsidRPr="00BF43F9">
        <w:t xml:space="preserve"> </w:t>
      </w:r>
      <w:r w:rsidR="00B15DB1" w:rsidRPr="00BF43F9">
        <w:t xml:space="preserve">The ESC noted that the proportion of patients responding in the model dropped sharply in the placebo arm in the first 2 years. </w:t>
      </w:r>
      <w:r w:rsidR="00DA7A83" w:rsidRPr="00BF43F9">
        <w:t xml:space="preserve">Further, the ESC considered that the </w:t>
      </w:r>
      <w:r w:rsidR="00B15DB1" w:rsidRPr="00BF43F9">
        <w:t>baseline level of sustained</w:t>
      </w:r>
      <w:r w:rsidR="00DA7A83" w:rsidRPr="00BF43F9">
        <w:t xml:space="preserve"> response for paediatric patients is likely to be higher than that in the adult/adolescent population based on the natural history of AD in this population.</w:t>
      </w:r>
    </w:p>
    <w:p w14:paraId="51B07401" w14:textId="77777777" w:rsidR="00AA723C" w:rsidRPr="00AA723C" w:rsidRDefault="00FD5BBD" w:rsidP="00AA723C">
      <w:pPr>
        <w:pStyle w:val="3Bodytext"/>
        <w:numPr>
          <w:ilvl w:val="1"/>
          <w:numId w:val="1"/>
        </w:numPr>
      </w:pPr>
      <w:r w:rsidRPr="00BF43F9">
        <w:t xml:space="preserve">The </w:t>
      </w:r>
      <w:r w:rsidR="00B15DB1" w:rsidRPr="00BF43F9">
        <w:t>absolute reduction in response and proportions of responders at each time point as applied in the paediatric model</w:t>
      </w:r>
      <w:r w:rsidRPr="00BF43F9">
        <w:t xml:space="preserve"> are shown in</w:t>
      </w:r>
      <w:r w:rsidR="00B15DB1" w:rsidRPr="00BF43F9">
        <w:t xml:space="preserve"> </w:t>
      </w:r>
      <w:r w:rsidR="00B15DB1" w:rsidRPr="00BF43F9">
        <w:fldChar w:fldCharType="begin"/>
      </w:r>
      <w:r w:rsidR="00B15DB1" w:rsidRPr="00BF43F9">
        <w:instrText xml:space="preserve"> REF _Ref96079510 \h  \* MERGEFORMAT </w:instrText>
      </w:r>
      <w:r w:rsidR="00B15DB1" w:rsidRPr="00BF43F9">
        <w:fldChar w:fldCharType="separate"/>
      </w:r>
      <w:r w:rsidR="00AA723C" w:rsidRPr="00AA723C">
        <w:br w:type="page"/>
      </w:r>
    </w:p>
    <w:p w14:paraId="7F931154" w14:textId="504AA417" w:rsidR="0049008B" w:rsidRPr="00BF43F9" w:rsidRDefault="00AA723C" w:rsidP="0049008B">
      <w:pPr>
        <w:pStyle w:val="3Bodytext"/>
        <w:numPr>
          <w:ilvl w:val="1"/>
          <w:numId w:val="1"/>
        </w:numPr>
      </w:pPr>
      <w:r w:rsidRPr="00AA723C">
        <w:lastRenderedPageBreak/>
        <w:t>Table</w:t>
      </w:r>
      <w:r w:rsidRPr="00BF43F9">
        <w:rPr>
          <w:rStyle w:val="CommentReference"/>
          <w:szCs w:val="24"/>
        </w:rPr>
        <w:t xml:space="preserve"> </w:t>
      </w:r>
      <w:r>
        <w:rPr>
          <w:rStyle w:val="CommentReference"/>
          <w:noProof/>
          <w:szCs w:val="24"/>
        </w:rPr>
        <w:t>14</w:t>
      </w:r>
      <w:r w:rsidR="00B15DB1" w:rsidRPr="00BF43F9">
        <w:fldChar w:fldCharType="end"/>
      </w:r>
      <w:r w:rsidR="00B15DB1" w:rsidRPr="00BF43F9">
        <w:t>.</w:t>
      </w:r>
      <w:r w:rsidR="00D8405E" w:rsidRPr="00BF43F9">
        <w:t xml:space="preserve"> Figure 2 compares the proportion of responders in each population in the paediatric submission and adult populations from the March 2020 pre-PBAC response. </w:t>
      </w:r>
      <w:r w:rsidR="00B15DB1" w:rsidRPr="00BF43F9">
        <w:t xml:space="preserve"> </w:t>
      </w:r>
    </w:p>
    <w:p w14:paraId="1D83B1C5" w14:textId="77777777" w:rsidR="006B0524" w:rsidRDefault="006B0524">
      <w:pPr>
        <w:jc w:val="left"/>
        <w:rPr>
          <w:rStyle w:val="CommentReference"/>
          <w:rFonts w:cs="Arial"/>
          <w:snapToGrid w:val="0"/>
          <w:szCs w:val="24"/>
          <w:lang w:eastAsia="en-AU"/>
        </w:rPr>
      </w:pPr>
      <w:bookmarkStart w:id="34" w:name="_Ref96079510"/>
      <w:r>
        <w:rPr>
          <w:rStyle w:val="CommentReference"/>
          <w:szCs w:val="24"/>
        </w:rPr>
        <w:br w:type="page"/>
      </w:r>
    </w:p>
    <w:p w14:paraId="6B779114" w14:textId="0D93D327" w:rsidR="00FD5BBD" w:rsidRPr="00BF43F9" w:rsidRDefault="00FD5BBD" w:rsidP="00FD5BBD">
      <w:pPr>
        <w:pStyle w:val="3-BodyText"/>
        <w:numPr>
          <w:ilvl w:val="0"/>
          <w:numId w:val="0"/>
        </w:numPr>
        <w:spacing w:after="0"/>
        <w:rPr>
          <w:rStyle w:val="CommentReference"/>
          <w:szCs w:val="24"/>
        </w:rPr>
      </w:pPr>
      <w:r w:rsidRPr="00BF43F9">
        <w:rPr>
          <w:rStyle w:val="CommentReference"/>
          <w:szCs w:val="24"/>
        </w:rPr>
        <w:lastRenderedPageBreak/>
        <w:t xml:space="preserve">Table </w:t>
      </w:r>
      <w:r w:rsidRPr="00BF43F9">
        <w:rPr>
          <w:rStyle w:val="CommentReference"/>
          <w:szCs w:val="24"/>
        </w:rPr>
        <w:fldChar w:fldCharType="begin"/>
      </w:r>
      <w:r w:rsidRPr="00BF43F9">
        <w:rPr>
          <w:rStyle w:val="CommentReference"/>
          <w:szCs w:val="24"/>
        </w:rPr>
        <w:instrText xml:space="preserve"> SEQ Table \* ARABIC </w:instrText>
      </w:r>
      <w:r w:rsidRPr="00BF43F9">
        <w:rPr>
          <w:rStyle w:val="CommentReference"/>
          <w:szCs w:val="24"/>
        </w:rPr>
        <w:fldChar w:fldCharType="separate"/>
      </w:r>
      <w:r w:rsidR="00AA723C">
        <w:rPr>
          <w:rStyle w:val="CommentReference"/>
          <w:noProof/>
          <w:szCs w:val="24"/>
        </w:rPr>
        <w:t>14</w:t>
      </w:r>
      <w:r w:rsidRPr="00BF43F9">
        <w:rPr>
          <w:rStyle w:val="CommentReference"/>
          <w:szCs w:val="24"/>
        </w:rPr>
        <w:fldChar w:fldCharType="end"/>
      </w:r>
      <w:bookmarkEnd w:id="34"/>
      <w:r w:rsidRPr="00BF43F9">
        <w:rPr>
          <w:rStyle w:val="CommentReference"/>
          <w:szCs w:val="24"/>
        </w:rPr>
        <w:t>: Absolute reduction in response to both arms at Year 2 – paediatric model</w:t>
      </w:r>
    </w:p>
    <w:tbl>
      <w:tblPr>
        <w:tblW w:w="8880" w:type="dxa"/>
        <w:tblLayout w:type="fixed"/>
        <w:tblCellMar>
          <w:left w:w="0" w:type="dxa"/>
          <w:right w:w="0" w:type="dxa"/>
        </w:tblCellMar>
        <w:tblLook w:val="04A0" w:firstRow="1" w:lastRow="0" w:firstColumn="1" w:lastColumn="0" w:noHBand="0" w:noVBand="1"/>
      </w:tblPr>
      <w:tblGrid>
        <w:gridCol w:w="1984"/>
        <w:gridCol w:w="1074"/>
        <w:gridCol w:w="1020"/>
        <w:gridCol w:w="1149"/>
        <w:gridCol w:w="1994"/>
        <w:gridCol w:w="1659"/>
      </w:tblGrid>
      <w:tr w:rsidR="00FD5BBD" w:rsidRPr="00BF43F9" w14:paraId="07F4F4D1" w14:textId="77777777" w:rsidTr="00FD5BBD">
        <w:tc>
          <w:tcPr>
            <w:tcW w:w="1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50594B7" w14:textId="77777777" w:rsidR="00FD5BBD" w:rsidRPr="00BF43F9" w:rsidRDefault="00FD5BBD">
            <w:pPr>
              <w:jc w:val="center"/>
              <w:rPr>
                <w:rFonts w:ascii="Calibri" w:hAnsi="Calibri" w:cs="Calibri"/>
              </w:rPr>
            </w:pPr>
            <w:r w:rsidRPr="00BF43F9">
              <w:rPr>
                <w:rFonts w:ascii="Arial Narrow" w:hAnsi="Arial Narrow" w:cs="Calibri"/>
                <w:b/>
                <w:bCs/>
                <w:color w:val="000000"/>
                <w:sz w:val="20"/>
                <w:szCs w:val="20"/>
              </w:rPr>
              <w:t>Percent responding - start of cycle</w:t>
            </w:r>
          </w:p>
        </w:tc>
        <w:tc>
          <w:tcPr>
            <w:tcW w:w="107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227126A" w14:textId="77777777" w:rsidR="00FD5BBD" w:rsidRPr="00BF43F9" w:rsidRDefault="00FD5BBD">
            <w:pPr>
              <w:jc w:val="center"/>
              <w:rPr>
                <w:rFonts w:ascii="Calibri" w:hAnsi="Calibri" w:cs="Calibri"/>
              </w:rPr>
            </w:pPr>
            <w:r w:rsidRPr="00BF43F9">
              <w:rPr>
                <w:rFonts w:ascii="Arial Narrow" w:hAnsi="Arial Narrow" w:cs="Calibri"/>
                <w:b/>
                <w:bCs/>
                <w:color w:val="000000"/>
                <w:sz w:val="20"/>
                <w:szCs w:val="20"/>
              </w:rPr>
              <w:t>Dupilumab</w:t>
            </w:r>
          </w:p>
        </w:tc>
        <w:tc>
          <w:tcPr>
            <w:tcW w:w="1020"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FFA2F7E" w14:textId="77777777" w:rsidR="00FD5BBD" w:rsidRPr="00BF43F9" w:rsidRDefault="00FD5BBD">
            <w:pPr>
              <w:jc w:val="center"/>
              <w:rPr>
                <w:rFonts w:ascii="Calibri" w:hAnsi="Calibri" w:cs="Calibri"/>
              </w:rPr>
            </w:pPr>
            <w:r w:rsidRPr="00BF43F9">
              <w:rPr>
                <w:rFonts w:ascii="Arial Narrow" w:hAnsi="Arial Narrow" w:cs="Calibri"/>
                <w:b/>
                <w:bCs/>
                <w:color w:val="000000"/>
                <w:sz w:val="20"/>
                <w:szCs w:val="20"/>
              </w:rPr>
              <w:t>Placebo</w:t>
            </w:r>
          </w:p>
        </w:tc>
        <w:tc>
          <w:tcPr>
            <w:tcW w:w="114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BFCDD73" w14:textId="77777777" w:rsidR="00FD5BBD" w:rsidRPr="00BF43F9" w:rsidRDefault="00FD5BBD">
            <w:pPr>
              <w:jc w:val="center"/>
              <w:rPr>
                <w:rFonts w:ascii="Calibri" w:hAnsi="Calibri" w:cs="Calibri"/>
              </w:rPr>
            </w:pPr>
            <w:r w:rsidRPr="00BF43F9">
              <w:rPr>
                <w:rFonts w:ascii="Arial Narrow" w:hAnsi="Arial Narrow" w:cs="Calibri"/>
                <w:b/>
                <w:bCs/>
                <w:color w:val="000000"/>
                <w:sz w:val="20"/>
                <w:szCs w:val="20"/>
              </w:rPr>
              <w:t>Difference</w:t>
            </w:r>
          </w:p>
        </w:tc>
        <w:tc>
          <w:tcPr>
            <w:tcW w:w="19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EC8551A" w14:textId="77777777" w:rsidR="00FD5BBD" w:rsidRPr="00BF43F9" w:rsidRDefault="00FD5BBD">
            <w:pPr>
              <w:jc w:val="center"/>
              <w:rPr>
                <w:rFonts w:ascii="Calibri" w:hAnsi="Calibri" w:cs="Calibri"/>
              </w:rPr>
            </w:pPr>
            <w:r w:rsidRPr="00BF43F9">
              <w:rPr>
                <w:rFonts w:ascii="Arial Narrow" w:hAnsi="Arial Narrow" w:cs="Calibri"/>
                <w:b/>
                <w:bCs/>
                <w:color w:val="000000"/>
                <w:sz w:val="20"/>
                <w:szCs w:val="20"/>
              </w:rPr>
              <w:t>% change dupilumab (absolute)</w:t>
            </w:r>
          </w:p>
        </w:tc>
        <w:tc>
          <w:tcPr>
            <w:tcW w:w="165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2675957F" w14:textId="77777777" w:rsidR="00FD5BBD" w:rsidRPr="00BF43F9" w:rsidRDefault="00FD5BBD">
            <w:pPr>
              <w:jc w:val="center"/>
              <w:rPr>
                <w:rFonts w:ascii="Calibri" w:hAnsi="Calibri" w:cs="Calibri"/>
              </w:rPr>
            </w:pPr>
            <w:r w:rsidRPr="00BF43F9">
              <w:rPr>
                <w:rFonts w:ascii="Arial Narrow" w:hAnsi="Arial Narrow" w:cs="Calibri"/>
                <w:b/>
                <w:bCs/>
                <w:color w:val="000000"/>
                <w:sz w:val="20"/>
                <w:szCs w:val="20"/>
              </w:rPr>
              <w:t>% change placebo (absolute)</w:t>
            </w:r>
          </w:p>
        </w:tc>
      </w:tr>
      <w:tr w:rsidR="00FD5BBD" w:rsidRPr="00BF43F9" w14:paraId="3961E773" w14:textId="77777777" w:rsidTr="00FD5BBD">
        <w:tc>
          <w:tcPr>
            <w:tcW w:w="19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B60BAEF" w14:textId="77777777" w:rsidR="00FD5BBD" w:rsidRPr="00BF43F9" w:rsidRDefault="00FD5BBD">
            <w:pPr>
              <w:jc w:val="center"/>
              <w:rPr>
                <w:rFonts w:ascii="Calibri" w:hAnsi="Calibri" w:cs="Calibri"/>
              </w:rPr>
            </w:pPr>
            <w:r w:rsidRPr="00BF43F9">
              <w:rPr>
                <w:rFonts w:ascii="Arial Narrow" w:hAnsi="Arial Narrow" w:cs="Calibri"/>
                <w:color w:val="000000"/>
                <w:sz w:val="20"/>
                <w:szCs w:val="20"/>
              </w:rPr>
              <w:t>Year 1</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F047D4" w14:textId="77777777" w:rsidR="00FD5BBD" w:rsidRPr="00BF43F9" w:rsidRDefault="00FD5BBD">
            <w:pPr>
              <w:jc w:val="center"/>
              <w:rPr>
                <w:rFonts w:ascii="Calibri" w:hAnsi="Calibri" w:cs="Calibri"/>
              </w:rPr>
            </w:pPr>
            <w:r w:rsidRPr="00BF43F9">
              <w:rPr>
                <w:rFonts w:ascii="Arial Narrow" w:hAnsi="Arial Narrow" w:cs="Calibri"/>
                <w:color w:val="000000"/>
                <w:sz w:val="20"/>
                <w:szCs w:val="20"/>
              </w:rPr>
              <w:t>73.58%</w:t>
            </w:r>
            <w:r w:rsidRPr="00BF43F9">
              <w:rPr>
                <w:rFonts w:ascii="Arial Narrow" w:hAnsi="Arial Narrow" w:cs="Calibri"/>
                <w:color w:val="000000"/>
                <w:sz w:val="20"/>
                <w:szCs w:val="20"/>
                <w:vertAlign w:val="superscript"/>
              </w:rPr>
              <w:t>a</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5006429" w14:textId="77777777" w:rsidR="00FD5BBD" w:rsidRPr="00BF43F9" w:rsidRDefault="00FD5BBD">
            <w:pPr>
              <w:jc w:val="center"/>
              <w:rPr>
                <w:rFonts w:ascii="Calibri" w:hAnsi="Calibri" w:cs="Calibri"/>
              </w:rPr>
            </w:pPr>
            <w:r w:rsidRPr="00BF43F9">
              <w:rPr>
                <w:rFonts w:ascii="Arial Narrow" w:hAnsi="Arial Narrow" w:cs="Calibri"/>
                <w:color w:val="000000"/>
                <w:sz w:val="20"/>
                <w:szCs w:val="20"/>
              </w:rPr>
              <w:t>19.05%</w:t>
            </w:r>
            <w:r w:rsidRPr="00BF43F9">
              <w:rPr>
                <w:rFonts w:ascii="Arial Narrow" w:hAnsi="Arial Narrow" w:cs="Calibri"/>
                <w:color w:val="000000"/>
                <w:sz w:val="20"/>
                <w:szCs w:val="20"/>
                <w:vertAlign w:val="superscript"/>
              </w:rPr>
              <w:t>b</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B0F5210" w14:textId="77777777" w:rsidR="00FD5BBD" w:rsidRPr="00BF43F9" w:rsidRDefault="00FD5BBD">
            <w:pPr>
              <w:jc w:val="center"/>
              <w:rPr>
                <w:rFonts w:ascii="Calibri" w:hAnsi="Calibri" w:cs="Calibri"/>
              </w:rPr>
            </w:pPr>
            <w:r w:rsidRPr="00BF43F9">
              <w:rPr>
                <w:rFonts w:ascii="Arial Narrow" w:hAnsi="Arial Narrow" w:cs="Calibri"/>
                <w:color w:val="000000"/>
                <w:sz w:val="20"/>
                <w:szCs w:val="20"/>
              </w:rPr>
              <w:t>54.53%</w:t>
            </w:r>
          </w:p>
        </w:tc>
        <w:tc>
          <w:tcPr>
            <w:tcW w:w="19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CBE922" w14:textId="77777777" w:rsidR="00FD5BBD" w:rsidRPr="00BF43F9" w:rsidRDefault="00FD5BBD">
            <w:pPr>
              <w:jc w:val="center"/>
              <w:rPr>
                <w:rFonts w:ascii="Calibri" w:hAnsi="Calibri" w:cs="Calibri"/>
              </w:rPr>
            </w:pPr>
            <w:r w:rsidRPr="00BF43F9">
              <w:rPr>
                <w:rFonts w:ascii="Arial Narrow" w:hAnsi="Arial Narrow" w:cs="Calibri"/>
                <w:color w:val="000000"/>
                <w:sz w:val="20"/>
                <w:szCs w:val="20"/>
              </w:rPr>
              <w:t> </w:t>
            </w:r>
          </w:p>
        </w:tc>
        <w:tc>
          <w:tcPr>
            <w:tcW w:w="16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ABB9577" w14:textId="77777777" w:rsidR="00FD5BBD" w:rsidRPr="00BF43F9" w:rsidRDefault="00FD5BBD">
            <w:pPr>
              <w:jc w:val="center"/>
              <w:rPr>
                <w:rFonts w:ascii="Calibri" w:hAnsi="Calibri" w:cs="Calibri"/>
              </w:rPr>
            </w:pPr>
            <w:r w:rsidRPr="00BF43F9">
              <w:rPr>
                <w:rFonts w:ascii="Arial Narrow" w:hAnsi="Arial Narrow" w:cs="Calibri"/>
                <w:color w:val="000000"/>
                <w:sz w:val="20"/>
                <w:szCs w:val="20"/>
              </w:rPr>
              <w:t> </w:t>
            </w:r>
          </w:p>
        </w:tc>
      </w:tr>
      <w:tr w:rsidR="00FD5BBD" w:rsidRPr="00BF43F9" w14:paraId="2AE76469" w14:textId="77777777" w:rsidTr="00FD5BBD">
        <w:tc>
          <w:tcPr>
            <w:tcW w:w="19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F8EBDC" w14:textId="77777777" w:rsidR="00FD5BBD" w:rsidRPr="00BF43F9" w:rsidRDefault="00FD5BBD">
            <w:pPr>
              <w:jc w:val="center"/>
              <w:rPr>
                <w:rFonts w:ascii="Calibri" w:hAnsi="Calibri" w:cs="Calibri"/>
              </w:rPr>
            </w:pPr>
            <w:r w:rsidRPr="00BF43F9">
              <w:rPr>
                <w:rFonts w:ascii="Arial Narrow" w:hAnsi="Arial Narrow" w:cs="Calibri"/>
                <w:color w:val="000000"/>
                <w:sz w:val="20"/>
                <w:szCs w:val="20"/>
              </w:rPr>
              <w:t>Year 2</w:t>
            </w:r>
            <w:r w:rsidRPr="00BF43F9">
              <w:rPr>
                <w:rFonts w:ascii="Arial Narrow" w:hAnsi="Arial Narrow" w:cs="Calibri"/>
                <w:color w:val="000000"/>
                <w:sz w:val="20"/>
                <w:szCs w:val="20"/>
                <w:vertAlign w:val="superscript"/>
              </w:rPr>
              <w:t>c</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7D42E5" w14:textId="77777777" w:rsidR="00FD5BBD" w:rsidRPr="00BF43F9" w:rsidRDefault="00FD5BBD">
            <w:pPr>
              <w:jc w:val="center"/>
              <w:rPr>
                <w:rFonts w:ascii="Arial Narrow" w:hAnsi="Arial Narrow" w:cs="Calibri"/>
                <w:sz w:val="20"/>
                <w:szCs w:val="20"/>
              </w:rPr>
            </w:pPr>
            <w:r w:rsidRPr="00BF43F9">
              <w:rPr>
                <w:rFonts w:ascii="Arial Narrow" w:hAnsi="Arial Narrow" w:cs="Calibri"/>
                <w:color w:val="000000"/>
                <w:sz w:val="20"/>
                <w:szCs w:val="20"/>
              </w:rPr>
              <w:t>60.10%</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B7C1B4A" w14:textId="77777777" w:rsidR="00FD5BBD" w:rsidRPr="00BF43F9" w:rsidRDefault="00FD5BBD">
            <w:pPr>
              <w:jc w:val="center"/>
              <w:rPr>
                <w:rFonts w:ascii="Arial Narrow" w:hAnsi="Arial Narrow" w:cs="Calibri"/>
                <w:sz w:val="20"/>
                <w:szCs w:val="20"/>
              </w:rPr>
            </w:pPr>
            <w:r w:rsidRPr="00BF43F9">
              <w:rPr>
                <w:rFonts w:ascii="Arial Narrow" w:hAnsi="Arial Narrow" w:cs="Calibri"/>
                <w:sz w:val="20"/>
                <w:szCs w:val="20"/>
              </w:rPr>
              <w:t>9.90%</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32FC664" w14:textId="77777777" w:rsidR="00FD5BBD" w:rsidRPr="00BF43F9" w:rsidRDefault="00FD5BBD">
            <w:pPr>
              <w:jc w:val="center"/>
              <w:rPr>
                <w:rFonts w:ascii="Calibri" w:hAnsi="Calibri" w:cs="Calibri"/>
                <w:sz w:val="22"/>
                <w:szCs w:val="22"/>
              </w:rPr>
            </w:pPr>
            <w:r w:rsidRPr="00BF43F9">
              <w:rPr>
                <w:rFonts w:ascii="Arial Narrow" w:hAnsi="Arial Narrow" w:cs="Calibri"/>
                <w:color w:val="000000"/>
                <w:sz w:val="20"/>
                <w:szCs w:val="20"/>
              </w:rPr>
              <w:t>50.20%</w:t>
            </w:r>
          </w:p>
        </w:tc>
        <w:tc>
          <w:tcPr>
            <w:tcW w:w="19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DAC25E" w14:textId="77777777" w:rsidR="00FD5BBD" w:rsidRPr="00BF43F9" w:rsidRDefault="00FD5BBD">
            <w:pPr>
              <w:jc w:val="center"/>
              <w:rPr>
                <w:rFonts w:ascii="Calibri" w:hAnsi="Calibri" w:cs="Calibri"/>
              </w:rPr>
            </w:pPr>
            <w:r w:rsidRPr="00BF43F9">
              <w:rPr>
                <w:rFonts w:ascii="Arial Narrow" w:hAnsi="Arial Narrow" w:cs="Calibri"/>
                <w:b/>
                <w:bCs/>
                <w:color w:val="000000"/>
                <w:sz w:val="20"/>
                <w:szCs w:val="20"/>
              </w:rPr>
              <w:t>-13.48%</w:t>
            </w:r>
          </w:p>
        </w:tc>
        <w:tc>
          <w:tcPr>
            <w:tcW w:w="16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55F7A66" w14:textId="77777777" w:rsidR="00FD5BBD" w:rsidRPr="00BF43F9" w:rsidRDefault="00FD5BBD">
            <w:pPr>
              <w:jc w:val="center"/>
              <w:rPr>
                <w:rFonts w:ascii="Calibri" w:hAnsi="Calibri" w:cs="Calibri"/>
              </w:rPr>
            </w:pPr>
            <w:r w:rsidRPr="00BF43F9">
              <w:rPr>
                <w:rFonts w:ascii="Arial Narrow" w:hAnsi="Arial Narrow" w:cs="Calibri"/>
                <w:b/>
                <w:bCs/>
                <w:color w:val="000000"/>
                <w:sz w:val="20"/>
                <w:szCs w:val="20"/>
              </w:rPr>
              <w:t>-9.15%</w:t>
            </w:r>
          </w:p>
        </w:tc>
      </w:tr>
      <w:tr w:rsidR="00FD5BBD" w:rsidRPr="00BF43F9" w14:paraId="6A06D42E" w14:textId="77777777" w:rsidTr="00FD5BBD">
        <w:tc>
          <w:tcPr>
            <w:tcW w:w="19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0A03E352" w14:textId="77777777" w:rsidR="00FD5BBD" w:rsidRPr="00BF43F9" w:rsidRDefault="00FD5BBD">
            <w:pPr>
              <w:jc w:val="center"/>
              <w:rPr>
                <w:rFonts w:ascii="Calibri" w:hAnsi="Calibri" w:cs="Calibri"/>
              </w:rPr>
            </w:pPr>
            <w:r w:rsidRPr="00BF43F9">
              <w:rPr>
                <w:rFonts w:ascii="Arial Narrow" w:hAnsi="Arial Narrow" w:cs="Calibri"/>
                <w:color w:val="000000"/>
                <w:sz w:val="20"/>
                <w:szCs w:val="20"/>
              </w:rPr>
              <w:t>Year 3</w:t>
            </w:r>
            <w:r w:rsidRPr="00BF43F9">
              <w:rPr>
                <w:rFonts w:ascii="Arial Narrow" w:hAnsi="Arial Narrow" w:cs="Calibri"/>
                <w:color w:val="000000"/>
                <w:sz w:val="20"/>
                <w:szCs w:val="20"/>
                <w:vertAlign w:val="superscript"/>
              </w:rPr>
              <w:t>c</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23465BA" w14:textId="77777777" w:rsidR="00FD5BBD" w:rsidRPr="00BF43F9" w:rsidRDefault="00FD5BBD">
            <w:pPr>
              <w:jc w:val="center"/>
              <w:rPr>
                <w:rFonts w:ascii="Arial Narrow" w:hAnsi="Arial Narrow" w:cs="Calibri"/>
                <w:sz w:val="20"/>
                <w:szCs w:val="20"/>
              </w:rPr>
            </w:pPr>
            <w:r w:rsidRPr="00BF43F9">
              <w:rPr>
                <w:rFonts w:ascii="Arial Narrow" w:hAnsi="Arial Narrow" w:cs="Calibri"/>
                <w:color w:val="000000"/>
                <w:sz w:val="20"/>
                <w:szCs w:val="20"/>
              </w:rPr>
              <w:t>46.29%</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F2F7F77" w14:textId="77777777" w:rsidR="00FD5BBD" w:rsidRPr="00BF43F9" w:rsidRDefault="00FD5BBD">
            <w:pPr>
              <w:jc w:val="center"/>
              <w:rPr>
                <w:rFonts w:ascii="Arial Narrow" w:hAnsi="Arial Narrow" w:cs="Calibri"/>
                <w:sz w:val="20"/>
                <w:szCs w:val="20"/>
              </w:rPr>
            </w:pPr>
            <w:r w:rsidRPr="00BF43F9">
              <w:rPr>
                <w:rFonts w:ascii="Arial Narrow" w:hAnsi="Arial Narrow" w:cs="Calibri"/>
                <w:sz w:val="20"/>
                <w:szCs w:val="20"/>
              </w:rPr>
              <w:t>1.96%</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C39CB7A" w14:textId="77777777" w:rsidR="00FD5BBD" w:rsidRPr="00BF43F9" w:rsidRDefault="00FD5BBD">
            <w:pPr>
              <w:jc w:val="center"/>
              <w:rPr>
                <w:rFonts w:ascii="Calibri" w:hAnsi="Calibri" w:cs="Calibri"/>
                <w:sz w:val="22"/>
                <w:szCs w:val="22"/>
              </w:rPr>
            </w:pPr>
            <w:r w:rsidRPr="00BF43F9">
              <w:rPr>
                <w:rFonts w:ascii="Arial Narrow" w:hAnsi="Arial Narrow" w:cs="Calibri"/>
                <w:color w:val="000000"/>
                <w:sz w:val="20"/>
                <w:szCs w:val="20"/>
              </w:rPr>
              <w:t>44.33%</w:t>
            </w:r>
          </w:p>
        </w:tc>
        <w:tc>
          <w:tcPr>
            <w:tcW w:w="19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03FD997" w14:textId="77777777" w:rsidR="00FD5BBD" w:rsidRPr="00BF43F9" w:rsidRDefault="00FD5BBD">
            <w:pPr>
              <w:jc w:val="center"/>
              <w:rPr>
                <w:rFonts w:ascii="Calibri" w:hAnsi="Calibri" w:cs="Calibri"/>
              </w:rPr>
            </w:pPr>
            <w:r w:rsidRPr="00BF43F9">
              <w:rPr>
                <w:rFonts w:ascii="Arial Narrow" w:hAnsi="Arial Narrow" w:cs="Calibri"/>
                <w:color w:val="000000"/>
                <w:sz w:val="20"/>
                <w:szCs w:val="20"/>
              </w:rPr>
              <w:t>-13.81%</w:t>
            </w:r>
          </w:p>
        </w:tc>
        <w:tc>
          <w:tcPr>
            <w:tcW w:w="16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C8B60A0" w14:textId="77777777" w:rsidR="00FD5BBD" w:rsidRPr="00BF43F9" w:rsidRDefault="00FD5BBD">
            <w:pPr>
              <w:jc w:val="center"/>
              <w:rPr>
                <w:rFonts w:ascii="Calibri" w:hAnsi="Calibri" w:cs="Calibri"/>
              </w:rPr>
            </w:pPr>
            <w:r w:rsidRPr="00BF43F9">
              <w:rPr>
                <w:rFonts w:ascii="Arial Narrow" w:hAnsi="Arial Narrow" w:cs="Calibri"/>
                <w:color w:val="000000"/>
                <w:sz w:val="20"/>
                <w:szCs w:val="20"/>
              </w:rPr>
              <w:t>-7.94%</w:t>
            </w:r>
          </w:p>
        </w:tc>
      </w:tr>
      <w:tr w:rsidR="00FD5BBD" w:rsidRPr="00BF43F9" w14:paraId="3CDA9E9A" w14:textId="77777777" w:rsidTr="00FD5BBD">
        <w:tc>
          <w:tcPr>
            <w:tcW w:w="19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306E4CB" w14:textId="77777777" w:rsidR="00FD5BBD" w:rsidRPr="00BF43F9" w:rsidRDefault="00FD5BBD">
            <w:pPr>
              <w:jc w:val="center"/>
              <w:rPr>
                <w:rFonts w:ascii="Calibri" w:hAnsi="Calibri" w:cs="Calibri"/>
              </w:rPr>
            </w:pPr>
            <w:r w:rsidRPr="00BF43F9">
              <w:rPr>
                <w:rFonts w:ascii="Arial Narrow" w:hAnsi="Arial Narrow" w:cs="Calibri"/>
                <w:color w:val="000000"/>
                <w:sz w:val="20"/>
                <w:szCs w:val="20"/>
              </w:rPr>
              <w:t>Year 4</w:t>
            </w:r>
            <w:r w:rsidRPr="00BF43F9">
              <w:rPr>
                <w:rFonts w:ascii="Arial Narrow" w:hAnsi="Arial Narrow" w:cs="Calibri"/>
                <w:color w:val="000000"/>
                <w:sz w:val="20"/>
                <w:szCs w:val="20"/>
                <w:vertAlign w:val="superscript"/>
              </w:rPr>
              <w:t>c</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8411CB" w14:textId="77777777" w:rsidR="00FD5BBD" w:rsidRPr="00BF43F9" w:rsidRDefault="00FD5BBD">
            <w:pPr>
              <w:jc w:val="center"/>
              <w:rPr>
                <w:rFonts w:ascii="Arial Narrow" w:hAnsi="Arial Narrow" w:cs="Calibri"/>
                <w:sz w:val="20"/>
                <w:szCs w:val="20"/>
              </w:rPr>
            </w:pPr>
            <w:r w:rsidRPr="00BF43F9">
              <w:rPr>
                <w:rFonts w:ascii="Arial Narrow" w:hAnsi="Arial Narrow" w:cs="Calibri"/>
                <w:color w:val="000000"/>
                <w:sz w:val="20"/>
                <w:szCs w:val="20"/>
              </w:rPr>
              <w:t>41.41%</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AB6E9E" w14:textId="77777777" w:rsidR="00FD5BBD" w:rsidRPr="00BF43F9" w:rsidRDefault="00FD5BBD">
            <w:pPr>
              <w:jc w:val="center"/>
              <w:rPr>
                <w:rFonts w:ascii="Arial Narrow" w:hAnsi="Arial Narrow" w:cs="Calibri"/>
                <w:sz w:val="20"/>
                <w:szCs w:val="20"/>
              </w:rPr>
            </w:pPr>
            <w:r w:rsidRPr="00BF43F9">
              <w:rPr>
                <w:rFonts w:ascii="Arial Narrow" w:hAnsi="Arial Narrow" w:cs="Calibri"/>
                <w:sz w:val="20"/>
                <w:szCs w:val="20"/>
              </w:rPr>
              <w:t>1.18%</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6BF5D05" w14:textId="77777777" w:rsidR="00FD5BBD" w:rsidRPr="00BF43F9" w:rsidRDefault="00FD5BBD">
            <w:pPr>
              <w:jc w:val="center"/>
              <w:rPr>
                <w:rFonts w:ascii="Calibri" w:hAnsi="Calibri" w:cs="Calibri"/>
                <w:sz w:val="22"/>
                <w:szCs w:val="22"/>
              </w:rPr>
            </w:pPr>
            <w:r w:rsidRPr="00BF43F9">
              <w:rPr>
                <w:rFonts w:ascii="Arial Narrow" w:hAnsi="Arial Narrow" w:cs="Calibri"/>
                <w:color w:val="000000"/>
                <w:sz w:val="20"/>
                <w:szCs w:val="20"/>
              </w:rPr>
              <w:t>40.23%</w:t>
            </w:r>
          </w:p>
        </w:tc>
        <w:tc>
          <w:tcPr>
            <w:tcW w:w="19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6605672" w14:textId="77777777" w:rsidR="00FD5BBD" w:rsidRPr="00BF43F9" w:rsidRDefault="00FD5BBD">
            <w:pPr>
              <w:jc w:val="center"/>
              <w:rPr>
                <w:rFonts w:ascii="Calibri" w:hAnsi="Calibri" w:cs="Calibri"/>
              </w:rPr>
            </w:pPr>
            <w:r w:rsidRPr="00BF43F9">
              <w:rPr>
                <w:rFonts w:ascii="Arial Narrow" w:hAnsi="Arial Narrow" w:cs="Calibri"/>
                <w:color w:val="000000"/>
                <w:sz w:val="20"/>
                <w:szCs w:val="20"/>
              </w:rPr>
              <w:t>-4.88%</w:t>
            </w:r>
          </w:p>
        </w:tc>
        <w:tc>
          <w:tcPr>
            <w:tcW w:w="16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8E10DC9" w14:textId="77777777" w:rsidR="00FD5BBD" w:rsidRPr="00BF43F9" w:rsidRDefault="00FD5BBD">
            <w:pPr>
              <w:jc w:val="center"/>
              <w:rPr>
                <w:rFonts w:ascii="Calibri" w:hAnsi="Calibri" w:cs="Calibri"/>
              </w:rPr>
            </w:pPr>
            <w:r w:rsidRPr="00BF43F9">
              <w:rPr>
                <w:rFonts w:ascii="Arial Narrow" w:hAnsi="Arial Narrow" w:cs="Calibri"/>
                <w:color w:val="000000"/>
                <w:sz w:val="20"/>
                <w:szCs w:val="20"/>
              </w:rPr>
              <w:t>-0.78%</w:t>
            </w:r>
          </w:p>
        </w:tc>
      </w:tr>
      <w:tr w:rsidR="00FD5BBD" w:rsidRPr="00BF43F9" w14:paraId="0096C2DF" w14:textId="77777777" w:rsidTr="00FD5BBD">
        <w:tc>
          <w:tcPr>
            <w:tcW w:w="19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A0357D5" w14:textId="77777777" w:rsidR="00FD5BBD" w:rsidRPr="00BF43F9" w:rsidRDefault="00FD5BBD">
            <w:pPr>
              <w:jc w:val="center"/>
              <w:rPr>
                <w:rFonts w:ascii="Calibri" w:hAnsi="Calibri" w:cs="Calibri"/>
              </w:rPr>
            </w:pPr>
            <w:r w:rsidRPr="00BF43F9">
              <w:rPr>
                <w:rFonts w:ascii="Arial Narrow" w:hAnsi="Arial Narrow" w:cs="Calibri"/>
                <w:color w:val="000000"/>
                <w:sz w:val="20"/>
                <w:szCs w:val="20"/>
              </w:rPr>
              <w:t>Year 5</w:t>
            </w:r>
            <w:r w:rsidRPr="00BF43F9">
              <w:rPr>
                <w:rFonts w:ascii="Arial Narrow" w:hAnsi="Arial Narrow" w:cs="Calibri"/>
                <w:color w:val="000000"/>
                <w:sz w:val="20"/>
                <w:szCs w:val="20"/>
                <w:vertAlign w:val="superscript"/>
              </w:rPr>
              <w:t>c</w:t>
            </w:r>
          </w:p>
        </w:tc>
        <w:tc>
          <w:tcPr>
            <w:tcW w:w="107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D4D50B5" w14:textId="77777777" w:rsidR="00FD5BBD" w:rsidRPr="00BF43F9" w:rsidRDefault="00FD5BBD">
            <w:pPr>
              <w:jc w:val="center"/>
              <w:rPr>
                <w:rFonts w:ascii="Arial Narrow" w:hAnsi="Arial Narrow" w:cs="Calibri"/>
                <w:sz w:val="20"/>
                <w:szCs w:val="20"/>
              </w:rPr>
            </w:pPr>
            <w:r w:rsidRPr="00BF43F9">
              <w:rPr>
                <w:rFonts w:ascii="Arial Narrow" w:hAnsi="Arial Narrow" w:cs="Calibri"/>
                <w:sz w:val="20"/>
                <w:szCs w:val="20"/>
              </w:rPr>
              <w:t>37.37%</w:t>
            </w:r>
          </w:p>
        </w:tc>
        <w:tc>
          <w:tcPr>
            <w:tcW w:w="102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1E10C8" w14:textId="77777777" w:rsidR="00FD5BBD" w:rsidRPr="00BF43F9" w:rsidRDefault="00FD5BBD">
            <w:pPr>
              <w:jc w:val="center"/>
              <w:rPr>
                <w:rFonts w:ascii="Arial Narrow" w:hAnsi="Arial Narrow" w:cs="Calibri"/>
                <w:sz w:val="20"/>
                <w:szCs w:val="20"/>
              </w:rPr>
            </w:pPr>
            <w:r w:rsidRPr="00BF43F9">
              <w:rPr>
                <w:rFonts w:ascii="Arial Narrow" w:hAnsi="Arial Narrow" w:cs="Calibri"/>
                <w:color w:val="000000"/>
                <w:sz w:val="20"/>
                <w:szCs w:val="20"/>
              </w:rPr>
              <w:t>0.74%</w:t>
            </w:r>
          </w:p>
        </w:tc>
        <w:tc>
          <w:tcPr>
            <w:tcW w:w="114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E76D179" w14:textId="77777777" w:rsidR="00FD5BBD" w:rsidRPr="00BF43F9" w:rsidRDefault="00FD5BBD">
            <w:pPr>
              <w:jc w:val="center"/>
              <w:rPr>
                <w:rFonts w:ascii="Calibri" w:hAnsi="Calibri" w:cs="Calibri"/>
                <w:sz w:val="22"/>
                <w:szCs w:val="22"/>
              </w:rPr>
            </w:pPr>
            <w:r w:rsidRPr="00BF43F9">
              <w:rPr>
                <w:rFonts w:ascii="Arial Narrow" w:hAnsi="Arial Narrow" w:cs="Calibri"/>
                <w:color w:val="000000"/>
                <w:sz w:val="20"/>
                <w:szCs w:val="20"/>
              </w:rPr>
              <w:t>36.63%</w:t>
            </w:r>
          </w:p>
        </w:tc>
        <w:tc>
          <w:tcPr>
            <w:tcW w:w="199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F4F02DF" w14:textId="77777777" w:rsidR="00FD5BBD" w:rsidRPr="00BF43F9" w:rsidRDefault="00FD5BBD">
            <w:pPr>
              <w:jc w:val="center"/>
              <w:rPr>
                <w:rFonts w:ascii="Calibri" w:hAnsi="Calibri" w:cs="Calibri"/>
              </w:rPr>
            </w:pPr>
            <w:r w:rsidRPr="00BF43F9">
              <w:rPr>
                <w:rFonts w:ascii="Arial Narrow" w:hAnsi="Arial Narrow" w:cs="Calibri"/>
                <w:color w:val="000000"/>
                <w:sz w:val="20"/>
                <w:szCs w:val="20"/>
              </w:rPr>
              <w:t>-4.04%</w:t>
            </w:r>
          </w:p>
        </w:tc>
        <w:tc>
          <w:tcPr>
            <w:tcW w:w="165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52DFED9" w14:textId="77777777" w:rsidR="00FD5BBD" w:rsidRPr="00BF43F9" w:rsidRDefault="00FD5BBD">
            <w:pPr>
              <w:jc w:val="center"/>
              <w:rPr>
                <w:rFonts w:ascii="Calibri" w:hAnsi="Calibri" w:cs="Calibri"/>
              </w:rPr>
            </w:pPr>
            <w:r w:rsidRPr="00BF43F9">
              <w:rPr>
                <w:rFonts w:ascii="Arial Narrow" w:hAnsi="Arial Narrow" w:cs="Calibri"/>
                <w:color w:val="000000"/>
                <w:sz w:val="20"/>
                <w:szCs w:val="20"/>
              </w:rPr>
              <w:t>-0.44%</w:t>
            </w:r>
          </w:p>
        </w:tc>
      </w:tr>
    </w:tbl>
    <w:p w14:paraId="32BE9830" w14:textId="76E7F648" w:rsidR="00FD5BBD" w:rsidRPr="00BF43F9" w:rsidRDefault="00FD5BBD" w:rsidP="00FD5BBD">
      <w:pPr>
        <w:pStyle w:val="TableFigureFooter"/>
        <w:rPr>
          <w:rFonts w:cstheme="minorBidi"/>
          <w:lang w:eastAsia="zh-CN"/>
        </w:rPr>
      </w:pPr>
      <w:r w:rsidRPr="00BF43F9">
        <w:rPr>
          <w:vertAlign w:val="superscript"/>
        </w:rPr>
        <w:t>a</w:t>
      </w:r>
      <w:r w:rsidR="000343A2" w:rsidRPr="00BF43F9">
        <w:t xml:space="preserve"> </w:t>
      </w:r>
      <w:r w:rsidRPr="00BF43F9">
        <w:t>Week 16 proportion of 76.9% multiplied by Week 44 proportion of 95.7%.</w:t>
      </w:r>
    </w:p>
    <w:p w14:paraId="54E14599" w14:textId="220BC80A" w:rsidR="00FD5BBD" w:rsidRPr="00BF43F9" w:rsidRDefault="00FD5BBD" w:rsidP="00FD5BBD">
      <w:pPr>
        <w:pStyle w:val="TableFigureFooter"/>
      </w:pPr>
      <w:r w:rsidRPr="00BF43F9">
        <w:rPr>
          <w:vertAlign w:val="superscript"/>
        </w:rPr>
        <w:t>b</w:t>
      </w:r>
      <w:r w:rsidR="000343A2" w:rsidRPr="00BF43F9">
        <w:t xml:space="preserve"> </w:t>
      </w:r>
      <w:r w:rsidRPr="00BF43F9">
        <w:t>Week 16 proportion of 28.6% multiplied by Week 44 proportion of 66.7%.</w:t>
      </w:r>
    </w:p>
    <w:p w14:paraId="32985B5C" w14:textId="337992E7" w:rsidR="00FD5BBD" w:rsidRPr="00BF43F9" w:rsidRDefault="00FD5BBD" w:rsidP="00B15DB1">
      <w:pPr>
        <w:pStyle w:val="TableFigureFooter"/>
      </w:pPr>
      <w:r w:rsidRPr="00BF43F9">
        <w:rPr>
          <w:vertAlign w:val="superscript"/>
        </w:rPr>
        <w:t>c</w:t>
      </w:r>
      <w:r w:rsidR="000343A2" w:rsidRPr="00BF43F9">
        <w:t xml:space="preserve"> </w:t>
      </w:r>
      <w:r w:rsidRPr="00BF43F9">
        <w:t>The Year 2 to 5 proportion responding is the proportion who maintained treatment at the end of the previous year.  This was calculated as the proportion responding in the previous year multiplied by probability of death multiplied by probability of response multiplied by probability of discontinuation minus sustained remission.  As an example, the values used to calculate 60.10% are provided here: 60.10 = 73.58 × (1-probability death life table) × 83.2% × (1-1.81%) – 0.00.</w:t>
      </w:r>
    </w:p>
    <w:p w14:paraId="1E1BC45B" w14:textId="2A489B52" w:rsidR="00C34D8C" w:rsidRPr="00BF43F9" w:rsidRDefault="00C34D8C" w:rsidP="00B15DB1">
      <w:pPr>
        <w:pStyle w:val="TableFigureFooter"/>
      </w:pPr>
    </w:p>
    <w:p w14:paraId="7D67C12D" w14:textId="312BD53A" w:rsidR="00C34D8C" w:rsidRPr="00BF43F9" w:rsidRDefault="00066F2E" w:rsidP="00D8405E">
      <w:pPr>
        <w:pStyle w:val="TableFigureHeading"/>
      </w:pPr>
      <w:r w:rsidRPr="00BF43F9">
        <w:t>Figure</w:t>
      </w:r>
      <w:r w:rsidR="00D8405E" w:rsidRPr="00BF43F9">
        <w:t xml:space="preserve"> 2</w:t>
      </w:r>
      <w:r w:rsidR="00C34D8C" w:rsidRPr="00BF43F9">
        <w:t>. Trace of proportion of modelled cohort in responder health state</w:t>
      </w:r>
      <w:r w:rsidR="00D8405E" w:rsidRPr="00BF43F9">
        <w:t xml:space="preserve"> for paediatric population and November 2020 adult/adolescent population</w:t>
      </w:r>
    </w:p>
    <w:p w14:paraId="56D35D77" w14:textId="434674C3" w:rsidR="00693872" w:rsidRPr="00BF43F9" w:rsidRDefault="00035132" w:rsidP="00C34D8C">
      <w:pPr>
        <w:keepNext/>
        <w:rPr>
          <w:rFonts w:ascii="Arial Narrow" w:hAnsi="Arial Narrow"/>
          <w:sz w:val="18"/>
          <w:szCs w:val="18"/>
        </w:rPr>
      </w:pPr>
      <w:r w:rsidRPr="00BF43F9">
        <w:rPr>
          <w:rFonts w:ascii="Arial Narrow" w:hAnsi="Arial Narrow"/>
          <w:noProof/>
          <w:sz w:val="18"/>
          <w:szCs w:val="18"/>
          <w:lang w:eastAsia="en-AU"/>
        </w:rPr>
        <w:drawing>
          <wp:inline distT="0" distB="0" distL="0" distR="0" wp14:anchorId="7953FB8C" wp14:editId="2A50E30D">
            <wp:extent cx="5231130" cy="3084830"/>
            <wp:effectExtent l="0" t="0" r="7620" b="1270"/>
            <wp:docPr id="6" name="Picture 6" descr="Figure 2. Trace of proportion of modelled cohort in responder health state for paediatric population and November 2020 adult/adolescen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Figure 2. Trace of proportion of modelled cohort in responder health state for paediatric population and November 2020 adult/adolescent popula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1130" cy="3084830"/>
                    </a:xfrm>
                    <a:prstGeom prst="rect">
                      <a:avLst/>
                    </a:prstGeom>
                    <a:noFill/>
                  </pic:spPr>
                </pic:pic>
              </a:graphicData>
            </a:graphic>
          </wp:inline>
        </w:drawing>
      </w:r>
    </w:p>
    <w:p w14:paraId="6CF4534C" w14:textId="58EFDA05" w:rsidR="00C34D8C" w:rsidRPr="00BF43F9" w:rsidRDefault="00C34D8C" w:rsidP="00C34D8C">
      <w:pPr>
        <w:keepNext/>
        <w:rPr>
          <w:rFonts w:ascii="Arial Narrow" w:hAnsi="Arial Narrow"/>
          <w:sz w:val="18"/>
          <w:szCs w:val="18"/>
        </w:rPr>
      </w:pPr>
      <w:r w:rsidRPr="00BF43F9">
        <w:rPr>
          <w:rFonts w:ascii="Arial Narrow" w:hAnsi="Arial Narrow"/>
          <w:sz w:val="18"/>
          <w:szCs w:val="18"/>
        </w:rPr>
        <w:t xml:space="preserve">Source: </w:t>
      </w:r>
      <w:r w:rsidR="00D8405E" w:rsidRPr="00BF43F9">
        <w:rPr>
          <w:rFonts w:ascii="Arial Narrow" w:hAnsi="Arial Narrow"/>
          <w:sz w:val="18"/>
          <w:szCs w:val="18"/>
        </w:rPr>
        <w:t>constructed based on data from March 2020 dupilumab pre-PBAC response and Dupilumab paediatric model “traces” worksheet.</w:t>
      </w:r>
    </w:p>
    <w:p w14:paraId="3E7B5E79" w14:textId="77777777" w:rsidR="00C34D8C" w:rsidRPr="00BF43F9" w:rsidRDefault="00C34D8C" w:rsidP="00B15DB1">
      <w:pPr>
        <w:pStyle w:val="TableFigureFooter"/>
        <w:rPr>
          <w:vertAlign w:val="superscript"/>
        </w:rPr>
      </w:pPr>
    </w:p>
    <w:p w14:paraId="0D9E366E" w14:textId="3EDB79B6" w:rsidR="0081122B" w:rsidRPr="00BF43F9" w:rsidRDefault="007C24DD" w:rsidP="003C7770">
      <w:pPr>
        <w:pStyle w:val="3-BodyText"/>
      </w:pPr>
      <w:bookmarkStart w:id="35" w:name="_Ref96328343"/>
      <w:r w:rsidRPr="007C24DD">
        <w:t>The ESC noted that the proportion of patients responding in the model dropped sharply in the placebo arm in the first 2 years</w:t>
      </w:r>
      <w:r w:rsidR="00646C5E">
        <w:t xml:space="preserve"> of the model</w:t>
      </w:r>
      <w:r w:rsidRPr="007C24DD">
        <w:t xml:space="preserve">. The ESC noted that natural resolution of AD (sustained response) for paediatric patients is likely to be higher than that in the adult/adolescent population based on the natural history of AD in this population. The ESC considered that a 20-30% natural resolution rate might </w:t>
      </w:r>
      <w:proofErr w:type="gramStart"/>
      <w:r w:rsidRPr="007C24DD">
        <w:t>be  reasonable</w:t>
      </w:r>
      <w:proofErr w:type="gramEnd"/>
      <w:r w:rsidRPr="007C24DD">
        <w:t>, compared to the model in which almost all SoC patients were classed as non-responders by 5 years.</w:t>
      </w:r>
      <w:r>
        <w:t xml:space="preserve"> </w:t>
      </w:r>
      <w:r w:rsidR="0081122B" w:rsidRPr="00BF43F9">
        <w:t xml:space="preserve">The submission presented a sensitivity analysis, where 63.6% of patients have sustained response and cease dupilumab after 52 weeks of therapy, and 52.4% of these patients experienced a relapse and recommenced dupilumab treatment after a mean of approximately 24 weeks (overall 30.3% or patients have sustained response and do not continue treatment). </w:t>
      </w:r>
      <w:r w:rsidR="00D90D42" w:rsidRPr="00BF43F9">
        <w:t xml:space="preserve">The ESC noted that </w:t>
      </w:r>
      <w:r w:rsidR="00D90D42" w:rsidRPr="00BF43F9">
        <w:lastRenderedPageBreak/>
        <w:t xml:space="preserve">the limitation of this sensitivity analysis was that it assumed that all patients with sustained response ceased dupilumab treatment after 52 weeks, whereas in clinical practice this would be unlikely to occur. </w:t>
      </w:r>
      <w:r w:rsidR="0081122B" w:rsidRPr="00BF43F9">
        <w:t>The proportions for this sensitivity analysis were sourced from the open-label Study 1434, which included 33 patients from Study 1412, a weight-based (2mg/kg or 4mg/kg dose) phase 2a pharmacokinetic study, and 6 patients from Study 1652. The proportion with sustained response was based on the 33 patients from Study 1412.</w:t>
      </w:r>
      <w:bookmarkEnd w:id="35"/>
      <w:r w:rsidR="00BA509C" w:rsidRPr="00BF43F9">
        <w:t xml:space="preserve"> The ESC noted this increased the ICER to</w:t>
      </w:r>
      <w:r w:rsidR="00AD21C5">
        <w:t xml:space="preserve"> $35,000 to &lt; $45,000</w:t>
      </w:r>
      <w:r w:rsidR="00BA509C" w:rsidRPr="00BF43F9">
        <w:t>/QALY.</w:t>
      </w:r>
    </w:p>
    <w:p w14:paraId="1D70119C" w14:textId="04D90E97" w:rsidR="00987206" w:rsidRPr="00BF43F9" w:rsidRDefault="007930C3" w:rsidP="00F21089">
      <w:pPr>
        <w:pStyle w:val="3-BodyText"/>
      </w:pPr>
      <w:r w:rsidRPr="00BF43F9">
        <w:t xml:space="preserve">The ESC noted that other non-treatment health state costs </w:t>
      </w:r>
      <w:r w:rsidR="006420C1" w:rsidRPr="00BF43F9">
        <w:t>were based on mean values from a clinician survey that included unrealistic outlier values (for example up to 70 primary care consultations, 50 specialist consultations</w:t>
      </w:r>
      <w:r w:rsidR="00987206" w:rsidRPr="00BF43F9">
        <w:t xml:space="preserve">, </w:t>
      </w:r>
      <w:r w:rsidR="006420C1" w:rsidRPr="00BF43F9">
        <w:t xml:space="preserve">30 emergency room visits </w:t>
      </w:r>
      <w:r w:rsidR="00987206" w:rsidRPr="00BF43F9">
        <w:t xml:space="preserve">and 20 hospitalisations </w:t>
      </w:r>
      <w:r w:rsidR="006420C1" w:rsidRPr="00BF43F9">
        <w:t xml:space="preserve">per year for uncontrolled patients). </w:t>
      </w:r>
      <w:r w:rsidR="00987206" w:rsidRPr="00BF43F9">
        <w:t xml:space="preserve">In addition, </w:t>
      </w:r>
      <w:r w:rsidR="00365244" w:rsidRPr="00BF43F9">
        <w:t xml:space="preserve">the ESC considered that </w:t>
      </w:r>
      <w:r w:rsidR="00987206" w:rsidRPr="00BF43F9">
        <w:t>costs for hospitalisations ($3,497 per hospitalisation) appeared high</w:t>
      </w:r>
      <w:r w:rsidR="006B0EF9" w:rsidRPr="00BF43F9">
        <w:t xml:space="preserve"> and may have represented more complex or extended </w:t>
      </w:r>
      <w:r w:rsidR="00365244" w:rsidRPr="00BF43F9">
        <w:t>duration</w:t>
      </w:r>
      <w:r w:rsidR="006B0EF9" w:rsidRPr="00BF43F9">
        <w:t xml:space="preserve"> than would be expected for AD</w:t>
      </w:r>
      <w:r w:rsidR="00365244" w:rsidRPr="00BF43F9">
        <w:noBreakHyphen/>
        <w:t>related hospitalisations</w:t>
      </w:r>
      <w:r w:rsidR="00987206" w:rsidRPr="00BF43F9">
        <w:t xml:space="preserve">. </w:t>
      </w:r>
      <w:r w:rsidR="006420C1" w:rsidRPr="00BF43F9">
        <w:t>The ESC noted that the non</w:t>
      </w:r>
      <w:r w:rsidR="00987206" w:rsidRPr="00BF43F9">
        <w:noBreakHyphen/>
      </w:r>
      <w:r w:rsidR="006420C1" w:rsidRPr="00BF43F9">
        <w:t xml:space="preserve">treatment health state costs </w:t>
      </w:r>
      <w:r w:rsidRPr="00BF43F9">
        <w:t>generated significant cost offsets</w:t>
      </w:r>
      <w:r w:rsidR="006420C1" w:rsidRPr="00BF43F9">
        <w:t xml:space="preserve"> in the model and appeared to be substantially overestimated.</w:t>
      </w:r>
      <w:r w:rsidR="00987206" w:rsidRPr="00BF43F9">
        <w:t xml:space="preserve"> </w:t>
      </w:r>
      <w:r w:rsidR="00035132" w:rsidRPr="00BF43F9">
        <w:t xml:space="preserve">Reducing the non-treatment health state medical treatment costs </w:t>
      </w:r>
      <w:r w:rsidR="00F21089" w:rsidRPr="00BF43F9">
        <w:t>(</w:t>
      </w:r>
      <w:r w:rsidR="00035132" w:rsidRPr="00BF43F9">
        <w:rPr>
          <w:szCs w:val="20"/>
        </w:rPr>
        <w:t>subcutaneous injection training, doctor visits, ER and hospitalisation costs</w:t>
      </w:r>
      <w:r w:rsidR="00F21089" w:rsidRPr="00BF43F9">
        <w:rPr>
          <w:szCs w:val="20"/>
        </w:rPr>
        <w:t>)</w:t>
      </w:r>
      <w:r w:rsidR="007F7AA1">
        <w:rPr>
          <w:szCs w:val="20"/>
        </w:rPr>
        <w:t xml:space="preserve"> by 50%</w:t>
      </w:r>
      <w:r w:rsidR="00F21089" w:rsidRPr="00BF43F9">
        <w:rPr>
          <w:szCs w:val="20"/>
        </w:rPr>
        <w:t xml:space="preserve"> increased the ICER to</w:t>
      </w:r>
      <w:r w:rsidR="00AD21C5">
        <w:rPr>
          <w:szCs w:val="20"/>
        </w:rPr>
        <w:t xml:space="preserve"> $55,000 to &lt; $75,000</w:t>
      </w:r>
      <w:r w:rsidR="00F21089" w:rsidRPr="00BF43F9">
        <w:rPr>
          <w:szCs w:val="20"/>
        </w:rPr>
        <w:t xml:space="preserve"> /QALY</w:t>
      </w:r>
      <w:r w:rsidR="00F21089" w:rsidRPr="00BF43F9">
        <w:t>.</w:t>
      </w:r>
    </w:p>
    <w:p w14:paraId="5CBEA1FD" w14:textId="161177AC" w:rsidR="007930C3" w:rsidRPr="00BF43F9" w:rsidRDefault="00987206" w:rsidP="00D254C2">
      <w:pPr>
        <w:pStyle w:val="3-BodyText"/>
      </w:pPr>
      <w:bookmarkStart w:id="36" w:name="_Ref96114863"/>
      <w:r w:rsidRPr="00BF43F9">
        <w:t xml:space="preserve">The ESC noted that </w:t>
      </w:r>
      <w:r w:rsidR="00035132" w:rsidRPr="00BF43F9">
        <w:t xml:space="preserve">the </w:t>
      </w:r>
      <w:r w:rsidR="00D369F2" w:rsidRPr="00BF43F9">
        <w:t xml:space="preserve">estimates for phototherapy costs </w:t>
      </w:r>
      <w:r w:rsidR="00035132" w:rsidRPr="00BF43F9">
        <w:t xml:space="preserve">from the clinician survey also </w:t>
      </w:r>
      <w:r w:rsidR="00D369F2" w:rsidRPr="00BF43F9">
        <w:t>included outliers (up to 36 courses per year along with duration of up to 30 weeks per course) which suggested double counting of phototherapy costs.</w:t>
      </w:r>
      <w:r w:rsidR="00D254C2" w:rsidRPr="00BF43F9">
        <w:t xml:space="preserve"> Further</w:t>
      </w:r>
      <w:r w:rsidR="00035132" w:rsidRPr="00BF43F9">
        <w:t>,</w:t>
      </w:r>
      <w:r w:rsidR="00D254C2" w:rsidRPr="00BF43F9">
        <w:t xml:space="preserve"> the ESC considered that the inclusion of phototherapy costs for paediatric patients was not appropriate as patients of this age are unlikely to be treated with phototherapy.</w:t>
      </w:r>
      <w:r w:rsidR="00035132" w:rsidRPr="00BF43F9">
        <w:t xml:space="preserve"> </w:t>
      </w:r>
      <w:r w:rsidR="001A2297" w:rsidRPr="00BF43F9">
        <w:t xml:space="preserve">In the sponsor’s clinician survey, 43% of clinicians reported they would treat 0% of children with phototherapy, and 19% would treat 5% or fewer of their patients with phototherapy. </w:t>
      </w:r>
      <w:r w:rsidR="00035132" w:rsidRPr="00BF43F9">
        <w:t>Removing phototherapy costs resulted in an ICER of</w:t>
      </w:r>
      <w:r w:rsidR="00AD21C5">
        <w:t xml:space="preserve"> $35,000 to &lt; $45,000</w:t>
      </w:r>
      <w:r w:rsidR="00035132" w:rsidRPr="00BF43F9">
        <w:t>/QALY.</w:t>
      </w:r>
      <w:bookmarkEnd w:id="36"/>
      <w:r w:rsidR="00035132" w:rsidRPr="00BF43F9">
        <w:rPr>
          <w:rFonts w:ascii="Arial Narrow" w:hAnsi="Arial Narrow" w:cs="Calibri"/>
          <w:color w:val="000000"/>
          <w:sz w:val="20"/>
          <w:szCs w:val="20"/>
        </w:rPr>
        <w:t xml:space="preserve"> </w:t>
      </w:r>
      <w:r w:rsidR="00D254C2" w:rsidRPr="00BF43F9">
        <w:t xml:space="preserve"> </w:t>
      </w:r>
      <w:r w:rsidR="00646C5E">
        <w:t>The PBAC considered that inclusion of some costs for phototherapy may be reasonable as a small number of clinicians may use phototherapy in patients considered to be suitable, however the mean value of 25.3 services per year for non</w:t>
      </w:r>
      <w:r w:rsidR="00646C5E">
        <w:noBreakHyphen/>
        <w:t xml:space="preserve">responders appeared to be substantially overestimated. </w:t>
      </w:r>
      <w:r w:rsidR="00646C5E" w:rsidRPr="00BC6DC9">
        <w:t xml:space="preserve">In addition, </w:t>
      </w:r>
      <w:r w:rsidR="00646C5E">
        <w:t xml:space="preserve">the PBAC noted that </w:t>
      </w:r>
      <w:r w:rsidR="00646C5E" w:rsidRPr="00BC6DC9">
        <w:t xml:space="preserve">other health </w:t>
      </w:r>
      <w:r w:rsidR="00646C5E">
        <w:t>resource</w:t>
      </w:r>
      <w:r w:rsidR="00646C5E" w:rsidRPr="00BC6DC9">
        <w:t xml:space="preserve"> costs based on mean values from </w:t>
      </w:r>
      <w:r w:rsidR="00646C5E">
        <w:t>the</w:t>
      </w:r>
      <w:r w:rsidR="00646C5E" w:rsidRPr="00BC6DC9">
        <w:t xml:space="preserve"> clinician survey generated significant cost offsets, </w:t>
      </w:r>
      <w:r w:rsidR="00646C5E">
        <w:t>and appeared to be overestimated, particularly hospitalisations and emergency room visits</w:t>
      </w:r>
      <w:r w:rsidR="00646C5E" w:rsidRPr="00BC6DC9">
        <w:t>.</w:t>
      </w:r>
    </w:p>
    <w:p w14:paraId="0A30D764" w14:textId="2E891A31" w:rsidR="00674C9D" w:rsidRPr="00C80985" w:rsidRDefault="00674C9D" w:rsidP="00BB00B3">
      <w:pPr>
        <w:pStyle w:val="3-BodyText"/>
      </w:pPr>
      <w:r w:rsidRPr="00C80985">
        <w:t xml:space="preserve">In the July 2020 adult </w:t>
      </w:r>
      <w:proofErr w:type="gramStart"/>
      <w:r w:rsidRPr="00C80985">
        <w:t>model</w:t>
      </w:r>
      <w:proofErr w:type="gramEnd"/>
      <w:r w:rsidRPr="00C80985">
        <w:t xml:space="preserve"> the key drivers were considered to be </w:t>
      </w:r>
      <w:r w:rsidR="00693E14" w:rsidRPr="00C80985">
        <w:t>time horizon, maintenance of response from Year 2 onward</w:t>
      </w:r>
      <w:r w:rsidRPr="00C80985">
        <w:t>,</w:t>
      </w:r>
      <w:r w:rsidR="00727E48" w:rsidRPr="00C80985">
        <w:t xml:space="preserve"> </w:t>
      </w:r>
      <w:r w:rsidR="00693E14" w:rsidRPr="00C80985">
        <w:t>and health state costs including phototherapy</w:t>
      </w:r>
      <w:r w:rsidRPr="00C80985">
        <w:t>.</w:t>
      </w:r>
      <w:r w:rsidR="00727E48" w:rsidRPr="00C80985">
        <w:t xml:space="preserve"> </w:t>
      </w:r>
      <w:r w:rsidR="00693E14" w:rsidRPr="00C80985">
        <w:t>Similar key drivers are associated with the paediatric model.</w:t>
      </w:r>
      <w:r w:rsidR="00727E48" w:rsidRPr="00C80985">
        <w:t xml:space="preserve"> </w:t>
      </w:r>
      <w:r w:rsidR="00693E14" w:rsidRPr="00C80985">
        <w:t>A summary of the key drivers of the economic model is provided in the table below.</w:t>
      </w:r>
    </w:p>
    <w:p w14:paraId="774D46B7" w14:textId="3BB304B0" w:rsidR="00D110BD" w:rsidRPr="00C80985" w:rsidRDefault="00AB4654" w:rsidP="00BB00B3">
      <w:pPr>
        <w:pStyle w:val="TableFigureHeading"/>
        <w:rPr>
          <w:rStyle w:val="CommentReference"/>
          <w:b/>
          <w:szCs w:val="24"/>
        </w:rPr>
      </w:pPr>
      <w:r w:rsidRPr="00C80985">
        <w:rPr>
          <w:rStyle w:val="CommentReference"/>
          <w:b/>
          <w:szCs w:val="24"/>
        </w:rPr>
        <w:lastRenderedPageBreak/>
        <w:t xml:space="preserve">Table </w:t>
      </w:r>
      <w:r w:rsidRPr="00C80985">
        <w:rPr>
          <w:rStyle w:val="CommentReference"/>
          <w:b/>
          <w:szCs w:val="24"/>
        </w:rPr>
        <w:fldChar w:fldCharType="begin"/>
      </w:r>
      <w:r w:rsidRPr="00C80985">
        <w:rPr>
          <w:rStyle w:val="CommentReference"/>
          <w:b/>
          <w:szCs w:val="24"/>
        </w:rPr>
        <w:instrText xml:space="preserve"> SEQ Table \* ARABIC </w:instrText>
      </w:r>
      <w:r w:rsidRPr="00C80985">
        <w:rPr>
          <w:rStyle w:val="CommentReference"/>
          <w:b/>
          <w:szCs w:val="24"/>
        </w:rPr>
        <w:fldChar w:fldCharType="separate"/>
      </w:r>
      <w:r w:rsidR="00AA723C">
        <w:rPr>
          <w:rStyle w:val="CommentReference"/>
          <w:b/>
          <w:noProof/>
          <w:szCs w:val="24"/>
        </w:rPr>
        <w:t>15</w:t>
      </w:r>
      <w:r w:rsidRPr="00C80985">
        <w:rPr>
          <w:rStyle w:val="CommentReference"/>
          <w:b/>
          <w:szCs w:val="24"/>
        </w:rPr>
        <w:fldChar w:fldCharType="end"/>
      </w:r>
      <w:r w:rsidR="00D110BD" w:rsidRPr="00C80985">
        <w:rPr>
          <w:rStyle w:val="CommentReference"/>
          <w:b/>
          <w:szCs w:val="24"/>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5104"/>
        <w:gridCol w:w="2784"/>
      </w:tblGrid>
      <w:tr w:rsidR="00537182" w:rsidRPr="00C80985" w14:paraId="4DD8026E" w14:textId="77777777" w:rsidTr="00490B17">
        <w:trPr>
          <w:tblHeader/>
        </w:trPr>
        <w:tc>
          <w:tcPr>
            <w:tcW w:w="626" w:type="pct"/>
            <w:shd w:val="clear" w:color="auto" w:fill="auto"/>
            <w:vAlign w:val="center"/>
          </w:tcPr>
          <w:p w14:paraId="6A9EC2DA" w14:textId="77777777" w:rsidR="00D110BD" w:rsidRPr="00C80985" w:rsidRDefault="00D110BD" w:rsidP="00BB00B3">
            <w:pPr>
              <w:pStyle w:val="In-tableHeading"/>
              <w:jc w:val="center"/>
              <w:rPr>
                <w:lang w:val="en-AU"/>
              </w:rPr>
            </w:pPr>
            <w:r w:rsidRPr="00C80985">
              <w:rPr>
                <w:lang w:val="en-AU"/>
              </w:rPr>
              <w:t>Description</w:t>
            </w:r>
          </w:p>
        </w:tc>
        <w:tc>
          <w:tcPr>
            <w:tcW w:w="2830" w:type="pct"/>
            <w:shd w:val="clear" w:color="auto" w:fill="auto"/>
            <w:vAlign w:val="center"/>
          </w:tcPr>
          <w:p w14:paraId="67A62672" w14:textId="77777777" w:rsidR="00D110BD" w:rsidRPr="00C80985" w:rsidRDefault="00D110BD" w:rsidP="000A7453">
            <w:pPr>
              <w:pStyle w:val="In-tableHeading"/>
              <w:jc w:val="center"/>
              <w:rPr>
                <w:lang w:val="en-AU"/>
              </w:rPr>
            </w:pPr>
            <w:r w:rsidRPr="00C80985">
              <w:rPr>
                <w:lang w:val="en-AU"/>
              </w:rPr>
              <w:t>Method/Value</w:t>
            </w:r>
          </w:p>
        </w:tc>
        <w:tc>
          <w:tcPr>
            <w:tcW w:w="1544" w:type="pct"/>
            <w:shd w:val="clear" w:color="auto" w:fill="auto"/>
            <w:vAlign w:val="center"/>
          </w:tcPr>
          <w:p w14:paraId="6B352E41" w14:textId="77777777" w:rsidR="00D110BD" w:rsidRPr="00C80985" w:rsidRDefault="00D110BD" w:rsidP="000A7453">
            <w:pPr>
              <w:pStyle w:val="In-tableHeading"/>
              <w:jc w:val="center"/>
              <w:rPr>
                <w:lang w:val="en-AU"/>
              </w:rPr>
            </w:pPr>
            <w:r w:rsidRPr="00C80985">
              <w:rPr>
                <w:lang w:val="en-AU"/>
              </w:rPr>
              <w:t>Impact</w:t>
            </w:r>
          </w:p>
          <w:p w14:paraId="6C1DC9EA" w14:textId="57F7D56E" w:rsidR="00490B17" w:rsidRPr="00C80985" w:rsidRDefault="00490B17" w:rsidP="000A7453">
            <w:pPr>
              <w:pStyle w:val="In-tableHeading"/>
              <w:jc w:val="center"/>
              <w:rPr>
                <w:lang w:val="en-AU"/>
              </w:rPr>
            </w:pPr>
            <w:r w:rsidRPr="00C80985">
              <w:rPr>
                <w:rFonts w:cs="Arial"/>
                <w:szCs w:val="20"/>
                <w:lang w:val="en-AU"/>
              </w:rPr>
              <w:t>Base case: $</w:t>
            </w:r>
            <w:r w:rsidR="00B85535" w:rsidRPr="00AA723C">
              <w:rPr>
                <w:rFonts w:cs="Arial" w:hint="eastAsia"/>
                <w:color w:val="000000"/>
                <w:w w:val="15"/>
                <w:szCs w:val="20"/>
                <w:shd w:val="solid" w:color="000000" w:fill="000000"/>
                <w:fitText w:val="10" w:id="-1500860410"/>
                <w:lang w:val="en-AU"/>
                <w14:textFill>
                  <w14:solidFill>
                    <w14:srgbClr w14:val="000000">
                      <w14:alpha w14:val="100000"/>
                    </w14:srgbClr>
                  </w14:solidFill>
                </w14:textFill>
              </w:rPr>
              <w:t xml:space="preserve">　</w:t>
            </w:r>
            <w:r w:rsidR="00B85535" w:rsidRPr="00AA723C">
              <w:rPr>
                <w:rFonts w:cs="Arial"/>
                <w:color w:val="000000"/>
                <w:w w:val="15"/>
                <w:szCs w:val="20"/>
                <w:shd w:val="solid" w:color="000000" w:fill="000000"/>
                <w:fitText w:val="10" w:id="-1500860410"/>
                <w:lang w:val="en-AU"/>
                <w14:textFill>
                  <w14:solidFill>
                    <w14:srgbClr w14:val="000000">
                      <w14:alpha w14:val="100000"/>
                    </w14:srgbClr>
                  </w14:solidFill>
                </w14:textFill>
              </w:rPr>
              <w:t>|</w:t>
            </w:r>
            <w:r w:rsidR="00B85535" w:rsidRPr="00AA723C">
              <w:rPr>
                <w:rFonts w:cs="Arial" w:hint="eastAsia"/>
                <w:color w:val="000000"/>
                <w:spacing w:val="-56"/>
                <w:w w:val="15"/>
                <w:szCs w:val="20"/>
                <w:shd w:val="solid" w:color="000000" w:fill="000000"/>
                <w:fitText w:val="10" w:id="-1500860410"/>
                <w:lang w:val="en-AU"/>
                <w14:textFill>
                  <w14:solidFill>
                    <w14:srgbClr w14:val="000000">
                      <w14:alpha w14:val="100000"/>
                    </w14:srgbClr>
                  </w14:solidFill>
                </w14:textFill>
              </w:rPr>
              <w:t xml:space="preserve">　</w:t>
            </w:r>
            <w:r w:rsidR="0044577E">
              <w:rPr>
                <w:rFonts w:cs="Arial"/>
                <w:szCs w:val="20"/>
                <w:vertAlign w:val="superscript"/>
                <w:lang w:val="en-AU"/>
              </w:rPr>
              <w:t>1</w:t>
            </w:r>
            <w:r w:rsidRPr="00C80985">
              <w:rPr>
                <w:rFonts w:cs="Arial"/>
                <w:szCs w:val="20"/>
                <w:lang w:val="en-AU"/>
              </w:rPr>
              <w:t>/QALY</w:t>
            </w:r>
          </w:p>
        </w:tc>
      </w:tr>
      <w:tr w:rsidR="00631C6B" w:rsidRPr="00C80985" w14:paraId="50BE515A" w14:textId="77777777" w:rsidTr="00490B17">
        <w:tc>
          <w:tcPr>
            <w:tcW w:w="626" w:type="pct"/>
            <w:shd w:val="clear" w:color="auto" w:fill="auto"/>
            <w:vAlign w:val="center"/>
          </w:tcPr>
          <w:p w14:paraId="35ADA4F0" w14:textId="0536AD35" w:rsidR="00631C6B" w:rsidRPr="00C80985" w:rsidRDefault="00631C6B" w:rsidP="00BB00B3">
            <w:pPr>
              <w:pStyle w:val="TableText0"/>
              <w:jc w:val="center"/>
            </w:pPr>
            <w:r w:rsidRPr="00C80985">
              <w:t>Time horizon</w:t>
            </w:r>
          </w:p>
        </w:tc>
        <w:tc>
          <w:tcPr>
            <w:tcW w:w="2830" w:type="pct"/>
            <w:shd w:val="clear" w:color="auto" w:fill="auto"/>
            <w:vAlign w:val="center"/>
          </w:tcPr>
          <w:p w14:paraId="619D645A" w14:textId="4E480321" w:rsidR="00631C6B" w:rsidRPr="00C80985" w:rsidRDefault="004972F2" w:rsidP="00F66BEB">
            <w:pPr>
              <w:pStyle w:val="TableText0"/>
            </w:pPr>
            <w:r w:rsidRPr="00C80985">
              <w:t>5 years, as per the adult model</w:t>
            </w:r>
            <w:r w:rsidR="00D74066" w:rsidRPr="00C80985">
              <w:t>.</w:t>
            </w:r>
          </w:p>
        </w:tc>
        <w:tc>
          <w:tcPr>
            <w:tcW w:w="1544" w:type="pct"/>
            <w:shd w:val="clear" w:color="auto" w:fill="auto"/>
            <w:vAlign w:val="center"/>
          </w:tcPr>
          <w:p w14:paraId="6E1FB060" w14:textId="14693095" w:rsidR="00631C6B" w:rsidRPr="00C80985" w:rsidRDefault="00631C6B" w:rsidP="00631C6B">
            <w:pPr>
              <w:pStyle w:val="TableText0"/>
              <w:rPr>
                <w:iCs/>
              </w:rPr>
            </w:pPr>
            <w:r w:rsidRPr="00C80985">
              <w:rPr>
                <w:iCs/>
              </w:rPr>
              <w:t>High, favours dupilumab.</w:t>
            </w:r>
            <w:r w:rsidR="00727E48" w:rsidRPr="00C80985">
              <w:rPr>
                <w:iCs/>
              </w:rPr>
              <w:t xml:space="preserve"> </w:t>
            </w:r>
            <w:r w:rsidR="004972F2" w:rsidRPr="00C80985">
              <w:rPr>
                <w:iCs/>
              </w:rPr>
              <w:t xml:space="preserve">ICER </w:t>
            </w:r>
            <w:r w:rsidR="00A05A6A">
              <w:rPr>
                <w:iCs/>
              </w:rPr>
              <w:t>increases</w:t>
            </w:r>
            <w:r w:rsidR="00A05A6A" w:rsidRPr="00C80985">
              <w:rPr>
                <w:iCs/>
              </w:rPr>
              <w:t xml:space="preserve"> </w:t>
            </w:r>
            <w:r w:rsidR="004972F2" w:rsidRPr="00C80985">
              <w:rPr>
                <w:iCs/>
              </w:rPr>
              <w:t>to $</w:t>
            </w:r>
            <w:r w:rsidR="00B85535" w:rsidRPr="00B85535">
              <w:rPr>
                <w:iCs/>
                <w:color w:val="000000"/>
                <w:spacing w:val="53"/>
                <w:shd w:val="solid" w:color="000000" w:fill="000000"/>
                <w:fitText w:val="330" w:id="-1500860409"/>
                <w14:textFill>
                  <w14:solidFill>
                    <w14:srgbClr w14:val="000000">
                      <w14:alpha w14:val="100000"/>
                    </w14:srgbClr>
                  </w14:solidFill>
                </w14:textFill>
              </w:rPr>
              <w:t>|||</w:t>
            </w:r>
            <w:r w:rsidR="00B85535" w:rsidRPr="00B85535">
              <w:rPr>
                <w:iCs/>
                <w:color w:val="000000"/>
                <w:spacing w:val="1"/>
                <w:shd w:val="solid" w:color="000000" w:fill="000000"/>
                <w:fitText w:val="330" w:id="-1500860409"/>
                <w14:textFill>
                  <w14:solidFill>
                    <w14:srgbClr w14:val="000000">
                      <w14:alpha w14:val="100000"/>
                    </w14:srgbClr>
                  </w14:solidFill>
                </w14:textFill>
              </w:rPr>
              <w:t>|</w:t>
            </w:r>
            <w:r w:rsidR="0044577E">
              <w:rPr>
                <w:iCs/>
                <w:vertAlign w:val="superscript"/>
              </w:rPr>
              <w:t>2</w:t>
            </w:r>
            <w:r w:rsidR="004972F2" w:rsidRPr="00C80985">
              <w:rPr>
                <w:iCs/>
              </w:rPr>
              <w:t xml:space="preserve"> when time horizon is shortened to one year.</w:t>
            </w:r>
          </w:p>
        </w:tc>
      </w:tr>
      <w:tr w:rsidR="00537182" w:rsidRPr="00C80985" w14:paraId="3DE22150" w14:textId="77777777" w:rsidTr="00490B17">
        <w:tc>
          <w:tcPr>
            <w:tcW w:w="626" w:type="pct"/>
            <w:shd w:val="clear" w:color="auto" w:fill="auto"/>
            <w:vAlign w:val="center"/>
          </w:tcPr>
          <w:p w14:paraId="72E20981" w14:textId="4C55779E" w:rsidR="00D110BD" w:rsidRPr="00C80985" w:rsidRDefault="009E36EB" w:rsidP="00BB00B3">
            <w:pPr>
              <w:pStyle w:val="TableText0"/>
              <w:jc w:val="center"/>
            </w:pPr>
            <w:r w:rsidRPr="00C80985">
              <w:t>Clinical evidence</w:t>
            </w:r>
          </w:p>
        </w:tc>
        <w:tc>
          <w:tcPr>
            <w:tcW w:w="2830" w:type="pct"/>
            <w:shd w:val="clear" w:color="auto" w:fill="auto"/>
            <w:vAlign w:val="center"/>
          </w:tcPr>
          <w:p w14:paraId="64938802" w14:textId="117D2BFA" w:rsidR="00106B80" w:rsidRPr="00C80985" w:rsidRDefault="009E36EB" w:rsidP="00F66BEB">
            <w:pPr>
              <w:pStyle w:val="TableText0"/>
            </w:pPr>
            <w:r w:rsidRPr="00C80985">
              <w:t>Only Week 16 response was sourced from a paediatric population.</w:t>
            </w:r>
            <w:r w:rsidR="00727E48" w:rsidRPr="00C80985">
              <w:t xml:space="preserve"> </w:t>
            </w:r>
            <w:r w:rsidR="00F66BEB" w:rsidRPr="00C80985">
              <w:t>Maintenance of response and utility values are sourced from adult data.</w:t>
            </w:r>
            <w:r w:rsidR="00727E48" w:rsidRPr="00C80985">
              <w:t xml:space="preserve"> </w:t>
            </w:r>
          </w:p>
        </w:tc>
        <w:tc>
          <w:tcPr>
            <w:tcW w:w="1544" w:type="pct"/>
            <w:shd w:val="clear" w:color="auto" w:fill="auto"/>
            <w:vAlign w:val="center"/>
          </w:tcPr>
          <w:p w14:paraId="0AD58F2B" w14:textId="61F2D37D" w:rsidR="00490B17" w:rsidRPr="00C80985" w:rsidRDefault="00631C6B" w:rsidP="00631C6B">
            <w:pPr>
              <w:pStyle w:val="TableText0"/>
              <w:rPr>
                <w:iCs/>
              </w:rPr>
            </w:pPr>
            <w:r w:rsidRPr="00C80985">
              <w:rPr>
                <w:iCs/>
              </w:rPr>
              <w:t>Cannot be tested as there is no paediatric data available</w:t>
            </w:r>
          </w:p>
        </w:tc>
      </w:tr>
      <w:tr w:rsidR="00537182" w:rsidRPr="00C80985" w14:paraId="3483847F" w14:textId="77777777" w:rsidTr="00490B17">
        <w:tc>
          <w:tcPr>
            <w:tcW w:w="626" w:type="pct"/>
            <w:shd w:val="clear" w:color="auto" w:fill="auto"/>
            <w:vAlign w:val="center"/>
          </w:tcPr>
          <w:p w14:paraId="2724D8D9" w14:textId="36BCC01B" w:rsidR="00D110BD" w:rsidRPr="00C80985" w:rsidRDefault="00106B80" w:rsidP="00BB00B3">
            <w:pPr>
              <w:pStyle w:val="TableText0"/>
              <w:jc w:val="center"/>
            </w:pPr>
            <w:r w:rsidRPr="00C80985">
              <w:t>Utilities</w:t>
            </w:r>
          </w:p>
        </w:tc>
        <w:tc>
          <w:tcPr>
            <w:tcW w:w="2830" w:type="pct"/>
            <w:shd w:val="clear" w:color="auto" w:fill="auto"/>
            <w:vAlign w:val="center"/>
          </w:tcPr>
          <w:p w14:paraId="4B9FCE0E" w14:textId="2D314115" w:rsidR="00D110BD" w:rsidRPr="00C80985" w:rsidRDefault="009E36EB" w:rsidP="00BB00B3">
            <w:pPr>
              <w:pStyle w:val="TableText0"/>
            </w:pPr>
            <w:r w:rsidRPr="00C80985">
              <w:t xml:space="preserve">Utility values sourced from an adult population (SOLO trials) with no consideration of </w:t>
            </w:r>
            <w:r w:rsidR="004972F2" w:rsidRPr="00C80985">
              <w:t xml:space="preserve">possible </w:t>
            </w:r>
            <w:r w:rsidRPr="00C80985">
              <w:t>differences in utility for children and adults</w:t>
            </w:r>
            <w:r w:rsidR="004972F2" w:rsidRPr="00C80985">
              <w:t>.</w:t>
            </w:r>
          </w:p>
        </w:tc>
        <w:tc>
          <w:tcPr>
            <w:tcW w:w="1544" w:type="pct"/>
            <w:shd w:val="clear" w:color="auto" w:fill="auto"/>
            <w:vAlign w:val="center"/>
          </w:tcPr>
          <w:p w14:paraId="4CB0C507" w14:textId="13A84E1A" w:rsidR="00D110BD" w:rsidRPr="00C80985" w:rsidRDefault="00F66BEB" w:rsidP="008D743C">
            <w:pPr>
              <w:pStyle w:val="TableText0"/>
            </w:pPr>
            <w:r w:rsidRPr="00C80985">
              <w:t>Cannot be tested</w:t>
            </w:r>
          </w:p>
        </w:tc>
      </w:tr>
      <w:tr w:rsidR="00E67CF7" w:rsidRPr="00BF43F9" w14:paraId="29CC07A3" w14:textId="77777777" w:rsidTr="00490B17">
        <w:tc>
          <w:tcPr>
            <w:tcW w:w="626" w:type="pct"/>
            <w:shd w:val="clear" w:color="auto" w:fill="auto"/>
            <w:vAlign w:val="center"/>
          </w:tcPr>
          <w:p w14:paraId="62544A18" w14:textId="0CD30E44" w:rsidR="00E67CF7" w:rsidRPr="00BF43F9" w:rsidRDefault="00E67CF7" w:rsidP="00BB00B3">
            <w:pPr>
              <w:pStyle w:val="TableText0"/>
              <w:jc w:val="center"/>
            </w:pPr>
            <w:r w:rsidRPr="00BF43F9">
              <w:t>Cost of phototherapy</w:t>
            </w:r>
          </w:p>
        </w:tc>
        <w:tc>
          <w:tcPr>
            <w:tcW w:w="2830" w:type="pct"/>
            <w:shd w:val="clear" w:color="auto" w:fill="auto"/>
            <w:vAlign w:val="center"/>
          </w:tcPr>
          <w:p w14:paraId="56AB5648" w14:textId="298AFF9E" w:rsidR="00E67CF7" w:rsidRPr="00BF43F9" w:rsidRDefault="004972F2" w:rsidP="00BB00B3">
            <w:pPr>
              <w:pStyle w:val="TableText0"/>
            </w:pPr>
            <w:r w:rsidRPr="00BF43F9">
              <w:t>Based on number of course of treatment, number of treatments per week and weeks of phototherapy sourced from the clinician survey.</w:t>
            </w:r>
          </w:p>
        </w:tc>
        <w:tc>
          <w:tcPr>
            <w:tcW w:w="1544" w:type="pct"/>
            <w:shd w:val="clear" w:color="auto" w:fill="auto"/>
            <w:vAlign w:val="center"/>
          </w:tcPr>
          <w:p w14:paraId="0619E0A7" w14:textId="676B0240" w:rsidR="00E67CF7" w:rsidRPr="00BF43F9" w:rsidRDefault="00365244" w:rsidP="00F66BEB">
            <w:pPr>
              <w:pStyle w:val="TableText0"/>
            </w:pPr>
            <w:r w:rsidRPr="00BF43F9">
              <w:t>Moderate</w:t>
            </w:r>
            <w:r w:rsidR="00E67CF7" w:rsidRPr="00BF43F9">
              <w:t>, favours dupilumab</w:t>
            </w:r>
            <w:r w:rsidR="004972F2" w:rsidRPr="00BF43F9">
              <w:t>.</w:t>
            </w:r>
            <w:r w:rsidR="00727E48" w:rsidRPr="00BF43F9">
              <w:t xml:space="preserve"> </w:t>
            </w:r>
            <w:r w:rsidR="004972F2" w:rsidRPr="00BF43F9">
              <w:t>ICER increases to $</w:t>
            </w:r>
            <w:r w:rsidR="00B85535" w:rsidRPr="00B85535">
              <w:rPr>
                <w:color w:val="000000"/>
                <w:spacing w:val="53"/>
                <w:shd w:val="solid" w:color="000000" w:fill="000000"/>
                <w:fitText w:val="330" w:id="-1500860408"/>
                <w14:textFill>
                  <w14:solidFill>
                    <w14:srgbClr w14:val="000000">
                      <w14:alpha w14:val="100000"/>
                    </w14:srgbClr>
                  </w14:solidFill>
                </w14:textFill>
              </w:rPr>
              <w:t>|||</w:t>
            </w:r>
            <w:r w:rsidR="00B85535" w:rsidRPr="00B85535">
              <w:rPr>
                <w:color w:val="000000"/>
                <w:spacing w:val="1"/>
                <w:shd w:val="solid" w:color="000000" w:fill="000000"/>
                <w:fitText w:val="330" w:id="-1500860408"/>
                <w14:textFill>
                  <w14:solidFill>
                    <w14:srgbClr w14:val="000000">
                      <w14:alpha w14:val="100000"/>
                    </w14:srgbClr>
                  </w14:solidFill>
                </w14:textFill>
              </w:rPr>
              <w:t>|</w:t>
            </w:r>
            <w:r w:rsidR="0044577E">
              <w:rPr>
                <w:vertAlign w:val="superscript"/>
              </w:rPr>
              <w:t>3</w:t>
            </w:r>
            <w:r w:rsidR="004972F2" w:rsidRPr="00BF43F9">
              <w:t xml:space="preserve"> when phototherapy costs are removed.</w:t>
            </w:r>
          </w:p>
        </w:tc>
      </w:tr>
      <w:tr w:rsidR="00365244" w:rsidRPr="00BF43F9" w14:paraId="2C61BC9B" w14:textId="77777777" w:rsidTr="00490B17">
        <w:tc>
          <w:tcPr>
            <w:tcW w:w="626" w:type="pct"/>
            <w:shd w:val="clear" w:color="auto" w:fill="auto"/>
            <w:vAlign w:val="center"/>
          </w:tcPr>
          <w:p w14:paraId="3801FADC" w14:textId="3561A67A" w:rsidR="00365244" w:rsidRPr="00BF43F9" w:rsidRDefault="00365244" w:rsidP="00BB00B3">
            <w:pPr>
              <w:pStyle w:val="TableText0"/>
              <w:jc w:val="center"/>
            </w:pPr>
            <w:r w:rsidRPr="00BF43F9">
              <w:t>Other healthcare costs</w:t>
            </w:r>
          </w:p>
        </w:tc>
        <w:tc>
          <w:tcPr>
            <w:tcW w:w="2830" w:type="pct"/>
            <w:shd w:val="clear" w:color="auto" w:fill="auto"/>
            <w:vAlign w:val="center"/>
          </w:tcPr>
          <w:p w14:paraId="3F01ABB4" w14:textId="0748E217" w:rsidR="00365244" w:rsidRPr="00BF43F9" w:rsidRDefault="00365244" w:rsidP="00BB00B3">
            <w:pPr>
              <w:pStyle w:val="TableText0"/>
            </w:pPr>
            <w:r w:rsidRPr="00BF43F9">
              <w:t>Based on mean values from clinician survey for paediatric patients.</w:t>
            </w:r>
          </w:p>
        </w:tc>
        <w:tc>
          <w:tcPr>
            <w:tcW w:w="1544" w:type="pct"/>
            <w:shd w:val="clear" w:color="auto" w:fill="auto"/>
            <w:vAlign w:val="center"/>
          </w:tcPr>
          <w:p w14:paraId="340DD7C2" w14:textId="77777777" w:rsidR="00365244" w:rsidRPr="00BF43F9" w:rsidRDefault="00365244" w:rsidP="00F66BEB">
            <w:pPr>
              <w:pStyle w:val="TableText0"/>
            </w:pPr>
            <w:r w:rsidRPr="00BF43F9">
              <w:t>High, favours dupilumab.</w:t>
            </w:r>
          </w:p>
          <w:p w14:paraId="3E24FF45" w14:textId="034DFE4D" w:rsidR="00365244" w:rsidRPr="00BF43F9" w:rsidDel="00365244" w:rsidRDefault="00365244" w:rsidP="00F66BEB">
            <w:pPr>
              <w:pStyle w:val="TableText0"/>
            </w:pPr>
            <w:r w:rsidRPr="00BF43F9">
              <w:t xml:space="preserve">ICER increases to </w:t>
            </w:r>
            <w:r w:rsidRPr="00BF43F9">
              <w:rPr>
                <w:szCs w:val="20"/>
              </w:rPr>
              <w:t>$</w:t>
            </w:r>
            <w:r w:rsidR="00B85535" w:rsidRPr="00B85535">
              <w:rPr>
                <w:color w:val="000000"/>
                <w:spacing w:val="53"/>
                <w:szCs w:val="20"/>
                <w:shd w:val="solid" w:color="000000" w:fill="000000"/>
                <w:fitText w:val="330" w:id="-1500860407"/>
                <w14:textFill>
                  <w14:solidFill>
                    <w14:srgbClr w14:val="000000">
                      <w14:alpha w14:val="100000"/>
                    </w14:srgbClr>
                  </w14:solidFill>
                </w14:textFill>
              </w:rPr>
              <w:t>|||</w:t>
            </w:r>
            <w:r w:rsidR="00B85535" w:rsidRPr="00B85535">
              <w:rPr>
                <w:color w:val="000000"/>
                <w:spacing w:val="1"/>
                <w:szCs w:val="20"/>
                <w:shd w:val="solid" w:color="000000" w:fill="000000"/>
                <w:fitText w:val="330" w:id="-1500860407"/>
                <w14:textFill>
                  <w14:solidFill>
                    <w14:srgbClr w14:val="000000">
                      <w14:alpha w14:val="100000"/>
                    </w14:srgbClr>
                  </w14:solidFill>
                </w14:textFill>
              </w:rPr>
              <w:t>|</w:t>
            </w:r>
            <w:r w:rsidR="0044577E" w:rsidRPr="0044577E">
              <w:rPr>
                <w:szCs w:val="20"/>
                <w:vertAlign w:val="superscript"/>
              </w:rPr>
              <w:t>2</w:t>
            </w:r>
            <w:r w:rsidRPr="00BF43F9">
              <w:rPr>
                <w:szCs w:val="20"/>
              </w:rPr>
              <w:t xml:space="preserve"> when other healthcare costs are decreased by 50%.</w:t>
            </w:r>
          </w:p>
        </w:tc>
      </w:tr>
    </w:tbl>
    <w:p w14:paraId="30E97087" w14:textId="1149FCAC" w:rsidR="00D110BD" w:rsidRDefault="009D792E" w:rsidP="00BB00B3">
      <w:pPr>
        <w:pStyle w:val="TableFigureFooter"/>
      </w:pPr>
      <w:r w:rsidRPr="00C80985">
        <w:t xml:space="preserve">Source: </w:t>
      </w:r>
      <w:r w:rsidR="00CA5DAA" w:rsidRPr="00C80985">
        <w:t>Section 3.4 to Section 3.6, p184-194 of the submission</w:t>
      </w:r>
      <w:r w:rsidRPr="00C80985">
        <w:t>.</w:t>
      </w:r>
    </w:p>
    <w:p w14:paraId="5E6F0390" w14:textId="63E8842D" w:rsidR="00AD21C5" w:rsidRDefault="00AD21C5" w:rsidP="00BB00B3">
      <w:pPr>
        <w:pStyle w:val="TableFigureFooter"/>
      </w:pPr>
    </w:p>
    <w:p w14:paraId="733882EA" w14:textId="77777777" w:rsidR="00AD21C5" w:rsidRPr="009868C4" w:rsidRDefault="00AD21C5" w:rsidP="00AD21C5">
      <w:pPr>
        <w:pStyle w:val="TableFigureFooter"/>
        <w:spacing w:after="0"/>
        <w:contextualSpacing w:val="0"/>
      </w:pPr>
      <w:r w:rsidRPr="009868C4">
        <w:rPr>
          <w:i/>
        </w:rPr>
        <w:t>The redacted values correspond to the following ranges</w:t>
      </w:r>
      <w:r>
        <w:rPr>
          <w:i/>
        </w:rPr>
        <w:t xml:space="preserve">: </w:t>
      </w:r>
    </w:p>
    <w:p w14:paraId="6ABF0A5F" w14:textId="4D591B0B" w:rsidR="0044577E" w:rsidRDefault="00AD21C5" w:rsidP="0044577E">
      <w:pPr>
        <w:pStyle w:val="3-BodyText"/>
        <w:numPr>
          <w:ilvl w:val="0"/>
          <w:numId w:val="0"/>
        </w:numPr>
        <w:tabs>
          <w:tab w:val="left" w:pos="142"/>
        </w:tabs>
        <w:spacing w:after="0"/>
        <w:rPr>
          <w:rFonts w:ascii="Arial Narrow" w:hAnsi="Arial Narrow"/>
          <w:sz w:val="18"/>
          <w:szCs w:val="18"/>
        </w:rPr>
      </w:pPr>
      <w:r w:rsidRPr="00AD21C5">
        <w:rPr>
          <w:rFonts w:ascii="Arial Narrow" w:hAnsi="Arial Narrow"/>
          <w:sz w:val="18"/>
          <w:szCs w:val="18"/>
          <w:vertAlign w:val="superscript"/>
        </w:rPr>
        <w:t>1</w:t>
      </w:r>
      <w:r w:rsidRPr="00AD21C5">
        <w:rPr>
          <w:rFonts w:ascii="Arial Narrow" w:hAnsi="Arial Narrow"/>
          <w:sz w:val="18"/>
          <w:szCs w:val="18"/>
        </w:rPr>
        <w:t>$25,000 to &lt; $35,000</w:t>
      </w:r>
    </w:p>
    <w:p w14:paraId="6E6F4EE8" w14:textId="7F5932F8" w:rsidR="0044577E" w:rsidRDefault="0044577E" w:rsidP="0044577E">
      <w:pPr>
        <w:pStyle w:val="3-BodyText"/>
        <w:numPr>
          <w:ilvl w:val="0"/>
          <w:numId w:val="0"/>
        </w:numPr>
        <w:tabs>
          <w:tab w:val="left" w:pos="142"/>
        </w:tabs>
        <w:spacing w:after="0"/>
        <w:rPr>
          <w:rFonts w:ascii="Arial Narrow" w:hAnsi="Arial Narrow"/>
          <w:sz w:val="18"/>
          <w:szCs w:val="18"/>
        </w:rPr>
      </w:pPr>
      <w:r>
        <w:rPr>
          <w:rFonts w:ascii="Arial Narrow" w:hAnsi="Arial Narrow"/>
          <w:sz w:val="18"/>
          <w:szCs w:val="18"/>
          <w:vertAlign w:val="superscript"/>
        </w:rPr>
        <w:t>2</w:t>
      </w:r>
      <w:r>
        <w:rPr>
          <w:rFonts w:ascii="Arial Narrow" w:hAnsi="Arial Narrow"/>
          <w:sz w:val="18"/>
          <w:szCs w:val="18"/>
        </w:rPr>
        <w:t>$55,000 to &lt; $75,000</w:t>
      </w:r>
    </w:p>
    <w:p w14:paraId="1C05501A" w14:textId="40A086A3" w:rsidR="0044577E" w:rsidRDefault="0044577E" w:rsidP="0044577E">
      <w:pPr>
        <w:pStyle w:val="3-BodyText"/>
        <w:numPr>
          <w:ilvl w:val="0"/>
          <w:numId w:val="0"/>
        </w:numPr>
        <w:tabs>
          <w:tab w:val="left" w:pos="142"/>
        </w:tabs>
        <w:spacing w:after="0"/>
        <w:rPr>
          <w:rFonts w:ascii="Arial Narrow" w:hAnsi="Arial Narrow"/>
          <w:sz w:val="18"/>
          <w:szCs w:val="18"/>
        </w:rPr>
      </w:pPr>
      <w:r>
        <w:rPr>
          <w:rFonts w:ascii="Arial Narrow" w:hAnsi="Arial Narrow"/>
          <w:sz w:val="18"/>
          <w:szCs w:val="18"/>
          <w:vertAlign w:val="superscript"/>
        </w:rPr>
        <w:t>3</w:t>
      </w:r>
      <w:r>
        <w:rPr>
          <w:rFonts w:ascii="Arial Narrow" w:hAnsi="Arial Narrow"/>
          <w:sz w:val="18"/>
          <w:szCs w:val="18"/>
        </w:rPr>
        <w:t>$35,000 to &lt; $45,000</w:t>
      </w:r>
    </w:p>
    <w:p w14:paraId="6959EBB0" w14:textId="77777777" w:rsidR="0044577E" w:rsidRPr="0044577E" w:rsidRDefault="0044577E" w:rsidP="00AD21C5">
      <w:pPr>
        <w:pStyle w:val="3-BodyText"/>
        <w:numPr>
          <w:ilvl w:val="0"/>
          <w:numId w:val="0"/>
        </w:numPr>
        <w:tabs>
          <w:tab w:val="left" w:pos="142"/>
        </w:tabs>
        <w:rPr>
          <w:rFonts w:ascii="Arial Narrow" w:hAnsi="Arial Narrow"/>
          <w:sz w:val="18"/>
          <w:szCs w:val="18"/>
        </w:rPr>
      </w:pPr>
    </w:p>
    <w:p w14:paraId="6A239C85" w14:textId="77777777" w:rsidR="00AD21C5" w:rsidRPr="00C80985" w:rsidRDefault="00AD21C5" w:rsidP="00BB00B3">
      <w:pPr>
        <w:pStyle w:val="TableFigureFooter"/>
      </w:pPr>
    </w:p>
    <w:p w14:paraId="521008FB" w14:textId="2387B7EE" w:rsidR="00693E14" w:rsidRPr="00C80985" w:rsidRDefault="004C6020" w:rsidP="00BB00B3">
      <w:pPr>
        <w:pStyle w:val="3-BodyText"/>
      </w:pPr>
      <w:r w:rsidRPr="00C80985">
        <w:t>Results of the stepped economic evaluation are provided below.</w:t>
      </w:r>
    </w:p>
    <w:p w14:paraId="63D487B8" w14:textId="20E53F59" w:rsidR="00D110BD" w:rsidRPr="00C80985" w:rsidRDefault="00A20E2D" w:rsidP="00BB00B3">
      <w:pPr>
        <w:pStyle w:val="TableFigureHeading"/>
      </w:pPr>
      <w:r w:rsidRPr="00C80985">
        <w:rPr>
          <w:rStyle w:val="CommentReference"/>
          <w:b/>
          <w:szCs w:val="24"/>
        </w:rPr>
        <w:t xml:space="preserve">Table </w:t>
      </w:r>
      <w:r w:rsidRPr="00C80985">
        <w:rPr>
          <w:rStyle w:val="CommentReference"/>
          <w:b/>
          <w:szCs w:val="24"/>
        </w:rPr>
        <w:fldChar w:fldCharType="begin"/>
      </w:r>
      <w:r w:rsidRPr="00C80985">
        <w:rPr>
          <w:rStyle w:val="CommentReference"/>
          <w:b/>
          <w:szCs w:val="24"/>
        </w:rPr>
        <w:instrText xml:space="preserve"> SEQ Table \* ARABIC </w:instrText>
      </w:r>
      <w:r w:rsidRPr="00C80985">
        <w:rPr>
          <w:rStyle w:val="CommentReference"/>
          <w:b/>
          <w:szCs w:val="24"/>
        </w:rPr>
        <w:fldChar w:fldCharType="separate"/>
      </w:r>
      <w:r w:rsidR="00AA723C">
        <w:rPr>
          <w:rStyle w:val="CommentReference"/>
          <w:b/>
          <w:noProof/>
          <w:szCs w:val="24"/>
        </w:rPr>
        <w:t>16</w:t>
      </w:r>
      <w:r w:rsidRPr="00C80985">
        <w:rPr>
          <w:rStyle w:val="CommentReference"/>
          <w:b/>
          <w:szCs w:val="24"/>
        </w:rPr>
        <w:fldChar w:fldCharType="end"/>
      </w:r>
      <w:r w:rsidR="005A373D" w:rsidRPr="00C80985">
        <w:rPr>
          <w:rStyle w:val="CommentReference"/>
          <w:b/>
          <w:szCs w:val="24"/>
        </w:rPr>
        <w:t>: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674C9D" w:rsidRPr="00C80985" w14:paraId="6EB9C8DB" w14:textId="77777777" w:rsidTr="00E840F9">
        <w:trPr>
          <w:tblHeader/>
        </w:trPr>
        <w:tc>
          <w:tcPr>
            <w:tcW w:w="1529" w:type="pct"/>
            <w:vAlign w:val="center"/>
          </w:tcPr>
          <w:p w14:paraId="0EAB976D" w14:textId="77777777" w:rsidR="00674C9D" w:rsidRPr="00C80985" w:rsidRDefault="00674C9D" w:rsidP="00E840F9">
            <w:pPr>
              <w:pStyle w:val="In-tableHeading"/>
              <w:rPr>
                <w:lang w:val="en-AU"/>
              </w:rPr>
            </w:pPr>
            <w:r w:rsidRPr="00C80985">
              <w:rPr>
                <w:lang w:val="en-AU"/>
              </w:rPr>
              <w:t>Step and component</w:t>
            </w:r>
          </w:p>
        </w:tc>
        <w:tc>
          <w:tcPr>
            <w:tcW w:w="1359" w:type="pct"/>
            <w:vAlign w:val="center"/>
          </w:tcPr>
          <w:p w14:paraId="67DCFC0C" w14:textId="77777777" w:rsidR="00674C9D" w:rsidRPr="00C80985" w:rsidRDefault="00674C9D" w:rsidP="00E840F9">
            <w:pPr>
              <w:pStyle w:val="In-tableHeading"/>
              <w:jc w:val="center"/>
              <w:rPr>
                <w:lang w:val="en-AU"/>
              </w:rPr>
            </w:pPr>
            <w:r w:rsidRPr="00C80985">
              <w:rPr>
                <w:lang w:val="en-AU"/>
              </w:rPr>
              <w:t>Dupilumab</w:t>
            </w:r>
          </w:p>
        </w:tc>
        <w:tc>
          <w:tcPr>
            <w:tcW w:w="1274" w:type="pct"/>
            <w:vAlign w:val="center"/>
          </w:tcPr>
          <w:p w14:paraId="23BE5531" w14:textId="77777777" w:rsidR="00674C9D" w:rsidRPr="00C80985" w:rsidRDefault="00674C9D" w:rsidP="00E840F9">
            <w:pPr>
              <w:pStyle w:val="In-tableHeading"/>
              <w:jc w:val="center"/>
              <w:rPr>
                <w:lang w:val="en-AU"/>
              </w:rPr>
            </w:pPr>
            <w:r w:rsidRPr="00C80985">
              <w:rPr>
                <w:lang w:val="en-AU"/>
              </w:rPr>
              <w:t>Placebo</w:t>
            </w:r>
          </w:p>
        </w:tc>
        <w:tc>
          <w:tcPr>
            <w:tcW w:w="838" w:type="pct"/>
            <w:vAlign w:val="center"/>
          </w:tcPr>
          <w:p w14:paraId="57D703CE" w14:textId="77777777" w:rsidR="00674C9D" w:rsidRPr="00C80985" w:rsidRDefault="00674C9D" w:rsidP="00E840F9">
            <w:pPr>
              <w:pStyle w:val="In-tableHeading"/>
              <w:jc w:val="center"/>
              <w:rPr>
                <w:lang w:val="en-AU"/>
              </w:rPr>
            </w:pPr>
            <w:r w:rsidRPr="00C80985">
              <w:rPr>
                <w:lang w:val="en-AU"/>
              </w:rPr>
              <w:t>Increment</w:t>
            </w:r>
          </w:p>
        </w:tc>
      </w:tr>
      <w:tr w:rsidR="00674C9D" w:rsidRPr="00C80985" w14:paraId="1416B0BC" w14:textId="77777777" w:rsidTr="00E840F9">
        <w:tc>
          <w:tcPr>
            <w:tcW w:w="5000" w:type="pct"/>
            <w:gridSpan w:val="4"/>
            <w:vAlign w:val="center"/>
          </w:tcPr>
          <w:p w14:paraId="685B5D49" w14:textId="77777777" w:rsidR="00674C9D" w:rsidRPr="00C80985" w:rsidRDefault="00674C9D" w:rsidP="00E840F9">
            <w:pPr>
              <w:pStyle w:val="TableText0"/>
              <w:rPr>
                <w:b/>
                <w:bCs w:val="0"/>
              </w:rPr>
            </w:pPr>
            <w:r w:rsidRPr="00C80985">
              <w:rPr>
                <w:b/>
                <w:bCs w:val="0"/>
              </w:rPr>
              <w:t>Step 1: trial-based analysis</w:t>
            </w:r>
          </w:p>
        </w:tc>
      </w:tr>
      <w:tr w:rsidR="00674C9D" w:rsidRPr="00C80985" w14:paraId="6B986480" w14:textId="77777777" w:rsidTr="00B85535">
        <w:tc>
          <w:tcPr>
            <w:tcW w:w="1529" w:type="pct"/>
            <w:vAlign w:val="center"/>
          </w:tcPr>
          <w:p w14:paraId="4586CF66" w14:textId="6BDB834E" w:rsidR="00674C9D" w:rsidRPr="00C80985" w:rsidRDefault="00674C9D" w:rsidP="00E840F9">
            <w:pPr>
              <w:pStyle w:val="TableText0"/>
              <w:rPr>
                <w:rFonts w:ascii="Times" w:hAnsi="Times"/>
              </w:rPr>
            </w:pPr>
            <w:r w:rsidRPr="00C80985">
              <w:t>Costs</w:t>
            </w:r>
            <w:r w:rsidR="0044577E">
              <w:t xml:space="preserve"> ($)</w:t>
            </w:r>
          </w:p>
        </w:tc>
        <w:tc>
          <w:tcPr>
            <w:tcW w:w="1359" w:type="pct"/>
            <w:shd w:val="solid" w:color="000000" w:fill="000000"/>
            <w:vAlign w:val="center"/>
          </w:tcPr>
          <w:p w14:paraId="5FCF513F" w14:textId="6BB5E277" w:rsidR="00674C9D" w:rsidRPr="00B85535" w:rsidRDefault="00B85535" w:rsidP="00E840F9">
            <w:pPr>
              <w:pStyle w:val="TableText0"/>
              <w:jc w:val="center"/>
              <w:rPr>
                <w:rFonts w:ascii="Times" w:hAnsi="Times"/>
              </w:rPr>
            </w:pPr>
            <w:r w:rsidRPr="00B85535">
              <w:rPr>
                <w:color w:val="000000"/>
                <w14:textFill>
                  <w14:solidFill>
                    <w14:srgbClr w14:val="000000">
                      <w14:alpha w14:val="100000"/>
                    </w14:srgbClr>
                  </w14:solidFill>
                </w14:textFill>
              </w:rPr>
              <w:t>|</w:t>
            </w:r>
          </w:p>
        </w:tc>
        <w:tc>
          <w:tcPr>
            <w:tcW w:w="1274" w:type="pct"/>
            <w:shd w:val="solid" w:color="000000" w:fill="000000"/>
            <w:vAlign w:val="center"/>
          </w:tcPr>
          <w:p w14:paraId="2F6CCBE2" w14:textId="7545A72C" w:rsidR="00674C9D" w:rsidRPr="00B85535" w:rsidRDefault="00B85535" w:rsidP="00E840F9">
            <w:pPr>
              <w:pStyle w:val="TableText0"/>
              <w:jc w:val="center"/>
              <w:rPr>
                <w:rFonts w:ascii="Times" w:hAnsi="Times"/>
              </w:rPr>
            </w:pPr>
            <w:r w:rsidRPr="00B85535">
              <w:rPr>
                <w:color w:val="000000"/>
                <w14:textFill>
                  <w14:solidFill>
                    <w14:srgbClr w14:val="000000">
                      <w14:alpha w14:val="100000"/>
                    </w14:srgbClr>
                  </w14:solidFill>
                </w14:textFill>
              </w:rPr>
              <w:t>|</w:t>
            </w:r>
          </w:p>
        </w:tc>
        <w:tc>
          <w:tcPr>
            <w:tcW w:w="838" w:type="pct"/>
            <w:shd w:val="solid" w:color="000000" w:fill="000000"/>
            <w:vAlign w:val="center"/>
          </w:tcPr>
          <w:p w14:paraId="7BD66973" w14:textId="2C5EEDD0" w:rsidR="00674C9D" w:rsidRPr="00B85535" w:rsidRDefault="00B85535" w:rsidP="00E840F9">
            <w:pPr>
              <w:pStyle w:val="TableText0"/>
              <w:jc w:val="center"/>
              <w:rPr>
                <w:rFonts w:ascii="Times" w:hAnsi="Times"/>
              </w:rPr>
            </w:pPr>
            <w:r w:rsidRPr="00B85535">
              <w:rPr>
                <w:color w:val="000000"/>
                <w14:textFill>
                  <w14:solidFill>
                    <w14:srgbClr w14:val="000000">
                      <w14:alpha w14:val="100000"/>
                    </w14:srgbClr>
                  </w14:solidFill>
                </w14:textFill>
              </w:rPr>
              <w:t>|</w:t>
            </w:r>
          </w:p>
        </w:tc>
      </w:tr>
      <w:tr w:rsidR="00674C9D" w:rsidRPr="00C80985" w14:paraId="619458EB" w14:textId="77777777" w:rsidTr="00B85535">
        <w:tc>
          <w:tcPr>
            <w:tcW w:w="1529" w:type="pct"/>
            <w:vAlign w:val="center"/>
          </w:tcPr>
          <w:p w14:paraId="505468ED" w14:textId="77777777" w:rsidR="00674C9D" w:rsidRPr="00C80985" w:rsidRDefault="00674C9D" w:rsidP="00E840F9">
            <w:pPr>
              <w:pStyle w:val="TableText0"/>
              <w:rPr>
                <w:rFonts w:ascii="Times" w:hAnsi="Times"/>
              </w:rPr>
            </w:pPr>
            <w:r w:rsidRPr="00C80985">
              <w:t>% with response</w:t>
            </w:r>
          </w:p>
        </w:tc>
        <w:tc>
          <w:tcPr>
            <w:tcW w:w="1359" w:type="pct"/>
            <w:vAlign w:val="center"/>
          </w:tcPr>
          <w:p w14:paraId="514A31A0" w14:textId="77777777" w:rsidR="00674C9D" w:rsidRPr="00C80985" w:rsidRDefault="00674C9D" w:rsidP="00E840F9">
            <w:pPr>
              <w:pStyle w:val="TableText0"/>
              <w:jc w:val="center"/>
              <w:rPr>
                <w:rFonts w:ascii="Times" w:hAnsi="Times"/>
              </w:rPr>
            </w:pPr>
            <w:r w:rsidRPr="00C80985">
              <w:t>76.92%</w:t>
            </w:r>
          </w:p>
        </w:tc>
        <w:tc>
          <w:tcPr>
            <w:tcW w:w="1274" w:type="pct"/>
            <w:vAlign w:val="center"/>
          </w:tcPr>
          <w:p w14:paraId="265EA5B0" w14:textId="77777777" w:rsidR="00674C9D" w:rsidRPr="00C80985" w:rsidRDefault="00674C9D" w:rsidP="00E840F9">
            <w:pPr>
              <w:pStyle w:val="TableText0"/>
              <w:jc w:val="center"/>
              <w:rPr>
                <w:rFonts w:ascii="Times" w:hAnsi="Times"/>
              </w:rPr>
            </w:pPr>
            <w:r w:rsidRPr="00C80985">
              <w:t>28.57%</w:t>
            </w:r>
          </w:p>
        </w:tc>
        <w:tc>
          <w:tcPr>
            <w:tcW w:w="838" w:type="pct"/>
            <w:tcBorders>
              <w:bottom w:val="single" w:sz="4" w:space="0" w:color="auto"/>
            </w:tcBorders>
            <w:vAlign w:val="center"/>
          </w:tcPr>
          <w:p w14:paraId="18070D42" w14:textId="77777777" w:rsidR="00674C9D" w:rsidRPr="00C80985" w:rsidRDefault="00674C9D" w:rsidP="00E840F9">
            <w:pPr>
              <w:pStyle w:val="TableText0"/>
              <w:jc w:val="center"/>
            </w:pPr>
            <w:r w:rsidRPr="00C80985">
              <w:t>48.35%</w:t>
            </w:r>
          </w:p>
        </w:tc>
      </w:tr>
      <w:tr w:rsidR="00674C9D" w:rsidRPr="00C80985" w14:paraId="5138D4C7" w14:textId="77777777" w:rsidTr="00B85535">
        <w:tc>
          <w:tcPr>
            <w:tcW w:w="4162" w:type="pct"/>
            <w:gridSpan w:val="3"/>
            <w:vAlign w:val="center"/>
          </w:tcPr>
          <w:p w14:paraId="13241534" w14:textId="42A90BB4" w:rsidR="00674C9D" w:rsidRPr="00C80985" w:rsidRDefault="00674C9D" w:rsidP="00E840F9">
            <w:pPr>
              <w:pStyle w:val="TableText0"/>
              <w:rPr>
                <w:rFonts w:ascii="Times" w:hAnsi="Times"/>
              </w:rPr>
            </w:pPr>
            <w:r w:rsidRPr="00C80985">
              <w:t>Incremental cost/responder</w:t>
            </w:r>
            <w:r w:rsidR="0044577E">
              <w:t xml:space="preserve"> ($)</w:t>
            </w:r>
          </w:p>
        </w:tc>
        <w:tc>
          <w:tcPr>
            <w:tcW w:w="838" w:type="pct"/>
            <w:shd w:val="solid" w:color="000000" w:fill="000000"/>
            <w:vAlign w:val="center"/>
          </w:tcPr>
          <w:p w14:paraId="6A4E1998" w14:textId="71EDA531" w:rsidR="00674C9D" w:rsidRPr="00B85535" w:rsidRDefault="00B85535" w:rsidP="00E840F9">
            <w:pPr>
              <w:pStyle w:val="TableText0"/>
              <w:jc w:val="center"/>
              <w:rPr>
                <w:rFonts w:ascii="Times" w:hAnsi="Times"/>
              </w:rPr>
            </w:pPr>
            <w:r w:rsidRPr="00B85535">
              <w:rPr>
                <w:color w:val="000000"/>
                <w14:textFill>
                  <w14:solidFill>
                    <w14:srgbClr w14:val="000000">
                      <w14:alpha w14:val="100000"/>
                    </w14:srgbClr>
                  </w14:solidFill>
                </w14:textFill>
              </w:rPr>
              <w:t>|</w:t>
            </w:r>
          </w:p>
        </w:tc>
      </w:tr>
      <w:tr w:rsidR="00674C9D" w:rsidRPr="00C80985" w14:paraId="36BB28D3" w14:textId="77777777" w:rsidTr="00E840F9">
        <w:tc>
          <w:tcPr>
            <w:tcW w:w="5000" w:type="pct"/>
            <w:gridSpan w:val="4"/>
            <w:vAlign w:val="center"/>
          </w:tcPr>
          <w:p w14:paraId="0C47BA1A" w14:textId="77777777" w:rsidR="00674C9D" w:rsidRPr="00C80985" w:rsidRDefault="00674C9D" w:rsidP="00E840F9">
            <w:pPr>
              <w:pStyle w:val="In-tableHeading"/>
              <w:rPr>
                <w:lang w:val="en-AU"/>
              </w:rPr>
            </w:pPr>
            <w:r w:rsidRPr="00C80985">
              <w:rPr>
                <w:lang w:val="en-AU"/>
              </w:rPr>
              <w:t>Step 2: time horizon extended to 42 weeks</w:t>
            </w:r>
          </w:p>
        </w:tc>
      </w:tr>
      <w:tr w:rsidR="00674C9D" w:rsidRPr="00C80985" w14:paraId="2960B01C" w14:textId="77777777" w:rsidTr="00B85535">
        <w:tc>
          <w:tcPr>
            <w:tcW w:w="1529" w:type="pct"/>
            <w:vAlign w:val="center"/>
          </w:tcPr>
          <w:p w14:paraId="4519F507" w14:textId="5286EB5E" w:rsidR="00674C9D" w:rsidRPr="00C80985" w:rsidRDefault="00674C9D" w:rsidP="00E840F9">
            <w:pPr>
              <w:pStyle w:val="TableText0"/>
              <w:rPr>
                <w:rFonts w:ascii="Times" w:hAnsi="Times"/>
              </w:rPr>
            </w:pPr>
            <w:r w:rsidRPr="00C80985">
              <w:t>Costs</w:t>
            </w:r>
            <w:r w:rsidR="0044577E">
              <w:t xml:space="preserve"> ($)</w:t>
            </w:r>
          </w:p>
        </w:tc>
        <w:tc>
          <w:tcPr>
            <w:tcW w:w="1359" w:type="pct"/>
            <w:shd w:val="solid" w:color="000000" w:fill="000000"/>
            <w:vAlign w:val="center"/>
          </w:tcPr>
          <w:p w14:paraId="0FD9E73C" w14:textId="686D225F" w:rsidR="00674C9D" w:rsidRPr="00B85535" w:rsidRDefault="00B85535" w:rsidP="00E840F9">
            <w:pPr>
              <w:pStyle w:val="TableText0"/>
              <w:jc w:val="center"/>
              <w:rPr>
                <w:rFonts w:ascii="Times" w:hAnsi="Times"/>
              </w:rPr>
            </w:pPr>
            <w:r w:rsidRPr="00B85535">
              <w:rPr>
                <w:color w:val="000000"/>
                <w14:textFill>
                  <w14:solidFill>
                    <w14:srgbClr w14:val="000000">
                      <w14:alpha w14:val="100000"/>
                    </w14:srgbClr>
                  </w14:solidFill>
                </w14:textFill>
              </w:rPr>
              <w:t>|</w:t>
            </w:r>
          </w:p>
        </w:tc>
        <w:tc>
          <w:tcPr>
            <w:tcW w:w="1274" w:type="pct"/>
            <w:shd w:val="solid" w:color="000000" w:fill="000000"/>
            <w:vAlign w:val="center"/>
          </w:tcPr>
          <w:p w14:paraId="3588AC88" w14:textId="386DEE7B" w:rsidR="00674C9D" w:rsidRPr="00B85535" w:rsidRDefault="00B85535" w:rsidP="00E840F9">
            <w:pPr>
              <w:pStyle w:val="TableText0"/>
              <w:jc w:val="center"/>
              <w:rPr>
                <w:rFonts w:ascii="Times" w:hAnsi="Times"/>
              </w:rPr>
            </w:pPr>
            <w:r w:rsidRPr="00B85535">
              <w:rPr>
                <w:color w:val="000000"/>
                <w14:textFill>
                  <w14:solidFill>
                    <w14:srgbClr w14:val="000000">
                      <w14:alpha w14:val="100000"/>
                    </w14:srgbClr>
                  </w14:solidFill>
                </w14:textFill>
              </w:rPr>
              <w:t>|</w:t>
            </w:r>
          </w:p>
        </w:tc>
        <w:tc>
          <w:tcPr>
            <w:tcW w:w="838" w:type="pct"/>
            <w:shd w:val="solid" w:color="000000" w:fill="000000"/>
            <w:vAlign w:val="center"/>
          </w:tcPr>
          <w:p w14:paraId="574FBF09" w14:textId="1671CCDC" w:rsidR="00674C9D" w:rsidRPr="00B85535" w:rsidRDefault="00B85535" w:rsidP="00E840F9">
            <w:pPr>
              <w:pStyle w:val="TableText0"/>
              <w:jc w:val="center"/>
              <w:rPr>
                <w:rFonts w:ascii="Times" w:hAnsi="Times"/>
              </w:rPr>
            </w:pPr>
            <w:r w:rsidRPr="00B85535">
              <w:rPr>
                <w:color w:val="000000"/>
                <w14:textFill>
                  <w14:solidFill>
                    <w14:srgbClr w14:val="000000">
                      <w14:alpha w14:val="100000"/>
                    </w14:srgbClr>
                  </w14:solidFill>
                </w14:textFill>
              </w:rPr>
              <w:t>|</w:t>
            </w:r>
          </w:p>
        </w:tc>
      </w:tr>
      <w:tr w:rsidR="00674C9D" w:rsidRPr="00C80985" w14:paraId="5FA82D76" w14:textId="77777777" w:rsidTr="00B85535">
        <w:tc>
          <w:tcPr>
            <w:tcW w:w="1529" w:type="pct"/>
            <w:vAlign w:val="center"/>
          </w:tcPr>
          <w:p w14:paraId="7D50F4F7" w14:textId="77777777" w:rsidR="00674C9D" w:rsidRPr="00C80985" w:rsidRDefault="00674C9D" w:rsidP="00E840F9">
            <w:pPr>
              <w:pStyle w:val="TableText0"/>
              <w:rPr>
                <w:rFonts w:ascii="Times" w:hAnsi="Times"/>
              </w:rPr>
            </w:pPr>
            <w:r w:rsidRPr="00C80985">
              <w:t>% with response</w:t>
            </w:r>
          </w:p>
        </w:tc>
        <w:tc>
          <w:tcPr>
            <w:tcW w:w="1359" w:type="pct"/>
            <w:vAlign w:val="center"/>
          </w:tcPr>
          <w:p w14:paraId="25D29CEC" w14:textId="77777777" w:rsidR="00674C9D" w:rsidRPr="00C80985" w:rsidRDefault="00674C9D" w:rsidP="00E840F9">
            <w:pPr>
              <w:pStyle w:val="TableText0"/>
              <w:jc w:val="center"/>
              <w:rPr>
                <w:rFonts w:ascii="Times" w:hAnsi="Times"/>
              </w:rPr>
            </w:pPr>
            <w:r w:rsidRPr="00C80985">
              <w:t>73.58%</w:t>
            </w:r>
          </w:p>
        </w:tc>
        <w:tc>
          <w:tcPr>
            <w:tcW w:w="1274" w:type="pct"/>
            <w:vAlign w:val="center"/>
          </w:tcPr>
          <w:p w14:paraId="1BDAC082" w14:textId="77777777" w:rsidR="00674C9D" w:rsidRPr="00C80985" w:rsidRDefault="00674C9D" w:rsidP="00E840F9">
            <w:pPr>
              <w:pStyle w:val="TableText0"/>
              <w:jc w:val="center"/>
              <w:rPr>
                <w:rFonts w:ascii="Times" w:hAnsi="Times"/>
              </w:rPr>
            </w:pPr>
            <w:r w:rsidRPr="00C80985">
              <w:t>19.05%</w:t>
            </w:r>
          </w:p>
        </w:tc>
        <w:tc>
          <w:tcPr>
            <w:tcW w:w="838" w:type="pct"/>
            <w:tcBorders>
              <w:bottom w:val="single" w:sz="4" w:space="0" w:color="auto"/>
            </w:tcBorders>
            <w:vAlign w:val="center"/>
          </w:tcPr>
          <w:p w14:paraId="32180C9A" w14:textId="77777777" w:rsidR="00674C9D" w:rsidRPr="00C80985" w:rsidRDefault="00674C9D" w:rsidP="00E840F9">
            <w:pPr>
              <w:pStyle w:val="TableText0"/>
              <w:jc w:val="center"/>
            </w:pPr>
            <w:r w:rsidRPr="00C80985">
              <w:t>54.53%</w:t>
            </w:r>
          </w:p>
        </w:tc>
      </w:tr>
      <w:tr w:rsidR="00674C9D" w:rsidRPr="00C80985" w14:paraId="0C1847E2" w14:textId="77777777" w:rsidTr="00B85535">
        <w:tc>
          <w:tcPr>
            <w:tcW w:w="4162" w:type="pct"/>
            <w:gridSpan w:val="3"/>
            <w:vAlign w:val="center"/>
          </w:tcPr>
          <w:p w14:paraId="51E4E693" w14:textId="3566E83A" w:rsidR="00674C9D" w:rsidRPr="00C80985" w:rsidRDefault="00674C9D" w:rsidP="00E840F9">
            <w:pPr>
              <w:pStyle w:val="TableText0"/>
              <w:rPr>
                <w:rFonts w:ascii="Times" w:hAnsi="Times"/>
              </w:rPr>
            </w:pPr>
            <w:r w:rsidRPr="00C80985">
              <w:t>Incremental cost/responder</w:t>
            </w:r>
            <w:r w:rsidR="0044577E">
              <w:t xml:space="preserve"> ($)</w:t>
            </w:r>
          </w:p>
        </w:tc>
        <w:tc>
          <w:tcPr>
            <w:tcW w:w="838" w:type="pct"/>
            <w:shd w:val="solid" w:color="000000" w:fill="000000"/>
            <w:vAlign w:val="center"/>
          </w:tcPr>
          <w:p w14:paraId="556E8605" w14:textId="5D89B0CB" w:rsidR="00674C9D" w:rsidRPr="00B85535" w:rsidRDefault="00B85535" w:rsidP="00E840F9">
            <w:pPr>
              <w:pStyle w:val="TableText0"/>
              <w:jc w:val="center"/>
              <w:rPr>
                <w:rFonts w:ascii="Times" w:hAnsi="Times"/>
              </w:rPr>
            </w:pPr>
            <w:r w:rsidRPr="00B85535">
              <w:rPr>
                <w:color w:val="000000"/>
                <w14:textFill>
                  <w14:solidFill>
                    <w14:srgbClr w14:val="000000">
                      <w14:alpha w14:val="100000"/>
                    </w14:srgbClr>
                  </w14:solidFill>
                </w14:textFill>
              </w:rPr>
              <w:t>|</w:t>
            </w:r>
          </w:p>
        </w:tc>
      </w:tr>
      <w:tr w:rsidR="00674C9D" w:rsidRPr="00C80985" w14:paraId="4AF71574" w14:textId="77777777" w:rsidTr="00E840F9">
        <w:tc>
          <w:tcPr>
            <w:tcW w:w="5000" w:type="pct"/>
            <w:gridSpan w:val="4"/>
            <w:vAlign w:val="center"/>
          </w:tcPr>
          <w:p w14:paraId="1A8A6951" w14:textId="77777777" w:rsidR="00674C9D" w:rsidRPr="00C80985" w:rsidRDefault="00674C9D" w:rsidP="00E840F9">
            <w:pPr>
              <w:pStyle w:val="In-tableHeading"/>
              <w:rPr>
                <w:lang w:val="en-AU"/>
              </w:rPr>
            </w:pPr>
            <w:r w:rsidRPr="00C80985">
              <w:rPr>
                <w:lang w:val="en-AU"/>
              </w:rPr>
              <w:t>Step 3: extrapolated to 5 years (base case)</w:t>
            </w:r>
          </w:p>
        </w:tc>
      </w:tr>
      <w:tr w:rsidR="00674C9D" w:rsidRPr="00C80985" w14:paraId="7339ECF4" w14:textId="77777777" w:rsidTr="00B85535">
        <w:tc>
          <w:tcPr>
            <w:tcW w:w="1529" w:type="pct"/>
            <w:vAlign w:val="center"/>
          </w:tcPr>
          <w:p w14:paraId="03FED27E" w14:textId="19D949DC" w:rsidR="00674C9D" w:rsidRPr="00C80985" w:rsidRDefault="00674C9D" w:rsidP="00E840F9">
            <w:pPr>
              <w:pStyle w:val="TableText0"/>
              <w:rPr>
                <w:rFonts w:ascii="Times" w:hAnsi="Times"/>
              </w:rPr>
            </w:pPr>
            <w:r w:rsidRPr="00C80985">
              <w:t>Costs</w:t>
            </w:r>
            <w:r w:rsidR="0044577E">
              <w:t xml:space="preserve"> ($)</w:t>
            </w:r>
          </w:p>
        </w:tc>
        <w:tc>
          <w:tcPr>
            <w:tcW w:w="1359" w:type="pct"/>
            <w:shd w:val="solid" w:color="000000" w:fill="000000"/>
            <w:vAlign w:val="center"/>
          </w:tcPr>
          <w:p w14:paraId="61DDECF6" w14:textId="1F7B3D85" w:rsidR="00674C9D" w:rsidRPr="00B85535" w:rsidRDefault="00B85535" w:rsidP="00E840F9">
            <w:pPr>
              <w:pStyle w:val="TableText0"/>
              <w:jc w:val="center"/>
              <w:rPr>
                <w:rFonts w:ascii="Times" w:hAnsi="Times"/>
              </w:rPr>
            </w:pPr>
            <w:r w:rsidRPr="00B85535">
              <w:rPr>
                <w:color w:val="000000"/>
                <w14:textFill>
                  <w14:solidFill>
                    <w14:srgbClr w14:val="000000">
                      <w14:alpha w14:val="100000"/>
                    </w14:srgbClr>
                  </w14:solidFill>
                </w14:textFill>
              </w:rPr>
              <w:t>|</w:t>
            </w:r>
          </w:p>
        </w:tc>
        <w:tc>
          <w:tcPr>
            <w:tcW w:w="1274" w:type="pct"/>
            <w:shd w:val="solid" w:color="000000" w:fill="000000"/>
            <w:vAlign w:val="center"/>
          </w:tcPr>
          <w:p w14:paraId="19D87442" w14:textId="368C3A44" w:rsidR="00674C9D" w:rsidRPr="00B85535" w:rsidRDefault="00B85535" w:rsidP="00E840F9">
            <w:pPr>
              <w:pStyle w:val="TableText0"/>
              <w:jc w:val="center"/>
              <w:rPr>
                <w:rFonts w:ascii="Times" w:hAnsi="Times"/>
              </w:rPr>
            </w:pPr>
            <w:r w:rsidRPr="00B85535">
              <w:rPr>
                <w:color w:val="000000"/>
                <w14:textFill>
                  <w14:solidFill>
                    <w14:srgbClr w14:val="000000">
                      <w14:alpha w14:val="100000"/>
                    </w14:srgbClr>
                  </w14:solidFill>
                </w14:textFill>
              </w:rPr>
              <w:t>|</w:t>
            </w:r>
          </w:p>
        </w:tc>
        <w:tc>
          <w:tcPr>
            <w:tcW w:w="838" w:type="pct"/>
            <w:shd w:val="solid" w:color="000000" w:fill="000000"/>
            <w:vAlign w:val="center"/>
          </w:tcPr>
          <w:p w14:paraId="1FF0C81E" w14:textId="4BCA71F3" w:rsidR="00674C9D" w:rsidRPr="00B85535" w:rsidRDefault="00B85535" w:rsidP="00E840F9">
            <w:pPr>
              <w:pStyle w:val="TableText0"/>
              <w:jc w:val="center"/>
              <w:rPr>
                <w:rFonts w:ascii="Times" w:hAnsi="Times"/>
              </w:rPr>
            </w:pPr>
            <w:r w:rsidRPr="00B85535">
              <w:rPr>
                <w:color w:val="000000"/>
                <w14:textFill>
                  <w14:solidFill>
                    <w14:srgbClr w14:val="000000">
                      <w14:alpha w14:val="100000"/>
                    </w14:srgbClr>
                  </w14:solidFill>
                </w14:textFill>
              </w:rPr>
              <w:t>|</w:t>
            </w:r>
          </w:p>
        </w:tc>
      </w:tr>
      <w:tr w:rsidR="00674C9D" w:rsidRPr="00C80985" w14:paraId="7D331127" w14:textId="77777777" w:rsidTr="00B85535">
        <w:tc>
          <w:tcPr>
            <w:tcW w:w="1529" w:type="pct"/>
            <w:vAlign w:val="center"/>
          </w:tcPr>
          <w:p w14:paraId="1044467A" w14:textId="77777777" w:rsidR="00674C9D" w:rsidRPr="00C80985" w:rsidRDefault="00674C9D" w:rsidP="00E840F9">
            <w:pPr>
              <w:pStyle w:val="TableText0"/>
            </w:pPr>
            <w:r w:rsidRPr="00C80985">
              <w:t>% with response</w:t>
            </w:r>
          </w:p>
        </w:tc>
        <w:tc>
          <w:tcPr>
            <w:tcW w:w="1359" w:type="pct"/>
            <w:vAlign w:val="center"/>
          </w:tcPr>
          <w:p w14:paraId="26507749" w14:textId="77777777" w:rsidR="00674C9D" w:rsidRPr="00C80985" w:rsidRDefault="00674C9D" w:rsidP="00E840F9">
            <w:pPr>
              <w:pStyle w:val="TableText0"/>
              <w:jc w:val="center"/>
            </w:pPr>
            <w:r w:rsidRPr="00C80985">
              <w:t>33.82%</w:t>
            </w:r>
          </w:p>
        </w:tc>
        <w:tc>
          <w:tcPr>
            <w:tcW w:w="1274" w:type="pct"/>
            <w:vAlign w:val="center"/>
          </w:tcPr>
          <w:p w14:paraId="77FCF180" w14:textId="77777777" w:rsidR="00674C9D" w:rsidRPr="00C80985" w:rsidRDefault="00674C9D" w:rsidP="00E840F9">
            <w:pPr>
              <w:pStyle w:val="TableText0"/>
              <w:jc w:val="center"/>
            </w:pPr>
            <w:r w:rsidRPr="00C80985">
              <w:t>0.74%</w:t>
            </w:r>
          </w:p>
        </w:tc>
        <w:tc>
          <w:tcPr>
            <w:tcW w:w="838" w:type="pct"/>
            <w:tcBorders>
              <w:bottom w:val="single" w:sz="4" w:space="0" w:color="auto"/>
            </w:tcBorders>
            <w:vAlign w:val="center"/>
          </w:tcPr>
          <w:p w14:paraId="3DC9AE5E" w14:textId="77777777" w:rsidR="00674C9D" w:rsidRPr="00C80985" w:rsidRDefault="00674C9D" w:rsidP="00E840F9">
            <w:pPr>
              <w:pStyle w:val="TableText0"/>
              <w:jc w:val="center"/>
            </w:pPr>
            <w:r w:rsidRPr="00C80985">
              <w:t>33.08%</w:t>
            </w:r>
          </w:p>
        </w:tc>
      </w:tr>
      <w:tr w:rsidR="00674C9D" w:rsidRPr="00C80985" w14:paraId="5482892C" w14:textId="77777777" w:rsidTr="00B85535">
        <w:tc>
          <w:tcPr>
            <w:tcW w:w="4162" w:type="pct"/>
            <w:gridSpan w:val="3"/>
            <w:vAlign w:val="center"/>
          </w:tcPr>
          <w:p w14:paraId="2B261089" w14:textId="33DE0CAC" w:rsidR="00674C9D" w:rsidRPr="00C80985" w:rsidRDefault="00674C9D" w:rsidP="00E840F9">
            <w:pPr>
              <w:pStyle w:val="TableText0"/>
            </w:pPr>
            <w:r w:rsidRPr="00C80985">
              <w:t>Incremental cost/responder</w:t>
            </w:r>
            <w:r w:rsidR="0044577E">
              <w:t xml:space="preserve"> ($)</w:t>
            </w:r>
          </w:p>
        </w:tc>
        <w:tc>
          <w:tcPr>
            <w:tcW w:w="838" w:type="pct"/>
            <w:shd w:val="solid" w:color="000000" w:fill="000000"/>
            <w:vAlign w:val="center"/>
          </w:tcPr>
          <w:p w14:paraId="6E552BE9" w14:textId="7F151276" w:rsidR="00674C9D" w:rsidRPr="00B85535" w:rsidRDefault="00B85535" w:rsidP="00E840F9">
            <w:pPr>
              <w:pStyle w:val="TableText0"/>
              <w:jc w:val="center"/>
            </w:pPr>
            <w:r w:rsidRPr="00B85535">
              <w:rPr>
                <w:color w:val="000000"/>
                <w14:textFill>
                  <w14:solidFill>
                    <w14:srgbClr w14:val="000000">
                      <w14:alpha w14:val="100000"/>
                    </w14:srgbClr>
                  </w14:solidFill>
                </w14:textFill>
              </w:rPr>
              <w:t>|</w:t>
            </w:r>
          </w:p>
        </w:tc>
      </w:tr>
      <w:tr w:rsidR="00674C9D" w:rsidRPr="00C80985" w14:paraId="4398437B" w14:textId="77777777" w:rsidTr="00B85535">
        <w:tc>
          <w:tcPr>
            <w:tcW w:w="1529" w:type="pct"/>
            <w:vAlign w:val="center"/>
          </w:tcPr>
          <w:p w14:paraId="2ED53CD2" w14:textId="77777777" w:rsidR="00674C9D" w:rsidRPr="00C80985" w:rsidRDefault="00674C9D" w:rsidP="00E840F9">
            <w:pPr>
              <w:pStyle w:val="TableText0"/>
              <w:rPr>
                <w:rFonts w:ascii="Times" w:hAnsi="Times"/>
              </w:rPr>
            </w:pPr>
            <w:r w:rsidRPr="00C80985">
              <w:t>QALYs</w:t>
            </w:r>
          </w:p>
        </w:tc>
        <w:tc>
          <w:tcPr>
            <w:tcW w:w="1359" w:type="pct"/>
            <w:vAlign w:val="center"/>
          </w:tcPr>
          <w:p w14:paraId="458B03FA" w14:textId="77777777" w:rsidR="00674C9D" w:rsidRPr="00C80985" w:rsidRDefault="00674C9D" w:rsidP="00E840F9">
            <w:pPr>
              <w:pStyle w:val="TableText0"/>
              <w:jc w:val="center"/>
              <w:rPr>
                <w:rFonts w:ascii="Times" w:hAnsi="Times"/>
              </w:rPr>
            </w:pPr>
            <w:r w:rsidRPr="00C80985">
              <w:t>3.88</w:t>
            </w:r>
          </w:p>
        </w:tc>
        <w:tc>
          <w:tcPr>
            <w:tcW w:w="1274" w:type="pct"/>
            <w:vAlign w:val="center"/>
          </w:tcPr>
          <w:p w14:paraId="012476CD" w14:textId="77777777" w:rsidR="00674C9D" w:rsidRPr="00C80985" w:rsidRDefault="00674C9D" w:rsidP="00E840F9">
            <w:pPr>
              <w:pStyle w:val="TableText0"/>
              <w:jc w:val="center"/>
              <w:rPr>
                <w:rFonts w:ascii="Times" w:hAnsi="Times"/>
              </w:rPr>
            </w:pPr>
            <w:r w:rsidRPr="00C80985">
              <w:t>3.49</w:t>
            </w:r>
          </w:p>
        </w:tc>
        <w:tc>
          <w:tcPr>
            <w:tcW w:w="838" w:type="pct"/>
            <w:tcBorders>
              <w:bottom w:val="single" w:sz="4" w:space="0" w:color="auto"/>
            </w:tcBorders>
            <w:vAlign w:val="center"/>
          </w:tcPr>
          <w:p w14:paraId="6EEE35F1" w14:textId="77777777" w:rsidR="00674C9D" w:rsidRPr="00C80985" w:rsidRDefault="00674C9D" w:rsidP="00E840F9">
            <w:pPr>
              <w:pStyle w:val="TableText0"/>
              <w:jc w:val="center"/>
            </w:pPr>
            <w:r w:rsidRPr="00C80985">
              <w:t>0.3926</w:t>
            </w:r>
          </w:p>
        </w:tc>
      </w:tr>
      <w:tr w:rsidR="00674C9D" w:rsidRPr="00C80985" w14:paraId="6B60F09D" w14:textId="77777777" w:rsidTr="00B85535">
        <w:tc>
          <w:tcPr>
            <w:tcW w:w="4162" w:type="pct"/>
            <w:gridSpan w:val="3"/>
            <w:vAlign w:val="center"/>
          </w:tcPr>
          <w:p w14:paraId="43619E79" w14:textId="66FB7373" w:rsidR="00674C9D" w:rsidRPr="00C80985" w:rsidRDefault="00674C9D" w:rsidP="00E840F9">
            <w:pPr>
              <w:pStyle w:val="TableText0"/>
              <w:rPr>
                <w:rFonts w:ascii="Times" w:hAnsi="Times"/>
                <w:b/>
              </w:rPr>
            </w:pPr>
            <w:r w:rsidRPr="00C80985">
              <w:rPr>
                <w:b/>
              </w:rPr>
              <w:t>Incremental cost/extra QALY gained (base case)</w:t>
            </w:r>
            <w:r w:rsidR="0044577E">
              <w:rPr>
                <w:b/>
              </w:rPr>
              <w:t xml:space="preserve"> ($)</w:t>
            </w:r>
          </w:p>
        </w:tc>
        <w:tc>
          <w:tcPr>
            <w:tcW w:w="838" w:type="pct"/>
            <w:shd w:val="solid" w:color="000000" w:fill="000000"/>
            <w:vAlign w:val="center"/>
          </w:tcPr>
          <w:p w14:paraId="13096B2A" w14:textId="71CD6EF7" w:rsidR="00674C9D" w:rsidRPr="00B85535" w:rsidRDefault="00B85535" w:rsidP="00E840F9">
            <w:pPr>
              <w:pStyle w:val="TableText0"/>
              <w:jc w:val="center"/>
              <w:rPr>
                <w:rFonts w:ascii="Times" w:hAnsi="Times"/>
                <w:b/>
              </w:rPr>
            </w:pPr>
            <w:r w:rsidRPr="00B85535">
              <w:rPr>
                <w:b/>
                <w:color w:val="000000"/>
                <w14:textFill>
                  <w14:solidFill>
                    <w14:srgbClr w14:val="000000">
                      <w14:alpha w14:val="100000"/>
                    </w14:srgbClr>
                  </w14:solidFill>
                </w14:textFill>
              </w:rPr>
              <w:t>|</w:t>
            </w:r>
          </w:p>
        </w:tc>
      </w:tr>
    </w:tbl>
    <w:p w14:paraId="22EDE49A" w14:textId="6D65231C" w:rsidR="005A373D" w:rsidRPr="00C80985" w:rsidRDefault="00674C9D" w:rsidP="00056ECF">
      <w:pPr>
        <w:pStyle w:val="TableFigureFooter"/>
        <w:rPr>
          <w:rStyle w:val="CommentReference"/>
          <w:b w:val="0"/>
          <w:sz w:val="18"/>
          <w:szCs w:val="22"/>
        </w:rPr>
      </w:pPr>
      <w:r w:rsidRPr="00C80985">
        <w:t>Source: Table 3-13, p195-196 of the submission.</w:t>
      </w:r>
    </w:p>
    <w:p w14:paraId="26D6BF8C" w14:textId="7805578B" w:rsidR="001131B4" w:rsidRPr="00C80985" w:rsidRDefault="001131B4" w:rsidP="00BB732D">
      <w:pPr>
        <w:pStyle w:val="3-BodyText"/>
      </w:pPr>
      <w:r w:rsidRPr="00C80985">
        <w:t>Results of sensitivity analyses are provided in the table below.</w:t>
      </w:r>
    </w:p>
    <w:p w14:paraId="7FFC5AA4" w14:textId="4F4B11B3" w:rsidR="001131B4" w:rsidRPr="00C80985" w:rsidRDefault="001131B4" w:rsidP="000343A2">
      <w:pPr>
        <w:pStyle w:val="3-BodyText"/>
        <w:keepNext/>
        <w:keepLines/>
        <w:numPr>
          <w:ilvl w:val="0"/>
          <w:numId w:val="0"/>
        </w:numPr>
        <w:spacing w:after="0"/>
      </w:pPr>
      <w:bookmarkStart w:id="37" w:name="_Ref96099558"/>
      <w:r w:rsidRPr="00C80985">
        <w:rPr>
          <w:rStyle w:val="CommentReference"/>
          <w:szCs w:val="24"/>
        </w:rPr>
        <w:lastRenderedPageBreak/>
        <w:t xml:space="preserve">Table </w:t>
      </w:r>
      <w:r w:rsidRPr="00C80985">
        <w:rPr>
          <w:rStyle w:val="CommentReference"/>
          <w:b w:val="0"/>
          <w:szCs w:val="24"/>
        </w:rPr>
        <w:fldChar w:fldCharType="begin"/>
      </w:r>
      <w:r w:rsidRPr="00C80985">
        <w:rPr>
          <w:rStyle w:val="CommentReference"/>
          <w:szCs w:val="24"/>
        </w:rPr>
        <w:instrText xml:space="preserve"> SEQ Table \* ARABIC </w:instrText>
      </w:r>
      <w:r w:rsidRPr="00C80985">
        <w:rPr>
          <w:rStyle w:val="CommentReference"/>
          <w:b w:val="0"/>
          <w:szCs w:val="24"/>
        </w:rPr>
        <w:fldChar w:fldCharType="separate"/>
      </w:r>
      <w:r w:rsidR="00AA723C">
        <w:rPr>
          <w:rStyle w:val="CommentReference"/>
          <w:noProof/>
          <w:szCs w:val="24"/>
        </w:rPr>
        <w:t>17</w:t>
      </w:r>
      <w:r w:rsidRPr="00C80985">
        <w:rPr>
          <w:rStyle w:val="CommentReference"/>
          <w:b w:val="0"/>
          <w:szCs w:val="24"/>
        </w:rPr>
        <w:fldChar w:fldCharType="end"/>
      </w:r>
      <w:bookmarkEnd w:id="37"/>
      <w:r w:rsidRPr="00C80985">
        <w:rPr>
          <w:rStyle w:val="CommentReference"/>
          <w:szCs w:val="24"/>
        </w:rPr>
        <w:t xml:space="preserve">: </w:t>
      </w:r>
      <w:r w:rsidRPr="00C80985">
        <w:rPr>
          <w:rStyle w:val="CommentReference"/>
        </w:rPr>
        <w:t>Results of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31"/>
        <w:gridCol w:w="1436"/>
        <w:gridCol w:w="1579"/>
        <w:gridCol w:w="1271"/>
      </w:tblGrid>
      <w:tr w:rsidR="00A20E2D" w:rsidRPr="00C80985" w14:paraId="5B287F2C" w14:textId="77777777" w:rsidTr="00B85535">
        <w:trPr>
          <w:cantSplit/>
          <w:tblHeader/>
        </w:trPr>
        <w:tc>
          <w:tcPr>
            <w:tcW w:w="4673" w:type="dxa"/>
            <w:vAlign w:val="center"/>
          </w:tcPr>
          <w:p w14:paraId="79C26FA0" w14:textId="77777777" w:rsidR="00A20E2D" w:rsidRPr="00C80985" w:rsidRDefault="00A20E2D" w:rsidP="000343A2">
            <w:pPr>
              <w:pStyle w:val="Tabletext"/>
              <w:keepNext/>
              <w:keepLines/>
              <w:widowControl w:val="0"/>
              <w:tabs>
                <w:tab w:val="left" w:pos="142"/>
              </w:tabs>
              <w:rPr>
                <w:b/>
              </w:rPr>
            </w:pPr>
            <w:r w:rsidRPr="00C80985">
              <w:rPr>
                <w:b/>
              </w:rPr>
              <w:t>Analyses</w:t>
            </w:r>
          </w:p>
        </w:tc>
        <w:tc>
          <w:tcPr>
            <w:tcW w:w="1418" w:type="dxa"/>
            <w:tcBorders>
              <w:bottom w:val="single" w:sz="4" w:space="0" w:color="auto"/>
            </w:tcBorders>
            <w:vAlign w:val="center"/>
          </w:tcPr>
          <w:p w14:paraId="33413E31" w14:textId="52CCA465" w:rsidR="00A20E2D" w:rsidRPr="00C80985" w:rsidRDefault="00A20E2D" w:rsidP="000343A2">
            <w:pPr>
              <w:pStyle w:val="Tabletext"/>
              <w:keepNext/>
              <w:keepLines/>
              <w:widowControl w:val="0"/>
              <w:jc w:val="center"/>
              <w:rPr>
                <w:b/>
              </w:rPr>
            </w:pPr>
            <w:r w:rsidRPr="00C80985">
              <w:rPr>
                <w:b/>
              </w:rPr>
              <w:t>Incremental cost</w:t>
            </w:r>
            <w:r w:rsidR="0044577E">
              <w:rPr>
                <w:b/>
              </w:rPr>
              <w:t xml:space="preserve"> ($)</w:t>
            </w:r>
          </w:p>
        </w:tc>
        <w:tc>
          <w:tcPr>
            <w:tcW w:w="1559" w:type="dxa"/>
            <w:vAlign w:val="center"/>
          </w:tcPr>
          <w:p w14:paraId="68FBBB62" w14:textId="77777777" w:rsidR="00A20E2D" w:rsidRPr="00C80985" w:rsidRDefault="00A20E2D" w:rsidP="000343A2">
            <w:pPr>
              <w:pStyle w:val="Tabletext"/>
              <w:keepNext/>
              <w:keepLines/>
              <w:widowControl w:val="0"/>
              <w:jc w:val="center"/>
              <w:rPr>
                <w:b/>
              </w:rPr>
            </w:pPr>
            <w:r w:rsidRPr="00C80985">
              <w:rPr>
                <w:b/>
              </w:rPr>
              <w:t>Incremental QALY</w:t>
            </w:r>
          </w:p>
        </w:tc>
        <w:tc>
          <w:tcPr>
            <w:tcW w:w="1255" w:type="dxa"/>
            <w:vAlign w:val="center"/>
          </w:tcPr>
          <w:p w14:paraId="1C5099C9" w14:textId="69C782D6" w:rsidR="00A20E2D" w:rsidRPr="00C80985" w:rsidRDefault="00A20E2D" w:rsidP="000343A2">
            <w:pPr>
              <w:pStyle w:val="Tabletext"/>
              <w:keepNext/>
              <w:keepLines/>
              <w:widowControl w:val="0"/>
              <w:jc w:val="center"/>
              <w:rPr>
                <w:b/>
              </w:rPr>
            </w:pPr>
            <w:r w:rsidRPr="00C80985">
              <w:rPr>
                <w:b/>
              </w:rPr>
              <w:t>ICER</w:t>
            </w:r>
            <w:r w:rsidR="0044577E">
              <w:rPr>
                <w:b/>
              </w:rPr>
              <w:t xml:space="preserve"> ($)</w:t>
            </w:r>
          </w:p>
        </w:tc>
      </w:tr>
      <w:tr w:rsidR="00A20E2D" w:rsidRPr="00C80985" w14:paraId="6351A004" w14:textId="77777777" w:rsidTr="00B85535">
        <w:trPr>
          <w:cantSplit/>
        </w:trPr>
        <w:tc>
          <w:tcPr>
            <w:tcW w:w="4673" w:type="dxa"/>
            <w:vAlign w:val="center"/>
          </w:tcPr>
          <w:p w14:paraId="3BA39BF1" w14:textId="77777777" w:rsidR="00A20E2D" w:rsidRPr="00C80985" w:rsidRDefault="00A20E2D" w:rsidP="000343A2">
            <w:pPr>
              <w:pStyle w:val="Tabletext"/>
              <w:keepNext/>
              <w:keepLines/>
              <w:widowControl w:val="0"/>
              <w:tabs>
                <w:tab w:val="left" w:pos="142"/>
              </w:tabs>
              <w:rPr>
                <w:b/>
              </w:rPr>
            </w:pPr>
            <w:r w:rsidRPr="00C80985">
              <w:rPr>
                <w:b/>
              </w:rPr>
              <w:t>Base case</w:t>
            </w:r>
          </w:p>
        </w:tc>
        <w:tc>
          <w:tcPr>
            <w:tcW w:w="1418" w:type="dxa"/>
            <w:shd w:val="solid" w:color="000000" w:fill="000000"/>
            <w:vAlign w:val="center"/>
          </w:tcPr>
          <w:p w14:paraId="0EA2480B" w14:textId="1738CA83" w:rsidR="00A20E2D" w:rsidRPr="00B85535" w:rsidRDefault="00B85535" w:rsidP="000343A2">
            <w:pPr>
              <w:pStyle w:val="Tabletext"/>
              <w:keepNext/>
              <w:keepLines/>
              <w:widowControl w:val="0"/>
              <w:jc w:val="center"/>
              <w:rPr>
                <w:b/>
              </w:rPr>
            </w:pPr>
            <w:r w:rsidRPr="00B85535">
              <w:rPr>
                <w:rFonts w:cs="Arial"/>
                <w:b/>
                <w:color w:val="000000"/>
                <w:szCs w:val="20"/>
                <w14:textFill>
                  <w14:solidFill>
                    <w14:srgbClr w14:val="000000">
                      <w14:alpha w14:val="100000"/>
                    </w14:srgbClr>
                  </w14:solidFill>
                </w14:textFill>
              </w:rPr>
              <w:t>|</w:t>
            </w:r>
          </w:p>
        </w:tc>
        <w:tc>
          <w:tcPr>
            <w:tcW w:w="1559" w:type="dxa"/>
            <w:vAlign w:val="center"/>
          </w:tcPr>
          <w:p w14:paraId="02B27929" w14:textId="77777777" w:rsidR="00A20E2D" w:rsidRPr="00C80985" w:rsidRDefault="00A20E2D" w:rsidP="000343A2">
            <w:pPr>
              <w:pStyle w:val="Tabletext"/>
              <w:keepNext/>
              <w:keepLines/>
              <w:widowControl w:val="0"/>
              <w:jc w:val="center"/>
              <w:rPr>
                <w:b/>
              </w:rPr>
            </w:pPr>
            <w:r w:rsidRPr="00C80985">
              <w:rPr>
                <w:rFonts w:cs="Arial"/>
                <w:b/>
                <w:szCs w:val="20"/>
              </w:rPr>
              <w:t>0.3926</w:t>
            </w:r>
          </w:p>
        </w:tc>
        <w:tc>
          <w:tcPr>
            <w:tcW w:w="1255" w:type="dxa"/>
            <w:vAlign w:val="center"/>
          </w:tcPr>
          <w:p w14:paraId="13DEBEFD" w14:textId="0942D979" w:rsidR="00A20E2D" w:rsidRPr="00A705E5" w:rsidRDefault="00B85535" w:rsidP="000343A2">
            <w:pPr>
              <w:pStyle w:val="Tabletext"/>
              <w:keepNext/>
              <w:keepLines/>
              <w:widowControl w:val="0"/>
              <w:jc w:val="center"/>
              <w:rPr>
                <w:b/>
                <w:vertAlign w:val="superscript"/>
              </w:rPr>
            </w:pPr>
            <w:r w:rsidRPr="00AA723C">
              <w:rPr>
                <w:rFonts w:cs="Arial" w:hint="eastAsia"/>
                <w:b/>
                <w:color w:val="000000"/>
                <w:w w:val="15"/>
                <w:szCs w:val="20"/>
                <w:shd w:val="solid" w:color="000000" w:fill="000000"/>
                <w:fitText w:val="10" w:id="-1500860406"/>
                <w14:textFill>
                  <w14:solidFill>
                    <w14:srgbClr w14:val="000000">
                      <w14:alpha w14:val="100000"/>
                    </w14:srgbClr>
                  </w14:solidFill>
                </w14:textFill>
              </w:rPr>
              <w:t xml:space="preserve">　</w:t>
            </w:r>
            <w:r w:rsidRPr="00AA723C">
              <w:rPr>
                <w:rFonts w:cs="Arial"/>
                <w:b/>
                <w:color w:val="000000"/>
                <w:w w:val="15"/>
                <w:szCs w:val="20"/>
                <w:shd w:val="solid" w:color="000000" w:fill="000000"/>
                <w:fitText w:val="10" w:id="-1500860406"/>
                <w14:textFill>
                  <w14:solidFill>
                    <w14:srgbClr w14:val="000000">
                      <w14:alpha w14:val="100000"/>
                    </w14:srgbClr>
                  </w14:solidFill>
                </w14:textFill>
              </w:rPr>
              <w:t>|</w:t>
            </w:r>
            <w:r w:rsidRPr="00AA723C">
              <w:rPr>
                <w:rFonts w:cs="Arial" w:hint="eastAsia"/>
                <w:b/>
                <w:color w:val="000000"/>
                <w:spacing w:val="-56"/>
                <w:w w:val="15"/>
                <w:szCs w:val="20"/>
                <w:shd w:val="solid" w:color="000000" w:fill="000000"/>
                <w:fitText w:val="10" w:id="-1500860406"/>
                <w14:textFill>
                  <w14:solidFill>
                    <w14:srgbClr w14:val="000000">
                      <w14:alpha w14:val="100000"/>
                    </w14:srgbClr>
                  </w14:solidFill>
                </w14:textFill>
              </w:rPr>
              <w:t xml:space="preserve">　</w:t>
            </w:r>
            <w:r w:rsidR="00A705E5">
              <w:rPr>
                <w:rFonts w:cs="Arial"/>
                <w:b/>
                <w:szCs w:val="20"/>
                <w:vertAlign w:val="superscript"/>
              </w:rPr>
              <w:t>1</w:t>
            </w:r>
          </w:p>
        </w:tc>
      </w:tr>
      <w:tr w:rsidR="00A20E2D" w:rsidRPr="00C80985" w14:paraId="0D7CC7D3" w14:textId="77777777" w:rsidTr="006551EA">
        <w:trPr>
          <w:cantSplit/>
          <w:trHeight w:val="129"/>
        </w:trPr>
        <w:tc>
          <w:tcPr>
            <w:tcW w:w="8905" w:type="dxa"/>
            <w:gridSpan w:val="4"/>
            <w:vAlign w:val="center"/>
          </w:tcPr>
          <w:p w14:paraId="4D749B75" w14:textId="06112FFB" w:rsidR="00A20E2D" w:rsidRPr="00C80985" w:rsidRDefault="00A20E2D" w:rsidP="000343A2">
            <w:pPr>
              <w:keepNext/>
              <w:keepLines/>
              <w:widowControl w:val="0"/>
              <w:jc w:val="left"/>
              <w:rPr>
                <w:rFonts w:ascii="Arial Narrow" w:hAnsi="Arial Narrow"/>
                <w:sz w:val="20"/>
                <w:szCs w:val="20"/>
              </w:rPr>
            </w:pPr>
            <w:r w:rsidRPr="00C80985">
              <w:rPr>
                <w:rFonts w:ascii="Arial Narrow" w:hAnsi="Arial Narrow"/>
                <w:sz w:val="20"/>
                <w:szCs w:val="20"/>
              </w:rPr>
              <w:t xml:space="preserve">Probability EASI 50 and </w:t>
            </w:r>
            <w:r w:rsidR="00766BD7" w:rsidRPr="00C80985">
              <w:rPr>
                <w:rFonts w:ascii="Arial Narrow" w:hAnsi="Arial Narrow"/>
                <w:sz w:val="20"/>
                <w:szCs w:val="20"/>
              </w:rPr>
              <w:t>CDLQI</w:t>
            </w:r>
            <w:r w:rsidRPr="00C80985">
              <w:rPr>
                <w:rFonts w:ascii="Arial Narrow" w:hAnsi="Arial Narrow"/>
                <w:sz w:val="20"/>
                <w:szCs w:val="20"/>
              </w:rPr>
              <w:t xml:space="preserve"> response at 16 weeks (base case: dupilumab 76.9%; placebo 28.6%)</w:t>
            </w:r>
          </w:p>
        </w:tc>
      </w:tr>
      <w:tr w:rsidR="00A20E2D" w:rsidRPr="00C80985" w14:paraId="25AF2B68" w14:textId="77777777" w:rsidTr="00B85535">
        <w:trPr>
          <w:cantSplit/>
          <w:trHeight w:val="129"/>
        </w:trPr>
        <w:tc>
          <w:tcPr>
            <w:tcW w:w="4673" w:type="dxa"/>
            <w:vAlign w:val="center"/>
          </w:tcPr>
          <w:p w14:paraId="070AA7D9" w14:textId="77777777" w:rsidR="00A20E2D" w:rsidRPr="00C80985" w:rsidRDefault="00A20E2D" w:rsidP="000343A2">
            <w:pPr>
              <w:pStyle w:val="Tabletext"/>
              <w:keepNext/>
              <w:keepLines/>
              <w:widowControl w:val="0"/>
              <w:tabs>
                <w:tab w:val="left" w:pos="142"/>
              </w:tabs>
            </w:pPr>
            <w:r w:rsidRPr="00C80985">
              <w:tab/>
              <w:t>Dupilumab lower 95% CI 69.3%</w:t>
            </w:r>
          </w:p>
        </w:tc>
        <w:tc>
          <w:tcPr>
            <w:tcW w:w="1418" w:type="dxa"/>
            <w:tcBorders>
              <w:bottom w:val="single" w:sz="4" w:space="0" w:color="auto"/>
            </w:tcBorders>
            <w:shd w:val="solid" w:color="000000" w:fill="000000"/>
            <w:vAlign w:val="center"/>
          </w:tcPr>
          <w:p w14:paraId="3ED5DA2B" w14:textId="17C47C22" w:rsidR="00A20E2D" w:rsidRPr="00B85535" w:rsidRDefault="00B85535" w:rsidP="000343A2">
            <w:pPr>
              <w:pStyle w:val="Tabletext"/>
              <w:keepNext/>
              <w:keepLines/>
              <w:widowControl w:val="0"/>
              <w:jc w:val="center"/>
              <w:rPr>
                <w:szCs w:val="20"/>
              </w:rPr>
            </w:pPr>
            <w:r w:rsidRPr="00B85535">
              <w:rPr>
                <w:rFonts w:cs="Calibri"/>
                <w:color w:val="000000"/>
                <w:szCs w:val="20"/>
                <w14:textFill>
                  <w14:solidFill>
                    <w14:srgbClr w14:val="000000">
                      <w14:alpha w14:val="100000"/>
                    </w14:srgbClr>
                  </w14:solidFill>
                </w14:textFill>
              </w:rPr>
              <w:t>|</w:t>
            </w:r>
          </w:p>
        </w:tc>
        <w:tc>
          <w:tcPr>
            <w:tcW w:w="1559" w:type="dxa"/>
            <w:vAlign w:val="center"/>
          </w:tcPr>
          <w:p w14:paraId="2D1F6F26" w14:textId="77777777" w:rsidR="00A20E2D" w:rsidRPr="00C80985" w:rsidRDefault="00A20E2D" w:rsidP="000343A2">
            <w:pPr>
              <w:pStyle w:val="Tabletext"/>
              <w:keepNext/>
              <w:keepLines/>
              <w:widowControl w:val="0"/>
              <w:jc w:val="center"/>
              <w:rPr>
                <w:szCs w:val="20"/>
              </w:rPr>
            </w:pPr>
            <w:r w:rsidRPr="00C80985">
              <w:rPr>
                <w:rFonts w:cs="Calibri"/>
                <w:color w:val="000000"/>
                <w:szCs w:val="20"/>
              </w:rPr>
              <w:t>0.35</w:t>
            </w:r>
          </w:p>
        </w:tc>
        <w:tc>
          <w:tcPr>
            <w:tcW w:w="1255" w:type="dxa"/>
            <w:vAlign w:val="center"/>
          </w:tcPr>
          <w:p w14:paraId="29F7E23E" w14:textId="739CE88F" w:rsidR="00A20E2D" w:rsidRPr="00A705E5" w:rsidRDefault="00B85535" w:rsidP="000343A2">
            <w:pPr>
              <w:keepNext/>
              <w:keepLines/>
              <w:widowControl w:val="0"/>
              <w:jc w:val="center"/>
              <w:rPr>
                <w:rFonts w:ascii="Arial Narrow" w:hAnsi="Arial Narrow"/>
                <w:sz w:val="20"/>
                <w:szCs w:val="20"/>
                <w:highlight w:val="yellow"/>
                <w:vertAlign w:val="superscript"/>
              </w:rPr>
            </w:pPr>
            <w:r w:rsidRPr="00B85535">
              <w:rPr>
                <w:rFonts w:ascii="Arial Narrow" w:hAnsi="Arial Narrow" w:cs="Calibri"/>
                <w:color w:val="000000"/>
                <w:sz w:val="20"/>
                <w:szCs w:val="20"/>
                <w:shd w:val="solid" w:color="000000" w:fill="000000"/>
                <w14:textFill>
                  <w14:solidFill>
                    <w14:srgbClr w14:val="000000">
                      <w14:alpha w14:val="100000"/>
                    </w14:srgbClr>
                  </w14:solidFill>
                </w14:textFill>
              </w:rPr>
              <w:t>|</w:t>
            </w:r>
            <w:r w:rsidR="00A705E5" w:rsidRPr="00A705E5">
              <w:rPr>
                <w:rFonts w:ascii="Arial Narrow" w:hAnsi="Arial Narrow" w:cs="Arial"/>
                <w:bCs/>
                <w:sz w:val="18"/>
                <w:szCs w:val="18"/>
                <w:vertAlign w:val="superscript"/>
              </w:rPr>
              <w:t>1</w:t>
            </w:r>
          </w:p>
        </w:tc>
      </w:tr>
      <w:tr w:rsidR="00A20E2D" w:rsidRPr="00C80985" w14:paraId="658ADDEC" w14:textId="77777777" w:rsidTr="00B85535">
        <w:trPr>
          <w:cantSplit/>
          <w:trHeight w:val="129"/>
        </w:trPr>
        <w:tc>
          <w:tcPr>
            <w:tcW w:w="4673" w:type="dxa"/>
            <w:vAlign w:val="center"/>
          </w:tcPr>
          <w:p w14:paraId="4C21082D" w14:textId="77777777" w:rsidR="00A20E2D" w:rsidRPr="00C80985" w:rsidRDefault="00A20E2D" w:rsidP="000343A2">
            <w:pPr>
              <w:pStyle w:val="Tabletext"/>
              <w:keepNext/>
              <w:keepLines/>
              <w:widowControl w:val="0"/>
              <w:tabs>
                <w:tab w:val="left" w:pos="142"/>
              </w:tabs>
            </w:pPr>
            <w:r w:rsidRPr="00C80985">
              <w:tab/>
              <w:t>Dupilumab upper 95% CI 84.6%</w:t>
            </w:r>
          </w:p>
        </w:tc>
        <w:tc>
          <w:tcPr>
            <w:tcW w:w="1418" w:type="dxa"/>
            <w:tcBorders>
              <w:bottom w:val="single" w:sz="4" w:space="0" w:color="auto"/>
            </w:tcBorders>
            <w:shd w:val="solid" w:color="000000" w:fill="000000"/>
            <w:vAlign w:val="center"/>
          </w:tcPr>
          <w:p w14:paraId="2A43868F" w14:textId="65027BCF" w:rsidR="00A20E2D" w:rsidRPr="00B85535" w:rsidRDefault="00B85535" w:rsidP="000343A2">
            <w:pPr>
              <w:pStyle w:val="Tabletext"/>
              <w:keepNext/>
              <w:keepLines/>
              <w:widowControl w:val="0"/>
              <w:jc w:val="center"/>
              <w:rPr>
                <w:rFonts w:cs="Arial"/>
                <w:szCs w:val="20"/>
              </w:rPr>
            </w:pPr>
            <w:r w:rsidRPr="00B85535">
              <w:rPr>
                <w:rFonts w:cs="Calibri"/>
                <w:color w:val="000000"/>
                <w:szCs w:val="20"/>
                <w14:textFill>
                  <w14:solidFill>
                    <w14:srgbClr w14:val="000000">
                      <w14:alpha w14:val="100000"/>
                    </w14:srgbClr>
                  </w14:solidFill>
                </w14:textFill>
              </w:rPr>
              <w:t>|</w:t>
            </w:r>
          </w:p>
        </w:tc>
        <w:tc>
          <w:tcPr>
            <w:tcW w:w="1559" w:type="dxa"/>
            <w:vAlign w:val="center"/>
          </w:tcPr>
          <w:p w14:paraId="7B8DD81D" w14:textId="77777777" w:rsidR="00A20E2D" w:rsidRPr="00C80985" w:rsidRDefault="00A20E2D" w:rsidP="000343A2">
            <w:pPr>
              <w:pStyle w:val="Tabletext"/>
              <w:keepNext/>
              <w:keepLines/>
              <w:widowControl w:val="0"/>
              <w:jc w:val="center"/>
              <w:rPr>
                <w:rFonts w:cs="Arial"/>
                <w:szCs w:val="20"/>
              </w:rPr>
            </w:pPr>
            <w:r w:rsidRPr="00C80985">
              <w:rPr>
                <w:rFonts w:cs="Calibri"/>
                <w:color w:val="000000"/>
                <w:szCs w:val="20"/>
              </w:rPr>
              <w:t>0.43</w:t>
            </w:r>
          </w:p>
        </w:tc>
        <w:tc>
          <w:tcPr>
            <w:tcW w:w="1255" w:type="dxa"/>
            <w:vAlign w:val="center"/>
          </w:tcPr>
          <w:p w14:paraId="0BA8CB45" w14:textId="08CD88A9" w:rsidR="00A20E2D" w:rsidRPr="00A705E5" w:rsidRDefault="00B85535" w:rsidP="000343A2">
            <w:pPr>
              <w:keepNext/>
              <w:keepLines/>
              <w:widowControl w:val="0"/>
              <w:jc w:val="center"/>
              <w:rPr>
                <w:rFonts w:ascii="Arial Narrow" w:hAnsi="Arial Narrow"/>
                <w:sz w:val="20"/>
                <w:szCs w:val="20"/>
                <w:highlight w:val="yellow"/>
                <w:vertAlign w:val="superscript"/>
              </w:rPr>
            </w:pPr>
            <w:r w:rsidRPr="00B85535">
              <w:rPr>
                <w:rFonts w:ascii="Arial Narrow" w:hAnsi="Arial Narrow" w:cs="Calibri"/>
                <w:color w:val="000000"/>
                <w:sz w:val="20"/>
                <w:szCs w:val="20"/>
                <w:shd w:val="solid" w:color="000000" w:fill="000000"/>
                <w14:textFill>
                  <w14:solidFill>
                    <w14:srgbClr w14:val="000000">
                      <w14:alpha w14:val="100000"/>
                    </w14:srgbClr>
                  </w14:solidFill>
                </w14:textFill>
              </w:rPr>
              <w:t>|</w:t>
            </w:r>
            <w:r w:rsidR="00A705E5" w:rsidRPr="00A705E5">
              <w:rPr>
                <w:rFonts w:ascii="Arial Narrow" w:hAnsi="Arial Narrow" w:cs="Arial"/>
                <w:bCs/>
                <w:sz w:val="18"/>
                <w:szCs w:val="18"/>
                <w:vertAlign w:val="superscript"/>
              </w:rPr>
              <w:t>1</w:t>
            </w:r>
          </w:p>
        </w:tc>
      </w:tr>
      <w:tr w:rsidR="00A20E2D" w:rsidRPr="00C80985" w14:paraId="7EFBB53D" w14:textId="77777777" w:rsidTr="00B85535">
        <w:trPr>
          <w:cantSplit/>
          <w:trHeight w:val="129"/>
        </w:trPr>
        <w:tc>
          <w:tcPr>
            <w:tcW w:w="4673" w:type="dxa"/>
            <w:vAlign w:val="center"/>
          </w:tcPr>
          <w:p w14:paraId="1B7087FE" w14:textId="76B510A0" w:rsidR="00A20E2D" w:rsidRPr="00C80985" w:rsidRDefault="00A20E2D" w:rsidP="000343A2">
            <w:pPr>
              <w:pStyle w:val="Tabletext"/>
              <w:keepNext/>
              <w:keepLines/>
              <w:widowControl w:val="0"/>
              <w:tabs>
                <w:tab w:val="left" w:pos="142"/>
              </w:tabs>
            </w:pPr>
            <w:r w:rsidRPr="00C80985">
              <w:tab/>
              <w:t xml:space="preserve">EASI 50 and </w:t>
            </w:r>
            <w:r w:rsidR="00766BD7" w:rsidRPr="00C80985">
              <w:t>CDLQI</w:t>
            </w:r>
            <w:r w:rsidRPr="00C80985">
              <w:t>6 at 16 weeks</w:t>
            </w:r>
          </w:p>
        </w:tc>
        <w:tc>
          <w:tcPr>
            <w:tcW w:w="1418" w:type="dxa"/>
            <w:shd w:val="solid" w:color="000000" w:fill="000000"/>
            <w:vAlign w:val="center"/>
          </w:tcPr>
          <w:p w14:paraId="471DEC45" w14:textId="66F1C33C" w:rsidR="00A20E2D" w:rsidRPr="00B85535" w:rsidRDefault="00B85535" w:rsidP="000343A2">
            <w:pPr>
              <w:pStyle w:val="Tabletext"/>
              <w:keepNext/>
              <w:keepLines/>
              <w:widowControl w:val="0"/>
              <w:jc w:val="center"/>
              <w:rPr>
                <w:rFonts w:cs="Arial"/>
                <w:szCs w:val="20"/>
              </w:rPr>
            </w:pPr>
            <w:r w:rsidRPr="00B85535">
              <w:rPr>
                <w:rFonts w:cs="Calibri"/>
                <w:color w:val="000000"/>
                <w:szCs w:val="20"/>
                <w14:textFill>
                  <w14:solidFill>
                    <w14:srgbClr w14:val="000000">
                      <w14:alpha w14:val="100000"/>
                    </w14:srgbClr>
                  </w14:solidFill>
                </w14:textFill>
              </w:rPr>
              <w:t>|</w:t>
            </w:r>
          </w:p>
        </w:tc>
        <w:tc>
          <w:tcPr>
            <w:tcW w:w="1559" w:type="dxa"/>
            <w:vAlign w:val="center"/>
          </w:tcPr>
          <w:p w14:paraId="61FDFA77" w14:textId="77777777" w:rsidR="00A20E2D" w:rsidRPr="00C80985" w:rsidRDefault="00A20E2D" w:rsidP="000343A2">
            <w:pPr>
              <w:pStyle w:val="Tabletext"/>
              <w:keepNext/>
              <w:keepLines/>
              <w:widowControl w:val="0"/>
              <w:jc w:val="center"/>
              <w:rPr>
                <w:rFonts w:cs="Arial"/>
                <w:szCs w:val="20"/>
              </w:rPr>
            </w:pPr>
            <w:r w:rsidRPr="00C80985">
              <w:rPr>
                <w:rFonts w:cs="Calibri"/>
                <w:color w:val="000000"/>
                <w:szCs w:val="20"/>
              </w:rPr>
              <w:t>0.35</w:t>
            </w:r>
          </w:p>
        </w:tc>
        <w:tc>
          <w:tcPr>
            <w:tcW w:w="1255" w:type="dxa"/>
            <w:vAlign w:val="center"/>
          </w:tcPr>
          <w:p w14:paraId="677E9A8B" w14:textId="3C985001" w:rsidR="00A20E2D" w:rsidRPr="00A705E5" w:rsidRDefault="00B85535" w:rsidP="000343A2">
            <w:pPr>
              <w:keepNext/>
              <w:keepLines/>
              <w:widowControl w:val="0"/>
              <w:jc w:val="center"/>
              <w:rPr>
                <w:rFonts w:ascii="Arial Narrow" w:hAnsi="Arial Narrow"/>
                <w:sz w:val="20"/>
                <w:szCs w:val="20"/>
                <w:highlight w:val="yellow"/>
                <w:vertAlign w:val="superscript"/>
              </w:rPr>
            </w:pPr>
            <w:r w:rsidRPr="00B85535">
              <w:rPr>
                <w:rFonts w:ascii="Arial Narrow" w:hAnsi="Arial Narrow" w:cs="Calibri"/>
                <w:color w:val="000000"/>
                <w:sz w:val="20"/>
                <w:szCs w:val="20"/>
                <w:shd w:val="solid" w:color="000000" w:fill="000000"/>
                <w14:textFill>
                  <w14:solidFill>
                    <w14:srgbClr w14:val="000000">
                      <w14:alpha w14:val="100000"/>
                    </w14:srgbClr>
                  </w14:solidFill>
                </w14:textFill>
              </w:rPr>
              <w:t>|</w:t>
            </w:r>
            <w:r w:rsidR="00A705E5" w:rsidRPr="00A705E5">
              <w:rPr>
                <w:rFonts w:ascii="Arial Narrow" w:hAnsi="Arial Narrow" w:cs="Arial"/>
                <w:bCs/>
                <w:sz w:val="18"/>
                <w:szCs w:val="18"/>
                <w:vertAlign w:val="superscript"/>
              </w:rPr>
              <w:t>1</w:t>
            </w:r>
          </w:p>
        </w:tc>
      </w:tr>
      <w:tr w:rsidR="00A20E2D" w:rsidRPr="00C80985" w14:paraId="21AE79D2" w14:textId="77777777" w:rsidTr="006551EA">
        <w:trPr>
          <w:cantSplit/>
          <w:trHeight w:val="129"/>
        </w:trPr>
        <w:tc>
          <w:tcPr>
            <w:tcW w:w="8905" w:type="dxa"/>
            <w:gridSpan w:val="4"/>
            <w:vAlign w:val="center"/>
          </w:tcPr>
          <w:p w14:paraId="4470425B" w14:textId="77777777" w:rsidR="00A20E2D" w:rsidRPr="00C80985" w:rsidRDefault="00A20E2D" w:rsidP="000343A2">
            <w:pPr>
              <w:keepNext/>
              <w:keepLines/>
              <w:widowControl w:val="0"/>
              <w:jc w:val="left"/>
              <w:rPr>
                <w:rFonts w:ascii="Arial Narrow" w:hAnsi="Arial Narrow"/>
                <w:sz w:val="20"/>
                <w:szCs w:val="20"/>
              </w:rPr>
            </w:pPr>
            <w:r w:rsidRPr="00C80985">
              <w:rPr>
                <w:rFonts w:ascii="Arial Narrow" w:hAnsi="Arial Narrow"/>
                <w:sz w:val="20"/>
                <w:szCs w:val="20"/>
              </w:rPr>
              <w:t>Health care resource use survey (base case: paediatric)</w:t>
            </w:r>
          </w:p>
        </w:tc>
      </w:tr>
      <w:tr w:rsidR="00A20E2D" w:rsidRPr="00C80985" w14:paraId="69192149" w14:textId="77777777" w:rsidTr="00B85535">
        <w:trPr>
          <w:cantSplit/>
          <w:trHeight w:val="129"/>
        </w:trPr>
        <w:tc>
          <w:tcPr>
            <w:tcW w:w="4673" w:type="dxa"/>
            <w:vAlign w:val="center"/>
          </w:tcPr>
          <w:p w14:paraId="3D84422F" w14:textId="77777777" w:rsidR="00A20E2D" w:rsidRPr="00C80985" w:rsidRDefault="00A20E2D" w:rsidP="000343A2">
            <w:pPr>
              <w:pStyle w:val="Tabletext"/>
              <w:keepNext/>
              <w:keepLines/>
              <w:widowControl w:val="0"/>
              <w:tabs>
                <w:tab w:val="left" w:pos="142"/>
              </w:tabs>
            </w:pPr>
            <w:r w:rsidRPr="00C80985">
              <w:tab/>
              <w:t>Adult survey</w:t>
            </w:r>
          </w:p>
        </w:tc>
        <w:tc>
          <w:tcPr>
            <w:tcW w:w="1418" w:type="dxa"/>
            <w:tcBorders>
              <w:bottom w:val="single" w:sz="4" w:space="0" w:color="auto"/>
            </w:tcBorders>
            <w:shd w:val="solid" w:color="000000" w:fill="000000"/>
            <w:vAlign w:val="center"/>
          </w:tcPr>
          <w:p w14:paraId="15EBD733" w14:textId="630E313C" w:rsidR="00A20E2D" w:rsidRPr="00B85535" w:rsidRDefault="00B85535" w:rsidP="000343A2">
            <w:pPr>
              <w:pStyle w:val="Tabletext"/>
              <w:keepNext/>
              <w:keepLines/>
              <w:widowControl w:val="0"/>
              <w:jc w:val="center"/>
              <w:rPr>
                <w:rFonts w:cs="Arial"/>
                <w:szCs w:val="20"/>
              </w:rPr>
            </w:pPr>
            <w:r w:rsidRPr="00B85535">
              <w:rPr>
                <w:rFonts w:cs="Calibri"/>
                <w:color w:val="000000"/>
                <w:szCs w:val="20"/>
                <w14:textFill>
                  <w14:solidFill>
                    <w14:srgbClr w14:val="000000">
                      <w14:alpha w14:val="100000"/>
                    </w14:srgbClr>
                  </w14:solidFill>
                </w14:textFill>
              </w:rPr>
              <w:t>|</w:t>
            </w:r>
          </w:p>
        </w:tc>
        <w:tc>
          <w:tcPr>
            <w:tcW w:w="1559" w:type="dxa"/>
            <w:vAlign w:val="center"/>
          </w:tcPr>
          <w:p w14:paraId="13AB7601" w14:textId="77777777" w:rsidR="00A20E2D" w:rsidRPr="00C80985" w:rsidRDefault="00A20E2D" w:rsidP="000343A2">
            <w:pPr>
              <w:pStyle w:val="Tabletext"/>
              <w:keepNext/>
              <w:keepLines/>
              <w:widowControl w:val="0"/>
              <w:jc w:val="center"/>
              <w:rPr>
                <w:rFonts w:cs="Arial"/>
                <w:szCs w:val="20"/>
              </w:rPr>
            </w:pPr>
            <w:r w:rsidRPr="00C80985">
              <w:rPr>
                <w:rFonts w:cs="Calibri"/>
                <w:color w:val="000000"/>
                <w:szCs w:val="20"/>
              </w:rPr>
              <w:t>0.39</w:t>
            </w:r>
          </w:p>
        </w:tc>
        <w:tc>
          <w:tcPr>
            <w:tcW w:w="1255" w:type="dxa"/>
            <w:vAlign w:val="center"/>
          </w:tcPr>
          <w:p w14:paraId="33DAB9DD" w14:textId="4882244C" w:rsidR="00A20E2D" w:rsidRPr="00A705E5" w:rsidRDefault="00B85535" w:rsidP="000343A2">
            <w:pPr>
              <w:keepNext/>
              <w:keepLines/>
              <w:widowControl w:val="0"/>
              <w:jc w:val="center"/>
              <w:rPr>
                <w:rFonts w:ascii="Arial Narrow" w:hAnsi="Arial Narrow"/>
                <w:sz w:val="20"/>
                <w:szCs w:val="20"/>
                <w:highlight w:val="yellow"/>
                <w:vertAlign w:val="superscript"/>
              </w:rPr>
            </w:pPr>
            <w:r w:rsidRPr="00B85535">
              <w:rPr>
                <w:rFonts w:ascii="Arial Narrow" w:hAnsi="Arial Narrow" w:cs="Calibri"/>
                <w:color w:val="000000"/>
                <w:sz w:val="20"/>
                <w:szCs w:val="20"/>
                <w:shd w:val="solid" w:color="000000" w:fill="000000"/>
                <w14:textFill>
                  <w14:solidFill>
                    <w14:srgbClr w14:val="000000">
                      <w14:alpha w14:val="100000"/>
                    </w14:srgbClr>
                  </w14:solidFill>
                </w14:textFill>
              </w:rPr>
              <w:t>|</w:t>
            </w:r>
            <w:r w:rsidR="00A705E5" w:rsidRPr="00A705E5">
              <w:rPr>
                <w:rFonts w:ascii="Arial Narrow" w:hAnsi="Arial Narrow" w:cs="Calibri"/>
                <w:color w:val="000000"/>
                <w:sz w:val="20"/>
                <w:szCs w:val="20"/>
                <w:vertAlign w:val="superscript"/>
              </w:rPr>
              <w:t>2</w:t>
            </w:r>
          </w:p>
        </w:tc>
      </w:tr>
      <w:tr w:rsidR="00A20E2D" w:rsidRPr="00C80985" w14:paraId="4370F06A" w14:textId="77777777" w:rsidTr="00B85535">
        <w:trPr>
          <w:cantSplit/>
          <w:trHeight w:val="129"/>
        </w:trPr>
        <w:tc>
          <w:tcPr>
            <w:tcW w:w="4673" w:type="dxa"/>
            <w:vAlign w:val="center"/>
          </w:tcPr>
          <w:p w14:paraId="041ECABC" w14:textId="77777777" w:rsidR="00A20E2D" w:rsidRPr="00C80985" w:rsidRDefault="00A20E2D" w:rsidP="000343A2">
            <w:pPr>
              <w:pStyle w:val="Tabletext"/>
              <w:keepNext/>
              <w:keepLines/>
              <w:widowControl w:val="0"/>
              <w:tabs>
                <w:tab w:val="left" w:pos="142"/>
              </w:tabs>
              <w:rPr>
                <w:iCs/>
              </w:rPr>
            </w:pPr>
            <w:r w:rsidRPr="00C80985">
              <w:rPr>
                <w:iCs/>
              </w:rPr>
              <w:tab/>
              <w:t>Removal of phototherapy costs</w:t>
            </w:r>
          </w:p>
        </w:tc>
        <w:tc>
          <w:tcPr>
            <w:tcW w:w="1418" w:type="dxa"/>
            <w:shd w:val="solid" w:color="000000" w:fill="000000"/>
            <w:vAlign w:val="center"/>
          </w:tcPr>
          <w:p w14:paraId="2C544047" w14:textId="16B3C4F5" w:rsidR="00A20E2D" w:rsidRPr="00B85535" w:rsidRDefault="00B85535" w:rsidP="000343A2">
            <w:pPr>
              <w:pStyle w:val="Tabletext"/>
              <w:keepNext/>
              <w:keepLines/>
              <w:widowControl w:val="0"/>
              <w:jc w:val="center"/>
              <w:rPr>
                <w:rFonts w:cs="Calibri"/>
                <w:iCs/>
                <w:color w:val="000000"/>
                <w:szCs w:val="20"/>
              </w:rPr>
            </w:pPr>
            <w:r w:rsidRPr="00B85535">
              <w:rPr>
                <w:rFonts w:cs="Calibri"/>
                <w:iCs/>
                <w:color w:val="000000"/>
                <w:szCs w:val="20"/>
                <w14:textFill>
                  <w14:solidFill>
                    <w14:srgbClr w14:val="000000">
                      <w14:alpha w14:val="100000"/>
                    </w14:srgbClr>
                  </w14:solidFill>
                </w14:textFill>
              </w:rPr>
              <w:t>|</w:t>
            </w:r>
          </w:p>
        </w:tc>
        <w:tc>
          <w:tcPr>
            <w:tcW w:w="1559" w:type="dxa"/>
            <w:vAlign w:val="center"/>
          </w:tcPr>
          <w:p w14:paraId="37329D30" w14:textId="77777777" w:rsidR="00A20E2D" w:rsidRPr="00C80985" w:rsidRDefault="00A20E2D" w:rsidP="000343A2">
            <w:pPr>
              <w:pStyle w:val="Tabletext"/>
              <w:keepNext/>
              <w:keepLines/>
              <w:widowControl w:val="0"/>
              <w:jc w:val="center"/>
              <w:rPr>
                <w:rFonts w:cs="Calibri"/>
                <w:iCs/>
                <w:color w:val="000000"/>
                <w:szCs w:val="20"/>
              </w:rPr>
            </w:pPr>
            <w:r w:rsidRPr="00C80985">
              <w:rPr>
                <w:rFonts w:cs="Calibri"/>
                <w:iCs/>
                <w:color w:val="000000"/>
                <w:szCs w:val="20"/>
              </w:rPr>
              <w:t>0.39</w:t>
            </w:r>
          </w:p>
        </w:tc>
        <w:tc>
          <w:tcPr>
            <w:tcW w:w="1255" w:type="dxa"/>
            <w:vAlign w:val="center"/>
          </w:tcPr>
          <w:p w14:paraId="2BC51986" w14:textId="388B89C5" w:rsidR="00A20E2D" w:rsidRPr="0044577E" w:rsidRDefault="00B85535" w:rsidP="000343A2">
            <w:pPr>
              <w:keepNext/>
              <w:keepLines/>
              <w:widowControl w:val="0"/>
              <w:jc w:val="center"/>
              <w:rPr>
                <w:rFonts w:ascii="Arial Narrow" w:hAnsi="Arial Narrow" w:cs="Calibri"/>
                <w:iCs/>
                <w:color w:val="000000"/>
                <w:sz w:val="20"/>
                <w:szCs w:val="20"/>
                <w:highlight w:val="yellow"/>
              </w:rPr>
            </w:pPr>
            <w:r w:rsidRPr="00B85535">
              <w:rPr>
                <w:rFonts w:ascii="Arial Narrow" w:hAnsi="Arial Narrow" w:cs="Calibri"/>
                <w:iCs/>
                <w:color w:val="000000"/>
                <w:sz w:val="20"/>
                <w:szCs w:val="20"/>
                <w:shd w:val="solid" w:color="000000" w:fill="000000"/>
                <w14:textFill>
                  <w14:solidFill>
                    <w14:srgbClr w14:val="000000">
                      <w14:alpha w14:val="100000"/>
                    </w14:srgbClr>
                  </w14:solidFill>
                </w14:textFill>
              </w:rPr>
              <w:t>|</w:t>
            </w:r>
            <w:r w:rsidR="00A705E5" w:rsidRPr="00A705E5">
              <w:rPr>
                <w:rFonts w:ascii="Arial Narrow" w:hAnsi="Arial Narrow" w:cs="Calibri"/>
                <w:color w:val="000000"/>
                <w:sz w:val="20"/>
                <w:szCs w:val="20"/>
                <w:vertAlign w:val="superscript"/>
              </w:rPr>
              <w:t>2</w:t>
            </w:r>
          </w:p>
        </w:tc>
      </w:tr>
      <w:tr w:rsidR="001D4ECA" w:rsidRPr="00BF43F9" w14:paraId="39CA0DC4" w14:textId="77777777" w:rsidTr="006551EA">
        <w:trPr>
          <w:cantSplit/>
          <w:trHeight w:val="129"/>
        </w:trPr>
        <w:tc>
          <w:tcPr>
            <w:tcW w:w="8905" w:type="dxa"/>
            <w:gridSpan w:val="4"/>
            <w:tcBorders>
              <w:top w:val="single" w:sz="4" w:space="0" w:color="auto"/>
              <w:left w:val="single" w:sz="4" w:space="0" w:color="auto"/>
              <w:bottom w:val="single" w:sz="4" w:space="0" w:color="auto"/>
              <w:right w:val="single" w:sz="4" w:space="0" w:color="auto"/>
            </w:tcBorders>
            <w:vAlign w:val="center"/>
            <w:hideMark/>
          </w:tcPr>
          <w:p w14:paraId="4C497994" w14:textId="77777777" w:rsidR="001D4ECA" w:rsidRPr="00BF43F9" w:rsidRDefault="001D4ECA" w:rsidP="000343A2">
            <w:pPr>
              <w:pStyle w:val="Tabletext"/>
              <w:keepNext/>
              <w:widowControl w:val="0"/>
              <w:rPr>
                <w:szCs w:val="20"/>
              </w:rPr>
            </w:pPr>
            <w:r w:rsidRPr="00BF43F9">
              <w:rPr>
                <w:szCs w:val="20"/>
              </w:rPr>
              <w:t>Health state (medical treatment) costs (subcutaneous injection training, doctor visits, ER and hospitalisation costs)</w:t>
            </w:r>
          </w:p>
        </w:tc>
      </w:tr>
      <w:tr w:rsidR="001D4ECA" w:rsidRPr="00BF43F9" w14:paraId="02B35DF3" w14:textId="77777777" w:rsidTr="00B85535">
        <w:trPr>
          <w:cantSplit/>
        </w:trPr>
        <w:tc>
          <w:tcPr>
            <w:tcW w:w="4673" w:type="dxa"/>
            <w:tcBorders>
              <w:top w:val="single" w:sz="4" w:space="0" w:color="auto"/>
              <w:left w:val="single" w:sz="4" w:space="0" w:color="auto"/>
              <w:bottom w:val="single" w:sz="4" w:space="0" w:color="auto"/>
              <w:right w:val="single" w:sz="4" w:space="0" w:color="auto"/>
            </w:tcBorders>
            <w:vAlign w:val="center"/>
            <w:hideMark/>
          </w:tcPr>
          <w:p w14:paraId="177EDA5E" w14:textId="77777777" w:rsidR="001D4ECA" w:rsidRPr="00BF43F9" w:rsidRDefault="001D4ECA" w:rsidP="000343A2">
            <w:pPr>
              <w:pStyle w:val="Tabletext"/>
              <w:keepNext/>
              <w:widowControl w:val="0"/>
              <w:tabs>
                <w:tab w:val="left" w:pos="142"/>
              </w:tabs>
            </w:pPr>
            <w:r w:rsidRPr="00BF43F9">
              <w:tab/>
              <w:t>Decreased by 50% per year</w:t>
            </w:r>
          </w:p>
        </w:tc>
        <w:tc>
          <w:tcPr>
            <w:tcW w:w="1418"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788C0A88" w14:textId="023F6925" w:rsidR="001D4ECA" w:rsidRPr="00B85535" w:rsidRDefault="00B85535" w:rsidP="000343A2">
            <w:pPr>
              <w:keepNext/>
              <w:widowControl w:val="0"/>
              <w:jc w:val="center"/>
              <w:rPr>
                <w:rFonts w:ascii="Arial Narrow" w:hAnsi="Arial Narrow" w:cs="Calibri"/>
                <w:color w:val="000000"/>
                <w:sz w:val="20"/>
                <w:szCs w:val="20"/>
              </w:rPr>
            </w:pPr>
            <w:r w:rsidRPr="00B85535">
              <w:rPr>
                <w:rFonts w:ascii="Arial Narrow" w:hAnsi="Arial Narrow" w:cs="Calibri"/>
                <w:color w:val="000000"/>
                <w:sz w:val="20"/>
                <w:szCs w:val="20"/>
                <w14:textFill>
                  <w14:solidFill>
                    <w14:srgbClr w14:val="000000">
                      <w14:alpha w14:val="100000"/>
                    </w14:srgbClr>
                  </w14:solidFill>
                </w14:textFil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F7D0110" w14:textId="77777777" w:rsidR="001D4ECA" w:rsidRPr="00BF43F9" w:rsidRDefault="001D4ECA" w:rsidP="000343A2">
            <w:pPr>
              <w:keepNext/>
              <w:widowControl w:val="0"/>
              <w:jc w:val="center"/>
              <w:rPr>
                <w:rFonts w:ascii="Arial Narrow" w:hAnsi="Arial Narrow" w:cs="Calibri"/>
                <w:color w:val="000000"/>
                <w:sz w:val="20"/>
                <w:szCs w:val="20"/>
              </w:rPr>
            </w:pPr>
            <w:r w:rsidRPr="00BF43F9">
              <w:rPr>
                <w:rFonts w:ascii="Arial Narrow" w:hAnsi="Arial Narrow" w:cs="Calibri"/>
                <w:color w:val="000000"/>
                <w:sz w:val="20"/>
                <w:szCs w:val="20"/>
              </w:rPr>
              <w:t>0.39</w:t>
            </w:r>
          </w:p>
        </w:tc>
        <w:tc>
          <w:tcPr>
            <w:tcW w:w="1255" w:type="dxa"/>
            <w:tcBorders>
              <w:top w:val="single" w:sz="4" w:space="0" w:color="auto"/>
              <w:left w:val="single" w:sz="4" w:space="0" w:color="auto"/>
              <w:bottom w:val="single" w:sz="4" w:space="0" w:color="auto"/>
              <w:right w:val="single" w:sz="4" w:space="0" w:color="auto"/>
            </w:tcBorders>
            <w:vAlign w:val="center"/>
            <w:hideMark/>
          </w:tcPr>
          <w:p w14:paraId="699E8DD0" w14:textId="0E70B516" w:rsidR="001D4ECA" w:rsidRPr="00A705E5" w:rsidRDefault="00B85535" w:rsidP="000343A2">
            <w:pPr>
              <w:pStyle w:val="Tabletext"/>
              <w:keepNext/>
              <w:widowControl w:val="0"/>
              <w:jc w:val="center"/>
              <w:rPr>
                <w:szCs w:val="20"/>
                <w:highlight w:val="yellow"/>
                <w:vertAlign w:val="superscript"/>
              </w:rPr>
            </w:pPr>
            <w:r w:rsidRPr="00B85535">
              <w:rPr>
                <w:color w:val="000000"/>
                <w:szCs w:val="20"/>
                <w:shd w:val="solid" w:color="000000" w:fill="000000"/>
                <w14:textFill>
                  <w14:solidFill>
                    <w14:srgbClr w14:val="000000">
                      <w14:alpha w14:val="100000"/>
                    </w14:srgbClr>
                  </w14:solidFill>
                </w14:textFill>
              </w:rPr>
              <w:t>|</w:t>
            </w:r>
            <w:r w:rsidR="00A705E5" w:rsidRPr="00A705E5">
              <w:rPr>
                <w:szCs w:val="20"/>
                <w:vertAlign w:val="superscript"/>
              </w:rPr>
              <w:t>3</w:t>
            </w:r>
          </w:p>
        </w:tc>
      </w:tr>
      <w:tr w:rsidR="001D4ECA" w:rsidRPr="00BF43F9" w14:paraId="5EBF6267" w14:textId="77777777" w:rsidTr="00B85535">
        <w:trPr>
          <w:cantSplit/>
        </w:trPr>
        <w:tc>
          <w:tcPr>
            <w:tcW w:w="4673" w:type="dxa"/>
            <w:tcBorders>
              <w:top w:val="single" w:sz="4" w:space="0" w:color="auto"/>
              <w:left w:val="single" w:sz="4" w:space="0" w:color="auto"/>
              <w:bottom w:val="single" w:sz="4" w:space="0" w:color="auto"/>
              <w:right w:val="single" w:sz="4" w:space="0" w:color="auto"/>
            </w:tcBorders>
            <w:vAlign w:val="center"/>
            <w:hideMark/>
          </w:tcPr>
          <w:p w14:paraId="3627F0A5" w14:textId="77777777" w:rsidR="001D4ECA" w:rsidRPr="00BF43F9" w:rsidRDefault="001D4ECA" w:rsidP="000343A2">
            <w:pPr>
              <w:pStyle w:val="Tabletext"/>
              <w:keepNext/>
              <w:widowControl w:val="0"/>
              <w:tabs>
                <w:tab w:val="left" w:pos="142"/>
              </w:tabs>
            </w:pPr>
            <w:r w:rsidRPr="00BF43F9">
              <w:tab/>
              <w:t>Increased by 50% per year</w:t>
            </w:r>
          </w:p>
        </w:tc>
        <w:tc>
          <w:tcPr>
            <w:tcW w:w="1418"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3547BAB8" w14:textId="5515B8D2" w:rsidR="001D4ECA" w:rsidRPr="00B85535" w:rsidRDefault="00B85535" w:rsidP="000343A2">
            <w:pPr>
              <w:keepNext/>
              <w:widowControl w:val="0"/>
              <w:jc w:val="center"/>
              <w:rPr>
                <w:rFonts w:ascii="Arial Narrow" w:hAnsi="Arial Narrow" w:cs="Calibri"/>
                <w:color w:val="000000"/>
                <w:sz w:val="20"/>
                <w:szCs w:val="20"/>
              </w:rPr>
            </w:pPr>
            <w:r w:rsidRPr="00B85535">
              <w:rPr>
                <w:rFonts w:ascii="Arial Narrow" w:hAnsi="Arial Narrow" w:cs="Calibri"/>
                <w:color w:val="000000"/>
                <w:sz w:val="20"/>
                <w:szCs w:val="20"/>
                <w14:textFill>
                  <w14:solidFill>
                    <w14:srgbClr w14:val="000000">
                      <w14:alpha w14:val="100000"/>
                    </w14:srgbClr>
                  </w14:solidFill>
                </w14:textFil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D2E7FB" w14:textId="77777777" w:rsidR="001D4ECA" w:rsidRPr="00BF43F9" w:rsidRDefault="001D4ECA" w:rsidP="000343A2">
            <w:pPr>
              <w:keepNext/>
              <w:widowControl w:val="0"/>
              <w:jc w:val="center"/>
              <w:rPr>
                <w:rFonts w:ascii="Arial Narrow" w:hAnsi="Arial Narrow" w:cs="Calibri"/>
                <w:color w:val="000000"/>
                <w:sz w:val="20"/>
                <w:szCs w:val="20"/>
              </w:rPr>
            </w:pPr>
            <w:r w:rsidRPr="00BF43F9">
              <w:rPr>
                <w:rFonts w:ascii="Arial Narrow" w:hAnsi="Arial Narrow" w:cs="Calibri"/>
                <w:color w:val="000000"/>
                <w:sz w:val="20"/>
                <w:szCs w:val="20"/>
              </w:rPr>
              <w:t>0.39</w:t>
            </w:r>
          </w:p>
        </w:tc>
        <w:tc>
          <w:tcPr>
            <w:tcW w:w="1255" w:type="dxa"/>
            <w:tcBorders>
              <w:top w:val="single" w:sz="4" w:space="0" w:color="auto"/>
              <w:left w:val="single" w:sz="4" w:space="0" w:color="auto"/>
              <w:bottom w:val="single" w:sz="4" w:space="0" w:color="auto"/>
              <w:right w:val="single" w:sz="4" w:space="0" w:color="auto"/>
            </w:tcBorders>
            <w:vAlign w:val="center"/>
            <w:hideMark/>
          </w:tcPr>
          <w:p w14:paraId="051A5870" w14:textId="70CDD98B" w:rsidR="001D4ECA" w:rsidRPr="00A705E5" w:rsidRDefault="00B85535" w:rsidP="000343A2">
            <w:pPr>
              <w:pStyle w:val="Tabletext"/>
              <w:keepNext/>
              <w:widowControl w:val="0"/>
              <w:jc w:val="center"/>
              <w:rPr>
                <w:szCs w:val="20"/>
                <w:highlight w:val="yellow"/>
                <w:vertAlign w:val="superscript"/>
              </w:rPr>
            </w:pPr>
            <w:r w:rsidRPr="00B85535">
              <w:rPr>
                <w:color w:val="000000"/>
                <w:szCs w:val="20"/>
                <w:shd w:val="solid" w:color="000000" w:fill="000000"/>
                <w14:textFill>
                  <w14:solidFill>
                    <w14:srgbClr w14:val="000000">
                      <w14:alpha w14:val="100000"/>
                    </w14:srgbClr>
                  </w14:solidFill>
                </w14:textFill>
              </w:rPr>
              <w:t>|</w:t>
            </w:r>
            <w:r w:rsidR="00A705E5" w:rsidRPr="00A705E5">
              <w:rPr>
                <w:szCs w:val="20"/>
                <w:vertAlign w:val="superscript"/>
              </w:rPr>
              <w:t>4</w:t>
            </w:r>
          </w:p>
        </w:tc>
      </w:tr>
      <w:tr w:rsidR="00A20E2D" w:rsidRPr="00C80985" w14:paraId="1A41072F" w14:textId="77777777" w:rsidTr="006551EA">
        <w:trPr>
          <w:cantSplit/>
          <w:trHeight w:val="129"/>
        </w:trPr>
        <w:tc>
          <w:tcPr>
            <w:tcW w:w="8905" w:type="dxa"/>
            <w:gridSpan w:val="4"/>
            <w:vAlign w:val="center"/>
          </w:tcPr>
          <w:p w14:paraId="5EC3D7F7" w14:textId="77777777" w:rsidR="00A20E2D" w:rsidRPr="00C80985" w:rsidRDefault="00A20E2D" w:rsidP="000343A2">
            <w:pPr>
              <w:pStyle w:val="Tabletext"/>
              <w:keepNext/>
              <w:keepLines/>
              <w:widowControl w:val="0"/>
              <w:rPr>
                <w:rFonts w:cs="Arial"/>
                <w:szCs w:val="20"/>
              </w:rPr>
            </w:pPr>
            <w:r w:rsidRPr="00C80985">
              <w:rPr>
                <w:szCs w:val="20"/>
              </w:rPr>
              <w:t>Time horizon (base case: 5 years)</w:t>
            </w:r>
          </w:p>
        </w:tc>
      </w:tr>
      <w:tr w:rsidR="00A20E2D" w:rsidRPr="00C80985" w14:paraId="0D2E42EE" w14:textId="77777777" w:rsidTr="00B85535">
        <w:trPr>
          <w:cantSplit/>
          <w:trHeight w:val="129"/>
        </w:trPr>
        <w:tc>
          <w:tcPr>
            <w:tcW w:w="4673" w:type="dxa"/>
            <w:vAlign w:val="center"/>
          </w:tcPr>
          <w:p w14:paraId="4BBD517E" w14:textId="77777777" w:rsidR="00A20E2D" w:rsidRPr="00C80985" w:rsidRDefault="00A20E2D" w:rsidP="000343A2">
            <w:pPr>
              <w:pStyle w:val="Tabletext"/>
              <w:keepNext/>
              <w:keepLines/>
              <w:widowControl w:val="0"/>
              <w:tabs>
                <w:tab w:val="left" w:pos="142"/>
              </w:tabs>
              <w:rPr>
                <w:iCs/>
              </w:rPr>
            </w:pPr>
            <w:r w:rsidRPr="00C80985">
              <w:rPr>
                <w:iCs/>
              </w:rPr>
              <w:tab/>
              <w:t>1 year</w:t>
            </w:r>
          </w:p>
        </w:tc>
        <w:tc>
          <w:tcPr>
            <w:tcW w:w="1418" w:type="dxa"/>
            <w:tcBorders>
              <w:bottom w:val="single" w:sz="4" w:space="0" w:color="auto"/>
            </w:tcBorders>
            <w:shd w:val="solid" w:color="000000" w:fill="000000"/>
            <w:vAlign w:val="center"/>
          </w:tcPr>
          <w:p w14:paraId="38EC2A30" w14:textId="2B9AC679" w:rsidR="00A20E2D" w:rsidRPr="00B85535" w:rsidRDefault="00B85535" w:rsidP="000343A2">
            <w:pPr>
              <w:keepNext/>
              <w:keepLines/>
              <w:widowControl w:val="0"/>
              <w:jc w:val="center"/>
              <w:rPr>
                <w:rFonts w:ascii="Arial Narrow" w:hAnsi="Arial Narrow" w:cs="Calibri"/>
                <w:color w:val="000000"/>
                <w:sz w:val="20"/>
                <w:szCs w:val="20"/>
              </w:rPr>
            </w:pPr>
            <w:r w:rsidRPr="00B85535">
              <w:rPr>
                <w:rFonts w:ascii="Arial Narrow" w:hAnsi="Arial Narrow" w:cs="Calibri"/>
                <w:color w:val="000000"/>
                <w:sz w:val="20"/>
                <w:szCs w:val="20"/>
                <w14:textFill>
                  <w14:solidFill>
                    <w14:srgbClr w14:val="000000">
                      <w14:alpha w14:val="100000"/>
                    </w14:srgbClr>
                  </w14:solidFill>
                </w14:textFill>
              </w:rPr>
              <w:t>|</w:t>
            </w:r>
          </w:p>
        </w:tc>
        <w:tc>
          <w:tcPr>
            <w:tcW w:w="1559" w:type="dxa"/>
            <w:vAlign w:val="center"/>
          </w:tcPr>
          <w:p w14:paraId="571B3DFD" w14:textId="77777777" w:rsidR="00A20E2D" w:rsidRPr="00C80985" w:rsidRDefault="00A20E2D" w:rsidP="000343A2">
            <w:pPr>
              <w:keepNext/>
              <w:keepLines/>
              <w:widowControl w:val="0"/>
              <w:jc w:val="center"/>
              <w:rPr>
                <w:rFonts w:ascii="Arial Narrow" w:hAnsi="Arial Narrow"/>
                <w:color w:val="000000"/>
                <w:sz w:val="20"/>
                <w:szCs w:val="20"/>
              </w:rPr>
            </w:pPr>
            <w:r w:rsidRPr="00C80985">
              <w:rPr>
                <w:rFonts w:ascii="Arial Narrow" w:hAnsi="Arial Narrow" w:cs="Calibri"/>
                <w:color w:val="000000"/>
                <w:sz w:val="20"/>
                <w:szCs w:val="20"/>
              </w:rPr>
              <w:t>0.10</w:t>
            </w:r>
          </w:p>
        </w:tc>
        <w:tc>
          <w:tcPr>
            <w:tcW w:w="1255" w:type="dxa"/>
            <w:vAlign w:val="center"/>
          </w:tcPr>
          <w:p w14:paraId="4B2608D9" w14:textId="027FCFEE" w:rsidR="00A20E2D" w:rsidRPr="00A705E5" w:rsidRDefault="00B85535" w:rsidP="000343A2">
            <w:pPr>
              <w:pStyle w:val="Tabletext"/>
              <w:keepNext/>
              <w:keepLines/>
              <w:widowControl w:val="0"/>
              <w:jc w:val="center"/>
              <w:rPr>
                <w:rFonts w:cs="Arial"/>
                <w:szCs w:val="20"/>
                <w:highlight w:val="yellow"/>
              </w:rPr>
            </w:pPr>
            <w:r w:rsidRPr="00B85535">
              <w:rPr>
                <w:rFonts w:cs="Calibri"/>
                <w:color w:val="000000"/>
                <w:szCs w:val="20"/>
                <w:shd w:val="solid" w:color="000000" w:fill="000000"/>
                <w14:textFill>
                  <w14:solidFill>
                    <w14:srgbClr w14:val="000000">
                      <w14:alpha w14:val="100000"/>
                    </w14:srgbClr>
                  </w14:solidFill>
                </w14:textFill>
              </w:rPr>
              <w:t>|</w:t>
            </w:r>
            <w:r w:rsidR="00A705E5" w:rsidRPr="00A705E5">
              <w:rPr>
                <w:rFonts w:cs="Calibri"/>
                <w:color w:val="000000"/>
                <w:szCs w:val="20"/>
                <w:vertAlign w:val="superscript"/>
              </w:rPr>
              <w:t>5</w:t>
            </w:r>
          </w:p>
        </w:tc>
      </w:tr>
      <w:tr w:rsidR="00A20E2D" w:rsidRPr="00C80985" w14:paraId="1E08A0EB" w14:textId="77777777" w:rsidTr="00B85535">
        <w:trPr>
          <w:cantSplit/>
          <w:trHeight w:val="129"/>
        </w:trPr>
        <w:tc>
          <w:tcPr>
            <w:tcW w:w="4673" w:type="dxa"/>
            <w:vAlign w:val="center"/>
          </w:tcPr>
          <w:p w14:paraId="42CA4C9F" w14:textId="77777777" w:rsidR="00A20E2D" w:rsidRPr="00C80985" w:rsidRDefault="00A20E2D" w:rsidP="000343A2">
            <w:pPr>
              <w:pStyle w:val="Tabletext"/>
              <w:keepNext/>
              <w:keepLines/>
              <w:widowControl w:val="0"/>
              <w:tabs>
                <w:tab w:val="left" w:pos="142"/>
              </w:tabs>
              <w:rPr>
                <w:iCs/>
              </w:rPr>
            </w:pPr>
            <w:r w:rsidRPr="00C80985">
              <w:rPr>
                <w:iCs/>
              </w:rPr>
              <w:tab/>
              <w:t>10 years</w:t>
            </w:r>
          </w:p>
        </w:tc>
        <w:tc>
          <w:tcPr>
            <w:tcW w:w="1418" w:type="dxa"/>
            <w:shd w:val="solid" w:color="000000" w:fill="000000"/>
            <w:vAlign w:val="center"/>
          </w:tcPr>
          <w:p w14:paraId="65EA5763" w14:textId="4D4C8532" w:rsidR="00A20E2D" w:rsidRPr="00B85535" w:rsidRDefault="00B85535" w:rsidP="000343A2">
            <w:pPr>
              <w:keepNext/>
              <w:keepLines/>
              <w:widowControl w:val="0"/>
              <w:jc w:val="center"/>
              <w:rPr>
                <w:rFonts w:ascii="Arial Narrow" w:hAnsi="Arial Narrow" w:cs="Calibri"/>
                <w:color w:val="000000"/>
                <w:sz w:val="20"/>
                <w:szCs w:val="20"/>
              </w:rPr>
            </w:pPr>
            <w:r w:rsidRPr="00B85535">
              <w:rPr>
                <w:rFonts w:ascii="Arial Narrow" w:hAnsi="Arial Narrow" w:cs="Calibri"/>
                <w:color w:val="000000"/>
                <w:sz w:val="20"/>
                <w:szCs w:val="20"/>
                <w14:textFill>
                  <w14:solidFill>
                    <w14:srgbClr w14:val="000000">
                      <w14:alpha w14:val="100000"/>
                    </w14:srgbClr>
                  </w14:solidFill>
                </w14:textFill>
              </w:rPr>
              <w:t>|</w:t>
            </w:r>
          </w:p>
        </w:tc>
        <w:tc>
          <w:tcPr>
            <w:tcW w:w="1559" w:type="dxa"/>
            <w:vAlign w:val="center"/>
          </w:tcPr>
          <w:p w14:paraId="6A2752D2" w14:textId="77777777" w:rsidR="00A20E2D" w:rsidRPr="00C80985" w:rsidRDefault="00A20E2D" w:rsidP="000343A2">
            <w:pPr>
              <w:keepNext/>
              <w:keepLines/>
              <w:widowControl w:val="0"/>
              <w:jc w:val="center"/>
              <w:rPr>
                <w:rFonts w:ascii="Arial Narrow" w:hAnsi="Arial Narrow"/>
                <w:color w:val="000000"/>
                <w:sz w:val="20"/>
                <w:szCs w:val="20"/>
              </w:rPr>
            </w:pPr>
            <w:r w:rsidRPr="00C80985">
              <w:rPr>
                <w:rFonts w:ascii="Arial Narrow" w:hAnsi="Arial Narrow" w:cs="Calibri"/>
                <w:color w:val="000000"/>
                <w:sz w:val="20"/>
                <w:szCs w:val="20"/>
              </w:rPr>
              <w:t>0.55</w:t>
            </w:r>
          </w:p>
        </w:tc>
        <w:tc>
          <w:tcPr>
            <w:tcW w:w="1255" w:type="dxa"/>
            <w:vAlign w:val="center"/>
          </w:tcPr>
          <w:p w14:paraId="01A124AD" w14:textId="3F4CC073" w:rsidR="00A20E2D" w:rsidRPr="00A705E5" w:rsidRDefault="00B85535" w:rsidP="000343A2">
            <w:pPr>
              <w:pStyle w:val="Tabletext"/>
              <w:keepNext/>
              <w:keepLines/>
              <w:widowControl w:val="0"/>
              <w:jc w:val="center"/>
              <w:rPr>
                <w:rFonts w:cs="Arial"/>
                <w:szCs w:val="20"/>
                <w:highlight w:val="yellow"/>
              </w:rPr>
            </w:pPr>
            <w:r w:rsidRPr="00B85535">
              <w:rPr>
                <w:rFonts w:cs="Calibri"/>
                <w:color w:val="000000"/>
                <w:szCs w:val="20"/>
                <w:shd w:val="solid" w:color="000000" w:fill="000000"/>
                <w14:textFill>
                  <w14:solidFill>
                    <w14:srgbClr w14:val="000000">
                      <w14:alpha w14:val="100000"/>
                    </w14:srgbClr>
                  </w14:solidFill>
                </w14:textFill>
              </w:rPr>
              <w:t>|</w:t>
            </w:r>
            <w:r w:rsidR="00A705E5" w:rsidRPr="00A705E5">
              <w:rPr>
                <w:rFonts w:cs="Calibri"/>
                <w:color w:val="000000"/>
                <w:szCs w:val="20"/>
                <w:vertAlign w:val="superscript"/>
              </w:rPr>
              <w:t>6</w:t>
            </w:r>
          </w:p>
        </w:tc>
      </w:tr>
      <w:tr w:rsidR="00A20E2D" w:rsidRPr="00C80985" w14:paraId="76EB0B41" w14:textId="77777777" w:rsidTr="00B85535">
        <w:trPr>
          <w:cantSplit/>
          <w:trHeight w:val="129"/>
        </w:trPr>
        <w:tc>
          <w:tcPr>
            <w:tcW w:w="4673" w:type="dxa"/>
            <w:vAlign w:val="center"/>
          </w:tcPr>
          <w:p w14:paraId="4C122752" w14:textId="77777777" w:rsidR="00A20E2D" w:rsidRPr="00C80985" w:rsidRDefault="00A20E2D" w:rsidP="000343A2">
            <w:pPr>
              <w:pStyle w:val="Tabletext"/>
              <w:keepNext/>
              <w:keepLines/>
              <w:widowControl w:val="0"/>
              <w:tabs>
                <w:tab w:val="left" w:pos="142"/>
              </w:tabs>
              <w:rPr>
                <w:iCs/>
              </w:rPr>
            </w:pPr>
            <w:r w:rsidRPr="00C80985">
              <w:rPr>
                <w:iCs/>
              </w:rPr>
              <w:t>Discount rate (base case: 5%)</w:t>
            </w:r>
          </w:p>
        </w:tc>
        <w:tc>
          <w:tcPr>
            <w:tcW w:w="1418" w:type="dxa"/>
            <w:tcBorders>
              <w:bottom w:val="single" w:sz="4" w:space="0" w:color="auto"/>
            </w:tcBorders>
            <w:vAlign w:val="center"/>
          </w:tcPr>
          <w:p w14:paraId="6F7B52DC" w14:textId="77777777" w:rsidR="00A20E2D" w:rsidRPr="00C80985" w:rsidRDefault="00A20E2D" w:rsidP="000343A2">
            <w:pPr>
              <w:keepNext/>
              <w:keepLines/>
              <w:widowControl w:val="0"/>
              <w:jc w:val="center"/>
              <w:rPr>
                <w:rFonts w:ascii="Arial Narrow" w:hAnsi="Arial Narrow" w:cs="Calibri"/>
                <w:color w:val="000000"/>
                <w:sz w:val="20"/>
                <w:szCs w:val="20"/>
              </w:rPr>
            </w:pPr>
          </w:p>
        </w:tc>
        <w:tc>
          <w:tcPr>
            <w:tcW w:w="1559" w:type="dxa"/>
            <w:vAlign w:val="center"/>
          </w:tcPr>
          <w:p w14:paraId="6926B0D0" w14:textId="77777777" w:rsidR="00A20E2D" w:rsidRPr="00C80985" w:rsidRDefault="00A20E2D" w:rsidP="000343A2">
            <w:pPr>
              <w:keepNext/>
              <w:keepLines/>
              <w:widowControl w:val="0"/>
              <w:jc w:val="center"/>
              <w:rPr>
                <w:rFonts w:ascii="Arial Narrow" w:hAnsi="Arial Narrow"/>
                <w:color w:val="000000"/>
                <w:sz w:val="20"/>
                <w:szCs w:val="20"/>
              </w:rPr>
            </w:pPr>
          </w:p>
        </w:tc>
        <w:tc>
          <w:tcPr>
            <w:tcW w:w="1255" w:type="dxa"/>
            <w:vAlign w:val="center"/>
          </w:tcPr>
          <w:p w14:paraId="0C5A152D" w14:textId="77777777" w:rsidR="00A20E2D" w:rsidRPr="00C80985" w:rsidRDefault="00A20E2D" w:rsidP="000343A2">
            <w:pPr>
              <w:pStyle w:val="Tabletext"/>
              <w:keepNext/>
              <w:keepLines/>
              <w:widowControl w:val="0"/>
              <w:jc w:val="center"/>
              <w:rPr>
                <w:rFonts w:cs="Arial"/>
                <w:szCs w:val="20"/>
              </w:rPr>
            </w:pPr>
          </w:p>
        </w:tc>
      </w:tr>
      <w:tr w:rsidR="00A20E2D" w:rsidRPr="00C80985" w14:paraId="682D40FF" w14:textId="77777777" w:rsidTr="00B85535">
        <w:trPr>
          <w:cantSplit/>
          <w:trHeight w:val="129"/>
        </w:trPr>
        <w:tc>
          <w:tcPr>
            <w:tcW w:w="4673" w:type="dxa"/>
            <w:vAlign w:val="center"/>
          </w:tcPr>
          <w:p w14:paraId="321BA763" w14:textId="77777777" w:rsidR="00A20E2D" w:rsidRPr="00C80985" w:rsidRDefault="00A20E2D" w:rsidP="000343A2">
            <w:pPr>
              <w:pStyle w:val="Tabletext"/>
              <w:keepNext/>
              <w:keepLines/>
              <w:widowControl w:val="0"/>
              <w:tabs>
                <w:tab w:val="left" w:pos="142"/>
              </w:tabs>
              <w:rPr>
                <w:iCs/>
              </w:rPr>
            </w:pPr>
            <w:r w:rsidRPr="00C80985">
              <w:rPr>
                <w:iCs/>
              </w:rPr>
              <w:tab/>
              <w:t>0%</w:t>
            </w:r>
          </w:p>
        </w:tc>
        <w:tc>
          <w:tcPr>
            <w:tcW w:w="1418" w:type="dxa"/>
            <w:tcBorders>
              <w:bottom w:val="single" w:sz="4" w:space="0" w:color="auto"/>
            </w:tcBorders>
            <w:shd w:val="solid" w:color="000000" w:fill="000000"/>
            <w:vAlign w:val="center"/>
          </w:tcPr>
          <w:p w14:paraId="69F154A8" w14:textId="02A00E69" w:rsidR="00A20E2D" w:rsidRPr="00B85535" w:rsidRDefault="00B85535" w:rsidP="000343A2">
            <w:pPr>
              <w:keepNext/>
              <w:keepLines/>
              <w:widowControl w:val="0"/>
              <w:jc w:val="center"/>
              <w:rPr>
                <w:rFonts w:ascii="Arial Narrow" w:hAnsi="Arial Narrow" w:cs="Calibri"/>
                <w:color w:val="000000"/>
                <w:sz w:val="20"/>
                <w:szCs w:val="20"/>
              </w:rPr>
            </w:pPr>
            <w:r w:rsidRPr="00B85535">
              <w:rPr>
                <w:rFonts w:ascii="Arial Narrow" w:hAnsi="Arial Narrow" w:cs="Calibri"/>
                <w:color w:val="000000"/>
                <w:sz w:val="20"/>
                <w:szCs w:val="20"/>
                <w14:textFill>
                  <w14:solidFill>
                    <w14:srgbClr w14:val="000000">
                      <w14:alpha w14:val="100000"/>
                    </w14:srgbClr>
                  </w14:solidFill>
                </w14:textFill>
              </w:rPr>
              <w:t>|</w:t>
            </w:r>
          </w:p>
        </w:tc>
        <w:tc>
          <w:tcPr>
            <w:tcW w:w="1559" w:type="dxa"/>
            <w:vAlign w:val="center"/>
          </w:tcPr>
          <w:p w14:paraId="6A49AD1C" w14:textId="77777777" w:rsidR="00A20E2D" w:rsidRPr="00C80985" w:rsidRDefault="00A20E2D" w:rsidP="000343A2">
            <w:pPr>
              <w:keepNext/>
              <w:keepLines/>
              <w:widowControl w:val="0"/>
              <w:jc w:val="center"/>
              <w:rPr>
                <w:rFonts w:ascii="Arial Narrow" w:hAnsi="Arial Narrow"/>
                <w:color w:val="000000"/>
                <w:sz w:val="20"/>
                <w:szCs w:val="20"/>
              </w:rPr>
            </w:pPr>
            <w:r w:rsidRPr="00C80985">
              <w:rPr>
                <w:rFonts w:ascii="Arial Narrow" w:hAnsi="Arial Narrow" w:cs="Calibri"/>
                <w:color w:val="000000"/>
                <w:sz w:val="20"/>
                <w:szCs w:val="20"/>
              </w:rPr>
              <w:t>0.43</w:t>
            </w:r>
          </w:p>
        </w:tc>
        <w:tc>
          <w:tcPr>
            <w:tcW w:w="1255" w:type="dxa"/>
            <w:vAlign w:val="center"/>
          </w:tcPr>
          <w:p w14:paraId="27830395" w14:textId="3A605E03" w:rsidR="00A20E2D" w:rsidRPr="0044577E" w:rsidRDefault="00B85535" w:rsidP="000343A2">
            <w:pPr>
              <w:pStyle w:val="Tabletext"/>
              <w:keepNext/>
              <w:keepLines/>
              <w:widowControl w:val="0"/>
              <w:jc w:val="center"/>
              <w:rPr>
                <w:rFonts w:cs="Arial"/>
                <w:szCs w:val="20"/>
                <w:highlight w:val="yellow"/>
              </w:rPr>
            </w:pPr>
            <w:r w:rsidRPr="00B85535">
              <w:rPr>
                <w:rFonts w:cs="Calibri"/>
                <w:color w:val="000000"/>
                <w:szCs w:val="20"/>
                <w:shd w:val="solid" w:color="000000" w:fill="000000"/>
                <w14:textFill>
                  <w14:solidFill>
                    <w14:srgbClr w14:val="000000">
                      <w14:alpha w14:val="100000"/>
                    </w14:srgbClr>
                  </w14:solidFill>
                </w14:textFill>
              </w:rPr>
              <w:t>|</w:t>
            </w:r>
            <w:r w:rsidR="00A705E5" w:rsidRPr="00A705E5">
              <w:rPr>
                <w:rFonts w:cs="Arial"/>
                <w:bCs/>
                <w:sz w:val="18"/>
                <w:szCs w:val="18"/>
                <w:vertAlign w:val="superscript"/>
              </w:rPr>
              <w:t>1</w:t>
            </w:r>
          </w:p>
        </w:tc>
      </w:tr>
      <w:tr w:rsidR="00A20E2D" w:rsidRPr="00C80985" w14:paraId="694F148E" w14:textId="77777777" w:rsidTr="00B85535">
        <w:trPr>
          <w:cantSplit/>
          <w:trHeight w:val="129"/>
        </w:trPr>
        <w:tc>
          <w:tcPr>
            <w:tcW w:w="4673" w:type="dxa"/>
            <w:vAlign w:val="center"/>
          </w:tcPr>
          <w:p w14:paraId="2B23569F" w14:textId="77777777" w:rsidR="00A20E2D" w:rsidRPr="00C80985" w:rsidRDefault="00A20E2D" w:rsidP="000343A2">
            <w:pPr>
              <w:pStyle w:val="Tabletext"/>
              <w:keepNext/>
              <w:keepLines/>
              <w:widowControl w:val="0"/>
              <w:tabs>
                <w:tab w:val="left" w:pos="142"/>
              </w:tabs>
              <w:rPr>
                <w:iCs/>
              </w:rPr>
            </w:pPr>
            <w:r w:rsidRPr="00C80985">
              <w:rPr>
                <w:iCs/>
              </w:rPr>
              <w:tab/>
              <w:t>3.5%</w:t>
            </w:r>
          </w:p>
        </w:tc>
        <w:tc>
          <w:tcPr>
            <w:tcW w:w="1418" w:type="dxa"/>
            <w:shd w:val="solid" w:color="000000" w:fill="000000"/>
            <w:vAlign w:val="center"/>
          </w:tcPr>
          <w:p w14:paraId="05BEDF64" w14:textId="471B2DC7" w:rsidR="00A20E2D" w:rsidRPr="00B85535" w:rsidRDefault="00B85535" w:rsidP="000343A2">
            <w:pPr>
              <w:keepNext/>
              <w:keepLines/>
              <w:widowControl w:val="0"/>
              <w:jc w:val="center"/>
              <w:rPr>
                <w:rFonts w:ascii="Arial Narrow" w:hAnsi="Arial Narrow" w:cs="Calibri"/>
                <w:color w:val="000000"/>
                <w:sz w:val="20"/>
                <w:szCs w:val="20"/>
              </w:rPr>
            </w:pPr>
            <w:r w:rsidRPr="00B85535">
              <w:rPr>
                <w:rFonts w:ascii="Arial Narrow" w:hAnsi="Arial Narrow" w:cs="Calibri"/>
                <w:color w:val="000000"/>
                <w:sz w:val="20"/>
                <w:szCs w:val="20"/>
                <w14:textFill>
                  <w14:solidFill>
                    <w14:srgbClr w14:val="000000">
                      <w14:alpha w14:val="100000"/>
                    </w14:srgbClr>
                  </w14:solidFill>
                </w14:textFill>
              </w:rPr>
              <w:t>|</w:t>
            </w:r>
          </w:p>
        </w:tc>
        <w:tc>
          <w:tcPr>
            <w:tcW w:w="1559" w:type="dxa"/>
            <w:vAlign w:val="center"/>
          </w:tcPr>
          <w:p w14:paraId="068CB9B3" w14:textId="77777777" w:rsidR="00A20E2D" w:rsidRPr="00C80985" w:rsidRDefault="00A20E2D" w:rsidP="000343A2">
            <w:pPr>
              <w:keepNext/>
              <w:keepLines/>
              <w:widowControl w:val="0"/>
              <w:jc w:val="center"/>
              <w:rPr>
                <w:rFonts w:ascii="Arial Narrow" w:hAnsi="Arial Narrow"/>
                <w:color w:val="000000"/>
                <w:sz w:val="20"/>
                <w:szCs w:val="20"/>
              </w:rPr>
            </w:pPr>
            <w:r w:rsidRPr="00C80985">
              <w:rPr>
                <w:rFonts w:ascii="Arial Narrow" w:hAnsi="Arial Narrow" w:cs="Calibri"/>
                <w:color w:val="000000"/>
                <w:sz w:val="20"/>
                <w:szCs w:val="20"/>
              </w:rPr>
              <w:t>0.40</w:t>
            </w:r>
          </w:p>
        </w:tc>
        <w:tc>
          <w:tcPr>
            <w:tcW w:w="1255" w:type="dxa"/>
            <w:vAlign w:val="center"/>
          </w:tcPr>
          <w:p w14:paraId="5FBCCE9C" w14:textId="594E0899" w:rsidR="00A20E2D" w:rsidRPr="0044577E" w:rsidRDefault="00B85535" w:rsidP="000343A2">
            <w:pPr>
              <w:pStyle w:val="Tabletext"/>
              <w:keepNext/>
              <w:keepLines/>
              <w:widowControl w:val="0"/>
              <w:jc w:val="center"/>
              <w:rPr>
                <w:rFonts w:cs="Arial"/>
                <w:szCs w:val="20"/>
                <w:highlight w:val="yellow"/>
              </w:rPr>
            </w:pPr>
            <w:r w:rsidRPr="00B85535">
              <w:rPr>
                <w:rFonts w:cs="Calibri"/>
                <w:color w:val="000000"/>
                <w:szCs w:val="20"/>
                <w:shd w:val="solid" w:color="000000" w:fill="000000"/>
                <w14:textFill>
                  <w14:solidFill>
                    <w14:srgbClr w14:val="000000">
                      <w14:alpha w14:val="100000"/>
                    </w14:srgbClr>
                  </w14:solidFill>
                </w14:textFill>
              </w:rPr>
              <w:t>|</w:t>
            </w:r>
            <w:r w:rsidR="00A705E5" w:rsidRPr="00A705E5">
              <w:rPr>
                <w:rFonts w:cs="Arial"/>
                <w:bCs/>
                <w:sz w:val="18"/>
                <w:szCs w:val="18"/>
                <w:vertAlign w:val="superscript"/>
              </w:rPr>
              <w:t>1</w:t>
            </w:r>
          </w:p>
        </w:tc>
      </w:tr>
      <w:tr w:rsidR="001D4ECA" w:rsidRPr="00BF43F9" w14:paraId="4A651448" w14:textId="77777777" w:rsidTr="006551EA">
        <w:trPr>
          <w:cantSplit/>
          <w:trHeight w:val="129"/>
        </w:trPr>
        <w:tc>
          <w:tcPr>
            <w:tcW w:w="8905" w:type="dxa"/>
            <w:gridSpan w:val="4"/>
            <w:tcBorders>
              <w:top w:val="single" w:sz="4" w:space="0" w:color="auto"/>
              <w:left w:val="single" w:sz="4" w:space="0" w:color="auto"/>
              <w:bottom w:val="single" w:sz="4" w:space="0" w:color="auto"/>
              <w:right w:val="single" w:sz="4" w:space="0" w:color="auto"/>
            </w:tcBorders>
            <w:vAlign w:val="center"/>
            <w:hideMark/>
          </w:tcPr>
          <w:p w14:paraId="0E00A921" w14:textId="77777777" w:rsidR="001D4ECA" w:rsidRPr="00BF43F9" w:rsidRDefault="001D4ECA" w:rsidP="000343A2">
            <w:pPr>
              <w:pStyle w:val="Tabletext"/>
              <w:keepNext/>
              <w:widowControl w:val="0"/>
              <w:rPr>
                <w:rFonts w:cs="Calibri"/>
                <w:color w:val="000000"/>
                <w:szCs w:val="20"/>
              </w:rPr>
            </w:pPr>
            <w:r w:rsidRPr="00BF43F9">
              <w:rPr>
                <w:rFonts w:cs="Calibri"/>
                <w:color w:val="000000"/>
                <w:szCs w:val="20"/>
              </w:rPr>
              <w:t xml:space="preserve">Sustained response (base case: not included) in both arms </w:t>
            </w:r>
          </w:p>
        </w:tc>
      </w:tr>
      <w:tr w:rsidR="001D4ECA" w:rsidRPr="00BF43F9" w14:paraId="50CC45EA" w14:textId="77777777" w:rsidTr="00B85535">
        <w:trPr>
          <w:cantSplit/>
          <w:trHeight w:val="129"/>
        </w:trPr>
        <w:tc>
          <w:tcPr>
            <w:tcW w:w="4673" w:type="dxa"/>
            <w:tcBorders>
              <w:top w:val="single" w:sz="4" w:space="0" w:color="auto"/>
              <w:left w:val="single" w:sz="4" w:space="0" w:color="auto"/>
              <w:bottom w:val="single" w:sz="4" w:space="0" w:color="auto"/>
              <w:right w:val="single" w:sz="4" w:space="0" w:color="auto"/>
            </w:tcBorders>
            <w:vAlign w:val="center"/>
            <w:hideMark/>
          </w:tcPr>
          <w:p w14:paraId="22C7D7F6" w14:textId="77777777" w:rsidR="001D4ECA" w:rsidRPr="00BF43F9" w:rsidRDefault="001D4ECA" w:rsidP="000343A2">
            <w:pPr>
              <w:pStyle w:val="Tabletext"/>
              <w:keepNext/>
              <w:widowControl w:val="0"/>
              <w:tabs>
                <w:tab w:val="left" w:pos="142"/>
              </w:tabs>
            </w:pPr>
            <w:r w:rsidRPr="00BF43F9">
              <w:tab/>
              <w:t xml:space="preserve">63.6% have sustained response at Week 52 and stop </w:t>
            </w:r>
            <w:r w:rsidRPr="00BF43F9">
              <w:tab/>
              <w:t xml:space="preserve">treatment; 52.4% relapse and recommence </w:t>
            </w:r>
            <w:proofErr w:type="spellStart"/>
            <w:r w:rsidRPr="00BF43F9">
              <w:t>treatment</w:t>
            </w:r>
            <w:r w:rsidRPr="00BF43F9">
              <w:rPr>
                <w:vertAlign w:val="superscript"/>
              </w:rPr>
              <w:t>a</w:t>
            </w:r>
            <w:proofErr w:type="spellEnd"/>
          </w:p>
        </w:tc>
        <w:tc>
          <w:tcPr>
            <w:tcW w:w="1418"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67B4CEFB" w14:textId="60AE5286" w:rsidR="001D4ECA" w:rsidRPr="00B85535" w:rsidRDefault="00B85535" w:rsidP="000343A2">
            <w:pPr>
              <w:keepNext/>
              <w:widowControl w:val="0"/>
              <w:jc w:val="center"/>
              <w:rPr>
                <w:rFonts w:ascii="Arial Narrow" w:hAnsi="Arial Narrow" w:cs="Calibri"/>
                <w:color w:val="000000"/>
                <w:sz w:val="20"/>
                <w:szCs w:val="20"/>
              </w:rPr>
            </w:pPr>
            <w:r w:rsidRPr="00B85535">
              <w:rPr>
                <w:rFonts w:ascii="Arial Narrow" w:hAnsi="Arial Narrow" w:cs="Calibri"/>
                <w:color w:val="000000"/>
                <w:sz w:val="20"/>
                <w:szCs w:val="20"/>
                <w14:textFill>
                  <w14:solidFill>
                    <w14:srgbClr w14:val="000000">
                      <w14:alpha w14:val="100000"/>
                    </w14:srgbClr>
                  </w14:solidFill>
                </w14:textFil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75727D" w14:textId="77777777" w:rsidR="001D4ECA" w:rsidRPr="00BF43F9" w:rsidRDefault="001D4ECA" w:rsidP="000343A2">
            <w:pPr>
              <w:keepNext/>
              <w:widowControl w:val="0"/>
              <w:jc w:val="center"/>
              <w:rPr>
                <w:rFonts w:ascii="Arial Narrow" w:hAnsi="Arial Narrow" w:cs="Calibri"/>
                <w:color w:val="000000"/>
                <w:sz w:val="20"/>
                <w:szCs w:val="20"/>
              </w:rPr>
            </w:pPr>
            <w:r w:rsidRPr="00BF43F9">
              <w:rPr>
                <w:rFonts w:ascii="Arial Narrow" w:hAnsi="Arial Narrow" w:cs="Calibri"/>
                <w:color w:val="000000"/>
                <w:sz w:val="20"/>
                <w:szCs w:val="20"/>
              </w:rPr>
              <w:t>0.25</w:t>
            </w:r>
          </w:p>
        </w:tc>
        <w:tc>
          <w:tcPr>
            <w:tcW w:w="1255" w:type="dxa"/>
            <w:tcBorders>
              <w:top w:val="single" w:sz="4" w:space="0" w:color="auto"/>
              <w:left w:val="single" w:sz="4" w:space="0" w:color="auto"/>
              <w:bottom w:val="single" w:sz="4" w:space="0" w:color="auto"/>
              <w:right w:val="single" w:sz="4" w:space="0" w:color="auto"/>
            </w:tcBorders>
            <w:vAlign w:val="center"/>
            <w:hideMark/>
          </w:tcPr>
          <w:p w14:paraId="1AB5F031" w14:textId="4FDF22C1" w:rsidR="001D4ECA" w:rsidRPr="00A705E5" w:rsidRDefault="00B85535" w:rsidP="000343A2">
            <w:pPr>
              <w:pStyle w:val="Tabletext"/>
              <w:keepNext/>
              <w:widowControl w:val="0"/>
              <w:jc w:val="center"/>
              <w:rPr>
                <w:rFonts w:cs="Calibri"/>
                <w:color w:val="000000"/>
                <w:szCs w:val="20"/>
                <w:highlight w:val="yellow"/>
                <w:vertAlign w:val="superscript"/>
              </w:rPr>
            </w:pPr>
            <w:r w:rsidRPr="00B85535">
              <w:rPr>
                <w:rFonts w:cs="Calibri"/>
                <w:color w:val="000000"/>
                <w:szCs w:val="20"/>
                <w:shd w:val="solid" w:color="000000" w:fill="000000"/>
                <w14:textFill>
                  <w14:solidFill>
                    <w14:srgbClr w14:val="000000">
                      <w14:alpha w14:val="100000"/>
                    </w14:srgbClr>
                  </w14:solidFill>
                </w14:textFill>
              </w:rPr>
              <w:t>|</w:t>
            </w:r>
            <w:r w:rsidR="00A705E5" w:rsidRPr="00A705E5">
              <w:rPr>
                <w:rFonts w:cs="Calibri"/>
                <w:color w:val="000000"/>
                <w:szCs w:val="20"/>
                <w:vertAlign w:val="superscript"/>
              </w:rPr>
              <w:t>2</w:t>
            </w:r>
          </w:p>
        </w:tc>
      </w:tr>
      <w:tr w:rsidR="001D4ECA" w:rsidRPr="00BF43F9" w14:paraId="1FF21687" w14:textId="77777777" w:rsidTr="00B85535">
        <w:trPr>
          <w:cantSplit/>
          <w:trHeight w:val="129"/>
        </w:trPr>
        <w:tc>
          <w:tcPr>
            <w:tcW w:w="4673" w:type="dxa"/>
            <w:tcBorders>
              <w:top w:val="single" w:sz="4" w:space="0" w:color="auto"/>
              <w:left w:val="single" w:sz="4" w:space="0" w:color="auto"/>
              <w:bottom w:val="single" w:sz="4" w:space="0" w:color="auto"/>
              <w:right w:val="single" w:sz="4" w:space="0" w:color="auto"/>
            </w:tcBorders>
            <w:vAlign w:val="center"/>
            <w:hideMark/>
          </w:tcPr>
          <w:p w14:paraId="47A3121A" w14:textId="77777777" w:rsidR="001D4ECA" w:rsidRPr="00BF43F9" w:rsidRDefault="001D4ECA" w:rsidP="000343A2">
            <w:pPr>
              <w:pStyle w:val="Tabletext"/>
              <w:keepNext/>
              <w:widowControl w:val="0"/>
              <w:tabs>
                <w:tab w:val="left" w:pos="142"/>
              </w:tabs>
            </w:pPr>
            <w:r w:rsidRPr="00BF43F9">
              <w:tab/>
              <w:t xml:space="preserve">63.6% have sustained response at Week 52 and stop </w:t>
            </w:r>
            <w:r w:rsidRPr="00BF43F9">
              <w:tab/>
              <w:t xml:space="preserve">treatment; 80% relapse and recommence </w:t>
            </w:r>
            <w:proofErr w:type="spellStart"/>
            <w:r w:rsidRPr="00BF43F9">
              <w:t>treatment</w:t>
            </w:r>
            <w:r w:rsidRPr="00BF43F9">
              <w:rPr>
                <w:vertAlign w:val="superscript"/>
              </w:rPr>
              <w:t>b</w:t>
            </w:r>
            <w:proofErr w:type="spellEnd"/>
          </w:p>
        </w:tc>
        <w:tc>
          <w:tcPr>
            <w:tcW w:w="1418"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55FA3F18" w14:textId="4B639295" w:rsidR="001D4ECA" w:rsidRPr="00B85535" w:rsidRDefault="00B85535" w:rsidP="000343A2">
            <w:pPr>
              <w:keepNext/>
              <w:widowControl w:val="0"/>
              <w:jc w:val="center"/>
              <w:rPr>
                <w:rFonts w:ascii="Arial Narrow" w:hAnsi="Arial Narrow" w:cs="Calibri"/>
                <w:color w:val="000000"/>
                <w:sz w:val="20"/>
                <w:szCs w:val="20"/>
              </w:rPr>
            </w:pPr>
            <w:r w:rsidRPr="00B85535">
              <w:rPr>
                <w:rFonts w:ascii="Arial Narrow" w:hAnsi="Arial Narrow" w:cs="Calibri"/>
                <w:color w:val="000000"/>
                <w:sz w:val="20"/>
                <w:szCs w:val="20"/>
                <w14:textFill>
                  <w14:solidFill>
                    <w14:srgbClr w14:val="000000">
                      <w14:alpha w14:val="100000"/>
                    </w14:srgbClr>
                  </w14:solidFill>
                </w14:textFil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C5358C7" w14:textId="77777777" w:rsidR="001D4ECA" w:rsidRPr="00BF43F9" w:rsidRDefault="001D4ECA" w:rsidP="000343A2">
            <w:pPr>
              <w:keepNext/>
              <w:widowControl w:val="0"/>
              <w:jc w:val="center"/>
              <w:rPr>
                <w:rFonts w:ascii="Arial Narrow" w:hAnsi="Arial Narrow" w:cs="Calibri"/>
                <w:color w:val="000000"/>
                <w:sz w:val="20"/>
                <w:szCs w:val="20"/>
              </w:rPr>
            </w:pPr>
            <w:r w:rsidRPr="00BF43F9">
              <w:rPr>
                <w:rFonts w:ascii="Arial Narrow" w:hAnsi="Arial Narrow" w:cs="Calibri"/>
                <w:color w:val="000000"/>
                <w:sz w:val="20"/>
                <w:szCs w:val="20"/>
              </w:rPr>
              <w:t>0.33</w:t>
            </w:r>
          </w:p>
        </w:tc>
        <w:tc>
          <w:tcPr>
            <w:tcW w:w="1255" w:type="dxa"/>
            <w:tcBorders>
              <w:top w:val="single" w:sz="4" w:space="0" w:color="auto"/>
              <w:left w:val="single" w:sz="4" w:space="0" w:color="auto"/>
              <w:bottom w:val="single" w:sz="4" w:space="0" w:color="auto"/>
              <w:right w:val="single" w:sz="4" w:space="0" w:color="auto"/>
            </w:tcBorders>
            <w:vAlign w:val="center"/>
            <w:hideMark/>
          </w:tcPr>
          <w:p w14:paraId="2481BB10" w14:textId="3D81D797" w:rsidR="001D4ECA" w:rsidRPr="0044577E" w:rsidRDefault="00B85535" w:rsidP="000343A2">
            <w:pPr>
              <w:pStyle w:val="Tabletext"/>
              <w:keepNext/>
              <w:widowControl w:val="0"/>
              <w:jc w:val="center"/>
              <w:rPr>
                <w:rFonts w:cs="Calibri"/>
                <w:color w:val="000000"/>
                <w:szCs w:val="20"/>
                <w:highlight w:val="yellow"/>
              </w:rPr>
            </w:pPr>
            <w:r w:rsidRPr="00B85535">
              <w:rPr>
                <w:rFonts w:cs="Calibri"/>
                <w:color w:val="000000"/>
                <w:szCs w:val="20"/>
                <w:shd w:val="solid" w:color="000000" w:fill="000000"/>
                <w14:textFill>
                  <w14:solidFill>
                    <w14:srgbClr w14:val="000000">
                      <w14:alpha w14:val="100000"/>
                    </w14:srgbClr>
                  </w14:solidFill>
                </w14:textFill>
              </w:rPr>
              <w:t>|</w:t>
            </w:r>
            <w:r w:rsidR="00A705E5" w:rsidRPr="00A705E5">
              <w:rPr>
                <w:rFonts w:cs="Calibri"/>
                <w:color w:val="000000"/>
                <w:szCs w:val="20"/>
                <w:vertAlign w:val="superscript"/>
              </w:rPr>
              <w:t>6</w:t>
            </w:r>
          </w:p>
        </w:tc>
      </w:tr>
      <w:tr w:rsidR="001D4ECA" w:rsidRPr="00BF43F9" w14:paraId="56B5A1BC" w14:textId="77777777" w:rsidTr="00B85535">
        <w:trPr>
          <w:cantSplit/>
          <w:trHeight w:val="129"/>
        </w:trPr>
        <w:tc>
          <w:tcPr>
            <w:tcW w:w="4673" w:type="dxa"/>
            <w:tcBorders>
              <w:top w:val="single" w:sz="4" w:space="0" w:color="auto"/>
              <w:left w:val="single" w:sz="4" w:space="0" w:color="auto"/>
              <w:bottom w:val="single" w:sz="4" w:space="0" w:color="auto"/>
              <w:right w:val="single" w:sz="4" w:space="0" w:color="auto"/>
            </w:tcBorders>
            <w:vAlign w:val="center"/>
            <w:hideMark/>
          </w:tcPr>
          <w:p w14:paraId="2556F7FC" w14:textId="77777777" w:rsidR="001D4ECA" w:rsidRPr="00BF43F9" w:rsidRDefault="001D4ECA" w:rsidP="000343A2">
            <w:pPr>
              <w:pStyle w:val="Tabletext"/>
              <w:keepNext/>
              <w:widowControl w:val="0"/>
              <w:tabs>
                <w:tab w:val="left" w:pos="142"/>
              </w:tabs>
            </w:pPr>
            <w:r w:rsidRPr="00BF43F9">
              <w:tab/>
              <w:t xml:space="preserve">50.0% have sustained response at Week 52 and stop </w:t>
            </w:r>
            <w:r w:rsidRPr="00BF43F9">
              <w:tab/>
              <w:t xml:space="preserve">treatment; 52.4% relapse and recommence </w:t>
            </w:r>
            <w:proofErr w:type="spellStart"/>
            <w:r w:rsidRPr="00BF43F9">
              <w:t>treatment</w:t>
            </w:r>
            <w:r w:rsidRPr="00BF43F9">
              <w:rPr>
                <w:vertAlign w:val="superscript"/>
              </w:rPr>
              <w:t>c</w:t>
            </w:r>
            <w:proofErr w:type="spellEnd"/>
          </w:p>
        </w:tc>
        <w:tc>
          <w:tcPr>
            <w:tcW w:w="1418"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14744834" w14:textId="252F96CA" w:rsidR="001D4ECA" w:rsidRPr="00B85535" w:rsidRDefault="00B85535" w:rsidP="000343A2">
            <w:pPr>
              <w:keepNext/>
              <w:widowControl w:val="0"/>
              <w:jc w:val="center"/>
              <w:rPr>
                <w:rFonts w:ascii="Arial Narrow" w:hAnsi="Arial Narrow" w:cs="Calibri"/>
                <w:color w:val="000000"/>
                <w:sz w:val="20"/>
                <w:szCs w:val="20"/>
              </w:rPr>
            </w:pPr>
            <w:r w:rsidRPr="00B85535">
              <w:rPr>
                <w:rFonts w:ascii="Arial Narrow" w:hAnsi="Arial Narrow" w:cs="Calibri"/>
                <w:color w:val="000000"/>
                <w:sz w:val="20"/>
                <w:szCs w:val="20"/>
                <w14:textFill>
                  <w14:solidFill>
                    <w14:srgbClr w14:val="000000">
                      <w14:alpha w14:val="100000"/>
                    </w14:srgbClr>
                  </w14:solidFill>
                </w14:textFil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C02BB92" w14:textId="77777777" w:rsidR="001D4ECA" w:rsidRPr="00BF43F9" w:rsidRDefault="001D4ECA" w:rsidP="000343A2">
            <w:pPr>
              <w:keepNext/>
              <w:widowControl w:val="0"/>
              <w:jc w:val="center"/>
              <w:rPr>
                <w:rFonts w:ascii="Arial Narrow" w:hAnsi="Arial Narrow" w:cs="Calibri"/>
                <w:color w:val="000000"/>
                <w:sz w:val="20"/>
                <w:szCs w:val="20"/>
              </w:rPr>
            </w:pPr>
            <w:r w:rsidRPr="00BF43F9">
              <w:rPr>
                <w:rFonts w:ascii="Arial Narrow" w:hAnsi="Arial Narrow" w:cs="Calibri"/>
                <w:color w:val="000000"/>
                <w:sz w:val="20"/>
                <w:szCs w:val="20"/>
              </w:rPr>
              <w:t>0.28</w:t>
            </w:r>
          </w:p>
        </w:tc>
        <w:tc>
          <w:tcPr>
            <w:tcW w:w="1255" w:type="dxa"/>
            <w:tcBorders>
              <w:top w:val="single" w:sz="4" w:space="0" w:color="auto"/>
              <w:left w:val="single" w:sz="4" w:space="0" w:color="auto"/>
              <w:bottom w:val="single" w:sz="4" w:space="0" w:color="auto"/>
              <w:right w:val="single" w:sz="4" w:space="0" w:color="auto"/>
            </w:tcBorders>
            <w:vAlign w:val="center"/>
            <w:hideMark/>
          </w:tcPr>
          <w:p w14:paraId="1FE2B139" w14:textId="24E1B616" w:rsidR="001D4ECA" w:rsidRPr="0044577E" w:rsidRDefault="00B85535" w:rsidP="000343A2">
            <w:pPr>
              <w:pStyle w:val="Tabletext"/>
              <w:keepNext/>
              <w:widowControl w:val="0"/>
              <w:jc w:val="center"/>
              <w:rPr>
                <w:rFonts w:cs="Calibri"/>
                <w:color w:val="000000"/>
                <w:szCs w:val="20"/>
                <w:highlight w:val="yellow"/>
              </w:rPr>
            </w:pPr>
            <w:r w:rsidRPr="00B85535">
              <w:rPr>
                <w:rFonts w:cs="Calibri"/>
                <w:color w:val="000000"/>
                <w:szCs w:val="20"/>
                <w:shd w:val="solid" w:color="000000" w:fill="000000"/>
                <w14:textFill>
                  <w14:solidFill>
                    <w14:srgbClr w14:val="000000">
                      <w14:alpha w14:val="100000"/>
                    </w14:srgbClr>
                  </w14:solidFill>
                </w14:textFill>
              </w:rPr>
              <w:t>|</w:t>
            </w:r>
            <w:r w:rsidR="00A705E5" w:rsidRPr="00A705E5">
              <w:rPr>
                <w:rFonts w:cs="Calibri"/>
                <w:color w:val="000000"/>
                <w:szCs w:val="20"/>
                <w:vertAlign w:val="superscript"/>
              </w:rPr>
              <w:t>6</w:t>
            </w:r>
          </w:p>
        </w:tc>
      </w:tr>
    </w:tbl>
    <w:p w14:paraId="2D4A8F3B" w14:textId="77777777" w:rsidR="00A20E2D" w:rsidRPr="00C80985" w:rsidRDefault="00A20E2D" w:rsidP="00B43FF8">
      <w:pPr>
        <w:pStyle w:val="TableFooter"/>
        <w:keepNext/>
        <w:keepLines/>
        <w:rPr>
          <w:szCs w:val="18"/>
        </w:rPr>
      </w:pPr>
      <w:r w:rsidRPr="00C80985">
        <w:rPr>
          <w:szCs w:val="18"/>
        </w:rPr>
        <w:t>Source: Table 3-16, p199-200 of the submission.</w:t>
      </w:r>
    </w:p>
    <w:p w14:paraId="748F2897" w14:textId="05C83820" w:rsidR="001131B4" w:rsidRPr="00E7203C" w:rsidRDefault="00766BD7" w:rsidP="00E7203C">
      <w:pPr>
        <w:pStyle w:val="TableFigureFooter"/>
        <w:rPr>
          <w:i/>
          <w:iCs/>
        </w:rPr>
      </w:pPr>
      <w:r w:rsidRPr="00C80985">
        <w:rPr>
          <w:szCs w:val="18"/>
        </w:rPr>
        <w:t>CDLQI</w:t>
      </w:r>
      <w:r w:rsidR="00A20E2D" w:rsidRPr="00C80985">
        <w:rPr>
          <w:szCs w:val="18"/>
        </w:rPr>
        <w:t xml:space="preserve"> = Child Dermatology Life Quality Index; CI = confidence interval; DLQI = Dermatology Life Quality Index; EASI = Eczema area and severity index</w:t>
      </w:r>
      <w:r w:rsidR="00E7203C">
        <w:rPr>
          <w:szCs w:val="18"/>
        </w:rPr>
        <w:t xml:space="preserve">; </w:t>
      </w:r>
      <w:r w:rsidR="00E7203C" w:rsidRPr="00D369F2">
        <w:rPr>
          <w:i/>
          <w:iCs/>
        </w:rPr>
        <w:t>ER = emergency room</w:t>
      </w:r>
    </w:p>
    <w:p w14:paraId="3C762FCD" w14:textId="277D9DB3" w:rsidR="00E7203C" w:rsidRPr="00BF43F9" w:rsidRDefault="00E7203C" w:rsidP="00E7203C">
      <w:pPr>
        <w:pStyle w:val="TableFigureFooter"/>
      </w:pPr>
      <w:r w:rsidRPr="00BF43F9">
        <w:rPr>
          <w:vertAlign w:val="superscript"/>
        </w:rPr>
        <w:t>a</w:t>
      </w:r>
      <w:r w:rsidR="000343A2" w:rsidRPr="00BF43F9">
        <w:t xml:space="preserve"> </w:t>
      </w:r>
      <w:r w:rsidRPr="00BF43F9">
        <w:t>Proportions result in 30.3% in both arms having sustained response and not resuming treatment.</w:t>
      </w:r>
    </w:p>
    <w:p w14:paraId="6DB99BBF" w14:textId="3C38E7E0" w:rsidR="00E7203C" w:rsidRPr="00BF43F9" w:rsidRDefault="00E7203C" w:rsidP="00E7203C">
      <w:pPr>
        <w:pStyle w:val="TableFigureFooter"/>
      </w:pPr>
      <w:r w:rsidRPr="00BF43F9">
        <w:rPr>
          <w:vertAlign w:val="superscript"/>
        </w:rPr>
        <w:t>b</w:t>
      </w:r>
      <w:r w:rsidR="000343A2" w:rsidRPr="00BF43F9">
        <w:t xml:space="preserve"> </w:t>
      </w:r>
      <w:r w:rsidRPr="00BF43F9">
        <w:t>Proportions result in 12.7% in both arms having sustained response and not resuming treatment.</w:t>
      </w:r>
    </w:p>
    <w:p w14:paraId="42E97DB0" w14:textId="018B1EFC" w:rsidR="00E7203C" w:rsidRPr="00BF43F9" w:rsidRDefault="00E7203C" w:rsidP="00E7203C">
      <w:pPr>
        <w:pStyle w:val="TableFigureFooter"/>
      </w:pPr>
      <w:r w:rsidRPr="00BF43F9">
        <w:rPr>
          <w:vertAlign w:val="superscript"/>
        </w:rPr>
        <w:t>c</w:t>
      </w:r>
      <w:r w:rsidR="000343A2" w:rsidRPr="00BF43F9">
        <w:t xml:space="preserve"> </w:t>
      </w:r>
      <w:r w:rsidRPr="00BF43F9">
        <w:t>Proportions result in 23.8% in both arms having sustained response and not resuming treatment.</w:t>
      </w:r>
    </w:p>
    <w:p w14:paraId="3B72E71B" w14:textId="110F5CD9" w:rsidR="00E7203C" w:rsidRDefault="00E7203C" w:rsidP="00E7203C">
      <w:pPr>
        <w:pStyle w:val="TableFigureFooter"/>
        <w:rPr>
          <w:i/>
          <w:iCs/>
        </w:rPr>
      </w:pPr>
    </w:p>
    <w:p w14:paraId="12C28600" w14:textId="77777777" w:rsidR="00BF4D29" w:rsidRPr="009868C4" w:rsidRDefault="00BF4D29" w:rsidP="00BF4D29">
      <w:pPr>
        <w:pStyle w:val="TableFigureFooter"/>
        <w:spacing w:after="0"/>
        <w:contextualSpacing w:val="0"/>
      </w:pPr>
      <w:r w:rsidRPr="009868C4">
        <w:rPr>
          <w:i/>
        </w:rPr>
        <w:t>The redacted values correspond to the following ranges</w:t>
      </w:r>
      <w:r>
        <w:rPr>
          <w:i/>
        </w:rPr>
        <w:t xml:space="preserve">: </w:t>
      </w:r>
    </w:p>
    <w:p w14:paraId="4B9B70FC" w14:textId="77777777" w:rsidR="00BF4D29" w:rsidRDefault="00BF4D29" w:rsidP="00BF4D29">
      <w:pPr>
        <w:pStyle w:val="3-BodyText"/>
        <w:numPr>
          <w:ilvl w:val="0"/>
          <w:numId w:val="0"/>
        </w:numPr>
        <w:tabs>
          <w:tab w:val="left" w:pos="142"/>
        </w:tabs>
        <w:spacing w:after="0"/>
        <w:rPr>
          <w:rFonts w:ascii="Arial Narrow" w:hAnsi="Arial Narrow"/>
          <w:sz w:val="18"/>
          <w:szCs w:val="18"/>
        </w:rPr>
      </w:pPr>
      <w:r w:rsidRPr="00AD21C5">
        <w:rPr>
          <w:rFonts w:ascii="Arial Narrow" w:hAnsi="Arial Narrow"/>
          <w:sz w:val="18"/>
          <w:szCs w:val="18"/>
          <w:vertAlign w:val="superscript"/>
        </w:rPr>
        <w:t>1</w:t>
      </w:r>
      <w:r w:rsidRPr="00AD21C5">
        <w:rPr>
          <w:rFonts w:ascii="Arial Narrow" w:hAnsi="Arial Narrow"/>
          <w:sz w:val="18"/>
          <w:szCs w:val="18"/>
        </w:rPr>
        <w:t>$25,000 to &lt; $35,000</w:t>
      </w:r>
    </w:p>
    <w:p w14:paraId="254A5C39" w14:textId="00BB87BF" w:rsidR="00BF4D29" w:rsidRDefault="00BF4D29" w:rsidP="00BF4D29">
      <w:pPr>
        <w:pStyle w:val="3-BodyText"/>
        <w:numPr>
          <w:ilvl w:val="0"/>
          <w:numId w:val="0"/>
        </w:numPr>
        <w:tabs>
          <w:tab w:val="left" w:pos="142"/>
        </w:tabs>
        <w:spacing w:after="0"/>
        <w:rPr>
          <w:rFonts w:ascii="Arial Narrow" w:hAnsi="Arial Narrow"/>
          <w:sz w:val="18"/>
          <w:szCs w:val="18"/>
        </w:rPr>
      </w:pPr>
      <w:r>
        <w:rPr>
          <w:rFonts w:ascii="Arial Narrow" w:hAnsi="Arial Narrow"/>
          <w:sz w:val="18"/>
          <w:szCs w:val="18"/>
          <w:vertAlign w:val="superscript"/>
        </w:rPr>
        <w:t>2</w:t>
      </w:r>
      <w:r>
        <w:rPr>
          <w:rFonts w:ascii="Arial Narrow" w:hAnsi="Arial Narrow"/>
          <w:sz w:val="18"/>
          <w:szCs w:val="18"/>
        </w:rPr>
        <w:t>$</w:t>
      </w:r>
      <w:r w:rsidR="00A705E5">
        <w:rPr>
          <w:rFonts w:ascii="Arial Narrow" w:hAnsi="Arial Narrow"/>
          <w:sz w:val="18"/>
          <w:szCs w:val="18"/>
        </w:rPr>
        <w:t>35,000</w:t>
      </w:r>
      <w:r>
        <w:rPr>
          <w:rFonts w:ascii="Arial Narrow" w:hAnsi="Arial Narrow"/>
          <w:sz w:val="18"/>
          <w:szCs w:val="18"/>
        </w:rPr>
        <w:t xml:space="preserve"> to &lt; $</w:t>
      </w:r>
      <w:r w:rsidR="00A705E5">
        <w:rPr>
          <w:rFonts w:ascii="Arial Narrow" w:hAnsi="Arial Narrow"/>
          <w:sz w:val="18"/>
          <w:szCs w:val="18"/>
        </w:rPr>
        <w:t>4</w:t>
      </w:r>
      <w:r>
        <w:rPr>
          <w:rFonts w:ascii="Arial Narrow" w:hAnsi="Arial Narrow"/>
          <w:sz w:val="18"/>
          <w:szCs w:val="18"/>
        </w:rPr>
        <w:t>5,000</w:t>
      </w:r>
    </w:p>
    <w:p w14:paraId="30C0C708" w14:textId="7E15E778" w:rsidR="00BF4D29" w:rsidRDefault="00BF4D29" w:rsidP="00BF4D29">
      <w:pPr>
        <w:pStyle w:val="3-BodyText"/>
        <w:numPr>
          <w:ilvl w:val="0"/>
          <w:numId w:val="0"/>
        </w:numPr>
        <w:tabs>
          <w:tab w:val="left" w:pos="142"/>
        </w:tabs>
        <w:spacing w:after="0"/>
        <w:rPr>
          <w:rFonts w:ascii="Arial Narrow" w:hAnsi="Arial Narrow"/>
          <w:sz w:val="18"/>
          <w:szCs w:val="18"/>
        </w:rPr>
      </w:pPr>
      <w:r>
        <w:rPr>
          <w:rFonts w:ascii="Arial Narrow" w:hAnsi="Arial Narrow"/>
          <w:sz w:val="18"/>
          <w:szCs w:val="18"/>
          <w:vertAlign w:val="superscript"/>
        </w:rPr>
        <w:t>3</w:t>
      </w:r>
      <w:r>
        <w:rPr>
          <w:rFonts w:ascii="Arial Narrow" w:hAnsi="Arial Narrow"/>
          <w:sz w:val="18"/>
          <w:szCs w:val="18"/>
        </w:rPr>
        <w:t>$</w:t>
      </w:r>
      <w:r w:rsidR="00A705E5">
        <w:rPr>
          <w:rFonts w:ascii="Arial Narrow" w:hAnsi="Arial Narrow"/>
          <w:sz w:val="18"/>
          <w:szCs w:val="18"/>
        </w:rPr>
        <w:t>5</w:t>
      </w:r>
      <w:r>
        <w:rPr>
          <w:rFonts w:ascii="Arial Narrow" w:hAnsi="Arial Narrow"/>
          <w:sz w:val="18"/>
          <w:szCs w:val="18"/>
        </w:rPr>
        <w:t>5,000 to &lt; $</w:t>
      </w:r>
      <w:r w:rsidR="00A705E5">
        <w:rPr>
          <w:rFonts w:ascii="Arial Narrow" w:hAnsi="Arial Narrow"/>
          <w:sz w:val="18"/>
          <w:szCs w:val="18"/>
        </w:rPr>
        <w:t>6</w:t>
      </w:r>
      <w:r>
        <w:rPr>
          <w:rFonts w:ascii="Arial Narrow" w:hAnsi="Arial Narrow"/>
          <w:sz w:val="18"/>
          <w:szCs w:val="18"/>
        </w:rPr>
        <w:t>5,000</w:t>
      </w:r>
    </w:p>
    <w:p w14:paraId="295DD424" w14:textId="18D1F96F" w:rsidR="00A705E5" w:rsidRPr="00A705E5" w:rsidRDefault="00A705E5" w:rsidP="00BF4D29">
      <w:pPr>
        <w:pStyle w:val="3-BodyText"/>
        <w:numPr>
          <w:ilvl w:val="0"/>
          <w:numId w:val="0"/>
        </w:numPr>
        <w:tabs>
          <w:tab w:val="left" w:pos="142"/>
        </w:tabs>
        <w:spacing w:after="0"/>
        <w:rPr>
          <w:rFonts w:ascii="Arial Narrow" w:hAnsi="Arial Narrow"/>
          <w:sz w:val="18"/>
          <w:szCs w:val="18"/>
        </w:rPr>
      </w:pPr>
      <w:r>
        <w:rPr>
          <w:rFonts w:ascii="Arial Narrow" w:hAnsi="Arial Narrow"/>
          <w:sz w:val="18"/>
          <w:szCs w:val="18"/>
          <w:vertAlign w:val="superscript"/>
        </w:rPr>
        <w:t>4</w:t>
      </w:r>
      <w:r w:rsidRPr="00A705E5">
        <w:rPr>
          <w:rFonts w:ascii="Arial Narrow" w:hAnsi="Arial Narrow"/>
          <w:sz w:val="18"/>
          <w:szCs w:val="18"/>
        </w:rPr>
        <w:t>$0 to &lt; $5,000</w:t>
      </w:r>
    </w:p>
    <w:p w14:paraId="1569B146" w14:textId="308416DC" w:rsidR="00BF4D29" w:rsidRDefault="00A705E5" w:rsidP="00E7203C">
      <w:pPr>
        <w:pStyle w:val="TableFigureFooter"/>
      </w:pPr>
      <w:r w:rsidRPr="00A705E5">
        <w:rPr>
          <w:vertAlign w:val="superscript"/>
        </w:rPr>
        <w:t>5</w:t>
      </w:r>
      <w:r>
        <w:t>$65,000 to &lt; $75,000</w:t>
      </w:r>
    </w:p>
    <w:p w14:paraId="566DBA1C" w14:textId="1977F8AB" w:rsidR="00A705E5" w:rsidRPr="00A705E5" w:rsidRDefault="00A705E5" w:rsidP="00E7203C">
      <w:pPr>
        <w:pStyle w:val="TableFigureFooter"/>
      </w:pPr>
      <w:r>
        <w:rPr>
          <w:vertAlign w:val="superscript"/>
        </w:rPr>
        <w:t>6</w:t>
      </w:r>
      <w:r>
        <w:t>$25,000 to &lt; $35,000</w:t>
      </w:r>
    </w:p>
    <w:p w14:paraId="0FBF0047" w14:textId="425498A5" w:rsidR="00447DFC" w:rsidRPr="00D369F2" w:rsidRDefault="000A6AA1" w:rsidP="00BB732D">
      <w:pPr>
        <w:pStyle w:val="3-BodyText"/>
      </w:pPr>
      <w:r>
        <w:rPr>
          <w:iCs/>
        </w:rPr>
        <w:t>The model result was not</w:t>
      </w:r>
      <w:r w:rsidR="001131B4" w:rsidRPr="00C80985">
        <w:rPr>
          <w:iCs/>
        </w:rPr>
        <w:t xml:space="preserve"> sensitiv</w:t>
      </w:r>
      <w:r>
        <w:rPr>
          <w:iCs/>
        </w:rPr>
        <w:t>e to</w:t>
      </w:r>
      <w:r w:rsidR="001131B4" w:rsidRPr="00C80985">
        <w:rPr>
          <w:iCs/>
        </w:rPr>
        <w:t xml:space="preserve"> </w:t>
      </w:r>
      <w:r w:rsidR="001D4ECA">
        <w:t xml:space="preserve">changes in the </w:t>
      </w:r>
      <w:r w:rsidR="001131B4" w:rsidRPr="00C80985">
        <w:t>probability of response at Week 16</w:t>
      </w:r>
      <w:r w:rsidR="001170C0" w:rsidRPr="00C80985">
        <w:t xml:space="preserve"> </w:t>
      </w:r>
      <w:r w:rsidR="001D4ECA">
        <w:t>(</w:t>
      </w:r>
      <w:r w:rsidR="001170C0" w:rsidRPr="00C80985">
        <w:t>such as using the alternate EASI 50 and CDLQI6 outcome</w:t>
      </w:r>
      <w:r w:rsidR="001D4ECA">
        <w:t>)</w:t>
      </w:r>
      <w:r w:rsidR="001131B4" w:rsidRPr="00C80985">
        <w:t>, rate of discontinuation, discount rate, the proportion &gt;30 kgs,</w:t>
      </w:r>
      <w:r>
        <w:t xml:space="preserve"> and</w:t>
      </w:r>
      <w:r w:rsidR="001131B4" w:rsidRPr="00C80985">
        <w:t xml:space="preserve"> utility gain for EASI 50 and </w:t>
      </w:r>
      <w:r w:rsidR="00766BD7" w:rsidRPr="00C80985">
        <w:t>CDLQI</w:t>
      </w:r>
      <w:r w:rsidR="001131B4" w:rsidRPr="00C80985">
        <w:t xml:space="preserve"> response.</w:t>
      </w:r>
      <w:r w:rsidR="00727E48" w:rsidRPr="00C80985">
        <w:t xml:space="preserve"> </w:t>
      </w:r>
      <w:r>
        <w:t xml:space="preserve">The model </w:t>
      </w:r>
      <w:proofErr w:type="gramStart"/>
      <w:r>
        <w:t xml:space="preserve">result </w:t>
      </w:r>
      <w:r w:rsidR="001131B4" w:rsidRPr="00C80985">
        <w:rPr>
          <w:iCs/>
        </w:rPr>
        <w:t xml:space="preserve"> was</w:t>
      </w:r>
      <w:proofErr w:type="gramEnd"/>
      <w:r w:rsidR="001131B4" w:rsidRPr="00C80985">
        <w:rPr>
          <w:iCs/>
        </w:rPr>
        <w:t xml:space="preserve"> </w:t>
      </w:r>
      <w:r>
        <w:rPr>
          <w:iCs/>
        </w:rPr>
        <w:t>sensitive to</w:t>
      </w:r>
      <w:r w:rsidRPr="00C80985">
        <w:rPr>
          <w:iCs/>
        </w:rPr>
        <w:t xml:space="preserve"> </w:t>
      </w:r>
      <w:r w:rsidR="001131B4" w:rsidRPr="00C80985">
        <w:rPr>
          <w:iCs/>
        </w:rPr>
        <w:t xml:space="preserve">the time horizon and health care resource </w:t>
      </w:r>
      <w:r w:rsidR="00664B38">
        <w:rPr>
          <w:iCs/>
        </w:rPr>
        <w:t>use</w:t>
      </w:r>
      <w:r w:rsidR="001131B4" w:rsidRPr="00C80985">
        <w:rPr>
          <w:iCs/>
        </w:rPr>
        <w:t>.</w:t>
      </w:r>
      <w:r w:rsidR="00727E48" w:rsidRPr="00C80985">
        <w:rPr>
          <w:iCs/>
        </w:rPr>
        <w:t xml:space="preserve"> </w:t>
      </w:r>
      <w:r w:rsidR="001131B4" w:rsidRPr="00C80985">
        <w:rPr>
          <w:iCs/>
        </w:rPr>
        <w:t xml:space="preserve">Using </w:t>
      </w:r>
      <w:r w:rsidR="00754191">
        <w:rPr>
          <w:iCs/>
        </w:rPr>
        <w:t>inputs</w:t>
      </w:r>
      <w:r w:rsidR="00754191" w:rsidRPr="00C80985">
        <w:rPr>
          <w:iCs/>
        </w:rPr>
        <w:t xml:space="preserve"> </w:t>
      </w:r>
      <w:r w:rsidR="001131B4" w:rsidRPr="00C80985">
        <w:rPr>
          <w:iCs/>
        </w:rPr>
        <w:t>from the adult health care resource use survey instead of the paediatric survey increased the ICER to</w:t>
      </w:r>
      <w:r w:rsidR="00355B46">
        <w:rPr>
          <w:iCs/>
        </w:rPr>
        <w:t xml:space="preserve"> $35,000 to &lt;$45,000</w:t>
      </w:r>
      <w:r w:rsidR="00A80B0C" w:rsidRPr="00C80985">
        <w:rPr>
          <w:iCs/>
        </w:rPr>
        <w:t>/QALY</w:t>
      </w:r>
      <w:r w:rsidR="001131B4" w:rsidRPr="00C80985">
        <w:rPr>
          <w:iCs/>
        </w:rPr>
        <w:t>.</w:t>
      </w:r>
      <w:r w:rsidR="00727E48" w:rsidRPr="00C80985">
        <w:rPr>
          <w:iCs/>
        </w:rPr>
        <w:t xml:space="preserve"> </w:t>
      </w:r>
      <w:r w:rsidR="001131B4" w:rsidRPr="00C80985">
        <w:rPr>
          <w:iCs/>
        </w:rPr>
        <w:t xml:space="preserve">This increase was likely due to the </w:t>
      </w:r>
      <w:r w:rsidR="00385669" w:rsidRPr="00C80985">
        <w:rPr>
          <w:iCs/>
        </w:rPr>
        <w:t xml:space="preserve">different responder and non-responder values used across the paediatric and adult surveys, with differences being greater in the paediatric survey for all items except </w:t>
      </w:r>
      <w:r w:rsidR="003647BB" w:rsidRPr="00C80985">
        <w:rPr>
          <w:iCs/>
        </w:rPr>
        <w:t>phototherapy treatment and TCS/TCI prescriptions</w:t>
      </w:r>
      <w:r w:rsidR="001131B4" w:rsidRPr="00C80985">
        <w:rPr>
          <w:iCs/>
        </w:rPr>
        <w:t>.</w:t>
      </w:r>
      <w:r w:rsidR="00A44042">
        <w:rPr>
          <w:iCs/>
        </w:rPr>
        <w:t xml:space="preserve"> The pre-PBAC response (p1) argued that it was not appropriate to use adult health resource use estimates when paediatric-specific data were available. </w:t>
      </w:r>
    </w:p>
    <w:p w14:paraId="6F464A1B" w14:textId="2F9AB807" w:rsidR="00D369F2" w:rsidRPr="00BF43F9" w:rsidRDefault="00794A49" w:rsidP="00BB732D">
      <w:pPr>
        <w:pStyle w:val="3-BodyText"/>
        <w:rPr>
          <w:iCs/>
        </w:rPr>
      </w:pPr>
      <w:r w:rsidRPr="00BF43F9">
        <w:rPr>
          <w:iCs/>
        </w:rPr>
        <w:lastRenderedPageBreak/>
        <w:t xml:space="preserve">Noting that the base case health state costs appeared </w:t>
      </w:r>
      <w:r w:rsidR="001D4ECA" w:rsidRPr="00BF43F9">
        <w:rPr>
          <w:iCs/>
        </w:rPr>
        <w:t xml:space="preserve">substantially </w:t>
      </w:r>
      <w:r w:rsidRPr="00BF43F9">
        <w:rPr>
          <w:iCs/>
        </w:rPr>
        <w:t xml:space="preserve">overestimated, and included significant offsets for phototherapy treatment, the ESC considered that </w:t>
      </w:r>
      <w:r w:rsidR="00035132" w:rsidRPr="00BF43F9">
        <w:rPr>
          <w:iCs/>
        </w:rPr>
        <w:t xml:space="preserve">the base case ICER appeared underestimated. </w:t>
      </w:r>
      <w:r w:rsidR="00D369F2" w:rsidRPr="00BF43F9">
        <w:rPr>
          <w:iCs/>
        </w:rPr>
        <w:t xml:space="preserve">The ESC </w:t>
      </w:r>
      <w:r w:rsidR="004B4669" w:rsidRPr="00BF43F9">
        <w:rPr>
          <w:iCs/>
        </w:rPr>
        <w:t>noted that the ICER increased to</w:t>
      </w:r>
      <w:r w:rsidR="00355B46">
        <w:rPr>
          <w:iCs/>
        </w:rPr>
        <w:t xml:space="preserve"> $65,000 to &lt;$75,000</w:t>
      </w:r>
      <w:r w:rsidR="004B4669" w:rsidRPr="00BF43F9">
        <w:rPr>
          <w:iCs/>
        </w:rPr>
        <w:t xml:space="preserve">/QALY </w:t>
      </w:r>
      <w:r w:rsidR="00664B38" w:rsidRPr="00BF43F9">
        <w:rPr>
          <w:iCs/>
        </w:rPr>
        <w:t>when</w:t>
      </w:r>
      <w:r w:rsidR="004B4669" w:rsidRPr="00BF43F9">
        <w:rPr>
          <w:iCs/>
        </w:rPr>
        <w:t xml:space="preserve"> the model assumed </w:t>
      </w:r>
      <w:r w:rsidRPr="00BF43F9">
        <w:rPr>
          <w:iCs/>
        </w:rPr>
        <w:t xml:space="preserve">30.3% in both arms </w:t>
      </w:r>
      <w:r w:rsidR="00664B38" w:rsidRPr="00BF43F9">
        <w:rPr>
          <w:iCs/>
        </w:rPr>
        <w:t>had a</w:t>
      </w:r>
      <w:r w:rsidRPr="00BF43F9">
        <w:rPr>
          <w:iCs/>
        </w:rPr>
        <w:t xml:space="preserve"> sustained response and </w:t>
      </w:r>
      <w:r w:rsidR="00664B38" w:rsidRPr="00BF43F9">
        <w:rPr>
          <w:iCs/>
        </w:rPr>
        <w:t xml:space="preserve">did </w:t>
      </w:r>
      <w:r w:rsidRPr="00BF43F9">
        <w:rPr>
          <w:iCs/>
        </w:rPr>
        <w:t>not resum</w:t>
      </w:r>
      <w:r w:rsidR="00664B38" w:rsidRPr="00BF43F9">
        <w:rPr>
          <w:iCs/>
        </w:rPr>
        <w:t>e</w:t>
      </w:r>
      <w:r w:rsidRPr="00BF43F9">
        <w:rPr>
          <w:iCs/>
        </w:rPr>
        <w:t xml:space="preserve"> treatment, no phototherapy costs and health state costs decreased by 50%.</w:t>
      </w:r>
      <w:r w:rsidR="001D4ECA" w:rsidRPr="00BF43F9">
        <w:rPr>
          <w:iCs/>
        </w:rPr>
        <w:t xml:space="preserve"> Multivariate sensitivity analyses are shown in </w:t>
      </w:r>
      <w:r w:rsidR="001D4ECA" w:rsidRPr="00BF43F9">
        <w:rPr>
          <w:iCs/>
        </w:rPr>
        <w:fldChar w:fldCharType="begin"/>
      </w:r>
      <w:r w:rsidR="001D4ECA" w:rsidRPr="00BF43F9">
        <w:rPr>
          <w:iCs/>
        </w:rPr>
        <w:instrText xml:space="preserve"> REF _Ref96099386 \h </w:instrText>
      </w:r>
      <w:r w:rsidR="00BF43F9">
        <w:rPr>
          <w:iCs/>
        </w:rPr>
        <w:instrText xml:space="preserve"> \* MERGEFORMAT </w:instrText>
      </w:r>
      <w:r w:rsidR="001D4ECA" w:rsidRPr="00BF43F9">
        <w:rPr>
          <w:iCs/>
        </w:rPr>
      </w:r>
      <w:r w:rsidR="001D4ECA" w:rsidRPr="00BF43F9">
        <w:rPr>
          <w:iCs/>
        </w:rPr>
        <w:fldChar w:fldCharType="separate"/>
      </w:r>
      <w:r w:rsidR="00AA723C" w:rsidRPr="00BF43F9">
        <w:rPr>
          <w:iCs/>
        </w:rPr>
        <w:t xml:space="preserve">Table </w:t>
      </w:r>
      <w:r w:rsidR="00AA723C">
        <w:rPr>
          <w:iCs/>
          <w:noProof/>
        </w:rPr>
        <w:t>18</w:t>
      </w:r>
      <w:r w:rsidR="001D4ECA" w:rsidRPr="00BF43F9">
        <w:rPr>
          <w:iCs/>
        </w:rPr>
        <w:fldChar w:fldCharType="end"/>
      </w:r>
      <w:r w:rsidR="001D4ECA" w:rsidRPr="00BF43F9">
        <w:rPr>
          <w:iCs/>
        </w:rPr>
        <w:t>.</w:t>
      </w:r>
    </w:p>
    <w:p w14:paraId="0E0D94E2" w14:textId="73942157" w:rsidR="00D369F2" w:rsidRPr="00BF43F9" w:rsidRDefault="00D369F2" w:rsidP="00D369F2">
      <w:pPr>
        <w:pStyle w:val="TableHeading0"/>
        <w:rPr>
          <w:rStyle w:val="CommentReference"/>
          <w:b/>
          <w:bCs/>
          <w:iCs/>
          <w:szCs w:val="20"/>
          <w:lang w:eastAsia="zh-CN"/>
        </w:rPr>
      </w:pPr>
      <w:bookmarkStart w:id="38" w:name="_Ref96099386"/>
      <w:r w:rsidRPr="00BF43F9">
        <w:rPr>
          <w:iCs/>
        </w:rPr>
        <w:t xml:space="preserve">Table </w:t>
      </w:r>
      <w:r w:rsidRPr="00BF43F9">
        <w:rPr>
          <w:iCs/>
        </w:rPr>
        <w:fldChar w:fldCharType="begin"/>
      </w:r>
      <w:r w:rsidRPr="00BF43F9">
        <w:rPr>
          <w:iCs/>
        </w:rPr>
        <w:instrText xml:space="preserve"> SEQ Table \* ARABIC </w:instrText>
      </w:r>
      <w:r w:rsidRPr="00BF43F9">
        <w:rPr>
          <w:iCs/>
        </w:rPr>
        <w:fldChar w:fldCharType="separate"/>
      </w:r>
      <w:r w:rsidR="00AA723C">
        <w:rPr>
          <w:iCs/>
          <w:noProof/>
        </w:rPr>
        <w:t>18</w:t>
      </w:r>
      <w:r w:rsidRPr="00BF43F9">
        <w:rPr>
          <w:iCs/>
        </w:rPr>
        <w:fldChar w:fldCharType="end"/>
      </w:r>
      <w:bookmarkEnd w:id="38"/>
      <w:r w:rsidRPr="00BF43F9">
        <w:rPr>
          <w:rStyle w:val="CommentReference"/>
          <w:b/>
          <w:bCs/>
          <w:iCs/>
          <w:szCs w:val="20"/>
        </w:rPr>
        <w:t>: Results of multivariate sensitivity analyses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731"/>
        <w:gridCol w:w="1436"/>
        <w:gridCol w:w="1579"/>
        <w:gridCol w:w="1271"/>
      </w:tblGrid>
      <w:tr w:rsidR="00D369F2" w:rsidRPr="00BF43F9" w14:paraId="19F4439D" w14:textId="77777777" w:rsidTr="00B85535">
        <w:trPr>
          <w:cantSplit/>
          <w:tblHeader/>
        </w:trPr>
        <w:tc>
          <w:tcPr>
            <w:tcW w:w="4673" w:type="dxa"/>
            <w:tcBorders>
              <w:top w:val="single" w:sz="4" w:space="0" w:color="auto"/>
              <w:left w:val="single" w:sz="4" w:space="0" w:color="auto"/>
              <w:bottom w:val="single" w:sz="4" w:space="0" w:color="auto"/>
              <w:right w:val="single" w:sz="4" w:space="0" w:color="auto"/>
            </w:tcBorders>
            <w:vAlign w:val="center"/>
            <w:hideMark/>
          </w:tcPr>
          <w:p w14:paraId="3A156743" w14:textId="77777777" w:rsidR="00D369F2" w:rsidRPr="00BF43F9" w:rsidRDefault="00D369F2">
            <w:pPr>
              <w:pStyle w:val="Tabletext"/>
              <w:widowControl w:val="0"/>
              <w:tabs>
                <w:tab w:val="left" w:pos="142"/>
              </w:tabs>
              <w:rPr>
                <w:iCs/>
              </w:rPr>
            </w:pPr>
            <w:r w:rsidRPr="00BF43F9">
              <w:rPr>
                <w:b/>
                <w:iCs/>
              </w:rPr>
              <w:t>Analyses</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22741EA" w14:textId="7CB48CF3" w:rsidR="00D369F2" w:rsidRPr="00BF43F9" w:rsidRDefault="00D369F2">
            <w:pPr>
              <w:pStyle w:val="Tabletext"/>
              <w:widowControl w:val="0"/>
              <w:jc w:val="center"/>
              <w:rPr>
                <w:b/>
                <w:iCs/>
              </w:rPr>
            </w:pPr>
            <w:r w:rsidRPr="00BF43F9">
              <w:rPr>
                <w:b/>
                <w:iCs/>
              </w:rPr>
              <w:t>Incremental cost</w:t>
            </w:r>
            <w:r w:rsidR="00355B46">
              <w:rPr>
                <w:b/>
                <w:iCs/>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18A047" w14:textId="77777777" w:rsidR="00D369F2" w:rsidRPr="00BF43F9" w:rsidRDefault="00D369F2">
            <w:pPr>
              <w:pStyle w:val="Tabletext"/>
              <w:widowControl w:val="0"/>
              <w:jc w:val="center"/>
              <w:rPr>
                <w:b/>
                <w:iCs/>
              </w:rPr>
            </w:pPr>
            <w:r w:rsidRPr="00BF43F9">
              <w:rPr>
                <w:b/>
                <w:iCs/>
              </w:rPr>
              <w:t>Incremental QALY</w:t>
            </w:r>
          </w:p>
        </w:tc>
        <w:tc>
          <w:tcPr>
            <w:tcW w:w="1255" w:type="dxa"/>
            <w:tcBorders>
              <w:top w:val="single" w:sz="4" w:space="0" w:color="auto"/>
              <w:left w:val="single" w:sz="4" w:space="0" w:color="auto"/>
              <w:bottom w:val="single" w:sz="4" w:space="0" w:color="auto"/>
              <w:right w:val="single" w:sz="4" w:space="0" w:color="auto"/>
            </w:tcBorders>
            <w:vAlign w:val="center"/>
            <w:hideMark/>
          </w:tcPr>
          <w:p w14:paraId="26C97758" w14:textId="586F0E02" w:rsidR="00D369F2" w:rsidRPr="00BF43F9" w:rsidRDefault="00D369F2">
            <w:pPr>
              <w:pStyle w:val="Tabletext"/>
              <w:widowControl w:val="0"/>
              <w:jc w:val="center"/>
              <w:rPr>
                <w:b/>
                <w:iCs/>
              </w:rPr>
            </w:pPr>
            <w:r w:rsidRPr="00BF43F9">
              <w:rPr>
                <w:b/>
                <w:iCs/>
              </w:rPr>
              <w:t>ICER</w:t>
            </w:r>
            <w:r w:rsidR="00355B46">
              <w:rPr>
                <w:b/>
                <w:iCs/>
              </w:rPr>
              <w:t xml:space="preserve"> ($)</w:t>
            </w:r>
          </w:p>
        </w:tc>
      </w:tr>
      <w:tr w:rsidR="00D369F2" w:rsidRPr="00BF43F9" w14:paraId="14557E24" w14:textId="77777777" w:rsidTr="00B85535">
        <w:trPr>
          <w:cantSplit/>
        </w:trPr>
        <w:tc>
          <w:tcPr>
            <w:tcW w:w="4673" w:type="dxa"/>
            <w:tcBorders>
              <w:top w:val="single" w:sz="4" w:space="0" w:color="auto"/>
              <w:left w:val="single" w:sz="4" w:space="0" w:color="auto"/>
              <w:bottom w:val="single" w:sz="4" w:space="0" w:color="auto"/>
              <w:right w:val="single" w:sz="4" w:space="0" w:color="auto"/>
            </w:tcBorders>
            <w:vAlign w:val="center"/>
            <w:hideMark/>
          </w:tcPr>
          <w:p w14:paraId="4AD28CF1" w14:textId="77777777" w:rsidR="00D369F2" w:rsidRPr="00BF43F9" w:rsidRDefault="00D369F2">
            <w:pPr>
              <w:pStyle w:val="Tabletext"/>
              <w:widowControl w:val="0"/>
              <w:tabs>
                <w:tab w:val="left" w:pos="142"/>
              </w:tabs>
              <w:rPr>
                <w:b/>
                <w:iCs/>
              </w:rPr>
            </w:pPr>
            <w:r w:rsidRPr="00BF43F9">
              <w:rPr>
                <w:b/>
                <w:iCs/>
              </w:rPr>
              <w:t>Base case</w:t>
            </w:r>
          </w:p>
        </w:tc>
        <w:tc>
          <w:tcPr>
            <w:tcW w:w="1418"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0A75C827" w14:textId="76F64194" w:rsidR="00D369F2" w:rsidRPr="00B85535" w:rsidRDefault="00B85535">
            <w:pPr>
              <w:pStyle w:val="Tabletext"/>
              <w:widowControl w:val="0"/>
              <w:jc w:val="center"/>
              <w:rPr>
                <w:b/>
                <w:iCs/>
              </w:rPr>
            </w:pPr>
            <w:r w:rsidRPr="00B85535">
              <w:rPr>
                <w:rFonts w:cs="Arial"/>
                <w:b/>
                <w:iCs/>
                <w:color w:val="000000"/>
                <w:szCs w:val="20"/>
                <w14:textFill>
                  <w14:solidFill>
                    <w14:srgbClr w14:val="000000">
                      <w14:alpha w14:val="100000"/>
                    </w14:srgbClr>
                  </w14:solidFill>
                </w14:textFil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8C4866" w14:textId="77777777" w:rsidR="00D369F2" w:rsidRPr="00BF43F9" w:rsidRDefault="00D369F2">
            <w:pPr>
              <w:pStyle w:val="Tabletext"/>
              <w:widowControl w:val="0"/>
              <w:jc w:val="center"/>
              <w:rPr>
                <w:b/>
                <w:iCs/>
              </w:rPr>
            </w:pPr>
            <w:r w:rsidRPr="00BF43F9">
              <w:rPr>
                <w:rFonts w:cs="Arial"/>
                <w:b/>
                <w:iCs/>
                <w:szCs w:val="20"/>
              </w:rPr>
              <w:t>0.3926</w:t>
            </w:r>
          </w:p>
        </w:tc>
        <w:tc>
          <w:tcPr>
            <w:tcW w:w="1255" w:type="dxa"/>
            <w:tcBorders>
              <w:top w:val="single" w:sz="4" w:space="0" w:color="auto"/>
              <w:left w:val="single" w:sz="4" w:space="0" w:color="auto"/>
              <w:bottom w:val="single" w:sz="4" w:space="0" w:color="auto"/>
              <w:right w:val="single" w:sz="4" w:space="0" w:color="auto"/>
            </w:tcBorders>
            <w:vAlign w:val="center"/>
            <w:hideMark/>
          </w:tcPr>
          <w:p w14:paraId="17C24ECB" w14:textId="08BE414A" w:rsidR="00D369F2" w:rsidRPr="00355B46" w:rsidRDefault="00B85535">
            <w:pPr>
              <w:pStyle w:val="Tabletext"/>
              <w:widowControl w:val="0"/>
              <w:jc w:val="center"/>
              <w:rPr>
                <w:b/>
                <w:iCs/>
                <w:vertAlign w:val="superscript"/>
              </w:rPr>
            </w:pPr>
            <w:r w:rsidRPr="00AA723C">
              <w:rPr>
                <w:rFonts w:cs="Arial" w:hint="eastAsia"/>
                <w:b/>
                <w:iCs/>
                <w:color w:val="000000"/>
                <w:w w:val="15"/>
                <w:szCs w:val="20"/>
                <w:shd w:val="solid" w:color="000000" w:fill="000000"/>
                <w:fitText w:val="10" w:id="-1500860405"/>
                <w14:textFill>
                  <w14:solidFill>
                    <w14:srgbClr w14:val="000000">
                      <w14:alpha w14:val="100000"/>
                    </w14:srgbClr>
                  </w14:solidFill>
                </w14:textFill>
              </w:rPr>
              <w:t xml:space="preserve">　</w:t>
            </w:r>
            <w:r w:rsidRPr="00AA723C">
              <w:rPr>
                <w:rFonts w:cs="Arial"/>
                <w:b/>
                <w:iCs/>
                <w:color w:val="000000"/>
                <w:w w:val="15"/>
                <w:szCs w:val="20"/>
                <w:shd w:val="solid" w:color="000000" w:fill="000000"/>
                <w:fitText w:val="10" w:id="-1500860405"/>
                <w14:textFill>
                  <w14:solidFill>
                    <w14:srgbClr w14:val="000000">
                      <w14:alpha w14:val="100000"/>
                    </w14:srgbClr>
                  </w14:solidFill>
                </w14:textFill>
              </w:rPr>
              <w:t>|</w:t>
            </w:r>
            <w:r w:rsidRPr="00AA723C">
              <w:rPr>
                <w:rFonts w:cs="Arial" w:hint="eastAsia"/>
                <w:b/>
                <w:iCs/>
                <w:color w:val="000000"/>
                <w:spacing w:val="-56"/>
                <w:w w:val="15"/>
                <w:szCs w:val="20"/>
                <w:shd w:val="solid" w:color="000000" w:fill="000000"/>
                <w:fitText w:val="10" w:id="-1500860405"/>
                <w14:textFill>
                  <w14:solidFill>
                    <w14:srgbClr w14:val="000000">
                      <w14:alpha w14:val="100000"/>
                    </w14:srgbClr>
                  </w14:solidFill>
                </w14:textFill>
              </w:rPr>
              <w:t xml:space="preserve">　</w:t>
            </w:r>
            <w:r w:rsidR="00355B46">
              <w:rPr>
                <w:rFonts w:cs="Arial"/>
                <w:b/>
                <w:iCs/>
                <w:szCs w:val="20"/>
                <w:vertAlign w:val="superscript"/>
              </w:rPr>
              <w:t>1</w:t>
            </w:r>
          </w:p>
        </w:tc>
      </w:tr>
      <w:tr w:rsidR="00D369F2" w:rsidRPr="00BF43F9" w14:paraId="0919B5A0" w14:textId="77777777" w:rsidTr="006551EA">
        <w:trPr>
          <w:cantSplit/>
          <w:trHeight w:val="129"/>
        </w:trPr>
        <w:tc>
          <w:tcPr>
            <w:tcW w:w="8905" w:type="dxa"/>
            <w:gridSpan w:val="4"/>
            <w:tcBorders>
              <w:top w:val="single" w:sz="4" w:space="0" w:color="auto"/>
              <w:left w:val="single" w:sz="4" w:space="0" w:color="auto"/>
              <w:bottom w:val="single" w:sz="4" w:space="0" w:color="auto"/>
              <w:right w:val="single" w:sz="4" w:space="0" w:color="auto"/>
            </w:tcBorders>
            <w:vAlign w:val="center"/>
            <w:hideMark/>
          </w:tcPr>
          <w:p w14:paraId="7CA60BA5" w14:textId="77777777" w:rsidR="00D369F2" w:rsidRPr="00BF43F9" w:rsidRDefault="00D369F2">
            <w:pPr>
              <w:pStyle w:val="Tabletext"/>
              <w:widowControl w:val="0"/>
              <w:rPr>
                <w:rFonts w:cs="Calibri"/>
                <w:iCs/>
                <w:color w:val="000000"/>
                <w:szCs w:val="20"/>
              </w:rPr>
            </w:pPr>
            <w:r w:rsidRPr="00BF43F9">
              <w:rPr>
                <w:rFonts w:cs="Calibri"/>
                <w:iCs/>
                <w:color w:val="000000"/>
                <w:szCs w:val="20"/>
              </w:rPr>
              <w:t>Removal of phototherapy costs and sustained response</w:t>
            </w:r>
          </w:p>
        </w:tc>
      </w:tr>
      <w:tr w:rsidR="00D369F2" w:rsidRPr="00BF43F9" w14:paraId="1F833FA8" w14:textId="77777777" w:rsidTr="00B85535">
        <w:trPr>
          <w:cantSplit/>
          <w:trHeight w:val="129"/>
        </w:trPr>
        <w:tc>
          <w:tcPr>
            <w:tcW w:w="4673" w:type="dxa"/>
            <w:tcBorders>
              <w:top w:val="single" w:sz="4" w:space="0" w:color="auto"/>
              <w:left w:val="single" w:sz="4" w:space="0" w:color="auto"/>
              <w:bottom w:val="single" w:sz="4" w:space="0" w:color="auto"/>
              <w:right w:val="single" w:sz="4" w:space="0" w:color="auto"/>
            </w:tcBorders>
            <w:vAlign w:val="center"/>
            <w:hideMark/>
          </w:tcPr>
          <w:p w14:paraId="3A597831" w14:textId="77777777" w:rsidR="00D369F2" w:rsidRPr="00BF43F9" w:rsidRDefault="00D369F2">
            <w:pPr>
              <w:pStyle w:val="Tabletext"/>
              <w:widowControl w:val="0"/>
              <w:tabs>
                <w:tab w:val="left" w:pos="142"/>
              </w:tabs>
              <w:rPr>
                <w:iCs/>
              </w:rPr>
            </w:pPr>
            <w:r w:rsidRPr="00BF43F9">
              <w:rPr>
                <w:iCs/>
              </w:rPr>
              <w:tab/>
              <w:t xml:space="preserve">No phototherapy costs included plus 63.6% have sustained </w:t>
            </w:r>
            <w:r w:rsidRPr="00BF43F9">
              <w:rPr>
                <w:iCs/>
              </w:rPr>
              <w:tab/>
              <w:t xml:space="preserve">response at Week 52 and stop treatment; 52.4% relapse and </w:t>
            </w:r>
            <w:r w:rsidRPr="00BF43F9">
              <w:rPr>
                <w:iCs/>
              </w:rPr>
              <w:tab/>
              <w:t>recommence treatment</w:t>
            </w:r>
          </w:p>
        </w:tc>
        <w:tc>
          <w:tcPr>
            <w:tcW w:w="1418"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1564CB11" w14:textId="233755AD" w:rsidR="00D369F2" w:rsidRPr="00B85535" w:rsidRDefault="00B85535">
            <w:pPr>
              <w:widowControl w:val="0"/>
              <w:jc w:val="center"/>
              <w:rPr>
                <w:rFonts w:ascii="Arial Narrow" w:hAnsi="Arial Narrow" w:cs="Calibri"/>
                <w:iCs/>
                <w:color w:val="000000"/>
                <w:sz w:val="20"/>
                <w:szCs w:val="20"/>
              </w:rPr>
            </w:pPr>
            <w:r w:rsidRPr="00B85535">
              <w:rPr>
                <w:rFonts w:ascii="Arial Narrow" w:hAnsi="Arial Narrow" w:cs="Calibri"/>
                <w:iCs/>
                <w:color w:val="000000"/>
                <w:sz w:val="20"/>
                <w:szCs w:val="20"/>
                <w14:textFill>
                  <w14:solidFill>
                    <w14:srgbClr w14:val="000000">
                      <w14:alpha w14:val="100000"/>
                    </w14:srgbClr>
                  </w14:solidFill>
                </w14:textFil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CF07CB" w14:textId="77777777" w:rsidR="00D369F2" w:rsidRPr="00BF43F9" w:rsidRDefault="00D369F2">
            <w:pPr>
              <w:widowControl w:val="0"/>
              <w:jc w:val="center"/>
              <w:rPr>
                <w:rFonts w:ascii="Arial Narrow" w:hAnsi="Arial Narrow" w:cs="Calibri"/>
                <w:iCs/>
                <w:color w:val="000000"/>
                <w:sz w:val="20"/>
                <w:szCs w:val="20"/>
              </w:rPr>
            </w:pPr>
            <w:r w:rsidRPr="00BF43F9">
              <w:rPr>
                <w:rFonts w:ascii="Arial Narrow" w:hAnsi="Arial Narrow" w:cs="Calibri"/>
                <w:iCs/>
                <w:color w:val="000000"/>
                <w:sz w:val="20"/>
                <w:szCs w:val="20"/>
              </w:rPr>
              <w:t>0.25</w:t>
            </w:r>
          </w:p>
        </w:tc>
        <w:tc>
          <w:tcPr>
            <w:tcW w:w="1255" w:type="dxa"/>
            <w:tcBorders>
              <w:top w:val="single" w:sz="4" w:space="0" w:color="auto"/>
              <w:left w:val="single" w:sz="4" w:space="0" w:color="auto"/>
              <w:bottom w:val="single" w:sz="4" w:space="0" w:color="auto"/>
              <w:right w:val="single" w:sz="4" w:space="0" w:color="auto"/>
            </w:tcBorders>
            <w:vAlign w:val="center"/>
            <w:hideMark/>
          </w:tcPr>
          <w:p w14:paraId="5F6ACE8F" w14:textId="1A85B152" w:rsidR="00D369F2" w:rsidRPr="00355B46" w:rsidRDefault="00B85535">
            <w:pPr>
              <w:pStyle w:val="Tabletext"/>
              <w:widowControl w:val="0"/>
              <w:jc w:val="center"/>
              <w:rPr>
                <w:rFonts w:cs="Calibri"/>
                <w:iCs/>
                <w:color w:val="000000"/>
                <w:szCs w:val="20"/>
                <w:vertAlign w:val="superscript"/>
              </w:rPr>
            </w:pPr>
            <w:r w:rsidRPr="00B85535">
              <w:rPr>
                <w:rFonts w:cs="Calibri"/>
                <w:iCs/>
                <w:color w:val="000000"/>
                <w:szCs w:val="20"/>
                <w:shd w:val="solid" w:color="000000" w:fill="000000"/>
                <w14:textFill>
                  <w14:solidFill>
                    <w14:srgbClr w14:val="000000">
                      <w14:alpha w14:val="100000"/>
                    </w14:srgbClr>
                  </w14:solidFill>
                </w14:textFill>
              </w:rPr>
              <w:t>|</w:t>
            </w:r>
            <w:r w:rsidR="00355B46">
              <w:rPr>
                <w:rFonts w:cs="Calibri"/>
                <w:iCs/>
                <w:color w:val="000000"/>
                <w:szCs w:val="20"/>
                <w:vertAlign w:val="superscript"/>
              </w:rPr>
              <w:t>2</w:t>
            </w:r>
          </w:p>
        </w:tc>
      </w:tr>
      <w:tr w:rsidR="00D369F2" w:rsidRPr="00BF43F9" w14:paraId="40CE090E" w14:textId="77777777" w:rsidTr="006551EA">
        <w:trPr>
          <w:cantSplit/>
          <w:trHeight w:val="129"/>
        </w:trPr>
        <w:tc>
          <w:tcPr>
            <w:tcW w:w="8905" w:type="dxa"/>
            <w:gridSpan w:val="4"/>
            <w:tcBorders>
              <w:top w:val="single" w:sz="4" w:space="0" w:color="auto"/>
              <w:left w:val="single" w:sz="4" w:space="0" w:color="auto"/>
              <w:bottom w:val="single" w:sz="4" w:space="0" w:color="auto"/>
              <w:right w:val="single" w:sz="4" w:space="0" w:color="auto"/>
            </w:tcBorders>
            <w:vAlign w:val="center"/>
            <w:hideMark/>
          </w:tcPr>
          <w:p w14:paraId="092DE59A" w14:textId="77777777" w:rsidR="00D369F2" w:rsidRPr="00BF43F9" w:rsidRDefault="00D369F2">
            <w:pPr>
              <w:pStyle w:val="Tabletext"/>
              <w:widowControl w:val="0"/>
              <w:rPr>
                <w:rFonts w:cs="Calibri"/>
                <w:iCs/>
                <w:color w:val="000000"/>
                <w:szCs w:val="20"/>
              </w:rPr>
            </w:pPr>
            <w:r w:rsidRPr="00BF43F9">
              <w:rPr>
                <w:rFonts w:cs="Calibri"/>
                <w:iCs/>
                <w:color w:val="000000"/>
                <w:szCs w:val="20"/>
              </w:rPr>
              <w:t>Removal of phototherapy costs and change in health state (medical treatment) costs</w:t>
            </w:r>
          </w:p>
        </w:tc>
      </w:tr>
      <w:tr w:rsidR="00D369F2" w:rsidRPr="00BF43F9" w14:paraId="2C904638" w14:textId="77777777" w:rsidTr="00B85535">
        <w:trPr>
          <w:cantSplit/>
          <w:trHeight w:val="129"/>
        </w:trPr>
        <w:tc>
          <w:tcPr>
            <w:tcW w:w="4673" w:type="dxa"/>
            <w:tcBorders>
              <w:top w:val="single" w:sz="4" w:space="0" w:color="auto"/>
              <w:left w:val="single" w:sz="4" w:space="0" w:color="auto"/>
              <w:bottom w:val="single" w:sz="4" w:space="0" w:color="auto"/>
              <w:right w:val="single" w:sz="4" w:space="0" w:color="auto"/>
            </w:tcBorders>
            <w:vAlign w:val="center"/>
            <w:hideMark/>
          </w:tcPr>
          <w:p w14:paraId="3B3E3C32" w14:textId="77777777" w:rsidR="00D369F2" w:rsidRPr="00BF43F9" w:rsidRDefault="00D369F2">
            <w:pPr>
              <w:pStyle w:val="Tabletext"/>
              <w:widowControl w:val="0"/>
              <w:tabs>
                <w:tab w:val="left" w:pos="142"/>
              </w:tabs>
              <w:rPr>
                <w:iCs/>
              </w:rPr>
            </w:pPr>
            <w:r w:rsidRPr="00BF43F9">
              <w:rPr>
                <w:iCs/>
              </w:rPr>
              <w:tab/>
              <w:t xml:space="preserve">No phototherapy costs </w:t>
            </w:r>
            <w:proofErr w:type="gramStart"/>
            <w:r w:rsidRPr="00BF43F9">
              <w:rPr>
                <w:iCs/>
              </w:rPr>
              <w:t>included</w:t>
            </w:r>
            <w:proofErr w:type="gramEnd"/>
            <w:r w:rsidRPr="00BF43F9">
              <w:rPr>
                <w:iCs/>
              </w:rPr>
              <w:t xml:space="preserve"> and medical treatment cost </w:t>
            </w:r>
            <w:r w:rsidRPr="00BF43F9">
              <w:rPr>
                <w:iCs/>
              </w:rPr>
              <w:tab/>
              <w:t>decreased by 50%</w:t>
            </w:r>
          </w:p>
        </w:tc>
        <w:tc>
          <w:tcPr>
            <w:tcW w:w="1418"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5D982965" w14:textId="103BD0EB" w:rsidR="00D369F2" w:rsidRPr="00B85535" w:rsidRDefault="00B85535">
            <w:pPr>
              <w:widowControl w:val="0"/>
              <w:jc w:val="center"/>
              <w:rPr>
                <w:rFonts w:ascii="Arial Narrow" w:hAnsi="Arial Narrow" w:cs="Calibri"/>
                <w:iCs/>
                <w:color w:val="000000"/>
                <w:sz w:val="20"/>
                <w:szCs w:val="20"/>
              </w:rPr>
            </w:pPr>
            <w:r w:rsidRPr="00B85535">
              <w:rPr>
                <w:rFonts w:ascii="Arial Narrow" w:hAnsi="Arial Narrow" w:cs="Calibri"/>
                <w:iCs/>
                <w:color w:val="000000"/>
                <w:sz w:val="20"/>
                <w:szCs w:val="20"/>
                <w14:textFill>
                  <w14:solidFill>
                    <w14:srgbClr w14:val="000000">
                      <w14:alpha w14:val="100000"/>
                    </w14:srgbClr>
                  </w14:solidFill>
                </w14:textFil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17902BA" w14:textId="77777777" w:rsidR="00D369F2" w:rsidRPr="00BF43F9" w:rsidRDefault="00D369F2">
            <w:pPr>
              <w:widowControl w:val="0"/>
              <w:jc w:val="center"/>
              <w:rPr>
                <w:rFonts w:ascii="Arial Narrow" w:hAnsi="Arial Narrow" w:cs="Calibri"/>
                <w:iCs/>
                <w:color w:val="000000"/>
                <w:sz w:val="20"/>
                <w:szCs w:val="20"/>
              </w:rPr>
            </w:pPr>
            <w:r w:rsidRPr="00BF43F9">
              <w:rPr>
                <w:rFonts w:ascii="Arial Narrow" w:hAnsi="Arial Narrow" w:cs="Calibri"/>
                <w:iCs/>
                <w:color w:val="000000"/>
                <w:sz w:val="20"/>
                <w:szCs w:val="20"/>
              </w:rPr>
              <w:t>0.39</w:t>
            </w:r>
          </w:p>
        </w:tc>
        <w:tc>
          <w:tcPr>
            <w:tcW w:w="1255" w:type="dxa"/>
            <w:tcBorders>
              <w:top w:val="single" w:sz="4" w:space="0" w:color="auto"/>
              <w:left w:val="single" w:sz="4" w:space="0" w:color="auto"/>
              <w:bottom w:val="single" w:sz="4" w:space="0" w:color="auto"/>
              <w:right w:val="single" w:sz="4" w:space="0" w:color="auto"/>
            </w:tcBorders>
            <w:vAlign w:val="center"/>
            <w:hideMark/>
          </w:tcPr>
          <w:p w14:paraId="0A6A56CA" w14:textId="71CE1D96" w:rsidR="00D369F2" w:rsidRPr="00355B46" w:rsidRDefault="00B85535">
            <w:pPr>
              <w:pStyle w:val="Tabletext"/>
              <w:widowControl w:val="0"/>
              <w:jc w:val="center"/>
              <w:rPr>
                <w:rFonts w:cs="Calibri"/>
                <w:iCs/>
                <w:color w:val="000000"/>
                <w:szCs w:val="20"/>
                <w:highlight w:val="yellow"/>
                <w:vertAlign w:val="superscript"/>
              </w:rPr>
            </w:pPr>
            <w:r w:rsidRPr="00B85535">
              <w:rPr>
                <w:rFonts w:cs="Calibri"/>
                <w:iCs/>
                <w:color w:val="000000"/>
                <w:szCs w:val="20"/>
                <w:shd w:val="solid" w:color="000000" w:fill="000000"/>
                <w14:textFill>
                  <w14:solidFill>
                    <w14:srgbClr w14:val="000000">
                      <w14:alpha w14:val="100000"/>
                    </w14:srgbClr>
                  </w14:solidFill>
                </w14:textFill>
              </w:rPr>
              <w:t>|</w:t>
            </w:r>
            <w:r w:rsidR="00355B46" w:rsidRPr="00355B46">
              <w:rPr>
                <w:rFonts w:cs="Calibri"/>
                <w:iCs/>
                <w:color w:val="000000"/>
                <w:szCs w:val="20"/>
                <w:vertAlign w:val="superscript"/>
              </w:rPr>
              <w:t>3</w:t>
            </w:r>
          </w:p>
        </w:tc>
      </w:tr>
      <w:tr w:rsidR="00D369F2" w:rsidRPr="00BF43F9" w14:paraId="2693E280" w14:textId="77777777" w:rsidTr="00B85535">
        <w:trPr>
          <w:cantSplit/>
          <w:trHeight w:val="129"/>
        </w:trPr>
        <w:tc>
          <w:tcPr>
            <w:tcW w:w="4673" w:type="dxa"/>
            <w:tcBorders>
              <w:top w:val="single" w:sz="4" w:space="0" w:color="auto"/>
              <w:left w:val="single" w:sz="4" w:space="0" w:color="auto"/>
              <w:bottom w:val="single" w:sz="4" w:space="0" w:color="auto"/>
              <w:right w:val="single" w:sz="4" w:space="0" w:color="auto"/>
            </w:tcBorders>
            <w:vAlign w:val="center"/>
            <w:hideMark/>
          </w:tcPr>
          <w:p w14:paraId="35E2AD15" w14:textId="77777777" w:rsidR="00D369F2" w:rsidRPr="00BF43F9" w:rsidRDefault="00D369F2">
            <w:pPr>
              <w:pStyle w:val="Tabletext"/>
              <w:widowControl w:val="0"/>
              <w:tabs>
                <w:tab w:val="left" w:pos="142"/>
              </w:tabs>
              <w:rPr>
                <w:iCs/>
              </w:rPr>
            </w:pPr>
            <w:r w:rsidRPr="00BF43F9">
              <w:rPr>
                <w:iCs/>
              </w:rPr>
              <w:tab/>
              <w:t xml:space="preserve">No phototherapy costs </w:t>
            </w:r>
            <w:proofErr w:type="gramStart"/>
            <w:r w:rsidRPr="00BF43F9">
              <w:rPr>
                <w:iCs/>
              </w:rPr>
              <w:t>included</w:t>
            </w:r>
            <w:proofErr w:type="gramEnd"/>
            <w:r w:rsidRPr="00BF43F9">
              <w:rPr>
                <w:iCs/>
              </w:rPr>
              <w:t xml:space="preserve"> and medical treatment cost </w:t>
            </w:r>
            <w:r w:rsidRPr="00BF43F9">
              <w:rPr>
                <w:iCs/>
              </w:rPr>
              <w:tab/>
              <w:t>increased by 50%</w:t>
            </w:r>
          </w:p>
        </w:tc>
        <w:tc>
          <w:tcPr>
            <w:tcW w:w="1418"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5416D731" w14:textId="7DF06E5D" w:rsidR="00D369F2" w:rsidRPr="00B85535" w:rsidRDefault="00B85535">
            <w:pPr>
              <w:widowControl w:val="0"/>
              <w:jc w:val="center"/>
              <w:rPr>
                <w:rFonts w:ascii="Arial Narrow" w:hAnsi="Arial Narrow" w:cs="Calibri"/>
                <w:iCs/>
                <w:color w:val="000000"/>
                <w:sz w:val="20"/>
                <w:szCs w:val="20"/>
              </w:rPr>
            </w:pPr>
            <w:r w:rsidRPr="00B85535">
              <w:rPr>
                <w:rFonts w:ascii="Arial Narrow" w:hAnsi="Arial Narrow" w:cs="Calibri"/>
                <w:iCs/>
                <w:color w:val="000000"/>
                <w:sz w:val="20"/>
                <w:szCs w:val="20"/>
                <w14:textFill>
                  <w14:solidFill>
                    <w14:srgbClr w14:val="000000">
                      <w14:alpha w14:val="100000"/>
                    </w14:srgbClr>
                  </w14:solidFill>
                </w14:textFil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B4A6778" w14:textId="77777777" w:rsidR="00D369F2" w:rsidRPr="00BF43F9" w:rsidRDefault="00D369F2">
            <w:pPr>
              <w:widowControl w:val="0"/>
              <w:jc w:val="center"/>
              <w:rPr>
                <w:rFonts w:ascii="Arial Narrow" w:hAnsi="Arial Narrow" w:cs="Calibri"/>
                <w:iCs/>
                <w:color w:val="000000"/>
                <w:sz w:val="20"/>
                <w:szCs w:val="20"/>
              </w:rPr>
            </w:pPr>
            <w:r w:rsidRPr="00BF43F9">
              <w:rPr>
                <w:rFonts w:ascii="Arial Narrow" w:hAnsi="Arial Narrow" w:cs="Calibri"/>
                <w:iCs/>
                <w:color w:val="000000"/>
                <w:sz w:val="20"/>
                <w:szCs w:val="20"/>
              </w:rPr>
              <w:t>0.39</w:t>
            </w:r>
          </w:p>
        </w:tc>
        <w:tc>
          <w:tcPr>
            <w:tcW w:w="1255" w:type="dxa"/>
            <w:tcBorders>
              <w:top w:val="single" w:sz="4" w:space="0" w:color="auto"/>
              <w:left w:val="single" w:sz="4" w:space="0" w:color="auto"/>
              <w:bottom w:val="single" w:sz="4" w:space="0" w:color="auto"/>
              <w:right w:val="single" w:sz="4" w:space="0" w:color="auto"/>
            </w:tcBorders>
            <w:vAlign w:val="center"/>
            <w:hideMark/>
          </w:tcPr>
          <w:p w14:paraId="407012F4" w14:textId="77B8C724" w:rsidR="00D369F2" w:rsidRPr="00BB5075" w:rsidRDefault="00B85535">
            <w:pPr>
              <w:pStyle w:val="Tabletext"/>
              <w:widowControl w:val="0"/>
              <w:jc w:val="center"/>
              <w:rPr>
                <w:rFonts w:cs="Calibri"/>
                <w:iCs/>
                <w:color w:val="000000"/>
                <w:szCs w:val="20"/>
                <w:highlight w:val="yellow"/>
                <w:vertAlign w:val="superscript"/>
              </w:rPr>
            </w:pPr>
            <w:r w:rsidRPr="00B85535">
              <w:rPr>
                <w:rFonts w:cs="Calibri"/>
                <w:iCs/>
                <w:color w:val="000000"/>
                <w:szCs w:val="20"/>
                <w:shd w:val="solid" w:color="000000" w:fill="000000"/>
                <w14:textFill>
                  <w14:solidFill>
                    <w14:srgbClr w14:val="000000">
                      <w14:alpha w14:val="100000"/>
                    </w14:srgbClr>
                  </w14:solidFill>
                </w14:textFill>
              </w:rPr>
              <w:t>|</w:t>
            </w:r>
            <w:r w:rsidR="00BB5075" w:rsidRPr="00BB5075">
              <w:rPr>
                <w:rFonts w:cs="Calibri"/>
                <w:iCs/>
                <w:color w:val="000000"/>
                <w:szCs w:val="20"/>
                <w:vertAlign w:val="superscript"/>
              </w:rPr>
              <w:t>4</w:t>
            </w:r>
          </w:p>
        </w:tc>
      </w:tr>
      <w:tr w:rsidR="00D369F2" w:rsidRPr="00BF43F9" w14:paraId="48400AB0" w14:textId="77777777" w:rsidTr="006551EA">
        <w:trPr>
          <w:cantSplit/>
          <w:trHeight w:val="129"/>
        </w:trPr>
        <w:tc>
          <w:tcPr>
            <w:tcW w:w="8905" w:type="dxa"/>
            <w:gridSpan w:val="4"/>
            <w:tcBorders>
              <w:top w:val="single" w:sz="4" w:space="0" w:color="auto"/>
              <w:left w:val="single" w:sz="4" w:space="0" w:color="auto"/>
              <w:bottom w:val="single" w:sz="4" w:space="0" w:color="auto"/>
              <w:right w:val="single" w:sz="4" w:space="0" w:color="auto"/>
            </w:tcBorders>
            <w:vAlign w:val="center"/>
            <w:hideMark/>
          </w:tcPr>
          <w:p w14:paraId="12650366" w14:textId="77777777" w:rsidR="00D369F2" w:rsidRPr="00BF43F9" w:rsidRDefault="00D369F2">
            <w:pPr>
              <w:pStyle w:val="Tabletext"/>
              <w:widowControl w:val="0"/>
              <w:rPr>
                <w:rFonts w:cs="Calibri"/>
                <w:iCs/>
                <w:color w:val="000000"/>
                <w:szCs w:val="20"/>
              </w:rPr>
            </w:pPr>
            <w:r w:rsidRPr="00BF43F9">
              <w:rPr>
                <w:rFonts w:cs="Calibri"/>
                <w:iCs/>
                <w:color w:val="000000"/>
                <w:szCs w:val="20"/>
              </w:rPr>
              <w:t>Sustained response in both arms, no phototherapy costs and health state (medical treatment) costs decreased by 50%</w:t>
            </w:r>
          </w:p>
        </w:tc>
      </w:tr>
      <w:tr w:rsidR="00D369F2" w:rsidRPr="00BF43F9" w14:paraId="3E5312F4" w14:textId="77777777" w:rsidTr="00B85535">
        <w:trPr>
          <w:cantSplit/>
          <w:trHeight w:val="129"/>
        </w:trPr>
        <w:tc>
          <w:tcPr>
            <w:tcW w:w="4673" w:type="dxa"/>
            <w:tcBorders>
              <w:top w:val="single" w:sz="4" w:space="0" w:color="auto"/>
              <w:left w:val="single" w:sz="4" w:space="0" w:color="auto"/>
              <w:bottom w:val="single" w:sz="4" w:space="0" w:color="auto"/>
              <w:right w:val="single" w:sz="4" w:space="0" w:color="auto"/>
            </w:tcBorders>
            <w:vAlign w:val="center"/>
            <w:hideMark/>
          </w:tcPr>
          <w:p w14:paraId="5BE6E956" w14:textId="09306CB2" w:rsidR="00D369F2" w:rsidRPr="00BF43F9" w:rsidRDefault="00D369F2">
            <w:pPr>
              <w:pStyle w:val="Tabletext"/>
              <w:widowControl w:val="0"/>
              <w:tabs>
                <w:tab w:val="left" w:pos="142"/>
              </w:tabs>
              <w:rPr>
                <w:iCs/>
              </w:rPr>
            </w:pPr>
            <w:r w:rsidRPr="00BF43F9">
              <w:rPr>
                <w:iCs/>
              </w:rPr>
              <w:tab/>
              <w:t xml:space="preserve">63.6% have sustained response at Week 52 and stop </w:t>
            </w:r>
            <w:r w:rsidRPr="00BF43F9">
              <w:rPr>
                <w:iCs/>
              </w:rPr>
              <w:tab/>
              <w:t xml:space="preserve">treatment; 52.4% relapse and recommence </w:t>
            </w:r>
            <w:proofErr w:type="spellStart"/>
            <w:r w:rsidRPr="00BF43F9">
              <w:rPr>
                <w:iCs/>
              </w:rPr>
              <w:t>treatment</w:t>
            </w:r>
            <w:r w:rsidR="00E7203C" w:rsidRPr="00BF43F9">
              <w:rPr>
                <w:iCs/>
                <w:vertAlign w:val="superscript"/>
              </w:rPr>
              <w:t>a</w:t>
            </w:r>
            <w:proofErr w:type="spellEnd"/>
            <w:r w:rsidRPr="00BF43F9">
              <w:rPr>
                <w:iCs/>
              </w:rPr>
              <w:t xml:space="preserve">, no </w:t>
            </w:r>
            <w:r w:rsidRPr="00BF43F9">
              <w:rPr>
                <w:iCs/>
              </w:rPr>
              <w:tab/>
              <w:t>phototherapy costs and health state costs decreased by 50%</w:t>
            </w:r>
          </w:p>
        </w:tc>
        <w:tc>
          <w:tcPr>
            <w:tcW w:w="1418" w:type="dxa"/>
            <w:tcBorders>
              <w:top w:val="single" w:sz="4" w:space="0" w:color="auto"/>
              <w:left w:val="single" w:sz="4" w:space="0" w:color="auto"/>
              <w:bottom w:val="single" w:sz="4" w:space="0" w:color="auto"/>
              <w:right w:val="single" w:sz="4" w:space="0" w:color="auto"/>
            </w:tcBorders>
            <w:shd w:val="solid" w:color="000000" w:fill="000000"/>
            <w:vAlign w:val="center"/>
            <w:hideMark/>
          </w:tcPr>
          <w:p w14:paraId="44927B8F" w14:textId="7FD67629" w:rsidR="00D369F2" w:rsidRPr="00B85535" w:rsidRDefault="00B85535">
            <w:pPr>
              <w:widowControl w:val="0"/>
              <w:jc w:val="center"/>
              <w:rPr>
                <w:rFonts w:ascii="Arial Narrow" w:hAnsi="Arial Narrow" w:cs="Calibri"/>
                <w:iCs/>
                <w:color w:val="000000"/>
                <w:sz w:val="20"/>
                <w:szCs w:val="20"/>
              </w:rPr>
            </w:pPr>
            <w:r w:rsidRPr="00B85535">
              <w:rPr>
                <w:rFonts w:ascii="Arial Narrow" w:hAnsi="Arial Narrow" w:cs="Calibri"/>
                <w:iCs/>
                <w:color w:val="000000"/>
                <w:sz w:val="20"/>
                <w:szCs w:val="20"/>
                <w14:textFill>
                  <w14:solidFill>
                    <w14:srgbClr w14:val="000000">
                      <w14:alpha w14:val="100000"/>
                    </w14:srgbClr>
                  </w14:solidFill>
                </w14:textFill>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9AE555" w14:textId="77777777" w:rsidR="00D369F2" w:rsidRPr="00BF43F9" w:rsidRDefault="00D369F2">
            <w:pPr>
              <w:widowControl w:val="0"/>
              <w:jc w:val="center"/>
              <w:rPr>
                <w:rFonts w:ascii="Arial Narrow" w:hAnsi="Arial Narrow" w:cs="Calibri"/>
                <w:iCs/>
                <w:color w:val="000000"/>
                <w:sz w:val="20"/>
                <w:szCs w:val="20"/>
              </w:rPr>
            </w:pPr>
            <w:r w:rsidRPr="00BF43F9">
              <w:rPr>
                <w:rFonts w:ascii="Arial Narrow" w:hAnsi="Arial Narrow" w:cs="Calibri"/>
                <w:iCs/>
                <w:color w:val="000000"/>
                <w:sz w:val="20"/>
                <w:szCs w:val="20"/>
              </w:rPr>
              <w:t>0.25</w:t>
            </w:r>
          </w:p>
        </w:tc>
        <w:tc>
          <w:tcPr>
            <w:tcW w:w="1255" w:type="dxa"/>
            <w:tcBorders>
              <w:top w:val="single" w:sz="4" w:space="0" w:color="auto"/>
              <w:left w:val="single" w:sz="4" w:space="0" w:color="auto"/>
              <w:bottom w:val="single" w:sz="4" w:space="0" w:color="auto"/>
              <w:right w:val="single" w:sz="4" w:space="0" w:color="auto"/>
            </w:tcBorders>
            <w:vAlign w:val="center"/>
            <w:hideMark/>
          </w:tcPr>
          <w:p w14:paraId="4B5CB330" w14:textId="0257B201" w:rsidR="00D369F2" w:rsidRPr="00BB5075" w:rsidRDefault="00B85535">
            <w:pPr>
              <w:pStyle w:val="Tabletext"/>
              <w:widowControl w:val="0"/>
              <w:jc w:val="center"/>
              <w:rPr>
                <w:rFonts w:cs="Calibri"/>
                <w:iCs/>
                <w:color w:val="000000"/>
                <w:szCs w:val="20"/>
                <w:vertAlign w:val="superscript"/>
              </w:rPr>
            </w:pPr>
            <w:r w:rsidRPr="00B85535">
              <w:rPr>
                <w:rFonts w:cs="Calibri"/>
                <w:iCs/>
                <w:color w:val="000000"/>
                <w:szCs w:val="20"/>
                <w:shd w:val="solid" w:color="000000" w:fill="000000"/>
                <w14:textFill>
                  <w14:solidFill>
                    <w14:srgbClr w14:val="000000">
                      <w14:alpha w14:val="100000"/>
                    </w14:srgbClr>
                  </w14:solidFill>
                </w14:textFill>
              </w:rPr>
              <w:t>|</w:t>
            </w:r>
            <w:r w:rsidR="00BB5075">
              <w:rPr>
                <w:rFonts w:cs="Calibri"/>
                <w:iCs/>
                <w:color w:val="000000"/>
                <w:szCs w:val="20"/>
                <w:vertAlign w:val="superscript"/>
              </w:rPr>
              <w:t>5</w:t>
            </w:r>
          </w:p>
        </w:tc>
      </w:tr>
    </w:tbl>
    <w:p w14:paraId="140ADE4E" w14:textId="77777777" w:rsidR="00D369F2" w:rsidRPr="00BF43F9" w:rsidRDefault="00D369F2" w:rsidP="00D369F2">
      <w:pPr>
        <w:pStyle w:val="TableFigureFooter"/>
        <w:rPr>
          <w:iCs/>
          <w:szCs w:val="24"/>
        </w:rPr>
      </w:pPr>
      <w:r w:rsidRPr="00BF43F9">
        <w:rPr>
          <w:iCs/>
        </w:rPr>
        <w:t>Source: Table 3-16, p199-200 of the submission; Excel workbook ‘Dupilumab (Dupixent) Paediatric AD Economic Model’.</w:t>
      </w:r>
    </w:p>
    <w:p w14:paraId="60F2CCAA" w14:textId="6FF90244" w:rsidR="00D369F2" w:rsidRDefault="00D369F2" w:rsidP="000343A2">
      <w:pPr>
        <w:pStyle w:val="TableFigureFooter"/>
        <w:rPr>
          <w:iCs/>
        </w:rPr>
      </w:pPr>
      <w:r w:rsidRPr="00BF43F9">
        <w:rPr>
          <w:iCs/>
          <w:vertAlign w:val="superscript"/>
        </w:rPr>
        <w:t>a</w:t>
      </w:r>
      <w:r w:rsidR="000343A2" w:rsidRPr="00BF43F9">
        <w:rPr>
          <w:iCs/>
        </w:rPr>
        <w:t xml:space="preserve"> </w:t>
      </w:r>
      <w:r w:rsidRPr="00BF43F9">
        <w:rPr>
          <w:iCs/>
        </w:rPr>
        <w:t>Presented in the submission and in Table 3.9.1, 6.03.COM.92; proportions result in 30.3% in both arms having sustained response and not resuming treatment.</w:t>
      </w:r>
    </w:p>
    <w:p w14:paraId="3ED8DB8C" w14:textId="206B529E" w:rsidR="00355B46" w:rsidRDefault="00355B46" w:rsidP="000343A2">
      <w:pPr>
        <w:pStyle w:val="TableFigureFooter"/>
        <w:rPr>
          <w:iCs/>
        </w:rPr>
      </w:pPr>
    </w:p>
    <w:p w14:paraId="7DBDE8B3" w14:textId="77777777" w:rsidR="00355B46" w:rsidRPr="009868C4" w:rsidRDefault="00355B46" w:rsidP="00355B46">
      <w:pPr>
        <w:pStyle w:val="TableFigureFooter"/>
        <w:spacing w:after="0"/>
        <w:contextualSpacing w:val="0"/>
      </w:pPr>
      <w:r w:rsidRPr="009868C4">
        <w:rPr>
          <w:i/>
        </w:rPr>
        <w:t>The redacted values correspond to the following ranges</w:t>
      </w:r>
      <w:r>
        <w:rPr>
          <w:i/>
        </w:rPr>
        <w:t xml:space="preserve">: </w:t>
      </w:r>
    </w:p>
    <w:p w14:paraId="79951F1F" w14:textId="77777777" w:rsidR="00355B46" w:rsidRDefault="00355B46" w:rsidP="00355B46">
      <w:pPr>
        <w:pStyle w:val="3-BodyText"/>
        <w:numPr>
          <w:ilvl w:val="0"/>
          <w:numId w:val="0"/>
        </w:numPr>
        <w:tabs>
          <w:tab w:val="left" w:pos="142"/>
        </w:tabs>
        <w:spacing w:after="0"/>
        <w:rPr>
          <w:rFonts w:ascii="Arial Narrow" w:hAnsi="Arial Narrow"/>
          <w:sz w:val="18"/>
          <w:szCs w:val="18"/>
        </w:rPr>
      </w:pPr>
      <w:r w:rsidRPr="00AD21C5">
        <w:rPr>
          <w:rFonts w:ascii="Arial Narrow" w:hAnsi="Arial Narrow"/>
          <w:sz w:val="18"/>
          <w:szCs w:val="18"/>
          <w:vertAlign w:val="superscript"/>
        </w:rPr>
        <w:t>1</w:t>
      </w:r>
      <w:r w:rsidRPr="00AD21C5">
        <w:rPr>
          <w:rFonts w:ascii="Arial Narrow" w:hAnsi="Arial Narrow"/>
          <w:sz w:val="18"/>
          <w:szCs w:val="18"/>
        </w:rPr>
        <w:t>$25,000 to &lt; $35,000</w:t>
      </w:r>
    </w:p>
    <w:p w14:paraId="68D7F174" w14:textId="77777777" w:rsidR="00355B46" w:rsidRDefault="00355B46" w:rsidP="00355B46">
      <w:pPr>
        <w:pStyle w:val="3-BodyText"/>
        <w:numPr>
          <w:ilvl w:val="0"/>
          <w:numId w:val="0"/>
        </w:numPr>
        <w:tabs>
          <w:tab w:val="left" w:pos="142"/>
        </w:tabs>
        <w:spacing w:after="0"/>
        <w:rPr>
          <w:rFonts w:ascii="Arial Narrow" w:hAnsi="Arial Narrow"/>
          <w:sz w:val="18"/>
          <w:szCs w:val="18"/>
        </w:rPr>
      </w:pPr>
      <w:r>
        <w:rPr>
          <w:rFonts w:ascii="Arial Narrow" w:hAnsi="Arial Narrow"/>
          <w:sz w:val="18"/>
          <w:szCs w:val="18"/>
          <w:vertAlign w:val="superscript"/>
        </w:rPr>
        <w:t>2</w:t>
      </w:r>
      <w:r>
        <w:rPr>
          <w:rFonts w:ascii="Arial Narrow" w:hAnsi="Arial Narrow"/>
          <w:sz w:val="18"/>
          <w:szCs w:val="18"/>
        </w:rPr>
        <w:t>$35,000 to &lt; $45,000</w:t>
      </w:r>
    </w:p>
    <w:p w14:paraId="3F56DF75" w14:textId="77777777" w:rsidR="00355B46" w:rsidRDefault="00355B46" w:rsidP="00355B46">
      <w:pPr>
        <w:pStyle w:val="3-BodyText"/>
        <w:numPr>
          <w:ilvl w:val="0"/>
          <w:numId w:val="0"/>
        </w:numPr>
        <w:tabs>
          <w:tab w:val="left" w:pos="142"/>
        </w:tabs>
        <w:spacing w:after="0"/>
        <w:rPr>
          <w:rFonts w:ascii="Arial Narrow" w:hAnsi="Arial Narrow"/>
          <w:sz w:val="18"/>
          <w:szCs w:val="18"/>
        </w:rPr>
      </w:pPr>
      <w:r>
        <w:rPr>
          <w:rFonts w:ascii="Arial Narrow" w:hAnsi="Arial Narrow"/>
          <w:sz w:val="18"/>
          <w:szCs w:val="18"/>
          <w:vertAlign w:val="superscript"/>
        </w:rPr>
        <w:t>3</w:t>
      </w:r>
      <w:r>
        <w:rPr>
          <w:rFonts w:ascii="Arial Narrow" w:hAnsi="Arial Narrow"/>
          <w:sz w:val="18"/>
          <w:szCs w:val="18"/>
        </w:rPr>
        <w:t>$55,000 to &lt; $65,000</w:t>
      </w:r>
    </w:p>
    <w:p w14:paraId="02C77010" w14:textId="201490A5" w:rsidR="00355B46" w:rsidRPr="00A705E5" w:rsidRDefault="00355B46" w:rsidP="00355B46">
      <w:pPr>
        <w:pStyle w:val="3-BodyText"/>
        <w:numPr>
          <w:ilvl w:val="0"/>
          <w:numId w:val="0"/>
        </w:numPr>
        <w:tabs>
          <w:tab w:val="left" w:pos="142"/>
        </w:tabs>
        <w:spacing w:after="0"/>
        <w:rPr>
          <w:rFonts w:ascii="Arial Narrow" w:hAnsi="Arial Narrow"/>
          <w:sz w:val="18"/>
          <w:szCs w:val="18"/>
        </w:rPr>
      </w:pPr>
      <w:r>
        <w:rPr>
          <w:rFonts w:ascii="Arial Narrow" w:hAnsi="Arial Narrow"/>
          <w:sz w:val="18"/>
          <w:szCs w:val="18"/>
          <w:vertAlign w:val="superscript"/>
        </w:rPr>
        <w:t>4</w:t>
      </w:r>
      <w:r w:rsidRPr="00A705E5">
        <w:rPr>
          <w:rFonts w:ascii="Arial Narrow" w:hAnsi="Arial Narrow"/>
          <w:sz w:val="18"/>
          <w:szCs w:val="18"/>
        </w:rPr>
        <w:t>$</w:t>
      </w:r>
      <w:r>
        <w:rPr>
          <w:rFonts w:ascii="Arial Narrow" w:hAnsi="Arial Narrow"/>
          <w:sz w:val="18"/>
          <w:szCs w:val="18"/>
        </w:rPr>
        <w:t>5,000</w:t>
      </w:r>
      <w:r w:rsidRPr="00A705E5">
        <w:rPr>
          <w:rFonts w:ascii="Arial Narrow" w:hAnsi="Arial Narrow"/>
          <w:sz w:val="18"/>
          <w:szCs w:val="18"/>
        </w:rPr>
        <w:t xml:space="preserve"> to &lt; $</w:t>
      </w:r>
      <w:r>
        <w:rPr>
          <w:rFonts w:ascii="Arial Narrow" w:hAnsi="Arial Narrow"/>
          <w:sz w:val="18"/>
          <w:szCs w:val="18"/>
        </w:rPr>
        <w:t>1</w:t>
      </w:r>
      <w:r w:rsidRPr="00A705E5">
        <w:rPr>
          <w:rFonts w:ascii="Arial Narrow" w:hAnsi="Arial Narrow"/>
          <w:sz w:val="18"/>
          <w:szCs w:val="18"/>
        </w:rPr>
        <w:t>5,000</w:t>
      </w:r>
    </w:p>
    <w:p w14:paraId="3822C026" w14:textId="77777777" w:rsidR="00355B46" w:rsidRDefault="00355B46" w:rsidP="00355B46">
      <w:pPr>
        <w:pStyle w:val="TableFigureFooter"/>
      </w:pPr>
      <w:r w:rsidRPr="00A705E5">
        <w:rPr>
          <w:vertAlign w:val="superscript"/>
        </w:rPr>
        <w:t>5</w:t>
      </w:r>
      <w:r>
        <w:t>$65,000 to &lt; $75,000</w:t>
      </w:r>
    </w:p>
    <w:p w14:paraId="504D392F" w14:textId="77777777" w:rsidR="00355B46" w:rsidRPr="00BF43F9" w:rsidRDefault="00355B46" w:rsidP="000343A2">
      <w:pPr>
        <w:pStyle w:val="TableFigureFooter"/>
        <w:rPr>
          <w:iCs/>
          <w:szCs w:val="24"/>
        </w:rPr>
      </w:pPr>
    </w:p>
    <w:p w14:paraId="472842D7" w14:textId="7E0FC366" w:rsidR="00C25D9C" w:rsidRPr="00E57628" w:rsidRDefault="00C25D9C" w:rsidP="00BB732D">
      <w:pPr>
        <w:pStyle w:val="4-SubsectionHeading"/>
      </w:pPr>
      <w:bookmarkStart w:id="39" w:name="_Toc22897646"/>
      <w:bookmarkStart w:id="40" w:name="_Toc93325007"/>
      <w:r w:rsidRPr="00E57628">
        <w:t>Drug cost/patient/year</w:t>
      </w:r>
      <w:bookmarkEnd w:id="39"/>
      <w:bookmarkEnd w:id="40"/>
    </w:p>
    <w:p w14:paraId="51691BD3" w14:textId="4B702DB6" w:rsidR="00494207" w:rsidRPr="00E57628" w:rsidRDefault="00AB4654" w:rsidP="00BB732D">
      <w:pPr>
        <w:pStyle w:val="TableFigureHeading"/>
        <w:rPr>
          <w:rStyle w:val="CommentReference"/>
          <w:b/>
          <w:szCs w:val="24"/>
        </w:rPr>
      </w:pPr>
      <w:r w:rsidRPr="00E57628">
        <w:rPr>
          <w:rStyle w:val="CommentReference"/>
          <w:b/>
          <w:szCs w:val="24"/>
        </w:rPr>
        <w:t xml:space="preserve">Table </w:t>
      </w:r>
      <w:r w:rsidRPr="00E57628">
        <w:rPr>
          <w:rStyle w:val="CommentReference"/>
          <w:b/>
          <w:szCs w:val="24"/>
        </w:rPr>
        <w:fldChar w:fldCharType="begin"/>
      </w:r>
      <w:r w:rsidRPr="00E57628">
        <w:rPr>
          <w:rStyle w:val="CommentReference"/>
          <w:b/>
          <w:szCs w:val="24"/>
        </w:rPr>
        <w:instrText xml:space="preserve"> SEQ Table \* ARABIC </w:instrText>
      </w:r>
      <w:r w:rsidRPr="00E57628">
        <w:rPr>
          <w:rStyle w:val="CommentReference"/>
          <w:b/>
          <w:szCs w:val="24"/>
        </w:rPr>
        <w:fldChar w:fldCharType="separate"/>
      </w:r>
      <w:r w:rsidR="00AA723C">
        <w:rPr>
          <w:rStyle w:val="CommentReference"/>
          <w:b/>
          <w:noProof/>
          <w:szCs w:val="24"/>
        </w:rPr>
        <w:t>19</w:t>
      </w:r>
      <w:r w:rsidRPr="00E57628">
        <w:rPr>
          <w:rStyle w:val="CommentReference"/>
          <w:b/>
          <w:szCs w:val="24"/>
        </w:rPr>
        <w:fldChar w:fldCharType="end"/>
      </w:r>
      <w:r w:rsidR="00494207" w:rsidRPr="00E57628">
        <w:rPr>
          <w:rStyle w:val="CommentReference"/>
          <w:b/>
          <w:szCs w:val="24"/>
        </w:rPr>
        <w:t xml:space="preserve">: Drug cost per patient for </w:t>
      </w:r>
      <w:r w:rsidRPr="00E57628">
        <w:rPr>
          <w:rStyle w:val="CommentReference"/>
          <w:b/>
          <w:szCs w:val="24"/>
        </w:rPr>
        <w:t xml:space="preserve">dupilumab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70"/>
        <w:gridCol w:w="2864"/>
        <w:gridCol w:w="2435"/>
        <w:gridCol w:w="2148"/>
      </w:tblGrid>
      <w:tr w:rsidR="00AB4654" w:rsidRPr="00E57628" w14:paraId="656C64EC" w14:textId="77777777" w:rsidTr="006551EA">
        <w:tc>
          <w:tcPr>
            <w:tcW w:w="1555" w:type="dxa"/>
            <w:vAlign w:val="center"/>
          </w:tcPr>
          <w:p w14:paraId="20485650" w14:textId="77777777" w:rsidR="00AB4654" w:rsidRPr="00E57628" w:rsidRDefault="00AB4654" w:rsidP="00E840F9">
            <w:pPr>
              <w:pStyle w:val="In-tableHeading"/>
              <w:jc w:val="center"/>
              <w:rPr>
                <w:lang w:val="en-AU"/>
              </w:rPr>
            </w:pPr>
          </w:p>
        </w:tc>
        <w:tc>
          <w:tcPr>
            <w:tcW w:w="2835" w:type="dxa"/>
            <w:vAlign w:val="center"/>
          </w:tcPr>
          <w:p w14:paraId="1223F4AF" w14:textId="77777777" w:rsidR="00AB4654" w:rsidRPr="00E57628" w:rsidRDefault="00AB4654" w:rsidP="00E840F9">
            <w:pPr>
              <w:pStyle w:val="In-tableHeading"/>
              <w:jc w:val="center"/>
              <w:rPr>
                <w:lang w:val="en-AU"/>
              </w:rPr>
            </w:pPr>
            <w:r w:rsidRPr="00E57628">
              <w:rPr>
                <w:lang w:val="en-AU"/>
              </w:rPr>
              <w:t>Trial dose and duration</w:t>
            </w:r>
          </w:p>
        </w:tc>
        <w:tc>
          <w:tcPr>
            <w:tcW w:w="2410" w:type="dxa"/>
            <w:vAlign w:val="center"/>
          </w:tcPr>
          <w:p w14:paraId="086EAB34" w14:textId="77777777" w:rsidR="00AB4654" w:rsidRPr="00E57628" w:rsidRDefault="00AB4654" w:rsidP="00E840F9">
            <w:pPr>
              <w:pStyle w:val="In-tableHeading"/>
              <w:jc w:val="center"/>
              <w:rPr>
                <w:lang w:val="en-AU"/>
              </w:rPr>
            </w:pPr>
            <w:r w:rsidRPr="00E57628">
              <w:rPr>
                <w:lang w:val="en-AU"/>
              </w:rPr>
              <w:t>Model</w:t>
            </w:r>
          </w:p>
        </w:tc>
        <w:tc>
          <w:tcPr>
            <w:tcW w:w="2126" w:type="dxa"/>
            <w:vAlign w:val="center"/>
          </w:tcPr>
          <w:p w14:paraId="18AAA443" w14:textId="77777777" w:rsidR="00AB4654" w:rsidRPr="00E57628" w:rsidRDefault="00AB4654" w:rsidP="00E840F9">
            <w:pPr>
              <w:pStyle w:val="In-tableHeading"/>
              <w:jc w:val="center"/>
              <w:rPr>
                <w:lang w:val="en-AU"/>
              </w:rPr>
            </w:pPr>
            <w:r w:rsidRPr="00E57628">
              <w:rPr>
                <w:lang w:val="en-AU"/>
              </w:rPr>
              <w:t>Financial estimates</w:t>
            </w:r>
          </w:p>
        </w:tc>
      </w:tr>
      <w:tr w:rsidR="00AB4654" w:rsidRPr="00E57628" w14:paraId="685A9117" w14:textId="77777777" w:rsidTr="006551EA">
        <w:tc>
          <w:tcPr>
            <w:tcW w:w="8926" w:type="dxa"/>
            <w:gridSpan w:val="4"/>
            <w:vAlign w:val="center"/>
          </w:tcPr>
          <w:p w14:paraId="0A688FA0" w14:textId="77777777" w:rsidR="00AB4654" w:rsidRPr="00E57628" w:rsidRDefault="00AB4654" w:rsidP="00E840F9">
            <w:pPr>
              <w:pStyle w:val="TableText0"/>
              <w:rPr>
                <w:b/>
                <w:bCs w:val="0"/>
              </w:rPr>
            </w:pPr>
            <w:r w:rsidRPr="00E57628">
              <w:rPr>
                <w:b/>
                <w:bCs w:val="0"/>
              </w:rPr>
              <w:t>Dupilumab</w:t>
            </w:r>
          </w:p>
        </w:tc>
      </w:tr>
      <w:tr w:rsidR="00AB4654" w:rsidRPr="00E57628" w14:paraId="5FC46AF0" w14:textId="77777777" w:rsidTr="006551EA">
        <w:tc>
          <w:tcPr>
            <w:tcW w:w="1555" w:type="dxa"/>
            <w:vAlign w:val="center"/>
          </w:tcPr>
          <w:p w14:paraId="757D0062" w14:textId="77777777" w:rsidR="00AB4654" w:rsidRPr="00E57628" w:rsidRDefault="00AB4654" w:rsidP="00E840F9">
            <w:pPr>
              <w:pStyle w:val="TableText0"/>
            </w:pPr>
            <w:r w:rsidRPr="00E57628">
              <w:t>Dose</w:t>
            </w:r>
          </w:p>
        </w:tc>
        <w:tc>
          <w:tcPr>
            <w:tcW w:w="2835" w:type="dxa"/>
            <w:vAlign w:val="center"/>
          </w:tcPr>
          <w:p w14:paraId="5784B86B" w14:textId="77777777" w:rsidR="00AB4654" w:rsidRPr="00E57628" w:rsidRDefault="00AB4654" w:rsidP="00E840F9">
            <w:pPr>
              <w:pStyle w:val="TableText0"/>
              <w:jc w:val="center"/>
              <w:rPr>
                <w:szCs w:val="20"/>
              </w:rPr>
            </w:pPr>
            <w:r w:rsidRPr="00E57628">
              <w:rPr>
                <w:szCs w:val="20"/>
              </w:rPr>
              <w:t>100 or 200 mg Q2W</w:t>
            </w:r>
          </w:p>
          <w:p w14:paraId="19A3D4CA" w14:textId="77777777" w:rsidR="00AB4654" w:rsidRPr="00E57628" w:rsidRDefault="00AB4654" w:rsidP="00E840F9">
            <w:pPr>
              <w:pStyle w:val="TableText0"/>
              <w:jc w:val="center"/>
            </w:pPr>
            <w:r w:rsidRPr="00E57628">
              <w:t>300 mg Q4W; 16 weeks</w:t>
            </w:r>
          </w:p>
        </w:tc>
        <w:tc>
          <w:tcPr>
            <w:tcW w:w="2410" w:type="dxa"/>
            <w:vAlign w:val="center"/>
          </w:tcPr>
          <w:p w14:paraId="3D26FCC9" w14:textId="77777777" w:rsidR="00AB4654" w:rsidRPr="00E57628" w:rsidRDefault="00AB4654" w:rsidP="00E840F9">
            <w:pPr>
              <w:pStyle w:val="TableText0"/>
              <w:jc w:val="center"/>
              <w:rPr>
                <w:szCs w:val="20"/>
              </w:rPr>
            </w:pPr>
            <w:r w:rsidRPr="00E57628">
              <w:rPr>
                <w:szCs w:val="20"/>
              </w:rPr>
              <w:t xml:space="preserve">200 mg Q2W </w:t>
            </w:r>
          </w:p>
          <w:p w14:paraId="1BBC75BA" w14:textId="77777777" w:rsidR="00AB4654" w:rsidRPr="00E57628" w:rsidRDefault="00AB4654" w:rsidP="00E840F9">
            <w:pPr>
              <w:pStyle w:val="TableText0"/>
              <w:jc w:val="center"/>
              <w:rPr>
                <w:szCs w:val="20"/>
              </w:rPr>
            </w:pPr>
            <w:r w:rsidRPr="00E57628">
              <w:rPr>
                <w:szCs w:val="20"/>
              </w:rPr>
              <w:t xml:space="preserve">(with 200 mg Q2W and </w:t>
            </w:r>
            <w:r w:rsidRPr="00E57628">
              <w:t>300 mg Q4W weighted by body weight)</w:t>
            </w:r>
          </w:p>
        </w:tc>
        <w:tc>
          <w:tcPr>
            <w:tcW w:w="2126" w:type="dxa"/>
            <w:vAlign w:val="center"/>
          </w:tcPr>
          <w:p w14:paraId="27FD17B8" w14:textId="77777777" w:rsidR="00AB4654" w:rsidRPr="00E57628" w:rsidRDefault="00AB4654" w:rsidP="00E840F9">
            <w:pPr>
              <w:pStyle w:val="TableText0"/>
              <w:jc w:val="center"/>
              <w:rPr>
                <w:szCs w:val="20"/>
              </w:rPr>
            </w:pPr>
            <w:r w:rsidRPr="00E57628">
              <w:rPr>
                <w:szCs w:val="20"/>
              </w:rPr>
              <w:t>200 mg Q2W</w:t>
            </w:r>
          </w:p>
          <w:p w14:paraId="3383BBB2" w14:textId="77777777" w:rsidR="00AB4654" w:rsidRPr="00E57628" w:rsidRDefault="00AB4654" w:rsidP="00E840F9">
            <w:pPr>
              <w:pStyle w:val="TableText0"/>
              <w:jc w:val="center"/>
            </w:pPr>
            <w:r w:rsidRPr="00E57628">
              <w:t>300 mg Q4W</w:t>
            </w:r>
          </w:p>
        </w:tc>
      </w:tr>
      <w:tr w:rsidR="00AB4654" w:rsidRPr="00E57628" w14:paraId="672E61D4" w14:textId="77777777" w:rsidTr="00B85535">
        <w:tc>
          <w:tcPr>
            <w:tcW w:w="1555" w:type="dxa"/>
            <w:vAlign w:val="center"/>
          </w:tcPr>
          <w:p w14:paraId="0D4759C6" w14:textId="465B33BD" w:rsidR="00AB4654" w:rsidRPr="00BB5075" w:rsidRDefault="00AB4654" w:rsidP="00E840F9">
            <w:pPr>
              <w:pStyle w:val="TableText0"/>
            </w:pPr>
            <w:r w:rsidRPr="00E57628">
              <w:t>Cost/patient/</w:t>
            </w:r>
            <w:proofErr w:type="spellStart"/>
            <w:r w:rsidRPr="00E57628">
              <w:t>month</w:t>
            </w:r>
            <w:r w:rsidRPr="00E57628">
              <w:rPr>
                <w:vertAlign w:val="superscript"/>
              </w:rPr>
              <w:t>a</w:t>
            </w:r>
            <w:proofErr w:type="spellEnd"/>
            <w:r w:rsidR="00BB5075">
              <w:t xml:space="preserve"> ($)</w:t>
            </w:r>
          </w:p>
        </w:tc>
        <w:tc>
          <w:tcPr>
            <w:tcW w:w="2835" w:type="dxa"/>
            <w:vAlign w:val="center"/>
          </w:tcPr>
          <w:p w14:paraId="054BB994" w14:textId="393CF17A" w:rsidR="00AB4654" w:rsidRPr="00E57628" w:rsidRDefault="00AB4654" w:rsidP="00E840F9">
            <w:pPr>
              <w:pStyle w:val="TableText0"/>
              <w:jc w:val="center"/>
              <w:rPr>
                <w:szCs w:val="20"/>
              </w:rPr>
            </w:pPr>
            <w:r w:rsidRPr="00E57628">
              <w:rPr>
                <w:szCs w:val="20"/>
              </w:rPr>
              <w:t xml:space="preserve">100 or 200 mg Q2W: </w:t>
            </w:r>
            <w:r w:rsidR="00B85535" w:rsidRPr="00B85535">
              <w:rPr>
                <w:color w:val="000000"/>
                <w:szCs w:val="20"/>
                <w:shd w:val="solid" w:color="000000" w:fill="000000"/>
                <w14:textFill>
                  <w14:solidFill>
                    <w14:srgbClr w14:val="000000">
                      <w14:alpha w14:val="100000"/>
                    </w14:srgbClr>
                  </w14:solidFill>
                </w14:textFill>
              </w:rPr>
              <w:t>|</w:t>
            </w:r>
          </w:p>
          <w:p w14:paraId="451B2288" w14:textId="1164C03F" w:rsidR="00AB4654" w:rsidRPr="00E57628" w:rsidRDefault="00AB4654" w:rsidP="00E840F9">
            <w:pPr>
              <w:pStyle w:val="TableText0"/>
              <w:jc w:val="center"/>
            </w:pPr>
            <w:r w:rsidRPr="00E57628">
              <w:t xml:space="preserve">300 mg Q4W: </w:t>
            </w:r>
            <w:r w:rsidR="00B85535" w:rsidRPr="00B85535">
              <w:rPr>
                <w:color w:val="000000"/>
                <w:shd w:val="solid" w:color="000000" w:fill="000000"/>
                <w14:textFill>
                  <w14:solidFill>
                    <w14:srgbClr w14:val="000000">
                      <w14:alpha w14:val="100000"/>
                    </w14:srgbClr>
                  </w14:solidFill>
                </w14:textFill>
              </w:rPr>
              <w:t>|</w:t>
            </w:r>
          </w:p>
        </w:tc>
        <w:tc>
          <w:tcPr>
            <w:tcW w:w="2410" w:type="dxa"/>
            <w:tcBorders>
              <w:bottom w:val="single" w:sz="4" w:space="0" w:color="auto"/>
            </w:tcBorders>
            <w:vAlign w:val="center"/>
          </w:tcPr>
          <w:p w14:paraId="3D0884FD" w14:textId="16B2DA13" w:rsidR="00AB4654" w:rsidRPr="00E57628" w:rsidRDefault="00B85535" w:rsidP="00E840F9">
            <w:pPr>
              <w:pStyle w:val="TableText0"/>
              <w:jc w:val="center"/>
            </w:pPr>
            <w:r w:rsidRPr="00B85535">
              <w:rPr>
                <w:color w:val="000000"/>
                <w:shd w:val="solid" w:color="000000" w:fill="000000"/>
                <w14:textFill>
                  <w14:solidFill>
                    <w14:srgbClr w14:val="000000">
                      <w14:alpha w14:val="100000"/>
                    </w14:srgbClr>
                  </w14:solidFill>
                </w14:textFill>
              </w:rPr>
              <w:t>|</w:t>
            </w:r>
            <w:r w:rsidR="00AB4654" w:rsidRPr="00E57628">
              <w:t xml:space="preserve"> (4 weeks)</w:t>
            </w:r>
          </w:p>
        </w:tc>
        <w:tc>
          <w:tcPr>
            <w:tcW w:w="2126" w:type="dxa"/>
          </w:tcPr>
          <w:p w14:paraId="0AE29FA0" w14:textId="345C7BA5" w:rsidR="00AB4654" w:rsidRPr="00E57628" w:rsidRDefault="00AB4654" w:rsidP="00E840F9">
            <w:pPr>
              <w:pStyle w:val="TableText0"/>
              <w:jc w:val="center"/>
              <w:rPr>
                <w:szCs w:val="20"/>
              </w:rPr>
            </w:pPr>
            <w:r w:rsidRPr="00E57628">
              <w:rPr>
                <w:szCs w:val="20"/>
              </w:rPr>
              <w:t xml:space="preserve">200 mg Q2W: </w:t>
            </w:r>
            <w:r w:rsidR="00B85535" w:rsidRPr="00AA723C">
              <w:rPr>
                <w:rFonts w:hint="eastAsia"/>
                <w:color w:val="000000"/>
                <w:w w:val="15"/>
                <w:szCs w:val="20"/>
                <w:shd w:val="solid" w:color="000000" w:fill="000000"/>
                <w:fitText w:val="20" w:id="-1500860404"/>
                <w14:textFill>
                  <w14:solidFill>
                    <w14:srgbClr w14:val="000000">
                      <w14:alpha w14:val="100000"/>
                    </w14:srgbClr>
                  </w14:solidFill>
                </w14:textFill>
              </w:rPr>
              <w:t xml:space="preserve">　</w:t>
            </w:r>
            <w:r w:rsidR="00B85535" w:rsidRPr="00AA723C">
              <w:rPr>
                <w:color w:val="000000"/>
                <w:w w:val="15"/>
                <w:szCs w:val="20"/>
                <w:shd w:val="solid" w:color="000000" w:fill="000000"/>
                <w:fitText w:val="20" w:id="-1500860404"/>
                <w14:textFill>
                  <w14:solidFill>
                    <w14:srgbClr w14:val="000000">
                      <w14:alpha w14:val="100000"/>
                    </w14:srgbClr>
                  </w14:solidFill>
                </w14:textFill>
              </w:rPr>
              <w:t>|</w:t>
            </w:r>
            <w:r w:rsidR="00B85535" w:rsidRPr="00AA723C">
              <w:rPr>
                <w:rFonts w:hint="eastAsia"/>
                <w:color w:val="000000"/>
                <w:spacing w:val="-46"/>
                <w:w w:val="15"/>
                <w:szCs w:val="20"/>
                <w:shd w:val="solid" w:color="000000" w:fill="000000"/>
                <w:fitText w:val="20" w:id="-1500860404"/>
                <w14:textFill>
                  <w14:solidFill>
                    <w14:srgbClr w14:val="000000">
                      <w14:alpha w14:val="100000"/>
                    </w14:srgbClr>
                  </w14:solidFill>
                </w14:textFill>
              </w:rPr>
              <w:t xml:space="preserve">　</w:t>
            </w:r>
          </w:p>
          <w:p w14:paraId="33127C11" w14:textId="3F7C1CBB" w:rsidR="00AB4654" w:rsidRPr="00E57628" w:rsidRDefault="00AB4654" w:rsidP="00E840F9">
            <w:pPr>
              <w:pStyle w:val="TableText0"/>
              <w:jc w:val="center"/>
            </w:pPr>
            <w:r w:rsidRPr="00E57628">
              <w:t xml:space="preserve">300 mg Q4W: </w:t>
            </w:r>
            <w:r w:rsidR="00B85535" w:rsidRPr="00AA723C">
              <w:rPr>
                <w:rFonts w:hint="eastAsia"/>
                <w:color w:val="000000"/>
                <w:w w:val="15"/>
                <w:shd w:val="solid" w:color="000000" w:fill="000000"/>
                <w:fitText w:val="20" w:id="-1500860403"/>
                <w14:textFill>
                  <w14:solidFill>
                    <w14:srgbClr w14:val="000000">
                      <w14:alpha w14:val="100000"/>
                    </w14:srgbClr>
                  </w14:solidFill>
                </w14:textFill>
              </w:rPr>
              <w:t xml:space="preserve">　</w:t>
            </w:r>
            <w:r w:rsidR="00B85535" w:rsidRPr="00AA723C">
              <w:rPr>
                <w:color w:val="000000"/>
                <w:w w:val="15"/>
                <w:shd w:val="solid" w:color="000000" w:fill="000000"/>
                <w:fitText w:val="20" w:id="-1500860403"/>
                <w14:textFill>
                  <w14:solidFill>
                    <w14:srgbClr w14:val="000000">
                      <w14:alpha w14:val="100000"/>
                    </w14:srgbClr>
                  </w14:solidFill>
                </w14:textFill>
              </w:rPr>
              <w:t>|</w:t>
            </w:r>
            <w:r w:rsidR="00B85535" w:rsidRPr="00AA723C">
              <w:rPr>
                <w:rFonts w:hint="eastAsia"/>
                <w:color w:val="000000"/>
                <w:spacing w:val="-46"/>
                <w:w w:val="15"/>
                <w:shd w:val="solid" w:color="000000" w:fill="000000"/>
                <w:fitText w:val="20" w:id="-1500860403"/>
                <w14:textFill>
                  <w14:solidFill>
                    <w14:srgbClr w14:val="000000">
                      <w14:alpha w14:val="100000"/>
                    </w14:srgbClr>
                  </w14:solidFill>
                </w14:textFill>
              </w:rPr>
              <w:t xml:space="preserve">　</w:t>
            </w:r>
          </w:p>
        </w:tc>
      </w:tr>
      <w:tr w:rsidR="00AB4654" w:rsidRPr="00E57628" w14:paraId="7D55B3B6" w14:textId="77777777" w:rsidTr="00B85535">
        <w:tc>
          <w:tcPr>
            <w:tcW w:w="1555" w:type="dxa"/>
            <w:vAlign w:val="center"/>
          </w:tcPr>
          <w:p w14:paraId="796BF10E" w14:textId="344C34FE" w:rsidR="00AB4654" w:rsidRPr="00BB5075" w:rsidRDefault="00AB4654" w:rsidP="00E840F9">
            <w:pPr>
              <w:pStyle w:val="TableText0"/>
            </w:pPr>
            <w:r w:rsidRPr="00E57628">
              <w:t>Cost/patient/</w:t>
            </w:r>
            <w:proofErr w:type="spellStart"/>
            <w:r w:rsidRPr="00E57628">
              <w:t>year</w:t>
            </w:r>
            <w:r w:rsidRPr="00E57628">
              <w:rPr>
                <w:vertAlign w:val="superscript"/>
              </w:rPr>
              <w:t>a</w:t>
            </w:r>
            <w:proofErr w:type="spellEnd"/>
            <w:r w:rsidR="00BB5075">
              <w:rPr>
                <w:vertAlign w:val="superscript"/>
              </w:rPr>
              <w:t xml:space="preserve"> </w:t>
            </w:r>
            <w:r w:rsidR="00BB5075">
              <w:t>($)</w:t>
            </w:r>
          </w:p>
        </w:tc>
        <w:tc>
          <w:tcPr>
            <w:tcW w:w="2835" w:type="dxa"/>
            <w:vAlign w:val="center"/>
          </w:tcPr>
          <w:p w14:paraId="3D0BADA2" w14:textId="4DC9DD86" w:rsidR="00AB4654" w:rsidRPr="00E57628" w:rsidRDefault="00AB4654" w:rsidP="00E840F9">
            <w:pPr>
              <w:pStyle w:val="TableText0"/>
              <w:jc w:val="center"/>
              <w:rPr>
                <w:szCs w:val="20"/>
              </w:rPr>
            </w:pPr>
            <w:r w:rsidRPr="00E57628">
              <w:rPr>
                <w:szCs w:val="20"/>
              </w:rPr>
              <w:t xml:space="preserve">100 or 200 mg Q2W: </w:t>
            </w:r>
            <w:r w:rsidR="00B85535" w:rsidRPr="00B85535">
              <w:rPr>
                <w:color w:val="000000"/>
                <w:shd w:val="solid" w:color="000000" w:fill="000000"/>
                <w14:textFill>
                  <w14:solidFill>
                    <w14:srgbClr w14:val="000000">
                      <w14:alpha w14:val="100000"/>
                    </w14:srgbClr>
                  </w14:solidFill>
                </w14:textFill>
              </w:rPr>
              <w:t>|</w:t>
            </w:r>
            <w:r w:rsidRPr="00E57628">
              <w:rPr>
                <w:szCs w:val="20"/>
              </w:rPr>
              <w:t xml:space="preserve"> </w:t>
            </w:r>
          </w:p>
          <w:p w14:paraId="0410E9F6" w14:textId="72F157B6" w:rsidR="00AB4654" w:rsidRPr="00E57628" w:rsidRDefault="00AB4654" w:rsidP="00E840F9">
            <w:pPr>
              <w:pStyle w:val="TableText0"/>
              <w:jc w:val="center"/>
            </w:pPr>
            <w:r w:rsidRPr="00E57628">
              <w:t xml:space="preserve">300 mg Q4W: </w:t>
            </w:r>
            <w:r w:rsidR="00B85535" w:rsidRPr="00B85535">
              <w:rPr>
                <w:color w:val="000000"/>
                <w:shd w:val="solid" w:color="000000" w:fill="000000"/>
                <w14:textFill>
                  <w14:solidFill>
                    <w14:srgbClr w14:val="000000">
                      <w14:alpha w14:val="100000"/>
                    </w14:srgbClr>
                  </w14:solidFill>
                </w14:textFill>
              </w:rPr>
              <w:t>|</w:t>
            </w:r>
          </w:p>
        </w:tc>
        <w:tc>
          <w:tcPr>
            <w:tcW w:w="2410" w:type="dxa"/>
            <w:shd w:val="solid" w:color="000000" w:fill="000000"/>
            <w:vAlign w:val="center"/>
          </w:tcPr>
          <w:p w14:paraId="17EC2822" w14:textId="535C6F04" w:rsidR="00AB4654" w:rsidRPr="00B85535" w:rsidRDefault="00B85535" w:rsidP="00E840F9">
            <w:pPr>
              <w:pStyle w:val="TableText0"/>
              <w:jc w:val="center"/>
            </w:pPr>
            <w:r w:rsidRPr="00B85535">
              <w:rPr>
                <w:color w:val="000000"/>
                <w14:textFill>
                  <w14:solidFill>
                    <w14:srgbClr w14:val="000000">
                      <w14:alpha w14:val="100000"/>
                    </w14:srgbClr>
                  </w14:solidFill>
                </w14:textFill>
              </w:rPr>
              <w:t>|</w:t>
            </w:r>
          </w:p>
        </w:tc>
        <w:tc>
          <w:tcPr>
            <w:tcW w:w="2126" w:type="dxa"/>
          </w:tcPr>
          <w:p w14:paraId="59CC68CE" w14:textId="35BA272F" w:rsidR="00AB4654" w:rsidRPr="00E57628" w:rsidRDefault="00AB4654" w:rsidP="00E840F9">
            <w:pPr>
              <w:pStyle w:val="TableText0"/>
              <w:jc w:val="center"/>
            </w:pPr>
            <w:r w:rsidRPr="00E57628">
              <w:rPr>
                <w:szCs w:val="20"/>
              </w:rPr>
              <w:t>200 mg Q2W:</w:t>
            </w:r>
            <w:r w:rsidRPr="00E57628">
              <w:t xml:space="preserve"> </w:t>
            </w:r>
            <w:r w:rsidR="00B85535" w:rsidRPr="00AA723C">
              <w:rPr>
                <w:rFonts w:hint="eastAsia"/>
                <w:color w:val="000000"/>
                <w:w w:val="15"/>
                <w:shd w:val="solid" w:color="000000" w:fill="000000"/>
                <w:fitText w:val="20" w:id="-1500860402"/>
                <w14:textFill>
                  <w14:solidFill>
                    <w14:srgbClr w14:val="000000">
                      <w14:alpha w14:val="100000"/>
                    </w14:srgbClr>
                  </w14:solidFill>
                </w14:textFill>
              </w:rPr>
              <w:t xml:space="preserve">　</w:t>
            </w:r>
            <w:r w:rsidR="00B85535" w:rsidRPr="00AA723C">
              <w:rPr>
                <w:color w:val="000000"/>
                <w:w w:val="15"/>
                <w:shd w:val="solid" w:color="000000" w:fill="000000"/>
                <w:fitText w:val="20" w:id="-1500860402"/>
                <w14:textFill>
                  <w14:solidFill>
                    <w14:srgbClr w14:val="000000">
                      <w14:alpha w14:val="100000"/>
                    </w14:srgbClr>
                  </w14:solidFill>
                </w14:textFill>
              </w:rPr>
              <w:t>|</w:t>
            </w:r>
            <w:r w:rsidR="00B85535" w:rsidRPr="00AA723C">
              <w:rPr>
                <w:rFonts w:hint="eastAsia"/>
                <w:color w:val="000000"/>
                <w:spacing w:val="-46"/>
                <w:w w:val="15"/>
                <w:shd w:val="solid" w:color="000000" w:fill="000000"/>
                <w:fitText w:val="20" w:id="-1500860402"/>
                <w14:textFill>
                  <w14:solidFill>
                    <w14:srgbClr w14:val="000000">
                      <w14:alpha w14:val="100000"/>
                    </w14:srgbClr>
                  </w14:solidFill>
                </w14:textFill>
              </w:rPr>
              <w:t xml:space="preserve">　</w:t>
            </w:r>
          </w:p>
          <w:p w14:paraId="11DD997B" w14:textId="7544F85C" w:rsidR="00AB4654" w:rsidRPr="00E57628" w:rsidRDefault="00AB4654" w:rsidP="00E840F9">
            <w:pPr>
              <w:pStyle w:val="TableText0"/>
              <w:jc w:val="center"/>
            </w:pPr>
            <w:r w:rsidRPr="00E57628">
              <w:t xml:space="preserve">300 mg Q4W: </w:t>
            </w:r>
            <w:r w:rsidR="00B85535" w:rsidRPr="00AA723C">
              <w:rPr>
                <w:rFonts w:hint="eastAsia"/>
                <w:color w:val="000000"/>
                <w:w w:val="15"/>
                <w:shd w:val="solid" w:color="000000" w:fill="000000"/>
                <w:fitText w:val="20" w:id="-1500860401"/>
                <w14:textFill>
                  <w14:solidFill>
                    <w14:srgbClr w14:val="000000">
                      <w14:alpha w14:val="100000"/>
                    </w14:srgbClr>
                  </w14:solidFill>
                </w14:textFill>
              </w:rPr>
              <w:t xml:space="preserve">　</w:t>
            </w:r>
            <w:r w:rsidR="00B85535" w:rsidRPr="00AA723C">
              <w:rPr>
                <w:color w:val="000000"/>
                <w:w w:val="15"/>
                <w:shd w:val="solid" w:color="000000" w:fill="000000"/>
                <w:fitText w:val="20" w:id="-1500860401"/>
                <w14:textFill>
                  <w14:solidFill>
                    <w14:srgbClr w14:val="000000">
                      <w14:alpha w14:val="100000"/>
                    </w14:srgbClr>
                  </w14:solidFill>
                </w14:textFill>
              </w:rPr>
              <w:t>|</w:t>
            </w:r>
            <w:r w:rsidR="00B85535" w:rsidRPr="00AA723C">
              <w:rPr>
                <w:rFonts w:hint="eastAsia"/>
                <w:color w:val="000000"/>
                <w:spacing w:val="-46"/>
                <w:w w:val="15"/>
                <w:shd w:val="solid" w:color="000000" w:fill="000000"/>
                <w:fitText w:val="20" w:id="-1500860401"/>
                <w14:textFill>
                  <w14:solidFill>
                    <w14:srgbClr w14:val="000000">
                      <w14:alpha w14:val="100000"/>
                    </w14:srgbClr>
                  </w14:solidFill>
                </w14:textFill>
              </w:rPr>
              <w:t xml:space="preserve">　</w:t>
            </w:r>
          </w:p>
        </w:tc>
      </w:tr>
    </w:tbl>
    <w:p w14:paraId="42164A74" w14:textId="77777777" w:rsidR="00AB4654" w:rsidRPr="00E57628" w:rsidRDefault="00AB4654" w:rsidP="00AB4654">
      <w:pPr>
        <w:pStyle w:val="TableFigureFooter"/>
        <w:rPr>
          <w:szCs w:val="18"/>
        </w:rPr>
      </w:pPr>
      <w:r w:rsidRPr="00E57628">
        <w:rPr>
          <w:szCs w:val="18"/>
        </w:rPr>
        <w:t>Source: Table 3-9, p190 of the submission; worksheet ‘3a. Scripts proposed’ of the Excel workbook ‘Dupilumab (Dupixent) Paediatric AD Utilisation Workbook’.</w:t>
      </w:r>
    </w:p>
    <w:p w14:paraId="6C332DF0" w14:textId="77777777" w:rsidR="00AB4654" w:rsidRPr="00E57628" w:rsidRDefault="00AB4654" w:rsidP="00AB4654">
      <w:pPr>
        <w:pStyle w:val="TableFigureFooter"/>
        <w:rPr>
          <w:szCs w:val="18"/>
        </w:rPr>
      </w:pPr>
      <w:r w:rsidRPr="00E57628">
        <w:rPr>
          <w:szCs w:val="18"/>
        </w:rPr>
        <w:t>Q2W = every two weeks; Q4W = every four weeks</w:t>
      </w:r>
    </w:p>
    <w:p w14:paraId="29766A76" w14:textId="1D58228A" w:rsidR="00896D5D" w:rsidRPr="00E57628" w:rsidRDefault="00AB4654" w:rsidP="00AB4654">
      <w:pPr>
        <w:pStyle w:val="TableFigureFooter"/>
        <w:tabs>
          <w:tab w:val="left" w:pos="142"/>
        </w:tabs>
        <w:ind w:left="142" w:hanging="142"/>
      </w:pPr>
      <w:r w:rsidRPr="00E57628">
        <w:rPr>
          <w:szCs w:val="18"/>
          <w:vertAlign w:val="superscript"/>
        </w:rPr>
        <w:t>a</w:t>
      </w:r>
      <w:r w:rsidRPr="00E57628">
        <w:rPr>
          <w:szCs w:val="18"/>
        </w:rPr>
        <w:tab/>
        <w:t>Costing for the trial and financial estimates assumed 100% compliance.</w:t>
      </w:r>
      <w:r w:rsidR="00727E48" w:rsidRPr="00E57628">
        <w:rPr>
          <w:szCs w:val="18"/>
        </w:rPr>
        <w:t xml:space="preserve"> </w:t>
      </w:r>
      <w:r w:rsidRPr="00E57628">
        <w:rPr>
          <w:szCs w:val="18"/>
        </w:rPr>
        <w:t>Cost included loading dose of 400 mg for Q2W dosing (2 injections) and 600 mg for Q4W dosing (2 injections).</w:t>
      </w:r>
    </w:p>
    <w:p w14:paraId="3DBFE151" w14:textId="48A98E06" w:rsidR="00494207" w:rsidRPr="00BF43F9" w:rsidRDefault="00FF5BE4" w:rsidP="00056270">
      <w:pPr>
        <w:pStyle w:val="3-BodyText"/>
        <w:rPr>
          <w:snapToGrid/>
        </w:rPr>
      </w:pPr>
      <w:r w:rsidRPr="00BF43F9">
        <w:t>The c</w:t>
      </w:r>
      <w:r w:rsidR="00B979D7" w:rsidRPr="00BF43F9">
        <w:t xml:space="preserve">ost per patient </w:t>
      </w:r>
      <w:r w:rsidR="00754191" w:rsidRPr="00BF43F9">
        <w:t xml:space="preserve">was consistent </w:t>
      </w:r>
      <w:r w:rsidR="00B979D7" w:rsidRPr="00BF43F9">
        <w:t xml:space="preserve">across the trial, </w:t>
      </w:r>
      <w:proofErr w:type="gramStart"/>
      <w:r w:rsidR="00B979D7" w:rsidRPr="00BF43F9">
        <w:t>model</w:t>
      </w:r>
      <w:proofErr w:type="gramEnd"/>
      <w:r w:rsidR="00B979D7" w:rsidRPr="00BF43F9">
        <w:t xml:space="preserve"> and financial estimates</w:t>
      </w:r>
      <w:r w:rsidR="00AB4654" w:rsidRPr="00BF43F9">
        <w:t>.</w:t>
      </w:r>
      <w:r w:rsidR="00246722" w:rsidRPr="00BF43F9">
        <w:t xml:space="preserve"> </w:t>
      </w:r>
    </w:p>
    <w:p w14:paraId="268768EF" w14:textId="3626F292" w:rsidR="00B60939" w:rsidRPr="00E57628" w:rsidRDefault="00B60939" w:rsidP="002B05A1">
      <w:pPr>
        <w:pStyle w:val="4-SubsectionHeading"/>
      </w:pPr>
      <w:bookmarkStart w:id="41" w:name="_Toc22897647"/>
      <w:bookmarkStart w:id="42" w:name="_Toc93325008"/>
      <w:r w:rsidRPr="00E57628">
        <w:lastRenderedPageBreak/>
        <w:t>Estimated PBS usage &amp; financial implications</w:t>
      </w:r>
      <w:bookmarkEnd w:id="41"/>
      <w:bookmarkEnd w:id="42"/>
    </w:p>
    <w:p w14:paraId="04B31D2D" w14:textId="701C3ABA" w:rsidR="0072416F" w:rsidRPr="00C80985" w:rsidRDefault="00C25D9C" w:rsidP="007F4C9B">
      <w:pPr>
        <w:pStyle w:val="3-BodyText"/>
        <w:rPr>
          <w:color w:val="0066FF"/>
        </w:rPr>
      </w:pPr>
      <w:r w:rsidRPr="00C80985">
        <w:t xml:space="preserve">This submission </w:t>
      </w:r>
      <w:r w:rsidR="00B201A4" w:rsidRPr="00C80985">
        <w:t>w</w:t>
      </w:r>
      <w:r w:rsidR="00C80985">
        <w:t>as</w:t>
      </w:r>
      <w:r w:rsidRPr="00C80985">
        <w:t xml:space="preserve"> not considered by DUSC.</w:t>
      </w:r>
      <w:r w:rsidR="00727E48" w:rsidRPr="00C80985">
        <w:rPr>
          <w:color w:val="0070C0"/>
        </w:rPr>
        <w:t xml:space="preserve"> </w:t>
      </w:r>
      <w:r w:rsidR="007F4C9B" w:rsidRPr="00C80985">
        <w:t>The submission applied an epidemiological approach to the financial estimates.</w:t>
      </w:r>
      <w:r w:rsidR="00727E48" w:rsidRPr="00C80985">
        <w:rPr>
          <w:color w:val="0070C0"/>
        </w:rPr>
        <w:t xml:space="preserve"> </w:t>
      </w:r>
      <w:r w:rsidR="007F4C9B" w:rsidRPr="00C80985">
        <w:t>The table below summarises the inputs used for the financial estimates.</w:t>
      </w:r>
    </w:p>
    <w:p w14:paraId="3393BCE7" w14:textId="5C1E98A4" w:rsidR="00E42F73" w:rsidRPr="00C80985" w:rsidRDefault="007F4C9B" w:rsidP="000343A2">
      <w:pPr>
        <w:pStyle w:val="TableFigureHeading"/>
        <w:rPr>
          <w:rStyle w:val="CommentReference"/>
          <w:b/>
          <w:szCs w:val="24"/>
        </w:rPr>
      </w:pPr>
      <w:r w:rsidRPr="00C80985">
        <w:rPr>
          <w:rStyle w:val="CommentReference"/>
          <w:b/>
          <w:szCs w:val="24"/>
        </w:rPr>
        <w:t xml:space="preserve">Table </w:t>
      </w:r>
      <w:r w:rsidRPr="00C80985">
        <w:rPr>
          <w:rStyle w:val="CommentReference"/>
          <w:b/>
          <w:szCs w:val="24"/>
        </w:rPr>
        <w:fldChar w:fldCharType="begin"/>
      </w:r>
      <w:r w:rsidRPr="00C80985">
        <w:rPr>
          <w:rStyle w:val="CommentReference"/>
          <w:b/>
          <w:szCs w:val="24"/>
        </w:rPr>
        <w:instrText xml:space="preserve"> SEQ Table \* ARABIC </w:instrText>
      </w:r>
      <w:r w:rsidRPr="00C80985">
        <w:rPr>
          <w:rStyle w:val="CommentReference"/>
          <w:b/>
          <w:szCs w:val="24"/>
        </w:rPr>
        <w:fldChar w:fldCharType="separate"/>
      </w:r>
      <w:r w:rsidR="00AA723C">
        <w:rPr>
          <w:rStyle w:val="CommentReference"/>
          <w:b/>
          <w:noProof/>
          <w:szCs w:val="24"/>
        </w:rPr>
        <w:t>20</w:t>
      </w:r>
      <w:r w:rsidRPr="00C80985">
        <w:rPr>
          <w:rStyle w:val="CommentReference"/>
          <w:b/>
          <w:szCs w:val="24"/>
        </w:rPr>
        <w:fldChar w:fldCharType="end"/>
      </w:r>
      <w:r w:rsidRPr="00C80985">
        <w:rPr>
          <w:rStyle w:val="CommentReference"/>
          <w:b/>
          <w:szCs w:val="24"/>
        </w:rPr>
        <w:t>:</w:t>
      </w:r>
      <w:r w:rsidR="00E42F73" w:rsidRPr="00C80985">
        <w:rPr>
          <w:rStyle w:val="CommentReference"/>
          <w:b/>
          <w:szCs w:val="24"/>
        </w:rPr>
        <w:t xml:space="preserve"> Key inputs for financial estimates</w:t>
      </w:r>
    </w:p>
    <w:tbl>
      <w:tblPr>
        <w:tblStyle w:val="Summarybox2"/>
        <w:tblW w:w="5000" w:type="pct"/>
        <w:tblLook w:val="04A0" w:firstRow="1" w:lastRow="0" w:firstColumn="1" w:lastColumn="0" w:noHBand="0" w:noVBand="1"/>
      </w:tblPr>
      <w:tblGrid>
        <w:gridCol w:w="1670"/>
        <w:gridCol w:w="7347"/>
      </w:tblGrid>
      <w:tr w:rsidR="007F4C9B" w:rsidRPr="00C80985" w14:paraId="73AAF721" w14:textId="77777777" w:rsidTr="00E840F9">
        <w:trPr>
          <w:tblHeader/>
        </w:trPr>
        <w:tc>
          <w:tcPr>
            <w:tcW w:w="9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4809E7" w14:textId="77777777" w:rsidR="007F4C9B" w:rsidRPr="00C80985" w:rsidRDefault="007F4C9B" w:rsidP="000343A2">
            <w:pPr>
              <w:keepNext/>
              <w:widowControl w:val="0"/>
              <w:jc w:val="left"/>
              <w:rPr>
                <w:rFonts w:ascii="Arial Narrow" w:hAnsi="Arial Narrow"/>
                <w:b/>
                <w:sz w:val="20"/>
                <w:szCs w:val="20"/>
              </w:rPr>
            </w:pPr>
            <w:r w:rsidRPr="00C80985">
              <w:rPr>
                <w:rFonts w:ascii="Arial Narrow" w:hAnsi="Arial Narrow"/>
                <w:b/>
                <w:sz w:val="20"/>
                <w:szCs w:val="20"/>
              </w:rPr>
              <w:t>Component</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B0B8B7" w14:textId="77777777" w:rsidR="007F4C9B" w:rsidRPr="00C80985" w:rsidRDefault="007F4C9B" w:rsidP="000343A2">
            <w:pPr>
              <w:keepNext/>
              <w:widowControl w:val="0"/>
              <w:jc w:val="center"/>
              <w:rPr>
                <w:rFonts w:ascii="Arial Narrow" w:hAnsi="Arial Narrow"/>
                <w:b/>
                <w:sz w:val="20"/>
                <w:szCs w:val="20"/>
              </w:rPr>
            </w:pPr>
            <w:r w:rsidRPr="00C80985">
              <w:rPr>
                <w:rFonts w:ascii="Arial Narrow" w:hAnsi="Arial Narrow"/>
                <w:b/>
                <w:sz w:val="20"/>
                <w:szCs w:val="20"/>
              </w:rPr>
              <w:t>Data source</w:t>
            </w:r>
          </w:p>
        </w:tc>
      </w:tr>
      <w:tr w:rsidR="007F4C9B" w:rsidRPr="00C80985" w14:paraId="6BE5A771" w14:textId="77777777" w:rsidTr="00E840F9">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D7A51B" w14:textId="77777777" w:rsidR="007F4C9B" w:rsidRPr="00C80985" w:rsidRDefault="007F4C9B" w:rsidP="000343A2">
            <w:pPr>
              <w:keepNext/>
              <w:widowControl w:val="0"/>
              <w:jc w:val="left"/>
              <w:rPr>
                <w:rFonts w:ascii="Arial Narrow" w:hAnsi="Arial Narrow"/>
                <w:b/>
                <w:sz w:val="20"/>
                <w:szCs w:val="20"/>
              </w:rPr>
            </w:pPr>
            <w:r w:rsidRPr="00C80985">
              <w:rPr>
                <w:rFonts w:ascii="Arial Narrow" w:hAnsi="Arial Narrow"/>
                <w:b/>
                <w:sz w:val="20"/>
                <w:szCs w:val="20"/>
              </w:rPr>
              <w:t>Epidemiology</w:t>
            </w:r>
          </w:p>
        </w:tc>
      </w:tr>
      <w:tr w:rsidR="007F4C9B" w:rsidRPr="00C80985" w14:paraId="579A8C1F" w14:textId="77777777" w:rsidTr="00E840F9">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64558173" w14:textId="470440A7" w:rsidR="007F4C9B" w:rsidRPr="00C80985" w:rsidRDefault="007F4C9B" w:rsidP="000343A2">
            <w:pPr>
              <w:keepNext/>
              <w:widowControl w:val="0"/>
              <w:jc w:val="left"/>
              <w:rPr>
                <w:rFonts w:ascii="Arial Narrow" w:hAnsi="Arial Narrow"/>
                <w:sz w:val="20"/>
                <w:szCs w:val="20"/>
              </w:rPr>
            </w:pPr>
            <w:r w:rsidRPr="00C80985">
              <w:rPr>
                <w:rFonts w:ascii="Arial Narrow" w:hAnsi="Arial Narrow"/>
                <w:sz w:val="20"/>
                <w:szCs w:val="20"/>
              </w:rPr>
              <w:t>Prevalence data</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tcPr>
          <w:p w14:paraId="0E1867A5" w14:textId="77777777" w:rsidR="007F4C9B" w:rsidRPr="00C80985" w:rsidRDefault="007F4C9B" w:rsidP="000343A2">
            <w:pPr>
              <w:keepNext/>
              <w:widowControl w:val="0"/>
              <w:jc w:val="left"/>
              <w:rPr>
                <w:rFonts w:ascii="Arial Narrow" w:hAnsi="Arial Narrow"/>
                <w:sz w:val="20"/>
                <w:szCs w:val="20"/>
              </w:rPr>
            </w:pPr>
            <w:r w:rsidRPr="00C80985">
              <w:rPr>
                <w:rFonts w:ascii="Arial Narrow" w:hAnsi="Arial Narrow"/>
                <w:sz w:val="20"/>
                <w:szCs w:val="20"/>
                <w:u w:val="single"/>
              </w:rPr>
              <w:t>Paediatric population</w:t>
            </w:r>
            <w:r w:rsidRPr="00C80985">
              <w:rPr>
                <w:rFonts w:ascii="Arial Narrow" w:hAnsi="Arial Narrow"/>
                <w:sz w:val="20"/>
                <w:szCs w:val="20"/>
              </w:rPr>
              <w:t>: ABS 3222.0 Series B individuals aged 6 to 11 years inclusive 2022 to 2027.</w:t>
            </w:r>
          </w:p>
          <w:p w14:paraId="65D92CDA" w14:textId="0AE49C98" w:rsidR="007F4C9B" w:rsidRPr="00C80985" w:rsidRDefault="007F4C9B" w:rsidP="000343A2">
            <w:pPr>
              <w:keepNext/>
              <w:widowControl w:val="0"/>
              <w:jc w:val="left"/>
              <w:rPr>
                <w:rFonts w:ascii="Arial Narrow" w:hAnsi="Arial Narrow"/>
                <w:sz w:val="20"/>
                <w:szCs w:val="20"/>
              </w:rPr>
            </w:pPr>
            <w:r w:rsidRPr="00C80985">
              <w:rPr>
                <w:rFonts w:ascii="Arial Narrow" w:hAnsi="Arial Narrow"/>
                <w:sz w:val="20"/>
                <w:szCs w:val="20"/>
                <w:u w:val="single"/>
              </w:rPr>
              <w:t>Prevalence of AD</w:t>
            </w:r>
            <w:r w:rsidRPr="00C80985">
              <w:rPr>
                <w:rFonts w:ascii="Arial Narrow" w:hAnsi="Arial Narrow"/>
                <w:sz w:val="20"/>
                <w:szCs w:val="20"/>
              </w:rPr>
              <w:t>: 9%, sourced from Metis 2019a market research.</w:t>
            </w:r>
            <w:r w:rsidR="00727E48" w:rsidRPr="00C80985">
              <w:rPr>
                <w:rFonts w:ascii="Arial Narrow" w:hAnsi="Arial Narrow"/>
                <w:sz w:val="20"/>
                <w:szCs w:val="20"/>
              </w:rPr>
              <w:t xml:space="preserve"> </w:t>
            </w:r>
            <w:r w:rsidRPr="00C80985">
              <w:rPr>
                <w:rFonts w:ascii="Arial Narrow" w:hAnsi="Arial Narrow"/>
                <w:iCs/>
                <w:sz w:val="20"/>
                <w:szCs w:val="20"/>
              </w:rPr>
              <w:t>This was a sample of N = 103 moderate to severe AD patients, and the 9% value was for patients diagnosed with either dermatitis, eczema or AD not caused by food allergy.</w:t>
            </w:r>
          </w:p>
        </w:tc>
      </w:tr>
      <w:tr w:rsidR="007F4C9B" w:rsidRPr="00C80985" w14:paraId="6F8A26C8" w14:textId="77777777" w:rsidTr="00E840F9">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5EFE74CD" w14:textId="77777777" w:rsidR="007F4C9B" w:rsidRPr="00C80985" w:rsidRDefault="007F4C9B" w:rsidP="000343A2">
            <w:pPr>
              <w:keepNext/>
              <w:widowControl w:val="0"/>
              <w:jc w:val="left"/>
              <w:rPr>
                <w:rFonts w:ascii="Arial Narrow" w:hAnsi="Arial Narrow"/>
                <w:sz w:val="20"/>
                <w:szCs w:val="20"/>
              </w:rPr>
            </w:pPr>
            <w:r w:rsidRPr="00C80985">
              <w:rPr>
                <w:rFonts w:ascii="Arial Narrow" w:hAnsi="Arial Narrow"/>
                <w:sz w:val="20"/>
                <w:szCs w:val="20"/>
              </w:rPr>
              <w:t>Eligible patients</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tcPr>
          <w:p w14:paraId="3D9D1527" w14:textId="77777777" w:rsidR="00C17DAC" w:rsidRPr="00C80985" w:rsidRDefault="00C17DAC" w:rsidP="000343A2">
            <w:pPr>
              <w:keepNext/>
              <w:widowControl w:val="0"/>
              <w:tabs>
                <w:tab w:val="left" w:pos="250"/>
              </w:tabs>
              <w:jc w:val="left"/>
              <w:rPr>
                <w:rFonts w:ascii="Arial Narrow" w:hAnsi="Arial Narrow"/>
                <w:sz w:val="20"/>
                <w:szCs w:val="20"/>
                <w:u w:val="single"/>
              </w:rPr>
            </w:pPr>
            <w:r w:rsidRPr="00C80985">
              <w:rPr>
                <w:rFonts w:ascii="Arial Narrow" w:hAnsi="Arial Narrow"/>
                <w:sz w:val="20"/>
                <w:szCs w:val="20"/>
                <w:u w:val="single"/>
              </w:rPr>
              <w:t>Severe AD</w:t>
            </w:r>
            <w:r w:rsidRPr="00C80985">
              <w:rPr>
                <w:rFonts w:ascii="Arial Narrow" w:hAnsi="Arial Narrow"/>
                <w:sz w:val="20"/>
                <w:szCs w:val="20"/>
              </w:rPr>
              <w:t>: 5%, sourced from Metis 2019a market research.</w:t>
            </w:r>
          </w:p>
          <w:p w14:paraId="4E415F85" w14:textId="77777777" w:rsidR="00C17DAC" w:rsidRPr="00C80985" w:rsidRDefault="00C17DAC" w:rsidP="000343A2">
            <w:pPr>
              <w:keepNext/>
              <w:widowControl w:val="0"/>
              <w:tabs>
                <w:tab w:val="left" w:pos="250"/>
              </w:tabs>
              <w:jc w:val="left"/>
              <w:rPr>
                <w:rFonts w:ascii="Arial Narrow" w:hAnsi="Arial Narrow"/>
                <w:sz w:val="20"/>
                <w:szCs w:val="20"/>
              </w:rPr>
            </w:pPr>
            <w:r w:rsidRPr="00C80985">
              <w:rPr>
                <w:rFonts w:ascii="Arial Narrow" w:hAnsi="Arial Narrow"/>
                <w:sz w:val="20"/>
                <w:szCs w:val="20"/>
                <w:u w:val="single"/>
              </w:rPr>
              <w:t>Specialist engagement</w:t>
            </w:r>
            <w:r w:rsidRPr="00C80985">
              <w:rPr>
                <w:rFonts w:ascii="Arial Narrow" w:hAnsi="Arial Narrow"/>
                <w:sz w:val="20"/>
                <w:szCs w:val="20"/>
              </w:rPr>
              <w:t>: 100% - sponsor assumption based on July 2019 DUSC advice, (7.</w:t>
            </w:r>
            <w:proofErr w:type="gramStart"/>
            <w:r w:rsidRPr="00C80985">
              <w:rPr>
                <w:rFonts w:ascii="Arial Narrow" w:hAnsi="Arial Narrow"/>
                <w:sz w:val="20"/>
                <w:szCs w:val="20"/>
              </w:rPr>
              <w:t>05.DUSC</w:t>
            </w:r>
            <w:proofErr w:type="gramEnd"/>
            <w:r w:rsidRPr="00C80985">
              <w:rPr>
                <w:rFonts w:ascii="Arial Narrow" w:hAnsi="Arial Narrow"/>
                <w:sz w:val="20"/>
                <w:szCs w:val="20"/>
              </w:rPr>
              <w:t xml:space="preserve"> ADV.4).</w:t>
            </w:r>
          </w:p>
          <w:p w14:paraId="3CFA4FCD" w14:textId="77777777" w:rsidR="00C17DAC" w:rsidRPr="00C80985" w:rsidRDefault="00C17DAC" w:rsidP="000343A2">
            <w:pPr>
              <w:keepNext/>
              <w:widowControl w:val="0"/>
              <w:tabs>
                <w:tab w:val="left" w:pos="250"/>
              </w:tabs>
              <w:jc w:val="left"/>
              <w:rPr>
                <w:rFonts w:ascii="Arial Narrow" w:hAnsi="Arial Narrow"/>
                <w:sz w:val="20"/>
                <w:szCs w:val="20"/>
              </w:rPr>
            </w:pPr>
            <w:r w:rsidRPr="00C80985">
              <w:rPr>
                <w:rFonts w:ascii="Arial Narrow" w:hAnsi="Arial Narrow"/>
                <w:sz w:val="20"/>
                <w:szCs w:val="20"/>
                <w:u w:val="single"/>
              </w:rPr>
              <w:t>Uncontrolled with existing therapy</w:t>
            </w:r>
            <w:r w:rsidRPr="00C80985">
              <w:rPr>
                <w:rFonts w:ascii="Arial Narrow" w:hAnsi="Arial Narrow"/>
                <w:sz w:val="20"/>
                <w:szCs w:val="20"/>
              </w:rPr>
              <w:t>: 100% - sponsor assumption based on Table 19 of the March 2020 PSD.</w:t>
            </w:r>
          </w:p>
          <w:p w14:paraId="69D4472F" w14:textId="76E4E8E6" w:rsidR="00C17DAC" w:rsidRPr="00C80985" w:rsidRDefault="00C17DAC" w:rsidP="000343A2">
            <w:pPr>
              <w:keepNext/>
              <w:widowControl w:val="0"/>
              <w:tabs>
                <w:tab w:val="left" w:pos="250"/>
              </w:tabs>
              <w:jc w:val="left"/>
              <w:rPr>
                <w:rFonts w:ascii="Arial Narrow" w:hAnsi="Arial Narrow"/>
                <w:sz w:val="20"/>
                <w:szCs w:val="20"/>
              </w:rPr>
            </w:pPr>
            <w:r w:rsidRPr="00C80985">
              <w:rPr>
                <w:rFonts w:ascii="Arial Narrow" w:hAnsi="Arial Narrow"/>
                <w:sz w:val="20"/>
                <w:szCs w:val="20"/>
                <w:u w:val="single"/>
              </w:rPr>
              <w:t>EASI score ≥21</w:t>
            </w:r>
            <w:r w:rsidRPr="00C80985">
              <w:rPr>
                <w:rFonts w:ascii="Arial Narrow" w:hAnsi="Arial Narrow"/>
                <w:sz w:val="20"/>
                <w:szCs w:val="20"/>
              </w:rPr>
              <w:t>:</w:t>
            </w:r>
            <w:r w:rsidR="00727E48" w:rsidRPr="00C80985">
              <w:rPr>
                <w:rFonts w:ascii="Arial Narrow" w:hAnsi="Arial Narrow"/>
                <w:sz w:val="20"/>
                <w:szCs w:val="20"/>
              </w:rPr>
              <w:t xml:space="preserve"> </w:t>
            </w:r>
            <w:r w:rsidRPr="00C80985">
              <w:rPr>
                <w:rFonts w:ascii="Arial Narrow" w:hAnsi="Arial Narrow"/>
                <w:sz w:val="20"/>
                <w:szCs w:val="20"/>
              </w:rPr>
              <w:t>95% - consistent with adult and adolescent PBS listing and trial eligibility criteria for Study 1652, with the 95% sourced from the sponsor’s adult early access programs.</w:t>
            </w:r>
          </w:p>
          <w:p w14:paraId="62D3B9C2" w14:textId="7584E4B5" w:rsidR="007F4C9B" w:rsidRPr="00C80985" w:rsidRDefault="00C17DAC" w:rsidP="000343A2">
            <w:pPr>
              <w:keepNext/>
              <w:widowControl w:val="0"/>
              <w:tabs>
                <w:tab w:val="left" w:pos="250"/>
              </w:tabs>
              <w:jc w:val="left"/>
              <w:rPr>
                <w:rFonts w:ascii="Arial Narrow" w:hAnsi="Arial Narrow"/>
                <w:sz w:val="20"/>
                <w:szCs w:val="20"/>
              </w:rPr>
            </w:pPr>
            <w:r w:rsidRPr="00C80985">
              <w:rPr>
                <w:rFonts w:ascii="Arial Narrow" w:hAnsi="Arial Narrow"/>
                <w:sz w:val="20"/>
                <w:szCs w:val="20"/>
                <w:u w:val="single"/>
              </w:rPr>
              <w:t>Proportion receiving Q2W or Q4W dosing</w:t>
            </w:r>
            <w:r w:rsidRPr="00C80985">
              <w:rPr>
                <w:rFonts w:ascii="Arial Narrow" w:hAnsi="Arial Narrow"/>
                <w:sz w:val="20"/>
                <w:szCs w:val="20"/>
              </w:rPr>
              <w:t>:</w:t>
            </w:r>
            <w:r w:rsidR="00727E48" w:rsidRPr="00C80985">
              <w:rPr>
                <w:rFonts w:ascii="Arial Narrow" w:hAnsi="Arial Narrow"/>
                <w:sz w:val="20"/>
                <w:szCs w:val="20"/>
              </w:rPr>
              <w:t xml:space="preserve"> </w:t>
            </w:r>
            <w:r w:rsidRPr="00C80985">
              <w:rPr>
                <w:rFonts w:ascii="Arial Narrow" w:hAnsi="Arial Narrow"/>
                <w:sz w:val="20"/>
                <w:szCs w:val="20"/>
              </w:rPr>
              <w:t>Based on the proportion in Study 1652 weighing 15 kg to 30 kg (52%; 300 mg Q4W), 30 kg to 60 kg (48%; 200 mg Q2W) and &gt;60kg (0%), the submission estimated the number receiving treatment with 200 mg Q2W and 300 mg Q4W.</w:t>
            </w:r>
          </w:p>
        </w:tc>
      </w:tr>
      <w:tr w:rsidR="007F4C9B" w:rsidRPr="00C80985" w14:paraId="4664B491" w14:textId="77777777" w:rsidTr="00E840F9">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FEC8A9" w14:textId="77777777" w:rsidR="007F4C9B" w:rsidRPr="00C80985" w:rsidRDefault="007F4C9B" w:rsidP="00E840F9">
            <w:pPr>
              <w:widowControl w:val="0"/>
              <w:jc w:val="left"/>
              <w:rPr>
                <w:rFonts w:ascii="Arial Narrow" w:hAnsi="Arial Narrow"/>
                <w:b/>
                <w:sz w:val="20"/>
                <w:szCs w:val="20"/>
              </w:rPr>
            </w:pPr>
            <w:r w:rsidRPr="00C80985">
              <w:rPr>
                <w:rFonts w:ascii="Arial Narrow" w:hAnsi="Arial Narrow"/>
                <w:b/>
                <w:sz w:val="20"/>
                <w:szCs w:val="20"/>
              </w:rPr>
              <w:t>Utilisation</w:t>
            </w:r>
          </w:p>
        </w:tc>
      </w:tr>
      <w:tr w:rsidR="007F4C9B" w:rsidRPr="00C80985" w14:paraId="4602BBCD" w14:textId="77777777" w:rsidTr="00E840F9">
        <w:tc>
          <w:tcPr>
            <w:tcW w:w="92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6FE8DB" w14:textId="77777777" w:rsidR="007F4C9B" w:rsidRPr="00C80985" w:rsidRDefault="007F4C9B" w:rsidP="00E840F9">
            <w:pPr>
              <w:widowControl w:val="0"/>
              <w:jc w:val="left"/>
              <w:rPr>
                <w:rFonts w:ascii="Arial Narrow" w:hAnsi="Arial Narrow"/>
                <w:sz w:val="20"/>
                <w:szCs w:val="20"/>
              </w:rPr>
            </w:pPr>
            <w:r w:rsidRPr="00C80985">
              <w:rPr>
                <w:rFonts w:ascii="Arial Narrow" w:hAnsi="Arial Narrow"/>
                <w:sz w:val="20"/>
                <w:szCs w:val="20"/>
              </w:rPr>
              <w:t>Uptake and treatment</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tcPr>
          <w:p w14:paraId="5645700B" w14:textId="77777777" w:rsidR="00C17DAC" w:rsidRPr="00C80985" w:rsidRDefault="00C17DAC" w:rsidP="00C17DAC">
            <w:pPr>
              <w:widowControl w:val="0"/>
              <w:jc w:val="left"/>
              <w:rPr>
                <w:rFonts w:ascii="Arial Narrow" w:hAnsi="Arial Narrow"/>
                <w:sz w:val="20"/>
                <w:szCs w:val="20"/>
              </w:rPr>
            </w:pPr>
            <w:r w:rsidRPr="00C80985">
              <w:rPr>
                <w:rFonts w:ascii="Arial Narrow" w:hAnsi="Arial Narrow"/>
                <w:sz w:val="20"/>
                <w:szCs w:val="20"/>
                <w:u w:val="single"/>
              </w:rPr>
              <w:t>Uptake</w:t>
            </w:r>
            <w:r w:rsidRPr="00C80985">
              <w:rPr>
                <w:rFonts w:ascii="Arial Narrow" w:hAnsi="Arial Narrow"/>
                <w:sz w:val="20"/>
                <w:szCs w:val="20"/>
              </w:rPr>
              <w:t>: Year 1: 7%; Year 2: 6%; Year 3: 5.5%; Year 4: 5%; Year 5: 4%; Year 6: 4%; sponsor assumption.</w:t>
            </w:r>
          </w:p>
          <w:p w14:paraId="40E84CAF" w14:textId="77777777" w:rsidR="00C17DAC" w:rsidRPr="00C80985" w:rsidRDefault="00C17DAC" w:rsidP="00C17DAC">
            <w:pPr>
              <w:widowControl w:val="0"/>
              <w:jc w:val="left"/>
              <w:rPr>
                <w:rFonts w:ascii="Arial Narrow" w:hAnsi="Arial Narrow"/>
                <w:sz w:val="20"/>
                <w:szCs w:val="20"/>
              </w:rPr>
            </w:pPr>
            <w:r w:rsidRPr="00C80985">
              <w:rPr>
                <w:rFonts w:ascii="Arial Narrow" w:hAnsi="Arial Narrow"/>
                <w:sz w:val="20"/>
                <w:szCs w:val="20"/>
                <w:u w:val="single"/>
              </w:rPr>
              <w:t>Grandfathered patients</w:t>
            </w:r>
            <w:r w:rsidRPr="00C80985">
              <w:rPr>
                <w:rFonts w:ascii="Arial Narrow" w:hAnsi="Arial Narrow"/>
                <w:sz w:val="20"/>
                <w:szCs w:val="20"/>
              </w:rPr>
              <w:t>: The submission assumed there would be approximately 50 grandfathered patients that will be sourced from patients receiving dupilumab privately, or as part of the sponsor’s early access programs.</w:t>
            </w:r>
          </w:p>
          <w:p w14:paraId="2AD2A4A0" w14:textId="15110817" w:rsidR="00C17DAC" w:rsidRPr="00C80985" w:rsidRDefault="00C17DAC" w:rsidP="00C17DAC">
            <w:pPr>
              <w:widowControl w:val="0"/>
              <w:jc w:val="left"/>
              <w:rPr>
                <w:rFonts w:ascii="Arial Narrow" w:hAnsi="Arial Narrow"/>
                <w:sz w:val="20"/>
                <w:szCs w:val="20"/>
              </w:rPr>
            </w:pPr>
            <w:r w:rsidRPr="00C80985">
              <w:rPr>
                <w:rFonts w:ascii="Arial Narrow" w:hAnsi="Arial Narrow"/>
                <w:sz w:val="20"/>
                <w:szCs w:val="20"/>
                <w:u w:val="single"/>
              </w:rPr>
              <w:t>Response rates</w:t>
            </w:r>
            <w:r w:rsidRPr="00C80985">
              <w:rPr>
                <w:rFonts w:ascii="Arial Narrow" w:hAnsi="Arial Narrow"/>
                <w:sz w:val="20"/>
                <w:szCs w:val="20"/>
              </w:rPr>
              <w:t>: The Week 16 response rate was 76.9%, which was sourced from the post-hoc subgroup of Study 1652.</w:t>
            </w:r>
            <w:r w:rsidR="00727E48" w:rsidRPr="00C80985">
              <w:rPr>
                <w:rFonts w:ascii="Arial Narrow" w:hAnsi="Arial Narrow"/>
                <w:sz w:val="20"/>
                <w:szCs w:val="20"/>
              </w:rPr>
              <w:t xml:space="preserve"> </w:t>
            </w:r>
            <w:r w:rsidRPr="00C80985">
              <w:rPr>
                <w:rFonts w:ascii="Arial Narrow" w:hAnsi="Arial Narrow"/>
                <w:sz w:val="20"/>
                <w:szCs w:val="20"/>
              </w:rPr>
              <w:t>The Week 42 response rate was 73.6% (</w:t>
            </w:r>
            <w:proofErr w:type="gramStart"/>
            <w:r w:rsidRPr="00C80985">
              <w:rPr>
                <w:rFonts w:ascii="Arial Narrow" w:hAnsi="Arial Narrow"/>
                <w:sz w:val="20"/>
                <w:szCs w:val="20"/>
              </w:rPr>
              <w:t>i.e.</w:t>
            </w:r>
            <w:proofErr w:type="gramEnd"/>
            <w:r w:rsidRPr="00C80985">
              <w:rPr>
                <w:rFonts w:ascii="Arial Narrow" w:hAnsi="Arial Narrow"/>
                <w:sz w:val="20"/>
                <w:szCs w:val="20"/>
              </w:rPr>
              <w:t xml:space="preserve"> 95.7% of those who respond at Week 16 (76.9% × 95.7% = 73.6%)).</w:t>
            </w:r>
            <w:r w:rsidR="00727E48" w:rsidRPr="00C80985">
              <w:rPr>
                <w:rFonts w:ascii="Arial Narrow" w:hAnsi="Arial Narrow"/>
                <w:sz w:val="20"/>
                <w:szCs w:val="20"/>
              </w:rPr>
              <w:t xml:space="preserve"> </w:t>
            </w:r>
            <w:r w:rsidRPr="00C80985">
              <w:rPr>
                <w:rFonts w:ascii="Arial Narrow" w:hAnsi="Arial Narrow"/>
                <w:sz w:val="20"/>
                <w:szCs w:val="20"/>
              </w:rPr>
              <w:t>The 95.7% rate was sourced from the CHRONOS adult trial.</w:t>
            </w:r>
          </w:p>
          <w:p w14:paraId="6F37AD5D" w14:textId="6DE3129D" w:rsidR="007F4C9B" w:rsidRPr="00C80985" w:rsidRDefault="00C17DAC" w:rsidP="00E840F9">
            <w:pPr>
              <w:widowControl w:val="0"/>
              <w:jc w:val="left"/>
              <w:rPr>
                <w:rFonts w:ascii="Arial Narrow" w:hAnsi="Arial Narrow"/>
                <w:sz w:val="20"/>
                <w:szCs w:val="20"/>
              </w:rPr>
            </w:pPr>
            <w:r w:rsidRPr="00C80985">
              <w:rPr>
                <w:rFonts w:ascii="Arial Narrow" w:hAnsi="Arial Narrow"/>
                <w:sz w:val="20"/>
                <w:szCs w:val="20"/>
                <w:u w:val="single"/>
              </w:rPr>
              <w:t>Persistence</w:t>
            </w:r>
            <w:r w:rsidRPr="00C80985">
              <w:rPr>
                <w:rFonts w:ascii="Arial Narrow" w:hAnsi="Arial Narrow"/>
                <w:sz w:val="20"/>
                <w:szCs w:val="20"/>
              </w:rPr>
              <w:t>: Responders at Week 42 become continuing patients in the following year.</w:t>
            </w:r>
            <w:r w:rsidR="00727E48" w:rsidRPr="00C80985">
              <w:rPr>
                <w:rFonts w:ascii="Arial Narrow" w:hAnsi="Arial Narrow"/>
                <w:sz w:val="20"/>
                <w:szCs w:val="20"/>
              </w:rPr>
              <w:t xml:space="preserve"> </w:t>
            </w:r>
            <w:r w:rsidRPr="00C80985">
              <w:rPr>
                <w:rFonts w:ascii="Arial Narrow" w:hAnsi="Arial Narrow"/>
                <w:sz w:val="20"/>
                <w:szCs w:val="20"/>
              </w:rPr>
              <w:t>The probability of sustained response after Week 42 was sourced from the CHRONOS trial, using a regression approach.</w:t>
            </w:r>
          </w:p>
        </w:tc>
      </w:tr>
      <w:tr w:rsidR="007F4C9B" w:rsidRPr="00C80985" w14:paraId="388A9902" w14:textId="77777777" w:rsidTr="00E840F9">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2B925642" w14:textId="77777777" w:rsidR="007F4C9B" w:rsidRPr="00C80985" w:rsidRDefault="007F4C9B" w:rsidP="00E840F9">
            <w:pPr>
              <w:widowControl w:val="0"/>
              <w:jc w:val="left"/>
              <w:rPr>
                <w:rFonts w:ascii="Arial Narrow" w:hAnsi="Arial Narrow"/>
                <w:sz w:val="20"/>
                <w:szCs w:val="20"/>
              </w:rPr>
            </w:pPr>
            <w:r w:rsidRPr="00C80985">
              <w:rPr>
                <w:rFonts w:ascii="Arial Narrow" w:hAnsi="Arial Narrow"/>
                <w:sz w:val="20"/>
                <w:szCs w:val="20"/>
              </w:rPr>
              <w:t xml:space="preserve">Number of scripts </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tcPr>
          <w:p w14:paraId="6AFDCFFB" w14:textId="77777777" w:rsidR="00C17DAC" w:rsidRPr="00C80985" w:rsidRDefault="00C17DAC" w:rsidP="00C17DAC">
            <w:pPr>
              <w:widowControl w:val="0"/>
              <w:jc w:val="left"/>
              <w:rPr>
                <w:rFonts w:ascii="Arial Narrow" w:hAnsi="Arial Narrow"/>
                <w:sz w:val="20"/>
                <w:szCs w:val="20"/>
              </w:rPr>
            </w:pPr>
            <w:r w:rsidRPr="00C80985">
              <w:rPr>
                <w:rFonts w:ascii="Arial Narrow" w:hAnsi="Arial Narrow"/>
                <w:sz w:val="20"/>
                <w:szCs w:val="20"/>
              </w:rPr>
              <w:t>Script numbers were calculated by weight category, i.e., 15 to &lt;30 kg and 30 to &lt;60 kg.</w:t>
            </w:r>
          </w:p>
          <w:p w14:paraId="2620BEDB" w14:textId="3A68C065" w:rsidR="00C17DAC" w:rsidRPr="00C80985" w:rsidRDefault="00C17DAC" w:rsidP="00C17DAC">
            <w:pPr>
              <w:widowControl w:val="0"/>
              <w:jc w:val="left"/>
              <w:rPr>
                <w:rFonts w:ascii="Arial Narrow" w:hAnsi="Arial Narrow"/>
                <w:sz w:val="20"/>
                <w:szCs w:val="20"/>
              </w:rPr>
            </w:pPr>
            <w:r w:rsidRPr="00C80985">
              <w:rPr>
                <w:rFonts w:ascii="Arial Narrow" w:hAnsi="Arial Narrow"/>
                <w:sz w:val="20"/>
                <w:szCs w:val="20"/>
                <w:u w:val="single"/>
              </w:rPr>
              <w:t>First year of treatment</w:t>
            </w:r>
            <w:r w:rsidRPr="00C80985">
              <w:rPr>
                <w:rFonts w:ascii="Arial Narrow" w:hAnsi="Arial Narrow"/>
                <w:sz w:val="20"/>
                <w:szCs w:val="20"/>
              </w:rPr>
              <w:t>: Consisted of an initiation script and the first maintenance script.</w:t>
            </w:r>
            <w:r w:rsidR="00727E48" w:rsidRPr="00C80985">
              <w:rPr>
                <w:rFonts w:ascii="Arial Narrow" w:hAnsi="Arial Narrow"/>
                <w:sz w:val="20"/>
                <w:szCs w:val="20"/>
              </w:rPr>
              <w:t xml:space="preserve"> </w:t>
            </w:r>
            <w:r w:rsidRPr="00C80985">
              <w:rPr>
                <w:rFonts w:ascii="Arial Narrow" w:hAnsi="Arial Narrow"/>
                <w:sz w:val="20"/>
                <w:szCs w:val="20"/>
              </w:rPr>
              <w:t>There are three potential outcomes for patients in the first year of therapy (all rates are sourced from the adult CHRONOS trial:</w:t>
            </w:r>
          </w:p>
          <w:p w14:paraId="514695F9" w14:textId="77777777" w:rsidR="00C17DAC" w:rsidRPr="00C80985" w:rsidRDefault="00C17DAC" w:rsidP="00C17DAC">
            <w:pPr>
              <w:widowControl w:val="0"/>
              <w:ind w:left="1"/>
              <w:jc w:val="left"/>
              <w:rPr>
                <w:rFonts w:ascii="Arial Narrow" w:hAnsi="Arial Narrow"/>
                <w:sz w:val="20"/>
                <w:szCs w:val="20"/>
              </w:rPr>
            </w:pPr>
            <w:r w:rsidRPr="00C80985">
              <w:rPr>
                <w:rFonts w:ascii="Arial Narrow" w:hAnsi="Arial Narrow"/>
                <w:sz w:val="20"/>
                <w:szCs w:val="20"/>
              </w:rPr>
              <w:t xml:space="preserve">1) </w:t>
            </w:r>
            <w:r w:rsidRPr="00C80985">
              <w:rPr>
                <w:rFonts w:ascii="Arial Narrow" w:hAnsi="Arial Narrow"/>
                <w:sz w:val="20"/>
                <w:szCs w:val="20"/>
                <w:lang w:eastAsia="en-US"/>
              </w:rPr>
              <w:t>Fail to respond to initiation script: 23% are expected to fail to respond</w:t>
            </w:r>
            <w:r w:rsidRPr="00C80985">
              <w:rPr>
                <w:rFonts w:ascii="Arial Narrow" w:hAnsi="Arial Narrow"/>
                <w:sz w:val="20"/>
                <w:szCs w:val="20"/>
              </w:rPr>
              <w:t xml:space="preserve"> (1-Week 16 responders 77%)</w:t>
            </w:r>
            <w:r w:rsidRPr="00C80985">
              <w:rPr>
                <w:rFonts w:ascii="Arial Narrow" w:hAnsi="Arial Narrow"/>
                <w:sz w:val="20"/>
                <w:szCs w:val="20"/>
                <w:lang w:eastAsia="en-US"/>
              </w:rPr>
              <w:t>.</w:t>
            </w:r>
          </w:p>
          <w:p w14:paraId="1BF45710" w14:textId="77777777" w:rsidR="00C17DAC" w:rsidRPr="00C80985" w:rsidRDefault="00C17DAC" w:rsidP="00C17DAC">
            <w:pPr>
              <w:widowControl w:val="0"/>
              <w:ind w:left="1"/>
              <w:jc w:val="left"/>
              <w:rPr>
                <w:rFonts w:ascii="Arial Narrow" w:hAnsi="Arial Narrow"/>
                <w:sz w:val="20"/>
                <w:szCs w:val="20"/>
              </w:rPr>
            </w:pPr>
            <w:r w:rsidRPr="00C80985">
              <w:rPr>
                <w:rFonts w:ascii="Arial Narrow" w:hAnsi="Arial Narrow"/>
                <w:sz w:val="20"/>
                <w:szCs w:val="20"/>
              </w:rPr>
              <w:t>2) Fail to respond to maintenance script: 3.3%</w:t>
            </w:r>
          </w:p>
          <w:p w14:paraId="07BCBFFB" w14:textId="77777777" w:rsidR="00C17DAC" w:rsidRPr="00C80985" w:rsidRDefault="00C17DAC" w:rsidP="00C17DAC">
            <w:pPr>
              <w:widowControl w:val="0"/>
              <w:ind w:left="1"/>
              <w:jc w:val="left"/>
              <w:rPr>
                <w:rFonts w:ascii="Arial Narrow" w:hAnsi="Arial Narrow"/>
                <w:sz w:val="20"/>
                <w:szCs w:val="20"/>
                <w:lang w:eastAsia="en-US"/>
              </w:rPr>
            </w:pPr>
            <w:r w:rsidRPr="00C80985">
              <w:rPr>
                <w:rFonts w:ascii="Arial Narrow" w:hAnsi="Arial Narrow"/>
                <w:sz w:val="20"/>
                <w:szCs w:val="20"/>
              </w:rPr>
              <w:t>3) Maintain response: 73.6%</w:t>
            </w:r>
          </w:p>
          <w:p w14:paraId="6F1DB861" w14:textId="77777777" w:rsidR="00C17DAC" w:rsidRPr="00C80985" w:rsidRDefault="00C17DAC" w:rsidP="00C17DAC">
            <w:pPr>
              <w:widowControl w:val="0"/>
              <w:jc w:val="left"/>
              <w:rPr>
                <w:rFonts w:ascii="Arial Narrow" w:hAnsi="Arial Narrow"/>
                <w:sz w:val="20"/>
                <w:szCs w:val="20"/>
              </w:rPr>
            </w:pPr>
            <w:r w:rsidRPr="00C80985">
              <w:rPr>
                <w:rFonts w:ascii="Arial Narrow" w:hAnsi="Arial Narrow"/>
                <w:sz w:val="20"/>
                <w:szCs w:val="20"/>
                <w:u w:val="single"/>
              </w:rPr>
              <w:t>Subsequent years of treatment</w:t>
            </w:r>
            <w:r w:rsidRPr="00C80985">
              <w:rPr>
                <w:rFonts w:ascii="Arial Narrow" w:hAnsi="Arial Narrow"/>
                <w:sz w:val="20"/>
                <w:szCs w:val="20"/>
              </w:rPr>
              <w:t xml:space="preserve">: Q2W patients: 13.04 packs per year; Q4W patients: 6.5 packs per year. </w:t>
            </w:r>
          </w:p>
          <w:p w14:paraId="2803E590" w14:textId="23155889" w:rsidR="007F4C9B" w:rsidRPr="00C80985" w:rsidRDefault="00C17DAC" w:rsidP="00E840F9">
            <w:pPr>
              <w:widowControl w:val="0"/>
              <w:jc w:val="left"/>
              <w:rPr>
                <w:rFonts w:ascii="Arial Narrow" w:hAnsi="Arial Narrow"/>
                <w:sz w:val="20"/>
                <w:szCs w:val="20"/>
              </w:rPr>
            </w:pPr>
            <w:r w:rsidRPr="00C80985">
              <w:rPr>
                <w:rFonts w:ascii="Arial Narrow" w:hAnsi="Arial Narrow"/>
                <w:sz w:val="20"/>
                <w:szCs w:val="20"/>
              </w:rPr>
              <w:t>Compliance was assumed to be 100%, based on 94.3% compliance for the Q2W group and 98.3% compliance for the Q4W group in Study 1652.</w:t>
            </w:r>
          </w:p>
        </w:tc>
      </w:tr>
      <w:tr w:rsidR="007F4C9B" w:rsidRPr="00C80985" w14:paraId="40B66276" w14:textId="77777777" w:rsidTr="00E840F9">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1CB772" w14:textId="77777777" w:rsidR="007F4C9B" w:rsidRPr="00C80985" w:rsidRDefault="007F4C9B" w:rsidP="00E840F9">
            <w:pPr>
              <w:widowControl w:val="0"/>
              <w:jc w:val="left"/>
              <w:rPr>
                <w:rFonts w:ascii="Arial Narrow" w:hAnsi="Arial Narrow"/>
                <w:b/>
                <w:sz w:val="20"/>
                <w:szCs w:val="20"/>
              </w:rPr>
            </w:pPr>
            <w:r w:rsidRPr="00C80985">
              <w:rPr>
                <w:rFonts w:ascii="Arial Narrow" w:hAnsi="Arial Narrow"/>
                <w:b/>
                <w:sz w:val="20"/>
                <w:szCs w:val="20"/>
              </w:rPr>
              <w:t xml:space="preserve">Cost of medicines </w:t>
            </w:r>
          </w:p>
        </w:tc>
      </w:tr>
      <w:tr w:rsidR="007F4C9B" w:rsidRPr="00C80985" w14:paraId="2949B664" w14:textId="77777777" w:rsidTr="00E840F9">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2FEC1EBC" w14:textId="391D2C6E" w:rsidR="007F4C9B" w:rsidRPr="00C80985" w:rsidRDefault="005E7012" w:rsidP="00E840F9">
            <w:pPr>
              <w:widowControl w:val="0"/>
              <w:jc w:val="left"/>
              <w:rPr>
                <w:rFonts w:ascii="Arial Narrow" w:hAnsi="Arial Narrow"/>
                <w:sz w:val="20"/>
                <w:szCs w:val="20"/>
              </w:rPr>
            </w:pPr>
            <w:r w:rsidRPr="00C80985">
              <w:rPr>
                <w:rFonts w:ascii="Arial Narrow" w:hAnsi="Arial Narrow"/>
                <w:sz w:val="20"/>
                <w:szCs w:val="20"/>
              </w:rPr>
              <w:t>Dupilumab</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tcPr>
          <w:p w14:paraId="655281C8" w14:textId="3B90E64E" w:rsidR="007F4C9B" w:rsidRPr="00C80985" w:rsidRDefault="00C17DAC" w:rsidP="00E840F9">
            <w:pPr>
              <w:widowControl w:val="0"/>
              <w:jc w:val="left"/>
              <w:rPr>
                <w:rFonts w:ascii="Arial Narrow" w:hAnsi="Arial Narrow"/>
                <w:iCs/>
                <w:sz w:val="20"/>
                <w:szCs w:val="20"/>
              </w:rPr>
            </w:pPr>
            <w:r w:rsidRPr="00C80985">
              <w:rPr>
                <w:rFonts w:ascii="Arial Narrow" w:hAnsi="Arial Narrow"/>
                <w:sz w:val="20"/>
                <w:szCs w:val="20"/>
              </w:rPr>
              <w:t xml:space="preserve">Requested price: Q2W: </w:t>
            </w:r>
            <w:r w:rsidRPr="00BB5075">
              <w:rPr>
                <w:rFonts w:ascii="Arial Narrow" w:hAnsi="Arial Narrow"/>
                <w:sz w:val="20"/>
                <w:szCs w:val="20"/>
              </w:rPr>
              <w:t>$</w:t>
            </w:r>
            <w:r w:rsidR="00B85535" w:rsidRPr="00B85535">
              <w:rPr>
                <w:rFonts w:ascii="Arial Narrow" w:hAnsi="Arial Narrow"/>
                <w:color w:val="000000"/>
                <w:spacing w:val="53"/>
                <w:sz w:val="20"/>
                <w:szCs w:val="20"/>
                <w:shd w:val="solid" w:color="000000" w:fill="000000"/>
                <w:fitText w:val="330" w:id="-1500860400"/>
                <w14:textFill>
                  <w14:solidFill>
                    <w14:srgbClr w14:val="000000">
                      <w14:alpha w14:val="100000"/>
                    </w14:srgbClr>
                  </w14:solidFill>
                </w14:textFill>
              </w:rPr>
              <w:t>|||</w:t>
            </w:r>
            <w:r w:rsidR="00B85535" w:rsidRPr="00B85535">
              <w:rPr>
                <w:rFonts w:ascii="Arial Narrow" w:hAnsi="Arial Narrow"/>
                <w:color w:val="000000"/>
                <w:spacing w:val="1"/>
                <w:sz w:val="20"/>
                <w:szCs w:val="20"/>
                <w:shd w:val="solid" w:color="000000" w:fill="000000"/>
                <w:fitText w:val="330" w:id="-1500860400"/>
                <w14:textFill>
                  <w14:solidFill>
                    <w14:srgbClr w14:val="000000">
                      <w14:alpha w14:val="100000"/>
                    </w14:srgbClr>
                  </w14:solidFill>
                </w14:textFill>
              </w:rPr>
              <w:t>|</w:t>
            </w:r>
            <w:r w:rsidRPr="00C80985">
              <w:rPr>
                <w:rFonts w:ascii="Arial Narrow" w:hAnsi="Arial Narrow"/>
                <w:sz w:val="20"/>
                <w:szCs w:val="20"/>
              </w:rPr>
              <w:t xml:space="preserve">; Q4W: </w:t>
            </w:r>
            <w:r w:rsidRPr="00BB5075">
              <w:rPr>
                <w:rFonts w:ascii="Arial Narrow" w:hAnsi="Arial Narrow"/>
                <w:sz w:val="20"/>
                <w:szCs w:val="20"/>
              </w:rPr>
              <w:t>$</w:t>
            </w:r>
            <w:r w:rsidR="00B85535" w:rsidRPr="00B85535">
              <w:rPr>
                <w:rFonts w:ascii="Arial Narrow" w:hAnsi="Arial Narrow"/>
                <w:color w:val="000000"/>
                <w:spacing w:val="53"/>
                <w:sz w:val="20"/>
                <w:szCs w:val="20"/>
                <w:shd w:val="solid" w:color="000000" w:fill="000000"/>
                <w:fitText w:val="330" w:id="-1500860416"/>
                <w14:textFill>
                  <w14:solidFill>
                    <w14:srgbClr w14:val="000000">
                      <w14:alpha w14:val="100000"/>
                    </w14:srgbClr>
                  </w14:solidFill>
                </w14:textFill>
              </w:rPr>
              <w:t>|||</w:t>
            </w:r>
            <w:r w:rsidR="00B85535" w:rsidRPr="00B85535">
              <w:rPr>
                <w:rFonts w:ascii="Arial Narrow" w:hAnsi="Arial Narrow"/>
                <w:color w:val="000000"/>
                <w:spacing w:val="1"/>
                <w:sz w:val="20"/>
                <w:szCs w:val="20"/>
                <w:shd w:val="solid" w:color="000000" w:fill="000000"/>
                <w:fitText w:val="330" w:id="-1500860416"/>
                <w14:textFill>
                  <w14:solidFill>
                    <w14:srgbClr w14:val="000000">
                      <w14:alpha w14:val="100000"/>
                    </w14:srgbClr>
                  </w14:solidFill>
                </w14:textFill>
              </w:rPr>
              <w:t>|</w:t>
            </w:r>
          </w:p>
        </w:tc>
      </w:tr>
      <w:tr w:rsidR="007F4C9B" w:rsidRPr="00C80985" w14:paraId="7ED2B3BB" w14:textId="77777777" w:rsidTr="00E840F9">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0BE6E0EA" w14:textId="77777777" w:rsidR="007F4C9B" w:rsidRPr="00C80985" w:rsidRDefault="007F4C9B" w:rsidP="00E840F9">
            <w:pPr>
              <w:widowControl w:val="0"/>
              <w:jc w:val="left"/>
              <w:rPr>
                <w:rFonts w:ascii="Arial Narrow" w:hAnsi="Arial Narrow"/>
                <w:sz w:val="20"/>
                <w:szCs w:val="20"/>
              </w:rPr>
            </w:pPr>
            <w:r w:rsidRPr="00C80985">
              <w:rPr>
                <w:rFonts w:ascii="Arial Narrow" w:hAnsi="Arial Narrow"/>
                <w:sz w:val="20"/>
                <w:szCs w:val="20"/>
              </w:rPr>
              <w:t xml:space="preserve">Patient co-payment </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tcPr>
          <w:p w14:paraId="334F2888" w14:textId="228E7B0F" w:rsidR="007F4C9B" w:rsidRPr="00C80985" w:rsidRDefault="00C17DAC" w:rsidP="00E840F9">
            <w:pPr>
              <w:widowControl w:val="0"/>
              <w:jc w:val="left"/>
              <w:rPr>
                <w:rFonts w:ascii="Arial Narrow" w:hAnsi="Arial Narrow"/>
                <w:sz w:val="20"/>
                <w:szCs w:val="20"/>
              </w:rPr>
            </w:pPr>
            <w:r w:rsidRPr="00C80985">
              <w:rPr>
                <w:rFonts w:ascii="Arial Narrow" w:hAnsi="Arial Narrow"/>
                <w:sz w:val="20"/>
                <w:szCs w:val="20"/>
              </w:rPr>
              <w:t>Co-payment calculated as $29.01, based on PBS item 1964J (etanercept for severe chronic plaque psoriasis).</w:t>
            </w:r>
          </w:p>
        </w:tc>
      </w:tr>
      <w:tr w:rsidR="007F4C9B" w:rsidRPr="00C80985" w14:paraId="3F86BD0C" w14:textId="77777777" w:rsidTr="00E840F9">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4461453" w14:textId="77777777" w:rsidR="007F4C9B" w:rsidRPr="00C80985" w:rsidRDefault="007F4C9B" w:rsidP="00E840F9">
            <w:pPr>
              <w:widowControl w:val="0"/>
              <w:jc w:val="left"/>
              <w:rPr>
                <w:rFonts w:ascii="Arial Narrow" w:hAnsi="Arial Narrow"/>
                <w:b/>
                <w:sz w:val="20"/>
                <w:szCs w:val="20"/>
              </w:rPr>
            </w:pPr>
            <w:r w:rsidRPr="00C80985">
              <w:rPr>
                <w:rFonts w:ascii="Arial Narrow" w:hAnsi="Arial Narrow"/>
                <w:b/>
                <w:sz w:val="20"/>
                <w:szCs w:val="20"/>
              </w:rPr>
              <w:t>Impact on other medicines</w:t>
            </w:r>
          </w:p>
        </w:tc>
      </w:tr>
      <w:tr w:rsidR="007F4C9B" w:rsidRPr="00C80985" w14:paraId="28919ACA" w14:textId="77777777" w:rsidTr="00E840F9">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2F0F49CE" w14:textId="77777777" w:rsidR="007F4C9B" w:rsidRPr="00C80985" w:rsidRDefault="007F4C9B" w:rsidP="00E840F9">
            <w:pPr>
              <w:widowControl w:val="0"/>
              <w:jc w:val="left"/>
              <w:rPr>
                <w:rFonts w:ascii="Arial Narrow" w:hAnsi="Arial Narrow" w:cstheme="minorHAnsi"/>
                <w:color w:val="000000"/>
                <w:sz w:val="20"/>
                <w:szCs w:val="20"/>
              </w:rPr>
            </w:pPr>
            <w:r w:rsidRPr="00C80985">
              <w:rPr>
                <w:rFonts w:ascii="Arial Narrow" w:hAnsi="Arial Narrow" w:cstheme="minorHAnsi"/>
                <w:color w:val="000000"/>
                <w:sz w:val="20"/>
                <w:szCs w:val="20"/>
              </w:rPr>
              <w:t>Other agents</w:t>
            </w:r>
          </w:p>
        </w:tc>
        <w:tc>
          <w:tcPr>
            <w:tcW w:w="4074" w:type="pct"/>
            <w:tcBorders>
              <w:top w:val="single" w:sz="4" w:space="0" w:color="auto"/>
              <w:left w:val="single" w:sz="4" w:space="0" w:color="auto"/>
              <w:right w:val="single" w:sz="4" w:space="0" w:color="auto"/>
            </w:tcBorders>
            <w:shd w:val="clear" w:color="auto" w:fill="auto"/>
            <w:vAlign w:val="center"/>
          </w:tcPr>
          <w:p w14:paraId="788F3282" w14:textId="2FFD2E73" w:rsidR="007F4C9B" w:rsidRPr="00C80985" w:rsidRDefault="00C17DAC" w:rsidP="00E840F9">
            <w:pPr>
              <w:widowControl w:val="0"/>
              <w:jc w:val="left"/>
              <w:rPr>
                <w:rFonts w:ascii="Arial Narrow" w:hAnsi="Arial Narrow"/>
                <w:sz w:val="20"/>
                <w:szCs w:val="20"/>
              </w:rPr>
            </w:pPr>
            <w:r w:rsidRPr="00C80985">
              <w:rPr>
                <w:rFonts w:ascii="Arial Narrow" w:hAnsi="Arial Narrow"/>
                <w:sz w:val="20"/>
                <w:szCs w:val="20"/>
              </w:rPr>
              <w:t xml:space="preserve">It is expected that 10.7% of dupilumab-treated patients will require PBS treatment for conjunctivitis </w:t>
            </w:r>
            <w:r w:rsidRPr="00C80985">
              <w:rPr>
                <w:rFonts w:ascii="Arial Narrow" w:hAnsi="Arial Narrow"/>
                <w:sz w:val="20"/>
                <w:szCs w:val="20"/>
              </w:rPr>
              <w:lastRenderedPageBreak/>
              <w:t xml:space="preserve">as well concomitant disease flares during episodes of conjunctivitis which require treatment with </w:t>
            </w:r>
            <w:proofErr w:type="spellStart"/>
            <w:r w:rsidRPr="00C80985">
              <w:rPr>
                <w:rFonts w:ascii="Arial Narrow" w:hAnsi="Arial Narrow"/>
                <w:sz w:val="20"/>
                <w:szCs w:val="20"/>
              </w:rPr>
              <w:t>pimecrolimus</w:t>
            </w:r>
            <w:proofErr w:type="spellEnd"/>
            <w:r w:rsidRPr="00C80985">
              <w:rPr>
                <w:rFonts w:ascii="Arial Narrow" w:hAnsi="Arial Narrow"/>
                <w:sz w:val="20"/>
                <w:szCs w:val="20"/>
              </w:rPr>
              <w:t>.</w:t>
            </w:r>
            <w:r w:rsidR="00727E48" w:rsidRPr="00C80985">
              <w:rPr>
                <w:rFonts w:ascii="Arial Narrow" w:hAnsi="Arial Narrow"/>
                <w:sz w:val="20"/>
                <w:szCs w:val="20"/>
              </w:rPr>
              <w:t xml:space="preserve"> </w:t>
            </w:r>
            <w:r w:rsidRPr="00C80985">
              <w:rPr>
                <w:rFonts w:ascii="Arial Narrow" w:hAnsi="Arial Narrow"/>
                <w:sz w:val="20"/>
                <w:szCs w:val="20"/>
              </w:rPr>
              <w:t xml:space="preserve">Of the possible treatments, only </w:t>
            </w:r>
            <w:proofErr w:type="spellStart"/>
            <w:r w:rsidRPr="00C80985">
              <w:rPr>
                <w:rFonts w:ascii="Arial Narrow" w:hAnsi="Arial Narrow"/>
                <w:sz w:val="20"/>
                <w:szCs w:val="20"/>
              </w:rPr>
              <w:t>pimecrolimus</w:t>
            </w:r>
            <w:proofErr w:type="spellEnd"/>
            <w:r w:rsidRPr="00C80985">
              <w:rPr>
                <w:rFonts w:ascii="Arial Narrow" w:hAnsi="Arial Narrow"/>
                <w:sz w:val="20"/>
                <w:szCs w:val="20"/>
              </w:rPr>
              <w:t xml:space="preserve"> ($31.35) is priced above the weighted co-payment.</w:t>
            </w:r>
            <w:r w:rsidR="00727E48" w:rsidRPr="00C80985">
              <w:rPr>
                <w:rFonts w:ascii="Arial Narrow" w:hAnsi="Arial Narrow"/>
                <w:sz w:val="20"/>
                <w:szCs w:val="20"/>
              </w:rPr>
              <w:t xml:space="preserve"> </w:t>
            </w:r>
            <w:r w:rsidRPr="00C80985">
              <w:rPr>
                <w:rFonts w:ascii="Arial Narrow" w:hAnsi="Arial Narrow"/>
                <w:sz w:val="20"/>
                <w:szCs w:val="20"/>
              </w:rPr>
              <w:t>Based on the published price for dupilumab, the submission has estimated cost savings of $</w:t>
            </w:r>
            <w:r w:rsidR="00B85535" w:rsidRPr="00B85535">
              <w:rPr>
                <w:rFonts w:ascii="Arial Narrow" w:hAnsi="Arial Narrow"/>
                <w:color w:val="000000"/>
                <w:spacing w:val="53"/>
                <w:sz w:val="20"/>
                <w:szCs w:val="20"/>
                <w:shd w:val="solid" w:color="000000" w:fill="000000"/>
                <w:fitText w:val="330" w:id="-1500860415"/>
                <w14:textFill>
                  <w14:solidFill>
                    <w14:srgbClr w14:val="000000">
                      <w14:alpha w14:val="100000"/>
                    </w14:srgbClr>
                  </w14:solidFill>
                </w14:textFill>
              </w:rPr>
              <w:t>|||</w:t>
            </w:r>
            <w:r w:rsidR="00B85535" w:rsidRPr="00B85535">
              <w:rPr>
                <w:rFonts w:ascii="Arial Narrow" w:hAnsi="Arial Narrow"/>
                <w:color w:val="000000"/>
                <w:spacing w:val="1"/>
                <w:sz w:val="20"/>
                <w:szCs w:val="20"/>
                <w:shd w:val="solid" w:color="000000" w:fill="000000"/>
                <w:fitText w:val="330" w:id="-1500860415"/>
                <w14:textFill>
                  <w14:solidFill>
                    <w14:srgbClr w14:val="000000">
                      <w14:alpha w14:val="100000"/>
                    </w14:srgbClr>
                  </w14:solidFill>
                </w14:textFill>
              </w:rPr>
              <w:t>|</w:t>
            </w:r>
            <w:r w:rsidRPr="00C80985">
              <w:rPr>
                <w:rFonts w:ascii="Arial Narrow" w:hAnsi="Arial Narrow"/>
                <w:sz w:val="20"/>
                <w:szCs w:val="20"/>
              </w:rPr>
              <w:t xml:space="preserve"> in Year 1, decreasing to $</w:t>
            </w:r>
            <w:r w:rsidR="00B85535" w:rsidRPr="00B85535">
              <w:rPr>
                <w:rFonts w:ascii="Arial Narrow" w:hAnsi="Arial Narrow"/>
                <w:color w:val="000000"/>
                <w:spacing w:val="49"/>
                <w:sz w:val="20"/>
                <w:szCs w:val="20"/>
                <w:shd w:val="solid" w:color="000000" w:fill="000000"/>
                <w:fitText w:val="320" w:id="-1500860414"/>
                <w14:textFill>
                  <w14:solidFill>
                    <w14:srgbClr w14:val="000000">
                      <w14:alpha w14:val="100000"/>
                    </w14:srgbClr>
                  </w14:solidFill>
                </w14:textFill>
              </w:rPr>
              <w:t>|||</w:t>
            </w:r>
            <w:r w:rsidR="00B85535" w:rsidRPr="00B85535">
              <w:rPr>
                <w:rFonts w:ascii="Arial Narrow" w:hAnsi="Arial Narrow"/>
                <w:color w:val="000000"/>
                <w:spacing w:val="3"/>
                <w:sz w:val="20"/>
                <w:szCs w:val="20"/>
                <w:shd w:val="solid" w:color="000000" w:fill="000000"/>
                <w:fitText w:val="320" w:id="-1500860414"/>
                <w14:textFill>
                  <w14:solidFill>
                    <w14:srgbClr w14:val="000000">
                      <w14:alpha w14:val="100000"/>
                    </w14:srgbClr>
                  </w14:solidFill>
                </w14:textFill>
              </w:rPr>
              <w:t>|</w:t>
            </w:r>
            <w:r w:rsidRPr="00C80985">
              <w:rPr>
                <w:rFonts w:ascii="Arial Narrow" w:hAnsi="Arial Narrow"/>
                <w:sz w:val="20"/>
                <w:szCs w:val="20"/>
              </w:rPr>
              <w:t xml:space="preserve"> in Year 6.</w:t>
            </w:r>
            <w:r w:rsidR="00727E48" w:rsidRPr="00C80985">
              <w:rPr>
                <w:rFonts w:ascii="Arial Narrow" w:hAnsi="Arial Narrow"/>
                <w:sz w:val="20"/>
                <w:szCs w:val="20"/>
              </w:rPr>
              <w:t xml:space="preserve"> </w:t>
            </w:r>
            <w:r w:rsidRPr="00C80985">
              <w:rPr>
                <w:rFonts w:ascii="Arial Narrow" w:hAnsi="Arial Narrow"/>
                <w:sz w:val="20"/>
                <w:szCs w:val="20"/>
              </w:rPr>
              <w:t>The submission assumed no cost offsets using the requested effective price.</w:t>
            </w:r>
          </w:p>
        </w:tc>
      </w:tr>
      <w:tr w:rsidR="007F4C9B" w:rsidRPr="00C80985" w14:paraId="1F57C9A4" w14:textId="77777777" w:rsidTr="00E840F9">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EC1112" w14:textId="77777777" w:rsidR="007F4C9B" w:rsidRPr="00C80985" w:rsidRDefault="007F4C9B" w:rsidP="00E840F9">
            <w:pPr>
              <w:widowControl w:val="0"/>
              <w:jc w:val="left"/>
              <w:rPr>
                <w:rFonts w:ascii="Arial Narrow" w:hAnsi="Arial Narrow"/>
                <w:b/>
                <w:sz w:val="20"/>
                <w:szCs w:val="20"/>
              </w:rPr>
            </w:pPr>
            <w:r w:rsidRPr="00C80985">
              <w:rPr>
                <w:rFonts w:ascii="Arial Narrow" w:hAnsi="Arial Narrow"/>
                <w:b/>
                <w:sz w:val="20"/>
                <w:szCs w:val="20"/>
              </w:rPr>
              <w:lastRenderedPageBreak/>
              <w:t>MBS usage and costs</w:t>
            </w:r>
          </w:p>
        </w:tc>
      </w:tr>
      <w:tr w:rsidR="007F4C9B" w:rsidRPr="00C80985" w14:paraId="1E5A9E7F" w14:textId="77777777" w:rsidTr="00E840F9">
        <w:tc>
          <w:tcPr>
            <w:tcW w:w="926" w:type="pct"/>
            <w:tcBorders>
              <w:top w:val="single" w:sz="4" w:space="0" w:color="auto"/>
              <w:left w:val="single" w:sz="4" w:space="0" w:color="auto"/>
              <w:bottom w:val="single" w:sz="4" w:space="0" w:color="auto"/>
              <w:right w:val="single" w:sz="4" w:space="0" w:color="auto"/>
            </w:tcBorders>
            <w:shd w:val="clear" w:color="auto" w:fill="auto"/>
            <w:vAlign w:val="center"/>
          </w:tcPr>
          <w:p w14:paraId="05DF53DA" w14:textId="77777777" w:rsidR="007F4C9B" w:rsidRPr="00C80985" w:rsidRDefault="007F4C9B" w:rsidP="00E840F9">
            <w:pPr>
              <w:widowControl w:val="0"/>
              <w:jc w:val="left"/>
              <w:rPr>
                <w:rFonts w:ascii="Arial Narrow" w:hAnsi="Arial Narrow"/>
                <w:sz w:val="20"/>
                <w:szCs w:val="20"/>
              </w:rPr>
            </w:pPr>
            <w:r w:rsidRPr="00C80985">
              <w:rPr>
                <w:rFonts w:ascii="Arial Narrow" w:hAnsi="Arial Narrow"/>
                <w:sz w:val="20"/>
                <w:szCs w:val="20"/>
              </w:rPr>
              <w:t>MBS items</w:t>
            </w:r>
          </w:p>
        </w:tc>
        <w:tc>
          <w:tcPr>
            <w:tcW w:w="4074" w:type="pct"/>
            <w:tcBorders>
              <w:top w:val="single" w:sz="4" w:space="0" w:color="auto"/>
              <w:left w:val="single" w:sz="4" w:space="0" w:color="auto"/>
              <w:bottom w:val="single" w:sz="4" w:space="0" w:color="auto"/>
              <w:right w:val="single" w:sz="4" w:space="0" w:color="auto"/>
            </w:tcBorders>
            <w:shd w:val="clear" w:color="auto" w:fill="auto"/>
            <w:vAlign w:val="center"/>
          </w:tcPr>
          <w:p w14:paraId="63A0794E" w14:textId="6672C0DD" w:rsidR="007F4C9B" w:rsidRPr="00C80985" w:rsidRDefault="00C17DAC" w:rsidP="00E840F9">
            <w:pPr>
              <w:widowControl w:val="0"/>
              <w:jc w:val="left"/>
              <w:rPr>
                <w:rFonts w:ascii="Arial Narrow" w:hAnsi="Arial Narrow"/>
                <w:sz w:val="20"/>
                <w:szCs w:val="20"/>
              </w:rPr>
            </w:pPr>
            <w:r w:rsidRPr="00C80985">
              <w:rPr>
                <w:rFonts w:ascii="Arial Narrow" w:hAnsi="Arial Narrow"/>
                <w:sz w:val="20"/>
                <w:szCs w:val="20"/>
              </w:rPr>
              <w:t>The submission assumed increased MBS costs for training for subcutaneous injections and ophthalmologist referrals for conjunctivitis, and cost offsets for fewer primary care and specialist consultations, and fewer phototherapy sessions.</w:t>
            </w:r>
            <w:r w:rsidR="00727E48" w:rsidRPr="00C80985">
              <w:rPr>
                <w:rFonts w:ascii="Arial Narrow" w:hAnsi="Arial Narrow"/>
                <w:sz w:val="20"/>
                <w:szCs w:val="20"/>
              </w:rPr>
              <w:t xml:space="preserve"> </w:t>
            </w:r>
            <w:r w:rsidRPr="00C80985">
              <w:rPr>
                <w:rFonts w:ascii="Arial Narrow" w:hAnsi="Arial Narrow"/>
                <w:sz w:val="20"/>
                <w:szCs w:val="20"/>
              </w:rPr>
              <w:t>The number of services was sourced from the clinician survey.</w:t>
            </w:r>
          </w:p>
        </w:tc>
      </w:tr>
    </w:tbl>
    <w:p w14:paraId="1A06779B" w14:textId="383EF4D6" w:rsidR="00C17DAC" w:rsidRPr="00C80985" w:rsidRDefault="00C17DAC" w:rsidP="00C17DAC">
      <w:pPr>
        <w:pStyle w:val="TableFooter"/>
        <w:keepNext/>
        <w:keepLines/>
      </w:pPr>
      <w:r w:rsidRPr="00C80985">
        <w:t>Source: Table 4.2, p205; Table 4.3, p207-208; Table 4.4, p208; Table 4.7, p210; Table 4.9, p212; Table 4.10, p213; Table 4.11, p215-216; Table 4.13, p218; Table 4.14, p218; Table 4.15, p219; Table 4.22, p24; Table 4.24, p226; Table 4.29, p231; Table 4.30, p231-232; Table 4.31, p232 of the submission; Table 5, 3.02 November 2020 PBAC Minutes.</w:t>
      </w:r>
      <w:r w:rsidR="00727E48" w:rsidRPr="00C80985">
        <w:t xml:space="preserve"> </w:t>
      </w:r>
    </w:p>
    <w:p w14:paraId="220DA9D9" w14:textId="550D771E" w:rsidR="007925DF" w:rsidRPr="00C80985" w:rsidRDefault="00C17DAC" w:rsidP="00C17DAC">
      <w:pPr>
        <w:pStyle w:val="TableFooter"/>
        <w:rPr>
          <w:szCs w:val="18"/>
        </w:rPr>
      </w:pPr>
      <w:r w:rsidRPr="00C80985">
        <w:rPr>
          <w:szCs w:val="18"/>
        </w:rPr>
        <w:t>AD = atopic dermatitis; EASI = Eczema area and severity index; PSD = public summary document;</w:t>
      </w:r>
      <w:r w:rsidR="00727E48" w:rsidRPr="00C80985">
        <w:rPr>
          <w:szCs w:val="18"/>
        </w:rPr>
        <w:t xml:space="preserve"> </w:t>
      </w:r>
      <w:r w:rsidRPr="00C80985">
        <w:rPr>
          <w:szCs w:val="18"/>
        </w:rPr>
        <w:t>Q2W = every two weeks; Q4W = every four weeks</w:t>
      </w:r>
    </w:p>
    <w:p w14:paraId="454794EA" w14:textId="4AAD94AF" w:rsidR="007925DF" w:rsidRPr="00C80985" w:rsidRDefault="007925DF" w:rsidP="007925DF">
      <w:pPr>
        <w:pStyle w:val="TableFigureFooter"/>
      </w:pPr>
      <w:r w:rsidRPr="00C80985">
        <w:t xml:space="preserve"> </w:t>
      </w:r>
    </w:p>
    <w:p w14:paraId="39CF8E3D" w14:textId="56A3A5D6" w:rsidR="00C17DAC" w:rsidRPr="00C80985" w:rsidRDefault="00AB33C4" w:rsidP="00B505C8">
      <w:pPr>
        <w:pStyle w:val="3-BodyText"/>
      </w:pPr>
      <w:r w:rsidRPr="00C80985">
        <w:t>The estimated patient numbers, prescription numbers and costs for the PBS listing of dupilumab for the treatment of severe AD in paediatric patients are provided below.</w:t>
      </w:r>
      <w:r w:rsidR="005304E0" w:rsidRPr="00C80985">
        <w:t xml:space="preserve">  The submission assumed uptake of 7% in Year 1, decreasing to 4% in Years 5 and 6.</w:t>
      </w:r>
    </w:p>
    <w:p w14:paraId="7E24BE2F" w14:textId="7831835A" w:rsidR="003A666B" w:rsidRPr="00C80985" w:rsidRDefault="003A666B" w:rsidP="00B505C8">
      <w:pPr>
        <w:pStyle w:val="3-BodyText"/>
      </w:pPr>
      <w:r w:rsidRPr="00C80985">
        <w:t>For reference, estimates for the adult and adolescent population in November 2020 are provided in the table, although the adult and adolescent population</w:t>
      </w:r>
      <w:r w:rsidR="007E4E2B">
        <w:t xml:space="preserve"> (aged </w:t>
      </w:r>
      <w:r w:rsidR="00677299">
        <w:rPr>
          <w:rFonts w:cstheme="minorHAnsi"/>
        </w:rPr>
        <w:t>≥</w:t>
      </w:r>
      <w:r w:rsidR="00677299">
        <w:t>12</w:t>
      </w:r>
      <w:r w:rsidR="007E4E2B">
        <w:t>is much larger than</w:t>
      </w:r>
      <w:r w:rsidRPr="00C80985">
        <w:t xml:space="preserve"> the paediatric population</w:t>
      </w:r>
      <w:r w:rsidR="007E4E2B">
        <w:t xml:space="preserve"> (aged </w:t>
      </w:r>
      <w:r w:rsidR="006551EA">
        <w:t>6</w:t>
      </w:r>
      <w:r w:rsidR="007E4E2B">
        <w:t>-11 years)</w:t>
      </w:r>
      <w:r w:rsidRPr="00C80985">
        <w:t>.</w:t>
      </w:r>
    </w:p>
    <w:p w14:paraId="38EC053C" w14:textId="721B4F93" w:rsidR="00C25D9C" w:rsidRPr="00C80985" w:rsidRDefault="00CC44A2" w:rsidP="00606FBA">
      <w:pPr>
        <w:pStyle w:val="TableFigureHeading"/>
      </w:pPr>
      <w:r w:rsidRPr="00C80985">
        <w:rPr>
          <w:rStyle w:val="CommentReference"/>
          <w:b/>
          <w:szCs w:val="24"/>
        </w:rPr>
        <w:t xml:space="preserve">Table </w:t>
      </w:r>
      <w:r w:rsidRPr="00C80985">
        <w:rPr>
          <w:rStyle w:val="CommentReference"/>
          <w:b/>
          <w:szCs w:val="24"/>
        </w:rPr>
        <w:fldChar w:fldCharType="begin"/>
      </w:r>
      <w:r w:rsidRPr="00C80985">
        <w:rPr>
          <w:rStyle w:val="CommentReference"/>
          <w:b/>
          <w:szCs w:val="24"/>
        </w:rPr>
        <w:instrText xml:space="preserve"> SEQ Table \* ARABIC </w:instrText>
      </w:r>
      <w:r w:rsidRPr="00C80985">
        <w:rPr>
          <w:rStyle w:val="CommentReference"/>
          <w:b/>
          <w:szCs w:val="24"/>
        </w:rPr>
        <w:fldChar w:fldCharType="separate"/>
      </w:r>
      <w:r w:rsidR="00AA723C">
        <w:rPr>
          <w:rStyle w:val="CommentReference"/>
          <w:b/>
          <w:noProof/>
          <w:szCs w:val="24"/>
        </w:rPr>
        <w:t>21</w:t>
      </w:r>
      <w:r w:rsidRPr="00C80985">
        <w:rPr>
          <w:rStyle w:val="CommentReference"/>
          <w:b/>
          <w:szCs w:val="24"/>
        </w:rPr>
        <w:fldChar w:fldCharType="end"/>
      </w:r>
      <w:r w:rsidR="002A2F50" w:rsidRPr="00C80985">
        <w:rPr>
          <w:rStyle w:val="CommentReference"/>
          <w:b/>
          <w:szCs w:val="24"/>
        </w:rPr>
        <w:t>: Estimated use and financial implications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BF7E34" w:rsidRPr="00C80985" w14:paraId="43A2A3A1" w14:textId="77777777" w:rsidTr="000B51DE">
        <w:trPr>
          <w:tblHeader/>
        </w:trPr>
        <w:tc>
          <w:tcPr>
            <w:tcW w:w="1116" w:type="pct"/>
            <w:shd w:val="clear" w:color="auto" w:fill="auto"/>
            <w:vAlign w:val="center"/>
          </w:tcPr>
          <w:p w14:paraId="0A4E41E1" w14:textId="77777777" w:rsidR="00385A9D" w:rsidRPr="00C80985" w:rsidRDefault="00385A9D" w:rsidP="00606FBA">
            <w:pPr>
              <w:pStyle w:val="In-tableHeading"/>
              <w:jc w:val="center"/>
              <w:rPr>
                <w:lang w:val="en-AU"/>
              </w:rPr>
            </w:pPr>
          </w:p>
        </w:tc>
        <w:tc>
          <w:tcPr>
            <w:tcW w:w="647" w:type="pct"/>
            <w:shd w:val="clear" w:color="auto" w:fill="auto"/>
            <w:vAlign w:val="center"/>
          </w:tcPr>
          <w:p w14:paraId="77420B6F" w14:textId="77777777" w:rsidR="00385A9D" w:rsidRPr="00C80985" w:rsidRDefault="00385A9D" w:rsidP="00606FBA">
            <w:pPr>
              <w:pStyle w:val="In-tableHeading"/>
              <w:jc w:val="center"/>
              <w:rPr>
                <w:lang w:val="en-AU"/>
              </w:rPr>
            </w:pPr>
            <w:r w:rsidRPr="00C80985">
              <w:rPr>
                <w:lang w:val="en-AU"/>
              </w:rPr>
              <w:t>Year 1</w:t>
            </w:r>
          </w:p>
        </w:tc>
        <w:tc>
          <w:tcPr>
            <w:tcW w:w="647" w:type="pct"/>
            <w:shd w:val="clear" w:color="auto" w:fill="auto"/>
            <w:vAlign w:val="center"/>
          </w:tcPr>
          <w:p w14:paraId="3BBD9218" w14:textId="77777777" w:rsidR="00385A9D" w:rsidRPr="00C80985" w:rsidRDefault="00385A9D" w:rsidP="00606FBA">
            <w:pPr>
              <w:pStyle w:val="In-tableHeading"/>
              <w:jc w:val="center"/>
              <w:rPr>
                <w:lang w:val="en-AU"/>
              </w:rPr>
            </w:pPr>
            <w:r w:rsidRPr="00C80985">
              <w:rPr>
                <w:lang w:val="en-AU"/>
              </w:rPr>
              <w:t>Year 2</w:t>
            </w:r>
          </w:p>
        </w:tc>
        <w:tc>
          <w:tcPr>
            <w:tcW w:w="647" w:type="pct"/>
            <w:shd w:val="clear" w:color="auto" w:fill="auto"/>
            <w:vAlign w:val="center"/>
          </w:tcPr>
          <w:p w14:paraId="729A646E" w14:textId="77777777" w:rsidR="00385A9D" w:rsidRPr="00C80985" w:rsidRDefault="00385A9D" w:rsidP="00606FBA">
            <w:pPr>
              <w:pStyle w:val="In-tableHeading"/>
              <w:jc w:val="center"/>
              <w:rPr>
                <w:lang w:val="en-AU"/>
              </w:rPr>
            </w:pPr>
            <w:r w:rsidRPr="00C80985">
              <w:rPr>
                <w:lang w:val="en-AU"/>
              </w:rPr>
              <w:t>Year 3</w:t>
            </w:r>
          </w:p>
        </w:tc>
        <w:tc>
          <w:tcPr>
            <w:tcW w:w="647" w:type="pct"/>
            <w:shd w:val="clear" w:color="auto" w:fill="auto"/>
            <w:vAlign w:val="center"/>
          </w:tcPr>
          <w:p w14:paraId="280BB544" w14:textId="77777777" w:rsidR="00385A9D" w:rsidRPr="00C80985" w:rsidRDefault="00385A9D" w:rsidP="00606FBA">
            <w:pPr>
              <w:pStyle w:val="In-tableHeading"/>
              <w:jc w:val="center"/>
              <w:rPr>
                <w:lang w:val="en-AU"/>
              </w:rPr>
            </w:pPr>
            <w:r w:rsidRPr="00C80985">
              <w:rPr>
                <w:lang w:val="en-AU"/>
              </w:rPr>
              <w:t>Year 4</w:t>
            </w:r>
          </w:p>
        </w:tc>
        <w:tc>
          <w:tcPr>
            <w:tcW w:w="647" w:type="pct"/>
            <w:shd w:val="clear" w:color="auto" w:fill="auto"/>
            <w:vAlign w:val="center"/>
          </w:tcPr>
          <w:p w14:paraId="6435BB5B" w14:textId="77777777" w:rsidR="00385A9D" w:rsidRPr="00C80985" w:rsidRDefault="00385A9D" w:rsidP="00606FBA">
            <w:pPr>
              <w:pStyle w:val="In-tableHeading"/>
              <w:jc w:val="center"/>
              <w:rPr>
                <w:lang w:val="en-AU"/>
              </w:rPr>
            </w:pPr>
            <w:r w:rsidRPr="00C80985">
              <w:rPr>
                <w:lang w:val="en-AU"/>
              </w:rPr>
              <w:t>Year 5</w:t>
            </w:r>
          </w:p>
        </w:tc>
        <w:tc>
          <w:tcPr>
            <w:tcW w:w="649" w:type="pct"/>
          </w:tcPr>
          <w:p w14:paraId="7C618119" w14:textId="77777777" w:rsidR="00385A9D" w:rsidRPr="00C80985" w:rsidRDefault="00385A9D" w:rsidP="00606FBA">
            <w:pPr>
              <w:pStyle w:val="In-tableHeading"/>
              <w:jc w:val="center"/>
              <w:rPr>
                <w:lang w:val="en-AU"/>
              </w:rPr>
            </w:pPr>
            <w:r w:rsidRPr="00C80985">
              <w:rPr>
                <w:lang w:val="en-AU"/>
              </w:rPr>
              <w:t>Year 6</w:t>
            </w:r>
          </w:p>
        </w:tc>
      </w:tr>
      <w:tr w:rsidR="007D00B1" w:rsidRPr="00C80985" w14:paraId="3C519059" w14:textId="77777777" w:rsidTr="005304E0">
        <w:tc>
          <w:tcPr>
            <w:tcW w:w="4997" w:type="pct"/>
            <w:gridSpan w:val="7"/>
            <w:shd w:val="clear" w:color="auto" w:fill="auto"/>
            <w:vAlign w:val="center"/>
          </w:tcPr>
          <w:p w14:paraId="516C2197" w14:textId="77777777" w:rsidR="00385A9D" w:rsidRPr="00C80985" w:rsidRDefault="00385A9D" w:rsidP="00606FBA">
            <w:pPr>
              <w:pStyle w:val="In-tableHeading"/>
              <w:rPr>
                <w:bCs/>
                <w:color w:val="000000"/>
                <w:lang w:val="en-AU"/>
              </w:rPr>
            </w:pPr>
            <w:r w:rsidRPr="00C80985">
              <w:rPr>
                <w:bCs/>
                <w:color w:val="000000"/>
                <w:lang w:val="en-AU"/>
              </w:rPr>
              <w:t>Estimated extent of use</w:t>
            </w:r>
          </w:p>
        </w:tc>
      </w:tr>
      <w:tr w:rsidR="00BF7E34" w:rsidRPr="00C80985" w14:paraId="5C1F189F" w14:textId="77777777" w:rsidTr="005304E0">
        <w:tc>
          <w:tcPr>
            <w:tcW w:w="1116" w:type="pct"/>
            <w:tcBorders>
              <w:bottom w:val="single" w:sz="4" w:space="0" w:color="auto"/>
            </w:tcBorders>
            <w:shd w:val="clear" w:color="auto" w:fill="auto"/>
            <w:vAlign w:val="center"/>
          </w:tcPr>
          <w:p w14:paraId="5871AE57" w14:textId="410BBE39" w:rsidR="005304E0" w:rsidRPr="00C80985" w:rsidRDefault="005304E0" w:rsidP="005304E0">
            <w:pPr>
              <w:pStyle w:val="TableText0"/>
            </w:pPr>
            <w:r w:rsidRPr="00C80985">
              <w:t>Eligible patients</w:t>
            </w:r>
          </w:p>
        </w:tc>
        <w:tc>
          <w:tcPr>
            <w:tcW w:w="647" w:type="pct"/>
            <w:tcBorders>
              <w:bottom w:val="single" w:sz="4" w:space="0" w:color="auto"/>
            </w:tcBorders>
            <w:shd w:val="clear" w:color="auto" w:fill="auto"/>
            <w:vAlign w:val="center"/>
          </w:tcPr>
          <w:p w14:paraId="1C3A373B" w14:textId="043C7F35" w:rsidR="005304E0" w:rsidRPr="00AC4021" w:rsidRDefault="00B85535" w:rsidP="005304E0">
            <w:pPr>
              <w:pStyle w:val="TableText0"/>
              <w:jc w:val="center"/>
              <w:rPr>
                <w:szCs w:val="20"/>
                <w:highlight w:val="yellow"/>
              </w:rPr>
            </w:pPr>
            <w:r w:rsidRPr="00AA723C">
              <w:rPr>
                <w:rFonts w:hint="eastAsia"/>
                <w:color w:val="000000"/>
                <w:w w:val="15"/>
                <w:szCs w:val="20"/>
                <w:shd w:val="solid" w:color="000000" w:fill="000000"/>
                <w:fitText w:val="10" w:id="-1500860413"/>
                <w14:textFill>
                  <w14:solidFill>
                    <w14:srgbClr w14:val="000000">
                      <w14:alpha w14:val="100000"/>
                    </w14:srgbClr>
                  </w14:solidFill>
                </w14:textFill>
              </w:rPr>
              <w:t xml:space="preserve">　</w:t>
            </w:r>
            <w:r w:rsidRPr="00AA723C">
              <w:rPr>
                <w:color w:val="000000"/>
                <w:w w:val="15"/>
                <w:szCs w:val="20"/>
                <w:shd w:val="solid" w:color="000000" w:fill="000000"/>
                <w:fitText w:val="10" w:id="-1500860413"/>
                <w14:textFill>
                  <w14:solidFill>
                    <w14:srgbClr w14:val="000000">
                      <w14:alpha w14:val="100000"/>
                    </w14:srgbClr>
                  </w14:solidFill>
                </w14:textFill>
              </w:rPr>
              <w:t>|</w:t>
            </w:r>
            <w:r w:rsidRPr="00AA723C">
              <w:rPr>
                <w:rFonts w:hint="eastAsia"/>
                <w:color w:val="000000"/>
                <w:spacing w:val="-56"/>
                <w:w w:val="15"/>
                <w:szCs w:val="20"/>
                <w:shd w:val="solid" w:color="000000" w:fill="000000"/>
                <w:fitText w:val="10" w:id="-1500860413"/>
                <w14:textFill>
                  <w14:solidFill>
                    <w14:srgbClr w14:val="000000">
                      <w14:alpha w14:val="100000"/>
                    </w14:srgbClr>
                  </w14:solidFill>
                </w14:textFill>
              </w:rPr>
              <w:t xml:space="preserve">　</w:t>
            </w:r>
            <w:r w:rsidR="00AC4021" w:rsidRPr="00AC4021">
              <w:rPr>
                <w:szCs w:val="20"/>
                <w:vertAlign w:val="superscript"/>
              </w:rPr>
              <w:t>1</w:t>
            </w:r>
          </w:p>
        </w:tc>
        <w:tc>
          <w:tcPr>
            <w:tcW w:w="647" w:type="pct"/>
            <w:tcBorders>
              <w:bottom w:val="single" w:sz="4" w:space="0" w:color="auto"/>
            </w:tcBorders>
            <w:shd w:val="clear" w:color="auto" w:fill="auto"/>
            <w:vAlign w:val="center"/>
          </w:tcPr>
          <w:p w14:paraId="006598B8" w14:textId="5E358DF9" w:rsidR="005304E0" w:rsidRPr="00BB5075" w:rsidRDefault="00B85535" w:rsidP="005304E0">
            <w:pPr>
              <w:pStyle w:val="TableText0"/>
              <w:jc w:val="center"/>
              <w:rPr>
                <w:szCs w:val="20"/>
                <w:highlight w:val="yellow"/>
              </w:rPr>
            </w:pPr>
            <w:r w:rsidRPr="00AA723C">
              <w:rPr>
                <w:rFonts w:hint="eastAsia"/>
                <w:color w:val="000000"/>
                <w:w w:val="15"/>
                <w:szCs w:val="20"/>
                <w:shd w:val="solid" w:color="000000" w:fill="000000"/>
                <w:fitText w:val="10" w:id="-1500860412"/>
                <w14:textFill>
                  <w14:solidFill>
                    <w14:srgbClr w14:val="000000">
                      <w14:alpha w14:val="100000"/>
                    </w14:srgbClr>
                  </w14:solidFill>
                </w14:textFill>
              </w:rPr>
              <w:t xml:space="preserve">　</w:t>
            </w:r>
            <w:r w:rsidRPr="00AA723C">
              <w:rPr>
                <w:color w:val="000000"/>
                <w:w w:val="15"/>
                <w:szCs w:val="20"/>
                <w:shd w:val="solid" w:color="000000" w:fill="000000"/>
                <w:fitText w:val="10" w:id="-1500860412"/>
                <w14:textFill>
                  <w14:solidFill>
                    <w14:srgbClr w14:val="000000">
                      <w14:alpha w14:val="100000"/>
                    </w14:srgbClr>
                  </w14:solidFill>
                </w14:textFill>
              </w:rPr>
              <w:t>|</w:t>
            </w:r>
            <w:r w:rsidRPr="00AA723C">
              <w:rPr>
                <w:rFonts w:hint="eastAsia"/>
                <w:color w:val="000000"/>
                <w:spacing w:val="-56"/>
                <w:w w:val="15"/>
                <w:szCs w:val="20"/>
                <w:shd w:val="solid" w:color="000000" w:fill="000000"/>
                <w:fitText w:val="10" w:id="-1500860412"/>
                <w14:textFill>
                  <w14:solidFill>
                    <w14:srgbClr w14:val="000000">
                      <w14:alpha w14:val="100000"/>
                    </w14:srgbClr>
                  </w14:solidFill>
                </w14:textFill>
              </w:rPr>
              <w:t xml:space="preserve">　</w:t>
            </w:r>
            <w:r w:rsidR="00AC4021" w:rsidRPr="00AC4021">
              <w:rPr>
                <w:szCs w:val="20"/>
                <w:vertAlign w:val="superscript"/>
              </w:rPr>
              <w:t>1</w:t>
            </w:r>
          </w:p>
        </w:tc>
        <w:tc>
          <w:tcPr>
            <w:tcW w:w="647" w:type="pct"/>
            <w:tcBorders>
              <w:bottom w:val="single" w:sz="4" w:space="0" w:color="auto"/>
            </w:tcBorders>
            <w:shd w:val="clear" w:color="auto" w:fill="auto"/>
            <w:vAlign w:val="center"/>
          </w:tcPr>
          <w:p w14:paraId="54A08CDB" w14:textId="5FEB011B" w:rsidR="005304E0" w:rsidRPr="00BB5075" w:rsidRDefault="00B85535" w:rsidP="005304E0">
            <w:pPr>
              <w:pStyle w:val="TableText0"/>
              <w:jc w:val="center"/>
              <w:rPr>
                <w:szCs w:val="20"/>
                <w:highlight w:val="yellow"/>
              </w:rPr>
            </w:pPr>
            <w:r w:rsidRPr="00AA723C">
              <w:rPr>
                <w:rFonts w:hint="eastAsia"/>
                <w:color w:val="000000"/>
                <w:w w:val="15"/>
                <w:szCs w:val="20"/>
                <w:shd w:val="solid" w:color="000000" w:fill="000000"/>
                <w:fitText w:val="10" w:id="-1500860411"/>
                <w14:textFill>
                  <w14:solidFill>
                    <w14:srgbClr w14:val="000000">
                      <w14:alpha w14:val="100000"/>
                    </w14:srgbClr>
                  </w14:solidFill>
                </w14:textFill>
              </w:rPr>
              <w:t xml:space="preserve">　</w:t>
            </w:r>
            <w:r w:rsidRPr="00AA723C">
              <w:rPr>
                <w:color w:val="000000"/>
                <w:w w:val="15"/>
                <w:szCs w:val="20"/>
                <w:shd w:val="solid" w:color="000000" w:fill="000000"/>
                <w:fitText w:val="10" w:id="-1500860411"/>
                <w14:textFill>
                  <w14:solidFill>
                    <w14:srgbClr w14:val="000000">
                      <w14:alpha w14:val="100000"/>
                    </w14:srgbClr>
                  </w14:solidFill>
                </w14:textFill>
              </w:rPr>
              <w:t>|</w:t>
            </w:r>
            <w:r w:rsidRPr="00AA723C">
              <w:rPr>
                <w:rFonts w:hint="eastAsia"/>
                <w:color w:val="000000"/>
                <w:spacing w:val="-56"/>
                <w:w w:val="15"/>
                <w:szCs w:val="20"/>
                <w:shd w:val="solid" w:color="000000" w:fill="000000"/>
                <w:fitText w:val="10" w:id="-1500860411"/>
                <w14:textFill>
                  <w14:solidFill>
                    <w14:srgbClr w14:val="000000">
                      <w14:alpha w14:val="100000"/>
                    </w14:srgbClr>
                  </w14:solidFill>
                </w14:textFill>
              </w:rPr>
              <w:t xml:space="preserve">　</w:t>
            </w:r>
            <w:r w:rsidR="00AC4021" w:rsidRPr="00AC4021">
              <w:rPr>
                <w:szCs w:val="20"/>
                <w:vertAlign w:val="superscript"/>
              </w:rPr>
              <w:t>1</w:t>
            </w:r>
          </w:p>
        </w:tc>
        <w:tc>
          <w:tcPr>
            <w:tcW w:w="647" w:type="pct"/>
            <w:tcBorders>
              <w:bottom w:val="single" w:sz="4" w:space="0" w:color="auto"/>
            </w:tcBorders>
            <w:shd w:val="clear" w:color="auto" w:fill="auto"/>
            <w:vAlign w:val="center"/>
          </w:tcPr>
          <w:p w14:paraId="2E488860" w14:textId="6B721E6A" w:rsidR="005304E0" w:rsidRPr="00BB5075" w:rsidRDefault="00B85535" w:rsidP="005304E0">
            <w:pPr>
              <w:pStyle w:val="TableText0"/>
              <w:jc w:val="center"/>
              <w:rPr>
                <w:szCs w:val="20"/>
                <w:highlight w:val="yellow"/>
              </w:rPr>
            </w:pPr>
            <w:r w:rsidRPr="00AA723C">
              <w:rPr>
                <w:rFonts w:hint="eastAsia"/>
                <w:color w:val="000000"/>
                <w:w w:val="15"/>
                <w:szCs w:val="20"/>
                <w:shd w:val="solid" w:color="000000" w:fill="000000"/>
                <w:fitText w:val="10" w:id="-1500860410"/>
                <w14:textFill>
                  <w14:solidFill>
                    <w14:srgbClr w14:val="000000">
                      <w14:alpha w14:val="100000"/>
                    </w14:srgbClr>
                  </w14:solidFill>
                </w14:textFill>
              </w:rPr>
              <w:t xml:space="preserve">　</w:t>
            </w:r>
            <w:r w:rsidRPr="00AA723C">
              <w:rPr>
                <w:color w:val="000000"/>
                <w:w w:val="15"/>
                <w:szCs w:val="20"/>
                <w:shd w:val="solid" w:color="000000" w:fill="000000"/>
                <w:fitText w:val="10" w:id="-1500860410"/>
                <w14:textFill>
                  <w14:solidFill>
                    <w14:srgbClr w14:val="000000">
                      <w14:alpha w14:val="100000"/>
                    </w14:srgbClr>
                  </w14:solidFill>
                </w14:textFill>
              </w:rPr>
              <w:t>|</w:t>
            </w:r>
            <w:r w:rsidRPr="00AA723C">
              <w:rPr>
                <w:rFonts w:hint="eastAsia"/>
                <w:color w:val="000000"/>
                <w:spacing w:val="-56"/>
                <w:w w:val="15"/>
                <w:szCs w:val="20"/>
                <w:shd w:val="solid" w:color="000000" w:fill="000000"/>
                <w:fitText w:val="10" w:id="-1500860410"/>
                <w14:textFill>
                  <w14:solidFill>
                    <w14:srgbClr w14:val="000000">
                      <w14:alpha w14:val="100000"/>
                    </w14:srgbClr>
                  </w14:solidFill>
                </w14:textFill>
              </w:rPr>
              <w:t xml:space="preserve">　</w:t>
            </w:r>
            <w:r w:rsidR="00AC4021" w:rsidRPr="00AC4021">
              <w:rPr>
                <w:szCs w:val="20"/>
                <w:vertAlign w:val="superscript"/>
              </w:rPr>
              <w:t>1</w:t>
            </w:r>
          </w:p>
        </w:tc>
        <w:tc>
          <w:tcPr>
            <w:tcW w:w="647" w:type="pct"/>
            <w:tcBorders>
              <w:bottom w:val="single" w:sz="4" w:space="0" w:color="auto"/>
            </w:tcBorders>
            <w:shd w:val="clear" w:color="auto" w:fill="auto"/>
            <w:vAlign w:val="center"/>
          </w:tcPr>
          <w:p w14:paraId="2FA4926F" w14:textId="73D14109" w:rsidR="005304E0" w:rsidRPr="00BB5075" w:rsidRDefault="00B85535" w:rsidP="005304E0">
            <w:pPr>
              <w:pStyle w:val="TableText0"/>
              <w:jc w:val="center"/>
              <w:rPr>
                <w:szCs w:val="20"/>
                <w:highlight w:val="yellow"/>
              </w:rPr>
            </w:pPr>
            <w:r w:rsidRPr="00AA723C">
              <w:rPr>
                <w:rFonts w:hint="eastAsia"/>
                <w:color w:val="000000"/>
                <w:w w:val="15"/>
                <w:szCs w:val="20"/>
                <w:shd w:val="solid" w:color="000000" w:fill="000000"/>
                <w:fitText w:val="10" w:id="-1500860409"/>
                <w14:textFill>
                  <w14:solidFill>
                    <w14:srgbClr w14:val="000000">
                      <w14:alpha w14:val="100000"/>
                    </w14:srgbClr>
                  </w14:solidFill>
                </w14:textFill>
              </w:rPr>
              <w:t xml:space="preserve">　</w:t>
            </w:r>
            <w:r w:rsidRPr="00AA723C">
              <w:rPr>
                <w:color w:val="000000"/>
                <w:w w:val="15"/>
                <w:szCs w:val="20"/>
                <w:shd w:val="solid" w:color="000000" w:fill="000000"/>
                <w:fitText w:val="10" w:id="-1500860409"/>
                <w14:textFill>
                  <w14:solidFill>
                    <w14:srgbClr w14:val="000000">
                      <w14:alpha w14:val="100000"/>
                    </w14:srgbClr>
                  </w14:solidFill>
                </w14:textFill>
              </w:rPr>
              <w:t>|</w:t>
            </w:r>
            <w:r w:rsidRPr="00AA723C">
              <w:rPr>
                <w:rFonts w:hint="eastAsia"/>
                <w:color w:val="000000"/>
                <w:spacing w:val="-56"/>
                <w:w w:val="15"/>
                <w:szCs w:val="20"/>
                <w:shd w:val="solid" w:color="000000" w:fill="000000"/>
                <w:fitText w:val="10" w:id="-1500860409"/>
                <w14:textFill>
                  <w14:solidFill>
                    <w14:srgbClr w14:val="000000">
                      <w14:alpha w14:val="100000"/>
                    </w14:srgbClr>
                  </w14:solidFill>
                </w14:textFill>
              </w:rPr>
              <w:t xml:space="preserve">　</w:t>
            </w:r>
            <w:r w:rsidR="00AC4021" w:rsidRPr="00AC4021">
              <w:rPr>
                <w:szCs w:val="20"/>
                <w:vertAlign w:val="superscript"/>
              </w:rPr>
              <w:t>1</w:t>
            </w:r>
          </w:p>
        </w:tc>
        <w:tc>
          <w:tcPr>
            <w:tcW w:w="652" w:type="pct"/>
            <w:tcBorders>
              <w:bottom w:val="single" w:sz="4" w:space="0" w:color="auto"/>
            </w:tcBorders>
            <w:vAlign w:val="center"/>
          </w:tcPr>
          <w:p w14:paraId="579271B5" w14:textId="3906894E" w:rsidR="005304E0" w:rsidRPr="00BB5075" w:rsidRDefault="00B85535" w:rsidP="005304E0">
            <w:pPr>
              <w:pStyle w:val="TableText0"/>
              <w:jc w:val="center"/>
              <w:rPr>
                <w:szCs w:val="20"/>
                <w:highlight w:val="yellow"/>
              </w:rPr>
            </w:pPr>
            <w:r w:rsidRPr="00AA723C">
              <w:rPr>
                <w:rFonts w:hint="eastAsia"/>
                <w:color w:val="000000"/>
                <w:w w:val="15"/>
                <w:szCs w:val="20"/>
                <w:shd w:val="solid" w:color="000000" w:fill="000000"/>
                <w:fitText w:val="20" w:id="-1500860408"/>
                <w14:textFill>
                  <w14:solidFill>
                    <w14:srgbClr w14:val="000000">
                      <w14:alpha w14:val="100000"/>
                    </w14:srgbClr>
                  </w14:solidFill>
                </w14:textFill>
              </w:rPr>
              <w:t xml:space="preserve">　</w:t>
            </w:r>
            <w:r w:rsidRPr="00AA723C">
              <w:rPr>
                <w:color w:val="000000"/>
                <w:w w:val="15"/>
                <w:szCs w:val="20"/>
                <w:shd w:val="solid" w:color="000000" w:fill="000000"/>
                <w:fitText w:val="20" w:id="-1500860408"/>
                <w14:textFill>
                  <w14:solidFill>
                    <w14:srgbClr w14:val="000000">
                      <w14:alpha w14:val="100000"/>
                    </w14:srgbClr>
                  </w14:solidFill>
                </w14:textFill>
              </w:rPr>
              <w:t>|</w:t>
            </w:r>
            <w:r w:rsidRPr="00AA723C">
              <w:rPr>
                <w:rFonts w:hint="eastAsia"/>
                <w:color w:val="000000"/>
                <w:spacing w:val="-46"/>
                <w:w w:val="15"/>
                <w:szCs w:val="20"/>
                <w:shd w:val="solid" w:color="000000" w:fill="000000"/>
                <w:fitText w:val="20" w:id="-1500860408"/>
                <w14:textFill>
                  <w14:solidFill>
                    <w14:srgbClr w14:val="000000">
                      <w14:alpha w14:val="100000"/>
                    </w14:srgbClr>
                  </w14:solidFill>
                </w14:textFill>
              </w:rPr>
              <w:t xml:space="preserve">　</w:t>
            </w:r>
            <w:r w:rsidR="00AC4021" w:rsidRPr="00AC4021">
              <w:rPr>
                <w:szCs w:val="20"/>
                <w:vertAlign w:val="superscript"/>
              </w:rPr>
              <w:t>1</w:t>
            </w:r>
          </w:p>
        </w:tc>
      </w:tr>
      <w:tr w:rsidR="00BF7E34" w:rsidRPr="00C80985" w14:paraId="148A8EEF" w14:textId="77777777" w:rsidTr="003A666B">
        <w:tc>
          <w:tcPr>
            <w:tcW w:w="1116" w:type="pct"/>
            <w:tcBorders>
              <w:bottom w:val="single" w:sz="4" w:space="0" w:color="auto"/>
            </w:tcBorders>
            <w:shd w:val="clear" w:color="auto" w:fill="auto"/>
            <w:vAlign w:val="center"/>
          </w:tcPr>
          <w:p w14:paraId="201B6ECA" w14:textId="37A9FAA5" w:rsidR="000B51DE" w:rsidRPr="00C80985" w:rsidRDefault="000B51DE" w:rsidP="000B51DE">
            <w:pPr>
              <w:pStyle w:val="TableText0"/>
              <w:rPr>
                <w:rFonts w:ascii="Times" w:hAnsi="Times"/>
              </w:rPr>
            </w:pPr>
            <w:r w:rsidRPr="00C80985">
              <w:t>Number of patients initiated</w:t>
            </w:r>
          </w:p>
        </w:tc>
        <w:tc>
          <w:tcPr>
            <w:tcW w:w="647" w:type="pct"/>
            <w:tcBorders>
              <w:bottom w:val="single" w:sz="4" w:space="0" w:color="auto"/>
            </w:tcBorders>
            <w:shd w:val="clear" w:color="auto" w:fill="auto"/>
            <w:vAlign w:val="center"/>
          </w:tcPr>
          <w:p w14:paraId="577607A9" w14:textId="6F020F93" w:rsidR="000B51DE" w:rsidRPr="00AC4021" w:rsidRDefault="00B85535" w:rsidP="000B51DE">
            <w:pPr>
              <w:pStyle w:val="TableText0"/>
              <w:jc w:val="center"/>
              <w:rPr>
                <w:color w:val="000000"/>
                <w:highlight w:val="yellow"/>
                <w:vertAlign w:val="superscript"/>
              </w:rPr>
            </w:pPr>
            <w:r w:rsidRPr="00AA723C">
              <w:rPr>
                <w:rFonts w:hint="eastAsia"/>
                <w:color w:val="000000"/>
                <w:w w:val="15"/>
                <w:szCs w:val="20"/>
                <w:shd w:val="solid" w:color="000000" w:fill="000000"/>
                <w:fitText w:val="10" w:id="-1500860407"/>
                <w14:textFill>
                  <w14:solidFill>
                    <w14:srgbClr w14:val="000000">
                      <w14:alpha w14:val="100000"/>
                    </w14:srgbClr>
                  </w14:solidFill>
                </w14:textFill>
              </w:rPr>
              <w:t xml:space="preserve">　</w:t>
            </w:r>
            <w:r w:rsidRPr="00AA723C">
              <w:rPr>
                <w:color w:val="000000"/>
                <w:w w:val="15"/>
                <w:szCs w:val="20"/>
                <w:shd w:val="solid" w:color="000000" w:fill="000000"/>
                <w:fitText w:val="10" w:id="-1500860407"/>
                <w14:textFill>
                  <w14:solidFill>
                    <w14:srgbClr w14:val="000000">
                      <w14:alpha w14:val="100000"/>
                    </w14:srgbClr>
                  </w14:solidFill>
                </w14:textFill>
              </w:rPr>
              <w:t>|</w:t>
            </w:r>
            <w:r w:rsidRPr="00AA723C">
              <w:rPr>
                <w:rFonts w:hint="eastAsia"/>
                <w:color w:val="000000"/>
                <w:spacing w:val="-56"/>
                <w:w w:val="15"/>
                <w:szCs w:val="20"/>
                <w:shd w:val="solid" w:color="000000" w:fill="000000"/>
                <w:fitText w:val="10" w:id="-1500860407"/>
                <w14:textFill>
                  <w14:solidFill>
                    <w14:srgbClr w14:val="000000">
                      <w14:alpha w14:val="100000"/>
                    </w14:srgbClr>
                  </w14:solidFill>
                </w14:textFill>
              </w:rPr>
              <w:t xml:space="preserve">　</w:t>
            </w:r>
            <w:r w:rsidR="00AC4021" w:rsidRPr="00AC4021">
              <w:rPr>
                <w:szCs w:val="20"/>
                <w:vertAlign w:val="superscript"/>
              </w:rPr>
              <w:t>2</w:t>
            </w:r>
          </w:p>
        </w:tc>
        <w:tc>
          <w:tcPr>
            <w:tcW w:w="647" w:type="pct"/>
            <w:tcBorders>
              <w:bottom w:val="single" w:sz="4" w:space="0" w:color="auto"/>
            </w:tcBorders>
            <w:shd w:val="clear" w:color="auto" w:fill="auto"/>
            <w:vAlign w:val="center"/>
          </w:tcPr>
          <w:p w14:paraId="6610B4C9" w14:textId="2E79BF15" w:rsidR="000B51DE" w:rsidRPr="00BB5075" w:rsidRDefault="00B85535" w:rsidP="000B51DE">
            <w:pPr>
              <w:pStyle w:val="TableText0"/>
              <w:jc w:val="center"/>
              <w:rPr>
                <w:color w:val="000000"/>
                <w:highlight w:val="yellow"/>
              </w:rPr>
            </w:pPr>
            <w:r w:rsidRPr="00AA723C">
              <w:rPr>
                <w:rFonts w:hint="eastAsia"/>
                <w:color w:val="000000"/>
                <w:w w:val="15"/>
                <w:szCs w:val="20"/>
                <w:shd w:val="solid" w:color="000000" w:fill="000000"/>
                <w:fitText w:val="10" w:id="-1500860406"/>
                <w14:textFill>
                  <w14:solidFill>
                    <w14:srgbClr w14:val="000000">
                      <w14:alpha w14:val="100000"/>
                    </w14:srgbClr>
                  </w14:solidFill>
                </w14:textFill>
              </w:rPr>
              <w:t xml:space="preserve">　</w:t>
            </w:r>
            <w:r w:rsidRPr="00AA723C">
              <w:rPr>
                <w:color w:val="000000"/>
                <w:w w:val="15"/>
                <w:szCs w:val="20"/>
                <w:shd w:val="solid" w:color="000000" w:fill="000000"/>
                <w:fitText w:val="10" w:id="-1500860406"/>
                <w14:textFill>
                  <w14:solidFill>
                    <w14:srgbClr w14:val="000000">
                      <w14:alpha w14:val="100000"/>
                    </w14:srgbClr>
                  </w14:solidFill>
                </w14:textFill>
              </w:rPr>
              <w:t>|</w:t>
            </w:r>
            <w:r w:rsidRPr="00AA723C">
              <w:rPr>
                <w:rFonts w:hint="eastAsia"/>
                <w:color w:val="000000"/>
                <w:spacing w:val="-56"/>
                <w:w w:val="15"/>
                <w:szCs w:val="20"/>
                <w:shd w:val="solid" w:color="000000" w:fill="000000"/>
                <w:fitText w:val="10" w:id="-1500860406"/>
                <w14:textFill>
                  <w14:solidFill>
                    <w14:srgbClr w14:val="000000">
                      <w14:alpha w14:val="100000"/>
                    </w14:srgbClr>
                  </w14:solidFill>
                </w14:textFill>
              </w:rPr>
              <w:t xml:space="preserve">　</w:t>
            </w:r>
            <w:r w:rsidR="00AC4021" w:rsidRPr="00AC4021">
              <w:rPr>
                <w:szCs w:val="20"/>
                <w:vertAlign w:val="superscript"/>
              </w:rPr>
              <w:t>2</w:t>
            </w:r>
          </w:p>
        </w:tc>
        <w:tc>
          <w:tcPr>
            <w:tcW w:w="647" w:type="pct"/>
            <w:tcBorders>
              <w:bottom w:val="single" w:sz="4" w:space="0" w:color="auto"/>
            </w:tcBorders>
            <w:shd w:val="clear" w:color="auto" w:fill="auto"/>
            <w:vAlign w:val="center"/>
          </w:tcPr>
          <w:p w14:paraId="29F46D6B" w14:textId="02A54140" w:rsidR="000B51DE" w:rsidRPr="00BB5075" w:rsidRDefault="00B85535" w:rsidP="000B51DE">
            <w:pPr>
              <w:pStyle w:val="TableText0"/>
              <w:jc w:val="center"/>
              <w:rPr>
                <w:color w:val="000000"/>
                <w:highlight w:val="yellow"/>
              </w:rPr>
            </w:pPr>
            <w:r w:rsidRPr="00AA723C">
              <w:rPr>
                <w:rFonts w:hint="eastAsia"/>
                <w:color w:val="000000"/>
                <w:w w:val="15"/>
                <w:szCs w:val="20"/>
                <w:shd w:val="solid" w:color="000000" w:fill="000000"/>
                <w:fitText w:val="10" w:id="-1500860405"/>
                <w14:textFill>
                  <w14:solidFill>
                    <w14:srgbClr w14:val="000000">
                      <w14:alpha w14:val="100000"/>
                    </w14:srgbClr>
                  </w14:solidFill>
                </w14:textFill>
              </w:rPr>
              <w:t xml:space="preserve">　</w:t>
            </w:r>
            <w:r w:rsidRPr="00AA723C">
              <w:rPr>
                <w:color w:val="000000"/>
                <w:w w:val="15"/>
                <w:szCs w:val="20"/>
                <w:shd w:val="solid" w:color="000000" w:fill="000000"/>
                <w:fitText w:val="10" w:id="-1500860405"/>
                <w14:textFill>
                  <w14:solidFill>
                    <w14:srgbClr w14:val="000000">
                      <w14:alpha w14:val="100000"/>
                    </w14:srgbClr>
                  </w14:solidFill>
                </w14:textFill>
              </w:rPr>
              <w:t>|</w:t>
            </w:r>
            <w:r w:rsidRPr="00AA723C">
              <w:rPr>
                <w:rFonts w:hint="eastAsia"/>
                <w:color w:val="000000"/>
                <w:spacing w:val="-56"/>
                <w:w w:val="15"/>
                <w:szCs w:val="20"/>
                <w:shd w:val="solid" w:color="000000" w:fill="000000"/>
                <w:fitText w:val="10" w:id="-1500860405"/>
                <w14:textFill>
                  <w14:solidFill>
                    <w14:srgbClr w14:val="000000">
                      <w14:alpha w14:val="100000"/>
                    </w14:srgbClr>
                  </w14:solidFill>
                </w14:textFill>
              </w:rPr>
              <w:t xml:space="preserve">　</w:t>
            </w:r>
            <w:r w:rsidR="003E6AEB" w:rsidRPr="003E6AEB">
              <w:rPr>
                <w:color w:val="000000"/>
                <w:szCs w:val="20"/>
                <w:vertAlign w:val="superscript"/>
              </w:rPr>
              <w:t>3</w:t>
            </w:r>
          </w:p>
        </w:tc>
        <w:tc>
          <w:tcPr>
            <w:tcW w:w="647" w:type="pct"/>
            <w:tcBorders>
              <w:bottom w:val="single" w:sz="4" w:space="0" w:color="auto"/>
            </w:tcBorders>
            <w:shd w:val="clear" w:color="auto" w:fill="auto"/>
            <w:vAlign w:val="center"/>
          </w:tcPr>
          <w:p w14:paraId="21167904" w14:textId="135B4506" w:rsidR="000B51DE" w:rsidRPr="00BB5075" w:rsidRDefault="00B85535" w:rsidP="000B51DE">
            <w:pPr>
              <w:pStyle w:val="TableText0"/>
              <w:jc w:val="center"/>
              <w:rPr>
                <w:color w:val="000000"/>
                <w:highlight w:val="yellow"/>
              </w:rPr>
            </w:pPr>
            <w:r w:rsidRPr="00AA723C">
              <w:rPr>
                <w:rFonts w:hint="eastAsia"/>
                <w:color w:val="000000"/>
                <w:w w:val="15"/>
                <w:szCs w:val="20"/>
                <w:shd w:val="solid" w:color="000000" w:fill="000000"/>
                <w:fitText w:val="10" w:id="-1500860404"/>
                <w14:textFill>
                  <w14:solidFill>
                    <w14:srgbClr w14:val="000000">
                      <w14:alpha w14:val="100000"/>
                    </w14:srgbClr>
                  </w14:solidFill>
                </w14:textFill>
              </w:rPr>
              <w:t xml:space="preserve">　</w:t>
            </w:r>
            <w:r w:rsidRPr="00AA723C">
              <w:rPr>
                <w:color w:val="000000"/>
                <w:w w:val="15"/>
                <w:szCs w:val="20"/>
                <w:shd w:val="solid" w:color="000000" w:fill="000000"/>
                <w:fitText w:val="10" w:id="-1500860404"/>
                <w14:textFill>
                  <w14:solidFill>
                    <w14:srgbClr w14:val="000000">
                      <w14:alpha w14:val="100000"/>
                    </w14:srgbClr>
                  </w14:solidFill>
                </w14:textFill>
              </w:rPr>
              <w:t>|</w:t>
            </w:r>
            <w:r w:rsidRPr="00AA723C">
              <w:rPr>
                <w:rFonts w:hint="eastAsia"/>
                <w:color w:val="000000"/>
                <w:spacing w:val="-56"/>
                <w:w w:val="15"/>
                <w:szCs w:val="20"/>
                <w:shd w:val="solid" w:color="000000" w:fill="000000"/>
                <w:fitText w:val="10" w:id="-1500860404"/>
                <w14:textFill>
                  <w14:solidFill>
                    <w14:srgbClr w14:val="000000">
                      <w14:alpha w14:val="100000"/>
                    </w14:srgbClr>
                  </w14:solidFill>
                </w14:textFill>
              </w:rPr>
              <w:t xml:space="preserve">　</w:t>
            </w:r>
            <w:r w:rsidR="003E6AEB" w:rsidRPr="003E6AEB">
              <w:rPr>
                <w:color w:val="000000"/>
                <w:szCs w:val="20"/>
                <w:vertAlign w:val="superscript"/>
              </w:rPr>
              <w:t>3</w:t>
            </w:r>
          </w:p>
        </w:tc>
        <w:tc>
          <w:tcPr>
            <w:tcW w:w="647" w:type="pct"/>
            <w:tcBorders>
              <w:bottom w:val="single" w:sz="4" w:space="0" w:color="auto"/>
            </w:tcBorders>
            <w:shd w:val="clear" w:color="auto" w:fill="auto"/>
            <w:vAlign w:val="center"/>
          </w:tcPr>
          <w:p w14:paraId="762D4B71" w14:textId="548E0B22" w:rsidR="000B51DE" w:rsidRPr="00BB5075" w:rsidRDefault="00B85535" w:rsidP="000B51DE">
            <w:pPr>
              <w:pStyle w:val="TableText0"/>
              <w:jc w:val="center"/>
              <w:rPr>
                <w:color w:val="000000"/>
                <w:highlight w:val="yellow"/>
              </w:rPr>
            </w:pPr>
            <w:r w:rsidRPr="00AA723C">
              <w:rPr>
                <w:rFonts w:hint="eastAsia"/>
                <w:color w:val="000000"/>
                <w:w w:val="15"/>
                <w:szCs w:val="20"/>
                <w:shd w:val="solid" w:color="000000" w:fill="000000"/>
                <w:fitText w:val="10" w:id="-1500860403"/>
                <w14:textFill>
                  <w14:solidFill>
                    <w14:srgbClr w14:val="000000">
                      <w14:alpha w14:val="100000"/>
                    </w14:srgbClr>
                  </w14:solidFill>
                </w14:textFill>
              </w:rPr>
              <w:t xml:space="preserve">　</w:t>
            </w:r>
            <w:r w:rsidRPr="00AA723C">
              <w:rPr>
                <w:color w:val="000000"/>
                <w:w w:val="15"/>
                <w:szCs w:val="20"/>
                <w:shd w:val="solid" w:color="000000" w:fill="000000"/>
                <w:fitText w:val="10" w:id="-1500860403"/>
                <w14:textFill>
                  <w14:solidFill>
                    <w14:srgbClr w14:val="000000">
                      <w14:alpha w14:val="100000"/>
                    </w14:srgbClr>
                  </w14:solidFill>
                </w14:textFill>
              </w:rPr>
              <w:t>|</w:t>
            </w:r>
            <w:r w:rsidRPr="00AA723C">
              <w:rPr>
                <w:rFonts w:hint="eastAsia"/>
                <w:color w:val="000000"/>
                <w:spacing w:val="-56"/>
                <w:w w:val="15"/>
                <w:szCs w:val="20"/>
                <w:shd w:val="solid" w:color="000000" w:fill="000000"/>
                <w:fitText w:val="10" w:id="-1500860403"/>
                <w14:textFill>
                  <w14:solidFill>
                    <w14:srgbClr w14:val="000000">
                      <w14:alpha w14:val="100000"/>
                    </w14:srgbClr>
                  </w14:solidFill>
                </w14:textFill>
              </w:rPr>
              <w:t xml:space="preserve">　</w:t>
            </w:r>
            <w:r w:rsidR="003E6AEB" w:rsidRPr="003E6AEB">
              <w:rPr>
                <w:color w:val="000000"/>
                <w:szCs w:val="20"/>
                <w:vertAlign w:val="superscript"/>
              </w:rPr>
              <w:t>3</w:t>
            </w:r>
          </w:p>
        </w:tc>
        <w:tc>
          <w:tcPr>
            <w:tcW w:w="649" w:type="pct"/>
            <w:tcBorders>
              <w:bottom w:val="single" w:sz="4" w:space="0" w:color="auto"/>
            </w:tcBorders>
            <w:vAlign w:val="center"/>
          </w:tcPr>
          <w:p w14:paraId="42B428B5" w14:textId="03ABB7E5" w:rsidR="000B51DE" w:rsidRPr="00BB5075" w:rsidRDefault="00B85535" w:rsidP="000B51DE">
            <w:pPr>
              <w:pStyle w:val="TableText0"/>
              <w:jc w:val="center"/>
              <w:rPr>
                <w:color w:val="000000"/>
                <w:highlight w:val="yellow"/>
              </w:rPr>
            </w:pPr>
            <w:r w:rsidRPr="00AA723C">
              <w:rPr>
                <w:rFonts w:hint="eastAsia"/>
                <w:color w:val="000000"/>
                <w:w w:val="15"/>
                <w:szCs w:val="20"/>
                <w:shd w:val="solid" w:color="000000" w:fill="000000"/>
                <w:fitText w:val="20" w:id="-1500860402"/>
                <w14:textFill>
                  <w14:solidFill>
                    <w14:srgbClr w14:val="000000">
                      <w14:alpha w14:val="100000"/>
                    </w14:srgbClr>
                  </w14:solidFill>
                </w14:textFill>
              </w:rPr>
              <w:t xml:space="preserve">　</w:t>
            </w:r>
            <w:r w:rsidRPr="00AA723C">
              <w:rPr>
                <w:color w:val="000000"/>
                <w:w w:val="15"/>
                <w:szCs w:val="20"/>
                <w:shd w:val="solid" w:color="000000" w:fill="000000"/>
                <w:fitText w:val="20" w:id="-1500860402"/>
                <w14:textFill>
                  <w14:solidFill>
                    <w14:srgbClr w14:val="000000">
                      <w14:alpha w14:val="100000"/>
                    </w14:srgbClr>
                  </w14:solidFill>
                </w14:textFill>
              </w:rPr>
              <w:t>|</w:t>
            </w:r>
            <w:r w:rsidRPr="00AA723C">
              <w:rPr>
                <w:rFonts w:hint="eastAsia"/>
                <w:color w:val="000000"/>
                <w:spacing w:val="-46"/>
                <w:w w:val="15"/>
                <w:szCs w:val="20"/>
                <w:shd w:val="solid" w:color="000000" w:fill="000000"/>
                <w:fitText w:val="20" w:id="-1500860402"/>
                <w14:textFill>
                  <w14:solidFill>
                    <w14:srgbClr w14:val="000000">
                      <w14:alpha w14:val="100000"/>
                    </w14:srgbClr>
                  </w14:solidFill>
                </w14:textFill>
              </w:rPr>
              <w:t xml:space="preserve">　</w:t>
            </w:r>
            <w:r w:rsidR="003E6AEB" w:rsidRPr="003E6AEB">
              <w:rPr>
                <w:color w:val="000000"/>
                <w:szCs w:val="20"/>
                <w:vertAlign w:val="superscript"/>
              </w:rPr>
              <w:t>3</w:t>
            </w:r>
          </w:p>
        </w:tc>
      </w:tr>
      <w:tr w:rsidR="007D00B1" w:rsidRPr="00C80985" w14:paraId="2529659F" w14:textId="77777777" w:rsidTr="003A666B">
        <w:tc>
          <w:tcPr>
            <w:tcW w:w="1116" w:type="pct"/>
            <w:shd w:val="clear" w:color="auto" w:fill="95B3D7" w:themeFill="accent1" w:themeFillTint="99"/>
          </w:tcPr>
          <w:p w14:paraId="29E6A86E" w14:textId="201DD38D" w:rsidR="003A666B" w:rsidRPr="00C80985" w:rsidRDefault="003A666B" w:rsidP="003A666B">
            <w:pPr>
              <w:pStyle w:val="TableText0"/>
            </w:pPr>
            <w:r w:rsidRPr="00C80985">
              <w:rPr>
                <w:szCs w:val="20"/>
              </w:rPr>
              <w:t>Nov 2020 initiators</w:t>
            </w:r>
            <w:r w:rsidR="0091392C">
              <w:rPr>
                <w:szCs w:val="20"/>
              </w:rPr>
              <w:t xml:space="preserve"> for adults and adolescents</w:t>
            </w:r>
          </w:p>
        </w:tc>
        <w:tc>
          <w:tcPr>
            <w:tcW w:w="647" w:type="pct"/>
            <w:shd w:val="clear" w:color="auto" w:fill="95B3D7" w:themeFill="accent1" w:themeFillTint="99"/>
            <w:vAlign w:val="center"/>
          </w:tcPr>
          <w:p w14:paraId="10D85064" w14:textId="523CD3B3" w:rsidR="003A666B" w:rsidRPr="00AC4021" w:rsidRDefault="00B85535" w:rsidP="003A666B">
            <w:pPr>
              <w:pStyle w:val="TableText0"/>
              <w:jc w:val="center"/>
              <w:rPr>
                <w:szCs w:val="20"/>
                <w:highlight w:val="yellow"/>
                <w:vertAlign w:val="superscript"/>
              </w:rPr>
            </w:pPr>
            <w:r w:rsidRPr="00AA723C">
              <w:rPr>
                <w:rFonts w:cs="Calibri" w:hint="eastAsia"/>
                <w:color w:val="000000"/>
                <w:w w:val="15"/>
                <w:szCs w:val="20"/>
                <w:shd w:val="solid" w:color="000000" w:fill="000000"/>
                <w:fitText w:val="10" w:id="-1500860401"/>
                <w14:textFill>
                  <w14:solidFill>
                    <w14:srgbClr w14:val="000000">
                      <w14:alpha w14:val="100000"/>
                    </w14:srgbClr>
                  </w14:solidFill>
                </w14:textFill>
              </w:rPr>
              <w:t xml:space="preserve">　</w:t>
            </w:r>
            <w:r w:rsidRPr="00AA723C">
              <w:rPr>
                <w:rFonts w:cs="Calibri"/>
                <w:color w:val="000000"/>
                <w:w w:val="15"/>
                <w:szCs w:val="20"/>
                <w:shd w:val="solid" w:color="000000" w:fill="000000"/>
                <w:fitText w:val="10" w:id="-1500860401"/>
                <w14:textFill>
                  <w14:solidFill>
                    <w14:srgbClr w14:val="000000">
                      <w14:alpha w14:val="100000"/>
                    </w14:srgbClr>
                  </w14:solidFill>
                </w14:textFill>
              </w:rPr>
              <w:t>|</w:t>
            </w:r>
            <w:r w:rsidRPr="00AA723C">
              <w:rPr>
                <w:rFonts w:cs="Calibri" w:hint="eastAsia"/>
                <w:color w:val="000000"/>
                <w:spacing w:val="-56"/>
                <w:w w:val="15"/>
                <w:szCs w:val="20"/>
                <w:shd w:val="solid" w:color="000000" w:fill="000000"/>
                <w:fitText w:val="10" w:id="-1500860401"/>
                <w14:textFill>
                  <w14:solidFill>
                    <w14:srgbClr w14:val="000000">
                      <w14:alpha w14:val="100000"/>
                    </w14:srgbClr>
                  </w14:solidFill>
                </w14:textFill>
              </w:rPr>
              <w:t xml:space="preserve">　</w:t>
            </w:r>
            <w:r w:rsidR="00AC4021" w:rsidRPr="00AC4021">
              <w:rPr>
                <w:rFonts w:cs="Calibri"/>
                <w:color w:val="000000"/>
                <w:szCs w:val="20"/>
                <w:vertAlign w:val="superscript"/>
              </w:rPr>
              <w:t>2</w:t>
            </w:r>
          </w:p>
        </w:tc>
        <w:tc>
          <w:tcPr>
            <w:tcW w:w="647" w:type="pct"/>
            <w:shd w:val="clear" w:color="auto" w:fill="95B3D7" w:themeFill="accent1" w:themeFillTint="99"/>
            <w:vAlign w:val="center"/>
          </w:tcPr>
          <w:p w14:paraId="5590CA4B" w14:textId="25FE8472" w:rsidR="003A666B" w:rsidRPr="00BB5075" w:rsidRDefault="00B85535" w:rsidP="003A666B">
            <w:pPr>
              <w:pStyle w:val="TableText0"/>
              <w:jc w:val="center"/>
              <w:rPr>
                <w:szCs w:val="20"/>
                <w:highlight w:val="yellow"/>
              </w:rPr>
            </w:pPr>
            <w:r w:rsidRPr="00AA723C">
              <w:rPr>
                <w:rFonts w:cs="Calibri" w:hint="eastAsia"/>
                <w:color w:val="000000"/>
                <w:w w:val="15"/>
                <w:szCs w:val="20"/>
                <w:shd w:val="solid" w:color="000000" w:fill="000000"/>
                <w:fitText w:val="10" w:id="-1500860400"/>
                <w14:textFill>
                  <w14:solidFill>
                    <w14:srgbClr w14:val="000000">
                      <w14:alpha w14:val="100000"/>
                    </w14:srgbClr>
                  </w14:solidFill>
                </w14:textFill>
              </w:rPr>
              <w:t xml:space="preserve">　</w:t>
            </w:r>
            <w:r w:rsidRPr="00AA723C">
              <w:rPr>
                <w:rFonts w:cs="Calibri"/>
                <w:color w:val="000000"/>
                <w:w w:val="15"/>
                <w:szCs w:val="20"/>
                <w:shd w:val="solid" w:color="000000" w:fill="000000"/>
                <w:fitText w:val="10" w:id="-1500860400"/>
                <w14:textFill>
                  <w14:solidFill>
                    <w14:srgbClr w14:val="000000">
                      <w14:alpha w14:val="100000"/>
                    </w14:srgbClr>
                  </w14:solidFill>
                </w14:textFill>
              </w:rPr>
              <w:t>|</w:t>
            </w:r>
            <w:r w:rsidRPr="00AA723C">
              <w:rPr>
                <w:rFonts w:cs="Calibri" w:hint="eastAsia"/>
                <w:color w:val="000000"/>
                <w:spacing w:val="-56"/>
                <w:w w:val="15"/>
                <w:szCs w:val="20"/>
                <w:shd w:val="solid" w:color="000000" w:fill="000000"/>
                <w:fitText w:val="10" w:id="-1500860400"/>
                <w14:textFill>
                  <w14:solidFill>
                    <w14:srgbClr w14:val="000000">
                      <w14:alpha w14:val="100000"/>
                    </w14:srgbClr>
                  </w14:solidFill>
                </w14:textFill>
              </w:rPr>
              <w:t xml:space="preserve">　</w:t>
            </w:r>
            <w:r w:rsidR="00AC4021" w:rsidRPr="00AC4021">
              <w:rPr>
                <w:szCs w:val="20"/>
                <w:vertAlign w:val="superscript"/>
              </w:rPr>
              <w:t>2</w:t>
            </w:r>
          </w:p>
        </w:tc>
        <w:tc>
          <w:tcPr>
            <w:tcW w:w="647" w:type="pct"/>
            <w:shd w:val="clear" w:color="auto" w:fill="95B3D7" w:themeFill="accent1" w:themeFillTint="99"/>
            <w:vAlign w:val="center"/>
          </w:tcPr>
          <w:p w14:paraId="2EAD8167" w14:textId="39F65232" w:rsidR="003A666B" w:rsidRPr="00BB5075" w:rsidRDefault="00B85535" w:rsidP="003A666B">
            <w:pPr>
              <w:pStyle w:val="TableText0"/>
              <w:jc w:val="center"/>
              <w:rPr>
                <w:szCs w:val="20"/>
                <w:highlight w:val="yellow"/>
              </w:rPr>
            </w:pPr>
            <w:r w:rsidRPr="00AA723C">
              <w:rPr>
                <w:rFonts w:cs="Calibri" w:hint="eastAsia"/>
                <w:color w:val="000000"/>
                <w:w w:val="15"/>
                <w:szCs w:val="20"/>
                <w:shd w:val="solid" w:color="000000" w:fill="000000"/>
                <w:fitText w:val="10" w:id="-1500860416"/>
                <w14:textFill>
                  <w14:solidFill>
                    <w14:srgbClr w14:val="000000">
                      <w14:alpha w14:val="100000"/>
                    </w14:srgbClr>
                  </w14:solidFill>
                </w14:textFill>
              </w:rPr>
              <w:t xml:space="preserve">　</w:t>
            </w:r>
            <w:r w:rsidRPr="00AA723C">
              <w:rPr>
                <w:rFonts w:cs="Calibri"/>
                <w:color w:val="000000"/>
                <w:w w:val="15"/>
                <w:szCs w:val="20"/>
                <w:shd w:val="solid" w:color="000000" w:fill="000000"/>
                <w:fitText w:val="10" w:id="-1500860416"/>
                <w14:textFill>
                  <w14:solidFill>
                    <w14:srgbClr w14:val="000000">
                      <w14:alpha w14:val="100000"/>
                    </w14:srgbClr>
                  </w14:solidFill>
                </w14:textFill>
              </w:rPr>
              <w:t>|</w:t>
            </w:r>
            <w:r w:rsidRPr="00AA723C">
              <w:rPr>
                <w:rFonts w:cs="Calibri" w:hint="eastAsia"/>
                <w:color w:val="000000"/>
                <w:spacing w:val="-56"/>
                <w:w w:val="15"/>
                <w:szCs w:val="20"/>
                <w:shd w:val="solid" w:color="000000" w:fill="000000"/>
                <w:fitText w:val="10" w:id="-1500860416"/>
                <w14:textFill>
                  <w14:solidFill>
                    <w14:srgbClr w14:val="000000">
                      <w14:alpha w14:val="100000"/>
                    </w14:srgbClr>
                  </w14:solidFill>
                </w14:textFill>
              </w:rPr>
              <w:t xml:space="preserve">　</w:t>
            </w:r>
            <w:r w:rsidR="003E6AEB" w:rsidRPr="00AC4021">
              <w:rPr>
                <w:szCs w:val="20"/>
                <w:vertAlign w:val="superscript"/>
              </w:rPr>
              <w:t>2</w:t>
            </w:r>
          </w:p>
        </w:tc>
        <w:tc>
          <w:tcPr>
            <w:tcW w:w="647" w:type="pct"/>
            <w:shd w:val="clear" w:color="auto" w:fill="95B3D7" w:themeFill="accent1" w:themeFillTint="99"/>
            <w:vAlign w:val="center"/>
          </w:tcPr>
          <w:p w14:paraId="514A244F" w14:textId="531332F0" w:rsidR="003A666B" w:rsidRPr="00BB5075" w:rsidRDefault="00B85535" w:rsidP="003A666B">
            <w:pPr>
              <w:pStyle w:val="TableText0"/>
              <w:jc w:val="center"/>
              <w:rPr>
                <w:szCs w:val="20"/>
                <w:highlight w:val="yellow"/>
              </w:rPr>
            </w:pPr>
            <w:r w:rsidRPr="00AA723C">
              <w:rPr>
                <w:rFonts w:cs="Calibri" w:hint="eastAsia"/>
                <w:color w:val="000000"/>
                <w:w w:val="15"/>
                <w:szCs w:val="20"/>
                <w:shd w:val="solid" w:color="000000" w:fill="000000"/>
                <w:fitText w:val="10" w:id="-1500860415"/>
                <w14:textFill>
                  <w14:solidFill>
                    <w14:srgbClr w14:val="000000">
                      <w14:alpha w14:val="100000"/>
                    </w14:srgbClr>
                  </w14:solidFill>
                </w14:textFill>
              </w:rPr>
              <w:t xml:space="preserve">　</w:t>
            </w:r>
            <w:r w:rsidRPr="00AA723C">
              <w:rPr>
                <w:rFonts w:cs="Calibri"/>
                <w:color w:val="000000"/>
                <w:w w:val="15"/>
                <w:szCs w:val="20"/>
                <w:shd w:val="solid" w:color="000000" w:fill="000000"/>
                <w:fitText w:val="10" w:id="-1500860415"/>
                <w14:textFill>
                  <w14:solidFill>
                    <w14:srgbClr w14:val="000000">
                      <w14:alpha w14:val="100000"/>
                    </w14:srgbClr>
                  </w14:solidFill>
                </w14:textFill>
              </w:rPr>
              <w:t>|</w:t>
            </w:r>
            <w:r w:rsidRPr="00AA723C">
              <w:rPr>
                <w:rFonts w:cs="Calibri" w:hint="eastAsia"/>
                <w:color w:val="000000"/>
                <w:spacing w:val="-56"/>
                <w:w w:val="15"/>
                <w:szCs w:val="20"/>
                <w:shd w:val="solid" w:color="000000" w:fill="000000"/>
                <w:fitText w:val="10" w:id="-1500860415"/>
                <w14:textFill>
                  <w14:solidFill>
                    <w14:srgbClr w14:val="000000">
                      <w14:alpha w14:val="100000"/>
                    </w14:srgbClr>
                  </w14:solidFill>
                </w14:textFill>
              </w:rPr>
              <w:t xml:space="preserve">　</w:t>
            </w:r>
            <w:r w:rsidR="003E6AEB" w:rsidRPr="00AC4021">
              <w:rPr>
                <w:szCs w:val="20"/>
                <w:vertAlign w:val="superscript"/>
              </w:rPr>
              <w:t>2</w:t>
            </w:r>
          </w:p>
        </w:tc>
        <w:tc>
          <w:tcPr>
            <w:tcW w:w="647" w:type="pct"/>
            <w:shd w:val="clear" w:color="auto" w:fill="95B3D7" w:themeFill="accent1" w:themeFillTint="99"/>
            <w:vAlign w:val="center"/>
          </w:tcPr>
          <w:p w14:paraId="245FC703" w14:textId="7B5CBFCC" w:rsidR="003A666B" w:rsidRPr="00BB5075" w:rsidRDefault="00B85535" w:rsidP="003A666B">
            <w:pPr>
              <w:pStyle w:val="TableText0"/>
              <w:jc w:val="center"/>
              <w:rPr>
                <w:szCs w:val="20"/>
                <w:highlight w:val="yellow"/>
              </w:rPr>
            </w:pPr>
            <w:r w:rsidRPr="00AA723C">
              <w:rPr>
                <w:rFonts w:cs="Calibri" w:hint="eastAsia"/>
                <w:color w:val="000000"/>
                <w:w w:val="15"/>
                <w:szCs w:val="20"/>
                <w:shd w:val="solid" w:color="000000" w:fill="000000"/>
                <w:fitText w:val="10" w:id="-1500860414"/>
                <w14:textFill>
                  <w14:solidFill>
                    <w14:srgbClr w14:val="000000">
                      <w14:alpha w14:val="100000"/>
                    </w14:srgbClr>
                  </w14:solidFill>
                </w14:textFill>
              </w:rPr>
              <w:t xml:space="preserve">　</w:t>
            </w:r>
            <w:r w:rsidRPr="00AA723C">
              <w:rPr>
                <w:rFonts w:cs="Calibri"/>
                <w:color w:val="000000"/>
                <w:w w:val="15"/>
                <w:szCs w:val="20"/>
                <w:shd w:val="solid" w:color="000000" w:fill="000000"/>
                <w:fitText w:val="10" w:id="-1500860414"/>
                <w14:textFill>
                  <w14:solidFill>
                    <w14:srgbClr w14:val="000000">
                      <w14:alpha w14:val="100000"/>
                    </w14:srgbClr>
                  </w14:solidFill>
                </w14:textFill>
              </w:rPr>
              <w:t>|</w:t>
            </w:r>
            <w:r w:rsidRPr="00AA723C">
              <w:rPr>
                <w:rFonts w:cs="Calibri" w:hint="eastAsia"/>
                <w:color w:val="000000"/>
                <w:spacing w:val="-56"/>
                <w:w w:val="15"/>
                <w:szCs w:val="20"/>
                <w:shd w:val="solid" w:color="000000" w:fill="000000"/>
                <w:fitText w:val="10" w:id="-1500860414"/>
                <w14:textFill>
                  <w14:solidFill>
                    <w14:srgbClr w14:val="000000">
                      <w14:alpha w14:val="100000"/>
                    </w14:srgbClr>
                  </w14:solidFill>
                </w14:textFill>
              </w:rPr>
              <w:t xml:space="preserve">　</w:t>
            </w:r>
            <w:r w:rsidR="003E6AEB" w:rsidRPr="00AC4021">
              <w:rPr>
                <w:szCs w:val="20"/>
                <w:vertAlign w:val="superscript"/>
              </w:rPr>
              <w:t>2</w:t>
            </w:r>
          </w:p>
        </w:tc>
        <w:tc>
          <w:tcPr>
            <w:tcW w:w="649" w:type="pct"/>
            <w:shd w:val="clear" w:color="auto" w:fill="95B3D7" w:themeFill="accent1" w:themeFillTint="99"/>
            <w:vAlign w:val="center"/>
          </w:tcPr>
          <w:p w14:paraId="09628F8A" w14:textId="0FE1496D" w:rsidR="003A666B" w:rsidRPr="00BB5075" w:rsidRDefault="00B85535" w:rsidP="003A666B">
            <w:pPr>
              <w:pStyle w:val="TableText0"/>
              <w:jc w:val="center"/>
              <w:rPr>
                <w:szCs w:val="20"/>
                <w:highlight w:val="yellow"/>
              </w:rPr>
            </w:pPr>
            <w:r w:rsidRPr="00AA723C">
              <w:rPr>
                <w:rFonts w:cs="Calibri" w:hint="eastAsia"/>
                <w:color w:val="000000"/>
                <w:w w:val="15"/>
                <w:szCs w:val="20"/>
                <w:shd w:val="solid" w:color="000000" w:fill="000000"/>
                <w:fitText w:val="20" w:id="-1500860413"/>
                <w14:textFill>
                  <w14:solidFill>
                    <w14:srgbClr w14:val="000000">
                      <w14:alpha w14:val="100000"/>
                    </w14:srgbClr>
                  </w14:solidFill>
                </w14:textFill>
              </w:rPr>
              <w:t xml:space="preserve">　</w:t>
            </w:r>
            <w:r w:rsidRPr="00AA723C">
              <w:rPr>
                <w:rFonts w:cs="Calibri"/>
                <w:color w:val="000000"/>
                <w:w w:val="15"/>
                <w:szCs w:val="20"/>
                <w:shd w:val="solid" w:color="000000" w:fill="000000"/>
                <w:fitText w:val="20" w:id="-1500860413"/>
                <w14:textFill>
                  <w14:solidFill>
                    <w14:srgbClr w14:val="000000">
                      <w14:alpha w14:val="100000"/>
                    </w14:srgbClr>
                  </w14:solidFill>
                </w14:textFill>
              </w:rPr>
              <w:t>|</w:t>
            </w:r>
            <w:r w:rsidRPr="00AA723C">
              <w:rPr>
                <w:rFonts w:cs="Calibri" w:hint="eastAsia"/>
                <w:color w:val="000000"/>
                <w:spacing w:val="-46"/>
                <w:w w:val="15"/>
                <w:szCs w:val="20"/>
                <w:shd w:val="solid" w:color="000000" w:fill="000000"/>
                <w:fitText w:val="20" w:id="-1500860413"/>
                <w14:textFill>
                  <w14:solidFill>
                    <w14:srgbClr w14:val="000000">
                      <w14:alpha w14:val="100000"/>
                    </w14:srgbClr>
                  </w14:solidFill>
                </w14:textFill>
              </w:rPr>
              <w:t xml:space="preserve">　</w:t>
            </w:r>
            <w:r w:rsidR="003E6AEB" w:rsidRPr="00AC4021">
              <w:rPr>
                <w:szCs w:val="20"/>
                <w:vertAlign w:val="superscript"/>
              </w:rPr>
              <w:t>2</w:t>
            </w:r>
          </w:p>
        </w:tc>
      </w:tr>
      <w:tr w:rsidR="00BF7E34" w:rsidRPr="00C80985" w14:paraId="202E357C" w14:textId="77777777" w:rsidTr="000B51DE">
        <w:tc>
          <w:tcPr>
            <w:tcW w:w="1116" w:type="pct"/>
            <w:shd w:val="clear" w:color="auto" w:fill="auto"/>
            <w:vAlign w:val="center"/>
          </w:tcPr>
          <w:p w14:paraId="75E8AC57" w14:textId="45B4AC31" w:rsidR="000B51DE" w:rsidRPr="00C80985" w:rsidRDefault="000B51DE" w:rsidP="000B51DE">
            <w:pPr>
              <w:pStyle w:val="TableText0"/>
            </w:pPr>
            <w:r w:rsidRPr="00C80985">
              <w:t>Number continuing treatment</w:t>
            </w:r>
          </w:p>
        </w:tc>
        <w:tc>
          <w:tcPr>
            <w:tcW w:w="647" w:type="pct"/>
            <w:shd w:val="clear" w:color="auto" w:fill="auto"/>
            <w:vAlign w:val="center"/>
          </w:tcPr>
          <w:p w14:paraId="7A28868E" w14:textId="3DEAFC6D" w:rsidR="000B51DE" w:rsidRPr="00BB5075" w:rsidRDefault="00B85535" w:rsidP="000B51DE">
            <w:pPr>
              <w:pStyle w:val="TableText0"/>
              <w:jc w:val="center"/>
              <w:rPr>
                <w:color w:val="000000"/>
                <w:highlight w:val="yellow"/>
              </w:rPr>
            </w:pPr>
            <w:r w:rsidRPr="00B85535">
              <w:rPr>
                <w:rFonts w:hint="eastAsia"/>
                <w:color w:val="000000"/>
                <w:w w:val="15"/>
                <w:szCs w:val="20"/>
                <w:shd w:val="solid" w:color="000000" w:fill="000000"/>
                <w:fitText w:val="40" w:id="-1500860412"/>
                <w14:textFill>
                  <w14:solidFill>
                    <w14:srgbClr w14:val="000000">
                      <w14:alpha w14:val="100000"/>
                    </w14:srgbClr>
                  </w14:solidFill>
                </w14:textFill>
              </w:rPr>
              <w:t xml:space="preserve">　</w:t>
            </w:r>
            <w:r w:rsidRPr="00B85535">
              <w:rPr>
                <w:color w:val="000000"/>
                <w:w w:val="15"/>
                <w:szCs w:val="20"/>
                <w:shd w:val="solid" w:color="000000" w:fill="000000"/>
                <w:fitText w:val="40" w:id="-1500860412"/>
                <w14:textFill>
                  <w14:solidFill>
                    <w14:srgbClr w14:val="000000">
                      <w14:alpha w14:val="100000"/>
                    </w14:srgbClr>
                  </w14:solidFill>
                </w14:textFill>
              </w:rPr>
              <w:t>|</w:t>
            </w:r>
            <w:r w:rsidRPr="00B85535">
              <w:rPr>
                <w:rFonts w:hint="eastAsia"/>
                <w:color w:val="000000"/>
                <w:spacing w:val="-25"/>
                <w:w w:val="15"/>
                <w:szCs w:val="20"/>
                <w:shd w:val="solid" w:color="000000" w:fill="000000"/>
                <w:fitText w:val="40" w:id="-1500860412"/>
                <w14:textFill>
                  <w14:solidFill>
                    <w14:srgbClr w14:val="000000">
                      <w14:alpha w14:val="100000"/>
                    </w14:srgbClr>
                  </w14:solidFill>
                </w14:textFill>
              </w:rPr>
              <w:t xml:space="preserve">　</w:t>
            </w:r>
            <w:r w:rsidR="00EE22CD" w:rsidRPr="003E6AEB">
              <w:rPr>
                <w:color w:val="000000"/>
                <w:szCs w:val="20"/>
                <w:vertAlign w:val="superscript"/>
              </w:rPr>
              <w:t>a</w:t>
            </w:r>
            <w:r w:rsidR="003E6AEB" w:rsidRPr="003E6AEB">
              <w:rPr>
                <w:color w:val="000000"/>
                <w:szCs w:val="20"/>
                <w:vertAlign w:val="superscript"/>
              </w:rPr>
              <w:t>3</w:t>
            </w:r>
          </w:p>
        </w:tc>
        <w:tc>
          <w:tcPr>
            <w:tcW w:w="647" w:type="pct"/>
            <w:shd w:val="clear" w:color="auto" w:fill="auto"/>
            <w:vAlign w:val="center"/>
          </w:tcPr>
          <w:p w14:paraId="7FBEE6A6" w14:textId="04D454FD" w:rsidR="000B51DE" w:rsidRPr="00BB5075" w:rsidRDefault="00B85535" w:rsidP="000B51DE">
            <w:pPr>
              <w:pStyle w:val="TableText0"/>
              <w:jc w:val="center"/>
              <w:rPr>
                <w:color w:val="000000"/>
                <w:highlight w:val="yellow"/>
              </w:rPr>
            </w:pPr>
            <w:r w:rsidRPr="00AA723C">
              <w:rPr>
                <w:rFonts w:hint="eastAsia"/>
                <w:color w:val="000000"/>
                <w:w w:val="15"/>
                <w:szCs w:val="20"/>
                <w:shd w:val="solid" w:color="000000" w:fill="000000"/>
                <w:fitText w:val="10" w:id="-1500860411"/>
                <w14:textFill>
                  <w14:solidFill>
                    <w14:srgbClr w14:val="000000">
                      <w14:alpha w14:val="100000"/>
                    </w14:srgbClr>
                  </w14:solidFill>
                </w14:textFill>
              </w:rPr>
              <w:t xml:space="preserve">　</w:t>
            </w:r>
            <w:r w:rsidRPr="00AA723C">
              <w:rPr>
                <w:color w:val="000000"/>
                <w:w w:val="15"/>
                <w:szCs w:val="20"/>
                <w:shd w:val="solid" w:color="000000" w:fill="000000"/>
                <w:fitText w:val="10" w:id="-1500860411"/>
                <w14:textFill>
                  <w14:solidFill>
                    <w14:srgbClr w14:val="000000">
                      <w14:alpha w14:val="100000"/>
                    </w14:srgbClr>
                  </w14:solidFill>
                </w14:textFill>
              </w:rPr>
              <w:t>|</w:t>
            </w:r>
            <w:r w:rsidRPr="00AA723C">
              <w:rPr>
                <w:rFonts w:hint="eastAsia"/>
                <w:color w:val="000000"/>
                <w:spacing w:val="-56"/>
                <w:w w:val="15"/>
                <w:szCs w:val="20"/>
                <w:shd w:val="solid" w:color="000000" w:fill="000000"/>
                <w:fitText w:val="10" w:id="-1500860411"/>
                <w14:textFill>
                  <w14:solidFill>
                    <w14:srgbClr w14:val="000000">
                      <w14:alpha w14:val="100000"/>
                    </w14:srgbClr>
                  </w14:solidFill>
                </w14:textFill>
              </w:rPr>
              <w:t xml:space="preserve">　</w:t>
            </w:r>
            <w:r w:rsidR="003E6AEB" w:rsidRPr="003E6AEB">
              <w:rPr>
                <w:color w:val="000000"/>
                <w:szCs w:val="20"/>
                <w:vertAlign w:val="superscript"/>
              </w:rPr>
              <w:t>3</w:t>
            </w:r>
          </w:p>
        </w:tc>
        <w:tc>
          <w:tcPr>
            <w:tcW w:w="647" w:type="pct"/>
            <w:shd w:val="clear" w:color="auto" w:fill="auto"/>
            <w:vAlign w:val="center"/>
          </w:tcPr>
          <w:p w14:paraId="59A37241" w14:textId="1FE9EEE9" w:rsidR="000B51DE" w:rsidRPr="00BB5075" w:rsidRDefault="00B85535" w:rsidP="000B51DE">
            <w:pPr>
              <w:pStyle w:val="TableText0"/>
              <w:jc w:val="center"/>
              <w:rPr>
                <w:color w:val="000000"/>
                <w:highlight w:val="yellow"/>
              </w:rPr>
            </w:pPr>
            <w:r w:rsidRPr="00AA723C">
              <w:rPr>
                <w:rFonts w:hint="eastAsia"/>
                <w:color w:val="000000"/>
                <w:w w:val="15"/>
                <w:szCs w:val="20"/>
                <w:shd w:val="solid" w:color="000000" w:fill="000000"/>
                <w:fitText w:val="10" w:id="-1500860410"/>
                <w14:textFill>
                  <w14:solidFill>
                    <w14:srgbClr w14:val="000000">
                      <w14:alpha w14:val="100000"/>
                    </w14:srgbClr>
                  </w14:solidFill>
                </w14:textFill>
              </w:rPr>
              <w:t xml:space="preserve">　</w:t>
            </w:r>
            <w:r w:rsidRPr="00AA723C">
              <w:rPr>
                <w:color w:val="000000"/>
                <w:w w:val="15"/>
                <w:szCs w:val="20"/>
                <w:shd w:val="solid" w:color="000000" w:fill="000000"/>
                <w:fitText w:val="10" w:id="-1500860410"/>
                <w14:textFill>
                  <w14:solidFill>
                    <w14:srgbClr w14:val="000000">
                      <w14:alpha w14:val="100000"/>
                    </w14:srgbClr>
                  </w14:solidFill>
                </w14:textFill>
              </w:rPr>
              <w:t>|</w:t>
            </w:r>
            <w:r w:rsidRPr="00AA723C">
              <w:rPr>
                <w:rFonts w:hint="eastAsia"/>
                <w:color w:val="000000"/>
                <w:spacing w:val="-56"/>
                <w:w w:val="15"/>
                <w:szCs w:val="20"/>
                <w:shd w:val="solid" w:color="000000" w:fill="000000"/>
                <w:fitText w:val="10" w:id="-1500860410"/>
                <w14:textFill>
                  <w14:solidFill>
                    <w14:srgbClr w14:val="000000">
                      <w14:alpha w14:val="100000"/>
                    </w14:srgbClr>
                  </w14:solidFill>
                </w14:textFill>
              </w:rPr>
              <w:t xml:space="preserve">　</w:t>
            </w:r>
            <w:r w:rsidR="003E6AEB" w:rsidRPr="00AC4021">
              <w:rPr>
                <w:szCs w:val="20"/>
                <w:vertAlign w:val="superscript"/>
              </w:rPr>
              <w:t>2</w:t>
            </w:r>
          </w:p>
        </w:tc>
        <w:tc>
          <w:tcPr>
            <w:tcW w:w="647" w:type="pct"/>
            <w:shd w:val="clear" w:color="auto" w:fill="auto"/>
            <w:vAlign w:val="center"/>
          </w:tcPr>
          <w:p w14:paraId="6E62FC81" w14:textId="4FDB99EB" w:rsidR="000B51DE" w:rsidRPr="00BB5075" w:rsidRDefault="00B85535" w:rsidP="000B51DE">
            <w:pPr>
              <w:pStyle w:val="TableText0"/>
              <w:jc w:val="center"/>
              <w:rPr>
                <w:color w:val="000000"/>
                <w:highlight w:val="yellow"/>
              </w:rPr>
            </w:pPr>
            <w:r w:rsidRPr="00AA723C">
              <w:rPr>
                <w:rFonts w:hint="eastAsia"/>
                <w:color w:val="000000"/>
                <w:w w:val="15"/>
                <w:szCs w:val="20"/>
                <w:shd w:val="solid" w:color="000000" w:fill="000000"/>
                <w:fitText w:val="10" w:id="-1500860409"/>
                <w14:textFill>
                  <w14:solidFill>
                    <w14:srgbClr w14:val="000000">
                      <w14:alpha w14:val="100000"/>
                    </w14:srgbClr>
                  </w14:solidFill>
                </w14:textFill>
              </w:rPr>
              <w:t xml:space="preserve">　</w:t>
            </w:r>
            <w:r w:rsidRPr="00AA723C">
              <w:rPr>
                <w:color w:val="000000"/>
                <w:w w:val="15"/>
                <w:szCs w:val="20"/>
                <w:shd w:val="solid" w:color="000000" w:fill="000000"/>
                <w:fitText w:val="10" w:id="-1500860409"/>
                <w14:textFill>
                  <w14:solidFill>
                    <w14:srgbClr w14:val="000000">
                      <w14:alpha w14:val="100000"/>
                    </w14:srgbClr>
                  </w14:solidFill>
                </w14:textFill>
              </w:rPr>
              <w:t>|</w:t>
            </w:r>
            <w:r w:rsidRPr="00AA723C">
              <w:rPr>
                <w:rFonts w:hint="eastAsia"/>
                <w:color w:val="000000"/>
                <w:spacing w:val="-56"/>
                <w:w w:val="15"/>
                <w:szCs w:val="20"/>
                <w:shd w:val="solid" w:color="000000" w:fill="000000"/>
                <w:fitText w:val="10" w:id="-1500860409"/>
                <w14:textFill>
                  <w14:solidFill>
                    <w14:srgbClr w14:val="000000">
                      <w14:alpha w14:val="100000"/>
                    </w14:srgbClr>
                  </w14:solidFill>
                </w14:textFill>
              </w:rPr>
              <w:t xml:space="preserve">　</w:t>
            </w:r>
            <w:r w:rsidR="003E6AEB" w:rsidRPr="00AC4021">
              <w:rPr>
                <w:szCs w:val="20"/>
                <w:vertAlign w:val="superscript"/>
              </w:rPr>
              <w:t>2</w:t>
            </w:r>
          </w:p>
        </w:tc>
        <w:tc>
          <w:tcPr>
            <w:tcW w:w="647" w:type="pct"/>
            <w:shd w:val="clear" w:color="auto" w:fill="auto"/>
            <w:vAlign w:val="center"/>
          </w:tcPr>
          <w:p w14:paraId="667DD959" w14:textId="5CC2B9D6" w:rsidR="000B51DE" w:rsidRPr="00BB5075" w:rsidRDefault="00B85535" w:rsidP="000B51DE">
            <w:pPr>
              <w:pStyle w:val="TableText0"/>
              <w:jc w:val="center"/>
              <w:rPr>
                <w:color w:val="000000"/>
                <w:highlight w:val="yellow"/>
              </w:rPr>
            </w:pPr>
            <w:r w:rsidRPr="00AA723C">
              <w:rPr>
                <w:rFonts w:hint="eastAsia"/>
                <w:color w:val="000000"/>
                <w:w w:val="15"/>
                <w:szCs w:val="20"/>
                <w:shd w:val="solid" w:color="000000" w:fill="000000"/>
                <w:fitText w:val="10" w:id="-1500860408"/>
                <w14:textFill>
                  <w14:solidFill>
                    <w14:srgbClr w14:val="000000">
                      <w14:alpha w14:val="100000"/>
                    </w14:srgbClr>
                  </w14:solidFill>
                </w14:textFill>
              </w:rPr>
              <w:t xml:space="preserve">　</w:t>
            </w:r>
            <w:r w:rsidRPr="00AA723C">
              <w:rPr>
                <w:color w:val="000000"/>
                <w:w w:val="15"/>
                <w:szCs w:val="20"/>
                <w:shd w:val="solid" w:color="000000" w:fill="000000"/>
                <w:fitText w:val="10" w:id="-1500860408"/>
                <w14:textFill>
                  <w14:solidFill>
                    <w14:srgbClr w14:val="000000">
                      <w14:alpha w14:val="100000"/>
                    </w14:srgbClr>
                  </w14:solidFill>
                </w14:textFill>
              </w:rPr>
              <w:t>|</w:t>
            </w:r>
            <w:r w:rsidRPr="00AA723C">
              <w:rPr>
                <w:rFonts w:hint="eastAsia"/>
                <w:color w:val="000000"/>
                <w:spacing w:val="-56"/>
                <w:w w:val="15"/>
                <w:szCs w:val="20"/>
                <w:shd w:val="solid" w:color="000000" w:fill="000000"/>
                <w:fitText w:val="10" w:id="-1500860408"/>
                <w14:textFill>
                  <w14:solidFill>
                    <w14:srgbClr w14:val="000000">
                      <w14:alpha w14:val="100000"/>
                    </w14:srgbClr>
                  </w14:solidFill>
                </w14:textFill>
              </w:rPr>
              <w:t xml:space="preserve">　</w:t>
            </w:r>
            <w:r w:rsidR="003E6AEB" w:rsidRPr="00AC4021">
              <w:rPr>
                <w:szCs w:val="20"/>
                <w:vertAlign w:val="superscript"/>
              </w:rPr>
              <w:t>2</w:t>
            </w:r>
          </w:p>
        </w:tc>
        <w:tc>
          <w:tcPr>
            <w:tcW w:w="649" w:type="pct"/>
            <w:vAlign w:val="center"/>
          </w:tcPr>
          <w:p w14:paraId="0508082C" w14:textId="2EFE2D41" w:rsidR="000B51DE" w:rsidRPr="00BB5075" w:rsidRDefault="00B85535" w:rsidP="000B51DE">
            <w:pPr>
              <w:pStyle w:val="TableText0"/>
              <w:jc w:val="center"/>
              <w:rPr>
                <w:color w:val="000000"/>
                <w:highlight w:val="yellow"/>
              </w:rPr>
            </w:pPr>
            <w:r w:rsidRPr="00AA723C">
              <w:rPr>
                <w:rFonts w:hint="eastAsia"/>
                <w:color w:val="000000"/>
                <w:w w:val="15"/>
                <w:szCs w:val="20"/>
                <w:shd w:val="solid" w:color="000000" w:fill="000000"/>
                <w:fitText w:val="20" w:id="-1500860407"/>
                <w14:textFill>
                  <w14:solidFill>
                    <w14:srgbClr w14:val="000000">
                      <w14:alpha w14:val="100000"/>
                    </w14:srgbClr>
                  </w14:solidFill>
                </w14:textFill>
              </w:rPr>
              <w:t xml:space="preserve">　</w:t>
            </w:r>
            <w:r w:rsidRPr="00AA723C">
              <w:rPr>
                <w:color w:val="000000"/>
                <w:w w:val="15"/>
                <w:szCs w:val="20"/>
                <w:shd w:val="solid" w:color="000000" w:fill="000000"/>
                <w:fitText w:val="20" w:id="-1500860407"/>
                <w14:textFill>
                  <w14:solidFill>
                    <w14:srgbClr w14:val="000000">
                      <w14:alpha w14:val="100000"/>
                    </w14:srgbClr>
                  </w14:solidFill>
                </w14:textFill>
              </w:rPr>
              <w:t>|</w:t>
            </w:r>
            <w:r w:rsidRPr="00AA723C">
              <w:rPr>
                <w:rFonts w:hint="eastAsia"/>
                <w:color w:val="000000"/>
                <w:spacing w:val="-46"/>
                <w:w w:val="15"/>
                <w:szCs w:val="20"/>
                <w:shd w:val="solid" w:color="000000" w:fill="000000"/>
                <w:fitText w:val="20" w:id="-1500860407"/>
                <w14:textFill>
                  <w14:solidFill>
                    <w14:srgbClr w14:val="000000">
                      <w14:alpha w14:val="100000"/>
                    </w14:srgbClr>
                  </w14:solidFill>
                </w14:textFill>
              </w:rPr>
              <w:t xml:space="preserve">　</w:t>
            </w:r>
            <w:r w:rsidR="003E6AEB" w:rsidRPr="00AC4021">
              <w:rPr>
                <w:szCs w:val="20"/>
                <w:vertAlign w:val="superscript"/>
              </w:rPr>
              <w:t>2</w:t>
            </w:r>
          </w:p>
        </w:tc>
      </w:tr>
      <w:tr w:rsidR="00BF7E34" w:rsidRPr="00C80985" w14:paraId="1CEE4D09" w14:textId="77777777" w:rsidTr="00B85535">
        <w:tc>
          <w:tcPr>
            <w:tcW w:w="1116" w:type="pct"/>
            <w:tcBorders>
              <w:bottom w:val="single" w:sz="4" w:space="0" w:color="auto"/>
            </w:tcBorders>
            <w:shd w:val="clear" w:color="auto" w:fill="auto"/>
            <w:vAlign w:val="center"/>
          </w:tcPr>
          <w:p w14:paraId="229A1EDF" w14:textId="490922F4" w:rsidR="000B51DE" w:rsidRPr="00C80985" w:rsidRDefault="000B51DE" w:rsidP="000B51DE">
            <w:pPr>
              <w:pStyle w:val="TableText0"/>
              <w:rPr>
                <w:rFonts w:ascii="Times" w:hAnsi="Times"/>
              </w:rPr>
            </w:pPr>
            <w:r w:rsidRPr="00C80985">
              <w:t xml:space="preserve">Number of scripts </w:t>
            </w:r>
            <w:proofErr w:type="spellStart"/>
            <w:r w:rsidRPr="00C80985">
              <w:t>dispensed</w:t>
            </w:r>
            <w:r w:rsidR="00BD2CF5" w:rsidRPr="00C80985">
              <w:rPr>
                <w:vertAlign w:val="superscript"/>
              </w:rPr>
              <w:t>b</w:t>
            </w:r>
            <w:proofErr w:type="spellEnd"/>
          </w:p>
        </w:tc>
        <w:tc>
          <w:tcPr>
            <w:tcW w:w="647" w:type="pct"/>
            <w:tcBorders>
              <w:bottom w:val="single" w:sz="4" w:space="0" w:color="auto"/>
            </w:tcBorders>
            <w:shd w:val="clear" w:color="auto" w:fill="auto"/>
            <w:vAlign w:val="center"/>
          </w:tcPr>
          <w:p w14:paraId="0D9F25C2" w14:textId="1A2F5F3A" w:rsidR="000B51DE" w:rsidRPr="003E6AEB" w:rsidRDefault="00B85535" w:rsidP="000B51DE">
            <w:pPr>
              <w:pStyle w:val="TableText0"/>
              <w:jc w:val="center"/>
              <w:rPr>
                <w:color w:val="000000"/>
                <w:highlight w:val="yellow"/>
                <w:vertAlign w:val="superscript"/>
              </w:rPr>
            </w:pPr>
            <w:r w:rsidRPr="00AA723C">
              <w:rPr>
                <w:rFonts w:hint="eastAsia"/>
                <w:color w:val="000000"/>
                <w:w w:val="15"/>
                <w:szCs w:val="20"/>
                <w:shd w:val="solid" w:color="000000" w:fill="000000"/>
                <w:fitText w:val="10" w:id="-1500860406"/>
                <w14:textFill>
                  <w14:solidFill>
                    <w14:srgbClr w14:val="000000">
                      <w14:alpha w14:val="100000"/>
                    </w14:srgbClr>
                  </w14:solidFill>
                </w14:textFill>
              </w:rPr>
              <w:t xml:space="preserve">　</w:t>
            </w:r>
            <w:r w:rsidRPr="00AA723C">
              <w:rPr>
                <w:color w:val="000000"/>
                <w:w w:val="15"/>
                <w:szCs w:val="20"/>
                <w:shd w:val="solid" w:color="000000" w:fill="000000"/>
                <w:fitText w:val="10" w:id="-1500860406"/>
                <w14:textFill>
                  <w14:solidFill>
                    <w14:srgbClr w14:val="000000">
                      <w14:alpha w14:val="100000"/>
                    </w14:srgbClr>
                  </w14:solidFill>
                </w14:textFill>
              </w:rPr>
              <w:t>|</w:t>
            </w:r>
            <w:r w:rsidRPr="00AA723C">
              <w:rPr>
                <w:rFonts w:hint="eastAsia"/>
                <w:color w:val="000000"/>
                <w:spacing w:val="-56"/>
                <w:w w:val="15"/>
                <w:szCs w:val="20"/>
                <w:shd w:val="solid" w:color="000000" w:fill="000000"/>
                <w:fitText w:val="10" w:id="-1500860406"/>
                <w14:textFill>
                  <w14:solidFill>
                    <w14:srgbClr w14:val="000000">
                      <w14:alpha w14:val="100000"/>
                    </w14:srgbClr>
                  </w14:solidFill>
                </w14:textFill>
              </w:rPr>
              <w:t xml:space="preserve">　</w:t>
            </w:r>
            <w:r w:rsidR="003E6AEB" w:rsidRPr="003E6AEB">
              <w:rPr>
                <w:szCs w:val="20"/>
                <w:vertAlign w:val="superscript"/>
              </w:rPr>
              <w:t>4</w:t>
            </w:r>
          </w:p>
        </w:tc>
        <w:tc>
          <w:tcPr>
            <w:tcW w:w="647" w:type="pct"/>
            <w:tcBorders>
              <w:bottom w:val="single" w:sz="4" w:space="0" w:color="auto"/>
            </w:tcBorders>
            <w:shd w:val="clear" w:color="auto" w:fill="auto"/>
            <w:vAlign w:val="center"/>
          </w:tcPr>
          <w:p w14:paraId="2D7847AA" w14:textId="13E80BFC" w:rsidR="000B51DE" w:rsidRPr="00BB5075" w:rsidRDefault="00B85535" w:rsidP="000B51DE">
            <w:pPr>
              <w:pStyle w:val="TableText0"/>
              <w:jc w:val="center"/>
              <w:rPr>
                <w:color w:val="000000"/>
                <w:highlight w:val="yellow"/>
              </w:rPr>
            </w:pPr>
            <w:r w:rsidRPr="00AA723C">
              <w:rPr>
                <w:rFonts w:hint="eastAsia"/>
                <w:color w:val="000000"/>
                <w:w w:val="15"/>
                <w:szCs w:val="20"/>
                <w:shd w:val="solid" w:color="000000" w:fill="000000"/>
                <w:fitText w:val="10" w:id="-1500860405"/>
                <w14:textFill>
                  <w14:solidFill>
                    <w14:srgbClr w14:val="000000">
                      <w14:alpha w14:val="100000"/>
                    </w14:srgbClr>
                  </w14:solidFill>
                </w14:textFill>
              </w:rPr>
              <w:t xml:space="preserve">　</w:t>
            </w:r>
            <w:r w:rsidRPr="00AA723C">
              <w:rPr>
                <w:color w:val="000000"/>
                <w:w w:val="15"/>
                <w:szCs w:val="20"/>
                <w:shd w:val="solid" w:color="000000" w:fill="000000"/>
                <w:fitText w:val="10" w:id="-1500860405"/>
                <w14:textFill>
                  <w14:solidFill>
                    <w14:srgbClr w14:val="000000">
                      <w14:alpha w14:val="100000"/>
                    </w14:srgbClr>
                  </w14:solidFill>
                </w14:textFill>
              </w:rPr>
              <w:t>|</w:t>
            </w:r>
            <w:r w:rsidRPr="00AA723C">
              <w:rPr>
                <w:rFonts w:hint="eastAsia"/>
                <w:color w:val="000000"/>
                <w:spacing w:val="-56"/>
                <w:w w:val="15"/>
                <w:szCs w:val="20"/>
                <w:shd w:val="solid" w:color="000000" w:fill="000000"/>
                <w:fitText w:val="10" w:id="-1500860405"/>
                <w14:textFill>
                  <w14:solidFill>
                    <w14:srgbClr w14:val="000000">
                      <w14:alpha w14:val="100000"/>
                    </w14:srgbClr>
                  </w14:solidFill>
                </w14:textFill>
              </w:rPr>
              <w:t xml:space="preserve">　</w:t>
            </w:r>
            <w:r w:rsidR="003E6AEB" w:rsidRPr="003E6AEB">
              <w:rPr>
                <w:szCs w:val="20"/>
                <w:vertAlign w:val="superscript"/>
              </w:rPr>
              <w:t>4</w:t>
            </w:r>
          </w:p>
        </w:tc>
        <w:tc>
          <w:tcPr>
            <w:tcW w:w="647" w:type="pct"/>
            <w:tcBorders>
              <w:bottom w:val="single" w:sz="4" w:space="0" w:color="auto"/>
            </w:tcBorders>
            <w:shd w:val="clear" w:color="auto" w:fill="auto"/>
            <w:vAlign w:val="center"/>
          </w:tcPr>
          <w:p w14:paraId="7A620378" w14:textId="5E6E585C" w:rsidR="000B51DE" w:rsidRPr="003E6AEB" w:rsidRDefault="00B85535" w:rsidP="000B51DE">
            <w:pPr>
              <w:pStyle w:val="TableText0"/>
              <w:jc w:val="center"/>
              <w:rPr>
                <w:color w:val="000000"/>
                <w:highlight w:val="yellow"/>
              </w:rPr>
            </w:pPr>
            <w:r w:rsidRPr="00AA723C">
              <w:rPr>
                <w:rFonts w:hint="eastAsia"/>
                <w:color w:val="000000"/>
                <w:w w:val="15"/>
                <w:szCs w:val="20"/>
                <w:shd w:val="solid" w:color="000000" w:fill="000000"/>
                <w:fitText w:val="10" w:id="-1500860404"/>
                <w14:textFill>
                  <w14:solidFill>
                    <w14:srgbClr w14:val="000000">
                      <w14:alpha w14:val="100000"/>
                    </w14:srgbClr>
                  </w14:solidFill>
                </w14:textFill>
              </w:rPr>
              <w:t xml:space="preserve">　</w:t>
            </w:r>
            <w:r w:rsidRPr="00AA723C">
              <w:rPr>
                <w:color w:val="000000"/>
                <w:w w:val="15"/>
                <w:szCs w:val="20"/>
                <w:shd w:val="solid" w:color="000000" w:fill="000000"/>
                <w:fitText w:val="10" w:id="-1500860404"/>
                <w14:textFill>
                  <w14:solidFill>
                    <w14:srgbClr w14:val="000000">
                      <w14:alpha w14:val="100000"/>
                    </w14:srgbClr>
                  </w14:solidFill>
                </w14:textFill>
              </w:rPr>
              <w:t>|</w:t>
            </w:r>
            <w:r w:rsidRPr="00AA723C">
              <w:rPr>
                <w:rFonts w:hint="eastAsia"/>
                <w:color w:val="000000"/>
                <w:spacing w:val="-56"/>
                <w:w w:val="15"/>
                <w:szCs w:val="20"/>
                <w:shd w:val="solid" w:color="000000" w:fill="000000"/>
                <w:fitText w:val="10" w:id="-1500860404"/>
                <w14:textFill>
                  <w14:solidFill>
                    <w14:srgbClr w14:val="000000">
                      <w14:alpha w14:val="100000"/>
                    </w14:srgbClr>
                  </w14:solidFill>
                </w14:textFill>
              </w:rPr>
              <w:t xml:space="preserve">　</w:t>
            </w:r>
            <w:r w:rsidR="003E6AEB" w:rsidRPr="003E6AEB">
              <w:rPr>
                <w:szCs w:val="20"/>
                <w:vertAlign w:val="superscript"/>
              </w:rPr>
              <w:t>5</w:t>
            </w:r>
          </w:p>
        </w:tc>
        <w:tc>
          <w:tcPr>
            <w:tcW w:w="647" w:type="pct"/>
            <w:tcBorders>
              <w:bottom w:val="single" w:sz="4" w:space="0" w:color="auto"/>
            </w:tcBorders>
            <w:shd w:val="clear" w:color="auto" w:fill="auto"/>
            <w:vAlign w:val="center"/>
          </w:tcPr>
          <w:p w14:paraId="1D2C1413" w14:textId="7E4E51FC" w:rsidR="000B51DE" w:rsidRPr="00BB5075" w:rsidRDefault="00B85535" w:rsidP="000B51DE">
            <w:pPr>
              <w:pStyle w:val="TableText0"/>
              <w:jc w:val="center"/>
              <w:rPr>
                <w:color w:val="000000"/>
                <w:highlight w:val="yellow"/>
              </w:rPr>
            </w:pPr>
            <w:r w:rsidRPr="00AA723C">
              <w:rPr>
                <w:rFonts w:hint="eastAsia"/>
                <w:color w:val="000000"/>
                <w:w w:val="15"/>
                <w:szCs w:val="20"/>
                <w:shd w:val="solid" w:color="000000" w:fill="000000"/>
                <w:fitText w:val="10" w:id="-1500860403"/>
                <w14:textFill>
                  <w14:solidFill>
                    <w14:srgbClr w14:val="000000">
                      <w14:alpha w14:val="100000"/>
                    </w14:srgbClr>
                  </w14:solidFill>
                </w14:textFill>
              </w:rPr>
              <w:t xml:space="preserve">　</w:t>
            </w:r>
            <w:r w:rsidRPr="00AA723C">
              <w:rPr>
                <w:color w:val="000000"/>
                <w:w w:val="15"/>
                <w:szCs w:val="20"/>
                <w:shd w:val="solid" w:color="000000" w:fill="000000"/>
                <w:fitText w:val="10" w:id="-1500860403"/>
                <w14:textFill>
                  <w14:solidFill>
                    <w14:srgbClr w14:val="000000">
                      <w14:alpha w14:val="100000"/>
                    </w14:srgbClr>
                  </w14:solidFill>
                </w14:textFill>
              </w:rPr>
              <w:t>|</w:t>
            </w:r>
            <w:r w:rsidRPr="00AA723C">
              <w:rPr>
                <w:rFonts w:hint="eastAsia"/>
                <w:color w:val="000000"/>
                <w:spacing w:val="-56"/>
                <w:w w:val="15"/>
                <w:szCs w:val="20"/>
                <w:shd w:val="solid" w:color="000000" w:fill="000000"/>
                <w:fitText w:val="10" w:id="-1500860403"/>
                <w14:textFill>
                  <w14:solidFill>
                    <w14:srgbClr w14:val="000000">
                      <w14:alpha w14:val="100000"/>
                    </w14:srgbClr>
                  </w14:solidFill>
                </w14:textFill>
              </w:rPr>
              <w:t xml:space="preserve">　</w:t>
            </w:r>
            <w:r w:rsidR="003E6AEB" w:rsidRPr="003E6AEB">
              <w:rPr>
                <w:szCs w:val="20"/>
                <w:vertAlign w:val="superscript"/>
              </w:rPr>
              <w:t>5</w:t>
            </w:r>
          </w:p>
        </w:tc>
        <w:tc>
          <w:tcPr>
            <w:tcW w:w="647" w:type="pct"/>
            <w:tcBorders>
              <w:bottom w:val="single" w:sz="4" w:space="0" w:color="auto"/>
            </w:tcBorders>
            <w:shd w:val="clear" w:color="auto" w:fill="auto"/>
            <w:vAlign w:val="center"/>
          </w:tcPr>
          <w:p w14:paraId="3F0ACB95" w14:textId="4A54CAAE" w:rsidR="000B51DE" w:rsidRPr="00BB5075" w:rsidRDefault="00B85535" w:rsidP="000B51DE">
            <w:pPr>
              <w:pStyle w:val="TableText0"/>
              <w:jc w:val="center"/>
              <w:rPr>
                <w:color w:val="000000"/>
                <w:highlight w:val="yellow"/>
              </w:rPr>
            </w:pPr>
            <w:r w:rsidRPr="00AA723C">
              <w:rPr>
                <w:rFonts w:hint="eastAsia"/>
                <w:color w:val="000000"/>
                <w:w w:val="15"/>
                <w:szCs w:val="20"/>
                <w:shd w:val="solid" w:color="000000" w:fill="000000"/>
                <w:fitText w:val="10" w:id="-1500860402"/>
                <w14:textFill>
                  <w14:solidFill>
                    <w14:srgbClr w14:val="000000">
                      <w14:alpha w14:val="100000"/>
                    </w14:srgbClr>
                  </w14:solidFill>
                </w14:textFill>
              </w:rPr>
              <w:t xml:space="preserve">　</w:t>
            </w:r>
            <w:r w:rsidRPr="00AA723C">
              <w:rPr>
                <w:color w:val="000000"/>
                <w:w w:val="15"/>
                <w:szCs w:val="20"/>
                <w:shd w:val="solid" w:color="000000" w:fill="000000"/>
                <w:fitText w:val="10" w:id="-1500860402"/>
                <w14:textFill>
                  <w14:solidFill>
                    <w14:srgbClr w14:val="000000">
                      <w14:alpha w14:val="100000"/>
                    </w14:srgbClr>
                  </w14:solidFill>
                </w14:textFill>
              </w:rPr>
              <w:t>|</w:t>
            </w:r>
            <w:r w:rsidRPr="00AA723C">
              <w:rPr>
                <w:rFonts w:hint="eastAsia"/>
                <w:color w:val="000000"/>
                <w:spacing w:val="-56"/>
                <w:w w:val="15"/>
                <w:szCs w:val="20"/>
                <w:shd w:val="solid" w:color="000000" w:fill="000000"/>
                <w:fitText w:val="10" w:id="-1500860402"/>
                <w14:textFill>
                  <w14:solidFill>
                    <w14:srgbClr w14:val="000000">
                      <w14:alpha w14:val="100000"/>
                    </w14:srgbClr>
                  </w14:solidFill>
                </w14:textFill>
              </w:rPr>
              <w:t xml:space="preserve">　</w:t>
            </w:r>
            <w:r w:rsidR="003E6AEB" w:rsidRPr="003E6AEB">
              <w:rPr>
                <w:szCs w:val="20"/>
                <w:vertAlign w:val="superscript"/>
              </w:rPr>
              <w:t>5</w:t>
            </w:r>
          </w:p>
        </w:tc>
        <w:tc>
          <w:tcPr>
            <w:tcW w:w="649" w:type="pct"/>
            <w:tcBorders>
              <w:bottom w:val="single" w:sz="4" w:space="0" w:color="auto"/>
            </w:tcBorders>
            <w:vAlign w:val="center"/>
          </w:tcPr>
          <w:p w14:paraId="1C30F331" w14:textId="0A92D506" w:rsidR="000B51DE" w:rsidRPr="00BB5075" w:rsidRDefault="00B85535" w:rsidP="000B51DE">
            <w:pPr>
              <w:pStyle w:val="TableText0"/>
              <w:jc w:val="center"/>
              <w:rPr>
                <w:color w:val="000000"/>
                <w:highlight w:val="yellow"/>
              </w:rPr>
            </w:pPr>
            <w:r w:rsidRPr="00AA723C">
              <w:rPr>
                <w:rFonts w:hint="eastAsia"/>
                <w:color w:val="000000"/>
                <w:w w:val="15"/>
                <w:szCs w:val="20"/>
                <w:shd w:val="solid" w:color="000000" w:fill="000000"/>
                <w:fitText w:val="20" w:id="-1500860401"/>
                <w14:textFill>
                  <w14:solidFill>
                    <w14:srgbClr w14:val="000000">
                      <w14:alpha w14:val="100000"/>
                    </w14:srgbClr>
                  </w14:solidFill>
                </w14:textFill>
              </w:rPr>
              <w:t xml:space="preserve">　</w:t>
            </w:r>
            <w:r w:rsidRPr="00AA723C">
              <w:rPr>
                <w:color w:val="000000"/>
                <w:w w:val="15"/>
                <w:szCs w:val="20"/>
                <w:shd w:val="solid" w:color="000000" w:fill="000000"/>
                <w:fitText w:val="20" w:id="-1500860401"/>
                <w14:textFill>
                  <w14:solidFill>
                    <w14:srgbClr w14:val="000000">
                      <w14:alpha w14:val="100000"/>
                    </w14:srgbClr>
                  </w14:solidFill>
                </w14:textFill>
              </w:rPr>
              <w:t>|</w:t>
            </w:r>
            <w:r w:rsidRPr="00AA723C">
              <w:rPr>
                <w:rFonts w:hint="eastAsia"/>
                <w:color w:val="000000"/>
                <w:spacing w:val="-46"/>
                <w:w w:val="15"/>
                <w:szCs w:val="20"/>
                <w:shd w:val="solid" w:color="000000" w:fill="000000"/>
                <w:fitText w:val="20" w:id="-1500860401"/>
                <w14:textFill>
                  <w14:solidFill>
                    <w14:srgbClr w14:val="000000">
                      <w14:alpha w14:val="100000"/>
                    </w14:srgbClr>
                  </w14:solidFill>
                </w14:textFill>
              </w:rPr>
              <w:t xml:space="preserve">　</w:t>
            </w:r>
            <w:r w:rsidR="003E6AEB" w:rsidRPr="003E6AEB">
              <w:rPr>
                <w:szCs w:val="20"/>
                <w:vertAlign w:val="superscript"/>
              </w:rPr>
              <w:t>5</w:t>
            </w:r>
          </w:p>
        </w:tc>
      </w:tr>
      <w:tr w:rsidR="007D00B1" w:rsidRPr="00C80985" w14:paraId="20CD2B25" w14:textId="77777777" w:rsidTr="00B85535">
        <w:tc>
          <w:tcPr>
            <w:tcW w:w="1116" w:type="pct"/>
            <w:shd w:val="clear" w:color="auto" w:fill="95B3D7" w:themeFill="accent1" w:themeFillTint="99"/>
          </w:tcPr>
          <w:p w14:paraId="6323FC1C" w14:textId="28F331B5" w:rsidR="003A666B" w:rsidRPr="00C80985" w:rsidRDefault="003A666B" w:rsidP="003A666B">
            <w:pPr>
              <w:pStyle w:val="TableText0"/>
            </w:pPr>
            <w:r w:rsidRPr="00C80985">
              <w:rPr>
                <w:szCs w:val="20"/>
              </w:rPr>
              <w:t>Nov 2020 scripts</w:t>
            </w:r>
            <w:r w:rsidR="0091392C">
              <w:rPr>
                <w:szCs w:val="20"/>
              </w:rPr>
              <w:t xml:space="preserve"> for adult and adolescents</w:t>
            </w:r>
          </w:p>
        </w:tc>
        <w:tc>
          <w:tcPr>
            <w:tcW w:w="647" w:type="pct"/>
            <w:shd w:val="clear" w:color="auto" w:fill="95B3D7" w:themeFill="accent1" w:themeFillTint="99"/>
            <w:vAlign w:val="center"/>
          </w:tcPr>
          <w:p w14:paraId="768BAD4A" w14:textId="10AD94A8" w:rsidR="003A666B" w:rsidRPr="003E6AEB" w:rsidRDefault="00B85535" w:rsidP="003A666B">
            <w:pPr>
              <w:pStyle w:val="TableText0"/>
              <w:jc w:val="center"/>
              <w:rPr>
                <w:szCs w:val="20"/>
                <w:highlight w:val="yellow"/>
                <w:vertAlign w:val="superscript"/>
              </w:rPr>
            </w:pPr>
            <w:r w:rsidRPr="00AA723C">
              <w:rPr>
                <w:rFonts w:cs="Calibri" w:hint="eastAsia"/>
                <w:color w:val="000000"/>
                <w:w w:val="15"/>
                <w:szCs w:val="20"/>
                <w:shd w:val="solid" w:color="000000" w:fill="000000"/>
                <w:fitText w:val="10" w:id="-1500860400"/>
                <w14:textFill>
                  <w14:solidFill>
                    <w14:srgbClr w14:val="000000">
                      <w14:alpha w14:val="100000"/>
                    </w14:srgbClr>
                  </w14:solidFill>
                </w14:textFill>
              </w:rPr>
              <w:t xml:space="preserve">　</w:t>
            </w:r>
            <w:r w:rsidRPr="00AA723C">
              <w:rPr>
                <w:rFonts w:cs="Calibri"/>
                <w:color w:val="000000"/>
                <w:w w:val="15"/>
                <w:szCs w:val="20"/>
                <w:shd w:val="solid" w:color="000000" w:fill="000000"/>
                <w:fitText w:val="10" w:id="-1500860400"/>
                <w14:textFill>
                  <w14:solidFill>
                    <w14:srgbClr w14:val="000000">
                      <w14:alpha w14:val="100000"/>
                    </w14:srgbClr>
                  </w14:solidFill>
                </w14:textFill>
              </w:rPr>
              <w:t>|</w:t>
            </w:r>
            <w:r w:rsidRPr="00AA723C">
              <w:rPr>
                <w:rFonts w:cs="Calibri" w:hint="eastAsia"/>
                <w:color w:val="000000"/>
                <w:spacing w:val="-56"/>
                <w:w w:val="15"/>
                <w:szCs w:val="20"/>
                <w:shd w:val="solid" w:color="000000" w:fill="000000"/>
                <w:fitText w:val="10" w:id="-1500860400"/>
                <w14:textFill>
                  <w14:solidFill>
                    <w14:srgbClr w14:val="000000">
                      <w14:alpha w14:val="100000"/>
                    </w14:srgbClr>
                  </w14:solidFill>
                </w14:textFill>
              </w:rPr>
              <w:t xml:space="preserve">　</w:t>
            </w:r>
            <w:r w:rsidR="003E6AEB">
              <w:rPr>
                <w:rFonts w:cs="Calibri"/>
                <w:color w:val="000000"/>
                <w:szCs w:val="20"/>
                <w:vertAlign w:val="superscript"/>
              </w:rPr>
              <w:t>6</w:t>
            </w:r>
          </w:p>
        </w:tc>
        <w:tc>
          <w:tcPr>
            <w:tcW w:w="647" w:type="pct"/>
            <w:shd w:val="solid" w:color="000000" w:fill="000000"/>
            <w:vAlign w:val="center"/>
          </w:tcPr>
          <w:p w14:paraId="6783D808" w14:textId="57EEE4E1" w:rsidR="003A666B" w:rsidRPr="00B85535" w:rsidRDefault="00B85535" w:rsidP="003A666B">
            <w:pPr>
              <w:pStyle w:val="TableText0"/>
              <w:jc w:val="center"/>
              <w:rPr>
                <w:szCs w:val="20"/>
                <w:vertAlign w:val="superscript"/>
              </w:rPr>
            </w:pPr>
            <w:r w:rsidRPr="00B85535">
              <w:rPr>
                <w:rFonts w:cs="Calibri"/>
                <w:color w:val="000000"/>
                <w:szCs w:val="20"/>
                <w14:textFill>
                  <w14:solidFill>
                    <w14:srgbClr w14:val="000000">
                      <w14:alpha w14:val="100000"/>
                    </w14:srgbClr>
                  </w14:solidFill>
                </w14:textFill>
              </w:rPr>
              <w:t>|</w:t>
            </w:r>
          </w:p>
        </w:tc>
        <w:tc>
          <w:tcPr>
            <w:tcW w:w="647" w:type="pct"/>
            <w:shd w:val="clear" w:color="auto" w:fill="95B3D7" w:themeFill="accent1" w:themeFillTint="99"/>
            <w:vAlign w:val="center"/>
          </w:tcPr>
          <w:p w14:paraId="48039754" w14:textId="2FA384DC" w:rsidR="003A666B" w:rsidRPr="00BB5075" w:rsidRDefault="00B85535" w:rsidP="003A666B">
            <w:pPr>
              <w:pStyle w:val="TableText0"/>
              <w:jc w:val="center"/>
              <w:rPr>
                <w:szCs w:val="20"/>
                <w:highlight w:val="yellow"/>
              </w:rPr>
            </w:pPr>
            <w:r w:rsidRPr="00B85535">
              <w:rPr>
                <w:rFonts w:cs="Calibri"/>
                <w:color w:val="000000"/>
                <w:spacing w:val="154"/>
                <w:szCs w:val="20"/>
                <w:shd w:val="solid" w:color="000000" w:fill="000000"/>
                <w:fitText w:val="240" w:id="-1500860416"/>
                <w14:textFill>
                  <w14:solidFill>
                    <w14:srgbClr w14:val="000000">
                      <w14:alpha w14:val="100000"/>
                    </w14:srgbClr>
                  </w14:solidFill>
                </w14:textFill>
              </w:rPr>
              <w:t>|</w:t>
            </w:r>
            <w:r w:rsidRPr="00B85535">
              <w:rPr>
                <w:rFonts w:cs="Calibri"/>
                <w:color w:val="000000"/>
                <w:spacing w:val="1"/>
                <w:szCs w:val="20"/>
                <w:shd w:val="solid" w:color="000000" w:fill="000000"/>
                <w:fitText w:val="240" w:id="-1500860416"/>
                <w14:textFill>
                  <w14:solidFill>
                    <w14:srgbClr w14:val="000000">
                      <w14:alpha w14:val="100000"/>
                    </w14:srgbClr>
                  </w14:solidFill>
                </w14:textFill>
              </w:rPr>
              <w:t>|</w:t>
            </w:r>
            <w:r w:rsidR="005D57D7" w:rsidRPr="005D57D7">
              <w:rPr>
                <w:rFonts w:cs="Calibri"/>
                <w:color w:val="000000"/>
                <w:szCs w:val="20"/>
                <w:vertAlign w:val="superscript"/>
              </w:rPr>
              <w:t>8</w:t>
            </w:r>
            <w:r w:rsidRPr="00B85535">
              <w:rPr>
                <w:rFonts w:cs="Calibri" w:hint="eastAsia"/>
                <w:color w:val="000000"/>
                <w:w w:val="35"/>
                <w:szCs w:val="20"/>
                <w:shd w:val="solid" w:color="000000" w:fill="000000"/>
                <w:fitText w:val="130" w:id="-1500860415"/>
                <w:vertAlign w:val="superscript"/>
                <w14:textFill>
                  <w14:solidFill>
                    <w14:srgbClr w14:val="000000">
                      <w14:alpha w14:val="100000"/>
                    </w14:srgbClr>
                  </w14:solidFill>
                </w14:textFill>
              </w:rPr>
              <w:t xml:space="preserve">　</w:t>
            </w:r>
            <w:r w:rsidRPr="00B85535">
              <w:rPr>
                <w:rFonts w:cs="Calibri"/>
                <w:color w:val="000000"/>
                <w:w w:val="35"/>
                <w:szCs w:val="20"/>
                <w:shd w:val="solid" w:color="000000" w:fill="000000"/>
                <w:fitText w:val="130" w:id="-1500860415"/>
                <w14:textFill>
                  <w14:solidFill>
                    <w14:srgbClr w14:val="000000">
                      <w14:alpha w14:val="100000"/>
                    </w14:srgbClr>
                  </w14:solidFill>
                </w14:textFill>
              </w:rPr>
              <w:t>|</w:t>
            </w:r>
            <w:r w:rsidRPr="00B85535">
              <w:rPr>
                <w:rFonts w:cs="Calibri" w:hint="eastAsia"/>
                <w:color w:val="000000"/>
                <w:spacing w:val="5"/>
                <w:w w:val="35"/>
                <w:szCs w:val="20"/>
                <w:shd w:val="solid" w:color="000000" w:fill="000000"/>
                <w:fitText w:val="130" w:id="-1500860415"/>
                <w14:textFill>
                  <w14:solidFill>
                    <w14:srgbClr w14:val="000000">
                      <w14:alpha w14:val="100000"/>
                    </w14:srgbClr>
                  </w14:solidFill>
                </w14:textFill>
              </w:rPr>
              <w:t xml:space="preserve">　</w:t>
            </w:r>
          </w:p>
        </w:tc>
        <w:tc>
          <w:tcPr>
            <w:tcW w:w="647" w:type="pct"/>
            <w:shd w:val="clear" w:color="auto" w:fill="95B3D7" w:themeFill="accent1" w:themeFillTint="99"/>
            <w:vAlign w:val="center"/>
          </w:tcPr>
          <w:p w14:paraId="4CD144FC" w14:textId="79F9722A" w:rsidR="003A666B" w:rsidRPr="005D57D7" w:rsidRDefault="00B85535" w:rsidP="003A666B">
            <w:pPr>
              <w:pStyle w:val="TableText0"/>
              <w:jc w:val="center"/>
              <w:rPr>
                <w:szCs w:val="20"/>
                <w:highlight w:val="yellow"/>
                <w:vertAlign w:val="superscript"/>
              </w:rPr>
            </w:pPr>
            <w:r w:rsidRPr="00AA723C">
              <w:rPr>
                <w:rFonts w:cs="Calibri" w:hint="eastAsia"/>
                <w:color w:val="000000"/>
                <w:w w:val="15"/>
                <w:szCs w:val="20"/>
                <w:shd w:val="solid" w:color="000000" w:fill="000000"/>
                <w:fitText w:val="10" w:id="-1500860414"/>
                <w14:textFill>
                  <w14:solidFill>
                    <w14:srgbClr w14:val="000000">
                      <w14:alpha w14:val="100000"/>
                    </w14:srgbClr>
                  </w14:solidFill>
                </w14:textFill>
              </w:rPr>
              <w:t xml:space="preserve">　</w:t>
            </w:r>
            <w:r w:rsidRPr="00AA723C">
              <w:rPr>
                <w:rFonts w:cs="Calibri"/>
                <w:color w:val="000000"/>
                <w:w w:val="15"/>
                <w:szCs w:val="20"/>
                <w:shd w:val="solid" w:color="000000" w:fill="000000"/>
                <w:fitText w:val="10" w:id="-1500860414"/>
                <w14:textFill>
                  <w14:solidFill>
                    <w14:srgbClr w14:val="000000">
                      <w14:alpha w14:val="100000"/>
                    </w14:srgbClr>
                  </w14:solidFill>
                </w14:textFill>
              </w:rPr>
              <w:t>|</w:t>
            </w:r>
            <w:r w:rsidRPr="00AA723C">
              <w:rPr>
                <w:rFonts w:cs="Calibri" w:hint="eastAsia"/>
                <w:color w:val="000000"/>
                <w:spacing w:val="-56"/>
                <w:w w:val="15"/>
                <w:szCs w:val="20"/>
                <w:shd w:val="solid" w:color="000000" w:fill="000000"/>
                <w:fitText w:val="10" w:id="-1500860414"/>
                <w14:textFill>
                  <w14:solidFill>
                    <w14:srgbClr w14:val="000000">
                      <w14:alpha w14:val="100000"/>
                    </w14:srgbClr>
                  </w14:solidFill>
                </w14:textFill>
              </w:rPr>
              <w:t xml:space="preserve">　</w:t>
            </w:r>
            <w:r w:rsidR="005D57D7" w:rsidRPr="005D57D7">
              <w:rPr>
                <w:rFonts w:cs="Calibri"/>
                <w:color w:val="000000"/>
                <w:szCs w:val="20"/>
                <w:vertAlign w:val="superscript"/>
              </w:rPr>
              <w:t>9</w:t>
            </w:r>
          </w:p>
        </w:tc>
        <w:tc>
          <w:tcPr>
            <w:tcW w:w="647" w:type="pct"/>
            <w:shd w:val="clear" w:color="auto" w:fill="95B3D7" w:themeFill="accent1" w:themeFillTint="99"/>
            <w:vAlign w:val="center"/>
          </w:tcPr>
          <w:p w14:paraId="13505EBA" w14:textId="0465BD8D" w:rsidR="003A666B" w:rsidRPr="005D57D7" w:rsidRDefault="00B85535" w:rsidP="003A666B">
            <w:pPr>
              <w:pStyle w:val="TableText0"/>
              <w:jc w:val="center"/>
              <w:rPr>
                <w:szCs w:val="20"/>
                <w:highlight w:val="yellow"/>
                <w:vertAlign w:val="superscript"/>
              </w:rPr>
            </w:pPr>
            <w:r w:rsidRPr="00B85535">
              <w:rPr>
                <w:rFonts w:cs="Calibri" w:hint="eastAsia"/>
                <w:color w:val="000000"/>
                <w:w w:val="15"/>
                <w:szCs w:val="20"/>
                <w:shd w:val="solid" w:color="000000" w:fill="000000"/>
                <w:fitText w:val="40" w:id="-1500860413"/>
                <w14:textFill>
                  <w14:solidFill>
                    <w14:srgbClr w14:val="000000">
                      <w14:alpha w14:val="100000"/>
                    </w14:srgbClr>
                  </w14:solidFill>
                </w14:textFill>
              </w:rPr>
              <w:t xml:space="preserve">　</w:t>
            </w:r>
            <w:r w:rsidRPr="00B85535">
              <w:rPr>
                <w:rFonts w:cs="Calibri"/>
                <w:color w:val="000000"/>
                <w:w w:val="15"/>
                <w:szCs w:val="20"/>
                <w:shd w:val="solid" w:color="000000" w:fill="000000"/>
                <w:fitText w:val="40" w:id="-1500860413"/>
                <w14:textFill>
                  <w14:solidFill>
                    <w14:srgbClr w14:val="000000">
                      <w14:alpha w14:val="100000"/>
                    </w14:srgbClr>
                  </w14:solidFill>
                </w14:textFill>
              </w:rPr>
              <w:t>|</w:t>
            </w:r>
            <w:r w:rsidRPr="00B85535">
              <w:rPr>
                <w:rFonts w:cs="Calibri" w:hint="eastAsia"/>
                <w:color w:val="000000"/>
                <w:spacing w:val="-25"/>
                <w:w w:val="15"/>
                <w:szCs w:val="20"/>
                <w:shd w:val="solid" w:color="000000" w:fill="000000"/>
                <w:fitText w:val="40" w:id="-1500860413"/>
                <w14:textFill>
                  <w14:solidFill>
                    <w14:srgbClr w14:val="000000">
                      <w14:alpha w14:val="100000"/>
                    </w14:srgbClr>
                  </w14:solidFill>
                </w14:textFill>
              </w:rPr>
              <w:t xml:space="preserve">　</w:t>
            </w:r>
            <w:r w:rsidR="005D57D7" w:rsidRPr="005D57D7">
              <w:rPr>
                <w:rFonts w:cs="Calibri"/>
                <w:color w:val="000000"/>
                <w:szCs w:val="20"/>
                <w:vertAlign w:val="superscript"/>
              </w:rPr>
              <w:t>10</w:t>
            </w:r>
          </w:p>
        </w:tc>
        <w:tc>
          <w:tcPr>
            <w:tcW w:w="649" w:type="pct"/>
            <w:shd w:val="clear" w:color="auto" w:fill="95B3D7" w:themeFill="accent1" w:themeFillTint="99"/>
            <w:vAlign w:val="center"/>
          </w:tcPr>
          <w:p w14:paraId="0D4EBD9F" w14:textId="6F277AA3" w:rsidR="003A666B" w:rsidRPr="00BB5075" w:rsidRDefault="00B85535" w:rsidP="003A666B">
            <w:pPr>
              <w:pStyle w:val="TableText0"/>
              <w:jc w:val="center"/>
              <w:rPr>
                <w:szCs w:val="20"/>
                <w:highlight w:val="yellow"/>
              </w:rPr>
            </w:pPr>
            <w:r w:rsidRPr="00B85535">
              <w:rPr>
                <w:rFonts w:cs="Calibri"/>
                <w:color w:val="000000"/>
                <w:spacing w:val="184"/>
                <w:szCs w:val="20"/>
                <w:shd w:val="solid" w:color="000000" w:fill="000000"/>
                <w:fitText w:val="270" w:id="-1500860412"/>
                <w14:textFill>
                  <w14:solidFill>
                    <w14:srgbClr w14:val="000000">
                      <w14:alpha w14:val="100000"/>
                    </w14:srgbClr>
                  </w14:solidFill>
                </w14:textFill>
              </w:rPr>
              <w:t>|</w:t>
            </w:r>
            <w:r w:rsidRPr="00B85535">
              <w:rPr>
                <w:rFonts w:cs="Calibri"/>
                <w:color w:val="000000"/>
                <w:spacing w:val="1"/>
                <w:szCs w:val="20"/>
                <w:shd w:val="solid" w:color="000000" w:fill="000000"/>
                <w:fitText w:val="270" w:id="-1500860412"/>
                <w14:textFill>
                  <w14:solidFill>
                    <w14:srgbClr w14:val="000000">
                      <w14:alpha w14:val="100000"/>
                    </w14:srgbClr>
                  </w14:solidFill>
                </w14:textFill>
              </w:rPr>
              <w:t>|</w:t>
            </w:r>
            <w:r w:rsidR="005D57D7" w:rsidRPr="005D57D7">
              <w:rPr>
                <w:rFonts w:cs="Calibri"/>
                <w:color w:val="000000"/>
                <w:szCs w:val="20"/>
                <w:vertAlign w:val="superscript"/>
              </w:rPr>
              <w:t>11</w:t>
            </w:r>
            <w:r w:rsidRPr="00B85535">
              <w:rPr>
                <w:rFonts w:cs="Calibri"/>
                <w:color w:val="000000"/>
                <w:spacing w:val="104"/>
                <w:szCs w:val="20"/>
                <w:shd w:val="solid" w:color="000000" w:fill="000000"/>
                <w:fitText w:val="190" w:id="-1500860160"/>
                <w14:textFill>
                  <w14:solidFill>
                    <w14:srgbClr w14:val="000000">
                      <w14:alpha w14:val="100000"/>
                    </w14:srgbClr>
                  </w14:solidFill>
                </w14:textFill>
              </w:rPr>
              <w:t>|</w:t>
            </w:r>
            <w:r w:rsidRPr="00B85535">
              <w:rPr>
                <w:rFonts w:cs="Calibri"/>
                <w:color w:val="000000"/>
                <w:spacing w:val="1"/>
                <w:szCs w:val="20"/>
                <w:shd w:val="solid" w:color="000000" w:fill="000000"/>
                <w:fitText w:val="190" w:id="-1500860160"/>
                <w14:textFill>
                  <w14:solidFill>
                    <w14:srgbClr w14:val="000000">
                      <w14:alpha w14:val="100000"/>
                    </w14:srgbClr>
                  </w14:solidFill>
                </w14:textFill>
              </w:rPr>
              <w:t>|</w:t>
            </w:r>
          </w:p>
        </w:tc>
      </w:tr>
      <w:tr w:rsidR="007D00B1" w:rsidRPr="00C80985" w14:paraId="1E699D47" w14:textId="77777777" w:rsidTr="005304E0">
        <w:tc>
          <w:tcPr>
            <w:tcW w:w="4997" w:type="pct"/>
            <w:gridSpan w:val="7"/>
            <w:shd w:val="clear" w:color="auto" w:fill="auto"/>
            <w:vAlign w:val="center"/>
          </w:tcPr>
          <w:p w14:paraId="7D0E0884" w14:textId="0068F851" w:rsidR="00385A9D" w:rsidRPr="00C80985" w:rsidRDefault="00385A9D" w:rsidP="00606FBA">
            <w:pPr>
              <w:pStyle w:val="In-tableHeading"/>
              <w:rPr>
                <w:lang w:val="en-AU"/>
              </w:rPr>
            </w:pPr>
            <w:r w:rsidRPr="00C80985">
              <w:rPr>
                <w:lang w:val="en-AU"/>
              </w:rPr>
              <w:t xml:space="preserve">Estimated financial implications of </w:t>
            </w:r>
            <w:r w:rsidR="000B51DE" w:rsidRPr="00C80985">
              <w:rPr>
                <w:lang w:val="en-AU"/>
              </w:rPr>
              <w:t>dupilumab for paediatric severe AD</w:t>
            </w:r>
          </w:p>
        </w:tc>
      </w:tr>
      <w:tr w:rsidR="00BF7E34" w:rsidRPr="00C80985" w14:paraId="4B4ACF1A" w14:textId="77777777" w:rsidTr="003A666B">
        <w:tc>
          <w:tcPr>
            <w:tcW w:w="1116" w:type="pct"/>
            <w:tcBorders>
              <w:bottom w:val="single" w:sz="4" w:space="0" w:color="auto"/>
            </w:tcBorders>
            <w:shd w:val="clear" w:color="auto" w:fill="auto"/>
            <w:vAlign w:val="center"/>
          </w:tcPr>
          <w:p w14:paraId="467993BD" w14:textId="77777777" w:rsidR="000B51DE" w:rsidRPr="00C80985" w:rsidRDefault="000B51DE" w:rsidP="000B51DE">
            <w:pPr>
              <w:pStyle w:val="TableText0"/>
              <w:rPr>
                <w:sz w:val="19"/>
                <w:szCs w:val="19"/>
              </w:rPr>
            </w:pPr>
            <w:r w:rsidRPr="00C80985">
              <w:rPr>
                <w:sz w:val="19"/>
                <w:szCs w:val="19"/>
              </w:rPr>
              <w:t xml:space="preserve">Cost to PBS/RPBS less </w:t>
            </w:r>
            <w:proofErr w:type="spellStart"/>
            <w:r w:rsidRPr="00C80985">
              <w:rPr>
                <w:sz w:val="19"/>
                <w:szCs w:val="19"/>
              </w:rPr>
              <w:t>copayments</w:t>
            </w:r>
            <w:proofErr w:type="spellEnd"/>
          </w:p>
        </w:tc>
        <w:tc>
          <w:tcPr>
            <w:tcW w:w="647" w:type="pct"/>
            <w:tcBorders>
              <w:bottom w:val="single" w:sz="4" w:space="0" w:color="auto"/>
            </w:tcBorders>
            <w:shd w:val="clear" w:color="auto" w:fill="auto"/>
            <w:vAlign w:val="center"/>
          </w:tcPr>
          <w:p w14:paraId="4125A2B6" w14:textId="690C309A" w:rsidR="000B51DE" w:rsidRPr="00C84DE0" w:rsidRDefault="00B85535" w:rsidP="000B51DE">
            <w:pPr>
              <w:pStyle w:val="TableText0"/>
              <w:jc w:val="center"/>
              <w:rPr>
                <w:highlight w:val="yellow"/>
                <w:vertAlign w:val="superscript"/>
              </w:rPr>
            </w:pPr>
            <w:r w:rsidRPr="00B85535">
              <w:rPr>
                <w:rFonts w:hint="eastAsia"/>
                <w:color w:val="000000"/>
                <w:w w:val="15"/>
                <w:szCs w:val="20"/>
                <w:shd w:val="solid" w:color="000000" w:fill="000000"/>
                <w:fitText w:val="40" w:id="-1500860159"/>
                <w14:textFill>
                  <w14:solidFill>
                    <w14:srgbClr w14:val="000000">
                      <w14:alpha w14:val="100000"/>
                    </w14:srgbClr>
                  </w14:solidFill>
                </w14:textFill>
              </w:rPr>
              <w:t xml:space="preserve">　</w:t>
            </w:r>
            <w:r w:rsidRPr="00B85535">
              <w:rPr>
                <w:color w:val="000000"/>
                <w:w w:val="15"/>
                <w:szCs w:val="20"/>
                <w:shd w:val="solid" w:color="000000" w:fill="000000"/>
                <w:fitText w:val="40" w:id="-1500860159"/>
                <w14:textFill>
                  <w14:solidFill>
                    <w14:srgbClr w14:val="000000">
                      <w14:alpha w14:val="100000"/>
                    </w14:srgbClr>
                  </w14:solidFill>
                </w14:textFill>
              </w:rPr>
              <w:t>|</w:t>
            </w:r>
            <w:r w:rsidRPr="00B85535">
              <w:rPr>
                <w:rFonts w:hint="eastAsia"/>
                <w:color w:val="000000"/>
                <w:spacing w:val="-25"/>
                <w:w w:val="15"/>
                <w:szCs w:val="20"/>
                <w:shd w:val="solid" w:color="000000" w:fill="000000"/>
                <w:fitText w:val="40" w:id="-1500860159"/>
                <w14:textFill>
                  <w14:solidFill>
                    <w14:srgbClr w14:val="000000">
                      <w14:alpha w14:val="100000"/>
                    </w14:srgbClr>
                  </w14:solidFill>
                </w14:textFill>
              </w:rPr>
              <w:t xml:space="preserve">　</w:t>
            </w:r>
            <w:r w:rsidR="00C84DE0" w:rsidRPr="00C84DE0">
              <w:rPr>
                <w:szCs w:val="20"/>
                <w:vertAlign w:val="superscript"/>
              </w:rPr>
              <w:t>12</w:t>
            </w:r>
          </w:p>
        </w:tc>
        <w:tc>
          <w:tcPr>
            <w:tcW w:w="647" w:type="pct"/>
            <w:tcBorders>
              <w:bottom w:val="single" w:sz="4" w:space="0" w:color="auto"/>
            </w:tcBorders>
            <w:shd w:val="clear" w:color="auto" w:fill="auto"/>
            <w:vAlign w:val="center"/>
          </w:tcPr>
          <w:p w14:paraId="5BDFECEB" w14:textId="0BE9654B" w:rsidR="000B51DE" w:rsidRPr="00C84DE0" w:rsidRDefault="00B85535" w:rsidP="000B51DE">
            <w:pPr>
              <w:pStyle w:val="TableText0"/>
              <w:jc w:val="center"/>
              <w:rPr>
                <w:highlight w:val="yellow"/>
                <w:vertAlign w:val="superscript"/>
              </w:rPr>
            </w:pPr>
            <w:r w:rsidRPr="00B85535">
              <w:rPr>
                <w:rFonts w:hint="eastAsia"/>
                <w:color w:val="000000"/>
                <w:w w:val="15"/>
                <w:szCs w:val="20"/>
                <w:shd w:val="solid" w:color="000000" w:fill="000000"/>
                <w:fitText w:val="40" w:id="-1500860158"/>
                <w14:textFill>
                  <w14:solidFill>
                    <w14:srgbClr w14:val="000000">
                      <w14:alpha w14:val="100000"/>
                    </w14:srgbClr>
                  </w14:solidFill>
                </w14:textFill>
              </w:rPr>
              <w:t xml:space="preserve">　</w:t>
            </w:r>
            <w:r w:rsidRPr="00B85535">
              <w:rPr>
                <w:color w:val="000000"/>
                <w:w w:val="15"/>
                <w:szCs w:val="20"/>
                <w:shd w:val="solid" w:color="000000" w:fill="000000"/>
                <w:fitText w:val="40" w:id="-1500860158"/>
                <w14:textFill>
                  <w14:solidFill>
                    <w14:srgbClr w14:val="000000">
                      <w14:alpha w14:val="100000"/>
                    </w14:srgbClr>
                  </w14:solidFill>
                </w14:textFill>
              </w:rPr>
              <w:t>|</w:t>
            </w:r>
            <w:r w:rsidRPr="00B85535">
              <w:rPr>
                <w:rFonts w:hint="eastAsia"/>
                <w:color w:val="000000"/>
                <w:spacing w:val="-25"/>
                <w:w w:val="15"/>
                <w:szCs w:val="20"/>
                <w:shd w:val="solid" w:color="000000" w:fill="000000"/>
                <w:fitText w:val="40" w:id="-1500860158"/>
                <w14:textFill>
                  <w14:solidFill>
                    <w14:srgbClr w14:val="000000">
                      <w14:alpha w14:val="100000"/>
                    </w14:srgbClr>
                  </w14:solidFill>
                </w14:textFill>
              </w:rPr>
              <w:t xml:space="preserve">　</w:t>
            </w:r>
            <w:r w:rsidR="00C84DE0" w:rsidRPr="00C84DE0">
              <w:rPr>
                <w:szCs w:val="20"/>
                <w:vertAlign w:val="superscript"/>
              </w:rPr>
              <w:t>14</w:t>
            </w:r>
          </w:p>
        </w:tc>
        <w:tc>
          <w:tcPr>
            <w:tcW w:w="647" w:type="pct"/>
            <w:tcBorders>
              <w:bottom w:val="single" w:sz="4" w:space="0" w:color="auto"/>
            </w:tcBorders>
            <w:shd w:val="clear" w:color="auto" w:fill="auto"/>
            <w:vAlign w:val="center"/>
          </w:tcPr>
          <w:p w14:paraId="3890D42E" w14:textId="36520834" w:rsidR="000B51DE" w:rsidRPr="00BB5075" w:rsidRDefault="00B85535" w:rsidP="000B51DE">
            <w:pPr>
              <w:pStyle w:val="TableText0"/>
              <w:jc w:val="center"/>
              <w:rPr>
                <w:highlight w:val="yellow"/>
              </w:rPr>
            </w:pPr>
            <w:r w:rsidRPr="00B85535">
              <w:rPr>
                <w:rFonts w:hint="eastAsia"/>
                <w:color w:val="000000"/>
                <w:w w:val="15"/>
                <w:szCs w:val="20"/>
                <w:shd w:val="solid" w:color="000000" w:fill="000000"/>
                <w:fitText w:val="40" w:id="-1500860157"/>
                <w14:textFill>
                  <w14:solidFill>
                    <w14:srgbClr w14:val="000000">
                      <w14:alpha w14:val="100000"/>
                    </w14:srgbClr>
                  </w14:solidFill>
                </w14:textFill>
              </w:rPr>
              <w:t xml:space="preserve">　</w:t>
            </w:r>
            <w:r w:rsidRPr="00B85535">
              <w:rPr>
                <w:color w:val="000000"/>
                <w:w w:val="15"/>
                <w:szCs w:val="20"/>
                <w:shd w:val="solid" w:color="000000" w:fill="000000"/>
                <w:fitText w:val="40" w:id="-1500860157"/>
                <w14:textFill>
                  <w14:solidFill>
                    <w14:srgbClr w14:val="000000">
                      <w14:alpha w14:val="100000"/>
                    </w14:srgbClr>
                  </w14:solidFill>
                </w14:textFill>
              </w:rPr>
              <w:t>|</w:t>
            </w:r>
            <w:r w:rsidRPr="00B85535">
              <w:rPr>
                <w:rFonts w:hint="eastAsia"/>
                <w:color w:val="000000"/>
                <w:spacing w:val="-25"/>
                <w:w w:val="15"/>
                <w:szCs w:val="20"/>
                <w:shd w:val="solid" w:color="000000" w:fill="000000"/>
                <w:fitText w:val="40" w:id="-1500860157"/>
                <w14:textFill>
                  <w14:solidFill>
                    <w14:srgbClr w14:val="000000">
                      <w14:alpha w14:val="100000"/>
                    </w14:srgbClr>
                  </w14:solidFill>
                </w14:textFill>
              </w:rPr>
              <w:t xml:space="preserve">　</w:t>
            </w:r>
            <w:r w:rsidR="00C84DE0" w:rsidRPr="00C84DE0">
              <w:rPr>
                <w:szCs w:val="20"/>
                <w:vertAlign w:val="superscript"/>
              </w:rPr>
              <w:t>14</w:t>
            </w:r>
          </w:p>
        </w:tc>
        <w:tc>
          <w:tcPr>
            <w:tcW w:w="647" w:type="pct"/>
            <w:tcBorders>
              <w:bottom w:val="single" w:sz="4" w:space="0" w:color="auto"/>
            </w:tcBorders>
            <w:shd w:val="clear" w:color="auto" w:fill="auto"/>
            <w:vAlign w:val="center"/>
          </w:tcPr>
          <w:p w14:paraId="2728B643" w14:textId="363943E6" w:rsidR="000B51DE" w:rsidRPr="00BB5075" w:rsidRDefault="00B85535" w:rsidP="000B51DE">
            <w:pPr>
              <w:pStyle w:val="TableText0"/>
              <w:jc w:val="center"/>
              <w:rPr>
                <w:highlight w:val="yellow"/>
              </w:rPr>
            </w:pPr>
            <w:r w:rsidRPr="00B85535">
              <w:rPr>
                <w:rFonts w:hint="eastAsia"/>
                <w:color w:val="000000"/>
                <w:w w:val="15"/>
                <w:szCs w:val="20"/>
                <w:shd w:val="solid" w:color="000000" w:fill="000000"/>
                <w:fitText w:val="40" w:id="-1500860156"/>
                <w14:textFill>
                  <w14:solidFill>
                    <w14:srgbClr w14:val="000000">
                      <w14:alpha w14:val="100000"/>
                    </w14:srgbClr>
                  </w14:solidFill>
                </w14:textFill>
              </w:rPr>
              <w:t xml:space="preserve">　</w:t>
            </w:r>
            <w:r w:rsidRPr="00B85535">
              <w:rPr>
                <w:color w:val="000000"/>
                <w:w w:val="15"/>
                <w:szCs w:val="20"/>
                <w:shd w:val="solid" w:color="000000" w:fill="000000"/>
                <w:fitText w:val="40" w:id="-1500860156"/>
                <w14:textFill>
                  <w14:solidFill>
                    <w14:srgbClr w14:val="000000">
                      <w14:alpha w14:val="100000"/>
                    </w14:srgbClr>
                  </w14:solidFill>
                </w14:textFill>
              </w:rPr>
              <w:t>|</w:t>
            </w:r>
            <w:r w:rsidRPr="00B85535">
              <w:rPr>
                <w:rFonts w:hint="eastAsia"/>
                <w:color w:val="000000"/>
                <w:spacing w:val="-25"/>
                <w:w w:val="15"/>
                <w:szCs w:val="20"/>
                <w:shd w:val="solid" w:color="000000" w:fill="000000"/>
                <w:fitText w:val="40" w:id="-1500860156"/>
                <w14:textFill>
                  <w14:solidFill>
                    <w14:srgbClr w14:val="000000">
                      <w14:alpha w14:val="100000"/>
                    </w14:srgbClr>
                  </w14:solidFill>
                </w14:textFill>
              </w:rPr>
              <w:t xml:space="preserve">　</w:t>
            </w:r>
            <w:r w:rsidR="00C84DE0" w:rsidRPr="00C84DE0">
              <w:rPr>
                <w:szCs w:val="20"/>
                <w:vertAlign w:val="superscript"/>
              </w:rPr>
              <w:t>14</w:t>
            </w:r>
          </w:p>
        </w:tc>
        <w:tc>
          <w:tcPr>
            <w:tcW w:w="647" w:type="pct"/>
            <w:tcBorders>
              <w:bottom w:val="single" w:sz="4" w:space="0" w:color="auto"/>
            </w:tcBorders>
            <w:shd w:val="clear" w:color="auto" w:fill="auto"/>
            <w:vAlign w:val="center"/>
          </w:tcPr>
          <w:p w14:paraId="5FE5021A" w14:textId="1CA1B4FF" w:rsidR="000B51DE" w:rsidRPr="00BB5075" w:rsidRDefault="00B85535" w:rsidP="000B51DE">
            <w:pPr>
              <w:pStyle w:val="TableText0"/>
              <w:jc w:val="center"/>
              <w:rPr>
                <w:highlight w:val="yellow"/>
              </w:rPr>
            </w:pPr>
            <w:r w:rsidRPr="00B85535">
              <w:rPr>
                <w:rFonts w:hint="eastAsia"/>
                <w:color w:val="000000"/>
                <w:w w:val="15"/>
                <w:szCs w:val="20"/>
                <w:shd w:val="solid" w:color="000000" w:fill="000000"/>
                <w:fitText w:val="40" w:id="-1500860155"/>
                <w14:textFill>
                  <w14:solidFill>
                    <w14:srgbClr w14:val="000000">
                      <w14:alpha w14:val="100000"/>
                    </w14:srgbClr>
                  </w14:solidFill>
                </w14:textFill>
              </w:rPr>
              <w:t xml:space="preserve">　</w:t>
            </w:r>
            <w:r w:rsidRPr="00B85535">
              <w:rPr>
                <w:color w:val="000000"/>
                <w:w w:val="15"/>
                <w:szCs w:val="20"/>
                <w:shd w:val="solid" w:color="000000" w:fill="000000"/>
                <w:fitText w:val="40" w:id="-1500860155"/>
                <w14:textFill>
                  <w14:solidFill>
                    <w14:srgbClr w14:val="000000">
                      <w14:alpha w14:val="100000"/>
                    </w14:srgbClr>
                  </w14:solidFill>
                </w14:textFill>
              </w:rPr>
              <w:t>|</w:t>
            </w:r>
            <w:r w:rsidRPr="00B85535">
              <w:rPr>
                <w:rFonts w:hint="eastAsia"/>
                <w:color w:val="000000"/>
                <w:spacing w:val="-25"/>
                <w:w w:val="15"/>
                <w:szCs w:val="20"/>
                <w:shd w:val="solid" w:color="000000" w:fill="000000"/>
                <w:fitText w:val="40" w:id="-1500860155"/>
                <w14:textFill>
                  <w14:solidFill>
                    <w14:srgbClr w14:val="000000">
                      <w14:alpha w14:val="100000"/>
                    </w14:srgbClr>
                  </w14:solidFill>
                </w14:textFill>
              </w:rPr>
              <w:t xml:space="preserve">　</w:t>
            </w:r>
            <w:r w:rsidR="00C84DE0" w:rsidRPr="00C84DE0">
              <w:rPr>
                <w:szCs w:val="20"/>
                <w:vertAlign w:val="superscript"/>
              </w:rPr>
              <w:t>14</w:t>
            </w:r>
          </w:p>
        </w:tc>
        <w:tc>
          <w:tcPr>
            <w:tcW w:w="649" w:type="pct"/>
            <w:tcBorders>
              <w:bottom w:val="single" w:sz="4" w:space="0" w:color="auto"/>
            </w:tcBorders>
            <w:vAlign w:val="center"/>
          </w:tcPr>
          <w:p w14:paraId="6F8E9082" w14:textId="702C5D38" w:rsidR="000B51DE" w:rsidRPr="00BB5075" w:rsidRDefault="00B85535" w:rsidP="000B51DE">
            <w:pPr>
              <w:pStyle w:val="TableText0"/>
              <w:jc w:val="center"/>
              <w:rPr>
                <w:highlight w:val="yellow"/>
              </w:rPr>
            </w:pPr>
            <w:r w:rsidRPr="00B85535">
              <w:rPr>
                <w:rFonts w:hint="eastAsia"/>
                <w:color w:val="000000"/>
                <w:w w:val="15"/>
                <w:szCs w:val="20"/>
                <w:shd w:val="solid" w:color="000000" w:fill="000000"/>
                <w:fitText w:val="50" w:id="-1500860154"/>
                <w14:textFill>
                  <w14:solidFill>
                    <w14:srgbClr w14:val="000000">
                      <w14:alpha w14:val="100000"/>
                    </w14:srgbClr>
                  </w14:solidFill>
                </w14:textFill>
              </w:rPr>
              <w:t xml:space="preserve">　</w:t>
            </w:r>
            <w:r w:rsidRPr="00B85535">
              <w:rPr>
                <w:color w:val="000000"/>
                <w:w w:val="15"/>
                <w:szCs w:val="20"/>
                <w:shd w:val="solid" w:color="000000" w:fill="000000"/>
                <w:fitText w:val="50" w:id="-1500860154"/>
                <w14:textFill>
                  <w14:solidFill>
                    <w14:srgbClr w14:val="000000">
                      <w14:alpha w14:val="100000"/>
                    </w14:srgbClr>
                  </w14:solidFill>
                </w14:textFill>
              </w:rPr>
              <w:t>|</w:t>
            </w:r>
            <w:r w:rsidRPr="00B85535">
              <w:rPr>
                <w:rFonts w:hint="eastAsia"/>
                <w:color w:val="000000"/>
                <w:spacing w:val="-15"/>
                <w:w w:val="15"/>
                <w:szCs w:val="20"/>
                <w:shd w:val="solid" w:color="000000" w:fill="000000"/>
                <w:fitText w:val="50" w:id="-1500860154"/>
                <w14:textFill>
                  <w14:solidFill>
                    <w14:srgbClr w14:val="000000">
                      <w14:alpha w14:val="100000"/>
                    </w14:srgbClr>
                  </w14:solidFill>
                </w14:textFill>
              </w:rPr>
              <w:t xml:space="preserve">　</w:t>
            </w:r>
            <w:r w:rsidR="00C84DE0" w:rsidRPr="00C84DE0">
              <w:rPr>
                <w:szCs w:val="20"/>
                <w:vertAlign w:val="superscript"/>
              </w:rPr>
              <w:t>14</w:t>
            </w:r>
          </w:p>
        </w:tc>
      </w:tr>
      <w:tr w:rsidR="007D00B1" w:rsidRPr="00C80985" w14:paraId="376D08F4" w14:textId="77777777" w:rsidTr="003A666B">
        <w:tc>
          <w:tcPr>
            <w:tcW w:w="1116" w:type="pct"/>
            <w:shd w:val="clear" w:color="auto" w:fill="95B3D7" w:themeFill="accent1" w:themeFillTint="99"/>
            <w:vAlign w:val="center"/>
          </w:tcPr>
          <w:p w14:paraId="27F015EE" w14:textId="417AB154" w:rsidR="003A666B" w:rsidRPr="00C80985" w:rsidRDefault="003A666B" w:rsidP="003A666B">
            <w:pPr>
              <w:pStyle w:val="TableText0"/>
              <w:rPr>
                <w:sz w:val="19"/>
                <w:szCs w:val="19"/>
              </w:rPr>
            </w:pPr>
            <w:r w:rsidRPr="00C80985">
              <w:rPr>
                <w:szCs w:val="20"/>
              </w:rPr>
              <w:t>Nov 2020 net cost</w:t>
            </w:r>
            <w:r w:rsidR="0091392C">
              <w:rPr>
                <w:szCs w:val="20"/>
              </w:rPr>
              <w:t xml:space="preserve"> for adults and adolescents</w:t>
            </w:r>
          </w:p>
        </w:tc>
        <w:tc>
          <w:tcPr>
            <w:tcW w:w="647" w:type="pct"/>
            <w:shd w:val="clear" w:color="auto" w:fill="95B3D7" w:themeFill="accent1" w:themeFillTint="99"/>
            <w:vAlign w:val="center"/>
          </w:tcPr>
          <w:p w14:paraId="4086235A" w14:textId="4BB14855" w:rsidR="003A666B" w:rsidRPr="00C84DE0" w:rsidRDefault="00B85535" w:rsidP="003A666B">
            <w:pPr>
              <w:pStyle w:val="TableText0"/>
              <w:jc w:val="center"/>
              <w:rPr>
                <w:szCs w:val="20"/>
                <w:highlight w:val="yellow"/>
                <w:vertAlign w:val="superscript"/>
              </w:rPr>
            </w:pPr>
            <w:r w:rsidRPr="00B85535">
              <w:rPr>
                <w:rFonts w:cs="Calibri" w:hint="eastAsia"/>
                <w:iCs/>
                <w:color w:val="000000"/>
                <w:w w:val="15"/>
                <w:szCs w:val="20"/>
                <w:shd w:val="solid" w:color="000000" w:fill="000000"/>
                <w:fitText w:val="40" w:id="-1500860153"/>
                <w14:textFill>
                  <w14:solidFill>
                    <w14:srgbClr w14:val="000000">
                      <w14:alpha w14:val="100000"/>
                    </w14:srgbClr>
                  </w14:solidFill>
                </w14:textFill>
              </w:rPr>
              <w:t xml:space="preserve">　</w:t>
            </w:r>
            <w:r w:rsidRPr="00B85535">
              <w:rPr>
                <w:rFonts w:cs="Calibri"/>
                <w:iCs/>
                <w:color w:val="000000"/>
                <w:w w:val="15"/>
                <w:szCs w:val="20"/>
                <w:shd w:val="solid" w:color="000000" w:fill="000000"/>
                <w:fitText w:val="40" w:id="-1500860153"/>
                <w14:textFill>
                  <w14:solidFill>
                    <w14:srgbClr w14:val="000000">
                      <w14:alpha w14:val="100000"/>
                    </w14:srgbClr>
                  </w14:solidFill>
                </w14:textFill>
              </w:rPr>
              <w:t>|</w:t>
            </w:r>
            <w:r w:rsidRPr="00B85535">
              <w:rPr>
                <w:rFonts w:cs="Calibri" w:hint="eastAsia"/>
                <w:iCs/>
                <w:color w:val="000000"/>
                <w:spacing w:val="-25"/>
                <w:w w:val="15"/>
                <w:szCs w:val="20"/>
                <w:shd w:val="solid" w:color="000000" w:fill="000000"/>
                <w:fitText w:val="40" w:id="-1500860153"/>
                <w14:textFill>
                  <w14:solidFill>
                    <w14:srgbClr w14:val="000000">
                      <w14:alpha w14:val="100000"/>
                    </w14:srgbClr>
                  </w14:solidFill>
                </w14:textFill>
              </w:rPr>
              <w:t xml:space="preserve">　</w:t>
            </w:r>
            <w:r w:rsidR="00C84DE0" w:rsidRPr="00C84DE0">
              <w:rPr>
                <w:rFonts w:cs="Calibri"/>
                <w:iCs/>
                <w:color w:val="000000"/>
                <w:szCs w:val="20"/>
                <w:vertAlign w:val="superscript"/>
              </w:rPr>
              <w:t>13</w:t>
            </w:r>
          </w:p>
        </w:tc>
        <w:tc>
          <w:tcPr>
            <w:tcW w:w="647" w:type="pct"/>
            <w:shd w:val="clear" w:color="auto" w:fill="95B3D7" w:themeFill="accent1" w:themeFillTint="99"/>
            <w:vAlign w:val="center"/>
          </w:tcPr>
          <w:p w14:paraId="75071001" w14:textId="05928D60" w:rsidR="003A666B" w:rsidRPr="00C84DE0" w:rsidRDefault="00B85535" w:rsidP="003A666B">
            <w:pPr>
              <w:pStyle w:val="TableText0"/>
              <w:jc w:val="center"/>
              <w:rPr>
                <w:szCs w:val="20"/>
                <w:highlight w:val="yellow"/>
                <w:vertAlign w:val="superscript"/>
              </w:rPr>
            </w:pPr>
            <w:r w:rsidRPr="00B85535">
              <w:rPr>
                <w:rFonts w:cs="Calibri" w:hint="eastAsia"/>
                <w:iCs/>
                <w:color w:val="000000"/>
                <w:w w:val="15"/>
                <w:szCs w:val="20"/>
                <w:shd w:val="solid" w:color="000000" w:fill="000000"/>
                <w:fitText w:val="40" w:id="-1500860152"/>
                <w14:textFill>
                  <w14:solidFill>
                    <w14:srgbClr w14:val="000000">
                      <w14:alpha w14:val="100000"/>
                    </w14:srgbClr>
                  </w14:solidFill>
                </w14:textFill>
              </w:rPr>
              <w:t xml:space="preserve">　</w:t>
            </w:r>
            <w:r w:rsidRPr="00B85535">
              <w:rPr>
                <w:rFonts w:cs="Calibri"/>
                <w:iCs/>
                <w:color w:val="000000"/>
                <w:w w:val="15"/>
                <w:szCs w:val="20"/>
                <w:shd w:val="solid" w:color="000000" w:fill="000000"/>
                <w:fitText w:val="40" w:id="-1500860152"/>
                <w14:textFill>
                  <w14:solidFill>
                    <w14:srgbClr w14:val="000000">
                      <w14:alpha w14:val="100000"/>
                    </w14:srgbClr>
                  </w14:solidFill>
                </w14:textFill>
              </w:rPr>
              <w:t>|</w:t>
            </w:r>
            <w:r w:rsidRPr="00B85535">
              <w:rPr>
                <w:rFonts w:cs="Calibri" w:hint="eastAsia"/>
                <w:iCs/>
                <w:color w:val="000000"/>
                <w:spacing w:val="-25"/>
                <w:w w:val="15"/>
                <w:szCs w:val="20"/>
                <w:shd w:val="solid" w:color="000000" w:fill="000000"/>
                <w:fitText w:val="40" w:id="-1500860152"/>
                <w14:textFill>
                  <w14:solidFill>
                    <w14:srgbClr w14:val="000000">
                      <w14:alpha w14:val="100000"/>
                    </w14:srgbClr>
                  </w14:solidFill>
                </w14:textFill>
              </w:rPr>
              <w:t xml:space="preserve">　</w:t>
            </w:r>
            <w:r w:rsidR="00C84DE0" w:rsidRPr="00C84DE0">
              <w:rPr>
                <w:rFonts w:cs="Calibri"/>
                <w:iCs/>
                <w:color w:val="000000"/>
                <w:szCs w:val="20"/>
                <w:vertAlign w:val="superscript"/>
              </w:rPr>
              <w:t>15</w:t>
            </w:r>
          </w:p>
        </w:tc>
        <w:tc>
          <w:tcPr>
            <w:tcW w:w="647" w:type="pct"/>
            <w:shd w:val="clear" w:color="auto" w:fill="95B3D7" w:themeFill="accent1" w:themeFillTint="99"/>
            <w:vAlign w:val="center"/>
          </w:tcPr>
          <w:p w14:paraId="2AFDEE2D" w14:textId="5D8CA499" w:rsidR="003A666B" w:rsidRPr="00C84DE0" w:rsidRDefault="00B85535" w:rsidP="003A666B">
            <w:pPr>
              <w:pStyle w:val="TableText0"/>
              <w:jc w:val="center"/>
              <w:rPr>
                <w:szCs w:val="20"/>
                <w:highlight w:val="yellow"/>
                <w:vertAlign w:val="superscript"/>
              </w:rPr>
            </w:pPr>
            <w:r w:rsidRPr="00B85535">
              <w:rPr>
                <w:rFonts w:cs="Calibri" w:hint="eastAsia"/>
                <w:iCs/>
                <w:color w:val="000000"/>
                <w:w w:val="15"/>
                <w:szCs w:val="20"/>
                <w:shd w:val="solid" w:color="000000" w:fill="000000"/>
                <w:fitText w:val="40" w:id="-1500860151"/>
                <w14:textFill>
                  <w14:solidFill>
                    <w14:srgbClr w14:val="000000">
                      <w14:alpha w14:val="100000"/>
                    </w14:srgbClr>
                  </w14:solidFill>
                </w14:textFill>
              </w:rPr>
              <w:t xml:space="preserve">　</w:t>
            </w:r>
            <w:r w:rsidRPr="00B85535">
              <w:rPr>
                <w:rFonts w:cs="Calibri"/>
                <w:iCs/>
                <w:color w:val="000000"/>
                <w:w w:val="15"/>
                <w:szCs w:val="20"/>
                <w:shd w:val="solid" w:color="000000" w:fill="000000"/>
                <w:fitText w:val="40" w:id="-1500860151"/>
                <w14:textFill>
                  <w14:solidFill>
                    <w14:srgbClr w14:val="000000">
                      <w14:alpha w14:val="100000"/>
                    </w14:srgbClr>
                  </w14:solidFill>
                </w14:textFill>
              </w:rPr>
              <w:t>|</w:t>
            </w:r>
            <w:r w:rsidRPr="00B85535">
              <w:rPr>
                <w:rFonts w:cs="Calibri" w:hint="eastAsia"/>
                <w:iCs/>
                <w:color w:val="000000"/>
                <w:spacing w:val="-25"/>
                <w:w w:val="15"/>
                <w:szCs w:val="20"/>
                <w:shd w:val="solid" w:color="000000" w:fill="000000"/>
                <w:fitText w:val="40" w:id="-1500860151"/>
                <w14:textFill>
                  <w14:solidFill>
                    <w14:srgbClr w14:val="000000">
                      <w14:alpha w14:val="100000"/>
                    </w14:srgbClr>
                  </w14:solidFill>
                </w14:textFill>
              </w:rPr>
              <w:t xml:space="preserve">　</w:t>
            </w:r>
            <w:r w:rsidR="00C84DE0" w:rsidRPr="00C84DE0">
              <w:rPr>
                <w:rFonts w:cs="Calibri"/>
                <w:iCs/>
                <w:color w:val="000000"/>
                <w:szCs w:val="20"/>
                <w:vertAlign w:val="superscript"/>
              </w:rPr>
              <w:t>16</w:t>
            </w:r>
          </w:p>
        </w:tc>
        <w:tc>
          <w:tcPr>
            <w:tcW w:w="647" w:type="pct"/>
            <w:shd w:val="clear" w:color="auto" w:fill="95B3D7" w:themeFill="accent1" w:themeFillTint="99"/>
            <w:vAlign w:val="center"/>
          </w:tcPr>
          <w:p w14:paraId="6AA6F8E8" w14:textId="5A935D04" w:rsidR="003A666B" w:rsidRPr="00C84DE0" w:rsidRDefault="00B85535" w:rsidP="003A666B">
            <w:pPr>
              <w:pStyle w:val="TableText0"/>
              <w:jc w:val="center"/>
              <w:rPr>
                <w:szCs w:val="20"/>
                <w:highlight w:val="yellow"/>
                <w:vertAlign w:val="superscript"/>
              </w:rPr>
            </w:pPr>
            <w:r w:rsidRPr="00B85535">
              <w:rPr>
                <w:rFonts w:cs="Calibri" w:hint="eastAsia"/>
                <w:iCs/>
                <w:color w:val="000000"/>
                <w:w w:val="15"/>
                <w:szCs w:val="20"/>
                <w:shd w:val="solid" w:color="000000" w:fill="000000"/>
                <w:fitText w:val="40" w:id="-1500860150"/>
                <w14:textFill>
                  <w14:solidFill>
                    <w14:srgbClr w14:val="000000">
                      <w14:alpha w14:val="100000"/>
                    </w14:srgbClr>
                  </w14:solidFill>
                </w14:textFill>
              </w:rPr>
              <w:t xml:space="preserve">　</w:t>
            </w:r>
            <w:r w:rsidRPr="00B85535">
              <w:rPr>
                <w:rFonts w:cs="Calibri"/>
                <w:iCs/>
                <w:color w:val="000000"/>
                <w:w w:val="15"/>
                <w:szCs w:val="20"/>
                <w:shd w:val="solid" w:color="000000" w:fill="000000"/>
                <w:fitText w:val="40" w:id="-1500860150"/>
                <w14:textFill>
                  <w14:solidFill>
                    <w14:srgbClr w14:val="000000">
                      <w14:alpha w14:val="100000"/>
                    </w14:srgbClr>
                  </w14:solidFill>
                </w14:textFill>
              </w:rPr>
              <w:t>|</w:t>
            </w:r>
            <w:r w:rsidRPr="00B85535">
              <w:rPr>
                <w:rFonts w:cs="Calibri" w:hint="eastAsia"/>
                <w:iCs/>
                <w:color w:val="000000"/>
                <w:spacing w:val="-25"/>
                <w:w w:val="15"/>
                <w:szCs w:val="20"/>
                <w:shd w:val="solid" w:color="000000" w:fill="000000"/>
                <w:fitText w:val="40" w:id="-1500860150"/>
                <w14:textFill>
                  <w14:solidFill>
                    <w14:srgbClr w14:val="000000">
                      <w14:alpha w14:val="100000"/>
                    </w14:srgbClr>
                  </w14:solidFill>
                </w14:textFill>
              </w:rPr>
              <w:t xml:space="preserve">　</w:t>
            </w:r>
            <w:r w:rsidR="00C84DE0" w:rsidRPr="00C84DE0">
              <w:rPr>
                <w:rFonts w:cs="Calibri"/>
                <w:iCs/>
                <w:color w:val="000000"/>
                <w:szCs w:val="20"/>
                <w:vertAlign w:val="superscript"/>
              </w:rPr>
              <w:t>17</w:t>
            </w:r>
          </w:p>
        </w:tc>
        <w:tc>
          <w:tcPr>
            <w:tcW w:w="647" w:type="pct"/>
            <w:shd w:val="clear" w:color="auto" w:fill="95B3D7" w:themeFill="accent1" w:themeFillTint="99"/>
            <w:vAlign w:val="center"/>
          </w:tcPr>
          <w:p w14:paraId="22A7BDD7" w14:textId="19639E68" w:rsidR="003A666B" w:rsidRPr="00C84DE0" w:rsidRDefault="00B85535" w:rsidP="003A666B">
            <w:pPr>
              <w:pStyle w:val="TableText0"/>
              <w:jc w:val="center"/>
              <w:rPr>
                <w:szCs w:val="20"/>
                <w:highlight w:val="yellow"/>
                <w:vertAlign w:val="superscript"/>
              </w:rPr>
            </w:pPr>
            <w:r w:rsidRPr="00B85535">
              <w:rPr>
                <w:rFonts w:cs="Calibri" w:hint="eastAsia"/>
                <w:iCs/>
                <w:color w:val="000000"/>
                <w:w w:val="15"/>
                <w:szCs w:val="20"/>
                <w:shd w:val="solid" w:color="000000" w:fill="000000"/>
                <w:fitText w:val="40" w:id="-1500860149"/>
                <w14:textFill>
                  <w14:solidFill>
                    <w14:srgbClr w14:val="000000">
                      <w14:alpha w14:val="100000"/>
                    </w14:srgbClr>
                  </w14:solidFill>
                </w14:textFill>
              </w:rPr>
              <w:t xml:space="preserve">　</w:t>
            </w:r>
            <w:r w:rsidRPr="00B85535">
              <w:rPr>
                <w:rFonts w:cs="Calibri"/>
                <w:iCs/>
                <w:color w:val="000000"/>
                <w:w w:val="15"/>
                <w:szCs w:val="20"/>
                <w:shd w:val="solid" w:color="000000" w:fill="000000"/>
                <w:fitText w:val="40" w:id="-1500860149"/>
                <w14:textFill>
                  <w14:solidFill>
                    <w14:srgbClr w14:val="000000">
                      <w14:alpha w14:val="100000"/>
                    </w14:srgbClr>
                  </w14:solidFill>
                </w14:textFill>
              </w:rPr>
              <w:t>|</w:t>
            </w:r>
            <w:r w:rsidRPr="00B85535">
              <w:rPr>
                <w:rFonts w:cs="Calibri" w:hint="eastAsia"/>
                <w:iCs/>
                <w:color w:val="000000"/>
                <w:spacing w:val="-25"/>
                <w:w w:val="15"/>
                <w:szCs w:val="20"/>
                <w:shd w:val="solid" w:color="000000" w:fill="000000"/>
                <w:fitText w:val="40" w:id="-1500860149"/>
                <w14:textFill>
                  <w14:solidFill>
                    <w14:srgbClr w14:val="000000">
                      <w14:alpha w14:val="100000"/>
                    </w14:srgbClr>
                  </w14:solidFill>
                </w14:textFill>
              </w:rPr>
              <w:t xml:space="preserve">　</w:t>
            </w:r>
            <w:r w:rsidR="00C84DE0" w:rsidRPr="00C84DE0">
              <w:rPr>
                <w:rFonts w:cs="Calibri"/>
                <w:iCs/>
                <w:color w:val="000000"/>
                <w:szCs w:val="20"/>
                <w:vertAlign w:val="superscript"/>
              </w:rPr>
              <w:t>18</w:t>
            </w:r>
          </w:p>
        </w:tc>
        <w:tc>
          <w:tcPr>
            <w:tcW w:w="649" w:type="pct"/>
            <w:shd w:val="clear" w:color="auto" w:fill="95B3D7" w:themeFill="accent1" w:themeFillTint="99"/>
            <w:vAlign w:val="center"/>
          </w:tcPr>
          <w:p w14:paraId="182AA79E" w14:textId="60640341" w:rsidR="003A666B" w:rsidRPr="00C84DE0" w:rsidRDefault="00B85535" w:rsidP="003A666B">
            <w:pPr>
              <w:pStyle w:val="TableText0"/>
              <w:jc w:val="center"/>
              <w:rPr>
                <w:szCs w:val="20"/>
                <w:highlight w:val="yellow"/>
                <w:vertAlign w:val="superscript"/>
              </w:rPr>
            </w:pPr>
            <w:r w:rsidRPr="00B85535">
              <w:rPr>
                <w:rFonts w:cs="Calibri" w:hint="eastAsia"/>
                <w:iCs/>
                <w:color w:val="000000"/>
                <w:w w:val="15"/>
                <w:szCs w:val="20"/>
                <w:shd w:val="solid" w:color="000000" w:fill="000000"/>
                <w:fitText w:val="50" w:id="-1500860148"/>
                <w14:textFill>
                  <w14:solidFill>
                    <w14:srgbClr w14:val="000000">
                      <w14:alpha w14:val="100000"/>
                    </w14:srgbClr>
                  </w14:solidFill>
                </w14:textFill>
              </w:rPr>
              <w:t xml:space="preserve">　</w:t>
            </w:r>
            <w:r w:rsidRPr="00B85535">
              <w:rPr>
                <w:rFonts w:cs="Calibri"/>
                <w:iCs/>
                <w:color w:val="000000"/>
                <w:w w:val="15"/>
                <w:szCs w:val="20"/>
                <w:shd w:val="solid" w:color="000000" w:fill="000000"/>
                <w:fitText w:val="50" w:id="-1500860148"/>
                <w14:textFill>
                  <w14:solidFill>
                    <w14:srgbClr w14:val="000000">
                      <w14:alpha w14:val="100000"/>
                    </w14:srgbClr>
                  </w14:solidFill>
                </w14:textFill>
              </w:rPr>
              <w:t>|</w:t>
            </w:r>
            <w:r w:rsidRPr="00B85535">
              <w:rPr>
                <w:rFonts w:cs="Calibri" w:hint="eastAsia"/>
                <w:iCs/>
                <w:color w:val="000000"/>
                <w:spacing w:val="-15"/>
                <w:w w:val="15"/>
                <w:szCs w:val="20"/>
                <w:shd w:val="solid" w:color="000000" w:fill="000000"/>
                <w:fitText w:val="50" w:id="-1500860148"/>
                <w14:textFill>
                  <w14:solidFill>
                    <w14:srgbClr w14:val="000000">
                      <w14:alpha w14:val="100000"/>
                    </w14:srgbClr>
                  </w14:solidFill>
                </w14:textFill>
              </w:rPr>
              <w:t xml:space="preserve">　</w:t>
            </w:r>
            <w:r w:rsidR="00C84DE0" w:rsidRPr="00C84DE0">
              <w:rPr>
                <w:rFonts w:cs="Calibri"/>
                <w:iCs/>
                <w:color w:val="000000"/>
                <w:szCs w:val="20"/>
                <w:vertAlign w:val="superscript"/>
              </w:rPr>
              <w:t>19</w:t>
            </w:r>
          </w:p>
        </w:tc>
      </w:tr>
      <w:tr w:rsidR="007D00B1" w:rsidRPr="00C80985" w14:paraId="4FA07BD8" w14:textId="77777777" w:rsidTr="005304E0">
        <w:tc>
          <w:tcPr>
            <w:tcW w:w="4997" w:type="pct"/>
            <w:gridSpan w:val="7"/>
            <w:shd w:val="clear" w:color="auto" w:fill="auto"/>
            <w:vAlign w:val="center"/>
          </w:tcPr>
          <w:p w14:paraId="1A627EA0" w14:textId="1857C3C7" w:rsidR="00385A9D" w:rsidRPr="00C80985" w:rsidRDefault="00385A9D" w:rsidP="00606FBA">
            <w:pPr>
              <w:pStyle w:val="In-tableHeading"/>
              <w:rPr>
                <w:lang w:val="en-AU"/>
              </w:rPr>
            </w:pPr>
            <w:r w:rsidRPr="00C80985">
              <w:rPr>
                <w:lang w:val="en-AU"/>
              </w:rPr>
              <w:t>Net financial implications</w:t>
            </w:r>
          </w:p>
        </w:tc>
      </w:tr>
      <w:tr w:rsidR="00BF7E34" w:rsidRPr="00C80985" w14:paraId="3F33D4C6" w14:textId="77777777" w:rsidTr="00E840F9">
        <w:tc>
          <w:tcPr>
            <w:tcW w:w="1116" w:type="pct"/>
            <w:shd w:val="clear" w:color="auto" w:fill="auto"/>
            <w:vAlign w:val="center"/>
          </w:tcPr>
          <w:p w14:paraId="5ABBDE64" w14:textId="77777777" w:rsidR="000B51DE" w:rsidRPr="00C80985" w:rsidRDefault="000B51DE" w:rsidP="000B51DE">
            <w:pPr>
              <w:pStyle w:val="TableText0"/>
              <w:rPr>
                <w:sz w:val="19"/>
                <w:szCs w:val="19"/>
              </w:rPr>
            </w:pPr>
            <w:r w:rsidRPr="00C80985">
              <w:rPr>
                <w:sz w:val="19"/>
                <w:szCs w:val="19"/>
              </w:rPr>
              <w:t>Net cost to PBS/RPBS</w:t>
            </w:r>
          </w:p>
        </w:tc>
        <w:tc>
          <w:tcPr>
            <w:tcW w:w="647" w:type="pct"/>
            <w:shd w:val="clear" w:color="auto" w:fill="auto"/>
            <w:vAlign w:val="center"/>
          </w:tcPr>
          <w:p w14:paraId="744F82C2" w14:textId="7C71015F" w:rsidR="000B51DE" w:rsidRPr="00C84DE0" w:rsidRDefault="00B85535" w:rsidP="000B51DE">
            <w:pPr>
              <w:pStyle w:val="TableText0"/>
              <w:jc w:val="center"/>
              <w:rPr>
                <w:highlight w:val="yellow"/>
                <w:vertAlign w:val="superscript"/>
              </w:rPr>
            </w:pPr>
            <w:r w:rsidRPr="00B85535">
              <w:rPr>
                <w:rFonts w:hint="eastAsia"/>
                <w:color w:val="000000"/>
                <w:w w:val="15"/>
                <w:szCs w:val="20"/>
                <w:shd w:val="solid" w:color="000000" w:fill="000000"/>
                <w:fitText w:val="40" w:id="-1500860147"/>
                <w14:textFill>
                  <w14:solidFill>
                    <w14:srgbClr w14:val="000000">
                      <w14:alpha w14:val="100000"/>
                    </w14:srgbClr>
                  </w14:solidFill>
                </w14:textFill>
              </w:rPr>
              <w:t xml:space="preserve">　</w:t>
            </w:r>
            <w:r w:rsidRPr="00B85535">
              <w:rPr>
                <w:color w:val="000000"/>
                <w:w w:val="15"/>
                <w:szCs w:val="20"/>
                <w:shd w:val="solid" w:color="000000" w:fill="000000"/>
                <w:fitText w:val="40" w:id="-1500860147"/>
                <w14:textFill>
                  <w14:solidFill>
                    <w14:srgbClr w14:val="000000">
                      <w14:alpha w14:val="100000"/>
                    </w14:srgbClr>
                  </w14:solidFill>
                </w14:textFill>
              </w:rPr>
              <w:t>|</w:t>
            </w:r>
            <w:r w:rsidRPr="00B85535">
              <w:rPr>
                <w:rFonts w:hint="eastAsia"/>
                <w:color w:val="000000"/>
                <w:spacing w:val="-25"/>
                <w:w w:val="15"/>
                <w:szCs w:val="20"/>
                <w:shd w:val="solid" w:color="000000" w:fill="000000"/>
                <w:fitText w:val="40" w:id="-1500860147"/>
                <w14:textFill>
                  <w14:solidFill>
                    <w14:srgbClr w14:val="000000">
                      <w14:alpha w14:val="100000"/>
                    </w14:srgbClr>
                  </w14:solidFill>
                </w14:textFill>
              </w:rPr>
              <w:t xml:space="preserve">　</w:t>
            </w:r>
            <w:r w:rsidR="00C84DE0" w:rsidRPr="00C84DE0">
              <w:rPr>
                <w:szCs w:val="20"/>
                <w:vertAlign w:val="superscript"/>
              </w:rPr>
              <w:t>12</w:t>
            </w:r>
          </w:p>
        </w:tc>
        <w:tc>
          <w:tcPr>
            <w:tcW w:w="647" w:type="pct"/>
            <w:shd w:val="clear" w:color="auto" w:fill="auto"/>
            <w:vAlign w:val="center"/>
          </w:tcPr>
          <w:p w14:paraId="295843EA" w14:textId="531D877D" w:rsidR="000B51DE" w:rsidRPr="00BB5075" w:rsidRDefault="00B85535" w:rsidP="000B51DE">
            <w:pPr>
              <w:pStyle w:val="TableText0"/>
              <w:jc w:val="center"/>
              <w:rPr>
                <w:highlight w:val="yellow"/>
              </w:rPr>
            </w:pPr>
            <w:r w:rsidRPr="00B85535">
              <w:rPr>
                <w:rFonts w:hint="eastAsia"/>
                <w:color w:val="000000"/>
                <w:w w:val="15"/>
                <w:szCs w:val="20"/>
                <w:shd w:val="solid" w:color="000000" w:fill="000000"/>
                <w:fitText w:val="40" w:id="-1500860146"/>
                <w14:textFill>
                  <w14:solidFill>
                    <w14:srgbClr w14:val="000000">
                      <w14:alpha w14:val="100000"/>
                    </w14:srgbClr>
                  </w14:solidFill>
                </w14:textFill>
              </w:rPr>
              <w:t xml:space="preserve">　</w:t>
            </w:r>
            <w:r w:rsidRPr="00B85535">
              <w:rPr>
                <w:color w:val="000000"/>
                <w:w w:val="15"/>
                <w:szCs w:val="20"/>
                <w:shd w:val="solid" w:color="000000" w:fill="000000"/>
                <w:fitText w:val="40" w:id="-1500860146"/>
                <w14:textFill>
                  <w14:solidFill>
                    <w14:srgbClr w14:val="000000">
                      <w14:alpha w14:val="100000"/>
                    </w14:srgbClr>
                  </w14:solidFill>
                </w14:textFill>
              </w:rPr>
              <w:t>|</w:t>
            </w:r>
            <w:r w:rsidRPr="00B85535">
              <w:rPr>
                <w:rFonts w:hint="eastAsia"/>
                <w:color w:val="000000"/>
                <w:spacing w:val="-25"/>
                <w:w w:val="15"/>
                <w:szCs w:val="20"/>
                <w:shd w:val="solid" w:color="000000" w:fill="000000"/>
                <w:fitText w:val="40" w:id="-1500860146"/>
                <w14:textFill>
                  <w14:solidFill>
                    <w14:srgbClr w14:val="000000">
                      <w14:alpha w14:val="100000"/>
                    </w14:srgbClr>
                  </w14:solidFill>
                </w14:textFill>
              </w:rPr>
              <w:t xml:space="preserve">　</w:t>
            </w:r>
            <w:r w:rsidR="00C84DE0" w:rsidRPr="00C84DE0">
              <w:rPr>
                <w:szCs w:val="20"/>
                <w:vertAlign w:val="superscript"/>
              </w:rPr>
              <w:t>14</w:t>
            </w:r>
          </w:p>
        </w:tc>
        <w:tc>
          <w:tcPr>
            <w:tcW w:w="647" w:type="pct"/>
            <w:shd w:val="clear" w:color="auto" w:fill="auto"/>
            <w:vAlign w:val="center"/>
          </w:tcPr>
          <w:p w14:paraId="3A32302A" w14:textId="783D7AA1" w:rsidR="000B51DE" w:rsidRPr="00BB5075" w:rsidRDefault="00B85535" w:rsidP="000B51DE">
            <w:pPr>
              <w:pStyle w:val="TableText0"/>
              <w:jc w:val="center"/>
              <w:rPr>
                <w:highlight w:val="yellow"/>
              </w:rPr>
            </w:pPr>
            <w:r w:rsidRPr="00B85535">
              <w:rPr>
                <w:rFonts w:hint="eastAsia"/>
                <w:color w:val="000000"/>
                <w:w w:val="15"/>
                <w:szCs w:val="20"/>
                <w:shd w:val="solid" w:color="000000" w:fill="000000"/>
                <w:fitText w:val="40" w:id="-1500860145"/>
                <w14:textFill>
                  <w14:solidFill>
                    <w14:srgbClr w14:val="000000">
                      <w14:alpha w14:val="100000"/>
                    </w14:srgbClr>
                  </w14:solidFill>
                </w14:textFill>
              </w:rPr>
              <w:t xml:space="preserve">　</w:t>
            </w:r>
            <w:r w:rsidRPr="00B85535">
              <w:rPr>
                <w:color w:val="000000"/>
                <w:w w:val="15"/>
                <w:szCs w:val="20"/>
                <w:shd w:val="solid" w:color="000000" w:fill="000000"/>
                <w:fitText w:val="40" w:id="-1500860145"/>
                <w14:textFill>
                  <w14:solidFill>
                    <w14:srgbClr w14:val="000000">
                      <w14:alpha w14:val="100000"/>
                    </w14:srgbClr>
                  </w14:solidFill>
                </w14:textFill>
              </w:rPr>
              <w:t>|</w:t>
            </w:r>
            <w:r w:rsidRPr="00B85535">
              <w:rPr>
                <w:rFonts w:hint="eastAsia"/>
                <w:color w:val="000000"/>
                <w:spacing w:val="-25"/>
                <w:w w:val="15"/>
                <w:szCs w:val="20"/>
                <w:shd w:val="solid" w:color="000000" w:fill="000000"/>
                <w:fitText w:val="40" w:id="-1500860145"/>
                <w14:textFill>
                  <w14:solidFill>
                    <w14:srgbClr w14:val="000000">
                      <w14:alpha w14:val="100000"/>
                    </w14:srgbClr>
                  </w14:solidFill>
                </w14:textFill>
              </w:rPr>
              <w:t xml:space="preserve">　</w:t>
            </w:r>
            <w:r w:rsidR="00C84DE0" w:rsidRPr="00C84DE0">
              <w:rPr>
                <w:szCs w:val="20"/>
                <w:vertAlign w:val="superscript"/>
              </w:rPr>
              <w:t>14</w:t>
            </w:r>
          </w:p>
        </w:tc>
        <w:tc>
          <w:tcPr>
            <w:tcW w:w="647" w:type="pct"/>
            <w:shd w:val="clear" w:color="auto" w:fill="auto"/>
            <w:vAlign w:val="center"/>
          </w:tcPr>
          <w:p w14:paraId="326E9207" w14:textId="7B8A494B" w:rsidR="000B51DE" w:rsidRPr="00BB5075" w:rsidRDefault="00B85535" w:rsidP="000B51DE">
            <w:pPr>
              <w:pStyle w:val="TableText0"/>
              <w:jc w:val="center"/>
              <w:rPr>
                <w:highlight w:val="yellow"/>
              </w:rPr>
            </w:pPr>
            <w:r w:rsidRPr="00B85535">
              <w:rPr>
                <w:rFonts w:hint="eastAsia"/>
                <w:color w:val="000000"/>
                <w:w w:val="15"/>
                <w:szCs w:val="20"/>
                <w:shd w:val="solid" w:color="000000" w:fill="000000"/>
                <w:fitText w:val="40" w:id="-1500860144"/>
                <w14:textFill>
                  <w14:solidFill>
                    <w14:srgbClr w14:val="000000">
                      <w14:alpha w14:val="100000"/>
                    </w14:srgbClr>
                  </w14:solidFill>
                </w14:textFill>
              </w:rPr>
              <w:t xml:space="preserve">　</w:t>
            </w:r>
            <w:r w:rsidRPr="00B85535">
              <w:rPr>
                <w:color w:val="000000"/>
                <w:w w:val="15"/>
                <w:szCs w:val="20"/>
                <w:shd w:val="solid" w:color="000000" w:fill="000000"/>
                <w:fitText w:val="40" w:id="-1500860144"/>
                <w14:textFill>
                  <w14:solidFill>
                    <w14:srgbClr w14:val="000000">
                      <w14:alpha w14:val="100000"/>
                    </w14:srgbClr>
                  </w14:solidFill>
                </w14:textFill>
              </w:rPr>
              <w:t>|</w:t>
            </w:r>
            <w:r w:rsidRPr="00B85535">
              <w:rPr>
                <w:rFonts w:hint="eastAsia"/>
                <w:color w:val="000000"/>
                <w:spacing w:val="-25"/>
                <w:w w:val="15"/>
                <w:szCs w:val="20"/>
                <w:shd w:val="solid" w:color="000000" w:fill="000000"/>
                <w:fitText w:val="40" w:id="-1500860144"/>
                <w14:textFill>
                  <w14:solidFill>
                    <w14:srgbClr w14:val="000000">
                      <w14:alpha w14:val="100000"/>
                    </w14:srgbClr>
                  </w14:solidFill>
                </w14:textFill>
              </w:rPr>
              <w:t xml:space="preserve">　</w:t>
            </w:r>
            <w:r w:rsidR="00C84DE0" w:rsidRPr="00C84DE0">
              <w:rPr>
                <w:szCs w:val="20"/>
                <w:vertAlign w:val="superscript"/>
              </w:rPr>
              <w:t>14</w:t>
            </w:r>
          </w:p>
        </w:tc>
        <w:tc>
          <w:tcPr>
            <w:tcW w:w="647" w:type="pct"/>
            <w:shd w:val="clear" w:color="auto" w:fill="auto"/>
            <w:vAlign w:val="center"/>
          </w:tcPr>
          <w:p w14:paraId="56E4D70E" w14:textId="657C2C98" w:rsidR="000B51DE" w:rsidRPr="00BB5075" w:rsidRDefault="00B85535" w:rsidP="000B51DE">
            <w:pPr>
              <w:pStyle w:val="TableText0"/>
              <w:jc w:val="center"/>
              <w:rPr>
                <w:highlight w:val="yellow"/>
              </w:rPr>
            </w:pPr>
            <w:r w:rsidRPr="00B85535">
              <w:rPr>
                <w:rFonts w:hint="eastAsia"/>
                <w:color w:val="000000"/>
                <w:w w:val="15"/>
                <w:szCs w:val="20"/>
                <w:shd w:val="solid" w:color="000000" w:fill="000000"/>
                <w:fitText w:val="40" w:id="-1500860160"/>
                <w14:textFill>
                  <w14:solidFill>
                    <w14:srgbClr w14:val="000000">
                      <w14:alpha w14:val="100000"/>
                    </w14:srgbClr>
                  </w14:solidFill>
                </w14:textFill>
              </w:rPr>
              <w:t xml:space="preserve">　</w:t>
            </w:r>
            <w:r w:rsidRPr="00B85535">
              <w:rPr>
                <w:color w:val="000000"/>
                <w:w w:val="15"/>
                <w:szCs w:val="20"/>
                <w:shd w:val="solid" w:color="000000" w:fill="000000"/>
                <w:fitText w:val="40" w:id="-1500860160"/>
                <w14:textFill>
                  <w14:solidFill>
                    <w14:srgbClr w14:val="000000">
                      <w14:alpha w14:val="100000"/>
                    </w14:srgbClr>
                  </w14:solidFill>
                </w14:textFill>
              </w:rPr>
              <w:t>|</w:t>
            </w:r>
            <w:r w:rsidRPr="00B85535">
              <w:rPr>
                <w:rFonts w:hint="eastAsia"/>
                <w:color w:val="000000"/>
                <w:spacing w:val="-25"/>
                <w:w w:val="15"/>
                <w:szCs w:val="20"/>
                <w:shd w:val="solid" w:color="000000" w:fill="000000"/>
                <w:fitText w:val="40" w:id="-1500860160"/>
                <w14:textFill>
                  <w14:solidFill>
                    <w14:srgbClr w14:val="000000">
                      <w14:alpha w14:val="100000"/>
                    </w14:srgbClr>
                  </w14:solidFill>
                </w14:textFill>
              </w:rPr>
              <w:t xml:space="preserve">　</w:t>
            </w:r>
            <w:r w:rsidR="00C84DE0" w:rsidRPr="00C84DE0">
              <w:rPr>
                <w:szCs w:val="20"/>
                <w:vertAlign w:val="superscript"/>
              </w:rPr>
              <w:t>14</w:t>
            </w:r>
          </w:p>
        </w:tc>
        <w:tc>
          <w:tcPr>
            <w:tcW w:w="649" w:type="pct"/>
            <w:vAlign w:val="center"/>
          </w:tcPr>
          <w:p w14:paraId="241B1CFD" w14:textId="2AF162F7" w:rsidR="000B51DE" w:rsidRPr="00BB5075" w:rsidRDefault="00B85535" w:rsidP="000B51DE">
            <w:pPr>
              <w:pStyle w:val="TableText0"/>
              <w:jc w:val="center"/>
              <w:rPr>
                <w:highlight w:val="yellow"/>
              </w:rPr>
            </w:pPr>
            <w:r w:rsidRPr="00B85535">
              <w:rPr>
                <w:rFonts w:hint="eastAsia"/>
                <w:color w:val="000000"/>
                <w:w w:val="15"/>
                <w:szCs w:val="20"/>
                <w:shd w:val="solid" w:color="000000" w:fill="000000"/>
                <w:fitText w:val="50" w:id="-1500860159"/>
                <w14:textFill>
                  <w14:solidFill>
                    <w14:srgbClr w14:val="000000">
                      <w14:alpha w14:val="100000"/>
                    </w14:srgbClr>
                  </w14:solidFill>
                </w14:textFill>
              </w:rPr>
              <w:t xml:space="preserve">　</w:t>
            </w:r>
            <w:r w:rsidRPr="00B85535">
              <w:rPr>
                <w:color w:val="000000"/>
                <w:w w:val="15"/>
                <w:szCs w:val="20"/>
                <w:shd w:val="solid" w:color="000000" w:fill="000000"/>
                <w:fitText w:val="50" w:id="-1500860159"/>
                <w14:textFill>
                  <w14:solidFill>
                    <w14:srgbClr w14:val="000000">
                      <w14:alpha w14:val="100000"/>
                    </w14:srgbClr>
                  </w14:solidFill>
                </w14:textFill>
              </w:rPr>
              <w:t>|</w:t>
            </w:r>
            <w:r w:rsidRPr="00B85535">
              <w:rPr>
                <w:rFonts w:hint="eastAsia"/>
                <w:color w:val="000000"/>
                <w:spacing w:val="-15"/>
                <w:w w:val="15"/>
                <w:szCs w:val="20"/>
                <w:shd w:val="solid" w:color="000000" w:fill="000000"/>
                <w:fitText w:val="50" w:id="-1500860159"/>
                <w14:textFill>
                  <w14:solidFill>
                    <w14:srgbClr w14:val="000000">
                      <w14:alpha w14:val="100000"/>
                    </w14:srgbClr>
                  </w14:solidFill>
                </w14:textFill>
              </w:rPr>
              <w:t xml:space="preserve">　</w:t>
            </w:r>
            <w:r w:rsidR="00C84DE0" w:rsidRPr="00C84DE0">
              <w:rPr>
                <w:szCs w:val="20"/>
                <w:vertAlign w:val="superscript"/>
              </w:rPr>
              <w:t>14</w:t>
            </w:r>
          </w:p>
        </w:tc>
      </w:tr>
      <w:tr w:rsidR="00BF7E34" w:rsidRPr="00C80985" w14:paraId="571B64F4" w14:textId="77777777" w:rsidTr="00E840F9">
        <w:tc>
          <w:tcPr>
            <w:tcW w:w="1116" w:type="pct"/>
            <w:shd w:val="clear" w:color="auto" w:fill="auto"/>
            <w:vAlign w:val="center"/>
          </w:tcPr>
          <w:p w14:paraId="427698FB" w14:textId="0A8AE00D" w:rsidR="000B51DE" w:rsidRPr="00C80985" w:rsidRDefault="000B51DE" w:rsidP="000B51DE">
            <w:pPr>
              <w:pStyle w:val="TableText0"/>
              <w:rPr>
                <w:rFonts w:ascii="Times" w:hAnsi="Times"/>
              </w:rPr>
            </w:pPr>
            <w:r w:rsidRPr="00C80985">
              <w:rPr>
                <w:sz w:val="19"/>
                <w:szCs w:val="19"/>
              </w:rPr>
              <w:t>Net cost to MBS</w:t>
            </w:r>
          </w:p>
        </w:tc>
        <w:tc>
          <w:tcPr>
            <w:tcW w:w="647" w:type="pct"/>
            <w:shd w:val="clear" w:color="auto" w:fill="auto"/>
            <w:vAlign w:val="center"/>
          </w:tcPr>
          <w:p w14:paraId="5AD7A1FC" w14:textId="6A3D3434" w:rsidR="000B51DE" w:rsidRPr="00C84DE0" w:rsidRDefault="000B51DE" w:rsidP="000B51DE">
            <w:pPr>
              <w:pStyle w:val="TableText0"/>
              <w:jc w:val="center"/>
              <w:rPr>
                <w:vertAlign w:val="superscript"/>
              </w:rPr>
            </w:pPr>
            <w:r w:rsidRPr="00C84DE0">
              <w:rPr>
                <w:szCs w:val="20"/>
              </w:rPr>
              <w:t>-</w:t>
            </w:r>
            <w:r w:rsidR="00B85535" w:rsidRPr="00B85535">
              <w:rPr>
                <w:rFonts w:hint="eastAsia"/>
                <w:color w:val="000000"/>
                <w:w w:val="18"/>
                <w:szCs w:val="20"/>
                <w:shd w:val="solid" w:color="000000" w:fill="000000"/>
                <w:fitText w:val="80" w:id="-1500860158"/>
                <w14:textFill>
                  <w14:solidFill>
                    <w14:srgbClr w14:val="000000">
                      <w14:alpha w14:val="100000"/>
                    </w14:srgbClr>
                  </w14:solidFill>
                </w14:textFill>
              </w:rPr>
              <w:t xml:space="preserve">　</w:t>
            </w:r>
            <w:r w:rsidR="00B85535" w:rsidRPr="00B85535">
              <w:rPr>
                <w:color w:val="000000"/>
                <w:w w:val="18"/>
                <w:szCs w:val="20"/>
                <w:shd w:val="solid" w:color="000000" w:fill="000000"/>
                <w:fitText w:val="80" w:id="-1500860158"/>
                <w14:textFill>
                  <w14:solidFill>
                    <w14:srgbClr w14:val="000000">
                      <w14:alpha w14:val="100000"/>
                    </w14:srgbClr>
                  </w14:solidFill>
                </w14:textFill>
              </w:rPr>
              <w:t>|</w:t>
            </w:r>
            <w:r w:rsidR="00B85535" w:rsidRPr="00B85535">
              <w:rPr>
                <w:rFonts w:hint="eastAsia"/>
                <w:color w:val="000000"/>
                <w:w w:val="18"/>
                <w:szCs w:val="20"/>
                <w:shd w:val="solid" w:color="000000" w:fill="000000"/>
                <w:fitText w:val="80" w:id="-1500860158"/>
                <w14:textFill>
                  <w14:solidFill>
                    <w14:srgbClr w14:val="000000">
                      <w14:alpha w14:val="100000"/>
                    </w14:srgbClr>
                  </w14:solidFill>
                </w14:textFill>
              </w:rPr>
              <w:t xml:space="preserve">　</w:t>
            </w:r>
            <w:r w:rsidR="00C84DE0">
              <w:rPr>
                <w:szCs w:val="20"/>
                <w:vertAlign w:val="superscript"/>
              </w:rPr>
              <w:t>12</w:t>
            </w:r>
          </w:p>
        </w:tc>
        <w:tc>
          <w:tcPr>
            <w:tcW w:w="647" w:type="pct"/>
            <w:shd w:val="clear" w:color="auto" w:fill="auto"/>
            <w:vAlign w:val="center"/>
          </w:tcPr>
          <w:p w14:paraId="1D6E215B" w14:textId="0E8C2155" w:rsidR="000B51DE" w:rsidRPr="00AC4021" w:rsidRDefault="000B51DE" w:rsidP="000B51DE">
            <w:pPr>
              <w:pStyle w:val="TableText0"/>
              <w:jc w:val="center"/>
              <w:rPr>
                <w:highlight w:val="yellow"/>
              </w:rPr>
            </w:pPr>
            <w:r w:rsidRPr="00C84DE0">
              <w:rPr>
                <w:szCs w:val="20"/>
              </w:rPr>
              <w:t>-</w:t>
            </w:r>
            <w:r w:rsidR="00B85535" w:rsidRPr="00B85535">
              <w:rPr>
                <w:rFonts w:hint="eastAsia"/>
                <w:color w:val="000000"/>
                <w:w w:val="18"/>
                <w:szCs w:val="20"/>
                <w:shd w:val="solid" w:color="000000" w:fill="000000"/>
                <w:fitText w:val="80" w:id="-1500860157"/>
                <w14:textFill>
                  <w14:solidFill>
                    <w14:srgbClr w14:val="000000">
                      <w14:alpha w14:val="100000"/>
                    </w14:srgbClr>
                  </w14:solidFill>
                </w14:textFill>
              </w:rPr>
              <w:t xml:space="preserve">　</w:t>
            </w:r>
            <w:r w:rsidR="00B85535" w:rsidRPr="00B85535">
              <w:rPr>
                <w:color w:val="000000"/>
                <w:w w:val="18"/>
                <w:szCs w:val="20"/>
                <w:shd w:val="solid" w:color="000000" w:fill="000000"/>
                <w:fitText w:val="80" w:id="-1500860157"/>
                <w14:textFill>
                  <w14:solidFill>
                    <w14:srgbClr w14:val="000000">
                      <w14:alpha w14:val="100000"/>
                    </w14:srgbClr>
                  </w14:solidFill>
                </w14:textFill>
              </w:rPr>
              <w:t>|</w:t>
            </w:r>
            <w:r w:rsidR="00B85535" w:rsidRPr="00B85535">
              <w:rPr>
                <w:rFonts w:hint="eastAsia"/>
                <w:color w:val="000000"/>
                <w:w w:val="18"/>
                <w:szCs w:val="20"/>
                <w:shd w:val="solid" w:color="000000" w:fill="000000"/>
                <w:fitText w:val="80" w:id="-1500860157"/>
                <w14:textFill>
                  <w14:solidFill>
                    <w14:srgbClr w14:val="000000">
                      <w14:alpha w14:val="100000"/>
                    </w14:srgbClr>
                  </w14:solidFill>
                </w14:textFill>
              </w:rPr>
              <w:t xml:space="preserve">　</w:t>
            </w:r>
            <w:r w:rsidR="00C84DE0" w:rsidRPr="00C84DE0">
              <w:rPr>
                <w:szCs w:val="20"/>
                <w:vertAlign w:val="superscript"/>
              </w:rPr>
              <w:t>12</w:t>
            </w:r>
          </w:p>
        </w:tc>
        <w:tc>
          <w:tcPr>
            <w:tcW w:w="647" w:type="pct"/>
            <w:shd w:val="clear" w:color="auto" w:fill="auto"/>
            <w:vAlign w:val="center"/>
          </w:tcPr>
          <w:p w14:paraId="25026D9D" w14:textId="65794FCA" w:rsidR="000B51DE" w:rsidRPr="00AC4021" w:rsidRDefault="000B51DE" w:rsidP="000B51DE">
            <w:pPr>
              <w:pStyle w:val="TableText0"/>
              <w:jc w:val="center"/>
              <w:rPr>
                <w:highlight w:val="yellow"/>
              </w:rPr>
            </w:pPr>
            <w:r w:rsidRPr="00C84DE0">
              <w:rPr>
                <w:szCs w:val="20"/>
              </w:rPr>
              <w:t>-</w:t>
            </w:r>
            <w:r w:rsidR="00B85535" w:rsidRPr="00B85535">
              <w:rPr>
                <w:rFonts w:hint="eastAsia"/>
                <w:color w:val="000000"/>
                <w:w w:val="18"/>
                <w:szCs w:val="20"/>
                <w:shd w:val="solid" w:color="000000" w:fill="000000"/>
                <w:fitText w:val="80" w:id="-1500860156"/>
                <w14:textFill>
                  <w14:solidFill>
                    <w14:srgbClr w14:val="000000">
                      <w14:alpha w14:val="100000"/>
                    </w14:srgbClr>
                  </w14:solidFill>
                </w14:textFill>
              </w:rPr>
              <w:t xml:space="preserve">　</w:t>
            </w:r>
            <w:r w:rsidR="00B85535" w:rsidRPr="00B85535">
              <w:rPr>
                <w:color w:val="000000"/>
                <w:w w:val="18"/>
                <w:szCs w:val="20"/>
                <w:shd w:val="solid" w:color="000000" w:fill="000000"/>
                <w:fitText w:val="80" w:id="-1500860156"/>
                <w14:textFill>
                  <w14:solidFill>
                    <w14:srgbClr w14:val="000000">
                      <w14:alpha w14:val="100000"/>
                    </w14:srgbClr>
                  </w14:solidFill>
                </w14:textFill>
              </w:rPr>
              <w:t>|</w:t>
            </w:r>
            <w:r w:rsidR="00B85535" w:rsidRPr="00B85535">
              <w:rPr>
                <w:rFonts w:hint="eastAsia"/>
                <w:color w:val="000000"/>
                <w:w w:val="18"/>
                <w:szCs w:val="20"/>
                <w:shd w:val="solid" w:color="000000" w:fill="000000"/>
                <w:fitText w:val="80" w:id="-1500860156"/>
                <w14:textFill>
                  <w14:solidFill>
                    <w14:srgbClr w14:val="000000">
                      <w14:alpha w14:val="100000"/>
                    </w14:srgbClr>
                  </w14:solidFill>
                </w14:textFill>
              </w:rPr>
              <w:t xml:space="preserve">　</w:t>
            </w:r>
            <w:r w:rsidR="00C84DE0" w:rsidRPr="00C84DE0">
              <w:rPr>
                <w:szCs w:val="20"/>
                <w:vertAlign w:val="superscript"/>
              </w:rPr>
              <w:t>12</w:t>
            </w:r>
          </w:p>
        </w:tc>
        <w:tc>
          <w:tcPr>
            <w:tcW w:w="647" w:type="pct"/>
            <w:shd w:val="clear" w:color="auto" w:fill="auto"/>
            <w:vAlign w:val="center"/>
          </w:tcPr>
          <w:p w14:paraId="6933D36F" w14:textId="09076BB4" w:rsidR="000B51DE" w:rsidRPr="00AC4021" w:rsidRDefault="000B51DE" w:rsidP="000B51DE">
            <w:pPr>
              <w:pStyle w:val="TableText0"/>
              <w:jc w:val="center"/>
              <w:rPr>
                <w:highlight w:val="yellow"/>
              </w:rPr>
            </w:pPr>
            <w:r w:rsidRPr="00C84DE0">
              <w:rPr>
                <w:szCs w:val="20"/>
              </w:rPr>
              <w:t>-</w:t>
            </w:r>
            <w:r w:rsidR="00B85535" w:rsidRPr="00B85535">
              <w:rPr>
                <w:rFonts w:hint="eastAsia"/>
                <w:color w:val="000000"/>
                <w:w w:val="18"/>
                <w:szCs w:val="20"/>
                <w:shd w:val="solid" w:color="000000" w:fill="000000"/>
                <w:fitText w:val="80" w:id="-1500860155"/>
                <w14:textFill>
                  <w14:solidFill>
                    <w14:srgbClr w14:val="000000">
                      <w14:alpha w14:val="100000"/>
                    </w14:srgbClr>
                  </w14:solidFill>
                </w14:textFill>
              </w:rPr>
              <w:t xml:space="preserve">　</w:t>
            </w:r>
            <w:r w:rsidR="00B85535" w:rsidRPr="00B85535">
              <w:rPr>
                <w:color w:val="000000"/>
                <w:w w:val="18"/>
                <w:szCs w:val="20"/>
                <w:shd w:val="solid" w:color="000000" w:fill="000000"/>
                <w:fitText w:val="80" w:id="-1500860155"/>
                <w14:textFill>
                  <w14:solidFill>
                    <w14:srgbClr w14:val="000000">
                      <w14:alpha w14:val="100000"/>
                    </w14:srgbClr>
                  </w14:solidFill>
                </w14:textFill>
              </w:rPr>
              <w:t>|</w:t>
            </w:r>
            <w:r w:rsidR="00B85535" w:rsidRPr="00B85535">
              <w:rPr>
                <w:rFonts w:hint="eastAsia"/>
                <w:color w:val="000000"/>
                <w:w w:val="18"/>
                <w:szCs w:val="20"/>
                <w:shd w:val="solid" w:color="000000" w:fill="000000"/>
                <w:fitText w:val="80" w:id="-1500860155"/>
                <w14:textFill>
                  <w14:solidFill>
                    <w14:srgbClr w14:val="000000">
                      <w14:alpha w14:val="100000"/>
                    </w14:srgbClr>
                  </w14:solidFill>
                </w14:textFill>
              </w:rPr>
              <w:t xml:space="preserve">　</w:t>
            </w:r>
            <w:r w:rsidR="00C84DE0" w:rsidRPr="00C84DE0">
              <w:rPr>
                <w:szCs w:val="20"/>
                <w:vertAlign w:val="superscript"/>
              </w:rPr>
              <w:t>12</w:t>
            </w:r>
          </w:p>
        </w:tc>
        <w:tc>
          <w:tcPr>
            <w:tcW w:w="647" w:type="pct"/>
            <w:shd w:val="clear" w:color="auto" w:fill="auto"/>
            <w:vAlign w:val="center"/>
          </w:tcPr>
          <w:p w14:paraId="04433A65" w14:textId="375DD848" w:rsidR="000B51DE" w:rsidRPr="00AC4021" w:rsidRDefault="000B51DE" w:rsidP="000B51DE">
            <w:pPr>
              <w:pStyle w:val="TableText0"/>
              <w:jc w:val="center"/>
              <w:rPr>
                <w:highlight w:val="yellow"/>
              </w:rPr>
            </w:pPr>
            <w:r w:rsidRPr="00C84DE0">
              <w:rPr>
                <w:szCs w:val="20"/>
              </w:rPr>
              <w:t>-</w:t>
            </w:r>
            <w:r w:rsidR="00B85535" w:rsidRPr="00B85535">
              <w:rPr>
                <w:rFonts w:hint="eastAsia"/>
                <w:color w:val="000000"/>
                <w:w w:val="18"/>
                <w:szCs w:val="20"/>
                <w:shd w:val="solid" w:color="000000" w:fill="000000"/>
                <w:fitText w:val="80" w:id="-1500860154"/>
                <w14:textFill>
                  <w14:solidFill>
                    <w14:srgbClr w14:val="000000">
                      <w14:alpha w14:val="100000"/>
                    </w14:srgbClr>
                  </w14:solidFill>
                </w14:textFill>
              </w:rPr>
              <w:t xml:space="preserve">　</w:t>
            </w:r>
            <w:r w:rsidR="00B85535" w:rsidRPr="00B85535">
              <w:rPr>
                <w:color w:val="000000"/>
                <w:w w:val="18"/>
                <w:szCs w:val="20"/>
                <w:shd w:val="solid" w:color="000000" w:fill="000000"/>
                <w:fitText w:val="80" w:id="-1500860154"/>
                <w14:textFill>
                  <w14:solidFill>
                    <w14:srgbClr w14:val="000000">
                      <w14:alpha w14:val="100000"/>
                    </w14:srgbClr>
                  </w14:solidFill>
                </w14:textFill>
              </w:rPr>
              <w:t>|</w:t>
            </w:r>
            <w:r w:rsidR="00B85535" w:rsidRPr="00B85535">
              <w:rPr>
                <w:rFonts w:hint="eastAsia"/>
                <w:color w:val="000000"/>
                <w:w w:val="18"/>
                <w:szCs w:val="20"/>
                <w:shd w:val="solid" w:color="000000" w:fill="000000"/>
                <w:fitText w:val="80" w:id="-1500860154"/>
                <w14:textFill>
                  <w14:solidFill>
                    <w14:srgbClr w14:val="000000">
                      <w14:alpha w14:val="100000"/>
                    </w14:srgbClr>
                  </w14:solidFill>
                </w14:textFill>
              </w:rPr>
              <w:t xml:space="preserve">　</w:t>
            </w:r>
            <w:r w:rsidR="00C84DE0" w:rsidRPr="00C84DE0">
              <w:rPr>
                <w:szCs w:val="20"/>
                <w:vertAlign w:val="superscript"/>
              </w:rPr>
              <w:t>12</w:t>
            </w:r>
          </w:p>
        </w:tc>
        <w:tc>
          <w:tcPr>
            <w:tcW w:w="649" w:type="pct"/>
            <w:vAlign w:val="center"/>
          </w:tcPr>
          <w:p w14:paraId="2223EBD7" w14:textId="2774E43D" w:rsidR="000B51DE" w:rsidRPr="00AC4021" w:rsidRDefault="000B51DE" w:rsidP="000B51DE">
            <w:pPr>
              <w:pStyle w:val="TableText0"/>
              <w:jc w:val="center"/>
              <w:rPr>
                <w:highlight w:val="yellow"/>
              </w:rPr>
            </w:pPr>
            <w:r w:rsidRPr="00C84DE0">
              <w:rPr>
                <w:szCs w:val="20"/>
              </w:rPr>
              <w:t>-</w:t>
            </w:r>
            <w:r w:rsidR="00B85535" w:rsidRPr="00B85535">
              <w:rPr>
                <w:rFonts w:hint="eastAsia"/>
                <w:color w:val="000000"/>
                <w:w w:val="15"/>
                <w:szCs w:val="20"/>
                <w:shd w:val="solid" w:color="000000" w:fill="000000"/>
                <w:fitText w:val="70" w:id="-1500860153"/>
                <w14:textFill>
                  <w14:solidFill>
                    <w14:srgbClr w14:val="000000">
                      <w14:alpha w14:val="100000"/>
                    </w14:srgbClr>
                  </w14:solidFill>
                </w14:textFill>
              </w:rPr>
              <w:t xml:space="preserve">　</w:t>
            </w:r>
            <w:r w:rsidR="00B85535" w:rsidRPr="00B85535">
              <w:rPr>
                <w:color w:val="000000"/>
                <w:w w:val="15"/>
                <w:szCs w:val="20"/>
                <w:shd w:val="solid" w:color="000000" w:fill="000000"/>
                <w:fitText w:val="70" w:id="-1500860153"/>
                <w14:textFill>
                  <w14:solidFill>
                    <w14:srgbClr w14:val="000000">
                      <w14:alpha w14:val="100000"/>
                    </w14:srgbClr>
                  </w14:solidFill>
                </w14:textFill>
              </w:rPr>
              <w:t>|</w:t>
            </w:r>
            <w:r w:rsidR="00B85535" w:rsidRPr="00B85535">
              <w:rPr>
                <w:rFonts w:hint="eastAsia"/>
                <w:color w:val="000000"/>
                <w:spacing w:val="4"/>
                <w:w w:val="15"/>
                <w:szCs w:val="20"/>
                <w:shd w:val="solid" w:color="000000" w:fill="000000"/>
                <w:fitText w:val="70" w:id="-1500860153"/>
                <w14:textFill>
                  <w14:solidFill>
                    <w14:srgbClr w14:val="000000">
                      <w14:alpha w14:val="100000"/>
                    </w14:srgbClr>
                  </w14:solidFill>
                </w14:textFill>
              </w:rPr>
              <w:t xml:space="preserve">　</w:t>
            </w:r>
            <w:r w:rsidR="00C84DE0" w:rsidRPr="00C84DE0">
              <w:rPr>
                <w:szCs w:val="20"/>
                <w:vertAlign w:val="superscript"/>
              </w:rPr>
              <w:t>12</w:t>
            </w:r>
          </w:p>
        </w:tc>
      </w:tr>
      <w:tr w:rsidR="00BF7E34" w:rsidRPr="00C80985" w14:paraId="123830C0" w14:textId="77777777" w:rsidTr="00E840F9">
        <w:tc>
          <w:tcPr>
            <w:tcW w:w="1116" w:type="pct"/>
            <w:shd w:val="clear" w:color="auto" w:fill="auto"/>
            <w:vAlign w:val="center"/>
          </w:tcPr>
          <w:p w14:paraId="50FCDA47" w14:textId="053A06ED" w:rsidR="000B51DE" w:rsidRPr="00C80985" w:rsidRDefault="000B51DE" w:rsidP="000B51DE">
            <w:pPr>
              <w:pStyle w:val="TableText0"/>
              <w:rPr>
                <w:b/>
                <w:bCs w:val="0"/>
                <w:sz w:val="19"/>
                <w:szCs w:val="19"/>
              </w:rPr>
            </w:pPr>
            <w:r w:rsidRPr="00C80985">
              <w:rPr>
                <w:b/>
                <w:bCs w:val="0"/>
                <w:sz w:val="19"/>
                <w:szCs w:val="19"/>
              </w:rPr>
              <w:t>Net cost to Government</w:t>
            </w:r>
          </w:p>
        </w:tc>
        <w:tc>
          <w:tcPr>
            <w:tcW w:w="647" w:type="pct"/>
            <w:shd w:val="clear" w:color="auto" w:fill="auto"/>
            <w:vAlign w:val="center"/>
          </w:tcPr>
          <w:p w14:paraId="0F4EB661" w14:textId="103FB082" w:rsidR="000B51DE" w:rsidRPr="00C80985" w:rsidRDefault="00B85535" w:rsidP="000B51DE">
            <w:pPr>
              <w:pStyle w:val="TableText0"/>
              <w:jc w:val="center"/>
            </w:pPr>
            <w:r w:rsidRPr="00B85535">
              <w:rPr>
                <w:rFonts w:hint="eastAsia"/>
                <w:b/>
                <w:bCs w:val="0"/>
                <w:color w:val="000000"/>
                <w:w w:val="20"/>
                <w:szCs w:val="20"/>
                <w:shd w:val="solid" w:color="000000" w:fill="000000"/>
                <w:fitText w:val="90" w:id="-1500860152"/>
                <w14:textFill>
                  <w14:solidFill>
                    <w14:srgbClr w14:val="000000">
                      <w14:alpha w14:val="100000"/>
                    </w14:srgbClr>
                  </w14:solidFill>
                </w14:textFill>
              </w:rPr>
              <w:t xml:space="preserve">　</w:t>
            </w:r>
            <w:r w:rsidRPr="00B85535">
              <w:rPr>
                <w:b/>
                <w:bCs w:val="0"/>
                <w:color w:val="000000"/>
                <w:w w:val="20"/>
                <w:szCs w:val="20"/>
                <w:shd w:val="solid" w:color="000000" w:fill="000000"/>
                <w:fitText w:val="90" w:id="-1500860152"/>
                <w14:textFill>
                  <w14:solidFill>
                    <w14:srgbClr w14:val="000000">
                      <w14:alpha w14:val="100000"/>
                    </w14:srgbClr>
                  </w14:solidFill>
                </w14:textFill>
              </w:rPr>
              <w:t>|</w:t>
            </w:r>
            <w:r w:rsidRPr="00B85535">
              <w:rPr>
                <w:rFonts w:hint="eastAsia"/>
                <w:b/>
                <w:bCs w:val="0"/>
                <w:color w:val="000000"/>
                <w:spacing w:val="2"/>
                <w:w w:val="20"/>
                <w:szCs w:val="20"/>
                <w:shd w:val="solid" w:color="000000" w:fill="000000"/>
                <w:fitText w:val="90" w:id="-1500860152"/>
                <w14:textFill>
                  <w14:solidFill>
                    <w14:srgbClr w14:val="000000">
                      <w14:alpha w14:val="100000"/>
                    </w14:srgbClr>
                  </w14:solidFill>
                </w14:textFill>
              </w:rPr>
              <w:t xml:space="preserve">　</w:t>
            </w:r>
            <w:r w:rsidR="00C84DE0" w:rsidRPr="00C84DE0">
              <w:rPr>
                <w:szCs w:val="20"/>
                <w:vertAlign w:val="superscript"/>
              </w:rPr>
              <w:t>12</w:t>
            </w:r>
          </w:p>
        </w:tc>
        <w:tc>
          <w:tcPr>
            <w:tcW w:w="647" w:type="pct"/>
            <w:shd w:val="clear" w:color="auto" w:fill="auto"/>
            <w:vAlign w:val="center"/>
          </w:tcPr>
          <w:p w14:paraId="59B75FE2" w14:textId="55EC0464" w:rsidR="000B51DE" w:rsidRPr="00BB5075" w:rsidRDefault="00B85535" w:rsidP="000B51DE">
            <w:pPr>
              <w:pStyle w:val="TableText0"/>
              <w:jc w:val="center"/>
              <w:rPr>
                <w:highlight w:val="yellow"/>
              </w:rPr>
            </w:pPr>
            <w:r w:rsidRPr="00B85535">
              <w:rPr>
                <w:rFonts w:hint="eastAsia"/>
                <w:b/>
                <w:bCs w:val="0"/>
                <w:color w:val="000000"/>
                <w:w w:val="20"/>
                <w:szCs w:val="20"/>
                <w:shd w:val="solid" w:color="000000" w:fill="000000"/>
                <w:fitText w:val="90" w:id="-1500860151"/>
                <w14:textFill>
                  <w14:solidFill>
                    <w14:srgbClr w14:val="000000">
                      <w14:alpha w14:val="100000"/>
                    </w14:srgbClr>
                  </w14:solidFill>
                </w14:textFill>
              </w:rPr>
              <w:t xml:space="preserve">　</w:t>
            </w:r>
            <w:r w:rsidRPr="00B85535">
              <w:rPr>
                <w:b/>
                <w:bCs w:val="0"/>
                <w:color w:val="000000"/>
                <w:w w:val="20"/>
                <w:szCs w:val="20"/>
                <w:shd w:val="solid" w:color="000000" w:fill="000000"/>
                <w:fitText w:val="90" w:id="-1500860151"/>
                <w14:textFill>
                  <w14:solidFill>
                    <w14:srgbClr w14:val="000000">
                      <w14:alpha w14:val="100000"/>
                    </w14:srgbClr>
                  </w14:solidFill>
                </w14:textFill>
              </w:rPr>
              <w:t>|</w:t>
            </w:r>
            <w:r w:rsidRPr="00B85535">
              <w:rPr>
                <w:rFonts w:hint="eastAsia"/>
                <w:b/>
                <w:bCs w:val="0"/>
                <w:color w:val="000000"/>
                <w:spacing w:val="2"/>
                <w:w w:val="20"/>
                <w:szCs w:val="20"/>
                <w:shd w:val="solid" w:color="000000" w:fill="000000"/>
                <w:fitText w:val="90" w:id="-1500860151"/>
                <w14:textFill>
                  <w14:solidFill>
                    <w14:srgbClr w14:val="000000">
                      <w14:alpha w14:val="100000"/>
                    </w14:srgbClr>
                  </w14:solidFill>
                </w14:textFill>
              </w:rPr>
              <w:t xml:space="preserve">　</w:t>
            </w:r>
            <w:r w:rsidR="00C84DE0" w:rsidRPr="00C84DE0">
              <w:rPr>
                <w:szCs w:val="20"/>
                <w:vertAlign w:val="superscript"/>
              </w:rPr>
              <w:t>14</w:t>
            </w:r>
          </w:p>
        </w:tc>
        <w:tc>
          <w:tcPr>
            <w:tcW w:w="647" w:type="pct"/>
            <w:shd w:val="clear" w:color="auto" w:fill="auto"/>
            <w:vAlign w:val="center"/>
          </w:tcPr>
          <w:p w14:paraId="6AE6473A" w14:textId="49A94F53" w:rsidR="000B51DE" w:rsidRPr="00BB5075" w:rsidRDefault="00B85535" w:rsidP="000B51DE">
            <w:pPr>
              <w:pStyle w:val="TableText0"/>
              <w:jc w:val="center"/>
              <w:rPr>
                <w:highlight w:val="yellow"/>
              </w:rPr>
            </w:pPr>
            <w:r w:rsidRPr="00B85535">
              <w:rPr>
                <w:rFonts w:hint="eastAsia"/>
                <w:b/>
                <w:bCs w:val="0"/>
                <w:color w:val="000000"/>
                <w:w w:val="20"/>
                <w:szCs w:val="20"/>
                <w:shd w:val="solid" w:color="000000" w:fill="000000"/>
                <w:fitText w:val="90" w:id="-1500860150"/>
                <w14:textFill>
                  <w14:solidFill>
                    <w14:srgbClr w14:val="000000">
                      <w14:alpha w14:val="100000"/>
                    </w14:srgbClr>
                  </w14:solidFill>
                </w14:textFill>
              </w:rPr>
              <w:t xml:space="preserve">　</w:t>
            </w:r>
            <w:r w:rsidRPr="00B85535">
              <w:rPr>
                <w:b/>
                <w:bCs w:val="0"/>
                <w:color w:val="000000"/>
                <w:w w:val="20"/>
                <w:szCs w:val="20"/>
                <w:shd w:val="solid" w:color="000000" w:fill="000000"/>
                <w:fitText w:val="90" w:id="-1500860150"/>
                <w14:textFill>
                  <w14:solidFill>
                    <w14:srgbClr w14:val="000000">
                      <w14:alpha w14:val="100000"/>
                    </w14:srgbClr>
                  </w14:solidFill>
                </w14:textFill>
              </w:rPr>
              <w:t>|</w:t>
            </w:r>
            <w:r w:rsidRPr="00B85535">
              <w:rPr>
                <w:rFonts w:hint="eastAsia"/>
                <w:b/>
                <w:bCs w:val="0"/>
                <w:color w:val="000000"/>
                <w:spacing w:val="2"/>
                <w:w w:val="20"/>
                <w:szCs w:val="20"/>
                <w:shd w:val="solid" w:color="000000" w:fill="000000"/>
                <w:fitText w:val="90" w:id="-1500860150"/>
                <w14:textFill>
                  <w14:solidFill>
                    <w14:srgbClr w14:val="000000">
                      <w14:alpha w14:val="100000"/>
                    </w14:srgbClr>
                  </w14:solidFill>
                </w14:textFill>
              </w:rPr>
              <w:t xml:space="preserve">　</w:t>
            </w:r>
            <w:r w:rsidR="00C84DE0" w:rsidRPr="00C84DE0">
              <w:rPr>
                <w:szCs w:val="20"/>
                <w:vertAlign w:val="superscript"/>
              </w:rPr>
              <w:t>14</w:t>
            </w:r>
          </w:p>
        </w:tc>
        <w:tc>
          <w:tcPr>
            <w:tcW w:w="647" w:type="pct"/>
            <w:shd w:val="clear" w:color="auto" w:fill="auto"/>
            <w:vAlign w:val="center"/>
          </w:tcPr>
          <w:p w14:paraId="1F476C04" w14:textId="7C2B4CAC" w:rsidR="000B51DE" w:rsidRPr="00BB5075" w:rsidRDefault="00B85535" w:rsidP="000B51DE">
            <w:pPr>
              <w:pStyle w:val="TableText0"/>
              <w:jc w:val="center"/>
              <w:rPr>
                <w:highlight w:val="yellow"/>
              </w:rPr>
            </w:pPr>
            <w:r w:rsidRPr="00B85535">
              <w:rPr>
                <w:rFonts w:hint="eastAsia"/>
                <w:b/>
                <w:bCs w:val="0"/>
                <w:color w:val="000000"/>
                <w:w w:val="20"/>
                <w:szCs w:val="20"/>
                <w:shd w:val="solid" w:color="000000" w:fill="000000"/>
                <w:fitText w:val="90" w:id="-1500860149"/>
                <w14:textFill>
                  <w14:solidFill>
                    <w14:srgbClr w14:val="000000">
                      <w14:alpha w14:val="100000"/>
                    </w14:srgbClr>
                  </w14:solidFill>
                </w14:textFill>
              </w:rPr>
              <w:t xml:space="preserve">　</w:t>
            </w:r>
            <w:r w:rsidRPr="00B85535">
              <w:rPr>
                <w:b/>
                <w:bCs w:val="0"/>
                <w:color w:val="000000"/>
                <w:w w:val="20"/>
                <w:szCs w:val="20"/>
                <w:shd w:val="solid" w:color="000000" w:fill="000000"/>
                <w:fitText w:val="90" w:id="-1500860149"/>
                <w14:textFill>
                  <w14:solidFill>
                    <w14:srgbClr w14:val="000000">
                      <w14:alpha w14:val="100000"/>
                    </w14:srgbClr>
                  </w14:solidFill>
                </w14:textFill>
              </w:rPr>
              <w:t>|</w:t>
            </w:r>
            <w:r w:rsidRPr="00B85535">
              <w:rPr>
                <w:rFonts w:hint="eastAsia"/>
                <w:b/>
                <w:bCs w:val="0"/>
                <w:color w:val="000000"/>
                <w:spacing w:val="2"/>
                <w:w w:val="20"/>
                <w:szCs w:val="20"/>
                <w:shd w:val="solid" w:color="000000" w:fill="000000"/>
                <w:fitText w:val="90" w:id="-1500860149"/>
                <w14:textFill>
                  <w14:solidFill>
                    <w14:srgbClr w14:val="000000">
                      <w14:alpha w14:val="100000"/>
                    </w14:srgbClr>
                  </w14:solidFill>
                </w14:textFill>
              </w:rPr>
              <w:t xml:space="preserve">　</w:t>
            </w:r>
            <w:r w:rsidR="00C84DE0" w:rsidRPr="00C84DE0">
              <w:rPr>
                <w:szCs w:val="20"/>
                <w:vertAlign w:val="superscript"/>
              </w:rPr>
              <w:t>14</w:t>
            </w:r>
          </w:p>
        </w:tc>
        <w:tc>
          <w:tcPr>
            <w:tcW w:w="647" w:type="pct"/>
            <w:shd w:val="clear" w:color="auto" w:fill="auto"/>
            <w:vAlign w:val="center"/>
          </w:tcPr>
          <w:p w14:paraId="12079751" w14:textId="3F3C4F12" w:rsidR="000B51DE" w:rsidRPr="00BB5075" w:rsidRDefault="00B85535" w:rsidP="000B51DE">
            <w:pPr>
              <w:pStyle w:val="TableText0"/>
              <w:jc w:val="center"/>
              <w:rPr>
                <w:highlight w:val="yellow"/>
              </w:rPr>
            </w:pPr>
            <w:r w:rsidRPr="00B85535">
              <w:rPr>
                <w:rFonts w:hint="eastAsia"/>
                <w:b/>
                <w:bCs w:val="0"/>
                <w:color w:val="000000"/>
                <w:w w:val="20"/>
                <w:szCs w:val="20"/>
                <w:shd w:val="solid" w:color="000000" w:fill="000000"/>
                <w:fitText w:val="90" w:id="-1500860148"/>
                <w14:textFill>
                  <w14:solidFill>
                    <w14:srgbClr w14:val="000000">
                      <w14:alpha w14:val="100000"/>
                    </w14:srgbClr>
                  </w14:solidFill>
                </w14:textFill>
              </w:rPr>
              <w:t xml:space="preserve">　</w:t>
            </w:r>
            <w:r w:rsidRPr="00B85535">
              <w:rPr>
                <w:b/>
                <w:bCs w:val="0"/>
                <w:color w:val="000000"/>
                <w:w w:val="20"/>
                <w:szCs w:val="20"/>
                <w:shd w:val="solid" w:color="000000" w:fill="000000"/>
                <w:fitText w:val="90" w:id="-1500860148"/>
                <w14:textFill>
                  <w14:solidFill>
                    <w14:srgbClr w14:val="000000">
                      <w14:alpha w14:val="100000"/>
                    </w14:srgbClr>
                  </w14:solidFill>
                </w14:textFill>
              </w:rPr>
              <w:t>|</w:t>
            </w:r>
            <w:r w:rsidRPr="00B85535">
              <w:rPr>
                <w:rFonts w:hint="eastAsia"/>
                <w:b/>
                <w:bCs w:val="0"/>
                <w:color w:val="000000"/>
                <w:spacing w:val="2"/>
                <w:w w:val="20"/>
                <w:szCs w:val="20"/>
                <w:shd w:val="solid" w:color="000000" w:fill="000000"/>
                <w:fitText w:val="90" w:id="-1500860148"/>
                <w14:textFill>
                  <w14:solidFill>
                    <w14:srgbClr w14:val="000000">
                      <w14:alpha w14:val="100000"/>
                    </w14:srgbClr>
                  </w14:solidFill>
                </w14:textFill>
              </w:rPr>
              <w:t xml:space="preserve">　</w:t>
            </w:r>
            <w:r w:rsidR="00C84DE0" w:rsidRPr="00C84DE0">
              <w:rPr>
                <w:szCs w:val="20"/>
                <w:vertAlign w:val="superscript"/>
              </w:rPr>
              <w:t>14</w:t>
            </w:r>
          </w:p>
        </w:tc>
        <w:tc>
          <w:tcPr>
            <w:tcW w:w="649" w:type="pct"/>
            <w:vAlign w:val="center"/>
          </w:tcPr>
          <w:p w14:paraId="4844CB4D" w14:textId="121529E9" w:rsidR="000B51DE" w:rsidRPr="00BB5075" w:rsidRDefault="00B85535" w:rsidP="000B51DE">
            <w:pPr>
              <w:pStyle w:val="TableText0"/>
              <w:jc w:val="center"/>
              <w:rPr>
                <w:highlight w:val="yellow"/>
              </w:rPr>
            </w:pPr>
            <w:r w:rsidRPr="00B85535">
              <w:rPr>
                <w:rFonts w:hint="eastAsia"/>
                <w:b/>
                <w:bCs w:val="0"/>
                <w:color w:val="000000"/>
                <w:w w:val="20"/>
                <w:szCs w:val="20"/>
                <w:shd w:val="solid" w:color="000000" w:fill="000000"/>
                <w:fitText w:val="90" w:id="-1500860147"/>
                <w14:textFill>
                  <w14:solidFill>
                    <w14:srgbClr w14:val="000000">
                      <w14:alpha w14:val="100000"/>
                    </w14:srgbClr>
                  </w14:solidFill>
                </w14:textFill>
              </w:rPr>
              <w:t xml:space="preserve">　</w:t>
            </w:r>
            <w:r w:rsidRPr="00B85535">
              <w:rPr>
                <w:b/>
                <w:bCs w:val="0"/>
                <w:color w:val="000000"/>
                <w:w w:val="20"/>
                <w:szCs w:val="20"/>
                <w:shd w:val="solid" w:color="000000" w:fill="000000"/>
                <w:fitText w:val="90" w:id="-1500860147"/>
                <w14:textFill>
                  <w14:solidFill>
                    <w14:srgbClr w14:val="000000">
                      <w14:alpha w14:val="100000"/>
                    </w14:srgbClr>
                  </w14:solidFill>
                </w14:textFill>
              </w:rPr>
              <w:t>|</w:t>
            </w:r>
            <w:r w:rsidRPr="00B85535">
              <w:rPr>
                <w:rFonts w:hint="eastAsia"/>
                <w:b/>
                <w:bCs w:val="0"/>
                <w:color w:val="000000"/>
                <w:spacing w:val="2"/>
                <w:w w:val="20"/>
                <w:szCs w:val="20"/>
                <w:shd w:val="solid" w:color="000000" w:fill="000000"/>
                <w:fitText w:val="90" w:id="-1500860147"/>
                <w14:textFill>
                  <w14:solidFill>
                    <w14:srgbClr w14:val="000000">
                      <w14:alpha w14:val="100000"/>
                    </w14:srgbClr>
                  </w14:solidFill>
                </w14:textFill>
              </w:rPr>
              <w:t xml:space="preserve">　</w:t>
            </w:r>
            <w:r w:rsidR="00C84DE0" w:rsidRPr="00C84DE0">
              <w:rPr>
                <w:szCs w:val="20"/>
                <w:vertAlign w:val="superscript"/>
              </w:rPr>
              <w:t>14</w:t>
            </w:r>
          </w:p>
        </w:tc>
      </w:tr>
    </w:tbl>
    <w:p w14:paraId="2D907459" w14:textId="085A8426" w:rsidR="00626C5C" w:rsidRPr="00C80985" w:rsidRDefault="00626C5C" w:rsidP="00626C5C">
      <w:pPr>
        <w:pStyle w:val="TableFooter"/>
        <w:keepNext/>
        <w:keepLines/>
      </w:pPr>
      <w:r w:rsidRPr="00C80985">
        <w:t>Source: Table 4.10, p213; Table 4.11, p215-216; Table 4.15, p219; Table 4.22, p2</w:t>
      </w:r>
      <w:r w:rsidR="00A615C2" w:rsidRPr="00C80985">
        <w:t>2</w:t>
      </w:r>
      <w:r w:rsidRPr="00C80985">
        <w:t>4; Table 4.30, p231-232; Table 4.31, p232 of the submission; Table 5, 3.02 November 2020 PBAC Minutes.</w:t>
      </w:r>
      <w:r w:rsidR="00727E48" w:rsidRPr="00C80985">
        <w:t xml:space="preserve"> </w:t>
      </w:r>
    </w:p>
    <w:p w14:paraId="484CF5B6" w14:textId="6EF687C7" w:rsidR="00620C25" w:rsidRPr="00C80985" w:rsidRDefault="00626C5C" w:rsidP="00626C5C">
      <w:pPr>
        <w:pStyle w:val="TableFooter"/>
        <w:rPr>
          <w:rStyle w:val="CommentReference"/>
          <w:b w:val="0"/>
          <w:sz w:val="18"/>
          <w:szCs w:val="18"/>
        </w:rPr>
      </w:pPr>
      <w:r w:rsidRPr="00C80985">
        <w:rPr>
          <w:szCs w:val="18"/>
        </w:rPr>
        <w:t>AD = atopic dermatitis</w:t>
      </w:r>
    </w:p>
    <w:p w14:paraId="65E99FBE" w14:textId="0BA8D9AD" w:rsidR="00E466F3" w:rsidRPr="00C80985" w:rsidRDefault="00E466F3" w:rsidP="00BD2CF5">
      <w:pPr>
        <w:pStyle w:val="TableFigureFooter"/>
        <w:tabs>
          <w:tab w:val="left" w:pos="142"/>
        </w:tabs>
      </w:pPr>
      <w:r w:rsidRPr="00C80985">
        <w:rPr>
          <w:vertAlign w:val="superscript"/>
        </w:rPr>
        <w:t>a</w:t>
      </w:r>
      <w:r w:rsidR="00BD2CF5" w:rsidRPr="00C80985">
        <w:tab/>
      </w:r>
      <w:proofErr w:type="gramStart"/>
      <w:r w:rsidR="00EE22CD" w:rsidRPr="00C80985">
        <w:t>Grandfathered patients</w:t>
      </w:r>
      <w:proofErr w:type="gramEnd"/>
      <w:r w:rsidRPr="00C80985">
        <w:t>.</w:t>
      </w:r>
    </w:p>
    <w:p w14:paraId="3CBAF372" w14:textId="1A1EDDB0" w:rsidR="00A615C2" w:rsidRPr="00C80985" w:rsidRDefault="00BD2CF5" w:rsidP="00A615C2">
      <w:pPr>
        <w:pStyle w:val="TableFigureFooter"/>
        <w:tabs>
          <w:tab w:val="left" w:pos="142"/>
        </w:tabs>
        <w:ind w:left="284" w:hanging="284"/>
      </w:pPr>
      <w:r w:rsidRPr="00C80985">
        <w:rPr>
          <w:vertAlign w:val="superscript"/>
        </w:rPr>
        <w:lastRenderedPageBreak/>
        <w:t>b</w:t>
      </w:r>
      <w:r w:rsidRPr="00C80985">
        <w:tab/>
        <w:t>First year of treatment: initiation script and first maintenance script.</w:t>
      </w:r>
      <w:r w:rsidR="00727E48" w:rsidRPr="00C80985">
        <w:t xml:space="preserve"> </w:t>
      </w:r>
      <w:r w:rsidRPr="00C80985">
        <w:t>Patients can fail to respond (23%), fail to respond to maintenance script (3.3%); or maintain response (73.6%).</w:t>
      </w:r>
      <w:r w:rsidR="00727E48" w:rsidRPr="00C80985">
        <w:t xml:space="preserve"> </w:t>
      </w:r>
      <w:r w:rsidRPr="00C80985">
        <w:t>In subsequent years of treatment, Q2W patients use 13.04 packs per year and Q4W patients use 6.5 packs per year.</w:t>
      </w:r>
      <w:r w:rsidR="00727E48" w:rsidRPr="00C80985">
        <w:t xml:space="preserve"> </w:t>
      </w:r>
      <w:r w:rsidRPr="00C80985">
        <w:t>Compliance was assumed to</w:t>
      </w:r>
      <w:r w:rsidR="003A666B" w:rsidRPr="00C80985">
        <w:t xml:space="preserve"> </w:t>
      </w:r>
      <w:r w:rsidRPr="00C80985">
        <w:t>be 100%, based on Study 1652.</w:t>
      </w:r>
    </w:p>
    <w:p w14:paraId="09F161A3" w14:textId="6EEFA810" w:rsidR="00BD2CF5" w:rsidRDefault="00A615C2" w:rsidP="00DA1CE7">
      <w:pPr>
        <w:pStyle w:val="TableFigureFooter"/>
        <w:tabs>
          <w:tab w:val="left" w:pos="142"/>
        </w:tabs>
        <w:ind w:left="284" w:hanging="284"/>
      </w:pPr>
      <w:r w:rsidRPr="00C80985">
        <w:t>Blue shading indicates data presented in the November 2020 submission.</w:t>
      </w:r>
    </w:p>
    <w:p w14:paraId="7B0F59C8" w14:textId="16F4441F" w:rsidR="00AC4021" w:rsidRDefault="00AC4021" w:rsidP="00DA1CE7">
      <w:pPr>
        <w:pStyle w:val="TableFigureFooter"/>
        <w:tabs>
          <w:tab w:val="left" w:pos="142"/>
        </w:tabs>
        <w:ind w:left="284" w:hanging="284"/>
      </w:pPr>
    </w:p>
    <w:p w14:paraId="1C8634B2" w14:textId="77777777" w:rsidR="00AC4021" w:rsidRPr="009868C4" w:rsidRDefault="00AC4021" w:rsidP="00AC4021">
      <w:pPr>
        <w:pStyle w:val="TableFigureFooter"/>
        <w:spacing w:after="0"/>
        <w:contextualSpacing w:val="0"/>
      </w:pPr>
      <w:r w:rsidRPr="009868C4">
        <w:rPr>
          <w:i/>
        </w:rPr>
        <w:t>The redacted values correspond to the following ranges</w:t>
      </w:r>
      <w:r>
        <w:rPr>
          <w:i/>
        </w:rPr>
        <w:t xml:space="preserve">: </w:t>
      </w:r>
    </w:p>
    <w:p w14:paraId="33E6137B" w14:textId="105E74F8" w:rsidR="00AC4021" w:rsidRDefault="00AC4021" w:rsidP="00DA1CE7">
      <w:pPr>
        <w:pStyle w:val="TableFigureFooter"/>
        <w:tabs>
          <w:tab w:val="left" w:pos="142"/>
        </w:tabs>
        <w:ind w:left="284" w:hanging="284"/>
      </w:pPr>
      <w:r>
        <w:rPr>
          <w:vertAlign w:val="superscript"/>
        </w:rPr>
        <w:t>1</w:t>
      </w:r>
      <w:r>
        <w:t>5,000 to &lt; 10,000</w:t>
      </w:r>
    </w:p>
    <w:p w14:paraId="12B9FE47" w14:textId="60AD04EB" w:rsidR="00AC4021" w:rsidRDefault="00AC4021" w:rsidP="00DA1CE7">
      <w:pPr>
        <w:pStyle w:val="TableFigureFooter"/>
        <w:tabs>
          <w:tab w:val="left" w:pos="142"/>
        </w:tabs>
        <w:ind w:left="284" w:hanging="284"/>
      </w:pPr>
      <w:r>
        <w:rPr>
          <w:vertAlign w:val="superscript"/>
        </w:rPr>
        <w:t>2</w:t>
      </w:r>
      <w:r>
        <w:t>500 to &lt; 5,000</w:t>
      </w:r>
    </w:p>
    <w:p w14:paraId="68A2A19B" w14:textId="4F4EBF69" w:rsidR="003E6AEB" w:rsidRDefault="003E6AEB" w:rsidP="00DA1CE7">
      <w:pPr>
        <w:pStyle w:val="TableFigureFooter"/>
        <w:tabs>
          <w:tab w:val="left" w:pos="142"/>
        </w:tabs>
        <w:ind w:left="284" w:hanging="284"/>
      </w:pPr>
      <w:r>
        <w:rPr>
          <w:vertAlign w:val="superscript"/>
        </w:rPr>
        <w:t>3</w:t>
      </w:r>
      <w:r>
        <w:t>&lt; 500</w:t>
      </w:r>
    </w:p>
    <w:p w14:paraId="1B120919" w14:textId="02D8F6AE" w:rsidR="003E6AEB" w:rsidRDefault="003E6AEB" w:rsidP="00DA1CE7">
      <w:pPr>
        <w:pStyle w:val="TableFigureFooter"/>
        <w:tabs>
          <w:tab w:val="left" w:pos="142"/>
        </w:tabs>
        <w:ind w:left="284" w:hanging="284"/>
      </w:pPr>
      <w:r>
        <w:rPr>
          <w:vertAlign w:val="superscript"/>
        </w:rPr>
        <w:t>4</w:t>
      </w:r>
      <w:r>
        <w:t>5,000 to &lt; 10,000</w:t>
      </w:r>
    </w:p>
    <w:p w14:paraId="587C1D7E" w14:textId="29D6EC91" w:rsidR="003E6AEB" w:rsidRDefault="003E6AEB" w:rsidP="00DA1CE7">
      <w:pPr>
        <w:pStyle w:val="TableFigureFooter"/>
        <w:tabs>
          <w:tab w:val="left" w:pos="142"/>
        </w:tabs>
        <w:ind w:left="284" w:hanging="284"/>
      </w:pPr>
      <w:r w:rsidRPr="003E6AEB">
        <w:rPr>
          <w:vertAlign w:val="superscript"/>
        </w:rPr>
        <w:t>5</w:t>
      </w:r>
      <w:r>
        <w:t>10,000 to &lt; 20,000</w:t>
      </w:r>
    </w:p>
    <w:p w14:paraId="47FA2941" w14:textId="77777777" w:rsidR="003E6AEB" w:rsidRDefault="003E6AEB" w:rsidP="003E6AEB">
      <w:pPr>
        <w:pStyle w:val="TableFigureFooter"/>
        <w:tabs>
          <w:tab w:val="left" w:pos="142"/>
        </w:tabs>
        <w:ind w:left="284" w:hanging="284"/>
      </w:pPr>
      <w:r>
        <w:rPr>
          <w:vertAlign w:val="superscript"/>
        </w:rPr>
        <w:t>6</w:t>
      </w:r>
      <w:r>
        <w:t>30,000 to &lt; 40,000</w:t>
      </w:r>
    </w:p>
    <w:p w14:paraId="6B707CF1" w14:textId="4CD1E3AE" w:rsidR="003E6AEB" w:rsidRDefault="003E6AEB" w:rsidP="003E6AEB">
      <w:pPr>
        <w:pStyle w:val="TableFigureFooter"/>
        <w:tabs>
          <w:tab w:val="left" w:pos="142"/>
        </w:tabs>
        <w:ind w:left="284" w:hanging="284"/>
      </w:pPr>
      <w:r w:rsidRPr="003E6AEB">
        <w:rPr>
          <w:vertAlign w:val="superscript"/>
        </w:rPr>
        <w:t>7</w:t>
      </w:r>
      <w:r>
        <w:t>40,000 to &lt; 50,000</w:t>
      </w:r>
    </w:p>
    <w:p w14:paraId="2B185D3C" w14:textId="3446CDA8" w:rsidR="005D57D7" w:rsidRDefault="005D57D7" w:rsidP="003E6AEB">
      <w:pPr>
        <w:pStyle w:val="TableFigureFooter"/>
        <w:tabs>
          <w:tab w:val="left" w:pos="142"/>
        </w:tabs>
        <w:ind w:left="284" w:hanging="284"/>
      </w:pPr>
      <w:r>
        <w:rPr>
          <w:vertAlign w:val="superscript"/>
        </w:rPr>
        <w:t>8</w:t>
      </w:r>
      <w:r>
        <w:t>50,000 to &lt; 60,000</w:t>
      </w:r>
    </w:p>
    <w:p w14:paraId="1B4C6905" w14:textId="55B2F5A9" w:rsidR="005D57D7" w:rsidRDefault="005D57D7" w:rsidP="003E6AEB">
      <w:pPr>
        <w:pStyle w:val="TableFigureFooter"/>
        <w:tabs>
          <w:tab w:val="left" w:pos="142"/>
        </w:tabs>
        <w:ind w:left="284" w:hanging="284"/>
      </w:pPr>
      <w:r>
        <w:rPr>
          <w:vertAlign w:val="superscript"/>
        </w:rPr>
        <w:t>9</w:t>
      </w:r>
      <w:r>
        <w:t>60,000 to &lt; 70,000</w:t>
      </w:r>
    </w:p>
    <w:p w14:paraId="4D872983" w14:textId="2E2840D7" w:rsidR="00BE6217" w:rsidRDefault="00BE6217" w:rsidP="003E6AEB">
      <w:pPr>
        <w:pStyle w:val="TableFigureFooter"/>
        <w:tabs>
          <w:tab w:val="left" w:pos="142"/>
        </w:tabs>
        <w:ind w:left="284" w:hanging="284"/>
      </w:pPr>
      <w:r>
        <w:rPr>
          <w:vertAlign w:val="superscript"/>
        </w:rPr>
        <w:t>10</w:t>
      </w:r>
      <w:r>
        <w:t>70,000 to &lt; 80,000</w:t>
      </w:r>
    </w:p>
    <w:p w14:paraId="594C4AC0" w14:textId="52E6719A" w:rsidR="00BE6217" w:rsidRPr="00BE6217" w:rsidRDefault="00BE6217" w:rsidP="003E6AEB">
      <w:pPr>
        <w:pStyle w:val="TableFigureFooter"/>
        <w:tabs>
          <w:tab w:val="left" w:pos="142"/>
        </w:tabs>
        <w:ind w:left="284" w:hanging="284"/>
      </w:pPr>
      <w:r>
        <w:rPr>
          <w:vertAlign w:val="superscript"/>
        </w:rPr>
        <w:t>11</w:t>
      </w:r>
      <w:r>
        <w:t>80,000 to &lt; 90,000</w:t>
      </w:r>
    </w:p>
    <w:p w14:paraId="12BFB95F" w14:textId="7F09DA0C" w:rsidR="005D57D7" w:rsidRDefault="00C84DE0" w:rsidP="003E6AEB">
      <w:pPr>
        <w:pStyle w:val="TableFigureFooter"/>
        <w:tabs>
          <w:tab w:val="left" w:pos="142"/>
        </w:tabs>
        <w:ind w:left="284" w:hanging="284"/>
      </w:pPr>
      <w:r>
        <w:rPr>
          <w:vertAlign w:val="superscript"/>
        </w:rPr>
        <w:t>12</w:t>
      </w:r>
      <w:r>
        <w:t>$0 to &lt; $10 million</w:t>
      </w:r>
    </w:p>
    <w:p w14:paraId="37FF0814" w14:textId="774208D7" w:rsidR="00C84DE0" w:rsidRDefault="00C84DE0" w:rsidP="003E6AEB">
      <w:pPr>
        <w:pStyle w:val="TableFigureFooter"/>
        <w:tabs>
          <w:tab w:val="left" w:pos="142"/>
        </w:tabs>
        <w:ind w:left="284" w:hanging="284"/>
      </w:pPr>
      <w:r>
        <w:rPr>
          <w:vertAlign w:val="superscript"/>
        </w:rPr>
        <w:t>13</w:t>
      </w:r>
      <w:r>
        <w:t>$30 million to &lt; $40 million</w:t>
      </w:r>
    </w:p>
    <w:p w14:paraId="3B5A2674" w14:textId="3822BF15" w:rsidR="00C84DE0" w:rsidRDefault="00C84DE0" w:rsidP="003E6AEB">
      <w:pPr>
        <w:pStyle w:val="TableFigureFooter"/>
        <w:tabs>
          <w:tab w:val="left" w:pos="142"/>
        </w:tabs>
        <w:ind w:left="284" w:hanging="284"/>
      </w:pPr>
      <w:r>
        <w:rPr>
          <w:vertAlign w:val="superscript"/>
        </w:rPr>
        <w:t>14</w:t>
      </w:r>
      <w:r>
        <w:t>$10 million to &lt; $20 million</w:t>
      </w:r>
    </w:p>
    <w:p w14:paraId="280961CC" w14:textId="2F4380F0" w:rsidR="00C84DE0" w:rsidRDefault="00C84DE0" w:rsidP="003E6AEB">
      <w:pPr>
        <w:pStyle w:val="TableFigureFooter"/>
        <w:tabs>
          <w:tab w:val="left" w:pos="142"/>
        </w:tabs>
        <w:ind w:left="284" w:hanging="284"/>
      </w:pPr>
      <w:r>
        <w:rPr>
          <w:vertAlign w:val="superscript"/>
        </w:rPr>
        <w:t>15</w:t>
      </w:r>
      <w:r>
        <w:t>$40 million to &lt; $50 million</w:t>
      </w:r>
    </w:p>
    <w:p w14:paraId="4BB6499C" w14:textId="76E86CB0" w:rsidR="00C84DE0" w:rsidRDefault="00C84DE0" w:rsidP="003E6AEB">
      <w:pPr>
        <w:pStyle w:val="TableFigureFooter"/>
        <w:tabs>
          <w:tab w:val="left" w:pos="142"/>
        </w:tabs>
        <w:ind w:left="284" w:hanging="284"/>
      </w:pPr>
      <w:r>
        <w:rPr>
          <w:vertAlign w:val="superscript"/>
        </w:rPr>
        <w:t>16</w:t>
      </w:r>
      <w:r>
        <w:t>$50 million to &lt; $60 million</w:t>
      </w:r>
    </w:p>
    <w:p w14:paraId="4D9E9C84" w14:textId="7B41EB22" w:rsidR="00C84DE0" w:rsidRDefault="00C84DE0" w:rsidP="003E6AEB">
      <w:pPr>
        <w:pStyle w:val="TableFigureFooter"/>
        <w:tabs>
          <w:tab w:val="left" w:pos="142"/>
        </w:tabs>
        <w:ind w:left="284" w:hanging="284"/>
      </w:pPr>
      <w:r>
        <w:rPr>
          <w:vertAlign w:val="superscript"/>
        </w:rPr>
        <w:t>17</w:t>
      </w:r>
      <w:r>
        <w:t>$60 million to &lt; $70 million</w:t>
      </w:r>
    </w:p>
    <w:p w14:paraId="2AE6814C" w14:textId="6A6BEE7A" w:rsidR="00C84DE0" w:rsidRDefault="00C84DE0" w:rsidP="003E6AEB">
      <w:pPr>
        <w:pStyle w:val="TableFigureFooter"/>
        <w:tabs>
          <w:tab w:val="left" w:pos="142"/>
        </w:tabs>
        <w:ind w:left="284" w:hanging="284"/>
      </w:pPr>
      <w:r>
        <w:rPr>
          <w:vertAlign w:val="superscript"/>
        </w:rPr>
        <w:t>18</w:t>
      </w:r>
      <w:r>
        <w:t>$70 million to &lt; $80 million</w:t>
      </w:r>
    </w:p>
    <w:p w14:paraId="49A8A160" w14:textId="451D1587" w:rsidR="00C84DE0" w:rsidRPr="00C84DE0" w:rsidRDefault="00C84DE0" w:rsidP="003E6AEB">
      <w:pPr>
        <w:pStyle w:val="TableFigureFooter"/>
        <w:tabs>
          <w:tab w:val="left" w:pos="142"/>
        </w:tabs>
        <w:ind w:left="284" w:hanging="284"/>
      </w:pPr>
      <w:r>
        <w:rPr>
          <w:vertAlign w:val="superscript"/>
        </w:rPr>
        <w:t>19</w:t>
      </w:r>
      <w:r>
        <w:t>$80 million to &lt; $90 million</w:t>
      </w:r>
    </w:p>
    <w:p w14:paraId="305B1A84" w14:textId="49BFA60A" w:rsidR="005E5B7A" w:rsidRPr="00C80985" w:rsidRDefault="000902D9" w:rsidP="00D244B6">
      <w:pPr>
        <w:pStyle w:val="3-BodyText"/>
      </w:pPr>
      <w:r w:rsidRPr="00C80985">
        <w:t xml:space="preserve">The total cost to the PBS/RPBS of listing </w:t>
      </w:r>
      <w:r w:rsidR="000B51DE" w:rsidRPr="00C80985">
        <w:t>dupilumab for the treatment of severe AD in paediatric patients</w:t>
      </w:r>
      <w:r w:rsidRPr="00C80985">
        <w:t xml:space="preserve"> was estimated </w:t>
      </w:r>
      <w:r w:rsidR="00A05C32" w:rsidRPr="00C80985">
        <w:t>to be</w:t>
      </w:r>
      <w:r w:rsidR="00C84DE0">
        <w:t xml:space="preserve"> $10 million to &lt; $20 million</w:t>
      </w:r>
      <w:r w:rsidRPr="00C80985">
        <w:t xml:space="preserve"> in Year 6, and a total of </w:t>
      </w:r>
      <w:r w:rsidR="00C84DE0">
        <w:t xml:space="preserve">$70 million to &lt; $80 million </w:t>
      </w:r>
      <w:r w:rsidRPr="00C80985">
        <w:t>in the first 6 years of listing.</w:t>
      </w:r>
      <w:r w:rsidR="00727E48" w:rsidRPr="00C80985">
        <w:t xml:space="preserve"> </w:t>
      </w:r>
      <w:r w:rsidR="005E5B7A" w:rsidRPr="00C80985">
        <w:rPr>
          <w:iCs/>
        </w:rPr>
        <w:t xml:space="preserve">The submission’s estimates assumed there will be no patients </w:t>
      </w:r>
      <w:r w:rsidR="00D621DB">
        <w:rPr>
          <w:iCs/>
        </w:rPr>
        <w:t xml:space="preserve">who </w:t>
      </w:r>
      <w:r w:rsidR="00DA10A2">
        <w:rPr>
          <w:iCs/>
        </w:rPr>
        <w:t>weigh</w:t>
      </w:r>
      <w:r w:rsidR="00D621DB" w:rsidRPr="00C80985">
        <w:rPr>
          <w:iCs/>
        </w:rPr>
        <w:t xml:space="preserve"> </w:t>
      </w:r>
      <w:r w:rsidR="005E5B7A" w:rsidRPr="00C80985">
        <w:rPr>
          <w:iCs/>
        </w:rPr>
        <w:t>≥60 kg</w:t>
      </w:r>
      <w:r w:rsidR="00D621DB">
        <w:rPr>
          <w:iCs/>
        </w:rPr>
        <w:t>.</w:t>
      </w:r>
      <w:r w:rsidR="00DA10A2">
        <w:rPr>
          <w:iCs/>
        </w:rPr>
        <w:t xml:space="preserve"> The PBAC considered that there are likely to be a small number of patients aged </w:t>
      </w:r>
      <w:r w:rsidR="00551358">
        <w:rPr>
          <w:iCs/>
        </w:rPr>
        <w:t>&lt;12 years</w:t>
      </w:r>
      <w:r w:rsidR="00DA10A2">
        <w:rPr>
          <w:iCs/>
        </w:rPr>
        <w:t xml:space="preserve"> who weigh</w:t>
      </w:r>
      <w:r w:rsidR="00DA10A2" w:rsidRPr="00C80985">
        <w:rPr>
          <w:iCs/>
        </w:rPr>
        <w:t xml:space="preserve"> ≥60 </w:t>
      </w:r>
      <w:proofErr w:type="gramStart"/>
      <w:r w:rsidR="00DA10A2" w:rsidRPr="00C80985">
        <w:rPr>
          <w:iCs/>
        </w:rPr>
        <w:t>kg</w:t>
      </w:r>
      <w:r w:rsidR="00DA10A2">
        <w:rPr>
          <w:iCs/>
        </w:rPr>
        <w:t>, but</w:t>
      </w:r>
      <w:proofErr w:type="gramEnd"/>
      <w:r w:rsidR="00DA10A2">
        <w:rPr>
          <w:iCs/>
        </w:rPr>
        <w:t xml:space="preserve"> noted that this did not impact on the financial estimates as the cost per month is equivalent </w:t>
      </w:r>
      <w:r w:rsidR="00DA10A2" w:rsidRPr="00646C5E">
        <w:t xml:space="preserve">for the </w:t>
      </w:r>
      <w:r w:rsidR="00504E95">
        <w:t xml:space="preserve">three </w:t>
      </w:r>
      <w:r w:rsidR="00DA10A2" w:rsidRPr="00646C5E">
        <w:t>different dosing regimens.</w:t>
      </w:r>
      <w:r w:rsidR="00727E48" w:rsidRPr="00C80985">
        <w:t xml:space="preserve"> </w:t>
      </w:r>
    </w:p>
    <w:p w14:paraId="773C5B9C" w14:textId="1CD23CA2" w:rsidR="007C24DD" w:rsidRPr="00646C5E" w:rsidRDefault="005E5B7A" w:rsidP="00646C5E">
      <w:pPr>
        <w:pStyle w:val="3-BodyText"/>
      </w:pPr>
      <w:r w:rsidRPr="00646C5E">
        <w:t>The estimated net cost to the PBS relie</w:t>
      </w:r>
      <w:r w:rsidR="006970D4" w:rsidRPr="00646C5E">
        <w:t>d</w:t>
      </w:r>
      <w:r w:rsidRPr="00646C5E">
        <w:t xml:space="preserve"> upon data from adult trials of dupilumab</w:t>
      </w:r>
      <w:r w:rsidR="00DA10A2" w:rsidRPr="00646C5E">
        <w:t xml:space="preserve">. </w:t>
      </w:r>
      <w:r w:rsidRPr="00646C5E">
        <w:t xml:space="preserve">The net costs </w:t>
      </w:r>
      <w:r w:rsidR="006970D4" w:rsidRPr="00646C5E">
        <w:t>we</w:t>
      </w:r>
      <w:r w:rsidRPr="00646C5E">
        <w:t>re also influenced by the low uptake rates (7% in Year 1 decreasing to 4% in Year 6).</w:t>
      </w:r>
      <w:r w:rsidR="00727E48" w:rsidRPr="00646C5E">
        <w:t xml:space="preserve"> </w:t>
      </w:r>
      <w:r w:rsidRPr="00646C5E">
        <w:t xml:space="preserve">While the submission indicated these rates </w:t>
      </w:r>
      <w:r w:rsidR="006970D4" w:rsidRPr="00646C5E">
        <w:t>we</w:t>
      </w:r>
      <w:r w:rsidRPr="00646C5E">
        <w:t xml:space="preserve">re based on uptake of dupilumab for the adult and adolescent population, </w:t>
      </w:r>
      <w:r w:rsidR="006970D4" w:rsidRPr="00646C5E">
        <w:t xml:space="preserve">the </w:t>
      </w:r>
      <w:r w:rsidR="006E5AE6" w:rsidRPr="00646C5E">
        <w:t xml:space="preserve">uptake </w:t>
      </w:r>
      <w:r w:rsidR="006970D4" w:rsidRPr="00646C5E">
        <w:t xml:space="preserve">in </w:t>
      </w:r>
      <w:r w:rsidR="00B8052B" w:rsidRPr="00646C5E">
        <w:t xml:space="preserve">children </w:t>
      </w:r>
      <w:r w:rsidR="00551358">
        <w:t>&lt;</w:t>
      </w:r>
      <w:proofErr w:type="gramStart"/>
      <w:r w:rsidR="00551358">
        <w:t xml:space="preserve">12 </w:t>
      </w:r>
      <w:r w:rsidR="00F24AAC" w:rsidRPr="00646C5E">
        <w:t xml:space="preserve"> </w:t>
      </w:r>
      <w:r w:rsidR="00B8052B" w:rsidRPr="00646C5E">
        <w:t>years</w:t>
      </w:r>
      <w:proofErr w:type="gramEnd"/>
      <w:r w:rsidR="00B8052B" w:rsidRPr="00646C5E">
        <w:t xml:space="preserve"> </w:t>
      </w:r>
      <w:r w:rsidR="006970D4" w:rsidRPr="00646C5E">
        <w:t>may differ.</w:t>
      </w:r>
      <w:r w:rsidR="001D4ECA" w:rsidRPr="00646C5E">
        <w:t xml:space="preserve"> The </w:t>
      </w:r>
      <w:r w:rsidR="00DA10A2" w:rsidRPr="00646C5E">
        <w:t xml:space="preserve">PBAC </w:t>
      </w:r>
      <w:r w:rsidR="001D4ECA" w:rsidRPr="00646C5E">
        <w:t xml:space="preserve">considered that uptake in the adult population may give an indication of the uptake in children </w:t>
      </w:r>
      <w:r w:rsidR="00551358">
        <w:t>&lt;12</w:t>
      </w:r>
      <w:r w:rsidR="001D4ECA" w:rsidRPr="00646C5E">
        <w:t xml:space="preserve"> years but rates remain </w:t>
      </w:r>
      <w:proofErr w:type="gramStart"/>
      <w:r w:rsidR="001D4ECA" w:rsidRPr="00646C5E">
        <w:t>uncertain</w:t>
      </w:r>
      <w:proofErr w:type="gramEnd"/>
      <w:r w:rsidR="00E7203C" w:rsidRPr="00646C5E">
        <w:t xml:space="preserve"> and the financial estimates were moderately sensitive to uptake rates</w:t>
      </w:r>
      <w:r w:rsidR="001D4ECA" w:rsidRPr="00646C5E">
        <w:t>.</w:t>
      </w:r>
    </w:p>
    <w:p w14:paraId="2CED5B3E" w14:textId="7245BA9E" w:rsidR="005E5B7A" w:rsidRPr="00C80985" w:rsidRDefault="00646C5E" w:rsidP="003C7770">
      <w:pPr>
        <w:pStyle w:val="3-BodyText"/>
      </w:pPr>
      <w:r w:rsidRPr="00646C5E">
        <w:t>The PBAC noted that the</w:t>
      </w:r>
      <w:r w:rsidR="00551358">
        <w:t xml:space="preserve"> submission’s estimates were based on the population aged 6-11 years whereas it had recommended use in patients aged &lt;12 years.</w:t>
      </w:r>
      <w:r w:rsidRPr="00646C5E">
        <w:t xml:space="preserve"> The PBAC considered that usage in patients less than 6 years of age would be limited </w:t>
      </w:r>
      <w:r w:rsidR="00551358">
        <w:t>noting a</w:t>
      </w:r>
      <w:r w:rsidRPr="00646C5E">
        <w:t xml:space="preserve"> dose/regimen for patients weighting &lt;15 kg has not been established. The PBAC considered that a</w:t>
      </w:r>
      <w:r w:rsidR="00551358">
        <w:t xml:space="preserve"> small</w:t>
      </w:r>
      <w:r w:rsidRPr="00646C5E">
        <w:t xml:space="preserve"> increase in the patient numbers to account for </w:t>
      </w:r>
      <w:r w:rsidR="00551358">
        <w:t>such use may be reasonable</w:t>
      </w:r>
      <w:r w:rsidRPr="00646C5E">
        <w:t xml:space="preserve">. </w:t>
      </w:r>
    </w:p>
    <w:p w14:paraId="13C15D33" w14:textId="41FC8B2F" w:rsidR="005E5B7A" w:rsidRPr="00C80985" w:rsidRDefault="005E5B7A" w:rsidP="00D244B6">
      <w:pPr>
        <w:pStyle w:val="3-BodyText"/>
      </w:pPr>
      <w:r w:rsidRPr="00C80985">
        <w:rPr>
          <w:iCs/>
        </w:rPr>
        <w:t xml:space="preserve">The estimated MBS costs rely on estimates </w:t>
      </w:r>
      <w:r w:rsidR="008B77D0" w:rsidRPr="00C80985">
        <w:rPr>
          <w:iCs/>
        </w:rPr>
        <w:t>o</w:t>
      </w:r>
      <w:r w:rsidRPr="00C80985">
        <w:rPr>
          <w:iCs/>
        </w:rPr>
        <w:t xml:space="preserve">f </w:t>
      </w:r>
      <w:r w:rsidR="008B77D0" w:rsidRPr="00C80985">
        <w:rPr>
          <w:iCs/>
        </w:rPr>
        <w:t xml:space="preserve">the use of </w:t>
      </w:r>
      <w:r w:rsidRPr="00C80985">
        <w:rPr>
          <w:iCs/>
        </w:rPr>
        <w:t>phototherapy from the clinician survey</w:t>
      </w:r>
      <w:r w:rsidR="008B77D0" w:rsidRPr="00C80985">
        <w:rPr>
          <w:iCs/>
        </w:rPr>
        <w:t>. Based on the clinician survey, it was assumed that responders would have 3.63 phototherapy sessions per year, and non-responders would have 25.33.</w:t>
      </w:r>
      <w:r w:rsidR="00727E48" w:rsidRPr="00C80985">
        <w:rPr>
          <w:iCs/>
        </w:rPr>
        <w:t xml:space="preserve"> </w:t>
      </w:r>
      <w:r w:rsidR="008B77D0" w:rsidRPr="00C80985">
        <w:rPr>
          <w:iCs/>
        </w:rPr>
        <w:t xml:space="preserve">It should be noted that the clinicians reported that on average they would treat only </w:t>
      </w:r>
      <w:r w:rsidR="008B77D0" w:rsidRPr="00C80985">
        <w:rPr>
          <w:iCs/>
        </w:rPr>
        <w:lastRenderedPageBreak/>
        <w:t>15.5% of paediatric patients with phototherapy, and the median proportion treated was 2%.</w:t>
      </w:r>
      <w:r w:rsidR="00727E48" w:rsidRPr="00C80985">
        <w:rPr>
          <w:iCs/>
        </w:rPr>
        <w:t xml:space="preserve"> </w:t>
      </w:r>
      <w:r w:rsidR="008B77D0" w:rsidRPr="00C80985">
        <w:rPr>
          <w:iCs/>
        </w:rPr>
        <w:t xml:space="preserve">In addition, </w:t>
      </w:r>
      <w:r w:rsidR="0091392C">
        <w:rPr>
          <w:iCs/>
        </w:rPr>
        <w:t xml:space="preserve">43% </w:t>
      </w:r>
      <w:r w:rsidR="008B77D0" w:rsidRPr="00C80985">
        <w:rPr>
          <w:iCs/>
        </w:rPr>
        <w:t xml:space="preserve">of clinicians reported they would </w:t>
      </w:r>
      <w:r w:rsidR="0091392C">
        <w:rPr>
          <w:iCs/>
        </w:rPr>
        <w:t xml:space="preserve">not </w:t>
      </w:r>
      <w:r w:rsidR="008B77D0" w:rsidRPr="00C80985">
        <w:rPr>
          <w:iCs/>
        </w:rPr>
        <w:t xml:space="preserve">treat children with phototherapy, and 19% </w:t>
      </w:r>
      <w:r w:rsidR="0091392C">
        <w:rPr>
          <w:iCs/>
        </w:rPr>
        <w:t xml:space="preserve">reported they </w:t>
      </w:r>
      <w:r w:rsidR="006E5AE6" w:rsidRPr="00C80985">
        <w:rPr>
          <w:iCs/>
        </w:rPr>
        <w:t xml:space="preserve">would </w:t>
      </w:r>
      <w:r w:rsidR="008B77D0" w:rsidRPr="00C80985">
        <w:rPr>
          <w:iCs/>
        </w:rPr>
        <w:t>treat 5% or fewer of their patients with phototherapy.</w:t>
      </w:r>
      <w:r w:rsidR="00727E48" w:rsidRPr="00C80985">
        <w:rPr>
          <w:iCs/>
        </w:rPr>
        <w:t xml:space="preserve"> </w:t>
      </w:r>
      <w:r w:rsidR="008B77D0" w:rsidRPr="00C80985">
        <w:rPr>
          <w:iCs/>
        </w:rPr>
        <w:t>This suggests that the proportions applied for phototherapy use in the submission’s financial estimates represent usage by a small proportion of clinicians.</w:t>
      </w:r>
      <w:r w:rsidRPr="00C80985">
        <w:rPr>
          <w:iCs/>
        </w:rPr>
        <w:t xml:space="preserve"> </w:t>
      </w:r>
      <w:r w:rsidR="001A2297" w:rsidRPr="00BF43F9">
        <w:rPr>
          <w:iCs/>
        </w:rPr>
        <w:t xml:space="preserve">The ESC considered that, </w:t>
      </w:r>
      <w:r w:rsidR="00E7203C" w:rsidRPr="00BF43F9">
        <w:rPr>
          <w:iCs/>
        </w:rPr>
        <w:t>as for</w:t>
      </w:r>
      <w:r w:rsidR="001A2297" w:rsidRPr="00BF43F9">
        <w:rPr>
          <w:iCs/>
        </w:rPr>
        <w:t xml:space="preserve"> the economic model, the </w:t>
      </w:r>
      <w:r w:rsidR="00E7203C" w:rsidRPr="00BF43F9">
        <w:rPr>
          <w:iCs/>
        </w:rPr>
        <w:t xml:space="preserve">financial </w:t>
      </w:r>
      <w:r w:rsidR="001A2297" w:rsidRPr="00BF43F9">
        <w:rPr>
          <w:iCs/>
        </w:rPr>
        <w:t>estimates should not include phototherapy</w:t>
      </w:r>
      <w:r w:rsidR="0091392C" w:rsidRPr="00BF43F9">
        <w:rPr>
          <w:iCs/>
        </w:rPr>
        <w:t xml:space="preserve"> costs</w:t>
      </w:r>
      <w:r w:rsidR="001A2297" w:rsidRPr="00BF43F9">
        <w:rPr>
          <w:iCs/>
        </w:rPr>
        <w:t xml:space="preserve"> as it is unlikely to be used in this patient population.</w:t>
      </w:r>
      <w:r w:rsidR="0010756C">
        <w:rPr>
          <w:iCs/>
        </w:rPr>
        <w:t xml:space="preserve"> The PBAC considered that the offsets for reduced </w:t>
      </w:r>
      <w:r w:rsidR="004B4BC5">
        <w:rPr>
          <w:iCs/>
        </w:rPr>
        <w:t xml:space="preserve">use of </w:t>
      </w:r>
      <w:r w:rsidR="0010756C">
        <w:rPr>
          <w:iCs/>
        </w:rPr>
        <w:t>phototherapy, primary care and specialist visits</w:t>
      </w:r>
      <w:r w:rsidR="004B4BC5">
        <w:rPr>
          <w:iCs/>
        </w:rPr>
        <w:t xml:space="preserve"> on the MBS</w:t>
      </w:r>
      <w:r w:rsidR="0010756C">
        <w:rPr>
          <w:iCs/>
        </w:rPr>
        <w:t xml:space="preserve"> appear overestimated and are unlikely to be realised. The PBAC considered the financial estimates should be revised </w:t>
      </w:r>
      <w:r w:rsidR="005626D1">
        <w:rPr>
          <w:iCs/>
        </w:rPr>
        <w:t xml:space="preserve">to reduce the estimated offsets from reduced MBS costs. </w:t>
      </w:r>
    </w:p>
    <w:p w14:paraId="1F97A538" w14:textId="7202A2B8" w:rsidR="00303053" w:rsidRPr="00C80985" w:rsidRDefault="00303053" w:rsidP="00D244B6">
      <w:pPr>
        <w:pStyle w:val="3-BodyText"/>
      </w:pPr>
      <w:r w:rsidRPr="00C80985">
        <w:t>The sensitivity analyses that had the greatest impact on the estimates were changes in prevalence of AD and prevalence of severe AD, as well as inclusion of the sustained response filter.</w:t>
      </w:r>
      <w:r w:rsidR="00727E48" w:rsidRPr="00C80985">
        <w:t xml:space="preserve"> </w:t>
      </w:r>
      <w:r w:rsidRPr="00C80985">
        <w:rPr>
          <w:iCs/>
        </w:rPr>
        <w:t xml:space="preserve">Most changes to the parameters resulted in corresponding changes in total costs, </w:t>
      </w:r>
      <w:proofErr w:type="gramStart"/>
      <w:r w:rsidRPr="00C80985">
        <w:rPr>
          <w:iCs/>
        </w:rPr>
        <w:t>e</w:t>
      </w:r>
      <w:r w:rsidR="00A20E2D" w:rsidRPr="00C80985">
        <w:rPr>
          <w:iCs/>
        </w:rPr>
        <w:t>.</w:t>
      </w:r>
      <w:r w:rsidRPr="00C80985">
        <w:rPr>
          <w:iCs/>
        </w:rPr>
        <w:t>g</w:t>
      </w:r>
      <w:r w:rsidR="00A20E2D" w:rsidRPr="00C80985">
        <w:rPr>
          <w:iCs/>
        </w:rPr>
        <w:t>.</w:t>
      </w:r>
      <w:proofErr w:type="gramEnd"/>
      <w:r w:rsidRPr="00C80985">
        <w:rPr>
          <w:iCs/>
        </w:rPr>
        <w:t xml:space="preserve"> increasing uptake rates by 10% increased estimated total cost by 10%.</w:t>
      </w:r>
    </w:p>
    <w:p w14:paraId="39C0F6B1" w14:textId="57674F33" w:rsidR="00646C5E" w:rsidRDefault="007C24DD" w:rsidP="00D244B6">
      <w:pPr>
        <w:pStyle w:val="3-BodyText"/>
        <w:rPr>
          <w:iCs/>
        </w:rPr>
      </w:pPr>
      <w:bookmarkStart w:id="43" w:name="_Ref98158650"/>
      <w:r w:rsidRPr="007C24DD">
        <w:t xml:space="preserve">The </w:t>
      </w:r>
      <w:r>
        <w:t xml:space="preserve">PBAC noted the </w:t>
      </w:r>
      <w:r w:rsidRPr="007C24DD">
        <w:t>rate of natural resolution of AD (sustained response) is expected to be higher for the paediatric population and the financial estimates were sensitive to assumptions around discontinuation for patients with sustained response.</w:t>
      </w:r>
      <w:r>
        <w:rPr>
          <w:i/>
          <w:iCs/>
        </w:rPr>
        <w:t xml:space="preserve"> </w:t>
      </w:r>
      <w:r w:rsidR="00303053" w:rsidRPr="00C80985">
        <w:t xml:space="preserve">The submission’s base case assumed that no patients </w:t>
      </w:r>
      <w:r w:rsidR="00194A52" w:rsidRPr="00C80985">
        <w:t>would</w:t>
      </w:r>
      <w:r w:rsidR="00303053" w:rsidRPr="00C80985">
        <w:t xml:space="preserve"> stop dupilumab therapy due to sustained response, and therefore the results provide an estimation of the maximum potential cost of listing dupilumab</w:t>
      </w:r>
      <w:r w:rsidR="00E7203C">
        <w:t xml:space="preserve"> (assuming </w:t>
      </w:r>
      <w:r w:rsidR="00303053" w:rsidRPr="00C80985">
        <w:rPr>
          <w:iCs/>
        </w:rPr>
        <w:t>all other variables used in the estimate</w:t>
      </w:r>
      <w:r w:rsidR="00E7203C">
        <w:rPr>
          <w:iCs/>
        </w:rPr>
        <w:t>s</w:t>
      </w:r>
      <w:r w:rsidR="00303053" w:rsidRPr="00C80985">
        <w:rPr>
          <w:iCs/>
        </w:rPr>
        <w:t xml:space="preserve"> were accurate</w:t>
      </w:r>
      <w:r w:rsidR="00E7203C">
        <w:rPr>
          <w:iCs/>
        </w:rPr>
        <w:t>)</w:t>
      </w:r>
      <w:r w:rsidR="00303053" w:rsidRPr="00C80985">
        <w:rPr>
          <w:iCs/>
        </w:rPr>
        <w:t>.</w:t>
      </w:r>
      <w:r w:rsidR="00727E48" w:rsidRPr="00C80985">
        <w:t xml:space="preserve"> </w:t>
      </w:r>
      <w:r w:rsidR="00E7203C">
        <w:t>The submission presented a</w:t>
      </w:r>
      <w:r w:rsidR="00303053" w:rsidRPr="00C80985">
        <w:t xml:space="preserve"> sensitivity analysis, where </w:t>
      </w:r>
      <w:r w:rsidR="00E7203C" w:rsidRPr="00C80985">
        <w:t>63.6% of patients ha</w:t>
      </w:r>
      <w:r w:rsidR="00E7203C">
        <w:t>ve</w:t>
      </w:r>
      <w:r w:rsidR="00E7203C" w:rsidRPr="00C80985">
        <w:t xml:space="preserve"> sustained response and cease dupilumab after 52 weeks of therapy, and 52.4% of these patients experienced a relapse and recommenced dupilumab treatment after a mean of approximately 24 weeks</w:t>
      </w:r>
      <w:r w:rsidR="006B0EF9">
        <w:t xml:space="preserve"> </w:t>
      </w:r>
      <w:r w:rsidR="006B0EF9" w:rsidRPr="00BF43F9">
        <w:t>(overall 30.3% or patients have sustained response and do not continue treatment)</w:t>
      </w:r>
      <w:r w:rsidR="0081122B" w:rsidRPr="00BF43F9">
        <w:t xml:space="preserve">, as in the economic model sensitivity analyses (see also paragraph </w:t>
      </w:r>
      <w:r w:rsidR="0081122B" w:rsidRPr="00BF43F9">
        <w:fldChar w:fldCharType="begin"/>
      </w:r>
      <w:r w:rsidR="0081122B" w:rsidRPr="00BF43F9">
        <w:instrText xml:space="preserve"> REF _Ref96328343 \r \h </w:instrText>
      </w:r>
      <w:r w:rsidR="00BF43F9">
        <w:instrText xml:space="preserve"> \* MERGEFORMAT </w:instrText>
      </w:r>
      <w:r w:rsidR="0081122B" w:rsidRPr="00BF43F9">
        <w:fldChar w:fldCharType="separate"/>
      </w:r>
      <w:r w:rsidR="00AA723C">
        <w:t>6.44</w:t>
      </w:r>
      <w:r w:rsidR="0081122B" w:rsidRPr="00BF43F9">
        <w:fldChar w:fldCharType="end"/>
      </w:r>
      <w:r w:rsidR="0081122B" w:rsidRPr="00BF43F9">
        <w:t xml:space="preserve">). </w:t>
      </w:r>
      <w:r w:rsidR="00E7203C" w:rsidRPr="00BF43F9">
        <w:t xml:space="preserve"> </w:t>
      </w:r>
      <w:r w:rsidR="00E7203C">
        <w:t xml:space="preserve">This change </w:t>
      </w:r>
      <w:r w:rsidR="00303053" w:rsidRPr="00C80985">
        <w:t xml:space="preserve">decreased </w:t>
      </w:r>
      <w:r w:rsidR="00E7203C">
        <w:t xml:space="preserve">the estimated net cost </w:t>
      </w:r>
      <w:r w:rsidR="00303053" w:rsidRPr="00C80985">
        <w:t>by 25%, to</w:t>
      </w:r>
      <w:r w:rsidR="00932B18">
        <w:t xml:space="preserve"> $60 million to &lt;$70 million</w:t>
      </w:r>
      <w:r w:rsidR="00303053" w:rsidRPr="00C80985">
        <w:t xml:space="preserve"> for the first 6 years of listing.</w:t>
      </w:r>
      <w:r w:rsidR="00727E48" w:rsidRPr="00C80985">
        <w:t xml:space="preserve"> </w:t>
      </w:r>
      <w:r w:rsidR="001A2297" w:rsidRPr="00BF43F9">
        <w:rPr>
          <w:iCs/>
        </w:rPr>
        <w:t xml:space="preserve">The </w:t>
      </w:r>
      <w:r w:rsidR="00646C5E">
        <w:rPr>
          <w:iCs/>
        </w:rPr>
        <w:t xml:space="preserve">PBAC agreed with the ESC </w:t>
      </w:r>
      <w:proofErr w:type="gramStart"/>
      <w:r w:rsidR="00646C5E">
        <w:rPr>
          <w:iCs/>
        </w:rPr>
        <w:t xml:space="preserve">that </w:t>
      </w:r>
      <w:r w:rsidR="001A2297" w:rsidRPr="00BF43F9">
        <w:rPr>
          <w:iCs/>
        </w:rPr>
        <w:t xml:space="preserve"> </w:t>
      </w:r>
      <w:r w:rsidR="00E7203C" w:rsidRPr="00BF43F9">
        <w:rPr>
          <w:iCs/>
        </w:rPr>
        <w:t>it</w:t>
      </w:r>
      <w:proofErr w:type="gramEnd"/>
      <w:r w:rsidR="00E7203C" w:rsidRPr="00BF43F9">
        <w:rPr>
          <w:iCs/>
        </w:rPr>
        <w:t xml:space="preserve"> would be reasonable for the financial estimates to assume that a proportion of patients experience</w:t>
      </w:r>
      <w:r w:rsidR="001A2297" w:rsidRPr="00BF43F9">
        <w:rPr>
          <w:iCs/>
        </w:rPr>
        <w:t xml:space="preserve"> sustained response </w:t>
      </w:r>
      <w:r w:rsidR="00E7203C" w:rsidRPr="00BF43F9">
        <w:rPr>
          <w:iCs/>
        </w:rPr>
        <w:t>and discontinue dupilumab without relapse requiring retreatment</w:t>
      </w:r>
      <w:r w:rsidR="00AF30E6">
        <w:rPr>
          <w:iCs/>
        </w:rPr>
        <w:t>, and that the sensitivity analysis presented in the submission was a reasonable estimate of the extent of discontinuations</w:t>
      </w:r>
      <w:r w:rsidR="00E7203C" w:rsidRPr="00BF43F9">
        <w:rPr>
          <w:iCs/>
        </w:rPr>
        <w:t>.</w:t>
      </w:r>
      <w:r w:rsidR="001B032D" w:rsidRPr="00BF43F9">
        <w:rPr>
          <w:iCs/>
        </w:rPr>
        <w:t xml:space="preserve"> </w:t>
      </w:r>
    </w:p>
    <w:p w14:paraId="7E49B854" w14:textId="393BF772" w:rsidR="00303053" w:rsidRPr="00BF43F9" w:rsidRDefault="001B032D" w:rsidP="00D244B6">
      <w:pPr>
        <w:pStyle w:val="3-BodyText"/>
        <w:rPr>
          <w:iCs/>
        </w:rPr>
      </w:pPr>
      <w:r w:rsidRPr="00BF43F9">
        <w:rPr>
          <w:iCs/>
        </w:rPr>
        <w:t>The ESC also noted that it was unclear whether the financial estimates accounted for discontinuation of patients who would transition to the existing adult listings for dupilumab at 12 years of age.</w:t>
      </w:r>
      <w:bookmarkEnd w:id="43"/>
      <w:r w:rsidR="00646C5E">
        <w:rPr>
          <w:iCs/>
        </w:rPr>
        <w:t xml:space="preserve"> </w:t>
      </w:r>
      <w:r w:rsidR="00646C5E">
        <w:rPr>
          <w:lang w:val="en-GB"/>
        </w:rPr>
        <w:t>The Pre-PBAC response indicated that d</w:t>
      </w:r>
      <w:r w:rsidR="00646C5E" w:rsidRPr="00F4515B">
        <w:rPr>
          <w:lang w:val="en-GB"/>
        </w:rPr>
        <w:t xml:space="preserve">ue to difficulties in estimating the age distribution of paediatric patients expected to initiate therapy with dupilumab </w:t>
      </w:r>
      <w:r w:rsidR="00646C5E">
        <w:rPr>
          <w:lang w:val="en-GB"/>
        </w:rPr>
        <w:t xml:space="preserve">on </w:t>
      </w:r>
      <w:r w:rsidR="00646C5E" w:rsidRPr="00F4515B">
        <w:rPr>
          <w:lang w:val="en-GB"/>
        </w:rPr>
        <w:t>the PBS, it is not possible to estimate</w:t>
      </w:r>
      <w:r w:rsidR="00646C5E">
        <w:rPr>
          <w:lang w:val="en-GB"/>
        </w:rPr>
        <w:t xml:space="preserve"> </w:t>
      </w:r>
      <w:r w:rsidR="00646C5E" w:rsidRPr="00F4515B">
        <w:rPr>
          <w:lang w:val="en-GB"/>
        </w:rPr>
        <w:t>the rate at which these patients would reach the age at which they would transition to the adult/adolescent listing.</w:t>
      </w:r>
      <w:r w:rsidR="00646C5E">
        <w:rPr>
          <w:lang w:val="en-GB"/>
        </w:rPr>
        <w:t xml:space="preserve"> The PBAC considered that this would overestimate the number of continuing patients who would be treated under the paediatric listing in the forward estimates.</w:t>
      </w:r>
    </w:p>
    <w:p w14:paraId="2238DEE9" w14:textId="3E6A228B" w:rsidR="00576972" w:rsidRPr="00E57628" w:rsidRDefault="00576972" w:rsidP="00606FBA">
      <w:pPr>
        <w:pStyle w:val="4-SubsectionHeading"/>
      </w:pPr>
      <w:bookmarkStart w:id="44" w:name="_Toc22897648"/>
      <w:bookmarkStart w:id="45" w:name="_Toc93325009"/>
      <w:r w:rsidRPr="00E57628">
        <w:lastRenderedPageBreak/>
        <w:t>Quality Use of Medicines</w:t>
      </w:r>
      <w:bookmarkEnd w:id="44"/>
      <w:bookmarkEnd w:id="45"/>
    </w:p>
    <w:p w14:paraId="763A9936" w14:textId="2FEE8972" w:rsidR="00FA0685" w:rsidRDefault="00FA0685" w:rsidP="00606FBA">
      <w:pPr>
        <w:pStyle w:val="3-BodyText"/>
      </w:pPr>
      <w:r w:rsidRPr="00E57628">
        <w:t>The submission stated (p236) that the sponsor committed to undertaking a program to support healthcare professionals to correctly identify eligible patients, to provide professional healthcare education for to identifying the appropriate patients for continuation, or cessation, of dupilumab therapy, as well as information on dosing and administration of dupilumab.</w:t>
      </w:r>
      <w:r w:rsidR="00727E48" w:rsidRPr="00E57628">
        <w:t xml:space="preserve"> </w:t>
      </w:r>
    </w:p>
    <w:p w14:paraId="6D1BA5A4" w14:textId="4ED12C22" w:rsidR="006418B9" w:rsidRPr="00BF43F9" w:rsidRDefault="006418B9" w:rsidP="006418B9">
      <w:pPr>
        <w:pStyle w:val="3-BodyText"/>
      </w:pPr>
      <w:r w:rsidRPr="00BF43F9">
        <w:t xml:space="preserve">The ESC noted that there is a reasonable proportion of patients in this age group whose disease would resolve based on the known natural history of atopic dermatitis (see also paragraph </w:t>
      </w:r>
      <w:r w:rsidRPr="00BF43F9">
        <w:fldChar w:fldCharType="begin"/>
      </w:r>
      <w:r w:rsidRPr="00BF43F9">
        <w:instrText xml:space="preserve"> REF _Ref96075743 \r \h </w:instrText>
      </w:r>
      <w:r w:rsidR="00BF43F9">
        <w:instrText xml:space="preserve"> \* MERGEFORMAT </w:instrText>
      </w:r>
      <w:r w:rsidRPr="00BF43F9">
        <w:fldChar w:fldCharType="separate"/>
      </w:r>
      <w:r w:rsidR="00AA723C">
        <w:t>4.2</w:t>
      </w:r>
      <w:r w:rsidRPr="00BF43F9">
        <w:fldChar w:fldCharType="end"/>
      </w:r>
      <w:r w:rsidRPr="00BF43F9">
        <w:t xml:space="preserve">). Additional safeguards to prevent ongoing use when no longer required would minimise inappropriate exposure to a biological agent in children, also noting inferior safety to </w:t>
      </w:r>
      <w:proofErr w:type="spellStart"/>
      <w:r w:rsidRPr="00BF43F9">
        <w:t>SoC.</w:t>
      </w:r>
      <w:proofErr w:type="spellEnd"/>
    </w:p>
    <w:p w14:paraId="6015A395" w14:textId="2EDB6A4E" w:rsidR="00576972" w:rsidRPr="00E57628" w:rsidRDefault="00576972" w:rsidP="00606FBA">
      <w:pPr>
        <w:pStyle w:val="4-SubsectionHeading"/>
      </w:pPr>
      <w:bookmarkStart w:id="46" w:name="_Toc22897649"/>
      <w:bookmarkStart w:id="47" w:name="_Toc93325010"/>
      <w:r w:rsidRPr="00E57628">
        <w:t>Financial Management – Risk Sharing Arrangements</w:t>
      </w:r>
      <w:bookmarkEnd w:id="46"/>
      <w:bookmarkEnd w:id="47"/>
    </w:p>
    <w:p w14:paraId="46DFE2AD" w14:textId="2C557734" w:rsidR="006506F7" w:rsidRPr="00E57628" w:rsidRDefault="006506F7" w:rsidP="00F61C18">
      <w:pPr>
        <w:pStyle w:val="ListParagraph"/>
        <w:numPr>
          <w:ilvl w:val="1"/>
          <w:numId w:val="1"/>
        </w:numPr>
      </w:pPr>
      <w:r w:rsidRPr="00E57628">
        <w:t>The submission indicated that the sponsor is willing to work with the Department to develop a risk-sharing arrangement (RSA)</w:t>
      </w:r>
      <w:r w:rsidR="005504AF">
        <w:t xml:space="preserve">. </w:t>
      </w:r>
      <w:r w:rsidR="00B4191B">
        <w:t xml:space="preserve">The Pre-PBAC response noted that the existing caps are shared with </w:t>
      </w:r>
      <w:proofErr w:type="spellStart"/>
      <w:r w:rsidR="00B4191B">
        <w:t>upadacitinib</w:t>
      </w:r>
      <w:proofErr w:type="spellEnd"/>
      <w:r w:rsidR="005504AF">
        <w:t>, which</w:t>
      </w:r>
      <w:r w:rsidR="00B4191B">
        <w:t xml:space="preserve"> is not listed for patients aged &lt;12 years.</w:t>
      </w:r>
      <w:r w:rsidR="005504AF">
        <w:t xml:space="preserve"> The pre-PBAC response indicated that the sponsor considered it would not be appropriate for the existing caps to be expanded to include paediatric patients. </w:t>
      </w:r>
      <w:r w:rsidR="00B4191B">
        <w:t xml:space="preserve">The PBAC </w:t>
      </w:r>
      <w:r w:rsidR="00AF30E6">
        <w:t>noted</w:t>
      </w:r>
      <w:r w:rsidR="00B4191B">
        <w:t xml:space="preserve"> that a separate cap for the paediatric population would require separate PBS listings for the paediatric and adolescent/adult populations.</w:t>
      </w:r>
    </w:p>
    <w:p w14:paraId="0E3FE7E7" w14:textId="77777777" w:rsidR="00BF43F9" w:rsidRDefault="00BF43F9" w:rsidP="00BF43F9">
      <w:pPr>
        <w:rPr>
          <w:i/>
        </w:rPr>
      </w:pPr>
    </w:p>
    <w:p w14:paraId="55677B8F" w14:textId="5B4557A3" w:rsidR="00BF43F9" w:rsidRPr="00C33D30" w:rsidRDefault="00BF43F9" w:rsidP="00BF43F9">
      <w:pPr>
        <w:rPr>
          <w:i/>
        </w:rPr>
      </w:pPr>
      <w:r w:rsidRPr="00C33D30">
        <w:rPr>
          <w:i/>
        </w:rPr>
        <w:t>For more detail on PBAC’s view, see section 7 PBAC outcome.</w:t>
      </w:r>
    </w:p>
    <w:p w14:paraId="3C6364AF" w14:textId="77777777" w:rsidR="00BF43F9" w:rsidRPr="0090150D" w:rsidRDefault="00BF43F9" w:rsidP="00BF43F9">
      <w:pPr>
        <w:pStyle w:val="2-SectionHeading"/>
        <w:numPr>
          <w:ilvl w:val="0"/>
          <w:numId w:val="1"/>
        </w:numPr>
        <w:outlineLvl w:val="1"/>
      </w:pPr>
      <w:bookmarkStart w:id="48" w:name="_Hlk76381249"/>
      <w:bookmarkStart w:id="49" w:name="_Hlk76377955"/>
      <w:r w:rsidRPr="0090150D">
        <w:t>PBAC Outcome</w:t>
      </w:r>
    </w:p>
    <w:p w14:paraId="354C836A" w14:textId="493AEA15" w:rsidR="00BF43F9" w:rsidRPr="00183AFC" w:rsidRDefault="00BF43F9" w:rsidP="00183AFC">
      <w:pPr>
        <w:widowControl w:val="0"/>
        <w:numPr>
          <w:ilvl w:val="1"/>
          <w:numId w:val="1"/>
        </w:numPr>
        <w:spacing w:after="120"/>
        <w:rPr>
          <w:rFonts w:cs="Arial"/>
          <w:snapToGrid w:val="0"/>
          <w:lang w:val="en-GB"/>
        </w:rPr>
      </w:pPr>
      <w:r w:rsidRPr="00183AFC">
        <w:rPr>
          <w:rFonts w:cs="Arial"/>
          <w:snapToGrid w:val="0"/>
          <w:lang w:val="en-GB"/>
        </w:rPr>
        <w:t>The PBAC recommended the listing of</w:t>
      </w:r>
      <w:r w:rsidR="00183AFC" w:rsidRPr="00183AFC">
        <w:rPr>
          <w:rFonts w:cs="Arial"/>
          <w:snapToGrid w:val="0"/>
          <w:lang w:val="en-GB"/>
        </w:rPr>
        <w:t xml:space="preserve"> dupilumab for patients aged </w:t>
      </w:r>
      <w:r w:rsidR="00F1028A">
        <w:rPr>
          <w:rFonts w:cs="Arial"/>
          <w:snapToGrid w:val="0"/>
          <w:lang w:val="en-GB"/>
        </w:rPr>
        <w:t xml:space="preserve">less than 12 </w:t>
      </w:r>
      <w:r w:rsidR="00183AFC" w:rsidRPr="00183AFC">
        <w:rPr>
          <w:rFonts w:cs="Arial"/>
          <w:snapToGrid w:val="0"/>
          <w:lang w:val="en-GB"/>
        </w:rPr>
        <w:t>years with severe atopic dermatitis</w:t>
      </w:r>
      <w:r w:rsidRPr="00183AFC">
        <w:rPr>
          <w:rFonts w:cs="Arial"/>
          <w:snapToGrid w:val="0"/>
          <w:lang w:val="en-GB"/>
        </w:rPr>
        <w:t>. The PBAC</w:t>
      </w:r>
      <w:r w:rsidR="00DA10A2">
        <w:rPr>
          <w:rFonts w:cs="Arial"/>
          <w:snapToGrid w:val="0"/>
          <w:lang w:val="en-GB"/>
        </w:rPr>
        <w:t xml:space="preserve"> noted the substantial clinical need for effective treatments for </w:t>
      </w:r>
      <w:r w:rsidR="00F1028A">
        <w:rPr>
          <w:rFonts w:cs="Arial"/>
          <w:snapToGrid w:val="0"/>
          <w:lang w:val="en-GB"/>
        </w:rPr>
        <w:t xml:space="preserve">these </w:t>
      </w:r>
      <w:r w:rsidR="00DA10A2">
        <w:rPr>
          <w:rFonts w:cs="Arial"/>
          <w:snapToGrid w:val="0"/>
          <w:lang w:val="en-GB"/>
        </w:rPr>
        <w:t xml:space="preserve">patients </w:t>
      </w:r>
      <w:r w:rsidR="00F1028A">
        <w:rPr>
          <w:rFonts w:cs="Arial"/>
          <w:snapToGrid w:val="0"/>
          <w:lang w:val="en-GB"/>
        </w:rPr>
        <w:t>and</w:t>
      </w:r>
      <w:r w:rsidRPr="00183AFC">
        <w:rPr>
          <w:rFonts w:cs="Arial"/>
          <w:snapToGrid w:val="0"/>
          <w:lang w:val="en-GB"/>
        </w:rPr>
        <w:t xml:space="preserve"> </w:t>
      </w:r>
      <w:r w:rsidR="00F1028A">
        <w:rPr>
          <w:rFonts w:cs="Arial"/>
          <w:snapToGrid w:val="0"/>
          <w:lang w:val="en-GB"/>
        </w:rPr>
        <w:t>wa</w:t>
      </w:r>
      <w:r w:rsidRPr="00183AFC">
        <w:rPr>
          <w:rFonts w:cs="Arial"/>
          <w:snapToGrid w:val="0"/>
          <w:lang w:val="en-GB"/>
        </w:rPr>
        <w:t xml:space="preserve">s satisfied that </w:t>
      </w:r>
      <w:r w:rsidR="00183AFC">
        <w:rPr>
          <w:rFonts w:cs="Arial"/>
          <w:snapToGrid w:val="0"/>
          <w:lang w:val="en-GB"/>
        </w:rPr>
        <w:t>dupilumab</w:t>
      </w:r>
      <w:r w:rsidRPr="00183AFC">
        <w:rPr>
          <w:rFonts w:cs="Arial"/>
          <w:snapToGrid w:val="0"/>
          <w:lang w:val="en-GB"/>
        </w:rPr>
        <w:t xml:space="preserve"> provides, for some patients, a significant improvement in efficacy </w:t>
      </w:r>
      <w:r w:rsidR="00183AFC">
        <w:rPr>
          <w:rFonts w:cs="Arial"/>
          <w:snapToGrid w:val="0"/>
          <w:lang w:val="en-GB"/>
        </w:rPr>
        <w:t>over standard care</w:t>
      </w:r>
      <w:r w:rsidRPr="00183AFC">
        <w:rPr>
          <w:rFonts w:cs="Arial"/>
          <w:snapToGrid w:val="0"/>
          <w:lang w:val="en-GB"/>
        </w:rPr>
        <w:t>.</w:t>
      </w:r>
      <w:r w:rsidR="00183AFC">
        <w:rPr>
          <w:rFonts w:cs="Arial"/>
          <w:snapToGrid w:val="0"/>
          <w:lang w:val="en-GB"/>
        </w:rPr>
        <w:t xml:space="preserve"> The PBAC considered that the </w:t>
      </w:r>
      <w:r w:rsidR="00DA10A2">
        <w:rPr>
          <w:rFonts w:cs="Arial"/>
          <w:snapToGrid w:val="0"/>
          <w:lang w:val="en-GB"/>
        </w:rPr>
        <w:t xml:space="preserve">clinical evidence suggests the magnitude of </w:t>
      </w:r>
      <w:r w:rsidR="00183AFC">
        <w:rPr>
          <w:rFonts w:cs="Arial"/>
          <w:snapToGrid w:val="0"/>
          <w:lang w:val="en-GB"/>
        </w:rPr>
        <w:t>benefit in patients</w:t>
      </w:r>
      <w:r w:rsidR="00DA10A2">
        <w:rPr>
          <w:rFonts w:cs="Arial"/>
          <w:snapToGrid w:val="0"/>
          <w:lang w:val="en-GB"/>
        </w:rPr>
        <w:t xml:space="preserve"> aged 6-11</w:t>
      </w:r>
      <w:r w:rsidR="00F1028A">
        <w:rPr>
          <w:rFonts w:cs="Arial"/>
          <w:snapToGrid w:val="0"/>
          <w:lang w:val="en-GB"/>
        </w:rPr>
        <w:t xml:space="preserve"> years</w:t>
      </w:r>
      <w:r w:rsidR="00183AFC">
        <w:rPr>
          <w:rFonts w:cs="Arial"/>
          <w:snapToGrid w:val="0"/>
          <w:lang w:val="en-GB"/>
        </w:rPr>
        <w:t xml:space="preserve"> is </w:t>
      </w:r>
      <w:proofErr w:type="gramStart"/>
      <w:r w:rsidR="00183AFC">
        <w:rPr>
          <w:rFonts w:cs="Arial"/>
          <w:snapToGrid w:val="0"/>
          <w:lang w:val="en-GB"/>
        </w:rPr>
        <w:t>similar to</w:t>
      </w:r>
      <w:proofErr w:type="gramEnd"/>
      <w:r w:rsidR="00183AFC">
        <w:rPr>
          <w:rFonts w:cs="Arial"/>
          <w:snapToGrid w:val="0"/>
          <w:lang w:val="en-GB"/>
        </w:rPr>
        <w:t xml:space="preserve"> that in the adult/adolescent population and the cost-effectiveness was acceptable at the same price per month as </w:t>
      </w:r>
      <w:r w:rsidR="00DA10A2">
        <w:rPr>
          <w:rFonts w:cs="Arial"/>
          <w:snapToGrid w:val="0"/>
          <w:lang w:val="en-GB"/>
        </w:rPr>
        <w:t>for</w:t>
      </w:r>
      <w:r w:rsidR="00183AFC">
        <w:rPr>
          <w:rFonts w:cs="Arial"/>
          <w:snapToGrid w:val="0"/>
          <w:lang w:val="en-GB"/>
        </w:rPr>
        <w:t xml:space="preserve"> the adult/adolescent population. </w:t>
      </w:r>
    </w:p>
    <w:p w14:paraId="1E912146" w14:textId="56DFAA6E" w:rsidR="00BF43F9" w:rsidRPr="00CE42B4" w:rsidRDefault="00183AFC" w:rsidP="00BF43F9">
      <w:pPr>
        <w:widowControl w:val="0"/>
        <w:numPr>
          <w:ilvl w:val="1"/>
          <w:numId w:val="1"/>
        </w:numPr>
        <w:spacing w:after="120"/>
        <w:rPr>
          <w:rFonts w:cs="Arial"/>
          <w:snapToGrid w:val="0"/>
          <w:lang w:val="en-GB"/>
        </w:rPr>
      </w:pPr>
      <w:r>
        <w:rPr>
          <w:rFonts w:cs="Arial"/>
          <w:snapToGrid w:val="0"/>
          <w:lang w:val="en-GB"/>
        </w:rPr>
        <w:t xml:space="preserve">The PBAC noted the substantial number of comments from patients, carers, health professionals and organisations in support of PBS listing of dupilumab in paediatric patients. The PBAC noted that many of these comments identified the benefits from treatment </w:t>
      </w:r>
      <w:r w:rsidR="002636DB">
        <w:rPr>
          <w:rFonts w:cs="Arial"/>
          <w:snapToGrid w:val="0"/>
          <w:lang w:val="en-GB"/>
        </w:rPr>
        <w:t xml:space="preserve">with dupilumab for children </w:t>
      </w:r>
      <w:r>
        <w:rPr>
          <w:rFonts w:cs="Arial"/>
          <w:snapToGrid w:val="0"/>
          <w:lang w:val="en-GB"/>
        </w:rPr>
        <w:t xml:space="preserve">in terms of sleep, education, </w:t>
      </w:r>
      <w:proofErr w:type="gramStart"/>
      <w:r>
        <w:rPr>
          <w:rFonts w:cs="Arial"/>
          <w:snapToGrid w:val="0"/>
          <w:lang w:val="en-GB"/>
        </w:rPr>
        <w:t>self-esteem</w:t>
      </w:r>
      <w:proofErr w:type="gramEnd"/>
      <w:r>
        <w:rPr>
          <w:rFonts w:cs="Arial"/>
          <w:snapToGrid w:val="0"/>
          <w:lang w:val="en-GB"/>
        </w:rPr>
        <w:t xml:space="preserve"> and confidence and </w:t>
      </w:r>
      <w:r w:rsidR="00DA10A2">
        <w:rPr>
          <w:rFonts w:cs="Arial"/>
          <w:snapToGrid w:val="0"/>
          <w:lang w:val="en-GB"/>
        </w:rPr>
        <w:t xml:space="preserve">also </w:t>
      </w:r>
      <w:r>
        <w:rPr>
          <w:rFonts w:cs="Arial"/>
          <w:snapToGrid w:val="0"/>
          <w:lang w:val="en-GB"/>
        </w:rPr>
        <w:t>acknowledged the considerable burden</w:t>
      </w:r>
      <w:r w:rsidR="002636DB">
        <w:rPr>
          <w:rFonts w:cs="Arial"/>
          <w:snapToGrid w:val="0"/>
          <w:lang w:val="en-GB"/>
        </w:rPr>
        <w:t xml:space="preserve"> of AD and current treatments</w:t>
      </w:r>
      <w:r>
        <w:rPr>
          <w:rFonts w:cs="Arial"/>
          <w:snapToGrid w:val="0"/>
          <w:lang w:val="en-GB"/>
        </w:rPr>
        <w:t xml:space="preserve"> on carers. </w:t>
      </w:r>
      <w:r w:rsidR="002636DB">
        <w:rPr>
          <w:rFonts w:cs="Arial"/>
          <w:snapToGrid w:val="0"/>
          <w:lang w:val="en-GB"/>
        </w:rPr>
        <w:t xml:space="preserve">The PBAC </w:t>
      </w:r>
      <w:r>
        <w:rPr>
          <w:rFonts w:cs="Arial"/>
          <w:snapToGrid w:val="0"/>
          <w:lang w:val="en-GB"/>
        </w:rPr>
        <w:t xml:space="preserve">considered that there is a high clinical need for effective treatments in the paediatric population. </w:t>
      </w:r>
    </w:p>
    <w:p w14:paraId="4F2BB309" w14:textId="10573EE3" w:rsidR="00A559D7" w:rsidRDefault="002636DB" w:rsidP="00A559D7">
      <w:pPr>
        <w:pStyle w:val="3-BodyText"/>
        <w:widowControl w:val="0"/>
        <w:snapToGrid w:val="0"/>
        <w:rPr>
          <w:lang w:val="en-GB"/>
        </w:rPr>
      </w:pPr>
      <w:r w:rsidRPr="004839EF">
        <w:rPr>
          <w:lang w:val="en-GB"/>
        </w:rPr>
        <w:t xml:space="preserve">The PBAC considered that restrictions for patients aged </w:t>
      </w:r>
      <w:r w:rsidR="00F1028A">
        <w:rPr>
          <w:lang w:val="en-GB"/>
        </w:rPr>
        <w:t>&lt;12 years</w:t>
      </w:r>
      <w:r w:rsidRPr="004839EF">
        <w:rPr>
          <w:lang w:val="en-GB"/>
        </w:rPr>
        <w:t xml:space="preserve"> should be consistent </w:t>
      </w:r>
      <w:r w:rsidRPr="004839EF">
        <w:rPr>
          <w:lang w:val="en-GB"/>
        </w:rPr>
        <w:lastRenderedPageBreak/>
        <w:t xml:space="preserve">with restrictions for patients aged 12 or older </w:t>
      </w:r>
      <w:r w:rsidR="008B756D">
        <w:rPr>
          <w:lang w:val="en-GB"/>
        </w:rPr>
        <w:t xml:space="preserve">to </w:t>
      </w:r>
      <w:r w:rsidR="00663BD0">
        <w:rPr>
          <w:lang w:val="en-GB"/>
        </w:rPr>
        <w:t>reduce</w:t>
      </w:r>
      <w:r w:rsidR="008B756D">
        <w:rPr>
          <w:lang w:val="en-GB"/>
        </w:rPr>
        <w:t xml:space="preserve"> complexity</w:t>
      </w:r>
      <w:r w:rsidR="004839EF" w:rsidRPr="004839EF">
        <w:rPr>
          <w:lang w:val="en-GB"/>
        </w:rPr>
        <w:t xml:space="preserve"> for prescribers</w:t>
      </w:r>
      <w:r w:rsidRPr="004839EF">
        <w:rPr>
          <w:lang w:val="en-GB"/>
        </w:rPr>
        <w:t xml:space="preserve"> and </w:t>
      </w:r>
      <w:r w:rsidR="004839EF" w:rsidRPr="004839EF">
        <w:rPr>
          <w:lang w:val="en-GB"/>
        </w:rPr>
        <w:t xml:space="preserve">to </w:t>
      </w:r>
      <w:r w:rsidRPr="004839EF">
        <w:rPr>
          <w:lang w:val="en-GB"/>
        </w:rPr>
        <w:t>ensure that patients can easily transition to treatment under the adolescent/adult listing.</w:t>
      </w:r>
      <w:r w:rsidR="004839EF" w:rsidRPr="004839EF">
        <w:rPr>
          <w:lang w:val="en-GB"/>
        </w:rPr>
        <w:t xml:space="preserve"> The PBAC considered that </w:t>
      </w:r>
      <w:r w:rsidR="004839EF">
        <w:t>the baseline EASI score should be 20 (rather than 21</w:t>
      </w:r>
      <w:r w:rsidR="00AD651C">
        <w:t> </w:t>
      </w:r>
      <w:r w:rsidR="004839EF">
        <w:t>as proposed) and that the wording in the restrictions for the adolescent/adult population with respect to DLQI was sufficiently inclusive for use of CDLQI in the paediatric listing.</w:t>
      </w:r>
      <w:r w:rsidR="003D6592">
        <w:t xml:space="preserve"> </w:t>
      </w:r>
      <w:r w:rsidR="00AD651C">
        <w:t xml:space="preserve">The current </w:t>
      </w:r>
      <w:r w:rsidR="00816736">
        <w:t xml:space="preserve">maximum </w:t>
      </w:r>
      <w:r w:rsidR="00AD651C">
        <w:t>number of repeats available for the 300</w:t>
      </w:r>
      <w:r w:rsidR="00816736">
        <w:t> </w:t>
      </w:r>
      <w:r w:rsidR="00AD651C">
        <w:t>mg presentation</w:t>
      </w:r>
      <w:r w:rsidR="00816736">
        <w:t xml:space="preserve"> (5) </w:t>
      </w:r>
      <w:r w:rsidR="00AD651C">
        <w:t xml:space="preserve">currently caters for dosing in adults </w:t>
      </w:r>
      <w:r w:rsidR="00816736">
        <w:t>Q2W</w:t>
      </w:r>
      <w:r w:rsidR="00AD651C">
        <w:t xml:space="preserve">. </w:t>
      </w:r>
      <w:r w:rsidR="00503AE0">
        <w:t xml:space="preserve">In children under 30 kg, 300 mg is administered </w:t>
      </w:r>
      <w:r w:rsidR="00816736">
        <w:t>Q4W,</w:t>
      </w:r>
      <w:r w:rsidR="00503AE0">
        <w:t xml:space="preserve"> </w:t>
      </w:r>
      <w:r w:rsidR="00816736">
        <w:t>resulting in an extended</w:t>
      </w:r>
      <w:r w:rsidR="00503AE0">
        <w:t xml:space="preserve"> duration of treatment</w:t>
      </w:r>
      <w:r w:rsidR="00816736">
        <w:t xml:space="preserve"> at the maximum number of repeats</w:t>
      </w:r>
      <w:r w:rsidR="00503AE0">
        <w:t xml:space="preserve">. The </w:t>
      </w:r>
      <w:r w:rsidR="00816736">
        <w:t>PBAC considered it would be reasonable for the</w:t>
      </w:r>
      <w:r w:rsidR="00503AE0">
        <w:t xml:space="preserve"> existing 300 mg presentation listing</w:t>
      </w:r>
      <w:r w:rsidR="00D801D7">
        <w:t>s</w:t>
      </w:r>
      <w:r w:rsidR="00503AE0">
        <w:t xml:space="preserve"> </w:t>
      </w:r>
      <w:r w:rsidR="00816736">
        <w:t xml:space="preserve">to </w:t>
      </w:r>
      <w:r w:rsidR="00503AE0">
        <w:t>be retained, but a prescribing instruction to direct the prescriber to seek no more than 3 repeat prescriptions</w:t>
      </w:r>
      <w:r w:rsidR="00816736">
        <w:t xml:space="preserve"> for the initial treatment restriction and </w:t>
      </w:r>
      <w:r w:rsidR="00503AE0">
        <w:t>no more than 2 repeat prescriptions</w:t>
      </w:r>
      <w:r w:rsidR="00816736">
        <w:t xml:space="preserve"> for the continuing treatment restriction under the Q4W regimen</w:t>
      </w:r>
      <w:r w:rsidR="00503AE0">
        <w:t xml:space="preserve">.  </w:t>
      </w:r>
    </w:p>
    <w:p w14:paraId="434115C8" w14:textId="4C7947A8" w:rsidR="004839EF" w:rsidRPr="00A559D7" w:rsidRDefault="00663BD0" w:rsidP="00A559D7">
      <w:pPr>
        <w:pStyle w:val="3-BodyText"/>
        <w:widowControl w:val="0"/>
        <w:snapToGrid w:val="0"/>
        <w:rPr>
          <w:lang w:val="en-GB"/>
        </w:rPr>
      </w:pPr>
      <w:r w:rsidRPr="00A559D7">
        <w:rPr>
          <w:lang w:val="en-GB"/>
        </w:rPr>
        <w:t>The PBAC</w:t>
      </w:r>
      <w:r w:rsidR="004839EF" w:rsidRPr="00A559D7">
        <w:rPr>
          <w:lang w:val="en-GB"/>
        </w:rPr>
        <w:t xml:space="preserve"> considered that for the paediatric population a minimum age for access to treatment</w:t>
      </w:r>
      <w:r w:rsidR="008A22B6">
        <w:rPr>
          <w:lang w:val="en-GB"/>
        </w:rPr>
        <w:t xml:space="preserve"> was not required</w:t>
      </w:r>
      <w:r w:rsidR="002636DB" w:rsidRPr="00A559D7">
        <w:rPr>
          <w:lang w:val="en-GB"/>
        </w:rPr>
        <w:t xml:space="preserve">. </w:t>
      </w:r>
      <w:r w:rsidR="00C4344E" w:rsidRPr="00A559D7">
        <w:rPr>
          <w:lang w:val="en-GB"/>
        </w:rPr>
        <w:t xml:space="preserve">The PBAC noted that dupilumab is currently TGA indicated for patients aged </w:t>
      </w:r>
      <w:r w:rsidR="00D801D7">
        <w:rPr>
          <w:lang w:val="en-GB"/>
        </w:rPr>
        <w:t xml:space="preserve">at least </w:t>
      </w:r>
      <w:r w:rsidR="00C4344E" w:rsidRPr="00A559D7">
        <w:rPr>
          <w:lang w:val="en-GB"/>
        </w:rPr>
        <w:t xml:space="preserve">6 </w:t>
      </w:r>
      <w:proofErr w:type="gramStart"/>
      <w:r w:rsidR="00C4344E" w:rsidRPr="00A559D7">
        <w:rPr>
          <w:lang w:val="en-GB"/>
        </w:rPr>
        <w:t>years</w:t>
      </w:r>
      <w:r w:rsidR="00D801D7">
        <w:rPr>
          <w:lang w:val="en-GB"/>
        </w:rPr>
        <w:t>,</w:t>
      </w:r>
      <w:r w:rsidR="00C4344E" w:rsidRPr="00A559D7">
        <w:rPr>
          <w:lang w:val="en-GB"/>
        </w:rPr>
        <w:t xml:space="preserve"> but</w:t>
      </w:r>
      <w:proofErr w:type="gramEnd"/>
      <w:r w:rsidR="00C4344E" w:rsidRPr="00A559D7">
        <w:rPr>
          <w:lang w:val="en-GB"/>
        </w:rPr>
        <w:t xml:space="preserve"> considered that use in patients younger than 6 years may be clinically appropriate in some circumstances</w:t>
      </w:r>
      <w:r w:rsidRPr="00A559D7">
        <w:rPr>
          <w:lang w:val="en-GB"/>
        </w:rPr>
        <w:t>. The PBAC considered that this may be</w:t>
      </w:r>
      <w:r w:rsidR="00C4344E" w:rsidRPr="00A559D7">
        <w:rPr>
          <w:lang w:val="en-GB"/>
        </w:rPr>
        <w:t xml:space="preserve"> particularly </w:t>
      </w:r>
      <w:r w:rsidRPr="00A559D7">
        <w:rPr>
          <w:lang w:val="en-GB"/>
        </w:rPr>
        <w:t>important for</w:t>
      </w:r>
      <w:r w:rsidR="00C4344E" w:rsidRPr="00A559D7">
        <w:rPr>
          <w:lang w:val="en-GB"/>
        </w:rPr>
        <w:t xml:space="preserve"> patients who have started school</w:t>
      </w:r>
      <w:r w:rsidR="00D801D7">
        <w:rPr>
          <w:lang w:val="en-GB"/>
        </w:rPr>
        <w:t>,</w:t>
      </w:r>
      <w:r w:rsidR="00C4344E" w:rsidRPr="00A559D7">
        <w:rPr>
          <w:lang w:val="en-GB"/>
        </w:rPr>
        <w:t xml:space="preserve"> but are not yet 6 years of age, noting the consumer comments regarding the importance of education for paediatric patients.</w:t>
      </w:r>
      <w:r w:rsidR="002636DB" w:rsidRPr="00A559D7">
        <w:rPr>
          <w:lang w:val="en-GB"/>
        </w:rPr>
        <w:t xml:space="preserve"> </w:t>
      </w:r>
    </w:p>
    <w:p w14:paraId="53232AA0" w14:textId="17D1E037" w:rsidR="00CC1F58" w:rsidRDefault="00266529" w:rsidP="00CC1F58">
      <w:pPr>
        <w:pStyle w:val="3-BodyText"/>
        <w:rPr>
          <w:iCs/>
        </w:rPr>
      </w:pPr>
      <w:r>
        <w:rPr>
          <w:lang w:val="en-GB"/>
        </w:rPr>
        <w:t xml:space="preserve">The PBAC noted that the natural history for the paediatric population differed from that in the adolescent/adult population in that many more paediatric patients would be expected to experience disease resolution with time, compared with the adolescent/adult population. </w:t>
      </w:r>
      <w:r w:rsidR="00CC1F58">
        <w:rPr>
          <w:iCs/>
        </w:rPr>
        <w:t xml:space="preserve">The PBAC noted that the submission suggested </w:t>
      </w:r>
      <w:r w:rsidR="00CC1F58" w:rsidRPr="00BF43F9">
        <w:rPr>
          <w:iCs/>
        </w:rPr>
        <w:t xml:space="preserve">the inclusion of guidance in the restrictions </w:t>
      </w:r>
      <w:r w:rsidR="000B2D64">
        <w:rPr>
          <w:iCs/>
        </w:rPr>
        <w:t xml:space="preserve">for assessment of the need for ongoing treatment in patients whose disease may have resolved. </w:t>
      </w:r>
      <w:r w:rsidR="003E3A8F">
        <w:rPr>
          <w:iCs/>
        </w:rPr>
        <w:t>The PBAC considered that parents and specialists prescribing dupilumab</w:t>
      </w:r>
      <w:r w:rsidR="00663BD0">
        <w:rPr>
          <w:iCs/>
        </w:rPr>
        <w:t>,</w:t>
      </w:r>
      <w:r w:rsidR="003E3A8F">
        <w:rPr>
          <w:iCs/>
        </w:rPr>
        <w:t xml:space="preserve"> </w:t>
      </w:r>
      <w:r w:rsidR="00663BD0">
        <w:rPr>
          <w:iCs/>
        </w:rPr>
        <w:t xml:space="preserve">in line with QUM principles, </w:t>
      </w:r>
      <w:r w:rsidR="003E3A8F">
        <w:rPr>
          <w:iCs/>
        </w:rPr>
        <w:t>would discontinue treatment or extend the period between doses where appropriate to manage patients who may no longer require treatment</w:t>
      </w:r>
      <w:r w:rsidR="00663BD0">
        <w:rPr>
          <w:iCs/>
        </w:rPr>
        <w:t xml:space="preserve"> with dupilumab</w:t>
      </w:r>
      <w:r w:rsidR="003E3A8F">
        <w:rPr>
          <w:iCs/>
        </w:rPr>
        <w:t xml:space="preserve">. </w:t>
      </w:r>
      <w:r w:rsidR="00663BD0">
        <w:rPr>
          <w:iCs/>
        </w:rPr>
        <w:t>T</w:t>
      </w:r>
      <w:r w:rsidR="000B2D64">
        <w:rPr>
          <w:iCs/>
        </w:rPr>
        <w:t xml:space="preserve">he PBAC considered that </w:t>
      </w:r>
      <w:r w:rsidR="00982D9B">
        <w:rPr>
          <w:iCs/>
        </w:rPr>
        <w:t>assessment of the need for ongoing treatment</w:t>
      </w:r>
      <w:r w:rsidR="00663BD0">
        <w:rPr>
          <w:iCs/>
        </w:rPr>
        <w:t xml:space="preserve"> would be appropriately managed by specialist</w:t>
      </w:r>
      <w:r w:rsidR="00982D9B">
        <w:rPr>
          <w:iCs/>
        </w:rPr>
        <w:t xml:space="preserve"> clinicians and </w:t>
      </w:r>
      <w:r w:rsidR="000B2D64">
        <w:rPr>
          <w:iCs/>
        </w:rPr>
        <w:t xml:space="preserve">the restrictions need not include </w:t>
      </w:r>
      <w:r w:rsidR="00982D9B">
        <w:rPr>
          <w:iCs/>
        </w:rPr>
        <w:t>this requirement</w:t>
      </w:r>
      <w:r w:rsidR="000B2D64">
        <w:rPr>
          <w:iCs/>
        </w:rPr>
        <w:t>.</w:t>
      </w:r>
    </w:p>
    <w:p w14:paraId="4F37882B" w14:textId="242DDA8A" w:rsidR="00BF43F9" w:rsidRPr="00CE42B4" w:rsidRDefault="00CC1F58" w:rsidP="00BF43F9">
      <w:pPr>
        <w:widowControl w:val="0"/>
        <w:numPr>
          <w:ilvl w:val="1"/>
          <w:numId w:val="1"/>
        </w:numPr>
        <w:spacing w:after="120"/>
        <w:rPr>
          <w:rFonts w:cs="Arial"/>
          <w:snapToGrid w:val="0"/>
          <w:lang w:val="en-GB"/>
        </w:rPr>
      </w:pPr>
      <w:r>
        <w:rPr>
          <w:rFonts w:cs="Arial"/>
          <w:snapToGrid w:val="0"/>
          <w:lang w:val="en-GB"/>
        </w:rPr>
        <w:t xml:space="preserve">The PBAC considered that the nominated </w:t>
      </w:r>
      <w:r w:rsidR="008B756D">
        <w:rPr>
          <w:rFonts w:cs="Arial"/>
          <w:snapToGrid w:val="0"/>
          <w:lang w:val="en-GB"/>
        </w:rPr>
        <w:t xml:space="preserve">comparator </w:t>
      </w:r>
      <w:r w:rsidR="00982D9B">
        <w:rPr>
          <w:rFonts w:cs="Arial"/>
          <w:snapToGrid w:val="0"/>
          <w:lang w:val="en-GB"/>
        </w:rPr>
        <w:t xml:space="preserve">of </w:t>
      </w:r>
      <w:r w:rsidR="00982D9B" w:rsidRPr="00C80985">
        <w:t>placebo, representing So</w:t>
      </w:r>
      <w:r w:rsidR="00982D9B">
        <w:t>C,</w:t>
      </w:r>
      <w:r w:rsidR="00982D9B" w:rsidRPr="00C80985">
        <w:t xml:space="preserve"> </w:t>
      </w:r>
      <w:r w:rsidR="008B756D">
        <w:rPr>
          <w:rFonts w:cs="Arial"/>
          <w:snapToGrid w:val="0"/>
          <w:lang w:val="en-GB"/>
        </w:rPr>
        <w:t>w</w:t>
      </w:r>
      <w:r>
        <w:rPr>
          <w:rFonts w:cs="Arial"/>
          <w:snapToGrid w:val="0"/>
          <w:lang w:val="en-GB"/>
        </w:rPr>
        <w:t>as</w:t>
      </w:r>
      <w:r w:rsidR="008B756D">
        <w:rPr>
          <w:rFonts w:cs="Arial"/>
          <w:snapToGrid w:val="0"/>
          <w:lang w:val="en-GB"/>
        </w:rPr>
        <w:t xml:space="preserve"> appropriate.</w:t>
      </w:r>
    </w:p>
    <w:p w14:paraId="2C85272D" w14:textId="580CB3EE" w:rsidR="0083071C" w:rsidRPr="0083071C" w:rsidRDefault="008B756D" w:rsidP="00BF43F9">
      <w:pPr>
        <w:widowControl w:val="0"/>
        <w:numPr>
          <w:ilvl w:val="1"/>
          <w:numId w:val="1"/>
        </w:numPr>
        <w:spacing w:after="120"/>
        <w:rPr>
          <w:rFonts w:cs="Arial"/>
          <w:snapToGrid w:val="0"/>
          <w:lang w:val="en-GB"/>
        </w:rPr>
      </w:pPr>
      <w:r>
        <w:rPr>
          <w:rFonts w:cs="Arial"/>
          <w:snapToGrid w:val="0"/>
          <w:lang w:val="en-GB"/>
        </w:rPr>
        <w:t xml:space="preserve">The PBAC noted that the </w:t>
      </w:r>
      <w:r>
        <w:t>submission was based on a randomised, double-blind, multicentre trial (Study 1652) comparing the efficacy and safety of dupilumab</w:t>
      </w:r>
      <w:r w:rsidR="00757994">
        <w:t xml:space="preserve"> + TCS</w:t>
      </w:r>
      <w:r>
        <w:t xml:space="preserve"> to placebo</w:t>
      </w:r>
      <w:r w:rsidR="00757994">
        <w:t xml:space="preserve"> + TCS</w:t>
      </w:r>
      <w:r>
        <w:t xml:space="preserve"> in paediatric patients aged </w:t>
      </w:r>
      <w:r w:rsidR="000D6EA0">
        <w:rPr>
          <w:rFonts w:cstheme="minorHAnsi"/>
        </w:rPr>
        <w:t>≥</w:t>
      </w:r>
      <w:r>
        <w:t xml:space="preserve">6 to &lt;11 years with severe AD inadequately controlled with topical therapies. Although </w:t>
      </w:r>
      <w:r w:rsidR="009868A7">
        <w:t>S</w:t>
      </w:r>
      <w:r>
        <w:rPr>
          <w:iCs/>
        </w:rPr>
        <w:t xml:space="preserve">tudy 1652 had a different dosing structure than the requested restrictions the PBAC considered it was sufficiently representative of expected use in Australian clinical practice. </w:t>
      </w:r>
      <w:r w:rsidR="0068709B">
        <w:rPr>
          <w:iCs/>
        </w:rPr>
        <w:t xml:space="preserve">The PBAC noted that the clinical evidence </w:t>
      </w:r>
      <w:r w:rsidR="0028073B">
        <w:rPr>
          <w:iCs/>
        </w:rPr>
        <w:t xml:space="preserve">from the post-hoc subgroups </w:t>
      </w:r>
      <w:r w:rsidR="0068709B">
        <w:rPr>
          <w:iCs/>
        </w:rPr>
        <w:t>suggested that response may differ somewhat between patients &lt;30kg on the</w:t>
      </w:r>
      <w:r w:rsidR="00757994">
        <w:rPr>
          <w:iCs/>
        </w:rPr>
        <w:t xml:space="preserve"> 300 mg</w:t>
      </w:r>
      <w:r w:rsidR="0068709B">
        <w:rPr>
          <w:iCs/>
        </w:rPr>
        <w:t xml:space="preserve"> Q4W schedule and those </w:t>
      </w:r>
      <w:r w:rsidR="0068709B">
        <w:rPr>
          <w:iCs/>
        </w:rPr>
        <w:lastRenderedPageBreak/>
        <w:t xml:space="preserve">30-60kg on the </w:t>
      </w:r>
      <w:r w:rsidR="00757994">
        <w:rPr>
          <w:iCs/>
        </w:rPr>
        <w:t xml:space="preserve">200 mg </w:t>
      </w:r>
      <w:r w:rsidR="0068709B">
        <w:rPr>
          <w:iCs/>
        </w:rPr>
        <w:t xml:space="preserve">Q2W schedule, with patients &lt;30kg having </w:t>
      </w:r>
      <w:r w:rsidR="00982D9B">
        <w:rPr>
          <w:iCs/>
        </w:rPr>
        <w:t>numerically greater</w:t>
      </w:r>
      <w:r w:rsidR="0068709B">
        <w:rPr>
          <w:iCs/>
        </w:rPr>
        <w:t xml:space="preserve"> improvements </w:t>
      </w:r>
      <w:r w:rsidR="0083071C">
        <w:rPr>
          <w:iCs/>
        </w:rPr>
        <w:t xml:space="preserve">for the </w:t>
      </w:r>
      <w:r w:rsidR="0083071C" w:rsidRPr="00C80985">
        <w:t>combined outcome of EASI 50 and CDLQI4</w:t>
      </w:r>
      <w:r w:rsidR="0068709B">
        <w:rPr>
          <w:iCs/>
        </w:rPr>
        <w:t xml:space="preserve"> compared with those 30</w:t>
      </w:r>
      <w:r w:rsidR="00757994">
        <w:rPr>
          <w:iCs/>
        </w:rPr>
        <w:noBreakHyphen/>
      </w:r>
      <w:r w:rsidR="0068709B">
        <w:rPr>
          <w:iCs/>
        </w:rPr>
        <w:t>60kg</w:t>
      </w:r>
      <w:r w:rsidR="009331B0">
        <w:rPr>
          <w:iCs/>
        </w:rPr>
        <w:t xml:space="preserve">. The PBAC noted that this may be due to the higher initial loading dose for the </w:t>
      </w:r>
      <w:r w:rsidR="0028073B">
        <w:rPr>
          <w:iCs/>
        </w:rPr>
        <w:t>&lt;30kg subgroup</w:t>
      </w:r>
      <w:r w:rsidR="0068709B">
        <w:rPr>
          <w:iCs/>
        </w:rPr>
        <w:t xml:space="preserve">. </w:t>
      </w:r>
      <w:r w:rsidR="00757994">
        <w:rPr>
          <w:iCs/>
        </w:rPr>
        <w:t xml:space="preserve">However, </w:t>
      </w:r>
      <w:proofErr w:type="gramStart"/>
      <w:r w:rsidR="00757994">
        <w:rPr>
          <w:iCs/>
        </w:rPr>
        <w:t>overall</w:t>
      </w:r>
      <w:proofErr w:type="gramEnd"/>
      <w:r w:rsidR="00757994">
        <w:rPr>
          <w:iCs/>
        </w:rPr>
        <w:t xml:space="preserve"> the PBAC considered that dupilumab </w:t>
      </w:r>
      <w:r w:rsidR="00982D9B">
        <w:rPr>
          <w:iCs/>
        </w:rPr>
        <w:t>appeared to be</w:t>
      </w:r>
      <w:r w:rsidR="00757994">
        <w:rPr>
          <w:iCs/>
        </w:rPr>
        <w:t xml:space="preserve"> effective in both groups of patients</w:t>
      </w:r>
      <w:r w:rsidR="0083071C">
        <w:rPr>
          <w:iCs/>
        </w:rPr>
        <w:t xml:space="preserve"> and the clinical claim of superior efficacy over SoC was reasonable</w:t>
      </w:r>
      <w:r w:rsidR="00757994">
        <w:rPr>
          <w:iCs/>
        </w:rPr>
        <w:t xml:space="preserve">. </w:t>
      </w:r>
    </w:p>
    <w:p w14:paraId="79B476FB" w14:textId="7CFC7757" w:rsidR="00BF43F9" w:rsidRPr="00CE42B4" w:rsidRDefault="0028073B" w:rsidP="00BF43F9">
      <w:pPr>
        <w:widowControl w:val="0"/>
        <w:numPr>
          <w:ilvl w:val="1"/>
          <w:numId w:val="1"/>
        </w:numPr>
        <w:spacing w:after="120"/>
        <w:rPr>
          <w:rFonts w:cs="Arial"/>
          <w:snapToGrid w:val="0"/>
          <w:lang w:val="en-GB"/>
        </w:rPr>
      </w:pPr>
      <w:r>
        <w:rPr>
          <w:iCs/>
        </w:rPr>
        <w:t xml:space="preserve">The PBAC noted that no evidence was presented for patients </w:t>
      </w:r>
      <w:r w:rsidR="00663BD0">
        <w:rPr>
          <w:rFonts w:cstheme="minorHAnsi"/>
          <w:iCs/>
        </w:rPr>
        <w:t>≥</w:t>
      </w:r>
      <w:r>
        <w:rPr>
          <w:iCs/>
        </w:rPr>
        <w:t xml:space="preserve">60 kg but considered that efficacy is likely to be consistent with the &lt;60 kg paediatric population and </w:t>
      </w:r>
      <w:r w:rsidR="00CE7B79">
        <w:rPr>
          <w:iCs/>
        </w:rPr>
        <w:t xml:space="preserve">with </w:t>
      </w:r>
      <w:r>
        <w:rPr>
          <w:iCs/>
        </w:rPr>
        <w:t>the adolescent/adult population</w:t>
      </w:r>
      <w:r w:rsidR="00CE7B79">
        <w:rPr>
          <w:iCs/>
        </w:rPr>
        <w:t xml:space="preserve"> who are treated with the same dosing regimen</w:t>
      </w:r>
      <w:r>
        <w:rPr>
          <w:iCs/>
        </w:rPr>
        <w:t>.</w:t>
      </w:r>
      <w:r w:rsidR="00CE7B79">
        <w:rPr>
          <w:iCs/>
        </w:rPr>
        <w:t xml:space="preserve"> The PBAC noted that no directly relevant </w:t>
      </w:r>
      <w:proofErr w:type="gramStart"/>
      <w:r w:rsidR="00CE7B79">
        <w:rPr>
          <w:iCs/>
        </w:rPr>
        <w:t>long term</w:t>
      </w:r>
      <w:proofErr w:type="gramEnd"/>
      <w:r w:rsidR="00CE7B79">
        <w:rPr>
          <w:iCs/>
        </w:rPr>
        <w:t xml:space="preserve"> evidence was available for the paediatric population.</w:t>
      </w:r>
    </w:p>
    <w:p w14:paraId="54FA06EF" w14:textId="63FCDA24" w:rsidR="00BF43F9" w:rsidRPr="00CE42B4" w:rsidRDefault="00757994" w:rsidP="00BF43F9">
      <w:pPr>
        <w:widowControl w:val="0"/>
        <w:numPr>
          <w:ilvl w:val="1"/>
          <w:numId w:val="1"/>
        </w:numPr>
        <w:spacing w:after="120"/>
        <w:rPr>
          <w:rFonts w:cs="Arial"/>
          <w:snapToGrid w:val="0"/>
          <w:lang w:val="en-GB"/>
        </w:rPr>
      </w:pPr>
      <w:r>
        <w:rPr>
          <w:rFonts w:cs="Arial"/>
          <w:snapToGrid w:val="0"/>
          <w:lang w:val="en-GB"/>
        </w:rPr>
        <w:t>The PBAC noted that c</w:t>
      </w:r>
      <w:proofErr w:type="spellStart"/>
      <w:r w:rsidRPr="00C80985">
        <w:t>onjunctivitis</w:t>
      </w:r>
      <w:proofErr w:type="spellEnd"/>
      <w:r w:rsidRPr="00C80985">
        <w:t xml:space="preserve"> and injection site reactions occurred more frequently in the dupilumab arms of </w:t>
      </w:r>
      <w:r>
        <w:t xml:space="preserve">study 1652 and considered that the claim of inferior safety was reasonable. </w:t>
      </w:r>
    </w:p>
    <w:p w14:paraId="3E3FCC0B" w14:textId="7C7B3DB0" w:rsidR="00A05A6A" w:rsidRDefault="00CE7B79" w:rsidP="00BF43F9">
      <w:pPr>
        <w:widowControl w:val="0"/>
        <w:numPr>
          <w:ilvl w:val="1"/>
          <w:numId w:val="1"/>
        </w:numPr>
        <w:spacing w:after="120"/>
        <w:rPr>
          <w:rFonts w:cs="Arial"/>
          <w:snapToGrid w:val="0"/>
          <w:lang w:val="en-GB"/>
        </w:rPr>
      </w:pPr>
      <w:r>
        <w:rPr>
          <w:rFonts w:cs="Arial"/>
          <w:snapToGrid w:val="0"/>
          <w:lang w:val="en-GB"/>
        </w:rPr>
        <w:t xml:space="preserve">The PBAC noted that the economic model presented was </w:t>
      </w:r>
      <w:r w:rsidR="007B50B9">
        <w:rPr>
          <w:rFonts w:cs="Arial"/>
          <w:snapToGrid w:val="0"/>
          <w:lang w:val="en-GB"/>
        </w:rPr>
        <w:t>essential</w:t>
      </w:r>
      <w:r w:rsidR="00914686">
        <w:rPr>
          <w:rFonts w:cs="Arial"/>
          <w:snapToGrid w:val="0"/>
          <w:lang w:val="en-GB"/>
        </w:rPr>
        <w:t>ly</w:t>
      </w:r>
      <w:r w:rsidR="007B50B9">
        <w:rPr>
          <w:rFonts w:cs="Arial"/>
          <w:snapToGrid w:val="0"/>
          <w:lang w:val="en-GB"/>
        </w:rPr>
        <w:t xml:space="preserve"> the same as</w:t>
      </w:r>
      <w:r>
        <w:rPr>
          <w:rFonts w:cs="Arial"/>
          <w:snapToGrid w:val="0"/>
          <w:lang w:val="en-GB"/>
        </w:rPr>
        <w:t xml:space="preserve"> that presented for the adult population, with some inputs adjusted using data for the paediatric population (</w:t>
      </w:r>
      <w:r w:rsidR="00F61148">
        <w:rPr>
          <w:rFonts w:cs="Arial"/>
          <w:snapToGrid w:val="0"/>
          <w:lang w:val="en-GB"/>
        </w:rPr>
        <w:t xml:space="preserve">patient demographics, week 16 response and health resource use). </w:t>
      </w:r>
      <w:r w:rsidR="00A05A6A">
        <w:rPr>
          <w:rFonts w:cs="Arial"/>
          <w:snapToGrid w:val="0"/>
          <w:lang w:val="en-GB"/>
        </w:rPr>
        <w:t>The PBAC considered that the model structure and time horizon were reasonable</w:t>
      </w:r>
      <w:r w:rsidR="007B50B9">
        <w:rPr>
          <w:rFonts w:cs="Arial"/>
          <w:snapToGrid w:val="0"/>
          <w:lang w:val="en-GB"/>
        </w:rPr>
        <w:t>,</w:t>
      </w:r>
      <w:r w:rsidR="00A05A6A">
        <w:rPr>
          <w:rFonts w:cs="Arial"/>
          <w:snapToGrid w:val="0"/>
          <w:lang w:val="en-GB"/>
        </w:rPr>
        <w:t xml:space="preserve"> noting they were previously accepted for the adult population.</w:t>
      </w:r>
    </w:p>
    <w:p w14:paraId="583B6BC7" w14:textId="2C52224E" w:rsidR="00A05A6A" w:rsidRDefault="00F61148" w:rsidP="00BF43F9">
      <w:pPr>
        <w:widowControl w:val="0"/>
        <w:numPr>
          <w:ilvl w:val="1"/>
          <w:numId w:val="1"/>
        </w:numPr>
        <w:spacing w:after="120"/>
        <w:rPr>
          <w:rFonts w:cs="Arial"/>
          <w:snapToGrid w:val="0"/>
          <w:lang w:val="en-GB"/>
        </w:rPr>
      </w:pPr>
      <w:bookmarkStart w:id="50" w:name="_Ref99012853"/>
      <w:r>
        <w:rPr>
          <w:rFonts w:cs="Arial"/>
          <w:snapToGrid w:val="0"/>
          <w:lang w:val="en-GB"/>
        </w:rPr>
        <w:t xml:space="preserve">The PBAC noted that maintenance of response applied in the model was based on adult </w:t>
      </w:r>
      <w:r w:rsidR="00663BD0">
        <w:rPr>
          <w:rFonts w:cs="Arial"/>
          <w:snapToGrid w:val="0"/>
          <w:lang w:val="en-GB"/>
        </w:rPr>
        <w:t xml:space="preserve">trial </w:t>
      </w:r>
      <w:r>
        <w:rPr>
          <w:rFonts w:cs="Arial"/>
          <w:snapToGrid w:val="0"/>
          <w:lang w:val="en-GB"/>
        </w:rPr>
        <w:t xml:space="preserve">data as no </w:t>
      </w:r>
      <w:r w:rsidR="00663BD0">
        <w:rPr>
          <w:rFonts w:cs="Arial"/>
          <w:snapToGrid w:val="0"/>
          <w:lang w:val="en-GB"/>
        </w:rPr>
        <w:t xml:space="preserve">applicable </w:t>
      </w:r>
      <w:proofErr w:type="gramStart"/>
      <w:r>
        <w:rPr>
          <w:rFonts w:cs="Arial"/>
          <w:snapToGrid w:val="0"/>
          <w:lang w:val="en-GB"/>
        </w:rPr>
        <w:t>long term</w:t>
      </w:r>
      <w:proofErr w:type="gramEnd"/>
      <w:r>
        <w:rPr>
          <w:rFonts w:cs="Arial"/>
          <w:snapToGrid w:val="0"/>
          <w:lang w:val="en-GB"/>
        </w:rPr>
        <w:t xml:space="preserve"> data was available for the paediatric population. The PBAC considered that maintenance of response may differ somewhat in paediatric patients due to differences in the natural history of AD between adults and children.</w:t>
      </w:r>
      <w:r w:rsidR="00CE7B79">
        <w:rPr>
          <w:rFonts w:cs="Arial"/>
          <w:snapToGrid w:val="0"/>
          <w:lang w:val="en-GB"/>
        </w:rPr>
        <w:t xml:space="preserve"> </w:t>
      </w:r>
      <w:r w:rsidR="00A100A3">
        <w:rPr>
          <w:rFonts w:cs="Arial"/>
          <w:snapToGrid w:val="0"/>
          <w:lang w:val="en-GB"/>
        </w:rPr>
        <w:t>The PBAC noted that the sensitivity analysis assuming a sustained response for around 30% of patients, where patients in the dupilumab arm don’t resume treatment, result</w:t>
      </w:r>
      <w:r w:rsidR="00663BD0">
        <w:rPr>
          <w:rFonts w:cs="Arial"/>
          <w:snapToGrid w:val="0"/>
          <w:lang w:val="en-GB"/>
        </w:rPr>
        <w:t>ed</w:t>
      </w:r>
      <w:r w:rsidR="00A100A3">
        <w:rPr>
          <w:rFonts w:cs="Arial"/>
          <w:snapToGrid w:val="0"/>
          <w:lang w:val="en-GB"/>
        </w:rPr>
        <w:t xml:space="preserve"> in an increase </w:t>
      </w:r>
      <w:r w:rsidR="00FD0F92">
        <w:rPr>
          <w:rFonts w:cs="Arial"/>
          <w:snapToGrid w:val="0"/>
          <w:lang w:val="en-GB"/>
        </w:rPr>
        <w:t xml:space="preserve">in the ICER from </w:t>
      </w:r>
      <w:r w:rsidR="00932B18">
        <w:rPr>
          <w:rFonts w:cs="Arial"/>
          <w:snapToGrid w:val="0"/>
          <w:lang w:val="en-GB"/>
        </w:rPr>
        <w:t>$20 million to &lt;$30 million</w:t>
      </w:r>
      <w:r w:rsidR="00FD0F92">
        <w:rPr>
          <w:rFonts w:cs="Arial"/>
          <w:snapToGrid w:val="0"/>
          <w:lang w:val="en-GB"/>
        </w:rPr>
        <w:t>/QALY to</w:t>
      </w:r>
      <w:r w:rsidR="00932B18">
        <w:rPr>
          <w:rFonts w:cs="Arial"/>
          <w:snapToGrid w:val="0"/>
          <w:lang w:val="en-GB"/>
        </w:rPr>
        <w:t xml:space="preserve"> $30 million to &lt; $40 million</w:t>
      </w:r>
      <w:r w:rsidR="00FD0F92">
        <w:rPr>
          <w:rFonts w:cs="Calibri"/>
          <w:color w:val="000000"/>
          <w:szCs w:val="20"/>
        </w:rPr>
        <w:t>/QALY.</w:t>
      </w:r>
      <w:r w:rsidR="00A100A3">
        <w:rPr>
          <w:rFonts w:cs="Arial"/>
          <w:snapToGrid w:val="0"/>
          <w:lang w:val="en-GB"/>
        </w:rPr>
        <w:t xml:space="preserve"> </w:t>
      </w:r>
      <w:r w:rsidR="00FD0F92">
        <w:rPr>
          <w:rFonts w:cs="Arial"/>
          <w:snapToGrid w:val="0"/>
          <w:lang w:val="en-GB"/>
        </w:rPr>
        <w:t>The PBAC considered that this likely better reflect</w:t>
      </w:r>
      <w:r w:rsidR="00914686">
        <w:rPr>
          <w:rFonts w:cs="Arial"/>
          <w:snapToGrid w:val="0"/>
          <w:lang w:val="en-GB"/>
        </w:rPr>
        <w:t>ed</w:t>
      </w:r>
      <w:r w:rsidR="00FD0F92">
        <w:rPr>
          <w:rFonts w:cs="Arial"/>
          <w:snapToGrid w:val="0"/>
          <w:lang w:val="en-GB"/>
        </w:rPr>
        <w:t xml:space="preserve"> use in the paediatric population where patients are more likely to experience AD resolution over time. </w:t>
      </w:r>
      <w:r>
        <w:rPr>
          <w:rFonts w:cs="Arial"/>
          <w:snapToGrid w:val="0"/>
          <w:lang w:val="en-GB"/>
        </w:rPr>
        <w:t>The PBAC noted that response rates for the &lt;30kg and 30</w:t>
      </w:r>
      <w:r w:rsidR="00663BD0">
        <w:rPr>
          <w:rFonts w:cs="Arial"/>
          <w:snapToGrid w:val="0"/>
          <w:lang w:val="en-GB"/>
        </w:rPr>
        <w:noBreakHyphen/>
      </w:r>
      <w:r>
        <w:rPr>
          <w:rFonts w:cs="Arial"/>
          <w:snapToGrid w:val="0"/>
          <w:lang w:val="en-GB"/>
        </w:rPr>
        <w:t xml:space="preserve">60kg weight groups were combined </w:t>
      </w:r>
      <w:r w:rsidR="00A05A6A">
        <w:rPr>
          <w:rFonts w:cs="Arial"/>
          <w:snapToGrid w:val="0"/>
          <w:lang w:val="en-GB"/>
        </w:rPr>
        <w:t>in the economic model and considered that it may not be reasonable to assume response rates are the same for the two groups. However, the PBAC noted that this is unlikely to impact the ICER if the proportion of patients in each weight group is representative of the population treated.</w:t>
      </w:r>
      <w:bookmarkEnd w:id="50"/>
      <w:r w:rsidR="00A05A6A">
        <w:rPr>
          <w:rFonts w:cs="Arial"/>
          <w:snapToGrid w:val="0"/>
          <w:lang w:val="en-GB"/>
        </w:rPr>
        <w:t xml:space="preserve"> </w:t>
      </w:r>
    </w:p>
    <w:p w14:paraId="5B32FE6B" w14:textId="0FD0A00B" w:rsidR="00F61148" w:rsidRPr="00FD0F92" w:rsidRDefault="00A05A6A" w:rsidP="005626D1">
      <w:pPr>
        <w:widowControl w:val="0"/>
        <w:numPr>
          <w:ilvl w:val="1"/>
          <w:numId w:val="1"/>
        </w:numPr>
        <w:spacing w:after="120"/>
        <w:rPr>
          <w:rFonts w:cs="Arial"/>
          <w:snapToGrid w:val="0"/>
          <w:lang w:val="en-GB"/>
        </w:rPr>
      </w:pPr>
      <w:r w:rsidRPr="00FD0F92">
        <w:rPr>
          <w:rFonts w:cs="Arial"/>
          <w:snapToGrid w:val="0"/>
          <w:lang w:val="en-GB"/>
        </w:rPr>
        <w:t xml:space="preserve">The PBAC noted that the economic model was sensitive to the healthcare costs for responders and non-responders. The PBAC noted that these </w:t>
      </w:r>
      <w:r w:rsidR="0010756C">
        <w:rPr>
          <w:rFonts w:cs="Arial"/>
          <w:snapToGrid w:val="0"/>
          <w:lang w:val="en-GB"/>
        </w:rPr>
        <w:t xml:space="preserve">costs </w:t>
      </w:r>
      <w:r w:rsidRPr="00FD0F92">
        <w:rPr>
          <w:rFonts w:cs="Arial"/>
          <w:snapToGrid w:val="0"/>
          <w:lang w:val="en-GB"/>
        </w:rPr>
        <w:t xml:space="preserve">were based on a </w:t>
      </w:r>
      <w:r w:rsidR="00BC6DC9" w:rsidRPr="00FD0F92">
        <w:rPr>
          <w:rFonts w:cs="Arial"/>
          <w:snapToGrid w:val="0"/>
          <w:lang w:val="en-GB"/>
        </w:rPr>
        <w:t>clinician survey specific to paediatric patients</w:t>
      </w:r>
      <w:r w:rsidR="005626D1">
        <w:rPr>
          <w:rFonts w:cs="Arial"/>
          <w:snapToGrid w:val="0"/>
          <w:lang w:val="en-GB"/>
        </w:rPr>
        <w:t xml:space="preserve"> but considered that there was a high level of uncertainty in the mean values from the survey</w:t>
      </w:r>
      <w:r w:rsidR="00BC6DC9" w:rsidRPr="00FD0F92">
        <w:rPr>
          <w:rFonts w:cs="Arial"/>
          <w:snapToGrid w:val="0"/>
          <w:lang w:val="en-GB"/>
        </w:rPr>
        <w:t>. The PBAC noted that the</w:t>
      </w:r>
      <w:r w:rsidRPr="00FD0F92">
        <w:rPr>
          <w:rFonts w:cs="Arial"/>
          <w:snapToGrid w:val="0"/>
          <w:lang w:val="en-GB"/>
        </w:rPr>
        <w:t xml:space="preserve"> </w:t>
      </w:r>
      <w:r w:rsidR="00BC6DC9" w:rsidRPr="00BC6DC9">
        <w:t>ESC considered the inclusion of phototherapy costs was inappropriate</w:t>
      </w:r>
      <w:r w:rsidR="0010756C">
        <w:t xml:space="preserve"> as phototherapy is not generally used in children</w:t>
      </w:r>
      <w:r w:rsidR="00BC6DC9" w:rsidRPr="00BC6DC9">
        <w:t xml:space="preserve">. </w:t>
      </w:r>
      <w:r w:rsidR="00BC6DC9">
        <w:t xml:space="preserve">The PBAC considered that inclusion of some costs for phototherapy may be reasonable as a small number of clinicians may use </w:t>
      </w:r>
      <w:r w:rsidR="00BC6DC9">
        <w:lastRenderedPageBreak/>
        <w:t xml:space="preserve">phototherapy in patients considered to be suitable, however the mean value of 25.3 services per year for non-responders appeared to be </w:t>
      </w:r>
      <w:r w:rsidR="0010756C">
        <w:t xml:space="preserve">substantially </w:t>
      </w:r>
      <w:r w:rsidR="00BC6DC9">
        <w:t xml:space="preserve">overestimated. </w:t>
      </w:r>
      <w:r w:rsidR="00BC6DC9" w:rsidRPr="00BC6DC9">
        <w:t xml:space="preserve">In addition, </w:t>
      </w:r>
      <w:r w:rsidR="00BC6DC9">
        <w:t xml:space="preserve">the PBAC noted that </w:t>
      </w:r>
      <w:r w:rsidR="00BC6DC9" w:rsidRPr="00BC6DC9">
        <w:t xml:space="preserve">other health </w:t>
      </w:r>
      <w:r w:rsidR="00A100A3">
        <w:t>resource</w:t>
      </w:r>
      <w:r w:rsidR="00BC6DC9" w:rsidRPr="00BC6DC9">
        <w:t xml:space="preserve"> costs based on mean values from </w:t>
      </w:r>
      <w:r w:rsidR="00BC6DC9">
        <w:t>the</w:t>
      </w:r>
      <w:r w:rsidR="00BC6DC9" w:rsidRPr="00BC6DC9">
        <w:t xml:space="preserve"> clinician survey generated significant cost offsets, </w:t>
      </w:r>
      <w:r w:rsidR="00BC6DC9">
        <w:t>and appeared to be overestimated</w:t>
      </w:r>
      <w:r w:rsidR="00A100A3">
        <w:t>, particularly hospitalisations and emergency room visits</w:t>
      </w:r>
      <w:r w:rsidR="00BC6DC9" w:rsidRPr="00BC6DC9">
        <w:t>.</w:t>
      </w:r>
      <w:r w:rsidR="00A100A3">
        <w:t xml:space="preserve"> The PBAC considered that inclusion of overestimated healthcare costs for non-responders appeared to underestimate the ICER for the paediatric population,</w:t>
      </w:r>
      <w:r w:rsidR="00FD0F92">
        <w:t xml:space="preserve"> however, </w:t>
      </w:r>
      <w:proofErr w:type="gramStart"/>
      <w:r w:rsidR="00FD0F92">
        <w:t>overall</w:t>
      </w:r>
      <w:proofErr w:type="gramEnd"/>
      <w:r w:rsidR="00FD0F92">
        <w:t xml:space="preserve"> the PBAC considered that the </w:t>
      </w:r>
      <w:r w:rsidR="00A100A3">
        <w:t>ICER remained within an acceptable cost</w:t>
      </w:r>
      <w:r w:rsidR="00A100A3">
        <w:noBreakHyphen/>
        <w:t>effectiveness range</w:t>
      </w:r>
      <w:r w:rsidR="00FD0F92">
        <w:t xml:space="preserve"> even when phototherapy and other healthcare costs were reduced.</w:t>
      </w:r>
    </w:p>
    <w:p w14:paraId="23A15F9E" w14:textId="1AC5668C" w:rsidR="00677299" w:rsidRPr="00C80985" w:rsidRDefault="00371C5F" w:rsidP="00677299">
      <w:pPr>
        <w:pStyle w:val="3-BodyText"/>
      </w:pPr>
      <w:bookmarkStart w:id="51" w:name="_Ref98158110"/>
      <w:r>
        <w:rPr>
          <w:lang w:val="en-GB"/>
        </w:rPr>
        <w:t xml:space="preserve">The PBAC noted that utilisation estimates were based on an epidemiological approach </w:t>
      </w:r>
      <w:r w:rsidR="00456225">
        <w:rPr>
          <w:lang w:val="en-GB"/>
        </w:rPr>
        <w:t>including</w:t>
      </w:r>
      <w:r>
        <w:rPr>
          <w:lang w:val="en-GB"/>
        </w:rPr>
        <w:t xml:space="preserve"> patients aged 6-11</w:t>
      </w:r>
      <w:r w:rsidR="00456225">
        <w:rPr>
          <w:lang w:val="en-GB"/>
        </w:rPr>
        <w:t xml:space="preserve"> years</w:t>
      </w:r>
      <w:r w:rsidR="00914686">
        <w:rPr>
          <w:lang w:val="en-GB"/>
        </w:rPr>
        <w:t xml:space="preserve">, </w:t>
      </w:r>
      <w:r w:rsidR="00914686">
        <w:t>whereas it had recommended use in patients aged &lt;12 years</w:t>
      </w:r>
      <w:r>
        <w:rPr>
          <w:lang w:val="en-GB"/>
        </w:rPr>
        <w:t xml:space="preserve">. </w:t>
      </w:r>
      <w:r w:rsidR="00C4344E">
        <w:rPr>
          <w:lang w:val="en-GB"/>
        </w:rPr>
        <w:t xml:space="preserve">The PBAC considered that usage in </w:t>
      </w:r>
      <w:r w:rsidR="006054C4">
        <w:rPr>
          <w:lang w:val="en-GB"/>
        </w:rPr>
        <w:t xml:space="preserve">patients less than 6 years of age would be limited </w:t>
      </w:r>
      <w:r w:rsidR="00914686">
        <w:rPr>
          <w:lang w:val="en-GB"/>
        </w:rPr>
        <w:t>as</w:t>
      </w:r>
      <w:r w:rsidR="006054C4">
        <w:rPr>
          <w:lang w:val="en-GB"/>
        </w:rPr>
        <w:t xml:space="preserve"> the dose/regimen for patients </w:t>
      </w:r>
      <w:r w:rsidR="009A440B">
        <w:rPr>
          <w:lang w:val="en-GB"/>
        </w:rPr>
        <w:t xml:space="preserve">weighting </w:t>
      </w:r>
      <w:r w:rsidR="006054C4">
        <w:rPr>
          <w:lang w:val="en-GB"/>
        </w:rPr>
        <w:t>&lt;15 kg has not been established.</w:t>
      </w:r>
      <w:r w:rsidR="00677299">
        <w:rPr>
          <w:lang w:val="en-GB"/>
        </w:rPr>
        <w:t xml:space="preserve"> </w:t>
      </w:r>
      <w:r w:rsidR="008C099A">
        <w:t xml:space="preserve">The PBAC considered that in children 4 or 5 years of age, who weigh at least 15 kg, uptake would be expected to be up to half the uptake in children 6-11 years of age. </w:t>
      </w:r>
      <w:r w:rsidR="00677299" w:rsidRPr="00646C5E">
        <w:t>The PBAC considered that a</w:t>
      </w:r>
      <w:r w:rsidR="00677299">
        <w:t xml:space="preserve"> small</w:t>
      </w:r>
      <w:r w:rsidR="00677299" w:rsidRPr="00646C5E">
        <w:t xml:space="preserve"> increase in the patient numbers to account for </w:t>
      </w:r>
      <w:r w:rsidR="00677299">
        <w:t>such use may be reasonable</w:t>
      </w:r>
      <w:r w:rsidR="00677299" w:rsidRPr="00646C5E">
        <w:t xml:space="preserve">. </w:t>
      </w:r>
    </w:p>
    <w:bookmarkEnd w:id="51"/>
    <w:p w14:paraId="3F1FA011" w14:textId="12CABC64" w:rsidR="006054C4" w:rsidRPr="00F4515B" w:rsidRDefault="00D621DB" w:rsidP="005626D1">
      <w:pPr>
        <w:widowControl w:val="0"/>
        <w:numPr>
          <w:ilvl w:val="1"/>
          <w:numId w:val="1"/>
        </w:numPr>
        <w:spacing w:after="120"/>
        <w:rPr>
          <w:rFonts w:cs="Arial"/>
          <w:snapToGrid w:val="0"/>
          <w:lang w:val="en-GB"/>
        </w:rPr>
      </w:pPr>
      <w:r w:rsidRPr="00F4515B">
        <w:rPr>
          <w:rFonts w:cs="Arial"/>
          <w:snapToGrid w:val="0"/>
          <w:lang w:val="en-GB"/>
        </w:rPr>
        <w:t xml:space="preserve">The PBAC noted that </w:t>
      </w:r>
      <w:r w:rsidR="005626D1">
        <w:rPr>
          <w:rFonts w:cs="Arial"/>
          <w:snapToGrid w:val="0"/>
          <w:lang w:val="en-GB"/>
        </w:rPr>
        <w:t xml:space="preserve">in the financial estimates </w:t>
      </w:r>
      <w:r w:rsidRPr="00F4515B">
        <w:rPr>
          <w:rFonts w:cs="Arial"/>
          <w:snapToGrid w:val="0"/>
          <w:lang w:val="en-GB"/>
        </w:rPr>
        <w:t xml:space="preserve">no patients were assumed to </w:t>
      </w:r>
      <w:r w:rsidR="009A440B">
        <w:rPr>
          <w:rFonts w:cs="Arial"/>
          <w:snapToGrid w:val="0"/>
          <w:lang w:val="en-GB"/>
        </w:rPr>
        <w:t>weigh</w:t>
      </w:r>
      <w:r w:rsidRPr="00F4515B">
        <w:rPr>
          <w:rFonts w:cs="Arial"/>
          <w:snapToGrid w:val="0"/>
          <w:lang w:val="en-GB"/>
        </w:rPr>
        <w:t xml:space="preserve"> </w:t>
      </w:r>
      <w:r w:rsidR="009A440B" w:rsidRPr="00F4515B">
        <w:rPr>
          <w:rFonts w:cs="Arial"/>
          <w:snapToGrid w:val="0"/>
          <w:lang w:val="en-GB"/>
        </w:rPr>
        <w:t>≥</w:t>
      </w:r>
      <w:r w:rsidRPr="00F4515B">
        <w:rPr>
          <w:rFonts w:cs="Arial"/>
          <w:snapToGrid w:val="0"/>
          <w:lang w:val="en-GB"/>
        </w:rPr>
        <w:t>60</w:t>
      </w:r>
      <w:r w:rsidR="009A440B">
        <w:rPr>
          <w:rFonts w:cs="Arial"/>
          <w:snapToGrid w:val="0"/>
          <w:lang w:val="en-GB"/>
        </w:rPr>
        <w:t xml:space="preserve"> </w:t>
      </w:r>
      <w:r w:rsidRPr="00F4515B">
        <w:rPr>
          <w:rFonts w:cs="Arial"/>
          <w:snapToGrid w:val="0"/>
          <w:lang w:val="en-GB"/>
        </w:rPr>
        <w:t xml:space="preserve">kg and therefore expected to use the 300 mg Q2W regimen. The PBAC considered that this was not reasonable as some patients </w:t>
      </w:r>
      <w:r w:rsidR="0016751E">
        <w:rPr>
          <w:rFonts w:cs="Arial"/>
          <w:snapToGrid w:val="0"/>
          <w:lang w:val="en-GB"/>
        </w:rPr>
        <w:t>included in the cohort would be expected to</w:t>
      </w:r>
      <w:r w:rsidR="006C3CEE" w:rsidRPr="00F4515B">
        <w:rPr>
          <w:rFonts w:cs="Arial"/>
          <w:snapToGrid w:val="0"/>
          <w:lang w:val="en-GB"/>
        </w:rPr>
        <w:t xml:space="preserve"> weight ≥60</w:t>
      </w:r>
      <w:r w:rsidR="009A440B">
        <w:rPr>
          <w:rFonts w:cs="Arial"/>
          <w:snapToGrid w:val="0"/>
          <w:lang w:val="en-GB"/>
        </w:rPr>
        <w:t> </w:t>
      </w:r>
      <w:r w:rsidR="006C3CEE" w:rsidRPr="00F4515B">
        <w:rPr>
          <w:rFonts w:cs="Arial"/>
          <w:snapToGrid w:val="0"/>
          <w:lang w:val="en-GB"/>
        </w:rPr>
        <w:t>kg</w:t>
      </w:r>
      <w:r w:rsidR="00456225" w:rsidRPr="00F4515B">
        <w:rPr>
          <w:rFonts w:cs="Arial"/>
          <w:snapToGrid w:val="0"/>
          <w:lang w:val="en-GB"/>
        </w:rPr>
        <w:t xml:space="preserve">, however this assumption did not impact the </w:t>
      </w:r>
      <w:r w:rsidR="00625E47">
        <w:rPr>
          <w:rFonts w:cs="Arial"/>
          <w:snapToGrid w:val="0"/>
          <w:lang w:val="en-GB"/>
        </w:rPr>
        <w:t xml:space="preserve">net </w:t>
      </w:r>
      <w:r w:rsidR="00456225" w:rsidRPr="00F4515B">
        <w:rPr>
          <w:rFonts w:cs="Arial"/>
          <w:snapToGrid w:val="0"/>
          <w:lang w:val="en-GB"/>
        </w:rPr>
        <w:t xml:space="preserve">financial </w:t>
      </w:r>
      <w:r w:rsidR="00625E47">
        <w:rPr>
          <w:rFonts w:cs="Arial"/>
          <w:snapToGrid w:val="0"/>
          <w:lang w:val="en-GB"/>
        </w:rPr>
        <w:t>impact</w:t>
      </w:r>
      <w:r w:rsidR="00456225" w:rsidRPr="00F4515B">
        <w:rPr>
          <w:rFonts w:cs="Arial"/>
          <w:snapToGrid w:val="0"/>
          <w:lang w:val="en-GB"/>
        </w:rPr>
        <w:t xml:space="preserve"> as the cost per month is equivalent for each dosage regimen</w:t>
      </w:r>
      <w:r w:rsidR="006C3CEE" w:rsidRPr="00F4515B">
        <w:rPr>
          <w:rFonts w:cs="Arial"/>
          <w:snapToGrid w:val="0"/>
          <w:lang w:val="en-GB"/>
        </w:rPr>
        <w:t xml:space="preserve">. </w:t>
      </w:r>
    </w:p>
    <w:p w14:paraId="107E6A87" w14:textId="7E49CA74" w:rsidR="00BE2F26" w:rsidRDefault="00456225" w:rsidP="005626D1">
      <w:pPr>
        <w:widowControl w:val="0"/>
        <w:numPr>
          <w:ilvl w:val="1"/>
          <w:numId w:val="1"/>
        </w:numPr>
        <w:spacing w:after="120"/>
        <w:rPr>
          <w:rFonts w:cs="Arial"/>
          <w:snapToGrid w:val="0"/>
          <w:lang w:val="en-GB"/>
        </w:rPr>
      </w:pPr>
      <w:r w:rsidRPr="00456225">
        <w:rPr>
          <w:rFonts w:cs="Arial"/>
          <w:snapToGrid w:val="0"/>
          <w:lang w:val="en-GB"/>
        </w:rPr>
        <w:t>The PBAC noted that uptake rates were based on uptake in the adult population and considered that this was a reasonable approach</w:t>
      </w:r>
      <w:r w:rsidR="00625E47">
        <w:rPr>
          <w:rFonts w:cs="Arial"/>
          <w:snapToGrid w:val="0"/>
          <w:lang w:val="en-GB"/>
        </w:rPr>
        <w:t xml:space="preserve"> in the absence of </w:t>
      </w:r>
      <w:r w:rsidR="00D046A2">
        <w:rPr>
          <w:rFonts w:cs="Arial"/>
          <w:snapToGrid w:val="0"/>
          <w:lang w:val="en-GB"/>
        </w:rPr>
        <w:t xml:space="preserve">alternative </w:t>
      </w:r>
      <w:r w:rsidR="00625E47">
        <w:rPr>
          <w:rFonts w:cs="Arial"/>
          <w:snapToGrid w:val="0"/>
          <w:lang w:val="en-GB"/>
        </w:rPr>
        <w:t>data</w:t>
      </w:r>
      <w:r w:rsidRPr="00456225">
        <w:rPr>
          <w:rFonts w:cs="Arial"/>
          <w:snapToGrid w:val="0"/>
          <w:lang w:val="en-GB"/>
        </w:rPr>
        <w:t xml:space="preserve">, though uptake rates remain </w:t>
      </w:r>
      <w:proofErr w:type="gramStart"/>
      <w:r w:rsidRPr="00456225">
        <w:rPr>
          <w:rFonts w:cs="Arial"/>
          <w:snapToGrid w:val="0"/>
          <w:lang w:val="en-GB"/>
        </w:rPr>
        <w:t>uncertain</w:t>
      </w:r>
      <w:proofErr w:type="gramEnd"/>
      <w:r w:rsidRPr="00456225">
        <w:rPr>
          <w:rFonts w:cs="Arial"/>
          <w:snapToGrid w:val="0"/>
          <w:lang w:val="en-GB"/>
        </w:rPr>
        <w:t xml:space="preserve"> and the financial estimates were sensitive to the </w:t>
      </w:r>
      <w:r w:rsidR="00977467">
        <w:rPr>
          <w:rFonts w:cs="Arial"/>
          <w:snapToGrid w:val="0"/>
          <w:lang w:val="en-GB"/>
        </w:rPr>
        <w:t>assumed</w:t>
      </w:r>
      <w:r w:rsidRPr="00456225">
        <w:rPr>
          <w:rFonts w:cs="Arial"/>
          <w:snapToGrid w:val="0"/>
          <w:lang w:val="en-GB"/>
        </w:rPr>
        <w:t xml:space="preserve"> rate</w:t>
      </w:r>
      <w:r w:rsidR="00977467">
        <w:rPr>
          <w:rFonts w:cs="Arial"/>
          <w:snapToGrid w:val="0"/>
          <w:lang w:val="en-GB"/>
        </w:rPr>
        <w:t>s</w:t>
      </w:r>
      <w:r w:rsidRPr="00456225">
        <w:rPr>
          <w:rFonts w:cs="Arial"/>
          <w:snapToGrid w:val="0"/>
          <w:lang w:val="en-GB"/>
        </w:rPr>
        <w:t xml:space="preserve">. The PBAC also </w:t>
      </w:r>
      <w:r w:rsidR="00FC3BB7">
        <w:rPr>
          <w:rFonts w:cs="Arial"/>
          <w:snapToGrid w:val="0"/>
          <w:lang w:val="en-GB"/>
        </w:rPr>
        <w:t xml:space="preserve">noted </w:t>
      </w:r>
      <w:r w:rsidRPr="00456225">
        <w:rPr>
          <w:rFonts w:cs="Arial"/>
          <w:snapToGrid w:val="0"/>
          <w:lang w:val="en-GB"/>
        </w:rPr>
        <w:t>the rate of natural resolution of AD (sustained response) is expected to be higher for the paediatric population</w:t>
      </w:r>
      <w:r w:rsidR="00BE2F26">
        <w:rPr>
          <w:rFonts w:cs="Arial"/>
          <w:snapToGrid w:val="0"/>
          <w:lang w:val="en-GB"/>
        </w:rPr>
        <w:t xml:space="preserve"> than for adolescents/adults. The submission presented a sensitivity analysis where</w:t>
      </w:r>
      <w:r w:rsidRPr="00456225">
        <w:rPr>
          <w:rFonts w:cs="Arial"/>
          <w:snapToGrid w:val="0"/>
          <w:lang w:val="en-GB"/>
        </w:rPr>
        <w:t xml:space="preserve"> 30.3% of patients have sustained response </w:t>
      </w:r>
      <w:r>
        <w:rPr>
          <w:rFonts w:cs="Arial"/>
          <w:snapToGrid w:val="0"/>
          <w:lang w:val="en-GB"/>
        </w:rPr>
        <w:t>and discontinue treatment</w:t>
      </w:r>
      <w:r w:rsidR="00BE2F26">
        <w:rPr>
          <w:rFonts w:cs="Arial"/>
          <w:snapToGrid w:val="0"/>
          <w:lang w:val="en-GB"/>
        </w:rPr>
        <w:t xml:space="preserve">, based on the open label extension </w:t>
      </w:r>
      <w:r w:rsidR="00BE2F26" w:rsidRPr="00C80985">
        <w:rPr>
          <w:iCs/>
        </w:rPr>
        <w:t>Study 1434</w:t>
      </w:r>
      <w:r w:rsidR="00BE2F26">
        <w:rPr>
          <w:iCs/>
        </w:rPr>
        <w:t>. The PBAC considered the financial estimates should be revised to include 30.3% sustained response (as in the sensitivity analysis) to better reflect likely use of dupilumab in practice</w:t>
      </w:r>
      <w:r w:rsidR="00F4515B">
        <w:rPr>
          <w:rFonts w:cs="Arial"/>
          <w:snapToGrid w:val="0"/>
          <w:lang w:val="en-GB"/>
        </w:rPr>
        <w:t xml:space="preserve">. </w:t>
      </w:r>
    </w:p>
    <w:p w14:paraId="56DDC773" w14:textId="6277C79D" w:rsidR="00456225" w:rsidRPr="00456225" w:rsidRDefault="0016751E" w:rsidP="005626D1">
      <w:pPr>
        <w:widowControl w:val="0"/>
        <w:numPr>
          <w:ilvl w:val="1"/>
          <w:numId w:val="1"/>
        </w:numPr>
        <w:spacing w:after="120"/>
        <w:rPr>
          <w:rFonts w:cs="Arial"/>
          <w:snapToGrid w:val="0"/>
          <w:lang w:val="en-GB"/>
        </w:rPr>
      </w:pPr>
      <w:bookmarkStart w:id="52" w:name="_Ref98230131"/>
      <w:r>
        <w:rPr>
          <w:rFonts w:cs="Arial"/>
          <w:snapToGrid w:val="0"/>
          <w:lang w:val="en-GB"/>
        </w:rPr>
        <w:t xml:space="preserve">The </w:t>
      </w:r>
      <w:r w:rsidR="0093226C">
        <w:rPr>
          <w:rFonts w:cs="Arial"/>
          <w:snapToGrid w:val="0"/>
          <w:lang w:val="en-GB"/>
        </w:rPr>
        <w:t xml:space="preserve">PBAC noted it is </w:t>
      </w:r>
      <w:r w:rsidRPr="00F4515B">
        <w:rPr>
          <w:rFonts w:cs="Arial"/>
          <w:snapToGrid w:val="0"/>
          <w:lang w:val="en-GB"/>
        </w:rPr>
        <w:t>difficult</w:t>
      </w:r>
      <w:r w:rsidR="0093226C">
        <w:rPr>
          <w:rFonts w:cs="Arial"/>
          <w:snapToGrid w:val="0"/>
          <w:lang w:val="en-GB"/>
        </w:rPr>
        <w:t xml:space="preserve"> to</w:t>
      </w:r>
      <w:r w:rsidRPr="00F4515B">
        <w:rPr>
          <w:rFonts w:cs="Arial"/>
          <w:snapToGrid w:val="0"/>
          <w:lang w:val="en-GB"/>
        </w:rPr>
        <w:t xml:space="preserve"> estimat</w:t>
      </w:r>
      <w:r w:rsidR="0093226C">
        <w:rPr>
          <w:rFonts w:cs="Arial"/>
          <w:snapToGrid w:val="0"/>
          <w:lang w:val="en-GB"/>
        </w:rPr>
        <w:t>e</w:t>
      </w:r>
      <w:r w:rsidRPr="00F4515B">
        <w:rPr>
          <w:rFonts w:cs="Arial"/>
          <w:snapToGrid w:val="0"/>
          <w:lang w:val="en-GB"/>
        </w:rPr>
        <w:t xml:space="preserve"> the rate at which </w:t>
      </w:r>
      <w:r w:rsidR="0093226C">
        <w:rPr>
          <w:rFonts w:cs="Arial"/>
          <w:snapToGrid w:val="0"/>
          <w:lang w:val="en-GB"/>
        </w:rPr>
        <w:t>paediatric</w:t>
      </w:r>
      <w:r w:rsidR="0093226C" w:rsidRPr="00F4515B">
        <w:rPr>
          <w:rFonts w:cs="Arial"/>
          <w:snapToGrid w:val="0"/>
          <w:lang w:val="en-GB"/>
        </w:rPr>
        <w:t xml:space="preserve"> </w:t>
      </w:r>
      <w:r w:rsidRPr="00F4515B">
        <w:rPr>
          <w:rFonts w:cs="Arial"/>
          <w:snapToGrid w:val="0"/>
          <w:lang w:val="en-GB"/>
        </w:rPr>
        <w:t>patients would transition to the adult/adolescent listing.</w:t>
      </w:r>
      <w:r>
        <w:rPr>
          <w:rFonts w:cs="Arial"/>
          <w:snapToGrid w:val="0"/>
          <w:lang w:val="en-GB"/>
        </w:rPr>
        <w:t xml:space="preserve"> The PBAC considered that the utilisation of dupilumab under the proposed</w:t>
      </w:r>
      <w:r w:rsidR="009A440B">
        <w:rPr>
          <w:rFonts w:cs="Arial"/>
          <w:snapToGrid w:val="0"/>
          <w:lang w:val="en-GB"/>
        </w:rPr>
        <w:t xml:space="preserve"> continuing</w:t>
      </w:r>
      <w:r>
        <w:rPr>
          <w:rFonts w:cs="Arial"/>
          <w:snapToGrid w:val="0"/>
          <w:lang w:val="en-GB"/>
        </w:rPr>
        <w:t xml:space="preserve"> paediatric listing </w:t>
      </w:r>
      <w:r w:rsidR="0093226C">
        <w:rPr>
          <w:rFonts w:cs="Arial"/>
          <w:snapToGrid w:val="0"/>
          <w:lang w:val="en-GB"/>
        </w:rPr>
        <w:t xml:space="preserve">may have been overestimated </w:t>
      </w:r>
      <w:r>
        <w:rPr>
          <w:rFonts w:cs="Arial"/>
          <w:snapToGrid w:val="0"/>
          <w:lang w:val="en-GB"/>
        </w:rPr>
        <w:t>because older paediatric patients would access dupilumab under the existing adult/adolescent listing once they reach 12 years of age.</w:t>
      </w:r>
      <w:bookmarkEnd w:id="52"/>
      <w:r w:rsidR="00BE2F26">
        <w:rPr>
          <w:rFonts w:cs="Arial"/>
          <w:snapToGrid w:val="0"/>
          <w:lang w:val="en-GB"/>
        </w:rPr>
        <w:t xml:space="preserve"> </w:t>
      </w:r>
    </w:p>
    <w:p w14:paraId="2D707A9D" w14:textId="644DFC36" w:rsidR="005626D1" w:rsidRPr="00C80985" w:rsidRDefault="0016751E" w:rsidP="005626D1">
      <w:pPr>
        <w:pStyle w:val="3-BodyText"/>
      </w:pPr>
      <w:bookmarkStart w:id="53" w:name="_Hlk99532525"/>
      <w:r>
        <w:rPr>
          <w:lang w:val="en-GB"/>
        </w:rPr>
        <w:t>The PBAC considered that use of phototherapy was overestimated and offsets from its use were therefore overestimated</w:t>
      </w:r>
      <w:r w:rsidR="00625E47">
        <w:rPr>
          <w:lang w:val="en-GB"/>
        </w:rPr>
        <w:t xml:space="preserve"> in the financial estimates</w:t>
      </w:r>
      <w:r>
        <w:rPr>
          <w:lang w:val="en-GB"/>
        </w:rPr>
        <w:t xml:space="preserve">. </w:t>
      </w:r>
      <w:r w:rsidR="005626D1">
        <w:rPr>
          <w:iCs/>
        </w:rPr>
        <w:t xml:space="preserve">The PBAC considered that the offsets for reduced primary care and specialist visits also appear overestimated and are unlikely to be realised. The PBAC considered the financial </w:t>
      </w:r>
      <w:r w:rsidR="005626D1">
        <w:rPr>
          <w:iCs/>
        </w:rPr>
        <w:lastRenderedPageBreak/>
        <w:t xml:space="preserve">estimates should be revised to </w:t>
      </w:r>
      <w:r w:rsidR="00FE1D89">
        <w:rPr>
          <w:iCs/>
        </w:rPr>
        <w:t xml:space="preserve">remove MBS cost offsets from reduced specialist visits and reduce MBS offsets from primary care and phototherapy by at least 50%. </w:t>
      </w:r>
    </w:p>
    <w:bookmarkEnd w:id="53"/>
    <w:p w14:paraId="0536246C" w14:textId="06C420D4" w:rsidR="00E63C98" w:rsidRPr="002D6E58" w:rsidRDefault="00DA23BA" w:rsidP="003C7770">
      <w:pPr>
        <w:pStyle w:val="ListParagraph"/>
        <w:numPr>
          <w:ilvl w:val="1"/>
          <w:numId w:val="1"/>
        </w:numPr>
        <w:rPr>
          <w:rFonts w:cstheme="minorHAnsi"/>
          <w:snapToGrid/>
          <w:lang w:val="en-GB" w:eastAsia="en-GB"/>
        </w:rPr>
      </w:pPr>
      <w:r w:rsidRPr="002D6E58">
        <w:rPr>
          <w:bCs/>
        </w:rPr>
        <w:t>The PBAC noted that the sponsor indicated a willingness to enter a risk sharing agreement</w:t>
      </w:r>
      <w:r w:rsidR="002D6E58" w:rsidRPr="002D6E58">
        <w:rPr>
          <w:bCs/>
        </w:rPr>
        <w:t xml:space="preserve"> (RSA)</w:t>
      </w:r>
      <w:r w:rsidRPr="002D6E58">
        <w:rPr>
          <w:bCs/>
        </w:rPr>
        <w:t xml:space="preserve">. </w:t>
      </w:r>
      <w:r w:rsidR="002D6E58" w:rsidRPr="002D6E58">
        <w:rPr>
          <w:bCs/>
        </w:rPr>
        <w:t xml:space="preserve">The PBAC considered that a 100% rebate would be required for expenditure exceeding the estimated financial cost for dupilumab to address the potential for use outside the intended population, and to address the potential continuing use in patients who do not have adequate response or where patients’ disease has resolved and no longer requires treatment. </w:t>
      </w:r>
      <w:r w:rsidR="0093226C">
        <w:t>The PBAC noted that a separate cap for the paediatric population would require separate PBS listings for the paediatric and adolescent/adult populations</w:t>
      </w:r>
      <w:r w:rsidR="002D6E58">
        <w:t xml:space="preserve">. </w:t>
      </w:r>
      <w:r w:rsidRPr="002D6E58">
        <w:rPr>
          <w:bCs/>
        </w:rPr>
        <w:t>The PBAC considered that</w:t>
      </w:r>
      <w:r w:rsidR="0093226C">
        <w:rPr>
          <w:bCs/>
        </w:rPr>
        <w:t xml:space="preserve"> RSA</w:t>
      </w:r>
      <w:r w:rsidRPr="002D6E58">
        <w:rPr>
          <w:bCs/>
        </w:rPr>
        <w:t xml:space="preserve"> caps should be based on revised financial </w:t>
      </w:r>
      <w:r w:rsidRPr="002D6E58">
        <w:rPr>
          <w:rFonts w:cstheme="minorHAnsi"/>
          <w:snapToGrid/>
          <w:lang w:val="en-GB" w:eastAsia="en-GB"/>
        </w:rPr>
        <w:t>estimates which</w:t>
      </w:r>
      <w:r w:rsidR="00E63C98" w:rsidRPr="002D6E58">
        <w:rPr>
          <w:rFonts w:cstheme="minorHAnsi"/>
          <w:snapToGrid/>
          <w:lang w:val="en-GB" w:eastAsia="en-GB"/>
        </w:rPr>
        <w:t xml:space="preserve"> have been adjusted to include:</w:t>
      </w:r>
    </w:p>
    <w:p w14:paraId="422685AE" w14:textId="3D93071A" w:rsidR="00E63C98" w:rsidRDefault="000A4674" w:rsidP="00E63C98">
      <w:pPr>
        <w:pStyle w:val="ListBullet"/>
        <w:tabs>
          <w:tab w:val="clear" w:pos="360"/>
          <w:tab w:val="num" w:pos="1080"/>
        </w:tabs>
        <w:ind w:left="1080"/>
        <w:rPr>
          <w:lang w:eastAsia="en-AU"/>
        </w:rPr>
      </w:pPr>
      <w:r>
        <w:rPr>
          <w:lang w:eastAsia="en-AU"/>
        </w:rPr>
        <w:t>A small increase in the size of the patient population to account for the minimum age not being specified in the restriction</w:t>
      </w:r>
      <w:r w:rsidR="00E63C98">
        <w:rPr>
          <w:lang w:eastAsia="en-AU"/>
        </w:rPr>
        <w:t xml:space="preserve"> as described in paragraph </w:t>
      </w:r>
      <w:r w:rsidR="00E63C98">
        <w:rPr>
          <w:lang w:eastAsia="en-AU"/>
        </w:rPr>
        <w:fldChar w:fldCharType="begin"/>
      </w:r>
      <w:r w:rsidR="00E63C98">
        <w:rPr>
          <w:lang w:eastAsia="en-AU"/>
        </w:rPr>
        <w:instrText xml:space="preserve"> REF _Ref98158110 \r \h </w:instrText>
      </w:r>
      <w:r w:rsidR="00E63C98">
        <w:rPr>
          <w:lang w:eastAsia="en-AU"/>
        </w:rPr>
      </w:r>
      <w:r w:rsidR="00E63C98">
        <w:rPr>
          <w:lang w:eastAsia="en-AU"/>
        </w:rPr>
        <w:fldChar w:fldCharType="separate"/>
      </w:r>
      <w:r w:rsidR="00AA723C">
        <w:rPr>
          <w:lang w:eastAsia="en-AU"/>
        </w:rPr>
        <w:t>7.13</w:t>
      </w:r>
      <w:r w:rsidR="00E63C98">
        <w:rPr>
          <w:lang w:eastAsia="en-AU"/>
        </w:rPr>
        <w:fldChar w:fldCharType="end"/>
      </w:r>
      <w:r w:rsidR="008F018C">
        <w:rPr>
          <w:lang w:eastAsia="en-AU"/>
        </w:rPr>
        <w:t>.</w:t>
      </w:r>
    </w:p>
    <w:p w14:paraId="4A3F803F" w14:textId="0C02AE99" w:rsidR="00E63C98" w:rsidRPr="00E63C98" w:rsidRDefault="002D6E58" w:rsidP="00AC1846">
      <w:pPr>
        <w:pStyle w:val="ListBullet"/>
        <w:tabs>
          <w:tab w:val="clear" w:pos="360"/>
          <w:tab w:val="num" w:pos="1080"/>
        </w:tabs>
        <w:spacing w:after="120"/>
        <w:ind w:left="1077" w:hanging="357"/>
        <w:contextualSpacing w:val="0"/>
        <w:rPr>
          <w:lang w:eastAsia="en-AU"/>
        </w:rPr>
      </w:pPr>
      <w:r>
        <w:rPr>
          <w:iCs/>
        </w:rPr>
        <w:t>A</w:t>
      </w:r>
      <w:r w:rsidR="00E63C98">
        <w:rPr>
          <w:iCs/>
        </w:rPr>
        <w:t>llowance for sustained response as described in paragraph</w:t>
      </w:r>
      <w:r w:rsidR="00AC1846">
        <w:rPr>
          <w:iCs/>
        </w:rPr>
        <w:t xml:space="preserve"> </w:t>
      </w:r>
      <w:r w:rsidR="00AC1846">
        <w:rPr>
          <w:iCs/>
        </w:rPr>
        <w:fldChar w:fldCharType="begin"/>
      </w:r>
      <w:r w:rsidR="00AC1846">
        <w:rPr>
          <w:iCs/>
        </w:rPr>
        <w:instrText xml:space="preserve"> REF _Ref99012853 \r \h </w:instrText>
      </w:r>
      <w:r w:rsidR="00AC1846">
        <w:rPr>
          <w:iCs/>
        </w:rPr>
      </w:r>
      <w:r w:rsidR="00AC1846">
        <w:rPr>
          <w:iCs/>
        </w:rPr>
        <w:fldChar w:fldCharType="separate"/>
      </w:r>
      <w:r w:rsidR="00AA723C">
        <w:rPr>
          <w:iCs/>
        </w:rPr>
        <w:t>7.11</w:t>
      </w:r>
      <w:r w:rsidR="00AC1846">
        <w:rPr>
          <w:iCs/>
        </w:rPr>
        <w:fldChar w:fldCharType="end"/>
      </w:r>
      <w:r w:rsidR="008F018C">
        <w:rPr>
          <w:iCs/>
        </w:rPr>
        <w:t>.</w:t>
      </w:r>
    </w:p>
    <w:p w14:paraId="40D29DBB" w14:textId="5BAF0EE0" w:rsidR="008F018C" w:rsidRDefault="008F018C" w:rsidP="00FC3BB7">
      <w:pPr>
        <w:widowControl w:val="0"/>
        <w:numPr>
          <w:ilvl w:val="1"/>
          <w:numId w:val="1"/>
        </w:numPr>
        <w:spacing w:after="120"/>
      </w:pPr>
      <w:r w:rsidRPr="00B1054A">
        <w:t>The PBAC recommended that the grandfather listing be in operation for 12 months to transition patients commenced on non</w:t>
      </w:r>
      <w:r w:rsidRPr="00B1054A">
        <w:noBreakHyphen/>
        <w:t xml:space="preserve">PBS subsidised treatment to PBS subsidised supply, </w:t>
      </w:r>
      <w:r>
        <w:t>where these patients</w:t>
      </w:r>
      <w:r w:rsidRPr="00B1054A">
        <w:t xml:space="preserve"> would </w:t>
      </w:r>
      <w:r>
        <w:t xml:space="preserve">otherwise have met the </w:t>
      </w:r>
      <w:r w:rsidRPr="00B1054A">
        <w:t>initial treatment criteria</w:t>
      </w:r>
      <w:r w:rsidR="00151C09">
        <w:t xml:space="preserve"> based on EASI score</w:t>
      </w:r>
      <w:r w:rsidRPr="00B1054A">
        <w:t xml:space="preserve">. </w:t>
      </w:r>
    </w:p>
    <w:p w14:paraId="173805F5" w14:textId="399268FE" w:rsidR="00BF43F9" w:rsidRPr="00FC3BB7" w:rsidRDefault="00BF43F9" w:rsidP="00FC3BB7">
      <w:pPr>
        <w:widowControl w:val="0"/>
        <w:numPr>
          <w:ilvl w:val="1"/>
          <w:numId w:val="1"/>
        </w:numPr>
        <w:spacing w:after="120"/>
      </w:pPr>
      <w:r w:rsidRPr="00FC3BB7">
        <w:rPr>
          <w:rFonts w:cs="Arial"/>
          <w:snapToGrid w:val="0"/>
          <w:lang w:val="en-GB"/>
        </w:rPr>
        <w:t>The PBAC found that the criteria prescribed by the National Health (Pharmaceuticals and Vaccines – Cost Recovery) Regulations 2009 for Pricing Pathway A were no</w:t>
      </w:r>
      <w:r w:rsidR="00FC3BB7">
        <w:rPr>
          <w:rFonts w:cs="Arial"/>
          <w:snapToGrid w:val="0"/>
          <w:lang w:val="en-GB"/>
        </w:rPr>
        <w:t>t</w:t>
      </w:r>
      <w:r w:rsidRPr="00FC3BB7">
        <w:rPr>
          <w:rFonts w:cs="Arial"/>
          <w:snapToGrid w:val="0"/>
          <w:lang w:val="en-GB"/>
        </w:rPr>
        <w:t xml:space="preserve"> met. </w:t>
      </w:r>
      <w:proofErr w:type="gramStart"/>
      <w:r w:rsidRPr="00FC3BB7">
        <w:rPr>
          <w:rFonts w:cs="Arial"/>
          <w:snapToGrid w:val="0"/>
          <w:lang w:val="en-GB"/>
        </w:rPr>
        <w:t>Specifically</w:t>
      </w:r>
      <w:proofErr w:type="gramEnd"/>
      <w:r w:rsidRPr="00FC3BB7">
        <w:rPr>
          <w:rFonts w:cs="Arial"/>
          <w:snapToGrid w:val="0"/>
          <w:lang w:val="en-GB"/>
        </w:rPr>
        <w:t xml:space="preserve"> the PBAC found that in the circumstances of its recommendation</w:t>
      </w:r>
      <w:r w:rsidRPr="00FC3BB7">
        <w:rPr>
          <w:rFonts w:cstheme="minorHAnsi"/>
          <w:lang w:val="en-GB"/>
        </w:rPr>
        <w:t xml:space="preserve"> for </w:t>
      </w:r>
      <w:r w:rsidR="00FC3BB7">
        <w:rPr>
          <w:rFonts w:cstheme="minorHAnsi"/>
          <w:lang w:val="en-GB"/>
        </w:rPr>
        <w:t>dupilumab</w:t>
      </w:r>
      <w:r w:rsidRPr="00FC3BB7">
        <w:rPr>
          <w:rFonts w:cstheme="minorHAnsi"/>
          <w:lang w:val="en-GB"/>
        </w:rPr>
        <w:t>:</w:t>
      </w:r>
    </w:p>
    <w:p w14:paraId="5B493EC6" w14:textId="448C72F9" w:rsidR="00BF43F9" w:rsidRPr="00763DFB" w:rsidRDefault="00BF43F9" w:rsidP="00BF43F9">
      <w:pPr>
        <w:widowControl w:val="0"/>
        <w:numPr>
          <w:ilvl w:val="1"/>
          <w:numId w:val="33"/>
        </w:numPr>
        <w:spacing w:after="120"/>
        <w:rPr>
          <w:rFonts w:cstheme="minorHAnsi"/>
          <w:lang w:val="en-GB"/>
        </w:rPr>
      </w:pPr>
      <w:r w:rsidRPr="00763DFB">
        <w:rPr>
          <w:rFonts w:cstheme="minorHAnsi"/>
          <w:lang w:val="en-GB"/>
        </w:rPr>
        <w:t>The treatment is expected to provide a substantial and clinically relevant improvement in efficacy</w:t>
      </w:r>
      <w:r w:rsidR="00FC3BB7">
        <w:rPr>
          <w:rFonts w:cstheme="minorHAnsi"/>
          <w:lang w:val="en-GB"/>
        </w:rPr>
        <w:t xml:space="preserve"> over </w:t>
      </w:r>
      <w:proofErr w:type="gramStart"/>
      <w:r w:rsidR="00FC3BB7">
        <w:rPr>
          <w:rFonts w:cstheme="minorHAnsi"/>
          <w:lang w:val="en-GB"/>
        </w:rPr>
        <w:t>SoC</w:t>
      </w:r>
      <w:r w:rsidRPr="00763DFB">
        <w:rPr>
          <w:rFonts w:cstheme="minorHAnsi"/>
          <w:lang w:val="en-GB"/>
        </w:rPr>
        <w:t>;</w:t>
      </w:r>
      <w:proofErr w:type="gramEnd"/>
      <w:r w:rsidRPr="00763DFB">
        <w:rPr>
          <w:rFonts w:cstheme="minorHAnsi"/>
          <w:lang w:val="en-GB"/>
        </w:rPr>
        <w:t xml:space="preserve"> </w:t>
      </w:r>
    </w:p>
    <w:p w14:paraId="23FA29AB" w14:textId="2E0D11CB" w:rsidR="00BF43F9" w:rsidRPr="00763DFB" w:rsidRDefault="00BF43F9" w:rsidP="00BF43F9">
      <w:pPr>
        <w:widowControl w:val="0"/>
        <w:numPr>
          <w:ilvl w:val="1"/>
          <w:numId w:val="33"/>
        </w:numPr>
        <w:spacing w:after="120"/>
        <w:rPr>
          <w:rFonts w:cstheme="minorHAnsi"/>
          <w:lang w:val="en-GB"/>
        </w:rPr>
      </w:pPr>
      <w:r w:rsidRPr="00763DFB">
        <w:rPr>
          <w:rFonts w:cstheme="minorHAnsi"/>
          <w:lang w:val="en-GB"/>
        </w:rPr>
        <w:t>The treatment is expected to address a high and urgent unmet clinical need</w:t>
      </w:r>
      <w:r w:rsidR="00FC3BB7">
        <w:rPr>
          <w:rFonts w:cstheme="minorHAnsi"/>
          <w:lang w:val="en-GB"/>
        </w:rPr>
        <w:t>, however alternative treatme</w:t>
      </w:r>
      <w:r w:rsidR="003E76CC">
        <w:rPr>
          <w:rFonts w:cstheme="minorHAnsi"/>
          <w:lang w:val="en-GB"/>
        </w:rPr>
        <w:t>nts are available and therefore this criterion is not met; and</w:t>
      </w:r>
    </w:p>
    <w:p w14:paraId="7A1A2D0E" w14:textId="3D91ECD1" w:rsidR="00BF43F9" w:rsidRPr="003E76CC" w:rsidRDefault="00BF43F9" w:rsidP="003E76CC">
      <w:pPr>
        <w:widowControl w:val="0"/>
        <w:numPr>
          <w:ilvl w:val="1"/>
          <w:numId w:val="33"/>
        </w:numPr>
        <w:spacing w:after="120"/>
        <w:rPr>
          <w:rFonts w:cstheme="minorHAnsi"/>
          <w:u w:val="single"/>
          <w:lang w:val="en-GB"/>
        </w:rPr>
      </w:pPr>
      <w:r w:rsidRPr="00763DFB">
        <w:rPr>
          <w:rFonts w:cstheme="minorHAnsi"/>
          <w:lang w:val="en-GB"/>
        </w:rPr>
        <w:t>It was not necessary to make a finding in relation to whether it would be in the public interest for the subsequent pricing application to be progressed under Pricing Pathway A because one or more of the preceding tests had failed</w:t>
      </w:r>
      <w:r w:rsidR="003E76CC">
        <w:rPr>
          <w:rFonts w:cstheme="minorHAnsi"/>
          <w:lang w:val="en-GB"/>
        </w:rPr>
        <w:t>.</w:t>
      </w:r>
      <w:r w:rsidRPr="00763DFB">
        <w:rPr>
          <w:rFonts w:cstheme="minorHAnsi"/>
          <w:lang w:val="en-GB"/>
        </w:rPr>
        <w:t xml:space="preserve"> </w:t>
      </w:r>
    </w:p>
    <w:p w14:paraId="589A4A56" w14:textId="086B9005" w:rsidR="00BF43F9" w:rsidRDefault="00BF43F9" w:rsidP="009A440B">
      <w:pPr>
        <w:widowControl w:val="0"/>
        <w:numPr>
          <w:ilvl w:val="1"/>
          <w:numId w:val="1"/>
        </w:numPr>
        <w:spacing w:after="120"/>
        <w:rPr>
          <w:rFonts w:cs="Arial"/>
          <w:bCs/>
          <w:i/>
          <w:snapToGrid w:val="0"/>
          <w:lang w:val="en-GB"/>
        </w:rPr>
      </w:pPr>
      <w:r w:rsidRPr="00525B39">
        <w:rPr>
          <w:rFonts w:cs="Arial"/>
          <w:bCs/>
          <w:snapToGrid w:val="0"/>
          <w:lang w:val="en-GB"/>
        </w:rPr>
        <w:t>The PBAC noted that this submission is not eligible for an Independent Review</w:t>
      </w:r>
      <w:r w:rsidR="009A440B">
        <w:rPr>
          <w:rFonts w:cs="Arial"/>
          <w:bCs/>
          <w:snapToGrid w:val="0"/>
          <w:lang w:val="en-GB"/>
        </w:rPr>
        <w:t xml:space="preserve"> as it is a positive recommendation</w:t>
      </w:r>
      <w:r w:rsidRPr="00525B39">
        <w:rPr>
          <w:rFonts w:cs="Arial"/>
          <w:bCs/>
          <w:snapToGrid w:val="0"/>
          <w:lang w:val="en-GB"/>
        </w:rPr>
        <w:t xml:space="preserve">. </w:t>
      </w:r>
    </w:p>
    <w:p w14:paraId="7987D45C" w14:textId="77777777" w:rsidR="00BF43F9" w:rsidRPr="00525B39" w:rsidRDefault="00BF43F9" w:rsidP="00BF43F9">
      <w:pPr>
        <w:spacing w:before="240"/>
        <w:rPr>
          <w:rFonts w:cs="Arial"/>
          <w:b/>
          <w:bCs/>
          <w:snapToGrid w:val="0"/>
          <w:lang w:val="en-GB"/>
        </w:rPr>
      </w:pPr>
      <w:r w:rsidRPr="00525B39">
        <w:rPr>
          <w:rFonts w:cs="Arial"/>
          <w:b/>
          <w:bCs/>
          <w:snapToGrid w:val="0"/>
          <w:lang w:val="en-GB"/>
        </w:rPr>
        <w:t>Outcome:</w:t>
      </w:r>
    </w:p>
    <w:p w14:paraId="6AEAC3CE" w14:textId="65047814" w:rsidR="00BF43F9" w:rsidRPr="00525B39" w:rsidRDefault="00BF43F9" w:rsidP="00BF43F9">
      <w:pPr>
        <w:rPr>
          <w:rFonts w:cs="Arial"/>
          <w:bCs/>
          <w:snapToGrid w:val="0"/>
          <w:lang w:val="en-GB"/>
        </w:rPr>
      </w:pPr>
      <w:r w:rsidRPr="00525B39">
        <w:rPr>
          <w:rFonts w:cs="Arial"/>
          <w:bCs/>
          <w:snapToGrid w:val="0"/>
          <w:lang w:val="en-GB"/>
        </w:rPr>
        <w:t>Recommended</w:t>
      </w:r>
    </w:p>
    <w:p w14:paraId="7BB6AC5F" w14:textId="77777777" w:rsidR="009A440B" w:rsidRPr="00525B39" w:rsidRDefault="009A440B" w:rsidP="00BF43F9">
      <w:pPr>
        <w:widowControl w:val="0"/>
        <w:rPr>
          <w:rFonts w:cs="Arial"/>
          <w:b/>
          <w:bCs/>
          <w:snapToGrid w:val="0"/>
        </w:rPr>
      </w:pPr>
    </w:p>
    <w:bookmarkEnd w:id="48"/>
    <w:p w14:paraId="55A2C54E" w14:textId="77777777" w:rsidR="00BF43F9" w:rsidRPr="00F237A4" w:rsidRDefault="00BF43F9" w:rsidP="005871F7">
      <w:pPr>
        <w:pStyle w:val="2-SectionHeading"/>
        <w:numPr>
          <w:ilvl w:val="0"/>
          <w:numId w:val="1"/>
        </w:numPr>
        <w:outlineLvl w:val="1"/>
        <w:rPr>
          <w:b w:val="0"/>
          <w:bCs/>
          <w:iCs/>
          <w:lang w:val="en-GB"/>
        </w:rPr>
      </w:pPr>
      <w:r w:rsidRPr="00525B39">
        <w:rPr>
          <w:bCs/>
          <w:lang w:val="en-GB"/>
        </w:rPr>
        <w:lastRenderedPageBreak/>
        <w:t>Recommended listing</w:t>
      </w:r>
    </w:p>
    <w:bookmarkEnd w:id="49"/>
    <w:p w14:paraId="4147B1E3" w14:textId="1D850081" w:rsidR="00C3721C" w:rsidRDefault="00C3721C" w:rsidP="005871F7">
      <w:pPr>
        <w:pStyle w:val="3Bodytext"/>
        <w:keepNext/>
      </w:pPr>
      <w:r w:rsidRPr="00C83335">
        <w:t xml:space="preserve">Amend existing </w:t>
      </w:r>
      <w:r>
        <w:t xml:space="preserve">dupilumab ‘Chronic severe atopic dermatitis’ </w:t>
      </w:r>
      <w:r w:rsidRPr="00C83335">
        <w:t>listing</w:t>
      </w:r>
      <w:r>
        <w:t>s as follows to:</w:t>
      </w:r>
    </w:p>
    <w:p w14:paraId="6F8FD519" w14:textId="77777777" w:rsidR="00C3721C" w:rsidRDefault="00C3721C" w:rsidP="005871F7">
      <w:pPr>
        <w:pStyle w:val="3Bodytext"/>
        <w:keepNext/>
        <w:numPr>
          <w:ilvl w:val="5"/>
          <w:numId w:val="33"/>
        </w:numPr>
        <w:ind w:left="426"/>
      </w:pPr>
      <w:r>
        <w:t>include patients under the age of 12 years – applicable to both strengths; and</w:t>
      </w:r>
    </w:p>
    <w:p w14:paraId="03A4A7A8" w14:textId="77777777" w:rsidR="00C3721C" w:rsidRDefault="00C3721C" w:rsidP="00C3721C">
      <w:pPr>
        <w:pStyle w:val="3Bodytext"/>
        <w:numPr>
          <w:ilvl w:val="5"/>
          <w:numId w:val="33"/>
        </w:numPr>
        <w:ind w:left="426"/>
      </w:pPr>
      <w:r>
        <w:t xml:space="preserve">provide prescriber directions to seek a lower number of repeat prescriptions in a patient no higher than 30 kg in weight – applicable to the 300 mg strength </w:t>
      </w:r>
      <w:proofErr w:type="gramStart"/>
      <w:r>
        <w:t>only;</w:t>
      </w:r>
      <w:proofErr w:type="gramEnd"/>
      <w:r>
        <w:t xml:space="preserve"> and</w:t>
      </w:r>
    </w:p>
    <w:p w14:paraId="43787977" w14:textId="039284BF" w:rsidR="00C3721C" w:rsidRPr="00C3721C" w:rsidRDefault="00C3721C" w:rsidP="00C3721C">
      <w:pPr>
        <w:pStyle w:val="3Bodytext"/>
        <w:numPr>
          <w:ilvl w:val="5"/>
          <w:numId w:val="33"/>
        </w:numPr>
        <w:ind w:left="426"/>
      </w:pPr>
      <w:r>
        <w:t>amend the ‘grandfather’ listings to remove the current patient population, but to replace it with those who have initiated dupilumab treatment as a child (less than 12 years) prior to the implementation date of this recommendation</w:t>
      </w:r>
      <w:r w:rsidRPr="00C83335">
        <w:t xml:space="preserve"> </w:t>
      </w:r>
    </w:p>
    <w:p w14:paraId="0F9C35B2" w14:textId="77777777" w:rsidR="00C3721C" w:rsidRPr="008F018C" w:rsidRDefault="00C3721C" w:rsidP="00C3721C">
      <w:pPr>
        <w:pStyle w:val="3Bodytext"/>
        <w:rPr>
          <w:b/>
          <w:snapToGrid w:val="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
        <w:gridCol w:w="992"/>
        <w:gridCol w:w="2856"/>
        <w:gridCol w:w="1134"/>
        <w:gridCol w:w="851"/>
        <w:gridCol w:w="992"/>
        <w:gridCol w:w="709"/>
        <w:gridCol w:w="1538"/>
      </w:tblGrid>
      <w:tr w:rsidR="00C3721C" w:rsidRPr="005D5FCD" w14:paraId="11AE3A39" w14:textId="77777777" w:rsidTr="00816736">
        <w:trPr>
          <w:cantSplit/>
          <w:trHeight w:val="471"/>
        </w:trPr>
        <w:tc>
          <w:tcPr>
            <w:tcW w:w="4127" w:type="dxa"/>
            <w:gridSpan w:val="3"/>
          </w:tcPr>
          <w:p w14:paraId="327A7679" w14:textId="77777777" w:rsidR="00C3721C" w:rsidRPr="005D5FCD" w:rsidRDefault="00C3721C" w:rsidP="00816736">
            <w:pPr>
              <w:widowControl w:val="0"/>
              <w:ind w:left="-57"/>
              <w:rPr>
                <w:rFonts w:ascii="Arial Narrow" w:hAnsi="Arial Narrow" w:cs="Arial"/>
                <w:b/>
                <w:bCs/>
                <w:sz w:val="18"/>
                <w:szCs w:val="18"/>
              </w:rPr>
            </w:pPr>
            <w:bookmarkStart w:id="54" w:name="_Hlk99100090"/>
            <w:r w:rsidRPr="005D5FCD">
              <w:rPr>
                <w:rFonts w:ascii="Arial Narrow" w:hAnsi="Arial Narrow" w:cs="Arial"/>
                <w:b/>
                <w:bCs/>
                <w:sz w:val="18"/>
                <w:szCs w:val="18"/>
              </w:rPr>
              <w:t>MEDICINAL PRODUCT</w:t>
            </w:r>
          </w:p>
          <w:p w14:paraId="1F1FDE98" w14:textId="77777777" w:rsidR="00C3721C" w:rsidRPr="005D5FCD" w:rsidRDefault="00C3721C" w:rsidP="00816736">
            <w:pPr>
              <w:widowControl w:val="0"/>
              <w:ind w:left="-57"/>
              <w:rPr>
                <w:rFonts w:ascii="Arial Narrow" w:hAnsi="Arial Narrow" w:cs="Arial"/>
                <w:b/>
                <w:sz w:val="18"/>
                <w:szCs w:val="18"/>
              </w:rPr>
            </w:pPr>
            <w:r w:rsidRPr="005D5FCD">
              <w:rPr>
                <w:rFonts w:ascii="Arial Narrow" w:hAnsi="Arial Narrow" w:cs="Arial"/>
                <w:b/>
                <w:bCs/>
                <w:sz w:val="18"/>
                <w:szCs w:val="18"/>
              </w:rPr>
              <w:t>medicinal product pack</w:t>
            </w:r>
          </w:p>
        </w:tc>
        <w:tc>
          <w:tcPr>
            <w:tcW w:w="1134" w:type="dxa"/>
          </w:tcPr>
          <w:p w14:paraId="24AB3082" w14:textId="77777777" w:rsidR="00C3721C" w:rsidRPr="005D5FCD" w:rsidRDefault="00C3721C" w:rsidP="00816736">
            <w:pPr>
              <w:widowControl w:val="0"/>
              <w:ind w:left="-108"/>
              <w:jc w:val="center"/>
              <w:rPr>
                <w:rFonts w:ascii="Arial Narrow" w:hAnsi="Arial Narrow" w:cs="Arial"/>
                <w:b/>
                <w:sz w:val="18"/>
                <w:szCs w:val="18"/>
              </w:rPr>
            </w:pPr>
            <w:r w:rsidRPr="005D5FCD">
              <w:rPr>
                <w:rFonts w:ascii="Arial Narrow" w:hAnsi="Arial Narrow" w:cs="Arial"/>
                <w:b/>
                <w:sz w:val="18"/>
                <w:szCs w:val="18"/>
              </w:rPr>
              <w:t>PBS item code</w:t>
            </w:r>
          </w:p>
        </w:tc>
        <w:tc>
          <w:tcPr>
            <w:tcW w:w="851" w:type="dxa"/>
          </w:tcPr>
          <w:p w14:paraId="5670A30C" w14:textId="77777777" w:rsidR="00C3721C" w:rsidRPr="005D5FCD" w:rsidRDefault="00C3721C" w:rsidP="00816736">
            <w:pPr>
              <w:widowControl w:val="0"/>
              <w:ind w:left="-108"/>
              <w:jc w:val="center"/>
              <w:rPr>
                <w:rFonts w:ascii="Arial Narrow" w:hAnsi="Arial Narrow" w:cs="Arial"/>
                <w:b/>
                <w:sz w:val="18"/>
                <w:szCs w:val="18"/>
              </w:rPr>
            </w:pPr>
            <w:r w:rsidRPr="005D5FCD">
              <w:rPr>
                <w:rFonts w:ascii="Arial Narrow" w:hAnsi="Arial Narrow" w:cs="Arial"/>
                <w:b/>
                <w:sz w:val="18"/>
                <w:szCs w:val="18"/>
              </w:rPr>
              <w:t>Max. qty packs</w:t>
            </w:r>
          </w:p>
        </w:tc>
        <w:tc>
          <w:tcPr>
            <w:tcW w:w="992" w:type="dxa"/>
          </w:tcPr>
          <w:p w14:paraId="3A2BE990" w14:textId="77777777" w:rsidR="00C3721C" w:rsidRPr="005D5FCD" w:rsidRDefault="00C3721C" w:rsidP="00816736">
            <w:pPr>
              <w:widowControl w:val="0"/>
              <w:ind w:left="-108"/>
              <w:jc w:val="center"/>
              <w:rPr>
                <w:rFonts w:ascii="Arial Narrow" w:hAnsi="Arial Narrow" w:cs="Arial"/>
                <w:b/>
                <w:sz w:val="18"/>
                <w:szCs w:val="18"/>
              </w:rPr>
            </w:pPr>
            <w:r w:rsidRPr="005D5FCD">
              <w:rPr>
                <w:rFonts w:ascii="Arial Narrow" w:hAnsi="Arial Narrow" w:cs="Arial"/>
                <w:b/>
                <w:sz w:val="18"/>
                <w:szCs w:val="18"/>
              </w:rPr>
              <w:t>Max. qty units</w:t>
            </w:r>
          </w:p>
        </w:tc>
        <w:tc>
          <w:tcPr>
            <w:tcW w:w="709" w:type="dxa"/>
          </w:tcPr>
          <w:p w14:paraId="41AC09DC" w14:textId="77777777" w:rsidR="00C3721C" w:rsidRPr="005D5FCD" w:rsidRDefault="00C3721C" w:rsidP="00816736">
            <w:pPr>
              <w:widowControl w:val="0"/>
              <w:ind w:left="-108"/>
              <w:jc w:val="center"/>
              <w:rPr>
                <w:rFonts w:ascii="Arial Narrow" w:hAnsi="Arial Narrow" w:cs="Arial"/>
                <w:b/>
                <w:sz w:val="18"/>
                <w:szCs w:val="18"/>
              </w:rPr>
            </w:pPr>
            <w:proofErr w:type="gramStart"/>
            <w:r w:rsidRPr="005D5FCD">
              <w:rPr>
                <w:rFonts w:ascii="Arial Narrow" w:hAnsi="Arial Narrow" w:cs="Arial"/>
                <w:b/>
                <w:sz w:val="18"/>
                <w:szCs w:val="18"/>
              </w:rPr>
              <w:t>№.of</w:t>
            </w:r>
            <w:proofErr w:type="gramEnd"/>
          </w:p>
          <w:p w14:paraId="000320E1" w14:textId="77777777" w:rsidR="00C3721C" w:rsidRPr="005D5FCD" w:rsidRDefault="00C3721C" w:rsidP="00816736">
            <w:pPr>
              <w:widowControl w:val="0"/>
              <w:ind w:left="-108"/>
              <w:jc w:val="center"/>
              <w:rPr>
                <w:rFonts w:ascii="Arial Narrow" w:hAnsi="Arial Narrow" w:cs="Arial"/>
                <w:b/>
                <w:sz w:val="18"/>
                <w:szCs w:val="18"/>
              </w:rPr>
            </w:pPr>
            <w:proofErr w:type="spellStart"/>
            <w:r w:rsidRPr="005D5FCD">
              <w:rPr>
                <w:rFonts w:ascii="Arial Narrow" w:hAnsi="Arial Narrow" w:cs="Arial"/>
                <w:b/>
                <w:sz w:val="18"/>
                <w:szCs w:val="18"/>
              </w:rPr>
              <w:t>Rpts</w:t>
            </w:r>
            <w:proofErr w:type="spellEnd"/>
          </w:p>
        </w:tc>
        <w:tc>
          <w:tcPr>
            <w:tcW w:w="1538" w:type="dxa"/>
          </w:tcPr>
          <w:p w14:paraId="1311170E" w14:textId="77777777" w:rsidR="00C3721C" w:rsidRPr="005D5FCD" w:rsidRDefault="00C3721C" w:rsidP="00816736">
            <w:pPr>
              <w:widowControl w:val="0"/>
              <w:rPr>
                <w:rFonts w:ascii="Arial Narrow" w:hAnsi="Arial Narrow" w:cs="Arial"/>
                <w:b/>
                <w:sz w:val="18"/>
                <w:szCs w:val="18"/>
              </w:rPr>
            </w:pPr>
            <w:r w:rsidRPr="005D5FCD">
              <w:rPr>
                <w:rFonts w:ascii="Arial Narrow" w:hAnsi="Arial Narrow" w:cs="Arial"/>
                <w:b/>
                <w:sz w:val="18"/>
                <w:szCs w:val="18"/>
              </w:rPr>
              <w:t>Available brands</w:t>
            </w:r>
          </w:p>
        </w:tc>
      </w:tr>
      <w:tr w:rsidR="00C3721C" w:rsidRPr="005D5FCD" w14:paraId="63C643D9" w14:textId="77777777" w:rsidTr="00816736">
        <w:trPr>
          <w:cantSplit/>
          <w:trHeight w:val="224"/>
        </w:trPr>
        <w:tc>
          <w:tcPr>
            <w:tcW w:w="9351" w:type="dxa"/>
            <w:gridSpan w:val="8"/>
          </w:tcPr>
          <w:p w14:paraId="63FC5E9B" w14:textId="77777777" w:rsidR="00C3721C" w:rsidRPr="005D5FCD" w:rsidRDefault="00C3721C" w:rsidP="00816736">
            <w:pPr>
              <w:widowControl w:val="0"/>
              <w:ind w:left="-57"/>
              <w:rPr>
                <w:rFonts w:ascii="Arial Narrow" w:hAnsi="Arial Narrow" w:cs="Arial"/>
                <w:sz w:val="18"/>
                <w:szCs w:val="18"/>
              </w:rPr>
            </w:pPr>
            <w:r w:rsidRPr="005D5FCD">
              <w:rPr>
                <w:rFonts w:ascii="Arial Narrow" w:hAnsi="Arial Narrow" w:cs="Arial"/>
                <w:sz w:val="18"/>
                <w:szCs w:val="18"/>
              </w:rPr>
              <w:t xml:space="preserve">DUPILUMAB  </w:t>
            </w:r>
          </w:p>
        </w:tc>
      </w:tr>
      <w:tr w:rsidR="00C3721C" w:rsidRPr="005D5FCD" w14:paraId="42637008" w14:textId="77777777" w:rsidTr="00816736">
        <w:trPr>
          <w:cantSplit/>
          <w:trHeight w:val="279"/>
        </w:trPr>
        <w:tc>
          <w:tcPr>
            <w:tcW w:w="4127" w:type="dxa"/>
            <w:gridSpan w:val="3"/>
          </w:tcPr>
          <w:p w14:paraId="4825D4C4" w14:textId="77777777" w:rsidR="00C3721C" w:rsidRPr="005D5FCD" w:rsidRDefault="00C3721C" w:rsidP="00816736">
            <w:pPr>
              <w:widowControl w:val="0"/>
              <w:ind w:left="-57"/>
              <w:rPr>
                <w:rFonts w:ascii="Arial Narrow" w:hAnsi="Arial Narrow" w:cs="Arial"/>
                <w:sz w:val="18"/>
                <w:szCs w:val="18"/>
              </w:rPr>
            </w:pPr>
            <w:r w:rsidRPr="005D5FCD">
              <w:rPr>
                <w:rFonts w:ascii="Arial Narrow" w:hAnsi="Arial Narrow" w:cs="Arial"/>
                <w:sz w:val="18"/>
                <w:szCs w:val="18"/>
              </w:rPr>
              <w:t>dupilumab 300 mg/2 mL injection, 2 x 2 mL syringes</w:t>
            </w:r>
          </w:p>
        </w:tc>
        <w:tc>
          <w:tcPr>
            <w:tcW w:w="1134" w:type="dxa"/>
          </w:tcPr>
          <w:p w14:paraId="6E60437C" w14:textId="77777777" w:rsidR="00C3721C" w:rsidRPr="005D5FCD" w:rsidRDefault="00C3721C" w:rsidP="00816736">
            <w:pPr>
              <w:widowControl w:val="0"/>
              <w:jc w:val="center"/>
              <w:rPr>
                <w:rFonts w:ascii="Arial Narrow" w:hAnsi="Arial Narrow" w:cs="Arial"/>
                <w:sz w:val="18"/>
                <w:szCs w:val="18"/>
              </w:rPr>
            </w:pPr>
            <w:r w:rsidRPr="005D5FCD">
              <w:rPr>
                <w:rFonts w:ascii="Arial Narrow" w:hAnsi="Arial Narrow" w:cs="Arial"/>
                <w:sz w:val="18"/>
                <w:szCs w:val="18"/>
              </w:rPr>
              <w:t>12292Y</w:t>
            </w:r>
          </w:p>
        </w:tc>
        <w:tc>
          <w:tcPr>
            <w:tcW w:w="851" w:type="dxa"/>
          </w:tcPr>
          <w:p w14:paraId="7E09D58B" w14:textId="77777777" w:rsidR="00C3721C" w:rsidRPr="005D5FCD" w:rsidRDefault="00C3721C" w:rsidP="00816736">
            <w:pPr>
              <w:widowControl w:val="0"/>
              <w:jc w:val="center"/>
              <w:rPr>
                <w:rFonts w:ascii="Arial Narrow" w:hAnsi="Arial Narrow" w:cs="Arial"/>
                <w:sz w:val="18"/>
                <w:szCs w:val="18"/>
              </w:rPr>
            </w:pPr>
            <w:r w:rsidRPr="005D5FCD">
              <w:rPr>
                <w:rFonts w:ascii="Arial Narrow" w:hAnsi="Arial Narrow" w:cs="Arial"/>
                <w:sz w:val="18"/>
                <w:szCs w:val="18"/>
              </w:rPr>
              <w:t>1</w:t>
            </w:r>
          </w:p>
        </w:tc>
        <w:tc>
          <w:tcPr>
            <w:tcW w:w="992" w:type="dxa"/>
          </w:tcPr>
          <w:p w14:paraId="5A522C1B" w14:textId="77777777" w:rsidR="00C3721C" w:rsidRPr="005D5FCD" w:rsidRDefault="00C3721C" w:rsidP="00816736">
            <w:pPr>
              <w:widowControl w:val="0"/>
              <w:jc w:val="center"/>
              <w:rPr>
                <w:rFonts w:ascii="Arial Narrow" w:hAnsi="Arial Narrow" w:cs="Arial"/>
                <w:sz w:val="18"/>
                <w:szCs w:val="18"/>
              </w:rPr>
            </w:pPr>
            <w:r w:rsidRPr="005D5FCD">
              <w:rPr>
                <w:rFonts w:ascii="Arial Narrow" w:hAnsi="Arial Narrow" w:cs="Arial"/>
                <w:sz w:val="18"/>
                <w:szCs w:val="18"/>
              </w:rPr>
              <w:t>2</w:t>
            </w:r>
          </w:p>
        </w:tc>
        <w:tc>
          <w:tcPr>
            <w:tcW w:w="709" w:type="dxa"/>
          </w:tcPr>
          <w:p w14:paraId="1D72F655" w14:textId="77777777" w:rsidR="00C3721C" w:rsidRPr="005D5FCD" w:rsidRDefault="00C3721C" w:rsidP="00816736">
            <w:pPr>
              <w:widowControl w:val="0"/>
              <w:jc w:val="center"/>
              <w:rPr>
                <w:rFonts w:ascii="Arial Narrow" w:hAnsi="Arial Narrow" w:cs="Arial"/>
                <w:sz w:val="18"/>
                <w:szCs w:val="18"/>
              </w:rPr>
            </w:pPr>
            <w:r w:rsidRPr="005D5FCD">
              <w:rPr>
                <w:rFonts w:ascii="Arial Narrow" w:hAnsi="Arial Narrow" w:cs="Arial"/>
                <w:sz w:val="18"/>
                <w:szCs w:val="18"/>
              </w:rPr>
              <w:t>5</w:t>
            </w:r>
          </w:p>
        </w:tc>
        <w:tc>
          <w:tcPr>
            <w:tcW w:w="1538" w:type="dxa"/>
          </w:tcPr>
          <w:p w14:paraId="5E60CB48" w14:textId="77777777" w:rsidR="00C3721C" w:rsidRPr="005D5FCD" w:rsidRDefault="00C3721C" w:rsidP="00816736">
            <w:pPr>
              <w:widowControl w:val="0"/>
              <w:rPr>
                <w:rFonts w:ascii="Arial Narrow" w:hAnsi="Arial Narrow" w:cs="Arial"/>
                <w:sz w:val="18"/>
                <w:szCs w:val="18"/>
              </w:rPr>
            </w:pPr>
            <w:r w:rsidRPr="005D5FCD">
              <w:rPr>
                <w:rFonts w:ascii="Arial Narrow" w:hAnsi="Arial Narrow" w:cs="Arial"/>
                <w:sz w:val="18"/>
                <w:szCs w:val="18"/>
              </w:rPr>
              <w:t xml:space="preserve">Dupixent </w:t>
            </w:r>
          </w:p>
        </w:tc>
      </w:tr>
      <w:tr w:rsidR="00C3721C" w:rsidRPr="005D5FCD" w14:paraId="21108311" w14:textId="77777777" w:rsidTr="00816736">
        <w:tblPrEx>
          <w:tblCellMar>
            <w:top w:w="15" w:type="dxa"/>
            <w:left w:w="15" w:type="dxa"/>
            <w:bottom w:w="15" w:type="dxa"/>
            <w:right w:w="15" w:type="dxa"/>
          </w:tblCellMar>
          <w:tblLook w:val="04A0" w:firstRow="1" w:lastRow="0" w:firstColumn="1" w:lastColumn="0" w:noHBand="0" w:noVBand="1"/>
        </w:tblPrEx>
        <w:tc>
          <w:tcPr>
            <w:tcW w:w="9351" w:type="dxa"/>
            <w:gridSpan w:val="8"/>
            <w:tcBorders>
              <w:top w:val="single" w:sz="4" w:space="0" w:color="auto"/>
              <w:left w:val="single" w:sz="4" w:space="0" w:color="auto"/>
              <w:right w:val="single" w:sz="4" w:space="0" w:color="auto"/>
            </w:tcBorders>
          </w:tcPr>
          <w:p w14:paraId="7BCDCBCD" w14:textId="77777777" w:rsidR="00C3721C" w:rsidRPr="005D5FCD" w:rsidRDefault="00C3721C" w:rsidP="00816736">
            <w:pPr>
              <w:widowControl w:val="0"/>
              <w:rPr>
                <w:rFonts w:ascii="Arial Narrow" w:hAnsi="Arial Narrow" w:cs="Arial"/>
                <w:sz w:val="18"/>
                <w:szCs w:val="18"/>
              </w:rPr>
            </w:pPr>
          </w:p>
        </w:tc>
      </w:tr>
      <w:tr w:rsidR="00C3721C" w:rsidRPr="005D5FCD" w14:paraId="1901FBF6" w14:textId="77777777" w:rsidTr="00816736">
        <w:tblPrEx>
          <w:tblCellMar>
            <w:top w:w="15" w:type="dxa"/>
            <w:left w:w="15" w:type="dxa"/>
            <w:bottom w:w="15" w:type="dxa"/>
            <w:right w:w="15" w:type="dxa"/>
          </w:tblCellMar>
          <w:tblLook w:val="04A0" w:firstRow="1" w:lastRow="0" w:firstColumn="1" w:lastColumn="0" w:noHBand="0" w:noVBand="1"/>
        </w:tblPrEx>
        <w:tc>
          <w:tcPr>
            <w:tcW w:w="9351" w:type="dxa"/>
            <w:gridSpan w:val="8"/>
            <w:tcBorders>
              <w:top w:val="single" w:sz="4" w:space="0" w:color="auto"/>
              <w:left w:val="single" w:sz="4" w:space="0" w:color="auto"/>
              <w:right w:val="single" w:sz="4" w:space="0" w:color="auto"/>
            </w:tcBorders>
          </w:tcPr>
          <w:p w14:paraId="1180E5F1" w14:textId="77777777" w:rsidR="00C3721C" w:rsidRPr="005D5FCD" w:rsidRDefault="00C3721C" w:rsidP="00816736">
            <w:pPr>
              <w:widowControl w:val="0"/>
              <w:rPr>
                <w:rFonts w:ascii="Arial Narrow" w:hAnsi="Arial Narrow" w:cs="Arial"/>
                <w:b/>
                <w:sz w:val="18"/>
                <w:szCs w:val="18"/>
              </w:rPr>
            </w:pPr>
            <w:r w:rsidRPr="005D5FCD">
              <w:rPr>
                <w:rFonts w:ascii="Arial Narrow" w:hAnsi="Arial Narrow"/>
                <w:b/>
                <w:sz w:val="18"/>
                <w:szCs w:val="18"/>
              </w:rPr>
              <w:t>Restriction Summary 12498 / Treatment of Concept: 12497</w:t>
            </w:r>
          </w:p>
        </w:tc>
      </w:tr>
      <w:tr w:rsidR="00C3721C" w:rsidRPr="005D5FCD" w14:paraId="2D44A287" w14:textId="77777777" w:rsidTr="00816736">
        <w:tblPrEx>
          <w:tblCellMar>
            <w:top w:w="15" w:type="dxa"/>
            <w:left w:w="15" w:type="dxa"/>
            <w:bottom w:w="15" w:type="dxa"/>
            <w:right w:w="15" w:type="dxa"/>
          </w:tblCellMar>
          <w:tblLook w:val="04A0" w:firstRow="1" w:lastRow="0" w:firstColumn="1" w:lastColumn="0" w:noHBand="0" w:noVBand="1"/>
        </w:tblPrEx>
        <w:tc>
          <w:tcPr>
            <w:tcW w:w="1271" w:type="dxa"/>
            <w:gridSpan w:val="2"/>
            <w:vMerge w:val="restart"/>
            <w:tcBorders>
              <w:top w:val="single" w:sz="4" w:space="0" w:color="auto"/>
              <w:left w:val="single" w:sz="4" w:space="0" w:color="auto"/>
              <w:right w:val="single" w:sz="4" w:space="0" w:color="auto"/>
            </w:tcBorders>
          </w:tcPr>
          <w:p w14:paraId="7C2BC2B0" w14:textId="77777777" w:rsidR="00C3721C" w:rsidRPr="005D5FCD" w:rsidRDefault="00C3721C" w:rsidP="00816736">
            <w:pPr>
              <w:widowControl w:val="0"/>
              <w:jc w:val="center"/>
              <w:rPr>
                <w:rFonts w:ascii="Arial Narrow" w:hAnsi="Arial Narrow" w:cs="Arial"/>
                <w:b/>
                <w:sz w:val="18"/>
                <w:szCs w:val="18"/>
              </w:rPr>
            </w:pPr>
            <w:r w:rsidRPr="005D5FCD">
              <w:rPr>
                <w:rFonts w:ascii="Arial Narrow" w:hAnsi="Arial Narrow" w:cs="Arial"/>
                <w:b/>
                <w:sz w:val="18"/>
                <w:szCs w:val="18"/>
              </w:rPr>
              <w:t>Concept ID</w:t>
            </w:r>
          </w:p>
          <w:p w14:paraId="35D8CE3A" w14:textId="77777777" w:rsidR="00C3721C" w:rsidRPr="005D5FCD" w:rsidRDefault="00C3721C" w:rsidP="00816736">
            <w:pPr>
              <w:widowControl w:val="0"/>
              <w:jc w:val="center"/>
              <w:rPr>
                <w:rFonts w:ascii="Arial Narrow" w:hAnsi="Arial Narrow" w:cs="Arial"/>
                <w:sz w:val="18"/>
                <w:szCs w:val="18"/>
              </w:rPr>
            </w:pPr>
            <w:r w:rsidRPr="005D5FCD">
              <w:rPr>
                <w:rFonts w:ascii="Arial Narrow" w:hAnsi="Arial Narrow" w:cs="Arial"/>
                <w:sz w:val="18"/>
                <w:szCs w:val="18"/>
              </w:rPr>
              <w:t>(for internal Dept. use)</w:t>
            </w:r>
          </w:p>
        </w:tc>
        <w:tc>
          <w:tcPr>
            <w:tcW w:w="8080" w:type="dxa"/>
            <w:gridSpan w:val="6"/>
            <w:tcBorders>
              <w:top w:val="single" w:sz="4" w:space="0" w:color="auto"/>
              <w:left w:val="single" w:sz="4" w:space="0" w:color="auto"/>
              <w:bottom w:val="single" w:sz="4" w:space="0" w:color="auto"/>
              <w:right w:val="single" w:sz="4" w:space="0" w:color="auto"/>
            </w:tcBorders>
          </w:tcPr>
          <w:p w14:paraId="596C5D50" w14:textId="77777777" w:rsidR="00C3721C" w:rsidRPr="005D5FCD" w:rsidRDefault="00C3721C" w:rsidP="00816736">
            <w:pPr>
              <w:widowControl w:val="0"/>
              <w:rPr>
                <w:rFonts w:ascii="Arial Narrow" w:hAnsi="Arial Narrow" w:cs="Arial"/>
                <w:sz w:val="18"/>
                <w:szCs w:val="18"/>
              </w:rPr>
            </w:pPr>
            <w:r w:rsidRPr="005D5FCD">
              <w:rPr>
                <w:rFonts w:ascii="Arial Narrow" w:hAnsi="Arial Narrow" w:cs="Arial"/>
                <w:b/>
                <w:sz w:val="18"/>
                <w:szCs w:val="18"/>
              </w:rPr>
              <w:t xml:space="preserve">Category / Program:   </w:t>
            </w:r>
            <w:r w:rsidRPr="005D5FCD">
              <w:rPr>
                <w:rFonts w:ascii="Arial Narrow" w:hAnsi="Arial Narrow" w:cs="Arial"/>
                <w:sz w:val="18"/>
                <w:szCs w:val="18"/>
              </w:rPr>
              <w:t xml:space="preserve">GENERAL – General Schedule (Code GE) </w:t>
            </w:r>
          </w:p>
        </w:tc>
      </w:tr>
      <w:tr w:rsidR="00C3721C" w:rsidRPr="005D5FCD" w14:paraId="6844CA35" w14:textId="77777777" w:rsidTr="00816736">
        <w:tblPrEx>
          <w:tblCellMar>
            <w:top w:w="15" w:type="dxa"/>
            <w:left w:w="15" w:type="dxa"/>
            <w:bottom w:w="15" w:type="dxa"/>
            <w:right w:w="15" w:type="dxa"/>
          </w:tblCellMar>
          <w:tblLook w:val="04A0" w:firstRow="1" w:lastRow="0" w:firstColumn="1" w:lastColumn="0" w:noHBand="0" w:noVBand="1"/>
        </w:tblPrEx>
        <w:trPr>
          <w:trHeight w:val="240"/>
        </w:trPr>
        <w:tc>
          <w:tcPr>
            <w:tcW w:w="1271" w:type="dxa"/>
            <w:gridSpan w:val="2"/>
            <w:vMerge/>
            <w:tcBorders>
              <w:left w:val="single" w:sz="4" w:space="0" w:color="auto"/>
              <w:right w:val="single" w:sz="4" w:space="0" w:color="auto"/>
            </w:tcBorders>
          </w:tcPr>
          <w:p w14:paraId="3D1BCE10" w14:textId="77777777" w:rsidR="00C3721C" w:rsidRPr="005D5FCD" w:rsidRDefault="00C3721C" w:rsidP="00816736">
            <w:pPr>
              <w:widowControl w:val="0"/>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Pr>
          <w:p w14:paraId="6EBD1E6A" w14:textId="77777777" w:rsidR="00C3721C" w:rsidRPr="005D5FCD" w:rsidRDefault="00C3721C" w:rsidP="00816736">
            <w:pPr>
              <w:widowControl w:val="0"/>
              <w:rPr>
                <w:rFonts w:ascii="Arial Narrow" w:hAnsi="Arial Narrow" w:cs="Arial"/>
                <w:b/>
                <w:sz w:val="18"/>
                <w:szCs w:val="18"/>
              </w:rPr>
            </w:pPr>
            <w:r w:rsidRPr="005D5FCD">
              <w:rPr>
                <w:rFonts w:ascii="Arial Narrow" w:hAnsi="Arial Narrow" w:cs="Arial"/>
                <w:b/>
                <w:sz w:val="18"/>
                <w:szCs w:val="18"/>
              </w:rPr>
              <w:t xml:space="preserve">Prescriber type:   </w:t>
            </w:r>
            <w:r w:rsidRPr="005D5FCD">
              <w:rPr>
                <w:rFonts w:ascii="Arial Narrow" w:hAnsi="Arial Narrow" w:cs="Arial"/>
                <w:sz w:val="18"/>
                <w:szCs w:val="18"/>
              </w:rPr>
              <w:fldChar w:fldCharType="begin">
                <w:ffData>
                  <w:name w:val=""/>
                  <w:enabled/>
                  <w:calcOnExit w:val="0"/>
                  <w:checkBox>
                    <w:sizeAuto/>
                    <w:default w:val="1"/>
                  </w:checkBox>
                </w:ffData>
              </w:fldChar>
            </w:r>
            <w:r w:rsidRPr="005D5FCD">
              <w:rPr>
                <w:rFonts w:ascii="Arial Narrow" w:hAnsi="Arial Narrow" w:cs="Arial"/>
                <w:sz w:val="18"/>
                <w:szCs w:val="18"/>
              </w:rPr>
              <w:instrText xml:space="preserve"> FORMCHECKBOX </w:instrText>
            </w:r>
            <w:r w:rsidR="00AA723C">
              <w:rPr>
                <w:rFonts w:ascii="Arial Narrow" w:hAnsi="Arial Narrow" w:cs="Arial"/>
                <w:sz w:val="18"/>
                <w:szCs w:val="18"/>
              </w:rPr>
            </w:r>
            <w:r w:rsidR="00AA723C">
              <w:rPr>
                <w:rFonts w:ascii="Arial Narrow" w:hAnsi="Arial Narrow" w:cs="Arial"/>
                <w:sz w:val="18"/>
                <w:szCs w:val="18"/>
              </w:rPr>
              <w:fldChar w:fldCharType="separate"/>
            </w:r>
            <w:r w:rsidRPr="005D5FCD">
              <w:rPr>
                <w:rFonts w:ascii="Arial Narrow" w:hAnsi="Arial Narrow" w:cs="Arial"/>
                <w:sz w:val="18"/>
                <w:szCs w:val="18"/>
              </w:rPr>
              <w:fldChar w:fldCharType="end"/>
            </w:r>
            <w:r w:rsidRPr="005D5FCD">
              <w:rPr>
                <w:rFonts w:ascii="Arial Narrow" w:hAnsi="Arial Narrow" w:cs="Arial"/>
                <w:sz w:val="18"/>
                <w:szCs w:val="18"/>
              </w:rPr>
              <w:t xml:space="preserve"> Medical Practitioners    </w:t>
            </w:r>
          </w:p>
        </w:tc>
      </w:tr>
      <w:tr w:rsidR="00C3721C" w:rsidRPr="005D5FCD" w14:paraId="4292051A" w14:textId="77777777" w:rsidTr="00816736">
        <w:tblPrEx>
          <w:tblCellMar>
            <w:top w:w="15" w:type="dxa"/>
            <w:left w:w="15" w:type="dxa"/>
            <w:bottom w:w="15" w:type="dxa"/>
            <w:right w:w="15" w:type="dxa"/>
          </w:tblCellMar>
          <w:tblLook w:val="04A0" w:firstRow="1" w:lastRow="0" w:firstColumn="1" w:lastColumn="0" w:noHBand="0" w:noVBand="1"/>
        </w:tblPrEx>
        <w:tc>
          <w:tcPr>
            <w:tcW w:w="1271" w:type="dxa"/>
            <w:gridSpan w:val="2"/>
            <w:vMerge/>
            <w:tcBorders>
              <w:left w:val="single" w:sz="4" w:space="0" w:color="auto"/>
              <w:bottom w:val="single" w:sz="4" w:space="0" w:color="auto"/>
              <w:right w:val="single" w:sz="4" w:space="0" w:color="auto"/>
            </w:tcBorders>
          </w:tcPr>
          <w:p w14:paraId="320E3D47" w14:textId="77777777" w:rsidR="00C3721C" w:rsidRPr="005D5FCD" w:rsidRDefault="00C3721C" w:rsidP="00816736">
            <w:pPr>
              <w:widowControl w:val="0"/>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Pr>
          <w:p w14:paraId="6751A774" w14:textId="77777777" w:rsidR="00C3721C" w:rsidRPr="005D5FCD" w:rsidRDefault="00C3721C" w:rsidP="00816736">
            <w:pPr>
              <w:widowControl w:val="0"/>
              <w:rPr>
                <w:rFonts w:ascii="Arial Narrow" w:eastAsia="Calibri" w:hAnsi="Arial Narrow" w:cs="Arial"/>
                <w:sz w:val="18"/>
                <w:szCs w:val="18"/>
              </w:rPr>
            </w:pPr>
            <w:r w:rsidRPr="005D5FCD">
              <w:rPr>
                <w:rFonts w:ascii="Arial Narrow" w:hAnsi="Arial Narrow" w:cs="Arial"/>
                <w:b/>
                <w:sz w:val="18"/>
                <w:szCs w:val="18"/>
              </w:rPr>
              <w:t xml:space="preserve">Restriction type: </w:t>
            </w:r>
            <w:r w:rsidRPr="005D5FCD">
              <w:rPr>
                <w:rFonts w:ascii="Arial Narrow" w:eastAsia="Calibri" w:hAnsi="Arial Narrow" w:cs="Arial"/>
                <w:sz w:val="18"/>
                <w:szCs w:val="18"/>
              </w:rPr>
              <w:fldChar w:fldCharType="begin">
                <w:ffData>
                  <w:name w:val="Check3"/>
                  <w:enabled/>
                  <w:calcOnExit w:val="0"/>
                  <w:checkBox>
                    <w:sizeAuto/>
                    <w:default w:val="1"/>
                  </w:checkBox>
                </w:ffData>
              </w:fldChar>
            </w:r>
            <w:r w:rsidRPr="005D5FCD">
              <w:rPr>
                <w:rFonts w:ascii="Arial Narrow" w:eastAsia="Calibri" w:hAnsi="Arial Narrow" w:cs="Arial"/>
                <w:sz w:val="18"/>
                <w:szCs w:val="18"/>
              </w:rPr>
              <w:instrText xml:space="preserve"> FORMCHECKBOX </w:instrText>
            </w:r>
            <w:r w:rsidR="00AA723C">
              <w:rPr>
                <w:rFonts w:ascii="Arial Narrow" w:eastAsia="Calibri" w:hAnsi="Arial Narrow" w:cs="Arial"/>
                <w:sz w:val="18"/>
                <w:szCs w:val="18"/>
              </w:rPr>
            </w:r>
            <w:r w:rsidR="00AA723C">
              <w:rPr>
                <w:rFonts w:ascii="Arial Narrow" w:eastAsia="Calibri" w:hAnsi="Arial Narrow" w:cs="Arial"/>
                <w:sz w:val="18"/>
                <w:szCs w:val="18"/>
              </w:rPr>
              <w:fldChar w:fldCharType="separate"/>
            </w:r>
            <w:r w:rsidRPr="005D5FCD">
              <w:rPr>
                <w:rFonts w:ascii="Arial Narrow" w:eastAsia="Calibri" w:hAnsi="Arial Narrow" w:cs="Arial"/>
                <w:sz w:val="18"/>
                <w:szCs w:val="18"/>
              </w:rPr>
              <w:fldChar w:fldCharType="end"/>
            </w:r>
            <w:r w:rsidRPr="005D5FCD">
              <w:rPr>
                <w:rFonts w:ascii="Arial Narrow" w:eastAsia="Calibri" w:hAnsi="Arial Narrow" w:cs="Arial"/>
                <w:sz w:val="18"/>
                <w:szCs w:val="18"/>
              </w:rPr>
              <w:t xml:space="preserve">Authority Required (telephone/online PBS Authorities system) </w:t>
            </w:r>
          </w:p>
        </w:tc>
      </w:tr>
      <w:tr w:rsidR="00C3721C" w:rsidRPr="005D5FCD" w14:paraId="7231C816" w14:textId="77777777" w:rsidTr="00816736">
        <w:tblPrEx>
          <w:tblCellMar>
            <w:top w:w="15" w:type="dxa"/>
            <w:left w:w="15" w:type="dxa"/>
            <w:bottom w:w="15" w:type="dxa"/>
            <w:right w:w="15" w:type="dxa"/>
          </w:tblCellMar>
          <w:tblLook w:val="04A0" w:firstRow="1" w:lastRow="0" w:firstColumn="1" w:lastColumn="0" w:noHBand="0" w:noVBand="1"/>
        </w:tblPrEx>
        <w:tc>
          <w:tcPr>
            <w:tcW w:w="1271" w:type="dxa"/>
            <w:gridSpan w:val="2"/>
            <w:tcBorders>
              <w:left w:val="single" w:sz="4" w:space="0" w:color="auto"/>
              <w:bottom w:val="single" w:sz="4" w:space="0" w:color="auto"/>
              <w:right w:val="single" w:sz="4" w:space="0" w:color="auto"/>
            </w:tcBorders>
          </w:tcPr>
          <w:p w14:paraId="76DA88DD" w14:textId="77777777" w:rsidR="00C3721C" w:rsidRPr="005D5FCD" w:rsidRDefault="00C3721C" w:rsidP="00816736">
            <w:pPr>
              <w:widowControl w:val="0"/>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Pr>
          <w:p w14:paraId="38C17EFF" w14:textId="77777777" w:rsidR="00C3721C" w:rsidRPr="005D5FCD" w:rsidRDefault="00C3721C" w:rsidP="00816736">
            <w:pPr>
              <w:widowControl w:val="0"/>
              <w:rPr>
                <w:rFonts w:ascii="Arial Narrow" w:hAnsi="Arial Narrow" w:cs="Arial"/>
                <w:b/>
                <w:sz w:val="18"/>
                <w:szCs w:val="18"/>
              </w:rPr>
            </w:pPr>
          </w:p>
        </w:tc>
      </w:tr>
      <w:tr w:rsidR="00C3721C" w:rsidRPr="005D5FCD" w14:paraId="259A6556" w14:textId="77777777" w:rsidTr="00816736">
        <w:tblPrEx>
          <w:tblCellMar>
            <w:top w:w="15" w:type="dxa"/>
            <w:left w:w="15" w:type="dxa"/>
            <w:bottom w:w="15" w:type="dxa"/>
            <w:right w:w="15" w:type="dxa"/>
          </w:tblCellMar>
          <w:tblLook w:val="04A0" w:firstRow="1" w:lastRow="0" w:firstColumn="1" w:lastColumn="0" w:noHBand="0" w:noVBand="1"/>
        </w:tblPrEx>
        <w:tc>
          <w:tcPr>
            <w:tcW w:w="279" w:type="dxa"/>
            <w:vMerge w:val="restart"/>
            <w:tcBorders>
              <w:left w:val="single" w:sz="4" w:space="0" w:color="auto"/>
              <w:right w:val="single" w:sz="4" w:space="0" w:color="auto"/>
            </w:tcBorders>
            <w:textDirection w:val="btLr"/>
          </w:tcPr>
          <w:p w14:paraId="7AD5F0D2" w14:textId="77777777" w:rsidR="00C3721C" w:rsidRPr="005D5FCD" w:rsidRDefault="00C3721C" w:rsidP="00816736">
            <w:pPr>
              <w:widowControl w:val="0"/>
              <w:ind w:left="113" w:right="113"/>
              <w:jc w:val="center"/>
              <w:rPr>
                <w:rFonts w:ascii="Arial Narrow" w:hAnsi="Arial Narrow" w:cs="Arial"/>
                <w:sz w:val="18"/>
                <w:szCs w:val="18"/>
              </w:rPr>
            </w:pPr>
            <w:r w:rsidRPr="005D5FCD">
              <w:rPr>
                <w:rFonts w:ascii="Arial Narrow" w:hAnsi="Arial Narrow" w:cs="Arial"/>
                <w:sz w:val="18"/>
                <w:szCs w:val="18"/>
              </w:rPr>
              <w:t>Prescribing rule level</w:t>
            </w:r>
          </w:p>
        </w:tc>
        <w:tc>
          <w:tcPr>
            <w:tcW w:w="992" w:type="dxa"/>
          </w:tcPr>
          <w:p w14:paraId="7C8499CD" w14:textId="3E30FA96" w:rsidR="00C3721C" w:rsidRPr="005D5FCD" w:rsidRDefault="00C3721C" w:rsidP="00816736">
            <w:pPr>
              <w:widowControl w:val="0"/>
              <w:jc w:val="center"/>
              <w:rPr>
                <w:rFonts w:ascii="Arial Narrow" w:hAnsi="Arial Narrow"/>
                <w:sz w:val="18"/>
                <w:szCs w:val="18"/>
                <w:lang w:eastAsia="en-AU"/>
              </w:rPr>
            </w:pPr>
          </w:p>
        </w:tc>
        <w:tc>
          <w:tcPr>
            <w:tcW w:w="8080" w:type="dxa"/>
            <w:gridSpan w:val="6"/>
          </w:tcPr>
          <w:p w14:paraId="060D54DF" w14:textId="77777777" w:rsidR="00C3721C" w:rsidRPr="005D5FCD" w:rsidRDefault="00C3721C" w:rsidP="00816736">
            <w:pPr>
              <w:widowControl w:val="0"/>
              <w:textAlignment w:val="baseline"/>
              <w:rPr>
                <w:rFonts w:ascii="Arial Narrow" w:hAnsi="Arial Narrow" w:cs="Arial"/>
                <w:sz w:val="18"/>
                <w:szCs w:val="18"/>
                <w:lang w:eastAsia="en-AU"/>
              </w:rPr>
            </w:pPr>
            <w:r w:rsidRPr="005D5FCD">
              <w:rPr>
                <w:rFonts w:ascii="Arial Narrow" w:hAnsi="Arial Narrow" w:cs="Arial"/>
                <w:b/>
                <w:bCs/>
                <w:sz w:val="18"/>
                <w:szCs w:val="18"/>
                <w:bdr w:val="none" w:sz="0" w:space="0" w:color="auto" w:frame="1"/>
                <w:lang w:eastAsia="en-AU"/>
              </w:rPr>
              <w:t>Administrative Advice:</w:t>
            </w:r>
          </w:p>
          <w:p w14:paraId="487DAB2E" w14:textId="77777777" w:rsidR="00C3721C" w:rsidRPr="005D5FCD" w:rsidRDefault="00C3721C" w:rsidP="00816736">
            <w:pPr>
              <w:widowControl w:val="0"/>
              <w:textAlignment w:val="baseline"/>
              <w:rPr>
                <w:rFonts w:ascii="Arial Narrow" w:hAnsi="Arial Narrow" w:cs="Arial"/>
                <w:sz w:val="18"/>
                <w:szCs w:val="18"/>
                <w:lang w:eastAsia="en-AU"/>
              </w:rPr>
            </w:pPr>
            <w:r w:rsidRPr="005D5FCD">
              <w:rPr>
                <w:rFonts w:ascii="Arial Narrow" w:hAnsi="Arial Narrow" w:cs="Arial"/>
                <w:sz w:val="18"/>
                <w:szCs w:val="18"/>
                <w:lang w:eastAsia="en-AU"/>
              </w:rPr>
              <w:t>Instructions on the use of the Eczema Area and Severity Index and copyright details can be found here:</w:t>
            </w:r>
          </w:p>
          <w:p w14:paraId="181CD815" w14:textId="77777777" w:rsidR="00C3721C" w:rsidRPr="005D5FCD" w:rsidRDefault="00C3721C" w:rsidP="00816736">
            <w:pPr>
              <w:widowControl w:val="0"/>
              <w:rPr>
                <w:rFonts w:ascii="Arial Narrow" w:hAnsi="Arial Narrow"/>
                <w:sz w:val="18"/>
                <w:szCs w:val="18"/>
                <w:lang w:eastAsia="en-AU"/>
              </w:rPr>
            </w:pPr>
            <w:r w:rsidRPr="005D5FCD">
              <w:rPr>
                <w:rFonts w:ascii="Arial Narrow" w:hAnsi="Arial Narrow" w:cs="Arial"/>
                <w:sz w:val="18"/>
                <w:szCs w:val="18"/>
                <w:lang w:eastAsia="en-AU"/>
              </w:rPr>
              <w:t>https://www.dupixent.co.uk/-/media/EMS/Conditions/Dermatology/Brands/Dupixent-UK/global/1051-EASI-Leaflet-v6-webready.pdf</w:t>
            </w:r>
          </w:p>
        </w:tc>
      </w:tr>
      <w:tr w:rsidR="00C3721C" w:rsidRPr="005D5FCD" w14:paraId="30B48D96" w14:textId="77777777" w:rsidTr="00816736">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right w:val="single" w:sz="4" w:space="0" w:color="auto"/>
            </w:tcBorders>
          </w:tcPr>
          <w:p w14:paraId="2F2E6790" w14:textId="77777777" w:rsidR="00C3721C" w:rsidRPr="005D5FCD" w:rsidRDefault="00C3721C" w:rsidP="00816736">
            <w:pPr>
              <w:widowControl w:val="0"/>
              <w:rPr>
                <w:rFonts w:ascii="Arial Narrow" w:hAnsi="Arial Narrow" w:cs="Arial"/>
                <w:sz w:val="18"/>
                <w:szCs w:val="18"/>
              </w:rPr>
            </w:pPr>
          </w:p>
        </w:tc>
        <w:tc>
          <w:tcPr>
            <w:tcW w:w="992" w:type="dxa"/>
          </w:tcPr>
          <w:p w14:paraId="2247D88E" w14:textId="780A280D" w:rsidR="00C3721C" w:rsidRPr="005D5FCD" w:rsidRDefault="00C3721C" w:rsidP="00816736">
            <w:pPr>
              <w:widowControl w:val="0"/>
              <w:jc w:val="center"/>
              <w:rPr>
                <w:rFonts w:ascii="Arial Narrow" w:hAnsi="Arial Narrow"/>
                <w:sz w:val="18"/>
                <w:szCs w:val="18"/>
                <w:lang w:eastAsia="en-AU"/>
              </w:rPr>
            </w:pPr>
          </w:p>
        </w:tc>
        <w:tc>
          <w:tcPr>
            <w:tcW w:w="8080" w:type="dxa"/>
            <w:gridSpan w:val="6"/>
          </w:tcPr>
          <w:p w14:paraId="394B7FE0" w14:textId="77777777" w:rsidR="00C3721C" w:rsidRPr="005D5FCD" w:rsidRDefault="00C3721C" w:rsidP="00816736">
            <w:pPr>
              <w:widowControl w:val="0"/>
              <w:textAlignment w:val="baseline"/>
              <w:rPr>
                <w:rFonts w:ascii="Arial Narrow" w:hAnsi="Arial Narrow" w:cs="Arial"/>
                <w:sz w:val="18"/>
                <w:szCs w:val="18"/>
                <w:lang w:eastAsia="en-AU"/>
              </w:rPr>
            </w:pPr>
            <w:r w:rsidRPr="005D5FCD">
              <w:rPr>
                <w:rFonts w:ascii="Arial Narrow" w:hAnsi="Arial Narrow" w:cs="Arial"/>
                <w:b/>
                <w:bCs/>
                <w:sz w:val="18"/>
                <w:szCs w:val="18"/>
                <w:bdr w:val="none" w:sz="0" w:space="0" w:color="auto" w:frame="1"/>
                <w:lang w:eastAsia="en-AU"/>
              </w:rPr>
              <w:t>Administrative Advice:</w:t>
            </w:r>
          </w:p>
          <w:p w14:paraId="2075885F" w14:textId="77777777" w:rsidR="00C3721C" w:rsidRPr="005D5FCD" w:rsidRDefault="00C3721C" w:rsidP="00816736">
            <w:pPr>
              <w:widowControl w:val="0"/>
              <w:textAlignment w:val="baseline"/>
              <w:rPr>
                <w:rFonts w:ascii="Arial Narrow" w:hAnsi="Arial Narrow" w:cs="Arial"/>
                <w:sz w:val="18"/>
                <w:szCs w:val="18"/>
                <w:lang w:eastAsia="en-AU"/>
              </w:rPr>
            </w:pPr>
            <w:r w:rsidRPr="005D5FCD">
              <w:rPr>
                <w:rFonts w:ascii="Arial Narrow" w:hAnsi="Arial Narrow" w:cs="Arial"/>
                <w:sz w:val="18"/>
                <w:szCs w:val="18"/>
                <w:lang w:eastAsia="en-AU"/>
              </w:rPr>
              <w:t>Instructions on the use of the Dermatology Life Quality Index and copyright details can be found here:</w:t>
            </w:r>
          </w:p>
          <w:p w14:paraId="57FD6FBD" w14:textId="77777777" w:rsidR="00C3721C" w:rsidRPr="005D5FCD" w:rsidRDefault="00C3721C" w:rsidP="00816736">
            <w:pPr>
              <w:widowControl w:val="0"/>
              <w:rPr>
                <w:rFonts w:ascii="Arial Narrow" w:hAnsi="Arial Narrow"/>
                <w:b/>
                <w:bCs/>
                <w:sz w:val="18"/>
                <w:szCs w:val="18"/>
                <w:lang w:eastAsia="en-AU"/>
              </w:rPr>
            </w:pPr>
            <w:r w:rsidRPr="005D5FCD">
              <w:rPr>
                <w:rFonts w:ascii="Arial Narrow" w:hAnsi="Arial Narrow" w:cs="Arial"/>
                <w:sz w:val="18"/>
                <w:szCs w:val="18"/>
                <w:lang w:eastAsia="en-AU"/>
              </w:rPr>
              <w:t>https://www.cardiff.ac.uk/medicine/resources/quality-of-life-questionnaires/dermatology-life-quality-index</w:t>
            </w:r>
          </w:p>
        </w:tc>
      </w:tr>
      <w:tr w:rsidR="00C3721C" w:rsidRPr="005D5FCD" w14:paraId="563120EA" w14:textId="77777777" w:rsidTr="00816736">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right w:val="single" w:sz="4" w:space="0" w:color="auto"/>
            </w:tcBorders>
          </w:tcPr>
          <w:p w14:paraId="19A88ADC" w14:textId="77777777" w:rsidR="00C3721C" w:rsidRPr="005D5FCD" w:rsidRDefault="00C3721C" w:rsidP="00816736">
            <w:pPr>
              <w:widowControl w:val="0"/>
              <w:rPr>
                <w:rFonts w:ascii="Arial Narrow" w:hAnsi="Arial Narrow" w:cs="Arial"/>
                <w:sz w:val="18"/>
                <w:szCs w:val="18"/>
              </w:rPr>
            </w:pPr>
          </w:p>
        </w:tc>
        <w:tc>
          <w:tcPr>
            <w:tcW w:w="992" w:type="dxa"/>
          </w:tcPr>
          <w:p w14:paraId="71E3EBD1" w14:textId="38AF7994" w:rsidR="00C3721C" w:rsidRPr="005D5FCD" w:rsidRDefault="00C3721C" w:rsidP="00816736">
            <w:pPr>
              <w:widowControl w:val="0"/>
              <w:jc w:val="center"/>
              <w:rPr>
                <w:rFonts w:ascii="Arial Narrow" w:hAnsi="Arial Narrow"/>
                <w:sz w:val="18"/>
                <w:szCs w:val="18"/>
                <w:lang w:eastAsia="en-AU"/>
              </w:rPr>
            </w:pPr>
          </w:p>
        </w:tc>
        <w:tc>
          <w:tcPr>
            <w:tcW w:w="8080" w:type="dxa"/>
            <w:gridSpan w:val="6"/>
          </w:tcPr>
          <w:p w14:paraId="4FDA9F38" w14:textId="77777777" w:rsidR="00C3721C" w:rsidRPr="005D5FCD" w:rsidRDefault="00C3721C" w:rsidP="00816736">
            <w:pPr>
              <w:widowControl w:val="0"/>
              <w:textAlignment w:val="baseline"/>
              <w:rPr>
                <w:rFonts w:ascii="Arial Narrow" w:hAnsi="Arial Narrow" w:cs="Arial"/>
                <w:sz w:val="18"/>
                <w:szCs w:val="18"/>
                <w:lang w:eastAsia="en-AU"/>
              </w:rPr>
            </w:pPr>
            <w:r w:rsidRPr="005D5FCD">
              <w:rPr>
                <w:rFonts w:ascii="Arial Narrow" w:hAnsi="Arial Narrow" w:cs="Arial"/>
                <w:b/>
                <w:bCs/>
                <w:sz w:val="18"/>
                <w:szCs w:val="18"/>
                <w:bdr w:val="none" w:sz="0" w:space="0" w:color="auto" w:frame="1"/>
                <w:lang w:eastAsia="en-AU"/>
              </w:rPr>
              <w:t>Administrative Advice:</w:t>
            </w:r>
          </w:p>
          <w:p w14:paraId="111B0F92" w14:textId="77777777" w:rsidR="00C3721C" w:rsidRPr="005D5FCD" w:rsidRDefault="00C3721C" w:rsidP="00816736">
            <w:pPr>
              <w:widowControl w:val="0"/>
              <w:rPr>
                <w:rFonts w:ascii="Arial Narrow" w:hAnsi="Arial Narrow"/>
                <w:b/>
                <w:bCs/>
                <w:sz w:val="18"/>
                <w:szCs w:val="18"/>
                <w:lang w:eastAsia="en-AU"/>
              </w:rPr>
            </w:pPr>
            <w:r w:rsidRPr="005D5FCD">
              <w:rPr>
                <w:rFonts w:ascii="Arial Narrow" w:hAnsi="Arial Narrow" w:cs="Arial"/>
                <w:sz w:val="18"/>
                <w:szCs w:val="18"/>
                <w:lang w:eastAsia="en-AU"/>
              </w:rPr>
              <w:t>Applications for authorisation under this restriction may be made in real time using the Online PBS Authorities system (see www.servicesaustralia.gov.au/HPOS) or by telephone by contacting Services Australia on 1800 888 333.</w:t>
            </w:r>
          </w:p>
        </w:tc>
      </w:tr>
      <w:tr w:rsidR="00C3721C" w:rsidRPr="005D5FCD" w14:paraId="11DEBFA2" w14:textId="77777777" w:rsidTr="00816736">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right w:val="single" w:sz="4" w:space="0" w:color="auto"/>
            </w:tcBorders>
          </w:tcPr>
          <w:p w14:paraId="35C898C9" w14:textId="77777777" w:rsidR="00C3721C" w:rsidRPr="005D5FCD" w:rsidRDefault="00C3721C" w:rsidP="00816736">
            <w:pPr>
              <w:widowControl w:val="0"/>
              <w:rPr>
                <w:rFonts w:ascii="Arial Narrow" w:hAnsi="Arial Narrow" w:cs="Arial"/>
                <w:sz w:val="18"/>
                <w:szCs w:val="18"/>
              </w:rPr>
            </w:pPr>
          </w:p>
        </w:tc>
        <w:tc>
          <w:tcPr>
            <w:tcW w:w="992" w:type="dxa"/>
          </w:tcPr>
          <w:p w14:paraId="6B9A2072" w14:textId="3ED7EA2C" w:rsidR="00C3721C" w:rsidRPr="005D5FCD" w:rsidRDefault="00C3721C" w:rsidP="00816736">
            <w:pPr>
              <w:widowControl w:val="0"/>
              <w:jc w:val="center"/>
              <w:rPr>
                <w:rFonts w:ascii="Arial Narrow" w:hAnsi="Arial Narrow"/>
                <w:sz w:val="18"/>
                <w:szCs w:val="18"/>
                <w:lang w:eastAsia="en-AU"/>
              </w:rPr>
            </w:pPr>
          </w:p>
        </w:tc>
        <w:tc>
          <w:tcPr>
            <w:tcW w:w="8080" w:type="dxa"/>
            <w:gridSpan w:val="6"/>
          </w:tcPr>
          <w:p w14:paraId="12DBB5EB" w14:textId="77777777" w:rsidR="00C3721C" w:rsidRPr="005D5FCD" w:rsidRDefault="00C3721C" w:rsidP="00816736">
            <w:pPr>
              <w:widowControl w:val="0"/>
              <w:rPr>
                <w:rFonts w:ascii="Arial Narrow" w:hAnsi="Arial Narrow"/>
                <w:b/>
                <w:bCs/>
                <w:sz w:val="18"/>
                <w:szCs w:val="18"/>
                <w:lang w:eastAsia="en-AU"/>
              </w:rPr>
            </w:pPr>
            <w:r w:rsidRPr="005D5FCD">
              <w:rPr>
                <w:rFonts w:ascii="Arial Narrow" w:hAnsi="Arial Narrow" w:cs="Arial"/>
                <w:b/>
                <w:bCs/>
                <w:sz w:val="18"/>
                <w:szCs w:val="18"/>
                <w:bdr w:val="none" w:sz="0" w:space="0" w:color="auto" w:frame="1"/>
                <w:lang w:eastAsia="en-AU"/>
              </w:rPr>
              <w:t xml:space="preserve">Administrative Advice: </w:t>
            </w:r>
            <w:r w:rsidRPr="005D5FCD">
              <w:rPr>
                <w:rFonts w:ascii="Arial Narrow" w:hAnsi="Arial Narrow" w:cs="Arial"/>
                <w:sz w:val="18"/>
                <w:szCs w:val="18"/>
                <w:lang w:eastAsia="en-AU"/>
              </w:rPr>
              <w:t>No increase in the maximum quantity or number of units may be authorised.</w:t>
            </w:r>
          </w:p>
        </w:tc>
      </w:tr>
      <w:tr w:rsidR="00C3721C" w:rsidRPr="005D5FCD" w14:paraId="63C10345" w14:textId="77777777" w:rsidTr="00816736">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right w:val="single" w:sz="4" w:space="0" w:color="auto"/>
            </w:tcBorders>
          </w:tcPr>
          <w:p w14:paraId="296A535D" w14:textId="77777777" w:rsidR="00C3721C" w:rsidRPr="005D5FCD" w:rsidRDefault="00C3721C" w:rsidP="00816736">
            <w:pPr>
              <w:widowControl w:val="0"/>
              <w:rPr>
                <w:rFonts w:ascii="Arial Narrow" w:hAnsi="Arial Narrow" w:cs="Arial"/>
                <w:sz w:val="18"/>
                <w:szCs w:val="18"/>
              </w:rPr>
            </w:pPr>
          </w:p>
        </w:tc>
        <w:tc>
          <w:tcPr>
            <w:tcW w:w="992" w:type="dxa"/>
          </w:tcPr>
          <w:p w14:paraId="6F0CE263" w14:textId="7C3F77CB" w:rsidR="00C3721C" w:rsidRPr="005D5FCD" w:rsidRDefault="00C3721C" w:rsidP="00816736">
            <w:pPr>
              <w:widowControl w:val="0"/>
              <w:jc w:val="center"/>
              <w:rPr>
                <w:rFonts w:ascii="Arial Narrow" w:hAnsi="Arial Narrow"/>
                <w:sz w:val="18"/>
                <w:szCs w:val="18"/>
                <w:lang w:eastAsia="en-AU"/>
              </w:rPr>
            </w:pPr>
          </w:p>
        </w:tc>
        <w:tc>
          <w:tcPr>
            <w:tcW w:w="8080" w:type="dxa"/>
            <w:gridSpan w:val="6"/>
          </w:tcPr>
          <w:p w14:paraId="5C55D45E" w14:textId="77777777" w:rsidR="00C3721C" w:rsidRPr="005D5FCD" w:rsidRDefault="00C3721C" w:rsidP="00816736">
            <w:pPr>
              <w:widowControl w:val="0"/>
              <w:rPr>
                <w:rFonts w:ascii="Arial Narrow" w:hAnsi="Arial Narrow"/>
                <w:b/>
                <w:bCs/>
                <w:sz w:val="18"/>
                <w:szCs w:val="18"/>
                <w:lang w:eastAsia="en-AU"/>
              </w:rPr>
            </w:pPr>
            <w:r w:rsidRPr="005D5FCD">
              <w:rPr>
                <w:rFonts w:ascii="Arial Narrow" w:hAnsi="Arial Narrow" w:cs="Arial"/>
                <w:b/>
                <w:bCs/>
                <w:sz w:val="18"/>
                <w:szCs w:val="18"/>
                <w:bdr w:val="none" w:sz="0" w:space="0" w:color="auto" w:frame="1"/>
                <w:lang w:eastAsia="en-AU"/>
              </w:rPr>
              <w:t xml:space="preserve">Administrative Advice: </w:t>
            </w:r>
            <w:r w:rsidRPr="005D5FCD">
              <w:rPr>
                <w:rFonts w:ascii="Arial Narrow" w:hAnsi="Arial Narrow" w:cs="Arial"/>
                <w:sz w:val="18"/>
                <w:szCs w:val="18"/>
                <w:lang w:eastAsia="en-AU"/>
              </w:rPr>
              <w:t>No increase in the maximum number of repeats may be authorised.</w:t>
            </w:r>
          </w:p>
        </w:tc>
      </w:tr>
      <w:tr w:rsidR="00C3721C" w:rsidRPr="005D5FCD" w14:paraId="3154CA78" w14:textId="77777777" w:rsidTr="00816736">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bottom w:val="single" w:sz="4" w:space="0" w:color="auto"/>
              <w:right w:val="single" w:sz="4" w:space="0" w:color="auto"/>
            </w:tcBorders>
          </w:tcPr>
          <w:p w14:paraId="7EA76832" w14:textId="77777777" w:rsidR="00C3721C" w:rsidRPr="005D5FCD" w:rsidRDefault="00C3721C" w:rsidP="00816736">
            <w:pPr>
              <w:widowControl w:val="0"/>
              <w:rPr>
                <w:rFonts w:ascii="Arial Narrow" w:hAnsi="Arial Narrow" w:cs="Arial"/>
                <w:sz w:val="18"/>
                <w:szCs w:val="18"/>
              </w:rPr>
            </w:pPr>
          </w:p>
        </w:tc>
        <w:tc>
          <w:tcPr>
            <w:tcW w:w="992" w:type="dxa"/>
          </w:tcPr>
          <w:p w14:paraId="77554936" w14:textId="29E39079" w:rsidR="00C3721C" w:rsidRPr="005D5FCD" w:rsidRDefault="00C3721C" w:rsidP="00816736">
            <w:pPr>
              <w:widowControl w:val="0"/>
              <w:jc w:val="center"/>
              <w:rPr>
                <w:rFonts w:ascii="Arial Narrow" w:hAnsi="Arial Narrow"/>
                <w:sz w:val="18"/>
                <w:szCs w:val="18"/>
                <w:lang w:eastAsia="en-AU"/>
              </w:rPr>
            </w:pPr>
          </w:p>
        </w:tc>
        <w:tc>
          <w:tcPr>
            <w:tcW w:w="8080" w:type="dxa"/>
            <w:gridSpan w:val="6"/>
          </w:tcPr>
          <w:p w14:paraId="1DE690FC" w14:textId="77777777" w:rsidR="00C3721C" w:rsidRPr="005D5FCD" w:rsidRDefault="00C3721C" w:rsidP="00816736">
            <w:pPr>
              <w:widowControl w:val="0"/>
              <w:rPr>
                <w:rFonts w:ascii="Arial Narrow" w:hAnsi="Arial Narrow"/>
                <w:b/>
                <w:bCs/>
                <w:sz w:val="18"/>
                <w:szCs w:val="18"/>
                <w:lang w:eastAsia="en-AU"/>
              </w:rPr>
            </w:pPr>
            <w:r w:rsidRPr="005D5FCD">
              <w:rPr>
                <w:rFonts w:ascii="Arial Narrow" w:hAnsi="Arial Narrow" w:cs="Arial"/>
                <w:b/>
                <w:bCs/>
                <w:sz w:val="18"/>
                <w:szCs w:val="18"/>
                <w:bdr w:val="none" w:sz="0" w:space="0" w:color="auto" w:frame="1"/>
                <w:lang w:eastAsia="en-AU"/>
              </w:rPr>
              <w:t xml:space="preserve">Administrative Advice: </w:t>
            </w:r>
            <w:r w:rsidRPr="005D5FCD">
              <w:rPr>
                <w:rFonts w:ascii="Arial Narrow" w:hAnsi="Arial Narrow" w:cs="Arial"/>
                <w:sz w:val="18"/>
                <w:szCs w:val="18"/>
                <w:lang w:eastAsia="en-AU"/>
              </w:rPr>
              <w:t>Special Pricing Arrangements apply.</w:t>
            </w:r>
          </w:p>
        </w:tc>
      </w:tr>
      <w:bookmarkEnd w:id="54"/>
    </w:tbl>
    <w:p w14:paraId="1CE83CE8" w14:textId="13FFBDD9" w:rsidR="005871F7" w:rsidRDefault="005871F7" w:rsidP="00C3721C">
      <w:pPr>
        <w:pStyle w:val="3Bodytext"/>
      </w:pPr>
    </w:p>
    <w:tbl>
      <w:tblPr>
        <w:tblStyle w:val="TableGrid"/>
        <w:tblW w:w="9351" w:type="dxa"/>
        <w:tblLook w:val="04A0" w:firstRow="1" w:lastRow="0" w:firstColumn="1" w:lastColumn="0" w:noHBand="0" w:noVBand="1"/>
      </w:tblPr>
      <w:tblGrid>
        <w:gridCol w:w="1271"/>
        <w:gridCol w:w="8080"/>
      </w:tblGrid>
      <w:tr w:rsidR="00C3721C" w:rsidRPr="001A2DAE" w14:paraId="2744E792" w14:textId="77777777" w:rsidTr="00816736">
        <w:trPr>
          <w:trHeight w:val="337"/>
        </w:trPr>
        <w:tc>
          <w:tcPr>
            <w:tcW w:w="1271" w:type="dxa"/>
          </w:tcPr>
          <w:p w14:paraId="1475458F" w14:textId="77777777" w:rsidR="00C3721C" w:rsidRPr="001A2DAE" w:rsidRDefault="00C3721C" w:rsidP="00816736">
            <w:pPr>
              <w:widowControl w:val="0"/>
              <w:jc w:val="center"/>
              <w:textAlignment w:val="baseline"/>
              <w:rPr>
                <w:rFonts w:ascii="Arial Narrow" w:hAnsi="Arial Narrow" w:cs="Arial"/>
                <w:sz w:val="18"/>
                <w:szCs w:val="18"/>
                <w:lang w:eastAsia="en-AU"/>
              </w:rPr>
            </w:pPr>
            <w:bookmarkStart w:id="55" w:name="_Hlk99100187"/>
          </w:p>
        </w:tc>
        <w:tc>
          <w:tcPr>
            <w:tcW w:w="8080" w:type="dxa"/>
          </w:tcPr>
          <w:p w14:paraId="71FA380B"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p>
        </w:tc>
      </w:tr>
      <w:tr w:rsidR="00C3721C" w:rsidRPr="001A2DAE" w14:paraId="7366D740" w14:textId="77777777" w:rsidTr="000E35FA">
        <w:tc>
          <w:tcPr>
            <w:tcW w:w="1271" w:type="dxa"/>
          </w:tcPr>
          <w:p w14:paraId="1974A355" w14:textId="3914B34D"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2AAABECF"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 xml:space="preserve">Indication: </w:t>
            </w:r>
            <w:r w:rsidRPr="001A2DAE">
              <w:rPr>
                <w:rFonts w:ascii="Arial Narrow" w:hAnsi="Arial Narrow" w:cs="Arial"/>
                <w:sz w:val="18"/>
                <w:szCs w:val="18"/>
                <w:lang w:eastAsia="en-AU"/>
              </w:rPr>
              <w:t>Chronic severe atopic dermatitis</w:t>
            </w:r>
          </w:p>
        </w:tc>
      </w:tr>
      <w:tr w:rsidR="00C3721C" w:rsidRPr="001A2DAE" w14:paraId="5A899F3A" w14:textId="77777777" w:rsidTr="00816736">
        <w:tc>
          <w:tcPr>
            <w:tcW w:w="1271" w:type="dxa"/>
          </w:tcPr>
          <w:p w14:paraId="4B5C9A1A"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3A90A7FE"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1781188B" w14:textId="77777777" w:rsidTr="000E35FA">
        <w:tc>
          <w:tcPr>
            <w:tcW w:w="1271" w:type="dxa"/>
          </w:tcPr>
          <w:p w14:paraId="6CAE59BF"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77B5E0E1"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 xml:space="preserve">Treatment Phase: </w:t>
            </w:r>
            <w:r w:rsidRPr="001A2DAE">
              <w:rPr>
                <w:rFonts w:ascii="Arial Narrow" w:hAnsi="Arial Narrow" w:cs="Arial"/>
                <w:sz w:val="18"/>
                <w:szCs w:val="18"/>
                <w:lang w:eastAsia="en-AU"/>
              </w:rPr>
              <w:t>Initial treatment of the whole body</w:t>
            </w:r>
          </w:p>
        </w:tc>
      </w:tr>
      <w:tr w:rsidR="00C3721C" w:rsidRPr="001A2DAE" w14:paraId="36B2E6D2" w14:textId="77777777" w:rsidTr="00816736">
        <w:tc>
          <w:tcPr>
            <w:tcW w:w="1271" w:type="dxa"/>
          </w:tcPr>
          <w:p w14:paraId="4E974943"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tcPr>
          <w:p w14:paraId="1CE27518"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782372EB" w14:textId="77777777" w:rsidTr="000E35FA">
        <w:tc>
          <w:tcPr>
            <w:tcW w:w="1271" w:type="dxa"/>
          </w:tcPr>
          <w:p w14:paraId="084DDC9C" w14:textId="6A2F657D"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2E1509BD"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2AB746D4" w14:textId="77777777" w:rsidTr="000E35FA">
        <w:tc>
          <w:tcPr>
            <w:tcW w:w="1271" w:type="dxa"/>
          </w:tcPr>
          <w:p w14:paraId="02FCAAB8" w14:textId="3755686B"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22E065F"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have a Physicians Global Assessment (PGA) (5-point scale) baseline score of at least 4 as evidence of severe disease despite treatment with daily topical therapy (corticosteroid of medium to high potency/calcineurin inhibitor), for at least 28 day</w:t>
            </w:r>
          </w:p>
        </w:tc>
      </w:tr>
      <w:tr w:rsidR="00C3721C" w:rsidRPr="001A2DAE" w14:paraId="129D347C" w14:textId="77777777" w:rsidTr="00816736">
        <w:tc>
          <w:tcPr>
            <w:tcW w:w="1271" w:type="dxa"/>
            <w:hideMark/>
          </w:tcPr>
          <w:p w14:paraId="5424F51A"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28DBC83A"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2A52D669" w14:textId="77777777" w:rsidTr="000E35FA">
        <w:tc>
          <w:tcPr>
            <w:tcW w:w="1271" w:type="dxa"/>
          </w:tcPr>
          <w:p w14:paraId="33F3439A" w14:textId="62939BF3"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16753A86"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6E4B143E" w14:textId="77777777" w:rsidTr="000E35FA">
        <w:tc>
          <w:tcPr>
            <w:tcW w:w="1271" w:type="dxa"/>
          </w:tcPr>
          <w:p w14:paraId="46F848AB" w14:textId="53D29344"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E08AFBF"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have an Eczema Area and Severity Index (EASI) baseline score of at least 20 despite treatment with daily topical therapy (corticosteroid of medium to high potency/calcineurin inhibitor), for at least 28 days</w:t>
            </w:r>
          </w:p>
        </w:tc>
      </w:tr>
      <w:tr w:rsidR="00C3721C" w:rsidRPr="001A2DAE" w14:paraId="4BE82E4D" w14:textId="77777777" w:rsidTr="000E35FA">
        <w:tc>
          <w:tcPr>
            <w:tcW w:w="1271" w:type="dxa"/>
          </w:tcPr>
          <w:p w14:paraId="515470E7"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2F7C3ACA"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758581CD" w14:textId="77777777" w:rsidTr="000E35FA">
        <w:tc>
          <w:tcPr>
            <w:tcW w:w="1271" w:type="dxa"/>
          </w:tcPr>
          <w:p w14:paraId="25450E6D" w14:textId="50687750"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654725E4"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7BF1E0C9" w14:textId="77777777" w:rsidTr="000E35FA">
        <w:tc>
          <w:tcPr>
            <w:tcW w:w="1271" w:type="dxa"/>
          </w:tcPr>
          <w:p w14:paraId="1DD19DD8" w14:textId="52B60936"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DA1316D"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 xml:space="preserve">Patient must have an </w:t>
            </w:r>
            <w:proofErr w:type="gramStart"/>
            <w:r w:rsidRPr="001A2DAE">
              <w:rPr>
                <w:rFonts w:ascii="Arial Narrow" w:hAnsi="Arial Narrow" w:cs="Arial"/>
                <w:sz w:val="18"/>
                <w:szCs w:val="18"/>
                <w:lang w:eastAsia="en-AU"/>
              </w:rPr>
              <w:t>age appropriate</w:t>
            </w:r>
            <w:proofErr w:type="gramEnd"/>
            <w:r w:rsidRPr="001A2DAE">
              <w:rPr>
                <w:rFonts w:ascii="Arial Narrow" w:hAnsi="Arial Narrow" w:cs="Arial"/>
                <w:sz w:val="18"/>
                <w:szCs w:val="18"/>
                <w:lang w:eastAsia="en-AU"/>
              </w:rPr>
              <w:t xml:space="preserve"> Dermatology Life Quality Index (DLQI) baseline score (of any value) measured following treatment with daily topical therapy (corticosteroid of medium to high potency/calcineurin inhibitor), for at least 28 days</w:t>
            </w:r>
          </w:p>
        </w:tc>
      </w:tr>
      <w:tr w:rsidR="00C3721C" w:rsidRPr="001A2DAE" w14:paraId="5E71EED6" w14:textId="77777777" w:rsidTr="000E35FA">
        <w:tc>
          <w:tcPr>
            <w:tcW w:w="1271" w:type="dxa"/>
          </w:tcPr>
          <w:p w14:paraId="09497616"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6243CF3B"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67778D8E" w14:textId="77777777" w:rsidTr="000E35FA">
        <w:tc>
          <w:tcPr>
            <w:tcW w:w="1271" w:type="dxa"/>
          </w:tcPr>
          <w:p w14:paraId="53E470DE" w14:textId="2C8C2B98"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7DCAC86A"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077D72C1" w14:textId="77777777" w:rsidTr="000E35FA">
        <w:tc>
          <w:tcPr>
            <w:tcW w:w="1271" w:type="dxa"/>
          </w:tcPr>
          <w:p w14:paraId="707E74F2" w14:textId="18712AEE"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E596B7D"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The condition must have had lesions for at least 6 months from the time of the initial diagnosis of chronic severe atopic dermatitis affecting either of: (</w:t>
            </w:r>
            <w:proofErr w:type="spellStart"/>
            <w:r w:rsidRPr="001A2DAE">
              <w:rPr>
                <w:rFonts w:ascii="Arial Narrow" w:hAnsi="Arial Narrow" w:cs="Arial"/>
                <w:sz w:val="18"/>
                <w:szCs w:val="18"/>
                <w:lang w:eastAsia="en-AU"/>
              </w:rPr>
              <w:t>i</w:t>
            </w:r>
            <w:proofErr w:type="spellEnd"/>
            <w:r w:rsidRPr="001A2DAE">
              <w:rPr>
                <w:rFonts w:ascii="Arial Narrow" w:hAnsi="Arial Narrow" w:cs="Arial"/>
                <w:sz w:val="18"/>
                <w:szCs w:val="18"/>
                <w:lang w:eastAsia="en-AU"/>
              </w:rPr>
              <w:t>) the whole body, (ii) face/hands</w:t>
            </w:r>
          </w:p>
        </w:tc>
      </w:tr>
      <w:tr w:rsidR="00C3721C" w:rsidRPr="001A2DAE" w14:paraId="0D3C3CE0" w14:textId="77777777" w:rsidTr="000E35FA">
        <w:tc>
          <w:tcPr>
            <w:tcW w:w="1271" w:type="dxa"/>
          </w:tcPr>
          <w:p w14:paraId="72A80F81"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3467CD50"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2074AF9D" w14:textId="77777777" w:rsidTr="000E35FA">
        <w:tc>
          <w:tcPr>
            <w:tcW w:w="1271" w:type="dxa"/>
          </w:tcPr>
          <w:p w14:paraId="5AF80370" w14:textId="4888B59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77A8C403"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4C9BB25A" w14:textId="77777777" w:rsidTr="000E35FA">
        <w:tc>
          <w:tcPr>
            <w:tcW w:w="1271" w:type="dxa"/>
          </w:tcPr>
          <w:p w14:paraId="3781CBB7" w14:textId="3FAB467C"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970EF5F"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The treatment must be the sole PBS-subsidised biological medicine for this PBS indication</w:t>
            </w:r>
          </w:p>
        </w:tc>
      </w:tr>
      <w:tr w:rsidR="00C3721C" w:rsidRPr="001A2DAE" w14:paraId="3BE72587" w14:textId="77777777" w:rsidTr="000E35FA">
        <w:tc>
          <w:tcPr>
            <w:tcW w:w="1271" w:type="dxa"/>
          </w:tcPr>
          <w:p w14:paraId="0C16124C"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45C89ACB"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62E900A9" w14:textId="77777777" w:rsidTr="000E35FA">
        <w:tc>
          <w:tcPr>
            <w:tcW w:w="1271" w:type="dxa"/>
          </w:tcPr>
          <w:p w14:paraId="2D978655" w14:textId="28BBDAB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29094000"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6CF670AB" w14:textId="77777777" w:rsidTr="000E35FA">
        <w:tc>
          <w:tcPr>
            <w:tcW w:w="1271" w:type="dxa"/>
          </w:tcPr>
          <w:p w14:paraId="1FCB4A3C" w14:textId="49C265E3"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54EB966B"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not have experienced an inadequate response to this biological medicine in this PBS indication</w:t>
            </w:r>
          </w:p>
        </w:tc>
      </w:tr>
      <w:tr w:rsidR="00C3721C" w:rsidRPr="001A2DAE" w14:paraId="6F0EEA36" w14:textId="77777777" w:rsidTr="000E35FA">
        <w:tc>
          <w:tcPr>
            <w:tcW w:w="1271" w:type="dxa"/>
          </w:tcPr>
          <w:p w14:paraId="454D3C3E"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3F0CF48F"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33EBF229" w14:textId="77777777" w:rsidTr="000E35FA">
        <w:tc>
          <w:tcPr>
            <w:tcW w:w="1271" w:type="dxa"/>
          </w:tcPr>
          <w:p w14:paraId="2A3C18C6" w14:textId="41CB9346"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5E8F20D8"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Treatment criteria:</w:t>
            </w:r>
          </w:p>
        </w:tc>
      </w:tr>
      <w:tr w:rsidR="00C3721C" w:rsidRPr="001A2DAE" w14:paraId="09BB4340" w14:textId="77777777" w:rsidTr="000E35FA">
        <w:tc>
          <w:tcPr>
            <w:tcW w:w="1271" w:type="dxa"/>
          </w:tcPr>
          <w:p w14:paraId="7DB5D3C0" w14:textId="39DDCE2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3896A2E"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Must be treated by a dermatologist; or</w:t>
            </w:r>
          </w:p>
        </w:tc>
      </w:tr>
      <w:tr w:rsidR="00C3721C" w:rsidRPr="001A2DAE" w14:paraId="1835EDBB" w14:textId="77777777" w:rsidTr="000E35FA">
        <w:tc>
          <w:tcPr>
            <w:tcW w:w="1271" w:type="dxa"/>
          </w:tcPr>
          <w:p w14:paraId="700FAE3C" w14:textId="0D3A9353"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249C38A6"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Must be treated by a clinical immunologist</w:t>
            </w:r>
          </w:p>
        </w:tc>
      </w:tr>
      <w:tr w:rsidR="00C3721C" w:rsidRPr="001A2DAE" w14:paraId="7B073BC6" w14:textId="77777777" w:rsidTr="00816736">
        <w:tc>
          <w:tcPr>
            <w:tcW w:w="1271" w:type="dxa"/>
          </w:tcPr>
          <w:p w14:paraId="67EDE5F7"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2C9C1610" w14:textId="77777777" w:rsidR="00C3721C" w:rsidRPr="001A2DAE" w:rsidRDefault="00C3721C" w:rsidP="00816736">
            <w:pPr>
              <w:widowControl w:val="0"/>
              <w:ind w:left="-57"/>
              <w:rPr>
                <w:rFonts w:ascii="Arial Narrow" w:hAnsi="Arial Narrow" w:cs="Arial"/>
                <w:b/>
                <w:bCs/>
                <w:sz w:val="18"/>
                <w:szCs w:val="18"/>
                <w:lang w:eastAsia="en-AU"/>
              </w:rPr>
            </w:pPr>
            <w:r w:rsidRPr="001A2DAE">
              <w:rPr>
                <w:rFonts w:ascii="Arial Narrow" w:hAnsi="Arial Narrow" w:cs="Arial"/>
                <w:b/>
                <w:bCs/>
                <w:sz w:val="18"/>
                <w:szCs w:val="18"/>
                <w:lang w:eastAsia="en-AU"/>
              </w:rPr>
              <w:t>AND</w:t>
            </w:r>
          </w:p>
        </w:tc>
      </w:tr>
      <w:tr w:rsidR="00C3721C" w:rsidRPr="001A2DAE" w14:paraId="37AFF2AA" w14:textId="77777777" w:rsidTr="00816736">
        <w:tc>
          <w:tcPr>
            <w:tcW w:w="1271" w:type="dxa"/>
          </w:tcPr>
          <w:p w14:paraId="5F8D2492" w14:textId="1B3292DF"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44C0E8CE"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Population criteria:</w:t>
            </w:r>
          </w:p>
        </w:tc>
      </w:tr>
      <w:tr w:rsidR="00C3721C" w:rsidRPr="001A2DAE" w14:paraId="2EFCD137" w14:textId="77777777" w:rsidTr="00816736">
        <w:tc>
          <w:tcPr>
            <w:tcW w:w="1271" w:type="dxa"/>
          </w:tcPr>
          <w:p w14:paraId="73FD36B3" w14:textId="7E3945EE"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54287427"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bdr w:val="none" w:sz="0" w:space="0" w:color="auto" w:frame="1"/>
                <w:lang w:eastAsia="en-AU"/>
              </w:rPr>
              <w:t>Patient must be 12 years of age or older; or</w:t>
            </w:r>
          </w:p>
        </w:tc>
      </w:tr>
      <w:tr w:rsidR="00C3721C" w:rsidRPr="001A2DAE" w14:paraId="70E0ECA9" w14:textId="77777777" w:rsidTr="00816736">
        <w:tc>
          <w:tcPr>
            <w:tcW w:w="1271" w:type="dxa"/>
          </w:tcPr>
          <w:p w14:paraId="33F2E4AD" w14:textId="763CC241"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083B9572"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i/>
                <w:iCs/>
                <w:sz w:val="18"/>
                <w:szCs w:val="18"/>
                <w:lang w:eastAsia="en-AU"/>
              </w:rPr>
              <w:t>Patient must be less than 12 years of age</w:t>
            </w:r>
          </w:p>
        </w:tc>
      </w:tr>
      <w:tr w:rsidR="00C3721C" w:rsidRPr="001A2DAE" w14:paraId="32426481" w14:textId="77777777" w:rsidTr="00816736">
        <w:tc>
          <w:tcPr>
            <w:tcW w:w="1271" w:type="dxa"/>
          </w:tcPr>
          <w:p w14:paraId="7FE3FCB6"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6862D2EB" w14:textId="77777777" w:rsidR="00C3721C" w:rsidRPr="001A2DAE" w:rsidRDefault="00C3721C" w:rsidP="00816736">
            <w:pPr>
              <w:widowControl w:val="0"/>
              <w:ind w:left="-57"/>
              <w:rPr>
                <w:rFonts w:ascii="Arial Narrow" w:hAnsi="Arial Narrow" w:cs="Arial"/>
                <w:i/>
                <w:iCs/>
                <w:sz w:val="18"/>
                <w:szCs w:val="18"/>
                <w:lang w:eastAsia="en-AU"/>
              </w:rPr>
            </w:pPr>
          </w:p>
        </w:tc>
      </w:tr>
      <w:tr w:rsidR="00C3721C" w:rsidRPr="001A2DAE" w14:paraId="7D1B4E2E" w14:textId="77777777" w:rsidTr="000E35FA">
        <w:tc>
          <w:tcPr>
            <w:tcW w:w="1271" w:type="dxa"/>
          </w:tcPr>
          <w:p w14:paraId="66027678" w14:textId="401DADAD"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787C38C"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Prescribing Instructions:</w:t>
            </w:r>
          </w:p>
          <w:p w14:paraId="7E657F30"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sz w:val="18"/>
                <w:szCs w:val="18"/>
              </w:rPr>
              <w:t xml:space="preserve"> </w:t>
            </w:r>
            <w:r w:rsidRPr="001A2DAE">
              <w:rPr>
                <w:rFonts w:ascii="Arial Narrow" w:hAnsi="Arial Narrow" w:cs="Arial"/>
                <w:sz w:val="18"/>
                <w:szCs w:val="18"/>
                <w:lang w:eastAsia="en-AU"/>
              </w:rPr>
              <w:t>State each of the qualifying (</w:t>
            </w:r>
            <w:proofErr w:type="spellStart"/>
            <w:r w:rsidRPr="001A2DAE">
              <w:rPr>
                <w:rFonts w:ascii="Arial Narrow" w:hAnsi="Arial Narrow" w:cs="Arial"/>
                <w:sz w:val="18"/>
                <w:szCs w:val="18"/>
                <w:lang w:eastAsia="en-AU"/>
              </w:rPr>
              <w:t>i</w:t>
            </w:r>
            <w:proofErr w:type="spellEnd"/>
            <w:r w:rsidRPr="001A2DAE">
              <w:rPr>
                <w:rFonts w:ascii="Arial Narrow" w:hAnsi="Arial Narrow" w:cs="Arial"/>
                <w:sz w:val="18"/>
                <w:szCs w:val="18"/>
                <w:lang w:eastAsia="en-AU"/>
              </w:rPr>
              <w:t>) PGA, (ii) EASI and (iii) DLQI scores in the authority application.</w:t>
            </w:r>
          </w:p>
          <w:p w14:paraId="16CD5086"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Acceptable scores can be:</w:t>
            </w:r>
          </w:p>
          <w:p w14:paraId="5D96D05D"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(a) current scores; or</w:t>
            </w:r>
          </w:p>
          <w:p w14:paraId="7DC455A6"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(b) past scores, including those previously quoted in a PBS authority application for another drug listed for this indication.</w:t>
            </w:r>
          </w:p>
          <w:p w14:paraId="7016C7A6" w14:textId="77777777" w:rsidR="00C3721C" w:rsidRPr="001A2DAE" w:rsidRDefault="00C3721C" w:rsidP="00816736">
            <w:pPr>
              <w:widowControl w:val="0"/>
              <w:ind w:left="-57"/>
              <w:textAlignment w:val="baseline"/>
              <w:rPr>
                <w:rFonts w:ascii="Arial Narrow" w:hAnsi="Arial Narrow" w:cs="Arial"/>
                <w:sz w:val="18"/>
                <w:szCs w:val="18"/>
                <w:lang w:eastAsia="en-AU"/>
              </w:rPr>
            </w:pPr>
          </w:p>
          <w:p w14:paraId="34F61F5F"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The EASI and DLQI baseline measurements are to form the basis of determining if an adequate response to treatment has been achieved under the Continuing treatment restriction. In addition to stating them in this authority application, document them in the patient's medical records.</w:t>
            </w:r>
          </w:p>
          <w:p w14:paraId="611E40EC" w14:textId="77777777" w:rsidR="00C3721C" w:rsidRPr="001A2DAE" w:rsidRDefault="00C3721C" w:rsidP="00816736">
            <w:pPr>
              <w:widowControl w:val="0"/>
              <w:ind w:left="-57"/>
              <w:textAlignment w:val="baseline"/>
              <w:rPr>
                <w:rFonts w:ascii="Arial Narrow" w:hAnsi="Arial Narrow" w:cs="Arial"/>
                <w:sz w:val="18"/>
                <w:szCs w:val="18"/>
                <w:lang w:eastAsia="en-AU"/>
              </w:rPr>
            </w:pPr>
          </w:p>
          <w:p w14:paraId="60AD8D87"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Document the details of the medium to high potency topical corticosteroids (or calcineurin inhibitors) initially trialled in the patient's medical records.</w:t>
            </w:r>
          </w:p>
        </w:tc>
      </w:tr>
      <w:tr w:rsidR="00C3721C" w:rsidRPr="001A2DAE" w14:paraId="36A87314" w14:textId="77777777" w:rsidTr="00816736">
        <w:tc>
          <w:tcPr>
            <w:tcW w:w="1271" w:type="dxa"/>
          </w:tcPr>
          <w:p w14:paraId="777C3507" w14:textId="0A87AD0E"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730B5190"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r w:rsidRPr="001A2DAE">
              <w:rPr>
                <w:rFonts w:ascii="Arial Narrow" w:hAnsi="Arial Narrow" w:cs="Arial"/>
                <w:b/>
                <w:bCs/>
                <w:sz w:val="18"/>
                <w:szCs w:val="18"/>
                <w:bdr w:val="none" w:sz="0" w:space="0" w:color="auto" w:frame="1"/>
                <w:lang w:eastAsia="en-AU"/>
              </w:rPr>
              <w:t>Prescribing Instructions:</w:t>
            </w:r>
          </w:p>
          <w:p w14:paraId="1445039E" w14:textId="77777777" w:rsidR="00C3721C" w:rsidRPr="001A2DAE" w:rsidRDefault="00C3721C" w:rsidP="00816736">
            <w:pPr>
              <w:widowControl w:val="0"/>
              <w:ind w:left="-57"/>
              <w:textAlignment w:val="baseline"/>
              <w:rPr>
                <w:rFonts w:ascii="Arial Narrow" w:hAnsi="Arial Narrow" w:cs="Arial"/>
                <w:sz w:val="18"/>
                <w:szCs w:val="18"/>
                <w:bdr w:val="none" w:sz="0" w:space="0" w:color="auto" w:frame="1"/>
                <w:lang w:eastAsia="en-AU"/>
              </w:rPr>
            </w:pPr>
            <w:r w:rsidRPr="001A2DAE">
              <w:rPr>
                <w:rFonts w:ascii="Arial Narrow" w:hAnsi="Arial Narrow" w:cs="Arial"/>
                <w:sz w:val="18"/>
                <w:szCs w:val="18"/>
                <w:bdr w:val="none" w:sz="0" w:space="0" w:color="auto" w:frame="1"/>
                <w:lang w:eastAsia="en-AU"/>
              </w:rPr>
              <w:t>In a patient weighing no greater than 30 kg, prescribe up to 3 repeat prescriptions only – do not default to prescribing the listing’s specified number of repeats.</w:t>
            </w:r>
          </w:p>
        </w:tc>
      </w:tr>
      <w:tr w:rsidR="00C3721C" w:rsidRPr="001A2DAE" w14:paraId="7FAA8612" w14:textId="77777777" w:rsidTr="00816736">
        <w:tc>
          <w:tcPr>
            <w:tcW w:w="1271" w:type="dxa"/>
          </w:tcPr>
          <w:p w14:paraId="7753A652"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5F2092BF"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712FF824" w14:textId="77777777" w:rsidTr="000E35FA">
        <w:tc>
          <w:tcPr>
            <w:tcW w:w="1271" w:type="dxa"/>
          </w:tcPr>
          <w:p w14:paraId="5E511F42" w14:textId="1206B0BB"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69290370"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Administrative Advice:</w:t>
            </w:r>
          </w:p>
          <w:p w14:paraId="6575BF12"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Instructions on the use of the Physician's Global Assessment (5-point scale) can be obtained from Sanofi Medical Information on 1800 818 806 or MedInfo.Australia@sanofi.com</w:t>
            </w:r>
          </w:p>
        </w:tc>
      </w:tr>
      <w:tr w:rsidR="00C3721C" w:rsidRPr="001A2DAE" w14:paraId="59F73816" w14:textId="77777777" w:rsidTr="00816736">
        <w:tc>
          <w:tcPr>
            <w:tcW w:w="9351" w:type="dxa"/>
            <w:gridSpan w:val="2"/>
          </w:tcPr>
          <w:p w14:paraId="584F7EC7"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p>
          <w:p w14:paraId="7CBF8250"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p>
        </w:tc>
      </w:tr>
      <w:tr w:rsidR="00C3721C" w:rsidRPr="001A2DAE" w14:paraId="498471CE" w14:textId="77777777" w:rsidTr="00816736">
        <w:tc>
          <w:tcPr>
            <w:tcW w:w="9351" w:type="dxa"/>
            <w:gridSpan w:val="2"/>
          </w:tcPr>
          <w:p w14:paraId="7C2F9C19"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r w:rsidRPr="001A2DAE">
              <w:rPr>
                <w:rFonts w:ascii="Arial Narrow" w:hAnsi="Arial Narrow" w:cs="Arial"/>
                <w:b/>
                <w:bCs/>
                <w:sz w:val="18"/>
                <w:szCs w:val="18"/>
                <w:bdr w:val="none" w:sz="0" w:space="0" w:color="auto" w:frame="1"/>
                <w:lang w:eastAsia="en-AU"/>
              </w:rPr>
              <w:t>Restriction Summary 11374 / Treatment of Concept: 11374</w:t>
            </w:r>
          </w:p>
        </w:tc>
      </w:tr>
      <w:tr w:rsidR="00C3721C" w:rsidRPr="001A2DAE" w14:paraId="0E3B719A" w14:textId="77777777" w:rsidTr="000E35FA">
        <w:tc>
          <w:tcPr>
            <w:tcW w:w="1271" w:type="dxa"/>
          </w:tcPr>
          <w:p w14:paraId="790EB616" w14:textId="25B6A3B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46C6A6B"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 xml:space="preserve">Indication: </w:t>
            </w:r>
            <w:r w:rsidRPr="001A2DAE">
              <w:rPr>
                <w:rFonts w:ascii="Arial Narrow" w:hAnsi="Arial Narrow" w:cs="Arial"/>
                <w:sz w:val="18"/>
                <w:szCs w:val="18"/>
                <w:lang w:eastAsia="en-AU"/>
              </w:rPr>
              <w:t>Chronic severe atopic dermatitis</w:t>
            </w:r>
          </w:p>
        </w:tc>
      </w:tr>
      <w:tr w:rsidR="00C3721C" w:rsidRPr="001A2DAE" w14:paraId="454C4608" w14:textId="77777777" w:rsidTr="00816736">
        <w:tc>
          <w:tcPr>
            <w:tcW w:w="1271" w:type="dxa"/>
          </w:tcPr>
          <w:p w14:paraId="1981D58C"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24EA22F8"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5DF2D896" w14:textId="77777777" w:rsidTr="000E35FA">
        <w:tc>
          <w:tcPr>
            <w:tcW w:w="1271" w:type="dxa"/>
          </w:tcPr>
          <w:p w14:paraId="1A2774C1"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76B6CD67"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 xml:space="preserve">Treatment Phase: </w:t>
            </w:r>
            <w:r w:rsidRPr="001A2DAE">
              <w:rPr>
                <w:rFonts w:ascii="Arial Narrow" w:hAnsi="Arial Narrow" w:cs="Arial"/>
                <w:sz w:val="18"/>
                <w:szCs w:val="18"/>
                <w:lang w:eastAsia="en-AU"/>
              </w:rPr>
              <w:t>Continuing or resuming treatment of the whole body</w:t>
            </w:r>
          </w:p>
        </w:tc>
      </w:tr>
      <w:tr w:rsidR="00C3721C" w:rsidRPr="001A2DAE" w14:paraId="4D305D34" w14:textId="77777777" w:rsidTr="00816736">
        <w:tc>
          <w:tcPr>
            <w:tcW w:w="1271" w:type="dxa"/>
          </w:tcPr>
          <w:p w14:paraId="486BC92F"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tcPr>
          <w:p w14:paraId="6A11EFFB"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293591A1" w14:textId="77777777" w:rsidTr="000E35FA">
        <w:tc>
          <w:tcPr>
            <w:tcW w:w="1271" w:type="dxa"/>
          </w:tcPr>
          <w:p w14:paraId="537478BE" w14:textId="6AB37CA5"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648FD98"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438D4A5F" w14:textId="77777777" w:rsidTr="000E35FA">
        <w:tc>
          <w:tcPr>
            <w:tcW w:w="1271" w:type="dxa"/>
          </w:tcPr>
          <w:p w14:paraId="07208610" w14:textId="02C1A5A1"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5C3CC9D"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have received PBS-subsidised treatment with this biological medicine for the treatment of chronic severe atopic dermatitis affecting the whole body</w:t>
            </w:r>
          </w:p>
        </w:tc>
      </w:tr>
      <w:tr w:rsidR="00C3721C" w:rsidRPr="001A2DAE" w14:paraId="6F34834F" w14:textId="77777777" w:rsidTr="000E35FA">
        <w:tc>
          <w:tcPr>
            <w:tcW w:w="1271" w:type="dxa"/>
          </w:tcPr>
          <w:p w14:paraId="1E6B0637"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0ADA2E72"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0DDB31E4" w14:textId="77777777" w:rsidTr="000E35FA">
        <w:tc>
          <w:tcPr>
            <w:tcW w:w="1271" w:type="dxa"/>
          </w:tcPr>
          <w:p w14:paraId="4C9E5ADF" w14:textId="59FBC33D"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7210E983"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2FE9CCFF" w14:textId="77777777" w:rsidTr="000E35FA">
        <w:tc>
          <w:tcPr>
            <w:tcW w:w="1271" w:type="dxa"/>
          </w:tcPr>
          <w:p w14:paraId="2D15AF80" w14:textId="2A7DEC61"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3FA99C4"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have achieved an adequate response within the first 16 weeks of treatment; or</w:t>
            </w:r>
          </w:p>
        </w:tc>
      </w:tr>
      <w:tr w:rsidR="00C3721C" w:rsidRPr="001A2DAE" w14:paraId="179B76FB" w14:textId="77777777" w:rsidTr="000E35FA">
        <w:tc>
          <w:tcPr>
            <w:tcW w:w="1271" w:type="dxa"/>
          </w:tcPr>
          <w:p w14:paraId="376A0F7B" w14:textId="3BE22153"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7AE0A80A"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have maintained an adequate response to their most recent course of PBS-subsidised treatment with this biological medicine for this PBS indication if this is the second or subsequent Continuing treatment authority application; or</w:t>
            </w:r>
          </w:p>
        </w:tc>
      </w:tr>
      <w:tr w:rsidR="00C3721C" w:rsidRPr="001A2DAE" w14:paraId="423268F0" w14:textId="77777777" w:rsidTr="000E35FA">
        <w:tc>
          <w:tcPr>
            <w:tcW w:w="1271" w:type="dxa"/>
          </w:tcPr>
          <w:p w14:paraId="42302BAA" w14:textId="6D25500E"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D07E03D"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have temporarily ceased treatment for reasons other than lack of response (</w:t>
            </w:r>
            <w:proofErr w:type="gramStart"/>
            <w:r w:rsidRPr="001A2DAE">
              <w:rPr>
                <w:rFonts w:ascii="Arial Narrow" w:hAnsi="Arial Narrow" w:cs="Arial"/>
                <w:sz w:val="18"/>
                <w:szCs w:val="18"/>
                <w:lang w:eastAsia="en-AU"/>
              </w:rPr>
              <w:t>e.g.</w:t>
            </w:r>
            <w:proofErr w:type="gramEnd"/>
            <w:r w:rsidRPr="001A2DAE">
              <w:rPr>
                <w:rFonts w:ascii="Arial Narrow" w:hAnsi="Arial Narrow" w:cs="Arial"/>
                <w:sz w:val="18"/>
                <w:szCs w:val="18"/>
                <w:lang w:eastAsia="en-AU"/>
              </w:rPr>
              <w:t xml:space="preserve"> family planning, vaccination with live vaccines, adverse-effect investigation), thereby being unable to achieve/maintain an adequate response immediately prior to this authority application</w:t>
            </w:r>
          </w:p>
        </w:tc>
      </w:tr>
      <w:tr w:rsidR="00C3721C" w:rsidRPr="001A2DAE" w14:paraId="561ECF34" w14:textId="77777777" w:rsidTr="000E35FA">
        <w:tc>
          <w:tcPr>
            <w:tcW w:w="1271" w:type="dxa"/>
          </w:tcPr>
          <w:p w14:paraId="22F0A4CB"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04EEBEEA"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16F3CCCD" w14:textId="77777777" w:rsidTr="000E35FA">
        <w:tc>
          <w:tcPr>
            <w:tcW w:w="1271" w:type="dxa"/>
          </w:tcPr>
          <w:p w14:paraId="76FFE091" w14:textId="4B7D204C"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51572358"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65E0D815" w14:textId="77777777" w:rsidTr="000E35FA">
        <w:tc>
          <w:tcPr>
            <w:tcW w:w="1271" w:type="dxa"/>
          </w:tcPr>
          <w:p w14:paraId="2204822E" w14:textId="1A4CDD2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2202F0E9"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The treatment must be the sole PBS-subsidised biological medicine for this PBS indication</w:t>
            </w:r>
          </w:p>
        </w:tc>
      </w:tr>
      <w:tr w:rsidR="00C3721C" w:rsidRPr="001A2DAE" w14:paraId="02CC2554" w14:textId="77777777" w:rsidTr="000E35FA">
        <w:tc>
          <w:tcPr>
            <w:tcW w:w="1271" w:type="dxa"/>
          </w:tcPr>
          <w:p w14:paraId="7DCE9BBB"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7A3949AB"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77024F30" w14:textId="77777777" w:rsidTr="000E35FA">
        <w:tc>
          <w:tcPr>
            <w:tcW w:w="1271" w:type="dxa"/>
          </w:tcPr>
          <w:p w14:paraId="6CC0B2E6" w14:textId="11CCD6F8"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79C01EA"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Treatment criteria:</w:t>
            </w:r>
          </w:p>
        </w:tc>
      </w:tr>
      <w:tr w:rsidR="00C3721C" w:rsidRPr="001A2DAE" w14:paraId="186BDEB6" w14:textId="77777777" w:rsidTr="000E35FA">
        <w:tc>
          <w:tcPr>
            <w:tcW w:w="1271" w:type="dxa"/>
          </w:tcPr>
          <w:p w14:paraId="2EA4D4D5" w14:textId="7A5FAB9A"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485B48B"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Must be treated by a dermatologist; or</w:t>
            </w:r>
          </w:p>
        </w:tc>
      </w:tr>
      <w:tr w:rsidR="00C3721C" w:rsidRPr="001A2DAE" w14:paraId="031AEB94" w14:textId="77777777" w:rsidTr="000E35FA">
        <w:tc>
          <w:tcPr>
            <w:tcW w:w="1271" w:type="dxa"/>
          </w:tcPr>
          <w:p w14:paraId="7D4BB804" w14:textId="43472609"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5CDF71BB"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Must be treated by a clinical immunologist</w:t>
            </w:r>
          </w:p>
        </w:tc>
      </w:tr>
      <w:tr w:rsidR="00C3721C" w:rsidRPr="001A2DAE" w14:paraId="291B9F3A" w14:textId="77777777" w:rsidTr="00816736">
        <w:tc>
          <w:tcPr>
            <w:tcW w:w="1271" w:type="dxa"/>
          </w:tcPr>
          <w:p w14:paraId="3ACC3BAC"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481A0416" w14:textId="77777777" w:rsidR="00C3721C" w:rsidRPr="001A2DAE" w:rsidRDefault="00C3721C" w:rsidP="00816736">
            <w:pPr>
              <w:widowControl w:val="0"/>
              <w:ind w:left="-57"/>
              <w:rPr>
                <w:rFonts w:ascii="Arial Narrow" w:hAnsi="Arial Narrow" w:cs="Arial"/>
                <w:b/>
                <w:bCs/>
                <w:sz w:val="18"/>
                <w:szCs w:val="18"/>
                <w:lang w:eastAsia="en-AU"/>
              </w:rPr>
            </w:pPr>
            <w:r w:rsidRPr="001A2DAE">
              <w:rPr>
                <w:rFonts w:ascii="Arial Narrow" w:hAnsi="Arial Narrow" w:cs="Arial"/>
                <w:b/>
                <w:bCs/>
                <w:sz w:val="18"/>
                <w:szCs w:val="18"/>
                <w:lang w:eastAsia="en-AU"/>
              </w:rPr>
              <w:t>AND</w:t>
            </w:r>
          </w:p>
        </w:tc>
      </w:tr>
      <w:tr w:rsidR="00C3721C" w:rsidRPr="001A2DAE" w14:paraId="67EB335B" w14:textId="77777777" w:rsidTr="00816736">
        <w:tc>
          <w:tcPr>
            <w:tcW w:w="1271" w:type="dxa"/>
          </w:tcPr>
          <w:p w14:paraId="23B848BE" w14:textId="1B8B011C"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6FCB5E3D"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Population criteria:</w:t>
            </w:r>
          </w:p>
        </w:tc>
      </w:tr>
      <w:tr w:rsidR="00C3721C" w:rsidRPr="001A2DAE" w14:paraId="6201292A" w14:textId="77777777" w:rsidTr="00816736">
        <w:tc>
          <w:tcPr>
            <w:tcW w:w="1271" w:type="dxa"/>
          </w:tcPr>
          <w:p w14:paraId="451E2B29" w14:textId="3EB660D8"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316A9C76"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bdr w:val="none" w:sz="0" w:space="0" w:color="auto" w:frame="1"/>
                <w:lang w:eastAsia="en-AU"/>
              </w:rPr>
              <w:t>Patient must be 12 years of age or older; or</w:t>
            </w:r>
          </w:p>
        </w:tc>
      </w:tr>
      <w:tr w:rsidR="00C3721C" w:rsidRPr="001A2DAE" w14:paraId="22A76BE9" w14:textId="77777777" w:rsidTr="00816736">
        <w:trPr>
          <w:trHeight w:val="57"/>
        </w:trPr>
        <w:tc>
          <w:tcPr>
            <w:tcW w:w="1271" w:type="dxa"/>
          </w:tcPr>
          <w:p w14:paraId="61952957" w14:textId="32D62126"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325FDCD3"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i/>
                <w:iCs/>
                <w:sz w:val="18"/>
                <w:szCs w:val="18"/>
                <w:lang w:eastAsia="en-AU"/>
              </w:rPr>
              <w:t>Patient must be less than 12 years of age</w:t>
            </w:r>
          </w:p>
        </w:tc>
      </w:tr>
      <w:tr w:rsidR="00C3721C" w:rsidRPr="001A2DAE" w14:paraId="4C51A622" w14:textId="77777777" w:rsidTr="00816736">
        <w:tc>
          <w:tcPr>
            <w:tcW w:w="1271" w:type="dxa"/>
          </w:tcPr>
          <w:p w14:paraId="0BE39AA5"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35B06CFB" w14:textId="77777777" w:rsidR="00C3721C" w:rsidRPr="001A2DAE" w:rsidRDefault="00C3721C" w:rsidP="00816736">
            <w:pPr>
              <w:widowControl w:val="0"/>
              <w:ind w:left="-57"/>
              <w:rPr>
                <w:rFonts w:ascii="Arial Narrow" w:hAnsi="Arial Narrow" w:cs="Arial"/>
                <w:sz w:val="18"/>
                <w:szCs w:val="18"/>
                <w:lang w:eastAsia="en-AU"/>
              </w:rPr>
            </w:pPr>
          </w:p>
        </w:tc>
      </w:tr>
      <w:tr w:rsidR="00C3721C" w:rsidRPr="001A2DAE" w14:paraId="165242D1" w14:textId="77777777" w:rsidTr="000E35FA">
        <w:tc>
          <w:tcPr>
            <w:tcW w:w="1271" w:type="dxa"/>
          </w:tcPr>
          <w:p w14:paraId="1CBB9978" w14:textId="5BC27A8E"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63FB5F7E"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Prescribing Instructions:</w:t>
            </w:r>
          </w:p>
          <w:p w14:paraId="3D8B5FE2"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For the purposes of this restriction, an adequate response to treatment is defined as:</w:t>
            </w:r>
          </w:p>
          <w:p w14:paraId="26EA254A"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(a) An improvement/maintenance in the Eczema Area and Severity Index (EASI) score of at least 50% compared to baseline; and</w:t>
            </w:r>
          </w:p>
          <w:p w14:paraId="7FA54698"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(b) An improvement/maintenance in Dermatology Life Quality Index (DLQI) score of at least 4 points compared to baseline</w:t>
            </w:r>
          </w:p>
          <w:p w14:paraId="029236B3"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Where an initial baseline (post-topical corticosteroid, pre-biological medicine) DLQI score was not measured for a patient who had commenced treatment through a clinical trial, early access program or through private, non-PBS-subsidised supply, an absence of worsening in the current DLQI score compared to that measured at the time of the 'Grandfather listing' authority application will suffice as an adequate response for requirement (b) above.</w:t>
            </w:r>
          </w:p>
          <w:p w14:paraId="3E491FB5"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State each of the current EASI and DLQI scores for this authority application.</w:t>
            </w:r>
          </w:p>
        </w:tc>
      </w:tr>
      <w:tr w:rsidR="00C3721C" w:rsidRPr="001A2DAE" w14:paraId="0D9E0F22" w14:textId="77777777" w:rsidTr="00816736">
        <w:tc>
          <w:tcPr>
            <w:tcW w:w="1271" w:type="dxa"/>
          </w:tcPr>
          <w:p w14:paraId="04D12572" w14:textId="30D8E3FB"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669627E8"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r w:rsidRPr="001A2DAE">
              <w:rPr>
                <w:rFonts w:ascii="Arial Narrow" w:hAnsi="Arial Narrow" w:cs="Arial"/>
                <w:b/>
                <w:bCs/>
                <w:sz w:val="18"/>
                <w:szCs w:val="18"/>
                <w:bdr w:val="none" w:sz="0" w:space="0" w:color="auto" w:frame="1"/>
                <w:lang w:eastAsia="en-AU"/>
              </w:rPr>
              <w:t>Prescribing Instructions:</w:t>
            </w:r>
          </w:p>
          <w:p w14:paraId="2985D08A"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r w:rsidRPr="001A2DAE">
              <w:rPr>
                <w:rFonts w:ascii="Arial Narrow" w:hAnsi="Arial Narrow" w:cs="Arial"/>
                <w:sz w:val="18"/>
                <w:szCs w:val="18"/>
                <w:bdr w:val="none" w:sz="0" w:space="0" w:color="auto" w:frame="1"/>
                <w:lang w:eastAsia="en-AU"/>
              </w:rPr>
              <w:t>In a patient weighing no greater than 30 kg, prescribe up to 2 repeat prescriptions only – do not default to prescribing the listing’s specified number of repeats.</w:t>
            </w:r>
          </w:p>
        </w:tc>
      </w:tr>
      <w:tr w:rsidR="00C3721C" w:rsidRPr="001A2DAE" w14:paraId="060C438A" w14:textId="77777777" w:rsidTr="00816736">
        <w:tc>
          <w:tcPr>
            <w:tcW w:w="9351" w:type="dxa"/>
            <w:gridSpan w:val="2"/>
          </w:tcPr>
          <w:p w14:paraId="03B74C65"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p>
          <w:p w14:paraId="29FA6548"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p>
        </w:tc>
      </w:tr>
      <w:tr w:rsidR="00C3721C" w:rsidRPr="001A2DAE" w14:paraId="376E2B91" w14:textId="77777777" w:rsidTr="00816736">
        <w:tc>
          <w:tcPr>
            <w:tcW w:w="9351" w:type="dxa"/>
            <w:gridSpan w:val="2"/>
          </w:tcPr>
          <w:p w14:paraId="1F87CA72"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r w:rsidRPr="001A2DAE">
              <w:rPr>
                <w:rFonts w:ascii="Arial Narrow" w:hAnsi="Arial Narrow" w:cs="Arial"/>
                <w:b/>
                <w:bCs/>
                <w:sz w:val="18"/>
                <w:szCs w:val="18"/>
                <w:bdr w:val="none" w:sz="0" w:space="0" w:color="auto" w:frame="1"/>
                <w:lang w:eastAsia="en-AU"/>
              </w:rPr>
              <w:t xml:space="preserve">Restriction Summary 12506 / </w:t>
            </w:r>
            <w:proofErr w:type="spellStart"/>
            <w:r w:rsidRPr="001A2DAE">
              <w:rPr>
                <w:rFonts w:ascii="Arial Narrow" w:hAnsi="Arial Narrow" w:cs="Arial"/>
                <w:b/>
                <w:bCs/>
                <w:sz w:val="18"/>
                <w:szCs w:val="18"/>
                <w:bdr w:val="none" w:sz="0" w:space="0" w:color="auto" w:frame="1"/>
                <w:lang w:eastAsia="en-AU"/>
              </w:rPr>
              <w:t>ToC</w:t>
            </w:r>
            <w:proofErr w:type="spellEnd"/>
            <w:r w:rsidRPr="001A2DAE">
              <w:rPr>
                <w:rFonts w:ascii="Arial Narrow" w:hAnsi="Arial Narrow" w:cs="Arial"/>
                <w:b/>
                <w:bCs/>
                <w:sz w:val="18"/>
                <w:szCs w:val="18"/>
                <w:bdr w:val="none" w:sz="0" w:space="0" w:color="auto" w:frame="1"/>
                <w:lang w:eastAsia="en-AU"/>
              </w:rPr>
              <w:t>: 12507</w:t>
            </w:r>
          </w:p>
        </w:tc>
      </w:tr>
      <w:tr w:rsidR="00C3721C" w:rsidRPr="001A2DAE" w14:paraId="247103E1" w14:textId="77777777" w:rsidTr="000E35FA">
        <w:tc>
          <w:tcPr>
            <w:tcW w:w="1271" w:type="dxa"/>
          </w:tcPr>
          <w:p w14:paraId="188A1D57" w14:textId="0BAEE8B5"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59446E9"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 xml:space="preserve">Indication: </w:t>
            </w:r>
            <w:r w:rsidRPr="001A2DAE">
              <w:rPr>
                <w:rFonts w:ascii="Arial Narrow" w:hAnsi="Arial Narrow" w:cs="Arial"/>
                <w:sz w:val="18"/>
                <w:szCs w:val="18"/>
                <w:lang w:eastAsia="en-AU"/>
              </w:rPr>
              <w:t>Chronic severe atopic dermatitis</w:t>
            </w:r>
          </w:p>
        </w:tc>
      </w:tr>
      <w:tr w:rsidR="00C3721C" w:rsidRPr="001A2DAE" w14:paraId="649D39E6" w14:textId="77777777" w:rsidTr="00816736">
        <w:tc>
          <w:tcPr>
            <w:tcW w:w="1271" w:type="dxa"/>
          </w:tcPr>
          <w:p w14:paraId="1EAEA129"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2C69743E"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31E6D649" w14:textId="77777777" w:rsidTr="000E35FA">
        <w:tc>
          <w:tcPr>
            <w:tcW w:w="1271" w:type="dxa"/>
          </w:tcPr>
          <w:p w14:paraId="7EC3226A"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1F0C31FF"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 xml:space="preserve">Treatment Phase: </w:t>
            </w:r>
            <w:r w:rsidRPr="001A2DAE">
              <w:rPr>
                <w:rFonts w:ascii="Arial Narrow" w:hAnsi="Arial Narrow" w:cs="Arial"/>
                <w:sz w:val="18"/>
                <w:szCs w:val="18"/>
                <w:lang w:eastAsia="en-AU"/>
              </w:rPr>
              <w:t>Initial treatment of the face and/or hands</w:t>
            </w:r>
          </w:p>
        </w:tc>
      </w:tr>
      <w:tr w:rsidR="00C3721C" w:rsidRPr="001A2DAE" w14:paraId="33A6CB98" w14:textId="77777777" w:rsidTr="00816736">
        <w:trPr>
          <w:trHeight w:val="53"/>
        </w:trPr>
        <w:tc>
          <w:tcPr>
            <w:tcW w:w="1271" w:type="dxa"/>
          </w:tcPr>
          <w:p w14:paraId="7FB76F67"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3B39CE29" w14:textId="77777777" w:rsidR="00C3721C" w:rsidRPr="001A2DAE" w:rsidRDefault="00C3721C" w:rsidP="00816736">
            <w:pPr>
              <w:widowControl w:val="0"/>
              <w:rPr>
                <w:rFonts w:ascii="Arial Narrow" w:hAnsi="Arial Narrow" w:cs="Arial"/>
                <w:b/>
                <w:bCs/>
                <w:sz w:val="18"/>
                <w:szCs w:val="18"/>
                <w:lang w:eastAsia="en-AU"/>
              </w:rPr>
            </w:pPr>
          </w:p>
        </w:tc>
      </w:tr>
      <w:tr w:rsidR="00C3721C" w:rsidRPr="001A2DAE" w14:paraId="43380A89" w14:textId="77777777" w:rsidTr="000E35FA">
        <w:tc>
          <w:tcPr>
            <w:tcW w:w="1271" w:type="dxa"/>
          </w:tcPr>
          <w:p w14:paraId="20DD51C0" w14:textId="50221708"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6595E9D2"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71BEFBC2" w14:textId="77777777" w:rsidTr="000E35FA">
        <w:tc>
          <w:tcPr>
            <w:tcW w:w="1271" w:type="dxa"/>
          </w:tcPr>
          <w:p w14:paraId="57F8FD2A" w14:textId="46DA7F59"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6151478"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 xml:space="preserve">The condition must have at least 2 of the following Eczema Area and Severity Index (EASI) symptom sub-scores for erythema, oedema/papulation, excoriation, </w:t>
            </w:r>
            <w:proofErr w:type="spellStart"/>
            <w:r w:rsidRPr="001A2DAE">
              <w:rPr>
                <w:rFonts w:ascii="Arial Narrow" w:hAnsi="Arial Narrow" w:cs="Arial"/>
                <w:sz w:val="18"/>
                <w:szCs w:val="18"/>
                <w:lang w:eastAsia="en-AU"/>
              </w:rPr>
              <w:t>lichenification</w:t>
            </w:r>
            <w:proofErr w:type="spellEnd"/>
            <w:r w:rsidRPr="001A2DAE">
              <w:rPr>
                <w:rFonts w:ascii="Arial Narrow" w:hAnsi="Arial Narrow" w:cs="Arial"/>
                <w:sz w:val="18"/>
                <w:szCs w:val="18"/>
                <w:lang w:eastAsia="en-AU"/>
              </w:rPr>
              <w:t xml:space="preserve"> rated as severe despite treatment with daily topical therapy (corticosteroid of medium to high potency/calcineurin inhibitor), for at least 28 days; or</w:t>
            </w:r>
          </w:p>
        </w:tc>
      </w:tr>
      <w:tr w:rsidR="00C3721C" w:rsidRPr="001A2DAE" w14:paraId="6B3E2236" w14:textId="77777777" w:rsidTr="000E35FA">
        <w:tc>
          <w:tcPr>
            <w:tcW w:w="1271" w:type="dxa"/>
          </w:tcPr>
          <w:p w14:paraId="46CD3C36" w14:textId="47545352"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A8BAB79"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The condition must have affected at least 30% of the face/hands surface area despite treatment with daily topical therapy (corticosteroid of medium to high potency/calcineurin inhibitor), for at least 28 days</w:t>
            </w:r>
          </w:p>
        </w:tc>
      </w:tr>
      <w:tr w:rsidR="00C3721C" w:rsidRPr="001A2DAE" w14:paraId="5FFD0587" w14:textId="77777777" w:rsidTr="000E35FA">
        <w:tc>
          <w:tcPr>
            <w:tcW w:w="1271" w:type="dxa"/>
          </w:tcPr>
          <w:p w14:paraId="49B368FA"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02CF264D"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39BF0520" w14:textId="77777777" w:rsidTr="000E35FA">
        <w:tc>
          <w:tcPr>
            <w:tcW w:w="1271" w:type="dxa"/>
          </w:tcPr>
          <w:p w14:paraId="08C9F6AC" w14:textId="090D506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708DACF"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331090B5" w14:textId="77777777" w:rsidTr="000E35FA">
        <w:tc>
          <w:tcPr>
            <w:tcW w:w="1271" w:type="dxa"/>
          </w:tcPr>
          <w:p w14:paraId="703472DD" w14:textId="5ED22A33"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27278B1D"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 xml:space="preserve">Patient must have an </w:t>
            </w:r>
            <w:proofErr w:type="gramStart"/>
            <w:r w:rsidRPr="001A2DAE">
              <w:rPr>
                <w:rFonts w:ascii="Arial Narrow" w:hAnsi="Arial Narrow" w:cs="Arial"/>
                <w:sz w:val="18"/>
                <w:szCs w:val="18"/>
                <w:lang w:eastAsia="en-AU"/>
              </w:rPr>
              <w:t>age appropriate</w:t>
            </w:r>
            <w:proofErr w:type="gramEnd"/>
            <w:r w:rsidRPr="001A2DAE">
              <w:rPr>
                <w:rFonts w:ascii="Arial Narrow" w:hAnsi="Arial Narrow" w:cs="Arial"/>
                <w:sz w:val="18"/>
                <w:szCs w:val="18"/>
                <w:lang w:eastAsia="en-AU"/>
              </w:rPr>
              <w:t xml:space="preserve"> Dermatology Life Quality Index (DLQI) baseline score (of any value) measured following treatment with daily topical therapy (corticosteroid of medium to high potency/calcineurin inhibitor), for at least 28 days</w:t>
            </w:r>
          </w:p>
        </w:tc>
      </w:tr>
      <w:tr w:rsidR="00C3721C" w:rsidRPr="001A2DAE" w14:paraId="743B1A11" w14:textId="77777777" w:rsidTr="000E35FA">
        <w:tc>
          <w:tcPr>
            <w:tcW w:w="1271" w:type="dxa"/>
          </w:tcPr>
          <w:p w14:paraId="1D8C39EF"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279758EC"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401DF726" w14:textId="77777777" w:rsidTr="000E35FA">
        <w:tc>
          <w:tcPr>
            <w:tcW w:w="1271" w:type="dxa"/>
          </w:tcPr>
          <w:p w14:paraId="1A63F131" w14:textId="3FA9DBDE"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728B7C0"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01FE88A5" w14:textId="77777777" w:rsidTr="000E35FA">
        <w:tc>
          <w:tcPr>
            <w:tcW w:w="1271" w:type="dxa"/>
          </w:tcPr>
          <w:p w14:paraId="589F41B3" w14:textId="7264985B"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70A84225"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The condition must have had lesions for at least 6 months from the time of the initial diagnosis of chronic severe atopic dermatitis affecting either of: (</w:t>
            </w:r>
            <w:proofErr w:type="spellStart"/>
            <w:r w:rsidRPr="001A2DAE">
              <w:rPr>
                <w:rFonts w:ascii="Arial Narrow" w:hAnsi="Arial Narrow" w:cs="Arial"/>
                <w:sz w:val="18"/>
                <w:szCs w:val="18"/>
                <w:lang w:eastAsia="en-AU"/>
              </w:rPr>
              <w:t>i</w:t>
            </w:r>
            <w:proofErr w:type="spellEnd"/>
            <w:r w:rsidRPr="001A2DAE">
              <w:rPr>
                <w:rFonts w:ascii="Arial Narrow" w:hAnsi="Arial Narrow" w:cs="Arial"/>
                <w:sz w:val="18"/>
                <w:szCs w:val="18"/>
                <w:lang w:eastAsia="en-AU"/>
              </w:rPr>
              <w:t>) the whole body, (ii) face/hands</w:t>
            </w:r>
          </w:p>
        </w:tc>
      </w:tr>
      <w:tr w:rsidR="00C3721C" w:rsidRPr="001A2DAE" w14:paraId="0DC0C8D5" w14:textId="77777777" w:rsidTr="000E35FA">
        <w:tc>
          <w:tcPr>
            <w:tcW w:w="1271" w:type="dxa"/>
          </w:tcPr>
          <w:p w14:paraId="1CCCD785"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7974B7EC"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0D259CB2" w14:textId="77777777" w:rsidTr="000E35FA">
        <w:tc>
          <w:tcPr>
            <w:tcW w:w="1271" w:type="dxa"/>
          </w:tcPr>
          <w:p w14:paraId="37E53CAA" w14:textId="1835CA8E"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705522D1"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3874405E" w14:textId="77777777" w:rsidTr="000E35FA">
        <w:tc>
          <w:tcPr>
            <w:tcW w:w="1271" w:type="dxa"/>
          </w:tcPr>
          <w:p w14:paraId="76F91A60" w14:textId="62A867D9"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D75BA2D"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The treatment must be the sole PBS-subsidised biological medicine for this PBS indication</w:t>
            </w:r>
          </w:p>
        </w:tc>
      </w:tr>
      <w:tr w:rsidR="00C3721C" w:rsidRPr="001A2DAE" w14:paraId="07344A8F" w14:textId="77777777" w:rsidTr="000E35FA">
        <w:tc>
          <w:tcPr>
            <w:tcW w:w="1271" w:type="dxa"/>
          </w:tcPr>
          <w:p w14:paraId="5ED61ED4"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57698C32"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0C6054CE" w14:textId="77777777" w:rsidTr="000E35FA">
        <w:tc>
          <w:tcPr>
            <w:tcW w:w="1271" w:type="dxa"/>
          </w:tcPr>
          <w:p w14:paraId="7C1D151B" w14:textId="71A4EDDC"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2BF9FC1"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5C229786" w14:textId="77777777" w:rsidTr="000E35FA">
        <w:tc>
          <w:tcPr>
            <w:tcW w:w="1271" w:type="dxa"/>
          </w:tcPr>
          <w:p w14:paraId="66A22453" w14:textId="5F45FEB1"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75586B8B"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not have experienced an inadequate response to this biological medicine in this PBS indication</w:t>
            </w:r>
          </w:p>
        </w:tc>
      </w:tr>
      <w:tr w:rsidR="00C3721C" w:rsidRPr="001A2DAE" w14:paraId="55F833BF" w14:textId="77777777" w:rsidTr="000E35FA">
        <w:tc>
          <w:tcPr>
            <w:tcW w:w="1271" w:type="dxa"/>
          </w:tcPr>
          <w:p w14:paraId="361BDC67"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65E32465"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5F230D8E" w14:textId="77777777" w:rsidTr="000E35FA">
        <w:tc>
          <w:tcPr>
            <w:tcW w:w="1271" w:type="dxa"/>
          </w:tcPr>
          <w:p w14:paraId="2DE6064C" w14:textId="1B48AA30"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6C8C5844"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Treatment criteria:</w:t>
            </w:r>
          </w:p>
        </w:tc>
      </w:tr>
      <w:tr w:rsidR="00C3721C" w:rsidRPr="001A2DAE" w14:paraId="69C8C1E7" w14:textId="77777777" w:rsidTr="000E35FA">
        <w:tc>
          <w:tcPr>
            <w:tcW w:w="1271" w:type="dxa"/>
          </w:tcPr>
          <w:p w14:paraId="5ECBED4E" w14:textId="4DB5BDC4"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505BB8AE"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Must be treated by a dermatologist; or</w:t>
            </w:r>
          </w:p>
        </w:tc>
      </w:tr>
      <w:tr w:rsidR="00C3721C" w:rsidRPr="001A2DAE" w14:paraId="3C3D1457" w14:textId="77777777" w:rsidTr="000E35FA">
        <w:tc>
          <w:tcPr>
            <w:tcW w:w="1271" w:type="dxa"/>
          </w:tcPr>
          <w:p w14:paraId="55C39AD3" w14:textId="503DE93C"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C177DAC"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Must be treated by a clinical immunologist</w:t>
            </w:r>
          </w:p>
        </w:tc>
      </w:tr>
      <w:tr w:rsidR="00C3721C" w:rsidRPr="001A2DAE" w14:paraId="2AE25008" w14:textId="77777777" w:rsidTr="00816736">
        <w:tc>
          <w:tcPr>
            <w:tcW w:w="1271" w:type="dxa"/>
          </w:tcPr>
          <w:p w14:paraId="0E4213D1"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17FEF3F9"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lang w:eastAsia="en-AU"/>
              </w:rPr>
              <w:t>AND</w:t>
            </w:r>
          </w:p>
        </w:tc>
      </w:tr>
      <w:tr w:rsidR="00C3721C" w:rsidRPr="001A2DAE" w14:paraId="4E65B80E" w14:textId="77777777" w:rsidTr="00816736">
        <w:tc>
          <w:tcPr>
            <w:tcW w:w="1271" w:type="dxa"/>
          </w:tcPr>
          <w:p w14:paraId="4724FBB4" w14:textId="72298540"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70D8F617" w14:textId="77777777" w:rsidR="00C3721C" w:rsidRPr="001A2DAE" w:rsidRDefault="00C3721C" w:rsidP="00816736">
            <w:pPr>
              <w:widowControl w:val="0"/>
              <w:ind w:left="-57"/>
              <w:rPr>
                <w:rFonts w:ascii="Arial Narrow" w:hAnsi="Arial Narrow" w:cs="Arial"/>
                <w:b/>
                <w:bCs/>
                <w:sz w:val="18"/>
                <w:szCs w:val="18"/>
                <w:lang w:eastAsia="en-AU"/>
              </w:rPr>
            </w:pPr>
            <w:r w:rsidRPr="001A2DAE">
              <w:rPr>
                <w:rFonts w:ascii="Arial Narrow" w:hAnsi="Arial Narrow" w:cs="Arial"/>
                <w:b/>
                <w:bCs/>
                <w:sz w:val="18"/>
                <w:szCs w:val="18"/>
                <w:lang w:eastAsia="en-AU"/>
              </w:rPr>
              <w:t>Population criteria:</w:t>
            </w:r>
          </w:p>
        </w:tc>
      </w:tr>
      <w:tr w:rsidR="00C3721C" w:rsidRPr="001A2DAE" w14:paraId="4C7C9417" w14:textId="77777777" w:rsidTr="00816736">
        <w:tc>
          <w:tcPr>
            <w:tcW w:w="1271" w:type="dxa"/>
          </w:tcPr>
          <w:p w14:paraId="2F52D9E9" w14:textId="3DE9DC04"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187E9DE8"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be 12 years of age or older; or</w:t>
            </w:r>
          </w:p>
        </w:tc>
      </w:tr>
      <w:tr w:rsidR="00C3721C" w:rsidRPr="001A2DAE" w14:paraId="240223B4" w14:textId="77777777" w:rsidTr="00816736">
        <w:tc>
          <w:tcPr>
            <w:tcW w:w="1271" w:type="dxa"/>
          </w:tcPr>
          <w:p w14:paraId="624A02C8" w14:textId="4FAA515B"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4C5996FC"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i/>
                <w:iCs/>
                <w:sz w:val="18"/>
                <w:szCs w:val="18"/>
                <w:lang w:eastAsia="en-AU"/>
              </w:rPr>
              <w:t>Patient must be less than 12 years of age</w:t>
            </w:r>
          </w:p>
        </w:tc>
      </w:tr>
      <w:tr w:rsidR="00C3721C" w:rsidRPr="001A2DAE" w14:paraId="544CE30B" w14:textId="77777777" w:rsidTr="00816736">
        <w:tc>
          <w:tcPr>
            <w:tcW w:w="1271" w:type="dxa"/>
          </w:tcPr>
          <w:p w14:paraId="01208849"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58190E77" w14:textId="77777777" w:rsidR="00C3721C" w:rsidRPr="001A2DAE" w:rsidRDefault="00C3721C" w:rsidP="00816736">
            <w:pPr>
              <w:widowControl w:val="0"/>
              <w:ind w:left="-57"/>
              <w:rPr>
                <w:rFonts w:ascii="Arial Narrow" w:hAnsi="Arial Narrow" w:cs="Arial"/>
                <w:sz w:val="18"/>
                <w:szCs w:val="18"/>
                <w:lang w:eastAsia="en-AU"/>
              </w:rPr>
            </w:pPr>
          </w:p>
        </w:tc>
      </w:tr>
      <w:tr w:rsidR="00C3721C" w:rsidRPr="001A2DAE" w14:paraId="207BD7F9" w14:textId="77777777" w:rsidTr="000E35FA">
        <w:tc>
          <w:tcPr>
            <w:tcW w:w="1271" w:type="dxa"/>
          </w:tcPr>
          <w:p w14:paraId="37F1EEC2" w14:textId="1BBFCE1A"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57614D1C"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Prescribing Instructions:</w:t>
            </w:r>
          </w:p>
          <w:p w14:paraId="4AD813B2" w14:textId="77777777" w:rsidR="00C3721C" w:rsidRPr="001A2DAE" w:rsidRDefault="00C3721C" w:rsidP="00816736">
            <w:pPr>
              <w:widowControl w:val="0"/>
              <w:ind w:left="-57"/>
              <w:rPr>
                <w:rFonts w:ascii="Arial Narrow" w:hAnsi="Arial Narrow" w:cs="Arial"/>
                <w:sz w:val="18"/>
                <w:szCs w:val="18"/>
                <w:lang w:val="en-GB" w:eastAsia="en-AU"/>
              </w:rPr>
            </w:pPr>
            <w:r w:rsidRPr="001A2DAE">
              <w:rPr>
                <w:rFonts w:ascii="Open Sans" w:hAnsi="Open Sans" w:cs="Open Sans"/>
                <w:color w:val="333333"/>
                <w:sz w:val="18"/>
                <w:szCs w:val="18"/>
                <w:lang w:eastAsia="en-AU"/>
              </w:rPr>
              <w:t xml:space="preserve"> </w:t>
            </w:r>
            <w:r w:rsidRPr="001A2DAE">
              <w:rPr>
                <w:rFonts w:ascii="Arial Narrow" w:hAnsi="Arial Narrow" w:cs="Arial"/>
                <w:sz w:val="18"/>
                <w:szCs w:val="18"/>
                <w:lang w:val="en-GB" w:eastAsia="en-AU"/>
              </w:rPr>
              <w:t>State each of the 4 Eczema Area and Severity Index (EASI) symptom sub-score ratings (0 = none, 1 = mild, 2 = moderate, 3 = severe) for:</w:t>
            </w:r>
          </w:p>
          <w:p w14:paraId="5E787C6A" w14:textId="77777777" w:rsidR="00C3721C" w:rsidRPr="00527502" w:rsidRDefault="00C3721C" w:rsidP="00816736">
            <w:pPr>
              <w:widowControl w:val="0"/>
              <w:ind w:left="-57"/>
              <w:textAlignment w:val="baseline"/>
              <w:rPr>
                <w:rFonts w:ascii="Arial Narrow" w:hAnsi="Arial Narrow" w:cs="Arial"/>
                <w:sz w:val="18"/>
                <w:szCs w:val="18"/>
                <w:lang w:eastAsia="en-AU"/>
              </w:rPr>
            </w:pPr>
            <w:r w:rsidRPr="00527502">
              <w:rPr>
                <w:rFonts w:ascii="Arial Narrow" w:hAnsi="Arial Narrow" w:cs="Arial"/>
                <w:sz w:val="18"/>
                <w:szCs w:val="18"/>
                <w:lang w:eastAsia="en-AU"/>
              </w:rPr>
              <w:t>(</w:t>
            </w:r>
            <w:proofErr w:type="spellStart"/>
            <w:r w:rsidRPr="00527502">
              <w:rPr>
                <w:rFonts w:ascii="Arial Narrow" w:hAnsi="Arial Narrow" w:cs="Arial"/>
                <w:sz w:val="18"/>
                <w:szCs w:val="18"/>
                <w:lang w:eastAsia="en-AU"/>
              </w:rPr>
              <w:t>i</w:t>
            </w:r>
            <w:proofErr w:type="spellEnd"/>
            <w:r w:rsidRPr="00527502">
              <w:rPr>
                <w:rFonts w:ascii="Arial Narrow" w:hAnsi="Arial Narrow" w:cs="Arial"/>
                <w:sz w:val="18"/>
                <w:szCs w:val="18"/>
                <w:lang w:eastAsia="en-AU"/>
              </w:rPr>
              <w:t>) erythema,</w:t>
            </w:r>
          </w:p>
          <w:p w14:paraId="4F49C5CC" w14:textId="77777777" w:rsidR="00C3721C" w:rsidRPr="00527502" w:rsidRDefault="00C3721C" w:rsidP="00816736">
            <w:pPr>
              <w:widowControl w:val="0"/>
              <w:ind w:left="-57"/>
              <w:textAlignment w:val="baseline"/>
              <w:rPr>
                <w:rFonts w:ascii="Arial Narrow" w:hAnsi="Arial Narrow" w:cs="Arial"/>
                <w:sz w:val="18"/>
                <w:szCs w:val="18"/>
                <w:lang w:eastAsia="en-AU"/>
              </w:rPr>
            </w:pPr>
            <w:r w:rsidRPr="00527502">
              <w:rPr>
                <w:rFonts w:ascii="Arial Narrow" w:hAnsi="Arial Narrow" w:cs="Arial"/>
                <w:sz w:val="18"/>
                <w:szCs w:val="18"/>
                <w:lang w:eastAsia="en-AU"/>
              </w:rPr>
              <w:t>(ii) oedema/papulation,</w:t>
            </w:r>
          </w:p>
          <w:p w14:paraId="5C361466" w14:textId="77777777" w:rsidR="00C3721C" w:rsidRPr="00527502" w:rsidRDefault="00C3721C" w:rsidP="00816736">
            <w:pPr>
              <w:widowControl w:val="0"/>
              <w:ind w:left="-57"/>
              <w:textAlignment w:val="baseline"/>
              <w:rPr>
                <w:rFonts w:ascii="Arial Narrow" w:hAnsi="Arial Narrow" w:cs="Arial"/>
                <w:sz w:val="18"/>
                <w:szCs w:val="18"/>
                <w:lang w:eastAsia="en-AU"/>
              </w:rPr>
            </w:pPr>
            <w:r w:rsidRPr="00527502">
              <w:rPr>
                <w:rFonts w:ascii="Arial Narrow" w:hAnsi="Arial Narrow" w:cs="Arial"/>
                <w:sz w:val="18"/>
                <w:szCs w:val="18"/>
                <w:lang w:eastAsia="en-AU"/>
              </w:rPr>
              <w:t>(iii) excoriation,</w:t>
            </w:r>
          </w:p>
          <w:p w14:paraId="21B97F79" w14:textId="77777777" w:rsidR="00C3721C" w:rsidRPr="00527502" w:rsidRDefault="00C3721C" w:rsidP="00816736">
            <w:pPr>
              <w:widowControl w:val="0"/>
              <w:ind w:left="-57"/>
              <w:textAlignment w:val="baseline"/>
              <w:rPr>
                <w:rFonts w:ascii="Arial Narrow" w:hAnsi="Arial Narrow" w:cs="Arial"/>
                <w:sz w:val="18"/>
                <w:szCs w:val="18"/>
                <w:lang w:eastAsia="en-AU"/>
              </w:rPr>
            </w:pPr>
            <w:r w:rsidRPr="00527502">
              <w:rPr>
                <w:rFonts w:ascii="Arial Narrow" w:hAnsi="Arial Narrow" w:cs="Arial"/>
                <w:sz w:val="18"/>
                <w:szCs w:val="18"/>
                <w:lang w:eastAsia="en-AU"/>
              </w:rPr>
              <w:t xml:space="preserve">(iv) </w:t>
            </w:r>
            <w:proofErr w:type="spellStart"/>
            <w:r w:rsidRPr="00527502">
              <w:rPr>
                <w:rFonts w:ascii="Arial Narrow" w:hAnsi="Arial Narrow" w:cs="Arial"/>
                <w:sz w:val="18"/>
                <w:szCs w:val="18"/>
                <w:lang w:eastAsia="en-AU"/>
              </w:rPr>
              <w:t>lichenification</w:t>
            </w:r>
            <w:proofErr w:type="spellEnd"/>
          </w:p>
          <w:p w14:paraId="645C0671" w14:textId="77777777" w:rsidR="00C3721C" w:rsidRPr="00527502" w:rsidRDefault="00C3721C" w:rsidP="00816736">
            <w:pPr>
              <w:widowControl w:val="0"/>
              <w:ind w:left="-57"/>
              <w:textAlignment w:val="baseline"/>
              <w:rPr>
                <w:rFonts w:ascii="Arial Narrow" w:hAnsi="Arial Narrow" w:cs="Arial"/>
                <w:sz w:val="18"/>
                <w:szCs w:val="18"/>
                <w:lang w:eastAsia="en-AU"/>
              </w:rPr>
            </w:pPr>
            <w:r w:rsidRPr="00527502">
              <w:rPr>
                <w:rFonts w:ascii="Arial Narrow" w:hAnsi="Arial Narrow" w:cs="Arial"/>
                <w:sz w:val="18"/>
                <w:szCs w:val="18"/>
                <w:lang w:eastAsia="en-AU"/>
              </w:rPr>
              <w:t>Acceptable scores can be:</w:t>
            </w:r>
          </w:p>
          <w:p w14:paraId="397013D0" w14:textId="77777777" w:rsidR="00C3721C" w:rsidRPr="00527502" w:rsidRDefault="00C3721C" w:rsidP="00816736">
            <w:pPr>
              <w:widowControl w:val="0"/>
              <w:ind w:left="-57"/>
              <w:textAlignment w:val="baseline"/>
              <w:rPr>
                <w:rFonts w:ascii="Arial Narrow" w:hAnsi="Arial Narrow" w:cs="Arial"/>
                <w:sz w:val="18"/>
                <w:szCs w:val="18"/>
                <w:lang w:eastAsia="en-AU"/>
              </w:rPr>
            </w:pPr>
            <w:r w:rsidRPr="00527502">
              <w:rPr>
                <w:rFonts w:ascii="Arial Narrow" w:hAnsi="Arial Narrow" w:cs="Arial"/>
                <w:sz w:val="18"/>
                <w:szCs w:val="18"/>
                <w:lang w:eastAsia="en-AU"/>
              </w:rPr>
              <w:t>(a) current scores; or</w:t>
            </w:r>
          </w:p>
          <w:p w14:paraId="1BB4E895" w14:textId="77777777" w:rsidR="00C3721C" w:rsidRPr="00527502" w:rsidRDefault="00C3721C" w:rsidP="00816736">
            <w:pPr>
              <w:widowControl w:val="0"/>
              <w:ind w:left="-57"/>
              <w:textAlignment w:val="baseline"/>
              <w:rPr>
                <w:rFonts w:ascii="Arial Narrow" w:hAnsi="Arial Narrow" w:cs="Arial"/>
                <w:sz w:val="18"/>
                <w:szCs w:val="18"/>
                <w:lang w:eastAsia="en-AU"/>
              </w:rPr>
            </w:pPr>
            <w:r w:rsidRPr="00527502">
              <w:rPr>
                <w:rFonts w:ascii="Arial Narrow" w:hAnsi="Arial Narrow" w:cs="Arial"/>
                <w:sz w:val="18"/>
                <w:szCs w:val="18"/>
                <w:lang w:eastAsia="en-AU"/>
              </w:rPr>
              <w:t>(b) past scores, including those previously quoted in a PBS authority application for another drug listed for this indication.</w:t>
            </w:r>
          </w:p>
          <w:p w14:paraId="064B63B0" w14:textId="77777777" w:rsidR="00C3721C" w:rsidRPr="00527502" w:rsidRDefault="00C3721C" w:rsidP="00816736">
            <w:pPr>
              <w:widowControl w:val="0"/>
              <w:ind w:left="-57"/>
              <w:textAlignment w:val="baseline"/>
              <w:rPr>
                <w:rFonts w:ascii="Arial Narrow" w:hAnsi="Arial Narrow" w:cs="Arial"/>
                <w:sz w:val="18"/>
                <w:szCs w:val="18"/>
                <w:lang w:eastAsia="en-AU"/>
              </w:rPr>
            </w:pPr>
            <w:r w:rsidRPr="00527502">
              <w:rPr>
                <w:rFonts w:ascii="Arial Narrow" w:hAnsi="Arial Narrow" w:cs="Arial"/>
                <w:sz w:val="18"/>
                <w:szCs w:val="18"/>
                <w:lang w:eastAsia="en-AU"/>
              </w:rPr>
              <w:t>State the percentage face/hand surface area affected by the condition (must be at least 30%) where EASI symptom sub-scores are not provided. This percentage surface area can also be stated in addition to the EASI symptom sub-scores.</w:t>
            </w:r>
          </w:p>
          <w:p w14:paraId="153C1C53" w14:textId="77777777" w:rsidR="00C3721C" w:rsidRPr="00527502" w:rsidRDefault="00C3721C" w:rsidP="00816736">
            <w:pPr>
              <w:widowControl w:val="0"/>
              <w:ind w:left="-57"/>
              <w:textAlignment w:val="baseline"/>
              <w:rPr>
                <w:rFonts w:ascii="Arial Narrow" w:hAnsi="Arial Narrow" w:cs="Arial"/>
                <w:sz w:val="18"/>
                <w:szCs w:val="18"/>
                <w:lang w:eastAsia="en-AU"/>
              </w:rPr>
            </w:pPr>
            <w:r w:rsidRPr="00527502">
              <w:rPr>
                <w:rFonts w:ascii="Arial Narrow" w:hAnsi="Arial Narrow" w:cs="Arial"/>
                <w:sz w:val="18"/>
                <w:szCs w:val="18"/>
                <w:lang w:eastAsia="en-AU"/>
              </w:rPr>
              <w:t>The EASI/percentage surface area and DLQI baseline measurements are to form the basis of determining if an adequate response to treatment has been achieved under the Continuing treatment restriction. In addition to stating them in this authority application, document them in the patient's medical records.</w:t>
            </w:r>
          </w:p>
          <w:p w14:paraId="3E175745"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527502">
              <w:rPr>
                <w:rFonts w:ascii="Arial Narrow" w:hAnsi="Arial Narrow" w:cs="Arial"/>
                <w:sz w:val="18"/>
                <w:szCs w:val="18"/>
                <w:lang w:eastAsia="en-AU"/>
              </w:rPr>
              <w:t>Document the details of the medium to high potency topical corticosteroids (or calcineurin inhibitors) initially trialled are in the patient's medical records.</w:t>
            </w:r>
          </w:p>
        </w:tc>
      </w:tr>
      <w:tr w:rsidR="00C3721C" w:rsidRPr="001A2DAE" w14:paraId="61B62EB9" w14:textId="77777777" w:rsidTr="00816736">
        <w:tc>
          <w:tcPr>
            <w:tcW w:w="1271" w:type="dxa"/>
          </w:tcPr>
          <w:p w14:paraId="40F2866D" w14:textId="7CC6CD4B"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331BE7C7"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r w:rsidRPr="001A2DAE">
              <w:rPr>
                <w:rFonts w:ascii="Arial Narrow" w:hAnsi="Arial Narrow" w:cs="Arial"/>
                <w:b/>
                <w:bCs/>
                <w:sz w:val="18"/>
                <w:szCs w:val="18"/>
                <w:bdr w:val="none" w:sz="0" w:space="0" w:color="auto" w:frame="1"/>
                <w:lang w:eastAsia="en-AU"/>
              </w:rPr>
              <w:t>Prescribing Instructions:</w:t>
            </w:r>
          </w:p>
          <w:p w14:paraId="50979183"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r w:rsidRPr="001A2DAE">
              <w:rPr>
                <w:rFonts w:ascii="Arial Narrow" w:hAnsi="Arial Narrow" w:cs="Arial"/>
                <w:sz w:val="18"/>
                <w:szCs w:val="18"/>
                <w:bdr w:val="none" w:sz="0" w:space="0" w:color="auto" w:frame="1"/>
                <w:lang w:eastAsia="en-AU"/>
              </w:rPr>
              <w:t>In a patient weighing no greater than 30 kg, prescribe up to 3 repeat prescriptions only – do not default to prescribing the listing’s specified number of repeats.</w:t>
            </w:r>
          </w:p>
        </w:tc>
      </w:tr>
      <w:tr w:rsidR="00C3721C" w:rsidRPr="001A2DAE" w14:paraId="1E0646C9" w14:textId="77777777" w:rsidTr="00816736">
        <w:tc>
          <w:tcPr>
            <w:tcW w:w="9351" w:type="dxa"/>
            <w:gridSpan w:val="2"/>
          </w:tcPr>
          <w:p w14:paraId="252B4AC5"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p>
          <w:p w14:paraId="08E0400F"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p>
        </w:tc>
      </w:tr>
      <w:tr w:rsidR="00C3721C" w:rsidRPr="001A2DAE" w14:paraId="43021EFB" w14:textId="77777777" w:rsidTr="00816736">
        <w:tc>
          <w:tcPr>
            <w:tcW w:w="9351" w:type="dxa"/>
            <w:gridSpan w:val="2"/>
          </w:tcPr>
          <w:p w14:paraId="71D63D7F"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r w:rsidRPr="001A2DAE">
              <w:rPr>
                <w:rFonts w:ascii="Arial Narrow" w:hAnsi="Arial Narrow" w:cs="Arial"/>
                <w:b/>
                <w:bCs/>
                <w:sz w:val="18"/>
                <w:szCs w:val="18"/>
                <w:bdr w:val="none" w:sz="0" w:space="0" w:color="auto" w:frame="1"/>
                <w:lang w:eastAsia="en-AU"/>
              </w:rPr>
              <w:t xml:space="preserve">Restriction Summary 11377 / </w:t>
            </w:r>
            <w:proofErr w:type="spellStart"/>
            <w:r w:rsidRPr="001A2DAE">
              <w:rPr>
                <w:rFonts w:ascii="Arial Narrow" w:hAnsi="Arial Narrow" w:cs="Arial"/>
                <w:b/>
                <w:bCs/>
                <w:sz w:val="18"/>
                <w:szCs w:val="18"/>
                <w:bdr w:val="none" w:sz="0" w:space="0" w:color="auto" w:frame="1"/>
                <w:lang w:eastAsia="en-AU"/>
              </w:rPr>
              <w:t>ToC</w:t>
            </w:r>
            <w:proofErr w:type="spellEnd"/>
            <w:r w:rsidRPr="001A2DAE">
              <w:rPr>
                <w:rFonts w:ascii="Arial Narrow" w:hAnsi="Arial Narrow" w:cs="Arial"/>
                <w:b/>
                <w:bCs/>
                <w:sz w:val="18"/>
                <w:szCs w:val="18"/>
                <w:bdr w:val="none" w:sz="0" w:space="0" w:color="auto" w:frame="1"/>
                <w:lang w:eastAsia="en-AU"/>
              </w:rPr>
              <w:t>: 11377</w:t>
            </w:r>
          </w:p>
        </w:tc>
      </w:tr>
      <w:tr w:rsidR="00C3721C" w:rsidRPr="001A2DAE" w14:paraId="4EFD3C67" w14:textId="77777777" w:rsidTr="000E35FA">
        <w:tc>
          <w:tcPr>
            <w:tcW w:w="1271" w:type="dxa"/>
          </w:tcPr>
          <w:p w14:paraId="436B681D" w14:textId="71BEA4D6"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A85EDB7"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 xml:space="preserve">Indication: </w:t>
            </w:r>
            <w:r w:rsidRPr="001A2DAE">
              <w:rPr>
                <w:rFonts w:ascii="Arial Narrow" w:hAnsi="Arial Narrow" w:cs="Arial"/>
                <w:sz w:val="18"/>
                <w:szCs w:val="18"/>
                <w:lang w:eastAsia="en-AU"/>
              </w:rPr>
              <w:t>Chronic severe atopic dermatitis</w:t>
            </w:r>
          </w:p>
        </w:tc>
      </w:tr>
      <w:tr w:rsidR="00C3721C" w:rsidRPr="001A2DAE" w14:paraId="3B4429B7" w14:textId="77777777" w:rsidTr="00816736">
        <w:tc>
          <w:tcPr>
            <w:tcW w:w="1271" w:type="dxa"/>
          </w:tcPr>
          <w:p w14:paraId="64031ABA"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66252D35"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11D82F48" w14:textId="77777777" w:rsidTr="000E35FA">
        <w:tc>
          <w:tcPr>
            <w:tcW w:w="1271" w:type="dxa"/>
          </w:tcPr>
          <w:p w14:paraId="410114B1"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6183A184"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 xml:space="preserve">Treatment Phase: </w:t>
            </w:r>
            <w:r w:rsidRPr="001A2DAE">
              <w:rPr>
                <w:rFonts w:ascii="Arial Narrow" w:hAnsi="Arial Narrow" w:cs="Arial"/>
                <w:sz w:val="18"/>
                <w:szCs w:val="18"/>
                <w:lang w:eastAsia="en-AU"/>
              </w:rPr>
              <w:t>Continuing or resuming treatment of the face and/or hands</w:t>
            </w:r>
          </w:p>
        </w:tc>
      </w:tr>
      <w:tr w:rsidR="00C3721C" w:rsidRPr="001A2DAE" w14:paraId="425A5A2C" w14:textId="77777777" w:rsidTr="00816736">
        <w:trPr>
          <w:trHeight w:val="103"/>
        </w:trPr>
        <w:tc>
          <w:tcPr>
            <w:tcW w:w="1271" w:type="dxa"/>
          </w:tcPr>
          <w:p w14:paraId="2D9A86F8"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1C389935" w14:textId="77777777" w:rsidR="00C3721C" w:rsidRPr="001A2DAE" w:rsidRDefault="00C3721C" w:rsidP="00816736">
            <w:pPr>
              <w:widowControl w:val="0"/>
              <w:ind w:left="-57"/>
              <w:textAlignment w:val="baseline"/>
              <w:rPr>
                <w:rFonts w:ascii="Arial Narrow" w:hAnsi="Arial Narrow" w:cs="Arial"/>
                <w:sz w:val="18"/>
                <w:szCs w:val="18"/>
                <w:lang w:eastAsia="en-AU"/>
              </w:rPr>
            </w:pPr>
          </w:p>
        </w:tc>
      </w:tr>
      <w:tr w:rsidR="00C3721C" w:rsidRPr="001A2DAE" w14:paraId="0C3F1C0E" w14:textId="77777777" w:rsidTr="00816736">
        <w:trPr>
          <w:trHeight w:val="53"/>
        </w:trPr>
        <w:tc>
          <w:tcPr>
            <w:tcW w:w="1271" w:type="dxa"/>
          </w:tcPr>
          <w:p w14:paraId="1F42349C"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49E90A5B" w14:textId="77777777" w:rsidR="00C3721C" w:rsidRPr="001A2DAE" w:rsidRDefault="00C3721C" w:rsidP="00816736">
            <w:pPr>
              <w:widowControl w:val="0"/>
              <w:ind w:left="-57"/>
              <w:rPr>
                <w:rFonts w:ascii="Arial Narrow" w:hAnsi="Arial Narrow" w:cs="Arial"/>
                <w:sz w:val="18"/>
                <w:szCs w:val="18"/>
                <w:lang w:eastAsia="en-AU"/>
              </w:rPr>
            </w:pPr>
          </w:p>
        </w:tc>
      </w:tr>
      <w:tr w:rsidR="00C3721C" w:rsidRPr="001A2DAE" w14:paraId="25CA9E77" w14:textId="77777777" w:rsidTr="00816736">
        <w:trPr>
          <w:trHeight w:val="53"/>
        </w:trPr>
        <w:tc>
          <w:tcPr>
            <w:tcW w:w="1271" w:type="dxa"/>
          </w:tcPr>
          <w:p w14:paraId="6C23F423"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3A59E59E" w14:textId="77777777" w:rsidR="00C3721C" w:rsidRPr="001A2DAE" w:rsidRDefault="00C3721C" w:rsidP="00816736">
            <w:pPr>
              <w:widowControl w:val="0"/>
              <w:ind w:left="-57"/>
              <w:rPr>
                <w:rFonts w:ascii="Arial Narrow" w:hAnsi="Arial Narrow" w:cs="Arial"/>
                <w:b/>
                <w:bCs/>
                <w:sz w:val="18"/>
                <w:szCs w:val="18"/>
                <w:lang w:eastAsia="en-AU"/>
              </w:rPr>
            </w:pPr>
          </w:p>
        </w:tc>
      </w:tr>
      <w:tr w:rsidR="00C3721C" w:rsidRPr="001A2DAE" w14:paraId="3ACDB70A" w14:textId="77777777" w:rsidTr="000E35FA">
        <w:tc>
          <w:tcPr>
            <w:tcW w:w="1271" w:type="dxa"/>
          </w:tcPr>
          <w:p w14:paraId="692DFA51" w14:textId="39C6A9D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23E8F362"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021F6113" w14:textId="77777777" w:rsidTr="000E35FA">
        <w:tc>
          <w:tcPr>
            <w:tcW w:w="1271" w:type="dxa"/>
          </w:tcPr>
          <w:p w14:paraId="00F3DC91" w14:textId="156E7FF0"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266169AA"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have received PBS-subsidised treatment with this biological medicine for the treatment of chronic severe atopic dermatitis affecting the face/hands</w:t>
            </w:r>
          </w:p>
        </w:tc>
      </w:tr>
      <w:tr w:rsidR="00C3721C" w:rsidRPr="001A2DAE" w14:paraId="1CBB5422" w14:textId="77777777" w:rsidTr="000E35FA">
        <w:tc>
          <w:tcPr>
            <w:tcW w:w="1271" w:type="dxa"/>
          </w:tcPr>
          <w:p w14:paraId="08DBCB5E"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73158C7C"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1866682E" w14:textId="77777777" w:rsidTr="000E35FA">
        <w:tc>
          <w:tcPr>
            <w:tcW w:w="1271" w:type="dxa"/>
          </w:tcPr>
          <w:p w14:paraId="59975C44" w14:textId="4B2EE411"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1EBB7439"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7577EEBD" w14:textId="77777777" w:rsidTr="000E35FA">
        <w:tc>
          <w:tcPr>
            <w:tcW w:w="1271" w:type="dxa"/>
          </w:tcPr>
          <w:p w14:paraId="2BB76C67" w14:textId="60F03DC2"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6C66E08"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have achieved an adequate response within the first 16 weeks of treatment; or</w:t>
            </w:r>
          </w:p>
        </w:tc>
      </w:tr>
      <w:tr w:rsidR="00C3721C" w:rsidRPr="001A2DAE" w14:paraId="2A82BB10" w14:textId="77777777" w:rsidTr="000E35FA">
        <w:tc>
          <w:tcPr>
            <w:tcW w:w="1271" w:type="dxa"/>
          </w:tcPr>
          <w:p w14:paraId="150EAD97" w14:textId="7B7E36A8"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6F26471B"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have maintained an adequate response to their most recent course of PBS-subsidised treatment with this biological medicine for this PBS indication if this is the second or subsequent Continuing treatment authority application; or</w:t>
            </w:r>
          </w:p>
        </w:tc>
      </w:tr>
      <w:tr w:rsidR="00C3721C" w:rsidRPr="001A2DAE" w14:paraId="4C8ABEF5" w14:textId="77777777" w:rsidTr="000E35FA">
        <w:tc>
          <w:tcPr>
            <w:tcW w:w="1271" w:type="dxa"/>
          </w:tcPr>
          <w:p w14:paraId="744F3026" w14:textId="3403BC8C"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1CF70BC1"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have temporarily ceased treatment for reasons other than lack of response (</w:t>
            </w:r>
            <w:proofErr w:type="gramStart"/>
            <w:r w:rsidRPr="001A2DAE">
              <w:rPr>
                <w:rFonts w:ascii="Arial Narrow" w:hAnsi="Arial Narrow" w:cs="Arial"/>
                <w:sz w:val="18"/>
                <w:szCs w:val="18"/>
                <w:lang w:eastAsia="en-AU"/>
              </w:rPr>
              <w:t>e.g.</w:t>
            </w:r>
            <w:proofErr w:type="gramEnd"/>
            <w:r w:rsidRPr="001A2DAE">
              <w:rPr>
                <w:rFonts w:ascii="Arial Narrow" w:hAnsi="Arial Narrow" w:cs="Arial"/>
                <w:sz w:val="18"/>
                <w:szCs w:val="18"/>
                <w:lang w:eastAsia="en-AU"/>
              </w:rPr>
              <w:t xml:space="preserve"> family planning, vaccination with live vaccines, adverse-effect investigation), thereby being unable to achieve/maintain an adequate response immediately prior to this authority application</w:t>
            </w:r>
          </w:p>
        </w:tc>
      </w:tr>
      <w:tr w:rsidR="00C3721C" w:rsidRPr="001A2DAE" w14:paraId="7C04A425" w14:textId="77777777" w:rsidTr="000E35FA">
        <w:tc>
          <w:tcPr>
            <w:tcW w:w="1271" w:type="dxa"/>
          </w:tcPr>
          <w:p w14:paraId="01CCA0AA"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223C3D33"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702533E4" w14:textId="77777777" w:rsidTr="000E35FA">
        <w:tc>
          <w:tcPr>
            <w:tcW w:w="1271" w:type="dxa"/>
          </w:tcPr>
          <w:p w14:paraId="591A0F62" w14:textId="0E6527E5"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57CD0AD3"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1F8444AC" w14:textId="77777777" w:rsidTr="000E35FA">
        <w:tc>
          <w:tcPr>
            <w:tcW w:w="1271" w:type="dxa"/>
          </w:tcPr>
          <w:p w14:paraId="5E44999A" w14:textId="59B83848"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8C598D1"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The treatment must be the sole PBS-subsidised biological medicine for this PBS indication</w:t>
            </w:r>
          </w:p>
        </w:tc>
      </w:tr>
      <w:tr w:rsidR="00C3721C" w:rsidRPr="001A2DAE" w14:paraId="738A4A47" w14:textId="77777777" w:rsidTr="000E35FA">
        <w:tc>
          <w:tcPr>
            <w:tcW w:w="1271" w:type="dxa"/>
          </w:tcPr>
          <w:p w14:paraId="304B3D8C"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5184ED23"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4F008649" w14:textId="77777777" w:rsidTr="000E35FA">
        <w:tc>
          <w:tcPr>
            <w:tcW w:w="1271" w:type="dxa"/>
          </w:tcPr>
          <w:p w14:paraId="1B507B95" w14:textId="0B5415ED"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79A1CB48"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Treatment criteria:</w:t>
            </w:r>
          </w:p>
        </w:tc>
      </w:tr>
      <w:tr w:rsidR="00C3721C" w:rsidRPr="001A2DAE" w14:paraId="28A7C5DE" w14:textId="77777777" w:rsidTr="000E35FA">
        <w:tc>
          <w:tcPr>
            <w:tcW w:w="1271" w:type="dxa"/>
          </w:tcPr>
          <w:p w14:paraId="622C858B" w14:textId="33D9CA90"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610C1C55"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Must be treated by a dermatologist; or</w:t>
            </w:r>
          </w:p>
        </w:tc>
      </w:tr>
      <w:tr w:rsidR="00C3721C" w:rsidRPr="001A2DAE" w14:paraId="59C0F1B5" w14:textId="77777777" w:rsidTr="000E35FA">
        <w:tc>
          <w:tcPr>
            <w:tcW w:w="1271" w:type="dxa"/>
          </w:tcPr>
          <w:p w14:paraId="475E9915" w14:textId="453CC942"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1323A6C1"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Must be treated by a clinical immunologist</w:t>
            </w:r>
          </w:p>
        </w:tc>
      </w:tr>
      <w:tr w:rsidR="00C3721C" w:rsidRPr="001A2DAE" w14:paraId="6D6A12B3" w14:textId="77777777" w:rsidTr="00816736">
        <w:tc>
          <w:tcPr>
            <w:tcW w:w="1271" w:type="dxa"/>
          </w:tcPr>
          <w:p w14:paraId="5A05A46A"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2581536C" w14:textId="77777777" w:rsidR="00C3721C" w:rsidRPr="001A2DAE" w:rsidRDefault="00C3721C" w:rsidP="00816736">
            <w:pPr>
              <w:widowControl w:val="0"/>
              <w:ind w:left="-57"/>
              <w:rPr>
                <w:rFonts w:ascii="Arial Narrow" w:hAnsi="Arial Narrow" w:cs="Arial"/>
                <w:b/>
                <w:bCs/>
                <w:sz w:val="18"/>
                <w:szCs w:val="18"/>
                <w:lang w:eastAsia="en-AU"/>
              </w:rPr>
            </w:pPr>
            <w:r w:rsidRPr="001A2DAE">
              <w:rPr>
                <w:rFonts w:ascii="Arial Narrow" w:hAnsi="Arial Narrow" w:cs="Arial"/>
                <w:b/>
                <w:bCs/>
                <w:sz w:val="18"/>
                <w:szCs w:val="18"/>
                <w:lang w:eastAsia="en-AU"/>
              </w:rPr>
              <w:t>AND</w:t>
            </w:r>
          </w:p>
        </w:tc>
      </w:tr>
      <w:tr w:rsidR="00C3721C" w:rsidRPr="001A2DAE" w14:paraId="65A2F43A" w14:textId="77777777" w:rsidTr="00816736">
        <w:tc>
          <w:tcPr>
            <w:tcW w:w="1271" w:type="dxa"/>
          </w:tcPr>
          <w:p w14:paraId="195C4D46" w14:textId="4801C5BD"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050D2DCE"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Population criteria:</w:t>
            </w:r>
          </w:p>
        </w:tc>
      </w:tr>
      <w:tr w:rsidR="00C3721C" w:rsidRPr="001A2DAE" w14:paraId="559B9C4A" w14:textId="77777777" w:rsidTr="00816736">
        <w:tc>
          <w:tcPr>
            <w:tcW w:w="1271" w:type="dxa"/>
          </w:tcPr>
          <w:p w14:paraId="37803E58" w14:textId="070BB88F"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4DE497AD"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be 12 years of age or older; or</w:t>
            </w:r>
          </w:p>
        </w:tc>
      </w:tr>
      <w:tr w:rsidR="00C3721C" w:rsidRPr="001A2DAE" w14:paraId="2F225571" w14:textId="77777777" w:rsidTr="00816736">
        <w:tc>
          <w:tcPr>
            <w:tcW w:w="1271" w:type="dxa"/>
          </w:tcPr>
          <w:p w14:paraId="4DC7B7EC" w14:textId="67B3F1B5"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01E7A7F0" w14:textId="77777777" w:rsidR="00C3721C" w:rsidRPr="001A2DAE" w:rsidDel="00527502" w:rsidRDefault="00C3721C" w:rsidP="00816736">
            <w:pPr>
              <w:widowControl w:val="0"/>
              <w:ind w:left="-57"/>
              <w:rPr>
                <w:rFonts w:ascii="Arial Narrow" w:hAnsi="Arial Narrow" w:cs="Arial"/>
                <w:sz w:val="18"/>
                <w:szCs w:val="18"/>
                <w:lang w:eastAsia="en-AU"/>
              </w:rPr>
            </w:pPr>
            <w:r w:rsidRPr="001A2DAE">
              <w:rPr>
                <w:rFonts w:ascii="Arial Narrow" w:hAnsi="Arial Narrow" w:cs="Arial"/>
                <w:i/>
                <w:iCs/>
                <w:sz w:val="18"/>
                <w:szCs w:val="18"/>
                <w:lang w:eastAsia="en-AU"/>
              </w:rPr>
              <w:t>Patient must be less than 12 years of age</w:t>
            </w:r>
          </w:p>
        </w:tc>
      </w:tr>
      <w:tr w:rsidR="00C3721C" w:rsidRPr="001A2DAE" w14:paraId="21713F9C" w14:textId="77777777" w:rsidTr="00816736">
        <w:tc>
          <w:tcPr>
            <w:tcW w:w="1271" w:type="dxa"/>
          </w:tcPr>
          <w:p w14:paraId="53348CD2"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220B2AAF" w14:textId="77777777" w:rsidR="00C3721C" w:rsidRPr="001A2DAE" w:rsidDel="00527502" w:rsidRDefault="00C3721C" w:rsidP="00816736">
            <w:pPr>
              <w:widowControl w:val="0"/>
              <w:ind w:left="-57"/>
              <w:rPr>
                <w:rFonts w:ascii="Arial Narrow" w:hAnsi="Arial Narrow" w:cs="Arial"/>
                <w:sz w:val="18"/>
                <w:szCs w:val="18"/>
                <w:lang w:eastAsia="en-AU"/>
              </w:rPr>
            </w:pPr>
          </w:p>
        </w:tc>
      </w:tr>
      <w:tr w:rsidR="00C3721C" w:rsidRPr="001A2DAE" w14:paraId="00C5CC03" w14:textId="77777777" w:rsidTr="000E35FA">
        <w:tc>
          <w:tcPr>
            <w:tcW w:w="1271" w:type="dxa"/>
          </w:tcPr>
          <w:p w14:paraId="39CFD25D" w14:textId="7D4C8996"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74C612A6"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Prescribing Instructions:</w:t>
            </w:r>
          </w:p>
          <w:p w14:paraId="6DC6547A"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For the purposes of this restriction, an adequate response to treatment of the face/hands is defined as:</w:t>
            </w:r>
          </w:p>
          <w:p w14:paraId="6CA3B4FE"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(a) (</w:t>
            </w:r>
            <w:proofErr w:type="spellStart"/>
            <w:r w:rsidRPr="001A2DAE">
              <w:rPr>
                <w:rFonts w:ascii="Arial Narrow" w:hAnsi="Arial Narrow" w:cs="Arial"/>
                <w:sz w:val="18"/>
                <w:szCs w:val="18"/>
                <w:lang w:eastAsia="en-AU"/>
              </w:rPr>
              <w:t>i</w:t>
            </w:r>
            <w:proofErr w:type="spellEnd"/>
            <w:r w:rsidRPr="001A2DAE">
              <w:rPr>
                <w:rFonts w:ascii="Arial Narrow" w:hAnsi="Arial Narrow" w:cs="Arial"/>
                <w:sz w:val="18"/>
                <w:szCs w:val="18"/>
                <w:lang w:eastAsia="en-AU"/>
              </w:rPr>
              <w:t xml:space="preserve">) A rating of either mild (1) to none (0) on at least 3 of the assessments of erythema, oedema/papulation, excoriation and </w:t>
            </w:r>
            <w:proofErr w:type="spellStart"/>
            <w:r w:rsidRPr="001A2DAE">
              <w:rPr>
                <w:rFonts w:ascii="Arial Narrow" w:hAnsi="Arial Narrow" w:cs="Arial"/>
                <w:sz w:val="18"/>
                <w:szCs w:val="18"/>
                <w:lang w:eastAsia="en-AU"/>
              </w:rPr>
              <w:t>lichenification</w:t>
            </w:r>
            <w:proofErr w:type="spellEnd"/>
            <w:r w:rsidRPr="001A2DAE">
              <w:rPr>
                <w:rFonts w:ascii="Arial Narrow" w:hAnsi="Arial Narrow" w:cs="Arial"/>
                <w:sz w:val="18"/>
                <w:szCs w:val="18"/>
                <w:lang w:eastAsia="en-AU"/>
              </w:rPr>
              <w:t xml:space="preserve"> mentioned in the Eczema Area and Severity Index (EASI); or</w:t>
            </w:r>
          </w:p>
          <w:p w14:paraId="5F636B08"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lastRenderedPageBreak/>
              <w:t xml:space="preserve">(ii) At least a 75% reduction in the skin area affected by this condition compared to </w:t>
            </w:r>
            <w:proofErr w:type="gramStart"/>
            <w:r w:rsidRPr="001A2DAE">
              <w:rPr>
                <w:rFonts w:ascii="Arial Narrow" w:hAnsi="Arial Narrow" w:cs="Arial"/>
                <w:sz w:val="18"/>
                <w:szCs w:val="18"/>
                <w:lang w:eastAsia="en-AU"/>
              </w:rPr>
              <w:t>baseline;</w:t>
            </w:r>
            <w:proofErr w:type="gramEnd"/>
            <w:r w:rsidRPr="001A2DAE">
              <w:rPr>
                <w:rFonts w:ascii="Arial Narrow" w:hAnsi="Arial Narrow" w:cs="Arial"/>
                <w:sz w:val="18"/>
                <w:szCs w:val="18"/>
                <w:lang w:eastAsia="en-AU"/>
              </w:rPr>
              <w:t xml:space="preserve"> and</w:t>
            </w:r>
          </w:p>
          <w:p w14:paraId="040E0E5E"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(b) An improvement in Dermatology Life Quality Index (DLQI) score of at least 4 points compared to baseline</w:t>
            </w:r>
          </w:p>
          <w:p w14:paraId="2A49D450"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Where an initial baseline (post-topical corticosteroid, pre-biological medicine) DLQI score was not measured for a patient who had commenced treatment through a clinical trial, early access program or through private, non-PBS-subsidised supply, an absence of worsening in the current DLQI score compared to that measured at the time of the 'Grandfather listing' authority application will suffice as an adequate response for requirement (b) above.</w:t>
            </w:r>
          </w:p>
          <w:p w14:paraId="6D62C253"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Document each qualifying response measure in the patient's medical records for PBS compliance auditing purposes</w:t>
            </w:r>
          </w:p>
        </w:tc>
      </w:tr>
      <w:tr w:rsidR="00C3721C" w:rsidRPr="001A2DAE" w14:paraId="3D19DE27" w14:textId="77777777" w:rsidTr="00816736">
        <w:tc>
          <w:tcPr>
            <w:tcW w:w="1271" w:type="dxa"/>
          </w:tcPr>
          <w:p w14:paraId="3AC3F759" w14:textId="54B0FDFE"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0AF4E482"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r w:rsidRPr="001A2DAE">
              <w:rPr>
                <w:rFonts w:ascii="Arial Narrow" w:hAnsi="Arial Narrow" w:cs="Arial"/>
                <w:b/>
                <w:bCs/>
                <w:sz w:val="18"/>
                <w:szCs w:val="18"/>
                <w:bdr w:val="none" w:sz="0" w:space="0" w:color="auto" w:frame="1"/>
                <w:lang w:eastAsia="en-AU"/>
              </w:rPr>
              <w:t>Prescribing Instructions:</w:t>
            </w:r>
          </w:p>
          <w:p w14:paraId="6FEEF42A"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r w:rsidRPr="001A2DAE">
              <w:rPr>
                <w:rFonts w:ascii="Arial Narrow" w:hAnsi="Arial Narrow" w:cs="Arial"/>
                <w:sz w:val="18"/>
                <w:szCs w:val="18"/>
                <w:bdr w:val="none" w:sz="0" w:space="0" w:color="auto" w:frame="1"/>
                <w:lang w:eastAsia="en-AU"/>
              </w:rPr>
              <w:t>In a patient weighing no greater than 30 kg, prescribe up to 3 repeat prescriptions only – do not default to prescribing the listing’s specified number of repeats.</w:t>
            </w:r>
          </w:p>
        </w:tc>
      </w:tr>
      <w:tr w:rsidR="00C3721C" w:rsidRPr="001A2DAE" w14:paraId="3728BA11" w14:textId="77777777" w:rsidTr="00816736">
        <w:tc>
          <w:tcPr>
            <w:tcW w:w="9351" w:type="dxa"/>
            <w:gridSpan w:val="2"/>
          </w:tcPr>
          <w:p w14:paraId="246C516A"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p>
          <w:p w14:paraId="6A7C21C7"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p>
        </w:tc>
      </w:tr>
      <w:tr w:rsidR="00C3721C" w:rsidRPr="001A2DAE" w14:paraId="5E26EDDC" w14:textId="77777777" w:rsidTr="00816736">
        <w:tc>
          <w:tcPr>
            <w:tcW w:w="9351" w:type="dxa"/>
            <w:gridSpan w:val="2"/>
          </w:tcPr>
          <w:p w14:paraId="3076F1CC"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r w:rsidRPr="001A2DAE">
              <w:rPr>
                <w:rFonts w:ascii="Arial Narrow" w:hAnsi="Arial Narrow" w:cs="Arial"/>
                <w:b/>
                <w:bCs/>
                <w:sz w:val="18"/>
                <w:szCs w:val="18"/>
                <w:bdr w:val="none" w:sz="0" w:space="0" w:color="auto" w:frame="1"/>
                <w:lang w:eastAsia="en-AU"/>
              </w:rPr>
              <w:t xml:space="preserve">Restriction Summary 11504 / </w:t>
            </w:r>
            <w:proofErr w:type="spellStart"/>
            <w:r w:rsidRPr="001A2DAE">
              <w:rPr>
                <w:rFonts w:ascii="Arial Narrow" w:hAnsi="Arial Narrow" w:cs="Arial"/>
                <w:b/>
                <w:bCs/>
                <w:sz w:val="18"/>
                <w:szCs w:val="18"/>
                <w:bdr w:val="none" w:sz="0" w:space="0" w:color="auto" w:frame="1"/>
                <w:lang w:eastAsia="en-AU"/>
              </w:rPr>
              <w:t>ToC</w:t>
            </w:r>
            <w:proofErr w:type="spellEnd"/>
            <w:r w:rsidRPr="001A2DAE">
              <w:rPr>
                <w:rFonts w:ascii="Arial Narrow" w:hAnsi="Arial Narrow" w:cs="Arial"/>
                <w:b/>
                <w:bCs/>
                <w:sz w:val="18"/>
                <w:szCs w:val="18"/>
                <w:bdr w:val="none" w:sz="0" w:space="0" w:color="auto" w:frame="1"/>
                <w:lang w:eastAsia="en-AU"/>
              </w:rPr>
              <w:t>: 11425</w:t>
            </w:r>
          </w:p>
        </w:tc>
      </w:tr>
      <w:tr w:rsidR="00C3721C" w:rsidRPr="001A2DAE" w14:paraId="4B989256" w14:textId="77777777" w:rsidTr="000E35FA">
        <w:tc>
          <w:tcPr>
            <w:tcW w:w="1271" w:type="dxa"/>
          </w:tcPr>
          <w:p w14:paraId="167FE718" w14:textId="250CE47F"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3D132D9"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 xml:space="preserve">Indication: </w:t>
            </w:r>
            <w:r w:rsidRPr="001A2DAE">
              <w:rPr>
                <w:rFonts w:ascii="Arial Narrow" w:hAnsi="Arial Narrow" w:cs="Arial"/>
                <w:sz w:val="18"/>
                <w:szCs w:val="18"/>
                <w:lang w:eastAsia="en-AU"/>
              </w:rPr>
              <w:t>Chronic severe atopic dermatitis</w:t>
            </w:r>
          </w:p>
        </w:tc>
      </w:tr>
      <w:tr w:rsidR="00C3721C" w:rsidRPr="001A2DAE" w14:paraId="5A26B11D" w14:textId="77777777" w:rsidTr="00816736">
        <w:tc>
          <w:tcPr>
            <w:tcW w:w="1271" w:type="dxa"/>
          </w:tcPr>
          <w:p w14:paraId="3732CF79"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334E33D1"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1394F4F8" w14:textId="77777777" w:rsidTr="000E35FA">
        <w:tc>
          <w:tcPr>
            <w:tcW w:w="1271" w:type="dxa"/>
          </w:tcPr>
          <w:p w14:paraId="19659DB9"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6A60832B"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 xml:space="preserve">Treatment Phase: </w:t>
            </w:r>
            <w:r w:rsidRPr="001A2DAE">
              <w:rPr>
                <w:rFonts w:ascii="Arial Narrow" w:hAnsi="Arial Narrow" w:cs="Arial"/>
                <w:sz w:val="18"/>
                <w:szCs w:val="18"/>
                <w:lang w:eastAsia="en-AU"/>
              </w:rPr>
              <w:t>Transitioning from non-PBS to PBS-subsidised supply - treatment of the whole body (Grandfather listing)</w:t>
            </w:r>
          </w:p>
        </w:tc>
      </w:tr>
      <w:tr w:rsidR="00C3721C" w:rsidRPr="001A2DAE" w14:paraId="66E539FC" w14:textId="77777777" w:rsidTr="00816736">
        <w:tc>
          <w:tcPr>
            <w:tcW w:w="1271" w:type="dxa"/>
          </w:tcPr>
          <w:p w14:paraId="54869A98"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tcPr>
          <w:p w14:paraId="4AE5A484"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7DB06BEB" w14:textId="77777777" w:rsidTr="000E35FA">
        <w:tc>
          <w:tcPr>
            <w:tcW w:w="1271" w:type="dxa"/>
          </w:tcPr>
          <w:p w14:paraId="02EE772E" w14:textId="7AA6B333"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115ED224"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5561FDF8" w14:textId="77777777" w:rsidTr="00816736">
        <w:tc>
          <w:tcPr>
            <w:tcW w:w="1271" w:type="dxa"/>
          </w:tcPr>
          <w:p w14:paraId="74291A18" w14:textId="6835AE46"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67DAF125" w14:textId="77777777" w:rsidR="00C3721C" w:rsidRPr="001A2DAE" w:rsidRDefault="00C3721C" w:rsidP="00816736">
            <w:pPr>
              <w:widowControl w:val="0"/>
              <w:ind w:left="-57"/>
              <w:textAlignment w:val="baseline"/>
              <w:rPr>
                <w:rFonts w:ascii="Arial Narrow" w:hAnsi="Arial Narrow" w:cs="Arial"/>
                <w:strike/>
                <w:sz w:val="18"/>
                <w:szCs w:val="18"/>
                <w:bdr w:val="none" w:sz="0" w:space="0" w:color="auto" w:frame="1"/>
                <w:lang w:eastAsia="en-AU"/>
              </w:rPr>
            </w:pPr>
            <w:r w:rsidRPr="001A2DAE">
              <w:rPr>
                <w:rFonts w:ascii="Arial Narrow" w:hAnsi="Arial Narrow" w:cs="Arial"/>
                <w:strike/>
                <w:sz w:val="18"/>
                <w:szCs w:val="18"/>
                <w:bdr w:val="none" w:sz="0" w:space="0" w:color="auto" w:frame="1"/>
                <w:lang w:eastAsia="en-AU"/>
              </w:rPr>
              <w:t>Patient must have been receiving treatment with this biological medicine for this PBS indication prior to 1 March 2021</w:t>
            </w:r>
          </w:p>
        </w:tc>
      </w:tr>
      <w:tr w:rsidR="00C3721C" w:rsidRPr="001A2DAE" w14:paraId="74C9510A" w14:textId="77777777" w:rsidTr="00816736">
        <w:tc>
          <w:tcPr>
            <w:tcW w:w="1271" w:type="dxa"/>
          </w:tcPr>
          <w:p w14:paraId="0E3B765A" w14:textId="34A361DA"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1A3816A4" w14:textId="77777777" w:rsidR="00C3721C" w:rsidRPr="001A2DAE" w:rsidRDefault="00C3721C" w:rsidP="00816736">
            <w:pPr>
              <w:widowControl w:val="0"/>
              <w:ind w:left="-57"/>
              <w:rPr>
                <w:rFonts w:ascii="Arial Narrow" w:hAnsi="Arial Narrow" w:cs="Arial"/>
                <w:i/>
                <w:iCs/>
                <w:sz w:val="18"/>
                <w:szCs w:val="18"/>
                <w:lang w:eastAsia="en-AU"/>
              </w:rPr>
            </w:pPr>
            <w:r w:rsidRPr="001A2DAE">
              <w:rPr>
                <w:rFonts w:ascii="Arial Narrow" w:hAnsi="Arial Narrow" w:cs="Arial"/>
                <w:i/>
                <w:iCs/>
                <w:sz w:val="18"/>
                <w:szCs w:val="18"/>
                <w:lang w:eastAsia="en-AU"/>
              </w:rPr>
              <w:t>Patient must be continuing treatment with this biological medicine that has been initiated</w:t>
            </w:r>
            <w:r>
              <w:rPr>
                <w:rFonts w:ascii="Arial Narrow" w:hAnsi="Arial Narrow" w:cs="Arial"/>
                <w:i/>
                <w:iCs/>
                <w:sz w:val="18"/>
                <w:szCs w:val="18"/>
                <w:lang w:eastAsia="en-AU"/>
              </w:rPr>
              <w:t xml:space="preserve"> as non-PBS supply</w:t>
            </w:r>
            <w:r w:rsidRPr="001A2DAE">
              <w:rPr>
                <w:rFonts w:ascii="Arial Narrow" w:hAnsi="Arial Narrow" w:cs="Arial"/>
                <w:i/>
                <w:iCs/>
                <w:sz w:val="18"/>
                <w:szCs w:val="18"/>
                <w:lang w:eastAsia="en-AU"/>
              </w:rPr>
              <w:t xml:space="preserve"> for this PBS indication in a patient aged less than 12 years, prior to [insert listing date here 1 Month 202X]</w:t>
            </w:r>
          </w:p>
        </w:tc>
      </w:tr>
      <w:tr w:rsidR="00C3721C" w:rsidRPr="001A2DAE" w14:paraId="7E50650E" w14:textId="77777777" w:rsidTr="000E35FA">
        <w:tc>
          <w:tcPr>
            <w:tcW w:w="1271" w:type="dxa"/>
          </w:tcPr>
          <w:p w14:paraId="6A36E710"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574B4985"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1E18CE03" w14:textId="77777777" w:rsidTr="000E35FA">
        <w:tc>
          <w:tcPr>
            <w:tcW w:w="1271" w:type="dxa"/>
          </w:tcPr>
          <w:p w14:paraId="6D41BFF2" w14:textId="7AEDBF09"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E6D9C7B"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51E56E6F" w14:textId="77777777" w:rsidTr="000E35FA">
        <w:tc>
          <w:tcPr>
            <w:tcW w:w="1271" w:type="dxa"/>
          </w:tcPr>
          <w:p w14:paraId="088CDC4A" w14:textId="0DC6AA1E"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1EEBA9FF"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have had a Physicians Global Assessment (PGA) baseline score of at least 4 as evidence of severe disease despite treatment with daily topical therapy (corticosteroid of medium to high potency/calcineurin inhibitor), for at least 28 days prior to commencing non-PBS-subsidised therapy with this biological medicine</w:t>
            </w:r>
          </w:p>
        </w:tc>
      </w:tr>
      <w:tr w:rsidR="00C3721C" w:rsidRPr="001A2DAE" w14:paraId="08F863ED" w14:textId="77777777" w:rsidTr="000E35FA">
        <w:tc>
          <w:tcPr>
            <w:tcW w:w="1271" w:type="dxa"/>
          </w:tcPr>
          <w:p w14:paraId="69CA6726"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14E3F9F2"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297212A4" w14:textId="77777777" w:rsidTr="000E35FA">
        <w:tc>
          <w:tcPr>
            <w:tcW w:w="1271" w:type="dxa"/>
          </w:tcPr>
          <w:p w14:paraId="3C1E389D" w14:textId="1978FF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6E6EBDBE"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5724E980" w14:textId="77777777" w:rsidTr="000E35FA">
        <w:tc>
          <w:tcPr>
            <w:tcW w:w="1271" w:type="dxa"/>
          </w:tcPr>
          <w:p w14:paraId="35C91507" w14:textId="51ED4568"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7E387672"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have had an Eczema Area and Severity Index (EASI) baseline score of at least 20 despite treatment with daily topical therapy (corticosteroid of medium to high potency/calcineurin inhibitor), for at least 28 days prior to commencing non-PBS-subsidised therapy with this biological medicine</w:t>
            </w:r>
          </w:p>
        </w:tc>
      </w:tr>
      <w:tr w:rsidR="00C3721C" w:rsidRPr="001A2DAE" w14:paraId="5E352250" w14:textId="77777777" w:rsidTr="000E35FA">
        <w:tc>
          <w:tcPr>
            <w:tcW w:w="1271" w:type="dxa"/>
          </w:tcPr>
          <w:p w14:paraId="3E1EB788"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3B73A2B1"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4583DDD3" w14:textId="77777777" w:rsidTr="000E35FA">
        <w:tc>
          <w:tcPr>
            <w:tcW w:w="1271" w:type="dxa"/>
          </w:tcPr>
          <w:p w14:paraId="377231E0" w14:textId="168C8412"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2F03DE9"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19C640D1" w14:textId="77777777" w:rsidTr="000E35FA">
        <w:tc>
          <w:tcPr>
            <w:tcW w:w="1271" w:type="dxa"/>
          </w:tcPr>
          <w:p w14:paraId="64C61C15" w14:textId="27B35F7D"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1F3044A5"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 xml:space="preserve">Patient must have an </w:t>
            </w:r>
            <w:proofErr w:type="gramStart"/>
            <w:r w:rsidRPr="001A2DAE">
              <w:rPr>
                <w:rFonts w:ascii="Arial Narrow" w:hAnsi="Arial Narrow" w:cs="Arial"/>
                <w:sz w:val="18"/>
                <w:szCs w:val="18"/>
                <w:lang w:eastAsia="en-AU"/>
              </w:rPr>
              <w:t>age appropriate</w:t>
            </w:r>
            <w:proofErr w:type="gramEnd"/>
            <w:r w:rsidRPr="001A2DAE">
              <w:rPr>
                <w:rFonts w:ascii="Arial Narrow" w:hAnsi="Arial Narrow" w:cs="Arial"/>
                <w:sz w:val="18"/>
                <w:szCs w:val="18"/>
                <w:lang w:eastAsia="en-AU"/>
              </w:rPr>
              <w:t xml:space="preserve"> Dermatology Life Quality Index (DLQI) baseline score (of any value) measured following treatment with daily topical therapy (corticosteroid of medium to high potency/calcineurin inhibitor), for at least 28 days, prior to having commenced non-PBS-subsidised therapy with this biological medicine; or</w:t>
            </w:r>
          </w:p>
        </w:tc>
      </w:tr>
      <w:tr w:rsidR="00C3721C" w:rsidRPr="001A2DAE" w14:paraId="163FBFA7" w14:textId="77777777" w:rsidTr="000E35FA">
        <w:tc>
          <w:tcPr>
            <w:tcW w:w="1271" w:type="dxa"/>
          </w:tcPr>
          <w:p w14:paraId="65B1415A" w14:textId="2762F3B0"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5C251912"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 xml:space="preserve">Patient must have, where the above baseline DLQI was not recorded in the patient’s medical records, a current </w:t>
            </w:r>
            <w:proofErr w:type="gramStart"/>
            <w:r w:rsidRPr="001A2DAE">
              <w:rPr>
                <w:rFonts w:ascii="Arial Narrow" w:hAnsi="Arial Narrow" w:cs="Arial"/>
                <w:sz w:val="18"/>
                <w:szCs w:val="18"/>
                <w:lang w:eastAsia="en-AU"/>
              </w:rPr>
              <w:t>age-appropriate</w:t>
            </w:r>
            <w:proofErr w:type="gramEnd"/>
            <w:r w:rsidRPr="001A2DAE">
              <w:rPr>
                <w:rFonts w:ascii="Arial Narrow" w:hAnsi="Arial Narrow" w:cs="Arial"/>
                <w:sz w:val="18"/>
                <w:szCs w:val="18"/>
                <w:lang w:eastAsia="en-AU"/>
              </w:rPr>
              <w:t xml:space="preserve"> DLQI score (of any value) measured</w:t>
            </w:r>
          </w:p>
        </w:tc>
      </w:tr>
      <w:tr w:rsidR="00C3721C" w:rsidRPr="001A2DAE" w14:paraId="3EE0BC6A" w14:textId="77777777" w:rsidTr="000E35FA">
        <w:tc>
          <w:tcPr>
            <w:tcW w:w="1271" w:type="dxa"/>
          </w:tcPr>
          <w:p w14:paraId="26A823AA"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1B6CFADD"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6B4CD91E" w14:textId="77777777" w:rsidTr="000E35FA">
        <w:tc>
          <w:tcPr>
            <w:tcW w:w="1271" w:type="dxa"/>
          </w:tcPr>
          <w:p w14:paraId="4EA8F6F7" w14:textId="1A2B6009"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3172E02"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688EE4F9" w14:textId="77777777" w:rsidTr="000E35FA">
        <w:tc>
          <w:tcPr>
            <w:tcW w:w="1271" w:type="dxa"/>
          </w:tcPr>
          <w:p w14:paraId="688CC0C0" w14:textId="0D0FFC7C"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7ACB692D"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The condition must have had lesions for at least 6 months from the time of the initial diagnosis of chronic severe atopic dermatitis affecting either of: (</w:t>
            </w:r>
            <w:proofErr w:type="spellStart"/>
            <w:r w:rsidRPr="001A2DAE">
              <w:rPr>
                <w:rFonts w:ascii="Arial Narrow" w:hAnsi="Arial Narrow" w:cs="Arial"/>
                <w:sz w:val="18"/>
                <w:szCs w:val="18"/>
                <w:lang w:eastAsia="en-AU"/>
              </w:rPr>
              <w:t>i</w:t>
            </w:r>
            <w:proofErr w:type="spellEnd"/>
            <w:r w:rsidRPr="001A2DAE">
              <w:rPr>
                <w:rFonts w:ascii="Arial Narrow" w:hAnsi="Arial Narrow" w:cs="Arial"/>
                <w:sz w:val="18"/>
                <w:szCs w:val="18"/>
                <w:lang w:eastAsia="en-AU"/>
              </w:rPr>
              <w:t>) the whole body, (ii) face/hands, prior to commencing non-PBS-subsidised therapy with this biological medicine</w:t>
            </w:r>
          </w:p>
        </w:tc>
      </w:tr>
      <w:tr w:rsidR="00C3721C" w:rsidRPr="001A2DAE" w14:paraId="472B9CFD" w14:textId="77777777" w:rsidTr="000E35FA">
        <w:tc>
          <w:tcPr>
            <w:tcW w:w="1271" w:type="dxa"/>
          </w:tcPr>
          <w:p w14:paraId="4CF30796"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2276EB3F"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424199D6" w14:textId="77777777" w:rsidTr="000E35FA">
        <w:tc>
          <w:tcPr>
            <w:tcW w:w="1271" w:type="dxa"/>
          </w:tcPr>
          <w:p w14:paraId="6F326C3A" w14:textId="3955D1E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7C6ED07F"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346ADB3F" w14:textId="77777777" w:rsidTr="000E35FA">
        <w:tc>
          <w:tcPr>
            <w:tcW w:w="1271" w:type="dxa"/>
          </w:tcPr>
          <w:p w14:paraId="69B790C3" w14:textId="2C624EE1"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23989DE"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not be experiencing an inadequate response to current non-PBS-subsidised therapy with this biological medicine</w:t>
            </w:r>
          </w:p>
        </w:tc>
      </w:tr>
      <w:tr w:rsidR="00C3721C" w:rsidRPr="001A2DAE" w14:paraId="4F39DEBD" w14:textId="77777777" w:rsidTr="000E35FA">
        <w:tc>
          <w:tcPr>
            <w:tcW w:w="1271" w:type="dxa"/>
          </w:tcPr>
          <w:p w14:paraId="0269D250"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30B5F30C"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4A903AF8" w14:textId="77777777" w:rsidTr="000E35FA">
        <w:tc>
          <w:tcPr>
            <w:tcW w:w="1271" w:type="dxa"/>
          </w:tcPr>
          <w:p w14:paraId="7A22DF29" w14:textId="5278DDE9"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26D81451"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63FD50E5" w14:textId="77777777" w:rsidTr="000E35FA">
        <w:tc>
          <w:tcPr>
            <w:tcW w:w="1271" w:type="dxa"/>
          </w:tcPr>
          <w:p w14:paraId="1A332A3E" w14:textId="01E61B20"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7E84073"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The treatment must be the sole PBS-subsidised biological medicine for this PBS indication</w:t>
            </w:r>
          </w:p>
        </w:tc>
      </w:tr>
      <w:tr w:rsidR="00C3721C" w:rsidRPr="001A2DAE" w14:paraId="5E759AE9" w14:textId="77777777" w:rsidTr="000E35FA">
        <w:tc>
          <w:tcPr>
            <w:tcW w:w="1271" w:type="dxa"/>
          </w:tcPr>
          <w:p w14:paraId="08154839"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33805CD1"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5E1B7AF1" w14:textId="77777777" w:rsidTr="000E35FA">
        <w:tc>
          <w:tcPr>
            <w:tcW w:w="1271" w:type="dxa"/>
          </w:tcPr>
          <w:p w14:paraId="60C4C671" w14:textId="73AB482E"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77FDC92B"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076674A9" w14:textId="77777777" w:rsidTr="000E35FA">
        <w:tc>
          <w:tcPr>
            <w:tcW w:w="1271" w:type="dxa"/>
          </w:tcPr>
          <w:p w14:paraId="5F48675C" w14:textId="0CFCF75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77B21F44"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not have experienced an inadequate response to this biological medicine in this indication, prior to commencing non-PBS-subsidised therapy with this biological medicine</w:t>
            </w:r>
          </w:p>
        </w:tc>
      </w:tr>
      <w:tr w:rsidR="00C3721C" w:rsidRPr="001A2DAE" w14:paraId="7D344B0C" w14:textId="77777777" w:rsidTr="000E35FA">
        <w:tc>
          <w:tcPr>
            <w:tcW w:w="1271" w:type="dxa"/>
          </w:tcPr>
          <w:p w14:paraId="00961BBD"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19B2D8CF"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70F88C81" w14:textId="77777777" w:rsidTr="000E35FA">
        <w:tc>
          <w:tcPr>
            <w:tcW w:w="1271" w:type="dxa"/>
          </w:tcPr>
          <w:p w14:paraId="5A300C7F" w14:textId="5FA97AED"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05C5369"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Treatment criteria:</w:t>
            </w:r>
          </w:p>
        </w:tc>
      </w:tr>
      <w:tr w:rsidR="00C3721C" w:rsidRPr="001A2DAE" w14:paraId="1EADE060" w14:textId="77777777" w:rsidTr="000E35FA">
        <w:tc>
          <w:tcPr>
            <w:tcW w:w="1271" w:type="dxa"/>
          </w:tcPr>
          <w:p w14:paraId="0A3314E6" w14:textId="03DDCA64"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64B569EF"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Must be treated by a dermatologist; or</w:t>
            </w:r>
          </w:p>
        </w:tc>
      </w:tr>
      <w:tr w:rsidR="00C3721C" w:rsidRPr="001A2DAE" w14:paraId="3A66F723" w14:textId="77777777" w:rsidTr="000E35FA">
        <w:tc>
          <w:tcPr>
            <w:tcW w:w="1271" w:type="dxa"/>
          </w:tcPr>
          <w:p w14:paraId="0F858198" w14:textId="6EAA0E34"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FC958F9"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Must be treated by a clinical immunologist</w:t>
            </w:r>
          </w:p>
        </w:tc>
      </w:tr>
      <w:tr w:rsidR="00C3721C" w:rsidRPr="001A2DAE" w14:paraId="75EBD24A" w14:textId="77777777" w:rsidTr="00816736">
        <w:tc>
          <w:tcPr>
            <w:tcW w:w="1271" w:type="dxa"/>
          </w:tcPr>
          <w:p w14:paraId="1B23D9C7"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49665586" w14:textId="77777777" w:rsidR="00C3721C" w:rsidRPr="001A2DAE" w:rsidRDefault="00C3721C" w:rsidP="00816736">
            <w:pPr>
              <w:widowControl w:val="0"/>
              <w:ind w:left="-57"/>
              <w:rPr>
                <w:rFonts w:ascii="Arial Narrow" w:hAnsi="Arial Narrow" w:cs="Arial"/>
                <w:strike/>
                <w:sz w:val="18"/>
                <w:szCs w:val="18"/>
                <w:lang w:eastAsia="en-AU"/>
              </w:rPr>
            </w:pPr>
            <w:r w:rsidRPr="001A2DAE">
              <w:rPr>
                <w:rFonts w:ascii="Arial Narrow" w:hAnsi="Arial Narrow" w:cs="Arial"/>
                <w:b/>
                <w:bCs/>
                <w:strike/>
                <w:sz w:val="18"/>
                <w:szCs w:val="18"/>
                <w:bdr w:val="none" w:sz="0" w:space="0" w:color="auto" w:frame="1"/>
                <w:lang w:eastAsia="en-AU"/>
              </w:rPr>
              <w:t>AND</w:t>
            </w:r>
          </w:p>
        </w:tc>
      </w:tr>
      <w:tr w:rsidR="00C3721C" w:rsidRPr="001A2DAE" w14:paraId="1E91A8A6" w14:textId="77777777" w:rsidTr="00816736">
        <w:tc>
          <w:tcPr>
            <w:tcW w:w="1271" w:type="dxa"/>
          </w:tcPr>
          <w:p w14:paraId="72EF4E33" w14:textId="0CEFE3B8" w:rsidR="00C3721C" w:rsidRPr="001A2DAE" w:rsidRDefault="00C3721C" w:rsidP="00816736">
            <w:pPr>
              <w:widowControl w:val="0"/>
              <w:jc w:val="center"/>
              <w:rPr>
                <w:rFonts w:ascii="Arial Narrow" w:hAnsi="Arial Narrow" w:cs="Arial"/>
                <w:sz w:val="18"/>
                <w:szCs w:val="18"/>
                <w:lang w:eastAsia="en-AU"/>
              </w:rPr>
            </w:pPr>
          </w:p>
        </w:tc>
        <w:tc>
          <w:tcPr>
            <w:tcW w:w="8080" w:type="dxa"/>
          </w:tcPr>
          <w:p w14:paraId="6197FB54" w14:textId="77777777" w:rsidR="00C3721C" w:rsidRPr="001A2DAE" w:rsidRDefault="00C3721C" w:rsidP="00816736">
            <w:pPr>
              <w:widowControl w:val="0"/>
              <w:ind w:left="-57"/>
              <w:rPr>
                <w:rFonts w:ascii="Arial Narrow" w:hAnsi="Arial Narrow" w:cs="Arial"/>
                <w:b/>
                <w:bCs/>
                <w:strike/>
                <w:sz w:val="18"/>
                <w:szCs w:val="18"/>
                <w:bdr w:val="none" w:sz="0" w:space="0" w:color="auto" w:frame="1"/>
                <w:lang w:eastAsia="en-AU"/>
              </w:rPr>
            </w:pPr>
            <w:r w:rsidRPr="001A2DAE">
              <w:rPr>
                <w:rFonts w:ascii="Arial Narrow" w:hAnsi="Arial Narrow" w:cs="Arial"/>
                <w:b/>
                <w:bCs/>
                <w:strike/>
                <w:sz w:val="18"/>
                <w:szCs w:val="18"/>
                <w:bdr w:val="none" w:sz="0" w:space="0" w:color="auto" w:frame="1"/>
                <w:lang w:eastAsia="en-AU"/>
              </w:rPr>
              <w:t>Population criteria:</w:t>
            </w:r>
          </w:p>
        </w:tc>
      </w:tr>
      <w:tr w:rsidR="00C3721C" w:rsidRPr="001A2DAE" w14:paraId="687C4985" w14:textId="77777777" w:rsidTr="00816736">
        <w:trPr>
          <w:trHeight w:val="53"/>
        </w:trPr>
        <w:tc>
          <w:tcPr>
            <w:tcW w:w="1271" w:type="dxa"/>
          </w:tcPr>
          <w:p w14:paraId="54FFA7B1" w14:textId="69FFC303" w:rsidR="00C3721C" w:rsidRPr="001A2DAE" w:rsidRDefault="00C3721C" w:rsidP="00816736">
            <w:pPr>
              <w:widowControl w:val="0"/>
              <w:jc w:val="center"/>
              <w:rPr>
                <w:rFonts w:ascii="Arial Narrow" w:hAnsi="Arial Narrow" w:cs="Arial"/>
                <w:sz w:val="18"/>
                <w:szCs w:val="18"/>
                <w:lang w:eastAsia="en-AU"/>
              </w:rPr>
            </w:pPr>
          </w:p>
        </w:tc>
        <w:tc>
          <w:tcPr>
            <w:tcW w:w="8080" w:type="dxa"/>
          </w:tcPr>
          <w:p w14:paraId="6ED124C3" w14:textId="77777777" w:rsidR="00C3721C" w:rsidRPr="001A2DAE" w:rsidRDefault="00C3721C" w:rsidP="00816736">
            <w:pPr>
              <w:widowControl w:val="0"/>
              <w:ind w:left="-57"/>
              <w:rPr>
                <w:rFonts w:ascii="Arial Narrow" w:hAnsi="Arial Narrow" w:cs="Arial"/>
                <w:strike/>
                <w:sz w:val="18"/>
                <w:szCs w:val="18"/>
                <w:bdr w:val="none" w:sz="0" w:space="0" w:color="auto" w:frame="1"/>
                <w:lang w:eastAsia="en-AU"/>
              </w:rPr>
            </w:pPr>
            <w:r w:rsidRPr="001A2DAE">
              <w:rPr>
                <w:rFonts w:ascii="Arial Narrow" w:hAnsi="Arial Narrow" w:cs="Arial"/>
                <w:strike/>
                <w:sz w:val="18"/>
                <w:szCs w:val="18"/>
                <w:bdr w:val="none" w:sz="0" w:space="0" w:color="auto" w:frame="1"/>
                <w:lang w:eastAsia="en-AU"/>
              </w:rPr>
              <w:t>Patient must be 12 years of age or older; or</w:t>
            </w:r>
          </w:p>
        </w:tc>
      </w:tr>
      <w:tr w:rsidR="00C3721C" w:rsidRPr="001A2DAE" w14:paraId="65D99B49" w14:textId="77777777" w:rsidTr="00816736">
        <w:tc>
          <w:tcPr>
            <w:tcW w:w="1271" w:type="dxa"/>
          </w:tcPr>
          <w:p w14:paraId="031D56C0"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tcPr>
          <w:p w14:paraId="1795B8A7" w14:textId="77777777" w:rsidR="00C3721C" w:rsidRPr="001A2DAE" w:rsidRDefault="00C3721C" w:rsidP="00816736">
            <w:pPr>
              <w:widowControl w:val="0"/>
              <w:ind w:left="-57"/>
              <w:rPr>
                <w:rFonts w:ascii="Arial Narrow" w:hAnsi="Arial Narrow" w:cs="Arial"/>
                <w:b/>
                <w:bCs/>
                <w:sz w:val="18"/>
                <w:szCs w:val="18"/>
                <w:bdr w:val="none" w:sz="0" w:space="0" w:color="auto" w:frame="1"/>
                <w:lang w:eastAsia="en-AU"/>
              </w:rPr>
            </w:pPr>
          </w:p>
        </w:tc>
      </w:tr>
      <w:tr w:rsidR="00C3721C" w:rsidRPr="001A2DAE" w14:paraId="37BD6D7B" w14:textId="77777777" w:rsidTr="000E35FA">
        <w:tc>
          <w:tcPr>
            <w:tcW w:w="1271" w:type="dxa"/>
          </w:tcPr>
          <w:p w14:paraId="4EE8337E" w14:textId="13E93AA3"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D0C532C"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Prescribing Instructions:</w:t>
            </w:r>
          </w:p>
          <w:p w14:paraId="1CDF9621"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State each of the qualifying PGA, EASI and DLQI scores in the authority application. The name/s of the medium to high potency topical corticosteroids trialled prior to commencing treatment with this biological medicine must be documented in the patient's medical records.</w:t>
            </w:r>
          </w:p>
          <w:p w14:paraId="488F2CFB"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The EASI and DLQI baseline measurements are to form the basis of determining if an adequate response to treatment has been achieved under the Continuing treatment restriction.</w:t>
            </w:r>
          </w:p>
        </w:tc>
      </w:tr>
      <w:tr w:rsidR="00C3721C" w:rsidRPr="001A2DAE" w14:paraId="648B3F29" w14:textId="77777777" w:rsidTr="000E35FA">
        <w:tc>
          <w:tcPr>
            <w:tcW w:w="1271" w:type="dxa"/>
          </w:tcPr>
          <w:p w14:paraId="791DC86B" w14:textId="757B2BF2"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69EAEAE"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Prescribing Instructions:</w:t>
            </w:r>
          </w:p>
          <w:p w14:paraId="109FFBCA"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A Grandfathered patient may qualify for PBS-subsidised treatment under this restriction once only.</w:t>
            </w:r>
          </w:p>
        </w:tc>
      </w:tr>
      <w:tr w:rsidR="00C3721C" w:rsidRPr="001A2DAE" w14:paraId="0B38B395" w14:textId="77777777" w:rsidTr="000E35FA">
        <w:tc>
          <w:tcPr>
            <w:tcW w:w="1271" w:type="dxa"/>
          </w:tcPr>
          <w:p w14:paraId="0432E89C" w14:textId="1151CD9D"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01251F5"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Prescribing Instructions:</w:t>
            </w:r>
          </w:p>
          <w:p w14:paraId="49DF0111"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For continuing PBS-subsidised treatment, a Grandfathered patient must qualify under the Continuing treatment criteria.</w:t>
            </w:r>
          </w:p>
        </w:tc>
      </w:tr>
      <w:tr w:rsidR="00C3721C" w:rsidRPr="001A2DAE" w14:paraId="3E8D98FB" w14:textId="77777777" w:rsidTr="00816736">
        <w:tc>
          <w:tcPr>
            <w:tcW w:w="1271" w:type="dxa"/>
          </w:tcPr>
          <w:p w14:paraId="64B26989" w14:textId="4C3E4ECF"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2B87A0E9"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r w:rsidRPr="001A2DAE">
              <w:rPr>
                <w:rFonts w:ascii="Arial Narrow" w:hAnsi="Arial Narrow" w:cs="Arial"/>
                <w:b/>
                <w:bCs/>
                <w:sz w:val="18"/>
                <w:szCs w:val="18"/>
                <w:bdr w:val="none" w:sz="0" w:space="0" w:color="auto" w:frame="1"/>
                <w:lang w:eastAsia="en-AU"/>
              </w:rPr>
              <w:t>Prescribing Instructions:</w:t>
            </w:r>
          </w:p>
          <w:p w14:paraId="0D34D2F4"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r w:rsidRPr="001A2DAE">
              <w:rPr>
                <w:rFonts w:ascii="Arial Narrow" w:hAnsi="Arial Narrow" w:cs="Arial"/>
                <w:sz w:val="18"/>
                <w:szCs w:val="18"/>
                <w:bdr w:val="none" w:sz="0" w:space="0" w:color="auto" w:frame="1"/>
                <w:lang w:eastAsia="en-AU"/>
              </w:rPr>
              <w:t>In a patient weighing no greater than 30 kg, prescribe up to 2 repeat prescriptions only – do not default to prescribing the listing’s specified number of repeats.</w:t>
            </w:r>
          </w:p>
        </w:tc>
      </w:tr>
      <w:tr w:rsidR="00C3721C" w:rsidRPr="001A2DAE" w14:paraId="0EEBDF97" w14:textId="77777777" w:rsidTr="00816736">
        <w:tc>
          <w:tcPr>
            <w:tcW w:w="1271" w:type="dxa"/>
          </w:tcPr>
          <w:p w14:paraId="5932B3D1"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09294294"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0C0C5DB9" w14:textId="77777777" w:rsidTr="000E35FA">
        <w:tc>
          <w:tcPr>
            <w:tcW w:w="1271" w:type="dxa"/>
          </w:tcPr>
          <w:p w14:paraId="73167436" w14:textId="0D6230FF"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F751F92"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Administrative Advice:</w:t>
            </w:r>
          </w:p>
          <w:p w14:paraId="0B4909DF"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This grandfather restriction will cease to operate from 12 months after the date specified in the clinical criteria.</w:t>
            </w:r>
          </w:p>
        </w:tc>
      </w:tr>
      <w:tr w:rsidR="00C3721C" w:rsidRPr="001A2DAE" w14:paraId="331A9BCE" w14:textId="77777777" w:rsidTr="000E35FA">
        <w:tc>
          <w:tcPr>
            <w:tcW w:w="1271" w:type="dxa"/>
          </w:tcPr>
          <w:p w14:paraId="7117196F" w14:textId="0AFE594B"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1E37B56E"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Administrative Advice:</w:t>
            </w:r>
          </w:p>
          <w:p w14:paraId="5A380B69"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Instructions on the use of the Physician's Global Assessment (5-point scale) can be obtained from Sanofi Medical Information on 1800 818 806 or MedInfo.Australia@sanofi.com</w:t>
            </w:r>
          </w:p>
        </w:tc>
      </w:tr>
      <w:tr w:rsidR="00C3721C" w:rsidRPr="001A2DAE" w14:paraId="61EB86F9" w14:textId="77777777" w:rsidTr="00816736">
        <w:tc>
          <w:tcPr>
            <w:tcW w:w="9351" w:type="dxa"/>
            <w:gridSpan w:val="2"/>
          </w:tcPr>
          <w:p w14:paraId="1ED7ED74"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p>
          <w:p w14:paraId="5CBD36C8"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p>
        </w:tc>
      </w:tr>
      <w:tr w:rsidR="00C3721C" w:rsidRPr="001A2DAE" w14:paraId="2E02BACA" w14:textId="77777777" w:rsidTr="00816736">
        <w:tc>
          <w:tcPr>
            <w:tcW w:w="9351" w:type="dxa"/>
            <w:gridSpan w:val="2"/>
          </w:tcPr>
          <w:p w14:paraId="23A5E303"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r w:rsidRPr="001A2DAE">
              <w:rPr>
                <w:rFonts w:ascii="Arial Narrow" w:hAnsi="Arial Narrow" w:cs="Arial"/>
                <w:b/>
                <w:bCs/>
                <w:sz w:val="18"/>
                <w:szCs w:val="18"/>
                <w:bdr w:val="none" w:sz="0" w:space="0" w:color="auto" w:frame="1"/>
                <w:lang w:eastAsia="en-AU"/>
              </w:rPr>
              <w:t xml:space="preserve">Restriction Summary 11491 / </w:t>
            </w:r>
            <w:proofErr w:type="spellStart"/>
            <w:r w:rsidRPr="001A2DAE">
              <w:rPr>
                <w:rFonts w:ascii="Arial Narrow" w:hAnsi="Arial Narrow" w:cs="Arial"/>
                <w:b/>
                <w:bCs/>
                <w:sz w:val="18"/>
                <w:szCs w:val="18"/>
                <w:bdr w:val="none" w:sz="0" w:space="0" w:color="auto" w:frame="1"/>
                <w:lang w:eastAsia="en-AU"/>
              </w:rPr>
              <w:t>ToC</w:t>
            </w:r>
            <w:proofErr w:type="spellEnd"/>
            <w:r w:rsidRPr="001A2DAE">
              <w:rPr>
                <w:rFonts w:ascii="Arial Narrow" w:hAnsi="Arial Narrow" w:cs="Arial"/>
                <w:b/>
                <w:bCs/>
                <w:sz w:val="18"/>
                <w:szCs w:val="18"/>
                <w:bdr w:val="none" w:sz="0" w:space="0" w:color="auto" w:frame="1"/>
                <w:lang w:eastAsia="en-AU"/>
              </w:rPr>
              <w:t>: 11479</w:t>
            </w:r>
          </w:p>
        </w:tc>
      </w:tr>
      <w:tr w:rsidR="00C3721C" w:rsidRPr="001A2DAE" w14:paraId="7818C682" w14:textId="77777777" w:rsidTr="000E35FA">
        <w:tc>
          <w:tcPr>
            <w:tcW w:w="1271" w:type="dxa"/>
          </w:tcPr>
          <w:p w14:paraId="39C4A2E9" w14:textId="5AB43DA1"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7AAA214"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 xml:space="preserve">Indication: </w:t>
            </w:r>
            <w:r w:rsidRPr="001A2DAE">
              <w:rPr>
                <w:rFonts w:ascii="Arial Narrow" w:hAnsi="Arial Narrow" w:cs="Arial"/>
                <w:sz w:val="18"/>
                <w:szCs w:val="18"/>
                <w:lang w:eastAsia="en-AU"/>
              </w:rPr>
              <w:t>Chronic severe atopic dermatitis</w:t>
            </w:r>
          </w:p>
        </w:tc>
      </w:tr>
      <w:tr w:rsidR="00C3721C" w:rsidRPr="001A2DAE" w14:paraId="340ED784" w14:textId="77777777" w:rsidTr="00816736">
        <w:tc>
          <w:tcPr>
            <w:tcW w:w="1271" w:type="dxa"/>
          </w:tcPr>
          <w:p w14:paraId="698462FC"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16D63DD5"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1568B542" w14:textId="77777777" w:rsidTr="000E35FA">
        <w:tc>
          <w:tcPr>
            <w:tcW w:w="1271" w:type="dxa"/>
          </w:tcPr>
          <w:p w14:paraId="386EB334"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09DD99FA"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 xml:space="preserve">Treatment Phase: </w:t>
            </w:r>
            <w:r w:rsidRPr="001A2DAE">
              <w:rPr>
                <w:rFonts w:ascii="Arial Narrow" w:hAnsi="Arial Narrow" w:cs="Arial"/>
                <w:sz w:val="18"/>
                <w:szCs w:val="18"/>
                <w:lang w:eastAsia="en-AU"/>
              </w:rPr>
              <w:t>Transitioning from non-PBS to PBS-subsidised supply - treatment of the face and/or hands (Grandfather listing)</w:t>
            </w:r>
          </w:p>
        </w:tc>
      </w:tr>
      <w:tr w:rsidR="00C3721C" w:rsidRPr="001A2DAE" w14:paraId="185E5CFE" w14:textId="77777777" w:rsidTr="00816736">
        <w:tc>
          <w:tcPr>
            <w:tcW w:w="1271" w:type="dxa"/>
          </w:tcPr>
          <w:p w14:paraId="6CFE699C"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tcPr>
          <w:p w14:paraId="77266E32"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55AD9C36" w14:textId="77777777" w:rsidTr="000E35FA">
        <w:tc>
          <w:tcPr>
            <w:tcW w:w="1271" w:type="dxa"/>
          </w:tcPr>
          <w:p w14:paraId="7722343E" w14:textId="4FAD29D8"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763B22A9"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6469E270" w14:textId="77777777" w:rsidTr="00816736">
        <w:tc>
          <w:tcPr>
            <w:tcW w:w="1271" w:type="dxa"/>
          </w:tcPr>
          <w:p w14:paraId="004EB656" w14:textId="412B33F0"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66B5B83D" w14:textId="77777777" w:rsidR="00C3721C" w:rsidRPr="001A2DAE" w:rsidRDefault="00C3721C" w:rsidP="00816736">
            <w:pPr>
              <w:widowControl w:val="0"/>
              <w:ind w:left="-57"/>
              <w:textAlignment w:val="baseline"/>
              <w:rPr>
                <w:rFonts w:ascii="Arial Narrow" w:hAnsi="Arial Narrow" w:cs="Arial"/>
                <w:strike/>
                <w:sz w:val="18"/>
                <w:szCs w:val="18"/>
                <w:bdr w:val="none" w:sz="0" w:space="0" w:color="auto" w:frame="1"/>
                <w:lang w:eastAsia="en-AU"/>
              </w:rPr>
            </w:pPr>
            <w:r w:rsidRPr="001A2DAE">
              <w:rPr>
                <w:rFonts w:ascii="Arial Narrow" w:hAnsi="Arial Narrow" w:cs="Arial"/>
                <w:strike/>
                <w:sz w:val="18"/>
                <w:szCs w:val="18"/>
                <w:bdr w:val="none" w:sz="0" w:space="0" w:color="auto" w:frame="1"/>
                <w:lang w:eastAsia="en-AU"/>
              </w:rPr>
              <w:t>Patient must have been receiving treatment with this biological medicine for this PBS indication prior to 1 March 2021</w:t>
            </w:r>
          </w:p>
        </w:tc>
      </w:tr>
      <w:tr w:rsidR="00C3721C" w:rsidRPr="001A2DAE" w14:paraId="355DD308" w14:textId="77777777" w:rsidTr="00816736">
        <w:tc>
          <w:tcPr>
            <w:tcW w:w="1271" w:type="dxa"/>
          </w:tcPr>
          <w:p w14:paraId="7DBC23E4" w14:textId="5553CDE1"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35B9D645" w14:textId="77777777" w:rsidR="00C3721C" w:rsidRPr="001A2DAE" w:rsidRDefault="00C3721C" w:rsidP="00816736">
            <w:pPr>
              <w:widowControl w:val="0"/>
              <w:ind w:left="-57"/>
              <w:rPr>
                <w:rFonts w:ascii="Arial Narrow" w:hAnsi="Arial Narrow" w:cs="Arial"/>
                <w:i/>
                <w:iCs/>
                <w:sz w:val="18"/>
                <w:szCs w:val="18"/>
                <w:lang w:eastAsia="en-AU"/>
              </w:rPr>
            </w:pPr>
            <w:r w:rsidRPr="001A2DAE">
              <w:rPr>
                <w:rFonts w:ascii="Arial Narrow" w:hAnsi="Arial Narrow" w:cs="Arial"/>
                <w:i/>
                <w:iCs/>
                <w:sz w:val="18"/>
                <w:szCs w:val="18"/>
                <w:lang w:eastAsia="en-AU"/>
              </w:rPr>
              <w:t>Patient must be continuing treatment with this biological medicine that has been initiated</w:t>
            </w:r>
            <w:r>
              <w:rPr>
                <w:rFonts w:ascii="Arial Narrow" w:hAnsi="Arial Narrow" w:cs="Arial"/>
                <w:i/>
                <w:iCs/>
                <w:sz w:val="18"/>
                <w:szCs w:val="18"/>
                <w:lang w:eastAsia="en-AU"/>
              </w:rPr>
              <w:t xml:space="preserve"> as non-PBS supply</w:t>
            </w:r>
            <w:r w:rsidRPr="001A2DAE">
              <w:rPr>
                <w:rFonts w:ascii="Arial Narrow" w:hAnsi="Arial Narrow" w:cs="Arial"/>
                <w:i/>
                <w:iCs/>
                <w:sz w:val="18"/>
                <w:szCs w:val="18"/>
                <w:lang w:eastAsia="en-AU"/>
              </w:rPr>
              <w:t xml:space="preserve"> for this PBS indication in a patient aged less than 12 years, prior to [insert listing date here 1 Month 202X]</w:t>
            </w:r>
          </w:p>
        </w:tc>
      </w:tr>
      <w:tr w:rsidR="00C3721C" w:rsidRPr="001A2DAE" w14:paraId="41FB9AC7" w14:textId="77777777" w:rsidTr="00816736">
        <w:tc>
          <w:tcPr>
            <w:tcW w:w="1271" w:type="dxa"/>
            <w:hideMark/>
          </w:tcPr>
          <w:p w14:paraId="6B75BC0F"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1EBC89B5"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5BC8F3B8" w14:textId="77777777" w:rsidTr="000E35FA">
        <w:tc>
          <w:tcPr>
            <w:tcW w:w="1271" w:type="dxa"/>
          </w:tcPr>
          <w:p w14:paraId="6C6D9CB5" w14:textId="0B0E2362"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421B27B"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76C3ADFF" w14:textId="77777777" w:rsidTr="000E35FA">
        <w:tc>
          <w:tcPr>
            <w:tcW w:w="1271" w:type="dxa"/>
          </w:tcPr>
          <w:p w14:paraId="36088456" w14:textId="387016A2"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7FC9AB75"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 xml:space="preserve">The condition must have had at least 2 of the following Eczema Area and Severity Index (EASI) symptom sub-scores for erythema, oedema/papulation, excoriation, </w:t>
            </w:r>
            <w:proofErr w:type="spellStart"/>
            <w:r w:rsidRPr="001A2DAE">
              <w:rPr>
                <w:rFonts w:ascii="Arial Narrow" w:hAnsi="Arial Narrow" w:cs="Arial"/>
                <w:sz w:val="18"/>
                <w:szCs w:val="18"/>
                <w:lang w:eastAsia="en-AU"/>
              </w:rPr>
              <w:t>lichenification</w:t>
            </w:r>
            <w:proofErr w:type="spellEnd"/>
            <w:r w:rsidRPr="001A2DAE">
              <w:rPr>
                <w:rFonts w:ascii="Arial Narrow" w:hAnsi="Arial Narrow" w:cs="Arial"/>
                <w:sz w:val="18"/>
                <w:szCs w:val="18"/>
                <w:lang w:eastAsia="en-AU"/>
              </w:rPr>
              <w:t xml:space="preserve"> rated as severe despite treatment with daily topical therapy (corticosteroid of medium to high potency/calcineurin inhibitor), for at least 28 days, prior to commencing non-PBS-subsidised therapy with this biological medicine; or</w:t>
            </w:r>
          </w:p>
        </w:tc>
      </w:tr>
      <w:tr w:rsidR="00C3721C" w:rsidRPr="001A2DAE" w14:paraId="3603718F" w14:textId="77777777" w:rsidTr="000E35FA">
        <w:tc>
          <w:tcPr>
            <w:tcW w:w="1271" w:type="dxa"/>
          </w:tcPr>
          <w:p w14:paraId="606C79BF" w14:textId="3F2108E3"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C8784EE"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The condition must have affected at least 30% of the face/hands surface area despite treatment with daily topical therapy (corticosteroid of medium to high potency/calcineurin inhibitor), for at least 28 days, prior to commencing non-PBS-subsidised therapy with this biological medicine</w:t>
            </w:r>
          </w:p>
        </w:tc>
      </w:tr>
      <w:tr w:rsidR="00C3721C" w:rsidRPr="001A2DAE" w14:paraId="34DD8ADB" w14:textId="77777777" w:rsidTr="000E35FA">
        <w:tc>
          <w:tcPr>
            <w:tcW w:w="1271" w:type="dxa"/>
          </w:tcPr>
          <w:p w14:paraId="3D283F49"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4C10A02C"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5A9DC9DD" w14:textId="77777777" w:rsidTr="000E35FA">
        <w:tc>
          <w:tcPr>
            <w:tcW w:w="1271" w:type="dxa"/>
          </w:tcPr>
          <w:p w14:paraId="3224C95A" w14:textId="715EC39B"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84D5AB6"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7FEE4EBC" w14:textId="77777777" w:rsidTr="000E35FA">
        <w:tc>
          <w:tcPr>
            <w:tcW w:w="1271" w:type="dxa"/>
          </w:tcPr>
          <w:p w14:paraId="68D69B0B" w14:textId="5B82F4AA"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C06E791"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 xml:space="preserve">Patient must have an </w:t>
            </w:r>
            <w:proofErr w:type="gramStart"/>
            <w:r w:rsidRPr="001A2DAE">
              <w:rPr>
                <w:rFonts w:ascii="Arial Narrow" w:hAnsi="Arial Narrow" w:cs="Arial"/>
                <w:sz w:val="18"/>
                <w:szCs w:val="18"/>
                <w:lang w:eastAsia="en-AU"/>
              </w:rPr>
              <w:t>age appropriate</w:t>
            </w:r>
            <w:proofErr w:type="gramEnd"/>
            <w:r w:rsidRPr="001A2DAE">
              <w:rPr>
                <w:rFonts w:ascii="Arial Narrow" w:hAnsi="Arial Narrow" w:cs="Arial"/>
                <w:sz w:val="18"/>
                <w:szCs w:val="18"/>
                <w:lang w:eastAsia="en-AU"/>
              </w:rPr>
              <w:t xml:space="preserve"> Dermatology Life Quality Index (DLQI) baseline score (of any value) measured following treatment with daily topical therapy (corticosteroid of medium to high potency/calcineurin inhibitor), for at least 28 days, prior to having commenced non-PBS-subsidised therapy with this biological medicine; or</w:t>
            </w:r>
          </w:p>
        </w:tc>
      </w:tr>
      <w:tr w:rsidR="00C3721C" w:rsidRPr="001A2DAE" w14:paraId="1033C520" w14:textId="77777777" w:rsidTr="000E35FA">
        <w:tc>
          <w:tcPr>
            <w:tcW w:w="1271" w:type="dxa"/>
          </w:tcPr>
          <w:p w14:paraId="744F70D0" w14:textId="49F0F234"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26A7D8C5"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 xml:space="preserve">Patient must have, where the above baseline DLQI was not recorded in the patient’s medical records, a current </w:t>
            </w:r>
            <w:proofErr w:type="gramStart"/>
            <w:r w:rsidRPr="001A2DAE">
              <w:rPr>
                <w:rFonts w:ascii="Arial Narrow" w:hAnsi="Arial Narrow" w:cs="Arial"/>
                <w:sz w:val="18"/>
                <w:szCs w:val="18"/>
                <w:lang w:eastAsia="en-AU"/>
              </w:rPr>
              <w:t>age-appropriate</w:t>
            </w:r>
            <w:proofErr w:type="gramEnd"/>
            <w:r w:rsidRPr="001A2DAE">
              <w:rPr>
                <w:rFonts w:ascii="Arial Narrow" w:hAnsi="Arial Narrow" w:cs="Arial"/>
                <w:sz w:val="18"/>
                <w:szCs w:val="18"/>
                <w:lang w:eastAsia="en-AU"/>
              </w:rPr>
              <w:t xml:space="preserve"> DLQI score (of any value) measured</w:t>
            </w:r>
          </w:p>
        </w:tc>
      </w:tr>
      <w:tr w:rsidR="00C3721C" w:rsidRPr="001A2DAE" w14:paraId="6D753F27" w14:textId="77777777" w:rsidTr="000E35FA">
        <w:tc>
          <w:tcPr>
            <w:tcW w:w="1271" w:type="dxa"/>
          </w:tcPr>
          <w:p w14:paraId="2D1E2203"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780B8835"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592B4B95" w14:textId="77777777" w:rsidTr="000E35FA">
        <w:tc>
          <w:tcPr>
            <w:tcW w:w="1271" w:type="dxa"/>
          </w:tcPr>
          <w:p w14:paraId="4604BC92" w14:textId="3B888391"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EC2FB31"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6093C9E6" w14:textId="77777777" w:rsidTr="000E35FA">
        <w:tc>
          <w:tcPr>
            <w:tcW w:w="1271" w:type="dxa"/>
          </w:tcPr>
          <w:p w14:paraId="224E465E" w14:textId="7F2C20DF"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2FEE35D4"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The condition must have had lesions for at least 6 months from the time of the initial diagnosis of chronic severe atopic dermatitis affecting either of: (</w:t>
            </w:r>
            <w:proofErr w:type="spellStart"/>
            <w:r w:rsidRPr="001A2DAE">
              <w:rPr>
                <w:rFonts w:ascii="Arial Narrow" w:hAnsi="Arial Narrow" w:cs="Arial"/>
                <w:sz w:val="18"/>
                <w:szCs w:val="18"/>
                <w:lang w:eastAsia="en-AU"/>
              </w:rPr>
              <w:t>i</w:t>
            </w:r>
            <w:proofErr w:type="spellEnd"/>
            <w:r w:rsidRPr="001A2DAE">
              <w:rPr>
                <w:rFonts w:ascii="Arial Narrow" w:hAnsi="Arial Narrow" w:cs="Arial"/>
                <w:sz w:val="18"/>
                <w:szCs w:val="18"/>
                <w:lang w:eastAsia="en-AU"/>
              </w:rPr>
              <w:t>) the whole body, (ii) face/hands, prior to commencing non-PBS-subsidised therapy with this biological medicine</w:t>
            </w:r>
          </w:p>
        </w:tc>
      </w:tr>
      <w:tr w:rsidR="00C3721C" w:rsidRPr="001A2DAE" w14:paraId="3F1CE778" w14:textId="77777777" w:rsidTr="000E35FA">
        <w:tc>
          <w:tcPr>
            <w:tcW w:w="1271" w:type="dxa"/>
          </w:tcPr>
          <w:p w14:paraId="20B56C20"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6B01CCDB"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20735145" w14:textId="77777777" w:rsidTr="000E35FA">
        <w:tc>
          <w:tcPr>
            <w:tcW w:w="1271" w:type="dxa"/>
          </w:tcPr>
          <w:p w14:paraId="52E8AE73" w14:textId="5AF60AFD"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3795309"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26BAE63A" w14:textId="77777777" w:rsidTr="000E35FA">
        <w:tc>
          <w:tcPr>
            <w:tcW w:w="1271" w:type="dxa"/>
          </w:tcPr>
          <w:p w14:paraId="0301851C" w14:textId="2C106F0B"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6C5C29C2"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not be experiencing an inadequate response to current non-PBS-subsidised therapy with this biological medicine</w:t>
            </w:r>
          </w:p>
        </w:tc>
      </w:tr>
      <w:tr w:rsidR="00C3721C" w:rsidRPr="001A2DAE" w14:paraId="22006915" w14:textId="77777777" w:rsidTr="000E35FA">
        <w:tc>
          <w:tcPr>
            <w:tcW w:w="1271" w:type="dxa"/>
          </w:tcPr>
          <w:p w14:paraId="6B1EF517"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1DAD7223"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47DE336F" w14:textId="77777777" w:rsidTr="000E35FA">
        <w:tc>
          <w:tcPr>
            <w:tcW w:w="1271" w:type="dxa"/>
          </w:tcPr>
          <w:p w14:paraId="04CBFF3C" w14:textId="0D80B864"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210B418B"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6C29F398" w14:textId="77777777" w:rsidTr="000E35FA">
        <w:tc>
          <w:tcPr>
            <w:tcW w:w="1271" w:type="dxa"/>
          </w:tcPr>
          <w:p w14:paraId="3267FD2C" w14:textId="1E2E7B12"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5A683E46"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The treatment must be the sole PBS-subsidised biological medicine for this condition</w:t>
            </w:r>
          </w:p>
        </w:tc>
      </w:tr>
      <w:tr w:rsidR="00C3721C" w:rsidRPr="001A2DAE" w14:paraId="1A90D260" w14:textId="77777777" w:rsidTr="000E35FA">
        <w:tc>
          <w:tcPr>
            <w:tcW w:w="1271" w:type="dxa"/>
          </w:tcPr>
          <w:p w14:paraId="20730B34"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78817C77"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533F35CB" w14:textId="77777777" w:rsidTr="000E35FA">
        <w:tc>
          <w:tcPr>
            <w:tcW w:w="1271" w:type="dxa"/>
          </w:tcPr>
          <w:p w14:paraId="40E36B24" w14:textId="7834117D"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6F921BBE"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69964CBE" w14:textId="77777777" w:rsidTr="000E35FA">
        <w:tc>
          <w:tcPr>
            <w:tcW w:w="1271" w:type="dxa"/>
          </w:tcPr>
          <w:p w14:paraId="3AFF8AA2" w14:textId="008FF235"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7876332D"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not have experienced an inadequate response to this biological medicine in this indication, prior to commencing non-PBS-subsidised therapy with this biological medicine</w:t>
            </w:r>
          </w:p>
        </w:tc>
      </w:tr>
      <w:tr w:rsidR="00C3721C" w:rsidRPr="001A2DAE" w14:paraId="668E3CB5" w14:textId="77777777" w:rsidTr="000E35FA">
        <w:tc>
          <w:tcPr>
            <w:tcW w:w="1271" w:type="dxa"/>
          </w:tcPr>
          <w:p w14:paraId="460AF78E"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2DC7D6F5"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0271B4D4" w14:textId="77777777" w:rsidTr="000E35FA">
        <w:tc>
          <w:tcPr>
            <w:tcW w:w="1271" w:type="dxa"/>
          </w:tcPr>
          <w:p w14:paraId="79BBE56F" w14:textId="2D4B903B"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85DD2EE"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Treatment criteria:</w:t>
            </w:r>
          </w:p>
        </w:tc>
      </w:tr>
      <w:tr w:rsidR="00C3721C" w:rsidRPr="001A2DAE" w14:paraId="0FAEFD2B" w14:textId="77777777" w:rsidTr="000E35FA">
        <w:tc>
          <w:tcPr>
            <w:tcW w:w="1271" w:type="dxa"/>
          </w:tcPr>
          <w:p w14:paraId="5F32DD9D" w14:textId="46E8EB05"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D6CBD82"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Must be treated by a dermatologist; or</w:t>
            </w:r>
          </w:p>
        </w:tc>
      </w:tr>
      <w:tr w:rsidR="00C3721C" w:rsidRPr="001A2DAE" w14:paraId="6784B77F" w14:textId="77777777" w:rsidTr="000E35FA">
        <w:tc>
          <w:tcPr>
            <w:tcW w:w="1271" w:type="dxa"/>
          </w:tcPr>
          <w:p w14:paraId="47332566" w14:textId="708CFE03"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102E9E89"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Must be treated by a clinical immunologist</w:t>
            </w:r>
          </w:p>
        </w:tc>
      </w:tr>
      <w:tr w:rsidR="00C3721C" w:rsidRPr="001A2DAE" w14:paraId="2833A60E" w14:textId="77777777" w:rsidTr="00816736">
        <w:tc>
          <w:tcPr>
            <w:tcW w:w="1271" w:type="dxa"/>
          </w:tcPr>
          <w:p w14:paraId="69807926"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00B483DF" w14:textId="77777777" w:rsidR="00C3721C" w:rsidRPr="001A2DAE" w:rsidRDefault="00C3721C" w:rsidP="00816736">
            <w:pPr>
              <w:widowControl w:val="0"/>
              <w:ind w:left="-57"/>
              <w:rPr>
                <w:rFonts w:ascii="Arial Narrow" w:hAnsi="Arial Narrow" w:cs="Arial"/>
                <w:b/>
                <w:bCs/>
                <w:sz w:val="18"/>
                <w:szCs w:val="18"/>
                <w:lang w:eastAsia="en-AU"/>
              </w:rPr>
            </w:pPr>
            <w:r w:rsidRPr="001A2DAE">
              <w:rPr>
                <w:rFonts w:ascii="Arial Narrow" w:hAnsi="Arial Narrow" w:cs="Arial"/>
                <w:b/>
                <w:bCs/>
                <w:sz w:val="18"/>
                <w:szCs w:val="18"/>
                <w:lang w:eastAsia="en-AU"/>
              </w:rPr>
              <w:t>AND</w:t>
            </w:r>
          </w:p>
        </w:tc>
      </w:tr>
      <w:tr w:rsidR="00C3721C" w:rsidRPr="001A2DAE" w14:paraId="51512175" w14:textId="77777777" w:rsidTr="00816736">
        <w:tc>
          <w:tcPr>
            <w:tcW w:w="1271" w:type="dxa"/>
          </w:tcPr>
          <w:p w14:paraId="607628B9" w14:textId="6BF99D7E"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30052B0B" w14:textId="77777777" w:rsidR="00C3721C" w:rsidRPr="001A2DAE" w:rsidRDefault="00C3721C" w:rsidP="00816736">
            <w:pPr>
              <w:widowControl w:val="0"/>
              <w:ind w:left="-57"/>
              <w:rPr>
                <w:rFonts w:ascii="Arial Narrow" w:hAnsi="Arial Narrow" w:cs="Arial"/>
                <w:b/>
                <w:bCs/>
                <w:sz w:val="18"/>
                <w:szCs w:val="18"/>
                <w:lang w:eastAsia="en-AU"/>
              </w:rPr>
            </w:pPr>
            <w:r w:rsidRPr="001A2DAE">
              <w:rPr>
                <w:rFonts w:ascii="Arial Narrow" w:hAnsi="Arial Narrow" w:cs="Arial"/>
                <w:b/>
                <w:bCs/>
                <w:sz w:val="18"/>
                <w:szCs w:val="18"/>
                <w:lang w:eastAsia="en-AU"/>
              </w:rPr>
              <w:t>Population criteria:</w:t>
            </w:r>
          </w:p>
        </w:tc>
      </w:tr>
      <w:tr w:rsidR="00C3721C" w:rsidRPr="001A2DAE" w14:paraId="32AAFCE1" w14:textId="77777777" w:rsidTr="00816736">
        <w:tc>
          <w:tcPr>
            <w:tcW w:w="1271" w:type="dxa"/>
          </w:tcPr>
          <w:p w14:paraId="307D64E4" w14:textId="621BD3E5"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55943B12"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be 12 years of age or older; or</w:t>
            </w:r>
          </w:p>
        </w:tc>
      </w:tr>
      <w:tr w:rsidR="00C3721C" w:rsidRPr="001A2DAE" w14:paraId="66D1308C" w14:textId="77777777" w:rsidTr="00816736">
        <w:tc>
          <w:tcPr>
            <w:tcW w:w="1271" w:type="dxa"/>
          </w:tcPr>
          <w:p w14:paraId="64B40752" w14:textId="000C16B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6989CED8"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be less than 12 years of age</w:t>
            </w:r>
          </w:p>
        </w:tc>
      </w:tr>
      <w:tr w:rsidR="00C3721C" w:rsidRPr="001A2DAE" w14:paraId="0DC867D0" w14:textId="77777777" w:rsidTr="00816736">
        <w:tc>
          <w:tcPr>
            <w:tcW w:w="1271" w:type="dxa"/>
          </w:tcPr>
          <w:p w14:paraId="02406346"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7B2D23EE" w14:textId="77777777" w:rsidR="00C3721C" w:rsidRPr="001A2DAE" w:rsidRDefault="00C3721C" w:rsidP="00816736">
            <w:pPr>
              <w:widowControl w:val="0"/>
              <w:ind w:left="-57"/>
              <w:rPr>
                <w:rFonts w:ascii="Arial Narrow" w:hAnsi="Arial Narrow" w:cs="Arial"/>
                <w:sz w:val="18"/>
                <w:szCs w:val="18"/>
                <w:lang w:eastAsia="en-AU"/>
              </w:rPr>
            </w:pPr>
          </w:p>
        </w:tc>
      </w:tr>
      <w:tr w:rsidR="00C3721C" w:rsidRPr="001A2DAE" w14:paraId="48587ACA" w14:textId="77777777" w:rsidTr="000E35FA">
        <w:tc>
          <w:tcPr>
            <w:tcW w:w="1271" w:type="dxa"/>
          </w:tcPr>
          <w:p w14:paraId="6B64A0FB" w14:textId="6AD00DEB"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E809AFF"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Prescribing Instructions:</w:t>
            </w:r>
          </w:p>
          <w:p w14:paraId="76C6EBFF"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 xml:space="preserve">State each of the 4 Eczema Area and Severity Index (EASI) symptom sub-score ratings for erythema, oedema/papulation, excoriation, </w:t>
            </w:r>
            <w:proofErr w:type="spellStart"/>
            <w:r w:rsidRPr="001A2DAE">
              <w:rPr>
                <w:rFonts w:ascii="Arial Narrow" w:hAnsi="Arial Narrow" w:cs="Arial"/>
                <w:sz w:val="18"/>
                <w:szCs w:val="18"/>
                <w:lang w:eastAsia="en-AU"/>
              </w:rPr>
              <w:t>lichenification</w:t>
            </w:r>
            <w:proofErr w:type="spellEnd"/>
            <w:r w:rsidRPr="001A2DAE">
              <w:rPr>
                <w:rFonts w:ascii="Arial Narrow" w:hAnsi="Arial Narrow" w:cs="Arial"/>
                <w:sz w:val="18"/>
                <w:szCs w:val="18"/>
                <w:lang w:eastAsia="en-AU"/>
              </w:rPr>
              <w:t xml:space="preserve"> that were present prior to having commenced non-PBS-subsidised therapy, in the authority application. The name/s of the medium to high potency topical corticosteroids trialled prior to commencing treatment with this biological medicine is/are to be documented in the patient's medical records.</w:t>
            </w:r>
          </w:p>
        </w:tc>
      </w:tr>
      <w:tr w:rsidR="00C3721C" w:rsidRPr="001A2DAE" w14:paraId="5119106C" w14:textId="77777777" w:rsidTr="000E35FA">
        <w:tc>
          <w:tcPr>
            <w:tcW w:w="1271" w:type="dxa"/>
          </w:tcPr>
          <w:p w14:paraId="056B799E" w14:textId="4AB2ED5A"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7255AE6"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Prescribing Instructions:</w:t>
            </w:r>
          </w:p>
          <w:p w14:paraId="3F1CDB62"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A Grandfathered patient may qualify for PBS-subsidised treatment under this restriction once only.</w:t>
            </w:r>
          </w:p>
        </w:tc>
      </w:tr>
      <w:tr w:rsidR="00C3721C" w:rsidRPr="001A2DAE" w14:paraId="6A9A9AA0" w14:textId="77777777" w:rsidTr="000E35FA">
        <w:tc>
          <w:tcPr>
            <w:tcW w:w="1271" w:type="dxa"/>
          </w:tcPr>
          <w:p w14:paraId="6374E84B" w14:textId="4D487C6C"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1700781D"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Prescribing Instructions:</w:t>
            </w:r>
          </w:p>
          <w:p w14:paraId="080CB579"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For continuing PBS-subsidised treatment, a Grandfathered patient must qualify under the Continuing treatment criteria.</w:t>
            </w:r>
          </w:p>
        </w:tc>
      </w:tr>
      <w:tr w:rsidR="00C3721C" w:rsidRPr="001A2DAE" w14:paraId="59C36087" w14:textId="77777777" w:rsidTr="00816736">
        <w:tc>
          <w:tcPr>
            <w:tcW w:w="1271" w:type="dxa"/>
          </w:tcPr>
          <w:p w14:paraId="317CC6E8" w14:textId="799269A2"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1AE76F20"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r w:rsidRPr="001A2DAE">
              <w:rPr>
                <w:rFonts w:ascii="Arial Narrow" w:hAnsi="Arial Narrow" w:cs="Arial"/>
                <w:b/>
                <w:bCs/>
                <w:sz w:val="18"/>
                <w:szCs w:val="18"/>
                <w:bdr w:val="none" w:sz="0" w:space="0" w:color="auto" w:frame="1"/>
                <w:lang w:eastAsia="en-AU"/>
              </w:rPr>
              <w:t>Prescribing Instructions:</w:t>
            </w:r>
          </w:p>
          <w:p w14:paraId="3B9EE4FC"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r w:rsidRPr="001A2DAE">
              <w:rPr>
                <w:rFonts w:ascii="Arial Narrow" w:hAnsi="Arial Narrow" w:cs="Arial"/>
                <w:sz w:val="18"/>
                <w:szCs w:val="18"/>
                <w:bdr w:val="none" w:sz="0" w:space="0" w:color="auto" w:frame="1"/>
                <w:lang w:eastAsia="en-AU"/>
              </w:rPr>
              <w:t>In a patient weighing no greater than 30 kg, prescribe up to 2 repeat prescriptions only – do not default to prescribing the listing’s specified number of repeats.</w:t>
            </w:r>
          </w:p>
        </w:tc>
      </w:tr>
      <w:tr w:rsidR="00C3721C" w:rsidRPr="001A2DAE" w14:paraId="7A1A4CE8" w14:textId="77777777" w:rsidTr="00816736">
        <w:tc>
          <w:tcPr>
            <w:tcW w:w="1271" w:type="dxa"/>
          </w:tcPr>
          <w:p w14:paraId="375AF1BC"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36F89935"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773BDF9B" w14:textId="77777777" w:rsidTr="000E35FA">
        <w:tc>
          <w:tcPr>
            <w:tcW w:w="1271" w:type="dxa"/>
          </w:tcPr>
          <w:p w14:paraId="5E056B7F" w14:textId="00EB543B"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10F9D3DC"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Administrative Advice:</w:t>
            </w:r>
          </w:p>
          <w:p w14:paraId="5B4167E7"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This grandfather restriction will cease to operate from 12 months after the date specified in the clinical criteria.</w:t>
            </w:r>
          </w:p>
        </w:tc>
      </w:tr>
      <w:bookmarkEnd w:id="55"/>
    </w:tbl>
    <w:p w14:paraId="4EFE4394" w14:textId="77777777" w:rsidR="00C3721C" w:rsidRDefault="00C3721C" w:rsidP="00C3721C">
      <w:pPr>
        <w:pStyle w:val="3Bodytext"/>
      </w:pPr>
    </w:p>
    <w:p w14:paraId="0B7371CA" w14:textId="77777777" w:rsidR="00C3721C" w:rsidRDefault="00C3721C" w:rsidP="00C3721C">
      <w:pPr>
        <w:pStyle w:val="3Bodytext"/>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
        <w:gridCol w:w="992"/>
        <w:gridCol w:w="2856"/>
        <w:gridCol w:w="1134"/>
        <w:gridCol w:w="851"/>
        <w:gridCol w:w="992"/>
        <w:gridCol w:w="709"/>
        <w:gridCol w:w="1538"/>
      </w:tblGrid>
      <w:tr w:rsidR="00C3721C" w:rsidRPr="005D5FCD" w14:paraId="29550811" w14:textId="77777777" w:rsidTr="00816736">
        <w:trPr>
          <w:cantSplit/>
          <w:trHeight w:val="471"/>
        </w:trPr>
        <w:tc>
          <w:tcPr>
            <w:tcW w:w="4127" w:type="dxa"/>
            <w:gridSpan w:val="3"/>
          </w:tcPr>
          <w:p w14:paraId="66E110DF" w14:textId="77777777" w:rsidR="00C3721C" w:rsidRPr="005D5FCD" w:rsidRDefault="00C3721C" w:rsidP="00816736">
            <w:pPr>
              <w:widowControl w:val="0"/>
              <w:ind w:left="-57"/>
              <w:rPr>
                <w:rFonts w:ascii="Arial Narrow" w:hAnsi="Arial Narrow" w:cs="Arial"/>
                <w:b/>
                <w:bCs/>
                <w:sz w:val="18"/>
                <w:szCs w:val="18"/>
              </w:rPr>
            </w:pPr>
            <w:r w:rsidRPr="005D5FCD">
              <w:rPr>
                <w:rFonts w:ascii="Arial Narrow" w:hAnsi="Arial Narrow" w:cs="Arial"/>
                <w:b/>
                <w:bCs/>
                <w:sz w:val="18"/>
                <w:szCs w:val="18"/>
              </w:rPr>
              <w:t>MEDICINAL PRODUCT</w:t>
            </w:r>
          </w:p>
          <w:p w14:paraId="63512795" w14:textId="77777777" w:rsidR="00C3721C" w:rsidRPr="005D5FCD" w:rsidRDefault="00C3721C" w:rsidP="00816736">
            <w:pPr>
              <w:widowControl w:val="0"/>
              <w:ind w:left="-57"/>
              <w:rPr>
                <w:rFonts w:ascii="Arial Narrow" w:hAnsi="Arial Narrow" w:cs="Arial"/>
                <w:b/>
                <w:sz w:val="18"/>
                <w:szCs w:val="18"/>
              </w:rPr>
            </w:pPr>
            <w:r w:rsidRPr="005D5FCD">
              <w:rPr>
                <w:rFonts w:ascii="Arial Narrow" w:hAnsi="Arial Narrow" w:cs="Arial"/>
                <w:b/>
                <w:bCs/>
                <w:sz w:val="18"/>
                <w:szCs w:val="18"/>
              </w:rPr>
              <w:t>medicinal product pack</w:t>
            </w:r>
          </w:p>
        </w:tc>
        <w:tc>
          <w:tcPr>
            <w:tcW w:w="1134" w:type="dxa"/>
          </w:tcPr>
          <w:p w14:paraId="3B686089" w14:textId="77777777" w:rsidR="00C3721C" w:rsidRPr="005D5FCD" w:rsidRDefault="00C3721C" w:rsidP="00816736">
            <w:pPr>
              <w:widowControl w:val="0"/>
              <w:ind w:left="-108"/>
              <w:jc w:val="center"/>
              <w:rPr>
                <w:rFonts w:ascii="Arial Narrow" w:hAnsi="Arial Narrow" w:cs="Arial"/>
                <w:b/>
                <w:sz w:val="18"/>
                <w:szCs w:val="18"/>
              </w:rPr>
            </w:pPr>
            <w:r w:rsidRPr="005D5FCD">
              <w:rPr>
                <w:rFonts w:ascii="Arial Narrow" w:hAnsi="Arial Narrow" w:cs="Arial"/>
                <w:b/>
                <w:sz w:val="18"/>
                <w:szCs w:val="18"/>
              </w:rPr>
              <w:t>PBS item code</w:t>
            </w:r>
          </w:p>
        </w:tc>
        <w:tc>
          <w:tcPr>
            <w:tcW w:w="851" w:type="dxa"/>
          </w:tcPr>
          <w:p w14:paraId="2E4C46B5" w14:textId="77777777" w:rsidR="00C3721C" w:rsidRPr="005D5FCD" w:rsidRDefault="00C3721C" w:rsidP="00816736">
            <w:pPr>
              <w:widowControl w:val="0"/>
              <w:ind w:left="-108"/>
              <w:jc w:val="center"/>
              <w:rPr>
                <w:rFonts w:ascii="Arial Narrow" w:hAnsi="Arial Narrow" w:cs="Arial"/>
                <w:b/>
                <w:sz w:val="18"/>
                <w:szCs w:val="18"/>
              </w:rPr>
            </w:pPr>
            <w:r w:rsidRPr="005D5FCD">
              <w:rPr>
                <w:rFonts w:ascii="Arial Narrow" w:hAnsi="Arial Narrow" w:cs="Arial"/>
                <w:b/>
                <w:sz w:val="18"/>
                <w:szCs w:val="18"/>
              </w:rPr>
              <w:t>Max. qty packs</w:t>
            </w:r>
          </w:p>
        </w:tc>
        <w:tc>
          <w:tcPr>
            <w:tcW w:w="992" w:type="dxa"/>
          </w:tcPr>
          <w:p w14:paraId="3F41468D" w14:textId="77777777" w:rsidR="00C3721C" w:rsidRPr="005D5FCD" w:rsidRDefault="00C3721C" w:rsidP="00816736">
            <w:pPr>
              <w:widowControl w:val="0"/>
              <w:ind w:left="-108"/>
              <w:jc w:val="center"/>
              <w:rPr>
                <w:rFonts w:ascii="Arial Narrow" w:hAnsi="Arial Narrow" w:cs="Arial"/>
                <w:b/>
                <w:sz w:val="18"/>
                <w:szCs w:val="18"/>
              </w:rPr>
            </w:pPr>
            <w:r w:rsidRPr="005D5FCD">
              <w:rPr>
                <w:rFonts w:ascii="Arial Narrow" w:hAnsi="Arial Narrow" w:cs="Arial"/>
                <w:b/>
                <w:sz w:val="18"/>
                <w:szCs w:val="18"/>
              </w:rPr>
              <w:t>Max. qty units</w:t>
            </w:r>
          </w:p>
        </w:tc>
        <w:tc>
          <w:tcPr>
            <w:tcW w:w="709" w:type="dxa"/>
          </w:tcPr>
          <w:p w14:paraId="463C5CEC" w14:textId="77777777" w:rsidR="00C3721C" w:rsidRPr="005D5FCD" w:rsidRDefault="00C3721C" w:rsidP="00816736">
            <w:pPr>
              <w:widowControl w:val="0"/>
              <w:ind w:left="-108"/>
              <w:jc w:val="center"/>
              <w:rPr>
                <w:rFonts w:ascii="Arial Narrow" w:hAnsi="Arial Narrow" w:cs="Arial"/>
                <w:b/>
                <w:sz w:val="18"/>
                <w:szCs w:val="18"/>
              </w:rPr>
            </w:pPr>
            <w:proofErr w:type="gramStart"/>
            <w:r w:rsidRPr="005D5FCD">
              <w:rPr>
                <w:rFonts w:ascii="Arial Narrow" w:hAnsi="Arial Narrow" w:cs="Arial"/>
                <w:b/>
                <w:sz w:val="18"/>
                <w:szCs w:val="18"/>
              </w:rPr>
              <w:t>№.of</w:t>
            </w:r>
            <w:proofErr w:type="gramEnd"/>
          </w:p>
          <w:p w14:paraId="14C5B170" w14:textId="77777777" w:rsidR="00C3721C" w:rsidRPr="005D5FCD" w:rsidRDefault="00C3721C" w:rsidP="00816736">
            <w:pPr>
              <w:widowControl w:val="0"/>
              <w:ind w:left="-108"/>
              <w:jc w:val="center"/>
              <w:rPr>
                <w:rFonts w:ascii="Arial Narrow" w:hAnsi="Arial Narrow" w:cs="Arial"/>
                <w:b/>
                <w:sz w:val="18"/>
                <w:szCs w:val="18"/>
              </w:rPr>
            </w:pPr>
            <w:proofErr w:type="spellStart"/>
            <w:r w:rsidRPr="005D5FCD">
              <w:rPr>
                <w:rFonts w:ascii="Arial Narrow" w:hAnsi="Arial Narrow" w:cs="Arial"/>
                <w:b/>
                <w:sz w:val="18"/>
                <w:szCs w:val="18"/>
              </w:rPr>
              <w:t>Rpts</w:t>
            </w:r>
            <w:proofErr w:type="spellEnd"/>
          </w:p>
        </w:tc>
        <w:tc>
          <w:tcPr>
            <w:tcW w:w="1538" w:type="dxa"/>
          </w:tcPr>
          <w:p w14:paraId="7F34D825" w14:textId="77777777" w:rsidR="00C3721C" w:rsidRPr="005D5FCD" w:rsidRDefault="00C3721C" w:rsidP="00816736">
            <w:pPr>
              <w:widowControl w:val="0"/>
              <w:rPr>
                <w:rFonts w:ascii="Arial Narrow" w:hAnsi="Arial Narrow" w:cs="Arial"/>
                <w:b/>
                <w:sz w:val="18"/>
                <w:szCs w:val="18"/>
              </w:rPr>
            </w:pPr>
            <w:r w:rsidRPr="005D5FCD">
              <w:rPr>
                <w:rFonts w:ascii="Arial Narrow" w:hAnsi="Arial Narrow" w:cs="Arial"/>
                <w:b/>
                <w:sz w:val="18"/>
                <w:szCs w:val="18"/>
              </w:rPr>
              <w:t>Available brands</w:t>
            </w:r>
          </w:p>
        </w:tc>
      </w:tr>
      <w:tr w:rsidR="00C3721C" w:rsidRPr="005D5FCD" w14:paraId="68A061B7" w14:textId="77777777" w:rsidTr="00816736">
        <w:trPr>
          <w:cantSplit/>
          <w:trHeight w:val="224"/>
        </w:trPr>
        <w:tc>
          <w:tcPr>
            <w:tcW w:w="9351" w:type="dxa"/>
            <w:gridSpan w:val="8"/>
          </w:tcPr>
          <w:p w14:paraId="3E233B22" w14:textId="77777777" w:rsidR="00C3721C" w:rsidRPr="005D5FCD" w:rsidRDefault="00C3721C" w:rsidP="00816736">
            <w:pPr>
              <w:widowControl w:val="0"/>
              <w:ind w:left="-57"/>
              <w:rPr>
                <w:rFonts w:ascii="Arial Narrow" w:hAnsi="Arial Narrow" w:cs="Arial"/>
                <w:sz w:val="18"/>
                <w:szCs w:val="18"/>
              </w:rPr>
            </w:pPr>
            <w:r w:rsidRPr="005D5FCD">
              <w:rPr>
                <w:rFonts w:ascii="Arial Narrow" w:hAnsi="Arial Narrow" w:cs="Arial"/>
                <w:sz w:val="18"/>
                <w:szCs w:val="18"/>
              </w:rPr>
              <w:t xml:space="preserve">DUPILUMAB  </w:t>
            </w:r>
          </w:p>
        </w:tc>
      </w:tr>
      <w:tr w:rsidR="00C3721C" w:rsidRPr="005D5FCD" w14:paraId="6C03FFE2" w14:textId="77777777" w:rsidTr="00816736">
        <w:trPr>
          <w:cantSplit/>
          <w:trHeight w:val="330"/>
        </w:trPr>
        <w:tc>
          <w:tcPr>
            <w:tcW w:w="4127" w:type="dxa"/>
            <w:gridSpan w:val="3"/>
          </w:tcPr>
          <w:p w14:paraId="6BD18591" w14:textId="77777777" w:rsidR="00C3721C" w:rsidRPr="005D5FCD" w:rsidRDefault="00C3721C" w:rsidP="00816736">
            <w:pPr>
              <w:widowControl w:val="0"/>
              <w:ind w:left="-57"/>
              <w:rPr>
                <w:rFonts w:ascii="Arial Narrow" w:hAnsi="Arial Narrow" w:cs="Arial"/>
                <w:sz w:val="18"/>
                <w:szCs w:val="18"/>
              </w:rPr>
            </w:pPr>
            <w:r w:rsidRPr="005D5FCD">
              <w:rPr>
                <w:rFonts w:ascii="Arial Narrow" w:hAnsi="Arial Narrow" w:cs="Arial"/>
                <w:sz w:val="18"/>
                <w:szCs w:val="18"/>
              </w:rPr>
              <w:t>dupilumab 200 mg/1.14 mL injection, 2 x 1.14 mL syringes</w:t>
            </w:r>
          </w:p>
        </w:tc>
        <w:tc>
          <w:tcPr>
            <w:tcW w:w="1134" w:type="dxa"/>
          </w:tcPr>
          <w:p w14:paraId="5FFDEE94" w14:textId="77777777" w:rsidR="00C3721C" w:rsidRPr="005D5FCD" w:rsidRDefault="00C3721C" w:rsidP="00816736">
            <w:pPr>
              <w:widowControl w:val="0"/>
              <w:jc w:val="center"/>
              <w:rPr>
                <w:rFonts w:ascii="Arial Narrow" w:hAnsi="Arial Narrow" w:cs="Arial"/>
                <w:sz w:val="18"/>
                <w:szCs w:val="18"/>
              </w:rPr>
            </w:pPr>
            <w:r w:rsidRPr="005D5FCD">
              <w:rPr>
                <w:rFonts w:ascii="Arial Narrow" w:hAnsi="Arial Narrow" w:cs="Arial"/>
                <w:sz w:val="18"/>
                <w:szCs w:val="18"/>
              </w:rPr>
              <w:t>12291X</w:t>
            </w:r>
          </w:p>
        </w:tc>
        <w:tc>
          <w:tcPr>
            <w:tcW w:w="851" w:type="dxa"/>
          </w:tcPr>
          <w:p w14:paraId="2BB69AFA" w14:textId="77777777" w:rsidR="00C3721C" w:rsidRPr="005D5FCD" w:rsidRDefault="00C3721C" w:rsidP="00816736">
            <w:pPr>
              <w:widowControl w:val="0"/>
              <w:jc w:val="center"/>
              <w:rPr>
                <w:rFonts w:ascii="Arial Narrow" w:hAnsi="Arial Narrow" w:cs="Arial"/>
                <w:sz w:val="18"/>
                <w:szCs w:val="18"/>
              </w:rPr>
            </w:pPr>
            <w:r w:rsidRPr="005D5FCD">
              <w:rPr>
                <w:rFonts w:ascii="Arial Narrow" w:hAnsi="Arial Narrow" w:cs="Arial"/>
                <w:sz w:val="18"/>
                <w:szCs w:val="18"/>
              </w:rPr>
              <w:t>1</w:t>
            </w:r>
          </w:p>
        </w:tc>
        <w:tc>
          <w:tcPr>
            <w:tcW w:w="992" w:type="dxa"/>
          </w:tcPr>
          <w:p w14:paraId="1764424A" w14:textId="77777777" w:rsidR="00C3721C" w:rsidRPr="005D5FCD" w:rsidRDefault="00C3721C" w:rsidP="00816736">
            <w:pPr>
              <w:widowControl w:val="0"/>
              <w:jc w:val="center"/>
              <w:rPr>
                <w:rFonts w:ascii="Arial Narrow" w:hAnsi="Arial Narrow" w:cs="Arial"/>
                <w:sz w:val="18"/>
                <w:szCs w:val="18"/>
              </w:rPr>
            </w:pPr>
            <w:r w:rsidRPr="005D5FCD">
              <w:rPr>
                <w:rFonts w:ascii="Arial Narrow" w:hAnsi="Arial Narrow" w:cs="Arial"/>
                <w:sz w:val="18"/>
                <w:szCs w:val="18"/>
              </w:rPr>
              <w:t>2</w:t>
            </w:r>
          </w:p>
        </w:tc>
        <w:tc>
          <w:tcPr>
            <w:tcW w:w="709" w:type="dxa"/>
          </w:tcPr>
          <w:p w14:paraId="7C4FBFB6" w14:textId="77777777" w:rsidR="00C3721C" w:rsidRPr="005D5FCD" w:rsidRDefault="00C3721C" w:rsidP="00816736">
            <w:pPr>
              <w:widowControl w:val="0"/>
              <w:jc w:val="center"/>
              <w:rPr>
                <w:rFonts w:ascii="Arial Narrow" w:hAnsi="Arial Narrow" w:cs="Arial"/>
                <w:sz w:val="18"/>
                <w:szCs w:val="18"/>
              </w:rPr>
            </w:pPr>
            <w:r w:rsidRPr="005D5FCD">
              <w:rPr>
                <w:rFonts w:ascii="Arial Narrow" w:hAnsi="Arial Narrow" w:cs="Arial"/>
                <w:sz w:val="18"/>
                <w:szCs w:val="18"/>
              </w:rPr>
              <w:t>5</w:t>
            </w:r>
          </w:p>
        </w:tc>
        <w:tc>
          <w:tcPr>
            <w:tcW w:w="1538" w:type="dxa"/>
          </w:tcPr>
          <w:p w14:paraId="1A7A971D" w14:textId="77777777" w:rsidR="00C3721C" w:rsidRPr="005D5FCD" w:rsidRDefault="00C3721C" w:rsidP="00816736">
            <w:pPr>
              <w:widowControl w:val="0"/>
              <w:rPr>
                <w:rFonts w:ascii="Arial Narrow" w:hAnsi="Arial Narrow" w:cs="Arial"/>
                <w:sz w:val="18"/>
                <w:szCs w:val="18"/>
              </w:rPr>
            </w:pPr>
            <w:r w:rsidRPr="005D5FCD">
              <w:rPr>
                <w:rFonts w:ascii="Arial Narrow" w:hAnsi="Arial Narrow" w:cs="Arial"/>
                <w:sz w:val="18"/>
                <w:szCs w:val="18"/>
              </w:rPr>
              <w:t>Dupixent</w:t>
            </w:r>
          </w:p>
        </w:tc>
      </w:tr>
      <w:tr w:rsidR="00C3721C" w:rsidRPr="005D5FCD" w14:paraId="74007914" w14:textId="77777777" w:rsidTr="00816736">
        <w:tblPrEx>
          <w:tblCellMar>
            <w:top w:w="15" w:type="dxa"/>
            <w:left w:w="15" w:type="dxa"/>
            <w:bottom w:w="15" w:type="dxa"/>
            <w:right w:w="15" w:type="dxa"/>
          </w:tblCellMar>
          <w:tblLook w:val="04A0" w:firstRow="1" w:lastRow="0" w:firstColumn="1" w:lastColumn="0" w:noHBand="0" w:noVBand="1"/>
        </w:tblPrEx>
        <w:tc>
          <w:tcPr>
            <w:tcW w:w="9351" w:type="dxa"/>
            <w:gridSpan w:val="8"/>
            <w:tcBorders>
              <w:top w:val="single" w:sz="4" w:space="0" w:color="auto"/>
              <w:left w:val="single" w:sz="4" w:space="0" w:color="auto"/>
              <w:right w:val="single" w:sz="4" w:space="0" w:color="auto"/>
            </w:tcBorders>
          </w:tcPr>
          <w:p w14:paraId="707C84D3" w14:textId="77777777" w:rsidR="00C3721C" w:rsidRPr="005D5FCD" w:rsidRDefault="00C3721C" w:rsidP="00816736">
            <w:pPr>
              <w:widowControl w:val="0"/>
              <w:rPr>
                <w:rFonts w:ascii="Arial Narrow" w:hAnsi="Arial Narrow" w:cs="Arial"/>
                <w:sz w:val="18"/>
                <w:szCs w:val="18"/>
              </w:rPr>
            </w:pPr>
          </w:p>
        </w:tc>
      </w:tr>
      <w:tr w:rsidR="00C3721C" w:rsidRPr="005D5FCD" w14:paraId="007D1F62" w14:textId="77777777" w:rsidTr="00816736">
        <w:tblPrEx>
          <w:tblCellMar>
            <w:top w:w="15" w:type="dxa"/>
            <w:left w:w="15" w:type="dxa"/>
            <w:bottom w:w="15" w:type="dxa"/>
            <w:right w:w="15" w:type="dxa"/>
          </w:tblCellMar>
          <w:tblLook w:val="04A0" w:firstRow="1" w:lastRow="0" w:firstColumn="1" w:lastColumn="0" w:noHBand="0" w:noVBand="1"/>
        </w:tblPrEx>
        <w:tc>
          <w:tcPr>
            <w:tcW w:w="9351" w:type="dxa"/>
            <w:gridSpan w:val="8"/>
            <w:tcBorders>
              <w:top w:val="single" w:sz="4" w:space="0" w:color="auto"/>
              <w:left w:val="single" w:sz="4" w:space="0" w:color="auto"/>
              <w:right w:val="single" w:sz="4" w:space="0" w:color="auto"/>
            </w:tcBorders>
          </w:tcPr>
          <w:p w14:paraId="5131D9CB" w14:textId="77777777" w:rsidR="00C3721C" w:rsidRPr="005D5FCD" w:rsidRDefault="00C3721C" w:rsidP="00816736">
            <w:pPr>
              <w:widowControl w:val="0"/>
              <w:rPr>
                <w:rFonts w:ascii="Arial Narrow" w:hAnsi="Arial Narrow" w:cs="Arial"/>
                <w:b/>
                <w:sz w:val="18"/>
                <w:szCs w:val="18"/>
              </w:rPr>
            </w:pPr>
            <w:r w:rsidRPr="005D5FCD">
              <w:rPr>
                <w:rFonts w:ascii="Arial Narrow" w:hAnsi="Arial Narrow"/>
                <w:b/>
                <w:sz w:val="18"/>
                <w:szCs w:val="18"/>
              </w:rPr>
              <w:t>Restriction Summary 12498 / Treatment of Concept: 12497</w:t>
            </w:r>
          </w:p>
        </w:tc>
      </w:tr>
      <w:tr w:rsidR="00C3721C" w:rsidRPr="005D5FCD" w14:paraId="33D700FD" w14:textId="77777777" w:rsidTr="00816736">
        <w:tblPrEx>
          <w:tblCellMar>
            <w:top w:w="15" w:type="dxa"/>
            <w:left w:w="15" w:type="dxa"/>
            <w:bottom w:w="15" w:type="dxa"/>
            <w:right w:w="15" w:type="dxa"/>
          </w:tblCellMar>
          <w:tblLook w:val="04A0" w:firstRow="1" w:lastRow="0" w:firstColumn="1" w:lastColumn="0" w:noHBand="0" w:noVBand="1"/>
        </w:tblPrEx>
        <w:tc>
          <w:tcPr>
            <w:tcW w:w="1271" w:type="dxa"/>
            <w:gridSpan w:val="2"/>
            <w:vMerge w:val="restart"/>
            <w:tcBorders>
              <w:top w:val="single" w:sz="4" w:space="0" w:color="auto"/>
              <w:left w:val="single" w:sz="4" w:space="0" w:color="auto"/>
              <w:right w:val="single" w:sz="4" w:space="0" w:color="auto"/>
            </w:tcBorders>
          </w:tcPr>
          <w:p w14:paraId="5B29B5E3" w14:textId="77777777" w:rsidR="00C3721C" w:rsidRPr="005D5FCD" w:rsidRDefault="00C3721C" w:rsidP="00816736">
            <w:pPr>
              <w:widowControl w:val="0"/>
              <w:jc w:val="center"/>
              <w:rPr>
                <w:rFonts w:ascii="Arial Narrow" w:hAnsi="Arial Narrow" w:cs="Arial"/>
                <w:b/>
                <w:sz w:val="18"/>
                <w:szCs w:val="18"/>
              </w:rPr>
            </w:pPr>
            <w:r w:rsidRPr="005D5FCD">
              <w:rPr>
                <w:rFonts w:ascii="Arial Narrow" w:hAnsi="Arial Narrow" w:cs="Arial"/>
                <w:b/>
                <w:sz w:val="18"/>
                <w:szCs w:val="18"/>
              </w:rPr>
              <w:t>Concept ID</w:t>
            </w:r>
          </w:p>
          <w:p w14:paraId="6A33A3A6" w14:textId="77777777" w:rsidR="00C3721C" w:rsidRPr="005D5FCD" w:rsidRDefault="00C3721C" w:rsidP="00816736">
            <w:pPr>
              <w:widowControl w:val="0"/>
              <w:jc w:val="center"/>
              <w:rPr>
                <w:rFonts w:ascii="Arial Narrow" w:hAnsi="Arial Narrow" w:cs="Arial"/>
                <w:sz w:val="18"/>
                <w:szCs w:val="18"/>
              </w:rPr>
            </w:pPr>
            <w:r w:rsidRPr="005D5FCD">
              <w:rPr>
                <w:rFonts w:ascii="Arial Narrow" w:hAnsi="Arial Narrow" w:cs="Arial"/>
                <w:sz w:val="18"/>
                <w:szCs w:val="18"/>
              </w:rPr>
              <w:t>(for internal Dept. use)</w:t>
            </w:r>
          </w:p>
        </w:tc>
        <w:tc>
          <w:tcPr>
            <w:tcW w:w="8080" w:type="dxa"/>
            <w:gridSpan w:val="6"/>
            <w:tcBorders>
              <w:top w:val="single" w:sz="4" w:space="0" w:color="auto"/>
              <w:left w:val="single" w:sz="4" w:space="0" w:color="auto"/>
              <w:bottom w:val="single" w:sz="4" w:space="0" w:color="auto"/>
              <w:right w:val="single" w:sz="4" w:space="0" w:color="auto"/>
            </w:tcBorders>
          </w:tcPr>
          <w:p w14:paraId="5A1A08F8" w14:textId="77777777" w:rsidR="00C3721C" w:rsidRPr="005D5FCD" w:rsidRDefault="00C3721C" w:rsidP="00816736">
            <w:pPr>
              <w:widowControl w:val="0"/>
              <w:rPr>
                <w:rFonts w:ascii="Arial Narrow" w:hAnsi="Arial Narrow" w:cs="Arial"/>
                <w:sz w:val="18"/>
                <w:szCs w:val="18"/>
              </w:rPr>
            </w:pPr>
            <w:r w:rsidRPr="005D5FCD">
              <w:rPr>
                <w:rFonts w:ascii="Arial Narrow" w:hAnsi="Arial Narrow" w:cs="Arial"/>
                <w:b/>
                <w:sz w:val="18"/>
                <w:szCs w:val="18"/>
              </w:rPr>
              <w:t xml:space="preserve">Category / Program:   </w:t>
            </w:r>
            <w:r w:rsidRPr="005D5FCD">
              <w:rPr>
                <w:rFonts w:ascii="Arial Narrow" w:hAnsi="Arial Narrow" w:cs="Arial"/>
                <w:sz w:val="18"/>
                <w:szCs w:val="18"/>
              </w:rPr>
              <w:t xml:space="preserve">GENERAL – General Schedule (Code GE) </w:t>
            </w:r>
          </w:p>
        </w:tc>
      </w:tr>
      <w:tr w:rsidR="00C3721C" w:rsidRPr="005D5FCD" w14:paraId="0A739840" w14:textId="77777777" w:rsidTr="00816736">
        <w:tblPrEx>
          <w:tblCellMar>
            <w:top w:w="15" w:type="dxa"/>
            <w:left w:w="15" w:type="dxa"/>
            <w:bottom w:w="15" w:type="dxa"/>
            <w:right w:w="15" w:type="dxa"/>
          </w:tblCellMar>
          <w:tblLook w:val="04A0" w:firstRow="1" w:lastRow="0" w:firstColumn="1" w:lastColumn="0" w:noHBand="0" w:noVBand="1"/>
        </w:tblPrEx>
        <w:trPr>
          <w:trHeight w:val="240"/>
        </w:trPr>
        <w:tc>
          <w:tcPr>
            <w:tcW w:w="1271" w:type="dxa"/>
            <w:gridSpan w:val="2"/>
            <w:vMerge/>
            <w:tcBorders>
              <w:left w:val="single" w:sz="4" w:space="0" w:color="auto"/>
              <w:right w:val="single" w:sz="4" w:space="0" w:color="auto"/>
            </w:tcBorders>
          </w:tcPr>
          <w:p w14:paraId="5A4DBD27" w14:textId="77777777" w:rsidR="00C3721C" w:rsidRPr="005D5FCD" w:rsidRDefault="00C3721C" w:rsidP="00816736">
            <w:pPr>
              <w:widowControl w:val="0"/>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Pr>
          <w:p w14:paraId="735E79CD" w14:textId="77777777" w:rsidR="00C3721C" w:rsidRPr="005D5FCD" w:rsidRDefault="00C3721C" w:rsidP="00816736">
            <w:pPr>
              <w:widowControl w:val="0"/>
              <w:rPr>
                <w:rFonts w:ascii="Arial Narrow" w:hAnsi="Arial Narrow" w:cs="Arial"/>
                <w:b/>
                <w:sz w:val="18"/>
                <w:szCs w:val="18"/>
              </w:rPr>
            </w:pPr>
            <w:r w:rsidRPr="005D5FCD">
              <w:rPr>
                <w:rFonts w:ascii="Arial Narrow" w:hAnsi="Arial Narrow" w:cs="Arial"/>
                <w:b/>
                <w:sz w:val="18"/>
                <w:szCs w:val="18"/>
              </w:rPr>
              <w:t xml:space="preserve">Prescriber type:   </w:t>
            </w:r>
            <w:r w:rsidRPr="005D5FCD">
              <w:rPr>
                <w:rFonts w:ascii="Arial Narrow" w:hAnsi="Arial Narrow" w:cs="Arial"/>
                <w:sz w:val="18"/>
                <w:szCs w:val="18"/>
              </w:rPr>
              <w:fldChar w:fldCharType="begin">
                <w:ffData>
                  <w:name w:val=""/>
                  <w:enabled/>
                  <w:calcOnExit w:val="0"/>
                  <w:checkBox>
                    <w:sizeAuto/>
                    <w:default w:val="1"/>
                  </w:checkBox>
                </w:ffData>
              </w:fldChar>
            </w:r>
            <w:r w:rsidRPr="005D5FCD">
              <w:rPr>
                <w:rFonts w:ascii="Arial Narrow" w:hAnsi="Arial Narrow" w:cs="Arial"/>
                <w:sz w:val="18"/>
                <w:szCs w:val="18"/>
              </w:rPr>
              <w:instrText xml:space="preserve"> FORMCHECKBOX </w:instrText>
            </w:r>
            <w:r w:rsidR="00AA723C">
              <w:rPr>
                <w:rFonts w:ascii="Arial Narrow" w:hAnsi="Arial Narrow" w:cs="Arial"/>
                <w:sz w:val="18"/>
                <w:szCs w:val="18"/>
              </w:rPr>
            </w:r>
            <w:r w:rsidR="00AA723C">
              <w:rPr>
                <w:rFonts w:ascii="Arial Narrow" w:hAnsi="Arial Narrow" w:cs="Arial"/>
                <w:sz w:val="18"/>
                <w:szCs w:val="18"/>
              </w:rPr>
              <w:fldChar w:fldCharType="separate"/>
            </w:r>
            <w:r w:rsidRPr="005D5FCD">
              <w:rPr>
                <w:rFonts w:ascii="Arial Narrow" w:hAnsi="Arial Narrow" w:cs="Arial"/>
                <w:sz w:val="18"/>
                <w:szCs w:val="18"/>
              </w:rPr>
              <w:fldChar w:fldCharType="end"/>
            </w:r>
            <w:r w:rsidRPr="005D5FCD">
              <w:rPr>
                <w:rFonts w:ascii="Arial Narrow" w:hAnsi="Arial Narrow" w:cs="Arial"/>
                <w:sz w:val="18"/>
                <w:szCs w:val="18"/>
              </w:rPr>
              <w:t xml:space="preserve"> Medical Practitioners    </w:t>
            </w:r>
          </w:p>
        </w:tc>
      </w:tr>
      <w:tr w:rsidR="00C3721C" w:rsidRPr="005D5FCD" w14:paraId="6ABA97E0" w14:textId="77777777" w:rsidTr="00816736">
        <w:tblPrEx>
          <w:tblCellMar>
            <w:top w:w="15" w:type="dxa"/>
            <w:left w:w="15" w:type="dxa"/>
            <w:bottom w:w="15" w:type="dxa"/>
            <w:right w:w="15" w:type="dxa"/>
          </w:tblCellMar>
          <w:tblLook w:val="04A0" w:firstRow="1" w:lastRow="0" w:firstColumn="1" w:lastColumn="0" w:noHBand="0" w:noVBand="1"/>
        </w:tblPrEx>
        <w:tc>
          <w:tcPr>
            <w:tcW w:w="1271" w:type="dxa"/>
            <w:gridSpan w:val="2"/>
            <w:vMerge/>
            <w:tcBorders>
              <w:left w:val="single" w:sz="4" w:space="0" w:color="auto"/>
              <w:bottom w:val="single" w:sz="4" w:space="0" w:color="auto"/>
              <w:right w:val="single" w:sz="4" w:space="0" w:color="auto"/>
            </w:tcBorders>
          </w:tcPr>
          <w:p w14:paraId="0FA47C96" w14:textId="77777777" w:rsidR="00C3721C" w:rsidRPr="005D5FCD" w:rsidRDefault="00C3721C" w:rsidP="00816736">
            <w:pPr>
              <w:widowControl w:val="0"/>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Pr>
          <w:p w14:paraId="344C35D9" w14:textId="77777777" w:rsidR="00C3721C" w:rsidRPr="005D5FCD" w:rsidRDefault="00C3721C" w:rsidP="00816736">
            <w:pPr>
              <w:widowControl w:val="0"/>
              <w:rPr>
                <w:rFonts w:ascii="Arial Narrow" w:eastAsia="Calibri" w:hAnsi="Arial Narrow" w:cs="Arial"/>
                <w:sz w:val="18"/>
                <w:szCs w:val="18"/>
              </w:rPr>
            </w:pPr>
            <w:r w:rsidRPr="005D5FCD">
              <w:rPr>
                <w:rFonts w:ascii="Arial Narrow" w:hAnsi="Arial Narrow" w:cs="Arial"/>
                <w:b/>
                <w:sz w:val="18"/>
                <w:szCs w:val="18"/>
              </w:rPr>
              <w:t xml:space="preserve">Restriction type: </w:t>
            </w:r>
            <w:r w:rsidRPr="005D5FCD">
              <w:rPr>
                <w:rFonts w:ascii="Arial Narrow" w:eastAsia="Calibri" w:hAnsi="Arial Narrow" w:cs="Arial"/>
                <w:sz w:val="18"/>
                <w:szCs w:val="18"/>
              </w:rPr>
              <w:fldChar w:fldCharType="begin">
                <w:ffData>
                  <w:name w:val="Check3"/>
                  <w:enabled/>
                  <w:calcOnExit w:val="0"/>
                  <w:checkBox>
                    <w:sizeAuto/>
                    <w:default w:val="1"/>
                  </w:checkBox>
                </w:ffData>
              </w:fldChar>
            </w:r>
            <w:r w:rsidRPr="005D5FCD">
              <w:rPr>
                <w:rFonts w:ascii="Arial Narrow" w:eastAsia="Calibri" w:hAnsi="Arial Narrow" w:cs="Arial"/>
                <w:sz w:val="18"/>
                <w:szCs w:val="18"/>
              </w:rPr>
              <w:instrText xml:space="preserve"> FORMCHECKBOX </w:instrText>
            </w:r>
            <w:r w:rsidR="00AA723C">
              <w:rPr>
                <w:rFonts w:ascii="Arial Narrow" w:eastAsia="Calibri" w:hAnsi="Arial Narrow" w:cs="Arial"/>
                <w:sz w:val="18"/>
                <w:szCs w:val="18"/>
              </w:rPr>
            </w:r>
            <w:r w:rsidR="00AA723C">
              <w:rPr>
                <w:rFonts w:ascii="Arial Narrow" w:eastAsia="Calibri" w:hAnsi="Arial Narrow" w:cs="Arial"/>
                <w:sz w:val="18"/>
                <w:szCs w:val="18"/>
              </w:rPr>
              <w:fldChar w:fldCharType="separate"/>
            </w:r>
            <w:r w:rsidRPr="005D5FCD">
              <w:rPr>
                <w:rFonts w:ascii="Arial Narrow" w:eastAsia="Calibri" w:hAnsi="Arial Narrow" w:cs="Arial"/>
                <w:sz w:val="18"/>
                <w:szCs w:val="18"/>
              </w:rPr>
              <w:fldChar w:fldCharType="end"/>
            </w:r>
            <w:r w:rsidRPr="005D5FCD">
              <w:rPr>
                <w:rFonts w:ascii="Arial Narrow" w:eastAsia="Calibri" w:hAnsi="Arial Narrow" w:cs="Arial"/>
                <w:sz w:val="18"/>
                <w:szCs w:val="18"/>
              </w:rPr>
              <w:t xml:space="preserve">Authority Required (telephone/online PBS Authorities system) </w:t>
            </w:r>
          </w:p>
        </w:tc>
      </w:tr>
      <w:tr w:rsidR="00C3721C" w:rsidRPr="005D5FCD" w14:paraId="0C5424E0" w14:textId="77777777" w:rsidTr="00816736">
        <w:tblPrEx>
          <w:tblCellMar>
            <w:top w:w="15" w:type="dxa"/>
            <w:left w:w="15" w:type="dxa"/>
            <w:bottom w:w="15" w:type="dxa"/>
            <w:right w:w="15" w:type="dxa"/>
          </w:tblCellMar>
          <w:tblLook w:val="04A0" w:firstRow="1" w:lastRow="0" w:firstColumn="1" w:lastColumn="0" w:noHBand="0" w:noVBand="1"/>
        </w:tblPrEx>
        <w:tc>
          <w:tcPr>
            <w:tcW w:w="1271" w:type="dxa"/>
            <w:gridSpan w:val="2"/>
            <w:tcBorders>
              <w:left w:val="single" w:sz="4" w:space="0" w:color="auto"/>
              <w:bottom w:val="single" w:sz="4" w:space="0" w:color="auto"/>
              <w:right w:val="single" w:sz="4" w:space="0" w:color="auto"/>
            </w:tcBorders>
          </w:tcPr>
          <w:p w14:paraId="1361689C" w14:textId="77777777" w:rsidR="00C3721C" w:rsidRPr="005D5FCD" w:rsidRDefault="00C3721C" w:rsidP="00816736">
            <w:pPr>
              <w:widowControl w:val="0"/>
              <w:rPr>
                <w:rFonts w:ascii="Arial Narrow" w:hAnsi="Arial Narrow" w:cs="Arial"/>
                <w:sz w:val="18"/>
                <w:szCs w:val="18"/>
              </w:rPr>
            </w:pPr>
          </w:p>
        </w:tc>
        <w:tc>
          <w:tcPr>
            <w:tcW w:w="8080" w:type="dxa"/>
            <w:gridSpan w:val="6"/>
            <w:tcBorders>
              <w:top w:val="single" w:sz="4" w:space="0" w:color="auto"/>
              <w:left w:val="single" w:sz="4" w:space="0" w:color="auto"/>
              <w:bottom w:val="single" w:sz="4" w:space="0" w:color="auto"/>
              <w:right w:val="single" w:sz="4" w:space="0" w:color="auto"/>
            </w:tcBorders>
          </w:tcPr>
          <w:p w14:paraId="1AF6E24B" w14:textId="77777777" w:rsidR="00C3721C" w:rsidRPr="005D5FCD" w:rsidRDefault="00C3721C" w:rsidP="00816736">
            <w:pPr>
              <w:widowControl w:val="0"/>
              <w:rPr>
                <w:rFonts w:ascii="Arial Narrow" w:hAnsi="Arial Narrow" w:cs="Arial"/>
                <w:b/>
                <w:sz w:val="18"/>
                <w:szCs w:val="18"/>
              </w:rPr>
            </w:pPr>
          </w:p>
        </w:tc>
      </w:tr>
      <w:tr w:rsidR="00C3721C" w:rsidRPr="005D5FCD" w14:paraId="7597D283" w14:textId="77777777" w:rsidTr="00816736">
        <w:tblPrEx>
          <w:tblCellMar>
            <w:top w:w="15" w:type="dxa"/>
            <w:left w:w="15" w:type="dxa"/>
            <w:bottom w:w="15" w:type="dxa"/>
            <w:right w:w="15" w:type="dxa"/>
          </w:tblCellMar>
          <w:tblLook w:val="04A0" w:firstRow="1" w:lastRow="0" w:firstColumn="1" w:lastColumn="0" w:noHBand="0" w:noVBand="1"/>
        </w:tblPrEx>
        <w:tc>
          <w:tcPr>
            <w:tcW w:w="279" w:type="dxa"/>
            <w:vMerge w:val="restart"/>
            <w:tcBorders>
              <w:left w:val="single" w:sz="4" w:space="0" w:color="auto"/>
              <w:right w:val="single" w:sz="4" w:space="0" w:color="auto"/>
            </w:tcBorders>
            <w:textDirection w:val="btLr"/>
          </w:tcPr>
          <w:p w14:paraId="13175FBF" w14:textId="77777777" w:rsidR="00C3721C" w:rsidRPr="005D5FCD" w:rsidRDefault="00C3721C" w:rsidP="00816736">
            <w:pPr>
              <w:widowControl w:val="0"/>
              <w:ind w:left="113" w:right="113"/>
              <w:jc w:val="center"/>
              <w:rPr>
                <w:rFonts w:ascii="Arial Narrow" w:hAnsi="Arial Narrow" w:cs="Arial"/>
                <w:sz w:val="18"/>
                <w:szCs w:val="18"/>
              </w:rPr>
            </w:pPr>
            <w:r w:rsidRPr="005D5FCD">
              <w:rPr>
                <w:rFonts w:ascii="Arial Narrow" w:hAnsi="Arial Narrow" w:cs="Arial"/>
                <w:sz w:val="18"/>
                <w:szCs w:val="18"/>
              </w:rPr>
              <w:t>Prescribing rule level</w:t>
            </w:r>
          </w:p>
        </w:tc>
        <w:tc>
          <w:tcPr>
            <w:tcW w:w="992" w:type="dxa"/>
          </w:tcPr>
          <w:p w14:paraId="02C0E8F9" w14:textId="5F3F042B" w:rsidR="00C3721C" w:rsidRPr="005D5FCD" w:rsidRDefault="00C3721C" w:rsidP="00816736">
            <w:pPr>
              <w:widowControl w:val="0"/>
              <w:jc w:val="center"/>
              <w:rPr>
                <w:rFonts w:ascii="Arial Narrow" w:hAnsi="Arial Narrow"/>
                <w:sz w:val="18"/>
                <w:szCs w:val="18"/>
                <w:lang w:eastAsia="en-AU"/>
              </w:rPr>
            </w:pPr>
          </w:p>
        </w:tc>
        <w:tc>
          <w:tcPr>
            <w:tcW w:w="8080" w:type="dxa"/>
            <w:gridSpan w:val="6"/>
          </w:tcPr>
          <w:p w14:paraId="3DB64FFB" w14:textId="77777777" w:rsidR="00C3721C" w:rsidRPr="005D5FCD" w:rsidRDefault="00C3721C" w:rsidP="00816736">
            <w:pPr>
              <w:widowControl w:val="0"/>
              <w:textAlignment w:val="baseline"/>
              <w:rPr>
                <w:rFonts w:ascii="Arial Narrow" w:hAnsi="Arial Narrow" w:cs="Arial"/>
                <w:sz w:val="18"/>
                <w:szCs w:val="18"/>
                <w:lang w:eastAsia="en-AU"/>
              </w:rPr>
            </w:pPr>
            <w:r w:rsidRPr="005D5FCD">
              <w:rPr>
                <w:rFonts w:ascii="Arial Narrow" w:hAnsi="Arial Narrow" w:cs="Arial"/>
                <w:b/>
                <w:bCs/>
                <w:sz w:val="18"/>
                <w:szCs w:val="18"/>
                <w:bdr w:val="none" w:sz="0" w:space="0" w:color="auto" w:frame="1"/>
                <w:lang w:eastAsia="en-AU"/>
              </w:rPr>
              <w:t>Administrative Advice:</w:t>
            </w:r>
          </w:p>
          <w:p w14:paraId="16271A85" w14:textId="77777777" w:rsidR="00C3721C" w:rsidRPr="005D5FCD" w:rsidRDefault="00C3721C" w:rsidP="00816736">
            <w:pPr>
              <w:widowControl w:val="0"/>
              <w:textAlignment w:val="baseline"/>
              <w:rPr>
                <w:rFonts w:ascii="Arial Narrow" w:hAnsi="Arial Narrow" w:cs="Arial"/>
                <w:sz w:val="18"/>
                <w:szCs w:val="18"/>
                <w:lang w:eastAsia="en-AU"/>
              </w:rPr>
            </w:pPr>
            <w:r w:rsidRPr="005D5FCD">
              <w:rPr>
                <w:rFonts w:ascii="Arial Narrow" w:hAnsi="Arial Narrow" w:cs="Arial"/>
                <w:sz w:val="18"/>
                <w:szCs w:val="18"/>
                <w:lang w:eastAsia="en-AU"/>
              </w:rPr>
              <w:t>Instructions on the use of the Eczema Area and Severity Index and copyright details can be found here:</w:t>
            </w:r>
          </w:p>
          <w:p w14:paraId="75310B9F" w14:textId="77777777" w:rsidR="00C3721C" w:rsidRPr="005D5FCD" w:rsidRDefault="00C3721C" w:rsidP="00816736">
            <w:pPr>
              <w:widowControl w:val="0"/>
              <w:rPr>
                <w:rFonts w:ascii="Arial Narrow" w:hAnsi="Arial Narrow"/>
                <w:sz w:val="18"/>
                <w:szCs w:val="18"/>
                <w:lang w:eastAsia="en-AU"/>
              </w:rPr>
            </w:pPr>
            <w:r w:rsidRPr="005D5FCD">
              <w:rPr>
                <w:rFonts w:ascii="Arial Narrow" w:hAnsi="Arial Narrow" w:cs="Arial"/>
                <w:sz w:val="18"/>
                <w:szCs w:val="18"/>
                <w:lang w:eastAsia="en-AU"/>
              </w:rPr>
              <w:t>https://www.dupixent.co.uk/-/media/EMS/Conditions/Dermatology/Brands/Dupixent-UK/global/1051-EASI-Leaflet-v6-webready.pdf</w:t>
            </w:r>
          </w:p>
        </w:tc>
      </w:tr>
      <w:tr w:rsidR="00C3721C" w:rsidRPr="005D5FCD" w14:paraId="5DECEBB7" w14:textId="77777777" w:rsidTr="00816736">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right w:val="single" w:sz="4" w:space="0" w:color="auto"/>
            </w:tcBorders>
          </w:tcPr>
          <w:p w14:paraId="5C73E040" w14:textId="77777777" w:rsidR="00C3721C" w:rsidRPr="005D5FCD" w:rsidRDefault="00C3721C" w:rsidP="00816736">
            <w:pPr>
              <w:widowControl w:val="0"/>
              <w:rPr>
                <w:rFonts w:ascii="Arial Narrow" w:hAnsi="Arial Narrow" w:cs="Arial"/>
                <w:sz w:val="18"/>
                <w:szCs w:val="18"/>
              </w:rPr>
            </w:pPr>
          </w:p>
        </w:tc>
        <w:tc>
          <w:tcPr>
            <w:tcW w:w="992" w:type="dxa"/>
          </w:tcPr>
          <w:p w14:paraId="646EF068" w14:textId="0F8FD977" w:rsidR="00C3721C" w:rsidRPr="005D5FCD" w:rsidRDefault="00C3721C" w:rsidP="00816736">
            <w:pPr>
              <w:widowControl w:val="0"/>
              <w:jc w:val="center"/>
              <w:rPr>
                <w:rFonts w:ascii="Arial Narrow" w:hAnsi="Arial Narrow"/>
                <w:sz w:val="18"/>
                <w:szCs w:val="18"/>
                <w:lang w:eastAsia="en-AU"/>
              </w:rPr>
            </w:pPr>
          </w:p>
        </w:tc>
        <w:tc>
          <w:tcPr>
            <w:tcW w:w="8080" w:type="dxa"/>
            <w:gridSpan w:val="6"/>
          </w:tcPr>
          <w:p w14:paraId="0F09BAF9" w14:textId="77777777" w:rsidR="00C3721C" w:rsidRPr="005D5FCD" w:rsidRDefault="00C3721C" w:rsidP="00816736">
            <w:pPr>
              <w:widowControl w:val="0"/>
              <w:textAlignment w:val="baseline"/>
              <w:rPr>
                <w:rFonts w:ascii="Arial Narrow" w:hAnsi="Arial Narrow" w:cs="Arial"/>
                <w:sz w:val="18"/>
                <w:szCs w:val="18"/>
                <w:lang w:eastAsia="en-AU"/>
              </w:rPr>
            </w:pPr>
            <w:r w:rsidRPr="005D5FCD">
              <w:rPr>
                <w:rFonts w:ascii="Arial Narrow" w:hAnsi="Arial Narrow" w:cs="Arial"/>
                <w:b/>
                <w:bCs/>
                <w:sz w:val="18"/>
                <w:szCs w:val="18"/>
                <w:bdr w:val="none" w:sz="0" w:space="0" w:color="auto" w:frame="1"/>
                <w:lang w:eastAsia="en-AU"/>
              </w:rPr>
              <w:t>Administrative Advice:</w:t>
            </w:r>
          </w:p>
          <w:p w14:paraId="0356993C" w14:textId="77777777" w:rsidR="00C3721C" w:rsidRPr="005D5FCD" w:rsidRDefault="00C3721C" w:rsidP="00816736">
            <w:pPr>
              <w:widowControl w:val="0"/>
              <w:textAlignment w:val="baseline"/>
              <w:rPr>
                <w:rFonts w:ascii="Arial Narrow" w:hAnsi="Arial Narrow" w:cs="Arial"/>
                <w:sz w:val="18"/>
                <w:szCs w:val="18"/>
                <w:lang w:eastAsia="en-AU"/>
              </w:rPr>
            </w:pPr>
            <w:r w:rsidRPr="005D5FCD">
              <w:rPr>
                <w:rFonts w:ascii="Arial Narrow" w:hAnsi="Arial Narrow" w:cs="Arial"/>
                <w:sz w:val="18"/>
                <w:szCs w:val="18"/>
                <w:lang w:eastAsia="en-AU"/>
              </w:rPr>
              <w:t>Instructions on the use of the Dermatology Life Quality Index and copyright details can be found here:</w:t>
            </w:r>
          </w:p>
          <w:p w14:paraId="2C413DCF" w14:textId="77777777" w:rsidR="00C3721C" w:rsidRPr="005D5FCD" w:rsidRDefault="00C3721C" w:rsidP="00816736">
            <w:pPr>
              <w:widowControl w:val="0"/>
              <w:rPr>
                <w:rFonts w:ascii="Arial Narrow" w:hAnsi="Arial Narrow"/>
                <w:b/>
                <w:bCs/>
                <w:sz w:val="18"/>
                <w:szCs w:val="18"/>
                <w:lang w:eastAsia="en-AU"/>
              </w:rPr>
            </w:pPr>
            <w:r w:rsidRPr="005D5FCD">
              <w:rPr>
                <w:rFonts w:ascii="Arial Narrow" w:hAnsi="Arial Narrow" w:cs="Arial"/>
                <w:sz w:val="18"/>
                <w:szCs w:val="18"/>
                <w:lang w:eastAsia="en-AU"/>
              </w:rPr>
              <w:t>https://www.cardiff.ac.uk/medicine/resources/quality-of-life-questionnaires/dermatology-life-quality-index</w:t>
            </w:r>
          </w:p>
        </w:tc>
      </w:tr>
      <w:tr w:rsidR="00C3721C" w:rsidRPr="005D5FCD" w14:paraId="7D86B35E" w14:textId="77777777" w:rsidTr="00816736">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right w:val="single" w:sz="4" w:space="0" w:color="auto"/>
            </w:tcBorders>
          </w:tcPr>
          <w:p w14:paraId="651BAA30" w14:textId="77777777" w:rsidR="00C3721C" w:rsidRPr="005D5FCD" w:rsidRDefault="00C3721C" w:rsidP="00816736">
            <w:pPr>
              <w:widowControl w:val="0"/>
              <w:rPr>
                <w:rFonts w:ascii="Arial Narrow" w:hAnsi="Arial Narrow" w:cs="Arial"/>
                <w:sz w:val="18"/>
                <w:szCs w:val="18"/>
              </w:rPr>
            </w:pPr>
          </w:p>
        </w:tc>
        <w:tc>
          <w:tcPr>
            <w:tcW w:w="992" w:type="dxa"/>
          </w:tcPr>
          <w:p w14:paraId="715CE40D" w14:textId="1C9656AA" w:rsidR="00C3721C" w:rsidRPr="005D5FCD" w:rsidRDefault="00C3721C" w:rsidP="00816736">
            <w:pPr>
              <w:widowControl w:val="0"/>
              <w:jc w:val="center"/>
              <w:rPr>
                <w:rFonts w:ascii="Arial Narrow" w:hAnsi="Arial Narrow"/>
                <w:sz w:val="18"/>
                <w:szCs w:val="18"/>
                <w:lang w:eastAsia="en-AU"/>
              </w:rPr>
            </w:pPr>
          </w:p>
        </w:tc>
        <w:tc>
          <w:tcPr>
            <w:tcW w:w="8080" w:type="dxa"/>
            <w:gridSpan w:val="6"/>
          </w:tcPr>
          <w:p w14:paraId="13A5C727" w14:textId="77777777" w:rsidR="00C3721C" w:rsidRPr="005D5FCD" w:rsidRDefault="00C3721C" w:rsidP="00816736">
            <w:pPr>
              <w:widowControl w:val="0"/>
              <w:textAlignment w:val="baseline"/>
              <w:rPr>
                <w:rFonts w:ascii="Arial Narrow" w:hAnsi="Arial Narrow" w:cs="Arial"/>
                <w:sz w:val="18"/>
                <w:szCs w:val="18"/>
                <w:lang w:eastAsia="en-AU"/>
              </w:rPr>
            </w:pPr>
            <w:r w:rsidRPr="005D5FCD">
              <w:rPr>
                <w:rFonts w:ascii="Arial Narrow" w:hAnsi="Arial Narrow" w:cs="Arial"/>
                <w:b/>
                <w:bCs/>
                <w:sz w:val="18"/>
                <w:szCs w:val="18"/>
                <w:bdr w:val="none" w:sz="0" w:space="0" w:color="auto" w:frame="1"/>
                <w:lang w:eastAsia="en-AU"/>
              </w:rPr>
              <w:t>Administrative Advice:</w:t>
            </w:r>
          </w:p>
          <w:p w14:paraId="59D5E388" w14:textId="77777777" w:rsidR="00C3721C" w:rsidRPr="005D5FCD" w:rsidRDefault="00C3721C" w:rsidP="00816736">
            <w:pPr>
              <w:widowControl w:val="0"/>
              <w:rPr>
                <w:rFonts w:ascii="Arial Narrow" w:hAnsi="Arial Narrow"/>
                <w:b/>
                <w:bCs/>
                <w:sz w:val="18"/>
                <w:szCs w:val="18"/>
                <w:lang w:eastAsia="en-AU"/>
              </w:rPr>
            </w:pPr>
            <w:r w:rsidRPr="005D5FCD">
              <w:rPr>
                <w:rFonts w:ascii="Arial Narrow" w:hAnsi="Arial Narrow" w:cs="Arial"/>
                <w:sz w:val="18"/>
                <w:szCs w:val="18"/>
                <w:lang w:eastAsia="en-AU"/>
              </w:rPr>
              <w:t>Applications for authorisation under this restriction may be made in real time using the Online PBS Authorities system (see www.servicesaustralia.gov.au/HPOS) or by telephone by contacting Services Australia on 1800 888 333.</w:t>
            </w:r>
          </w:p>
        </w:tc>
      </w:tr>
      <w:tr w:rsidR="00C3721C" w:rsidRPr="005D5FCD" w14:paraId="6E16358E" w14:textId="77777777" w:rsidTr="00816736">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right w:val="single" w:sz="4" w:space="0" w:color="auto"/>
            </w:tcBorders>
          </w:tcPr>
          <w:p w14:paraId="339C0A9F" w14:textId="77777777" w:rsidR="00C3721C" w:rsidRPr="005D5FCD" w:rsidRDefault="00C3721C" w:rsidP="00816736">
            <w:pPr>
              <w:widowControl w:val="0"/>
              <w:rPr>
                <w:rFonts w:ascii="Arial Narrow" w:hAnsi="Arial Narrow" w:cs="Arial"/>
                <w:sz w:val="18"/>
                <w:szCs w:val="18"/>
              </w:rPr>
            </w:pPr>
          </w:p>
        </w:tc>
        <w:tc>
          <w:tcPr>
            <w:tcW w:w="992" w:type="dxa"/>
          </w:tcPr>
          <w:p w14:paraId="045037C7" w14:textId="4E878695" w:rsidR="00C3721C" w:rsidRPr="005D5FCD" w:rsidRDefault="00C3721C" w:rsidP="00816736">
            <w:pPr>
              <w:widowControl w:val="0"/>
              <w:jc w:val="center"/>
              <w:rPr>
                <w:rFonts w:ascii="Arial Narrow" w:hAnsi="Arial Narrow"/>
                <w:sz w:val="18"/>
                <w:szCs w:val="18"/>
                <w:lang w:eastAsia="en-AU"/>
              </w:rPr>
            </w:pPr>
          </w:p>
        </w:tc>
        <w:tc>
          <w:tcPr>
            <w:tcW w:w="8080" w:type="dxa"/>
            <w:gridSpan w:val="6"/>
          </w:tcPr>
          <w:p w14:paraId="147881BF" w14:textId="77777777" w:rsidR="00C3721C" w:rsidRPr="005D5FCD" w:rsidRDefault="00C3721C" w:rsidP="00816736">
            <w:pPr>
              <w:widowControl w:val="0"/>
              <w:rPr>
                <w:rFonts w:ascii="Arial Narrow" w:hAnsi="Arial Narrow"/>
                <w:b/>
                <w:bCs/>
                <w:sz w:val="18"/>
                <w:szCs w:val="18"/>
                <w:lang w:eastAsia="en-AU"/>
              </w:rPr>
            </w:pPr>
            <w:r w:rsidRPr="005D5FCD">
              <w:rPr>
                <w:rFonts w:ascii="Arial Narrow" w:hAnsi="Arial Narrow" w:cs="Arial"/>
                <w:b/>
                <w:bCs/>
                <w:sz w:val="18"/>
                <w:szCs w:val="18"/>
                <w:bdr w:val="none" w:sz="0" w:space="0" w:color="auto" w:frame="1"/>
                <w:lang w:eastAsia="en-AU"/>
              </w:rPr>
              <w:t xml:space="preserve">Administrative Advice: </w:t>
            </w:r>
            <w:r w:rsidRPr="005D5FCD">
              <w:rPr>
                <w:rFonts w:ascii="Arial Narrow" w:hAnsi="Arial Narrow" w:cs="Arial"/>
                <w:sz w:val="18"/>
                <w:szCs w:val="18"/>
                <w:lang w:eastAsia="en-AU"/>
              </w:rPr>
              <w:t>No increase in the maximum quantity or number of units may be authorised.</w:t>
            </w:r>
          </w:p>
        </w:tc>
      </w:tr>
      <w:tr w:rsidR="00C3721C" w:rsidRPr="005D5FCD" w14:paraId="642010F2" w14:textId="77777777" w:rsidTr="00816736">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right w:val="single" w:sz="4" w:space="0" w:color="auto"/>
            </w:tcBorders>
          </w:tcPr>
          <w:p w14:paraId="65117920" w14:textId="77777777" w:rsidR="00C3721C" w:rsidRPr="005D5FCD" w:rsidRDefault="00C3721C" w:rsidP="00816736">
            <w:pPr>
              <w:widowControl w:val="0"/>
              <w:rPr>
                <w:rFonts w:ascii="Arial Narrow" w:hAnsi="Arial Narrow" w:cs="Arial"/>
                <w:sz w:val="18"/>
                <w:szCs w:val="18"/>
              </w:rPr>
            </w:pPr>
          </w:p>
        </w:tc>
        <w:tc>
          <w:tcPr>
            <w:tcW w:w="992" w:type="dxa"/>
          </w:tcPr>
          <w:p w14:paraId="6A60BA3B" w14:textId="4042DF44" w:rsidR="00C3721C" w:rsidRPr="005D5FCD" w:rsidRDefault="00C3721C" w:rsidP="00816736">
            <w:pPr>
              <w:widowControl w:val="0"/>
              <w:jc w:val="center"/>
              <w:rPr>
                <w:rFonts w:ascii="Arial Narrow" w:hAnsi="Arial Narrow"/>
                <w:sz w:val="18"/>
                <w:szCs w:val="18"/>
                <w:lang w:eastAsia="en-AU"/>
              </w:rPr>
            </w:pPr>
          </w:p>
        </w:tc>
        <w:tc>
          <w:tcPr>
            <w:tcW w:w="8080" w:type="dxa"/>
            <w:gridSpan w:val="6"/>
          </w:tcPr>
          <w:p w14:paraId="1BD56212" w14:textId="77777777" w:rsidR="00C3721C" w:rsidRPr="005D5FCD" w:rsidRDefault="00C3721C" w:rsidP="00816736">
            <w:pPr>
              <w:widowControl w:val="0"/>
              <w:rPr>
                <w:rFonts w:ascii="Arial Narrow" w:hAnsi="Arial Narrow"/>
                <w:b/>
                <w:bCs/>
                <w:sz w:val="18"/>
                <w:szCs w:val="18"/>
                <w:lang w:eastAsia="en-AU"/>
              </w:rPr>
            </w:pPr>
            <w:r w:rsidRPr="005D5FCD">
              <w:rPr>
                <w:rFonts w:ascii="Arial Narrow" w:hAnsi="Arial Narrow" w:cs="Arial"/>
                <w:b/>
                <w:bCs/>
                <w:sz w:val="18"/>
                <w:szCs w:val="18"/>
                <w:bdr w:val="none" w:sz="0" w:space="0" w:color="auto" w:frame="1"/>
                <w:lang w:eastAsia="en-AU"/>
              </w:rPr>
              <w:t xml:space="preserve">Administrative Advice: </w:t>
            </w:r>
            <w:r w:rsidRPr="005D5FCD">
              <w:rPr>
                <w:rFonts w:ascii="Arial Narrow" w:hAnsi="Arial Narrow" w:cs="Arial"/>
                <w:sz w:val="18"/>
                <w:szCs w:val="18"/>
                <w:lang w:eastAsia="en-AU"/>
              </w:rPr>
              <w:t>No increase in the maximum number of repeats may be authorised.</w:t>
            </w:r>
          </w:p>
        </w:tc>
      </w:tr>
      <w:tr w:rsidR="00C3721C" w:rsidRPr="005D5FCD" w14:paraId="7AF40F5A" w14:textId="77777777" w:rsidTr="00816736">
        <w:tblPrEx>
          <w:tblCellMar>
            <w:top w:w="15" w:type="dxa"/>
            <w:left w:w="15" w:type="dxa"/>
            <w:bottom w:w="15" w:type="dxa"/>
            <w:right w:w="15" w:type="dxa"/>
          </w:tblCellMar>
          <w:tblLook w:val="04A0" w:firstRow="1" w:lastRow="0" w:firstColumn="1" w:lastColumn="0" w:noHBand="0" w:noVBand="1"/>
        </w:tblPrEx>
        <w:tc>
          <w:tcPr>
            <w:tcW w:w="279" w:type="dxa"/>
            <w:vMerge/>
            <w:tcBorders>
              <w:left w:val="single" w:sz="4" w:space="0" w:color="auto"/>
              <w:bottom w:val="single" w:sz="4" w:space="0" w:color="auto"/>
              <w:right w:val="single" w:sz="4" w:space="0" w:color="auto"/>
            </w:tcBorders>
          </w:tcPr>
          <w:p w14:paraId="3D370DE6" w14:textId="77777777" w:rsidR="00C3721C" w:rsidRPr="005D5FCD" w:rsidRDefault="00C3721C" w:rsidP="00816736">
            <w:pPr>
              <w:widowControl w:val="0"/>
              <w:rPr>
                <w:rFonts w:ascii="Arial Narrow" w:hAnsi="Arial Narrow" w:cs="Arial"/>
                <w:sz w:val="18"/>
                <w:szCs w:val="18"/>
              </w:rPr>
            </w:pPr>
          </w:p>
        </w:tc>
        <w:tc>
          <w:tcPr>
            <w:tcW w:w="992" w:type="dxa"/>
          </w:tcPr>
          <w:p w14:paraId="041CFF4F" w14:textId="607C0513" w:rsidR="00C3721C" w:rsidRPr="005D5FCD" w:rsidRDefault="00C3721C" w:rsidP="00816736">
            <w:pPr>
              <w:widowControl w:val="0"/>
              <w:jc w:val="center"/>
              <w:rPr>
                <w:rFonts w:ascii="Arial Narrow" w:hAnsi="Arial Narrow"/>
                <w:sz w:val="18"/>
                <w:szCs w:val="18"/>
                <w:lang w:eastAsia="en-AU"/>
              </w:rPr>
            </w:pPr>
          </w:p>
        </w:tc>
        <w:tc>
          <w:tcPr>
            <w:tcW w:w="8080" w:type="dxa"/>
            <w:gridSpan w:val="6"/>
          </w:tcPr>
          <w:p w14:paraId="677B2980" w14:textId="77777777" w:rsidR="00C3721C" w:rsidRPr="005D5FCD" w:rsidRDefault="00C3721C" w:rsidP="00816736">
            <w:pPr>
              <w:widowControl w:val="0"/>
              <w:rPr>
                <w:rFonts w:ascii="Arial Narrow" w:hAnsi="Arial Narrow"/>
                <w:b/>
                <w:bCs/>
                <w:sz w:val="18"/>
                <w:szCs w:val="18"/>
                <w:lang w:eastAsia="en-AU"/>
              </w:rPr>
            </w:pPr>
            <w:r w:rsidRPr="005D5FCD">
              <w:rPr>
                <w:rFonts w:ascii="Arial Narrow" w:hAnsi="Arial Narrow" w:cs="Arial"/>
                <w:b/>
                <w:bCs/>
                <w:sz w:val="18"/>
                <w:szCs w:val="18"/>
                <w:bdr w:val="none" w:sz="0" w:space="0" w:color="auto" w:frame="1"/>
                <w:lang w:eastAsia="en-AU"/>
              </w:rPr>
              <w:t xml:space="preserve">Administrative Advice: </w:t>
            </w:r>
            <w:r w:rsidRPr="005D5FCD">
              <w:rPr>
                <w:rFonts w:ascii="Arial Narrow" w:hAnsi="Arial Narrow" w:cs="Arial"/>
                <w:sz w:val="18"/>
                <w:szCs w:val="18"/>
                <w:lang w:eastAsia="en-AU"/>
              </w:rPr>
              <w:t>Special Pricing Arrangements apply.</w:t>
            </w:r>
          </w:p>
        </w:tc>
      </w:tr>
    </w:tbl>
    <w:tbl>
      <w:tblPr>
        <w:tblStyle w:val="TableGrid"/>
        <w:tblW w:w="9351" w:type="dxa"/>
        <w:tblLook w:val="04A0" w:firstRow="1" w:lastRow="0" w:firstColumn="1" w:lastColumn="0" w:noHBand="0" w:noVBand="1"/>
      </w:tblPr>
      <w:tblGrid>
        <w:gridCol w:w="1271"/>
        <w:gridCol w:w="8080"/>
      </w:tblGrid>
      <w:tr w:rsidR="00C3721C" w:rsidRPr="001A2DAE" w14:paraId="5A68126E" w14:textId="77777777" w:rsidTr="00816736">
        <w:trPr>
          <w:trHeight w:val="265"/>
        </w:trPr>
        <w:tc>
          <w:tcPr>
            <w:tcW w:w="1271" w:type="dxa"/>
          </w:tcPr>
          <w:p w14:paraId="7FFDF98F"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4D5BEB8B"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p>
        </w:tc>
      </w:tr>
      <w:tr w:rsidR="00C3721C" w:rsidRPr="001A2DAE" w14:paraId="4AC7FC11" w14:textId="77777777" w:rsidTr="000E35FA">
        <w:tc>
          <w:tcPr>
            <w:tcW w:w="1271" w:type="dxa"/>
          </w:tcPr>
          <w:p w14:paraId="6597E51E" w14:textId="10DB8DC9"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F3DA3F7"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 xml:space="preserve">Indication: </w:t>
            </w:r>
            <w:r w:rsidRPr="001A2DAE">
              <w:rPr>
                <w:rFonts w:ascii="Arial Narrow" w:hAnsi="Arial Narrow" w:cs="Arial"/>
                <w:sz w:val="18"/>
                <w:szCs w:val="18"/>
                <w:lang w:eastAsia="en-AU"/>
              </w:rPr>
              <w:t>Chronic severe atopic dermatitis</w:t>
            </w:r>
          </w:p>
        </w:tc>
      </w:tr>
      <w:tr w:rsidR="00C3721C" w:rsidRPr="001A2DAE" w14:paraId="3203404C" w14:textId="77777777" w:rsidTr="00816736">
        <w:tc>
          <w:tcPr>
            <w:tcW w:w="1271" w:type="dxa"/>
          </w:tcPr>
          <w:p w14:paraId="751E00FF"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1B193B43"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6104D866" w14:textId="77777777" w:rsidTr="000E35FA">
        <w:tc>
          <w:tcPr>
            <w:tcW w:w="1271" w:type="dxa"/>
          </w:tcPr>
          <w:p w14:paraId="41C67DF9"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76DB958A"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 xml:space="preserve">Treatment Phase: </w:t>
            </w:r>
            <w:r w:rsidRPr="001A2DAE">
              <w:rPr>
                <w:rFonts w:ascii="Arial Narrow" w:hAnsi="Arial Narrow" w:cs="Arial"/>
                <w:sz w:val="18"/>
                <w:szCs w:val="18"/>
                <w:lang w:eastAsia="en-AU"/>
              </w:rPr>
              <w:t>Initial treatment of the whole body</w:t>
            </w:r>
          </w:p>
        </w:tc>
      </w:tr>
      <w:tr w:rsidR="00C3721C" w:rsidRPr="001A2DAE" w14:paraId="783460D0" w14:textId="77777777" w:rsidTr="00816736">
        <w:tc>
          <w:tcPr>
            <w:tcW w:w="1271" w:type="dxa"/>
          </w:tcPr>
          <w:p w14:paraId="11EEB845"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tcPr>
          <w:p w14:paraId="0E1FE22C"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7A3DFA55" w14:textId="77777777" w:rsidTr="000E35FA">
        <w:tc>
          <w:tcPr>
            <w:tcW w:w="1271" w:type="dxa"/>
          </w:tcPr>
          <w:p w14:paraId="0C72F990" w14:textId="51DB105D"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1DCAF4D"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6AAB2710" w14:textId="77777777" w:rsidTr="000E35FA">
        <w:tc>
          <w:tcPr>
            <w:tcW w:w="1271" w:type="dxa"/>
          </w:tcPr>
          <w:p w14:paraId="36B97528" w14:textId="5C0FB06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3D05720"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have a Physicians Global Assessment (PGA) (5-point scale) baseline score of at least 4 as evidence of severe disease despite treatment with daily topical therapy (corticosteroid of medium to high potency/calcineurin inhibitor), for at least 28 day</w:t>
            </w:r>
          </w:p>
        </w:tc>
      </w:tr>
      <w:tr w:rsidR="00C3721C" w:rsidRPr="001A2DAE" w14:paraId="0DE94131" w14:textId="77777777" w:rsidTr="000E35FA">
        <w:tc>
          <w:tcPr>
            <w:tcW w:w="1271" w:type="dxa"/>
          </w:tcPr>
          <w:p w14:paraId="430672BE"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696CCC5F"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10458F82" w14:textId="77777777" w:rsidTr="000E35FA">
        <w:tc>
          <w:tcPr>
            <w:tcW w:w="1271" w:type="dxa"/>
          </w:tcPr>
          <w:p w14:paraId="48769EC3" w14:textId="60EF397B"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9B56DE5"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1350B19F" w14:textId="77777777" w:rsidTr="000E35FA">
        <w:tc>
          <w:tcPr>
            <w:tcW w:w="1271" w:type="dxa"/>
          </w:tcPr>
          <w:p w14:paraId="579F333C" w14:textId="547D0A42"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117D69CE"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have an Eczema Area and Severity Index (EASI) baseline score of at least 20 despite treatment with daily topical therapy (corticosteroid of medium to high potency/calcineurin inhibitor), for at least 28 days</w:t>
            </w:r>
          </w:p>
        </w:tc>
      </w:tr>
      <w:tr w:rsidR="00C3721C" w:rsidRPr="001A2DAE" w14:paraId="223F80C1" w14:textId="77777777" w:rsidTr="000E35FA">
        <w:tc>
          <w:tcPr>
            <w:tcW w:w="1271" w:type="dxa"/>
          </w:tcPr>
          <w:p w14:paraId="19BAD391"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2F531AFF"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160CE379" w14:textId="77777777" w:rsidTr="000E35FA">
        <w:tc>
          <w:tcPr>
            <w:tcW w:w="1271" w:type="dxa"/>
          </w:tcPr>
          <w:p w14:paraId="793B36F7" w14:textId="5BFF795D"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6FB88D2D"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056DACE8" w14:textId="77777777" w:rsidTr="000E35FA">
        <w:tc>
          <w:tcPr>
            <w:tcW w:w="1271" w:type="dxa"/>
          </w:tcPr>
          <w:p w14:paraId="077F50A2" w14:textId="72DFDA7F"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A4508C1"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 xml:space="preserve">Patient must have an </w:t>
            </w:r>
            <w:proofErr w:type="gramStart"/>
            <w:r w:rsidRPr="001A2DAE">
              <w:rPr>
                <w:rFonts w:ascii="Arial Narrow" w:hAnsi="Arial Narrow" w:cs="Arial"/>
                <w:sz w:val="18"/>
                <w:szCs w:val="18"/>
                <w:lang w:eastAsia="en-AU"/>
              </w:rPr>
              <w:t>age appropriate</w:t>
            </w:r>
            <w:proofErr w:type="gramEnd"/>
            <w:r w:rsidRPr="001A2DAE">
              <w:rPr>
                <w:rFonts w:ascii="Arial Narrow" w:hAnsi="Arial Narrow" w:cs="Arial"/>
                <w:sz w:val="18"/>
                <w:szCs w:val="18"/>
                <w:lang w:eastAsia="en-AU"/>
              </w:rPr>
              <w:t xml:space="preserve"> Dermatology Life Quality Index (DLQI) baseline score (of any value) measured following treatment with daily topical therapy (corticosteroid of medium to high potency/calcineurin inhibitor), for at least 28 days</w:t>
            </w:r>
          </w:p>
        </w:tc>
      </w:tr>
      <w:tr w:rsidR="00C3721C" w:rsidRPr="001A2DAE" w14:paraId="4327DE87" w14:textId="77777777" w:rsidTr="000E35FA">
        <w:tc>
          <w:tcPr>
            <w:tcW w:w="1271" w:type="dxa"/>
          </w:tcPr>
          <w:p w14:paraId="5B8EFD1F"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17917AFC"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6580C2E9" w14:textId="77777777" w:rsidTr="000E35FA">
        <w:tc>
          <w:tcPr>
            <w:tcW w:w="1271" w:type="dxa"/>
          </w:tcPr>
          <w:p w14:paraId="6B90B7BC" w14:textId="10CE21B1"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29E58735"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426BF629" w14:textId="77777777" w:rsidTr="000E35FA">
        <w:tc>
          <w:tcPr>
            <w:tcW w:w="1271" w:type="dxa"/>
          </w:tcPr>
          <w:p w14:paraId="17C24980" w14:textId="4EEF37FA"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138A79B6"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The condition must have had lesions for at least 6 months from the time of the initial diagnosis of chronic severe atopic dermatitis affecting either of: (</w:t>
            </w:r>
            <w:proofErr w:type="spellStart"/>
            <w:r w:rsidRPr="001A2DAE">
              <w:rPr>
                <w:rFonts w:ascii="Arial Narrow" w:hAnsi="Arial Narrow" w:cs="Arial"/>
                <w:sz w:val="18"/>
                <w:szCs w:val="18"/>
                <w:lang w:eastAsia="en-AU"/>
              </w:rPr>
              <w:t>i</w:t>
            </w:r>
            <w:proofErr w:type="spellEnd"/>
            <w:r w:rsidRPr="001A2DAE">
              <w:rPr>
                <w:rFonts w:ascii="Arial Narrow" w:hAnsi="Arial Narrow" w:cs="Arial"/>
                <w:sz w:val="18"/>
                <w:szCs w:val="18"/>
                <w:lang w:eastAsia="en-AU"/>
              </w:rPr>
              <w:t>) the whole body, (ii) face/hands</w:t>
            </w:r>
          </w:p>
        </w:tc>
      </w:tr>
      <w:tr w:rsidR="00C3721C" w:rsidRPr="001A2DAE" w14:paraId="0913490D" w14:textId="77777777" w:rsidTr="000E35FA">
        <w:tc>
          <w:tcPr>
            <w:tcW w:w="1271" w:type="dxa"/>
          </w:tcPr>
          <w:p w14:paraId="42CF61D4"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28E8E12D"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7E60A4B0" w14:textId="77777777" w:rsidTr="000E35FA">
        <w:tc>
          <w:tcPr>
            <w:tcW w:w="1271" w:type="dxa"/>
          </w:tcPr>
          <w:p w14:paraId="43E6390F" w14:textId="4A433FE5"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7227DD45"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3F4B7490" w14:textId="77777777" w:rsidTr="000E35FA">
        <w:tc>
          <w:tcPr>
            <w:tcW w:w="1271" w:type="dxa"/>
          </w:tcPr>
          <w:p w14:paraId="5C9AE142" w14:textId="10F71860"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CC07B6A"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The treatment must be the sole PBS-subsidised biological medicine for this PBS indication</w:t>
            </w:r>
          </w:p>
        </w:tc>
      </w:tr>
      <w:tr w:rsidR="00C3721C" w:rsidRPr="001A2DAE" w14:paraId="3A896548" w14:textId="77777777" w:rsidTr="000E35FA">
        <w:tc>
          <w:tcPr>
            <w:tcW w:w="1271" w:type="dxa"/>
          </w:tcPr>
          <w:p w14:paraId="4CC39719"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06886B4F"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759E26EF" w14:textId="77777777" w:rsidTr="000E35FA">
        <w:tc>
          <w:tcPr>
            <w:tcW w:w="1271" w:type="dxa"/>
          </w:tcPr>
          <w:p w14:paraId="43FF3BBF" w14:textId="726EC8BA"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1A3D7E4"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08DFB57C" w14:textId="77777777" w:rsidTr="000E35FA">
        <w:tc>
          <w:tcPr>
            <w:tcW w:w="1271" w:type="dxa"/>
          </w:tcPr>
          <w:p w14:paraId="4F48883F" w14:textId="1F178E12"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2C9FC89B"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not have experienced an inadequate response to this biological medicine in this PBS indication</w:t>
            </w:r>
          </w:p>
        </w:tc>
      </w:tr>
      <w:tr w:rsidR="00C3721C" w:rsidRPr="001A2DAE" w14:paraId="0353B64D" w14:textId="77777777" w:rsidTr="000E35FA">
        <w:tc>
          <w:tcPr>
            <w:tcW w:w="1271" w:type="dxa"/>
          </w:tcPr>
          <w:p w14:paraId="0941FAFD"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43468471"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10129137" w14:textId="77777777" w:rsidTr="000E35FA">
        <w:tc>
          <w:tcPr>
            <w:tcW w:w="1271" w:type="dxa"/>
          </w:tcPr>
          <w:p w14:paraId="3D8553E2" w14:textId="65B1FDD0"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EEFC984"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Treatment criteria:</w:t>
            </w:r>
          </w:p>
        </w:tc>
      </w:tr>
      <w:tr w:rsidR="00C3721C" w:rsidRPr="001A2DAE" w14:paraId="004FDB2C" w14:textId="77777777" w:rsidTr="000E35FA">
        <w:tc>
          <w:tcPr>
            <w:tcW w:w="1271" w:type="dxa"/>
          </w:tcPr>
          <w:p w14:paraId="3359B0AA" w14:textId="7862F405"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12DB40C1"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Must be treated by a dermatologist; or</w:t>
            </w:r>
          </w:p>
        </w:tc>
      </w:tr>
      <w:tr w:rsidR="00C3721C" w:rsidRPr="001A2DAE" w14:paraId="594923F4" w14:textId="77777777" w:rsidTr="000E35FA">
        <w:tc>
          <w:tcPr>
            <w:tcW w:w="1271" w:type="dxa"/>
          </w:tcPr>
          <w:p w14:paraId="1297DD29" w14:textId="07384D65"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670C2DE2"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Must be treated by a clinical immunologist</w:t>
            </w:r>
          </w:p>
        </w:tc>
      </w:tr>
      <w:tr w:rsidR="00C3721C" w:rsidRPr="001A2DAE" w14:paraId="2CEFF23C" w14:textId="77777777" w:rsidTr="00816736">
        <w:tc>
          <w:tcPr>
            <w:tcW w:w="1271" w:type="dxa"/>
          </w:tcPr>
          <w:p w14:paraId="65F5266C"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08CFF4D3" w14:textId="77777777" w:rsidR="00C3721C" w:rsidRPr="001A2DAE" w:rsidRDefault="00C3721C" w:rsidP="00816736">
            <w:pPr>
              <w:widowControl w:val="0"/>
              <w:ind w:left="-57"/>
              <w:rPr>
                <w:rFonts w:ascii="Arial Narrow" w:hAnsi="Arial Narrow" w:cs="Arial"/>
                <w:b/>
                <w:bCs/>
                <w:sz w:val="18"/>
                <w:szCs w:val="18"/>
                <w:lang w:eastAsia="en-AU"/>
              </w:rPr>
            </w:pPr>
            <w:r w:rsidRPr="001A2DAE">
              <w:rPr>
                <w:rFonts w:ascii="Arial Narrow" w:hAnsi="Arial Narrow" w:cs="Arial"/>
                <w:b/>
                <w:bCs/>
                <w:sz w:val="18"/>
                <w:szCs w:val="18"/>
                <w:lang w:eastAsia="en-AU"/>
              </w:rPr>
              <w:t>AND</w:t>
            </w:r>
          </w:p>
        </w:tc>
      </w:tr>
      <w:tr w:rsidR="00C3721C" w:rsidRPr="001A2DAE" w14:paraId="6CD987B3" w14:textId="77777777" w:rsidTr="00816736">
        <w:tc>
          <w:tcPr>
            <w:tcW w:w="1271" w:type="dxa"/>
          </w:tcPr>
          <w:p w14:paraId="0C2CA863" w14:textId="15FDCC9F"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2844A779"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Population criteria:</w:t>
            </w:r>
          </w:p>
        </w:tc>
      </w:tr>
      <w:tr w:rsidR="00C3721C" w:rsidRPr="001A2DAE" w14:paraId="322DB962" w14:textId="77777777" w:rsidTr="00816736">
        <w:tc>
          <w:tcPr>
            <w:tcW w:w="1271" w:type="dxa"/>
          </w:tcPr>
          <w:p w14:paraId="7037C773" w14:textId="449FBAB1"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26EB767F"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bdr w:val="none" w:sz="0" w:space="0" w:color="auto" w:frame="1"/>
                <w:lang w:eastAsia="en-AU"/>
              </w:rPr>
              <w:t>Patient must be 12 years of age or older; or</w:t>
            </w:r>
          </w:p>
        </w:tc>
      </w:tr>
      <w:tr w:rsidR="00C3721C" w:rsidRPr="001A2DAE" w14:paraId="5FDFB9A3" w14:textId="77777777" w:rsidTr="00816736">
        <w:tc>
          <w:tcPr>
            <w:tcW w:w="1271" w:type="dxa"/>
          </w:tcPr>
          <w:p w14:paraId="1F2DB6E0" w14:textId="3EC9E45A"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37CD73C9"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i/>
                <w:iCs/>
                <w:sz w:val="18"/>
                <w:szCs w:val="18"/>
                <w:lang w:eastAsia="en-AU"/>
              </w:rPr>
              <w:t>Patient must be less than 12 years of age</w:t>
            </w:r>
          </w:p>
        </w:tc>
      </w:tr>
      <w:tr w:rsidR="00C3721C" w:rsidRPr="001A2DAE" w14:paraId="6405DA11" w14:textId="77777777" w:rsidTr="00816736">
        <w:tc>
          <w:tcPr>
            <w:tcW w:w="1271" w:type="dxa"/>
          </w:tcPr>
          <w:p w14:paraId="24E19754"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7D7747AE" w14:textId="77777777" w:rsidR="00C3721C" w:rsidRPr="001A2DAE" w:rsidRDefault="00C3721C" w:rsidP="00816736">
            <w:pPr>
              <w:widowControl w:val="0"/>
              <w:ind w:left="-57"/>
              <w:rPr>
                <w:rFonts w:ascii="Arial Narrow" w:hAnsi="Arial Narrow" w:cs="Arial"/>
                <w:i/>
                <w:iCs/>
                <w:sz w:val="18"/>
                <w:szCs w:val="18"/>
                <w:lang w:eastAsia="en-AU"/>
              </w:rPr>
            </w:pPr>
          </w:p>
        </w:tc>
      </w:tr>
      <w:tr w:rsidR="00C3721C" w:rsidRPr="001A2DAE" w14:paraId="5C075385" w14:textId="77777777" w:rsidTr="000E35FA">
        <w:tc>
          <w:tcPr>
            <w:tcW w:w="1271" w:type="dxa"/>
          </w:tcPr>
          <w:p w14:paraId="7BA263EE" w14:textId="54682342"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1FE09A8C"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Prescribing Instructions:</w:t>
            </w:r>
          </w:p>
          <w:p w14:paraId="0695B4B8"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sz w:val="18"/>
                <w:szCs w:val="18"/>
              </w:rPr>
              <w:t xml:space="preserve"> </w:t>
            </w:r>
            <w:r w:rsidRPr="001A2DAE">
              <w:rPr>
                <w:rFonts w:ascii="Arial Narrow" w:hAnsi="Arial Narrow" w:cs="Arial"/>
                <w:sz w:val="18"/>
                <w:szCs w:val="18"/>
                <w:lang w:eastAsia="en-AU"/>
              </w:rPr>
              <w:t>State each of the qualifying (</w:t>
            </w:r>
            <w:proofErr w:type="spellStart"/>
            <w:r w:rsidRPr="001A2DAE">
              <w:rPr>
                <w:rFonts w:ascii="Arial Narrow" w:hAnsi="Arial Narrow" w:cs="Arial"/>
                <w:sz w:val="18"/>
                <w:szCs w:val="18"/>
                <w:lang w:eastAsia="en-AU"/>
              </w:rPr>
              <w:t>i</w:t>
            </w:r>
            <w:proofErr w:type="spellEnd"/>
            <w:r w:rsidRPr="001A2DAE">
              <w:rPr>
                <w:rFonts w:ascii="Arial Narrow" w:hAnsi="Arial Narrow" w:cs="Arial"/>
                <w:sz w:val="18"/>
                <w:szCs w:val="18"/>
                <w:lang w:eastAsia="en-AU"/>
              </w:rPr>
              <w:t>) PGA, (ii) EASI and (iii) DLQI scores in the authority application.</w:t>
            </w:r>
          </w:p>
          <w:p w14:paraId="3842B1BD"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Acceptable scores can be:</w:t>
            </w:r>
          </w:p>
          <w:p w14:paraId="71A970A8"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(a) current scores; or</w:t>
            </w:r>
          </w:p>
          <w:p w14:paraId="0C53C470"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(b) past scores, including those previously quoted in a PBS authority application for another drug listed for this indication.</w:t>
            </w:r>
          </w:p>
          <w:p w14:paraId="04A3A348" w14:textId="77777777" w:rsidR="00C3721C" w:rsidRPr="001A2DAE" w:rsidRDefault="00C3721C" w:rsidP="00816736">
            <w:pPr>
              <w:widowControl w:val="0"/>
              <w:ind w:left="-57"/>
              <w:textAlignment w:val="baseline"/>
              <w:rPr>
                <w:rFonts w:ascii="Arial Narrow" w:hAnsi="Arial Narrow" w:cs="Arial"/>
                <w:sz w:val="18"/>
                <w:szCs w:val="18"/>
                <w:lang w:eastAsia="en-AU"/>
              </w:rPr>
            </w:pPr>
          </w:p>
          <w:p w14:paraId="14BBA32D"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The EASI and DLQI baseline measurements are to form the basis of determining if an adequate response to treatment has been achieved under the Continuing treatment restriction. In addition to stating them in this authority application, document them in the patient's medical records.</w:t>
            </w:r>
          </w:p>
          <w:p w14:paraId="7D6FBAA7" w14:textId="77777777" w:rsidR="00C3721C" w:rsidRPr="001A2DAE" w:rsidRDefault="00C3721C" w:rsidP="00816736">
            <w:pPr>
              <w:widowControl w:val="0"/>
              <w:ind w:left="-57"/>
              <w:textAlignment w:val="baseline"/>
              <w:rPr>
                <w:rFonts w:ascii="Arial Narrow" w:hAnsi="Arial Narrow" w:cs="Arial"/>
                <w:sz w:val="18"/>
                <w:szCs w:val="18"/>
                <w:lang w:eastAsia="en-AU"/>
              </w:rPr>
            </w:pPr>
          </w:p>
          <w:p w14:paraId="4258998B"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Document the details of the medium to high potency topical corticosteroids (or calcineurin inhibitors) initially trialled in the patient's medical records.</w:t>
            </w:r>
          </w:p>
        </w:tc>
      </w:tr>
      <w:tr w:rsidR="00C3721C" w:rsidRPr="001A2DAE" w14:paraId="1F326814" w14:textId="77777777" w:rsidTr="00816736">
        <w:tc>
          <w:tcPr>
            <w:tcW w:w="1271" w:type="dxa"/>
          </w:tcPr>
          <w:p w14:paraId="201BEFFB"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6AD241C7"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2D4165C6" w14:textId="77777777" w:rsidTr="000E35FA">
        <w:tc>
          <w:tcPr>
            <w:tcW w:w="1271" w:type="dxa"/>
          </w:tcPr>
          <w:p w14:paraId="1644E76A" w14:textId="3A1D70FF"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6C6E9D27"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Administrative Advice:</w:t>
            </w:r>
          </w:p>
          <w:p w14:paraId="6A8FE497"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Instructions on the use of the Physician's Global Assessment (5-point scale) can be obtained from Sanofi Medical Information on 1800 818 806 or MedInfo.Australia@sanofi.com</w:t>
            </w:r>
          </w:p>
        </w:tc>
      </w:tr>
      <w:tr w:rsidR="00C3721C" w:rsidRPr="001A2DAE" w14:paraId="6A755387" w14:textId="77777777" w:rsidTr="00816736">
        <w:tc>
          <w:tcPr>
            <w:tcW w:w="9351" w:type="dxa"/>
            <w:gridSpan w:val="2"/>
          </w:tcPr>
          <w:p w14:paraId="40EA2C81"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p>
          <w:p w14:paraId="72BA26F4"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p>
        </w:tc>
      </w:tr>
      <w:tr w:rsidR="00C3721C" w:rsidRPr="001A2DAE" w14:paraId="02A106FB" w14:textId="77777777" w:rsidTr="00816736">
        <w:tc>
          <w:tcPr>
            <w:tcW w:w="9351" w:type="dxa"/>
            <w:gridSpan w:val="2"/>
          </w:tcPr>
          <w:p w14:paraId="321249AC"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r w:rsidRPr="001A2DAE">
              <w:rPr>
                <w:rFonts w:ascii="Arial Narrow" w:hAnsi="Arial Narrow" w:cs="Arial"/>
                <w:b/>
                <w:bCs/>
                <w:sz w:val="18"/>
                <w:szCs w:val="18"/>
                <w:bdr w:val="none" w:sz="0" w:space="0" w:color="auto" w:frame="1"/>
                <w:lang w:eastAsia="en-AU"/>
              </w:rPr>
              <w:t>Restriction Summary 11374 / Treatment of Concept: 11374</w:t>
            </w:r>
          </w:p>
        </w:tc>
      </w:tr>
      <w:tr w:rsidR="00C3721C" w:rsidRPr="001A2DAE" w14:paraId="382A032E" w14:textId="77777777" w:rsidTr="000E35FA">
        <w:tc>
          <w:tcPr>
            <w:tcW w:w="1271" w:type="dxa"/>
          </w:tcPr>
          <w:p w14:paraId="76958733" w14:textId="1684AE32"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61709C53"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 xml:space="preserve">Indication: </w:t>
            </w:r>
            <w:r w:rsidRPr="001A2DAE">
              <w:rPr>
                <w:rFonts w:ascii="Arial Narrow" w:hAnsi="Arial Narrow" w:cs="Arial"/>
                <w:sz w:val="18"/>
                <w:szCs w:val="18"/>
                <w:lang w:eastAsia="en-AU"/>
              </w:rPr>
              <w:t>Chronic severe atopic dermatitis</w:t>
            </w:r>
          </w:p>
        </w:tc>
      </w:tr>
      <w:tr w:rsidR="00C3721C" w:rsidRPr="001A2DAE" w14:paraId="23FE9D40" w14:textId="77777777" w:rsidTr="00816736">
        <w:tc>
          <w:tcPr>
            <w:tcW w:w="1271" w:type="dxa"/>
          </w:tcPr>
          <w:p w14:paraId="3EC8CC2F"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384E0410"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13048963" w14:textId="77777777" w:rsidTr="000E35FA">
        <w:tc>
          <w:tcPr>
            <w:tcW w:w="1271" w:type="dxa"/>
          </w:tcPr>
          <w:p w14:paraId="79E36601"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23CD38B0"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 xml:space="preserve">Treatment Phase: </w:t>
            </w:r>
            <w:r w:rsidRPr="001A2DAE">
              <w:rPr>
                <w:rFonts w:ascii="Arial Narrow" w:hAnsi="Arial Narrow" w:cs="Arial"/>
                <w:sz w:val="18"/>
                <w:szCs w:val="18"/>
                <w:lang w:eastAsia="en-AU"/>
              </w:rPr>
              <w:t>Continuing or resuming treatment of the whole body</w:t>
            </w:r>
          </w:p>
        </w:tc>
      </w:tr>
      <w:tr w:rsidR="00C3721C" w:rsidRPr="001A2DAE" w14:paraId="50C975C7" w14:textId="77777777" w:rsidTr="00816736">
        <w:tc>
          <w:tcPr>
            <w:tcW w:w="1271" w:type="dxa"/>
          </w:tcPr>
          <w:p w14:paraId="30175F73"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tcPr>
          <w:p w14:paraId="0BB5995F"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3505E362" w14:textId="77777777" w:rsidTr="000E35FA">
        <w:tc>
          <w:tcPr>
            <w:tcW w:w="1271" w:type="dxa"/>
          </w:tcPr>
          <w:p w14:paraId="5BB829D5" w14:textId="7B1B798B"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329C8B7"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658B3599" w14:textId="77777777" w:rsidTr="000E35FA">
        <w:tc>
          <w:tcPr>
            <w:tcW w:w="1271" w:type="dxa"/>
          </w:tcPr>
          <w:p w14:paraId="3DF0E458" w14:textId="6812D15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5D74D138"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have received PBS-subsidised treatment with this biological medicine for the treatment of chronic severe atopic dermatitis affecting the whole body</w:t>
            </w:r>
          </w:p>
        </w:tc>
      </w:tr>
      <w:tr w:rsidR="00C3721C" w:rsidRPr="001A2DAE" w14:paraId="21CE57B4" w14:textId="77777777" w:rsidTr="000E35FA">
        <w:tc>
          <w:tcPr>
            <w:tcW w:w="1271" w:type="dxa"/>
          </w:tcPr>
          <w:p w14:paraId="289409C6"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5247A694"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612FC54E" w14:textId="77777777" w:rsidTr="000E35FA">
        <w:tc>
          <w:tcPr>
            <w:tcW w:w="1271" w:type="dxa"/>
          </w:tcPr>
          <w:p w14:paraId="0407695D" w14:textId="34F5DC95"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2B61C783"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125358B6" w14:textId="77777777" w:rsidTr="000E35FA">
        <w:tc>
          <w:tcPr>
            <w:tcW w:w="1271" w:type="dxa"/>
          </w:tcPr>
          <w:p w14:paraId="00B11D94" w14:textId="571C2222"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25C85AE2"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have achieved an adequate response within the first 16 weeks of treatment; or</w:t>
            </w:r>
          </w:p>
        </w:tc>
      </w:tr>
      <w:tr w:rsidR="00C3721C" w:rsidRPr="001A2DAE" w14:paraId="22DE04E4" w14:textId="77777777" w:rsidTr="000E35FA">
        <w:tc>
          <w:tcPr>
            <w:tcW w:w="1271" w:type="dxa"/>
          </w:tcPr>
          <w:p w14:paraId="227EFD79" w14:textId="6D5662AB"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7CCEC164"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have maintained an adequate response to their most recent course of PBS-subsidised treatment with this biological medicine for this PBS indication if this is the second or subsequent Continuing treatment authority application; or</w:t>
            </w:r>
          </w:p>
        </w:tc>
      </w:tr>
      <w:tr w:rsidR="00C3721C" w:rsidRPr="001A2DAE" w14:paraId="5E10E057" w14:textId="77777777" w:rsidTr="000E35FA">
        <w:tc>
          <w:tcPr>
            <w:tcW w:w="1271" w:type="dxa"/>
          </w:tcPr>
          <w:p w14:paraId="3A6E5BBF" w14:textId="26141EAD"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6C27BB7"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have temporarily ceased treatment for reasons other than lack of response (</w:t>
            </w:r>
            <w:proofErr w:type="gramStart"/>
            <w:r w:rsidRPr="001A2DAE">
              <w:rPr>
                <w:rFonts w:ascii="Arial Narrow" w:hAnsi="Arial Narrow" w:cs="Arial"/>
                <w:sz w:val="18"/>
                <w:szCs w:val="18"/>
                <w:lang w:eastAsia="en-AU"/>
              </w:rPr>
              <w:t>e.g.</w:t>
            </w:r>
            <w:proofErr w:type="gramEnd"/>
            <w:r w:rsidRPr="001A2DAE">
              <w:rPr>
                <w:rFonts w:ascii="Arial Narrow" w:hAnsi="Arial Narrow" w:cs="Arial"/>
                <w:sz w:val="18"/>
                <w:szCs w:val="18"/>
                <w:lang w:eastAsia="en-AU"/>
              </w:rPr>
              <w:t xml:space="preserve"> family planning, vaccination with live vaccines, adverse-effect investigation), thereby being unable to achieve/maintain an adequate response immediately prior to this authority application</w:t>
            </w:r>
          </w:p>
        </w:tc>
      </w:tr>
      <w:tr w:rsidR="00C3721C" w:rsidRPr="001A2DAE" w14:paraId="5B485D6D" w14:textId="77777777" w:rsidTr="000E35FA">
        <w:tc>
          <w:tcPr>
            <w:tcW w:w="1271" w:type="dxa"/>
          </w:tcPr>
          <w:p w14:paraId="487B40AC"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3B6CE2DF"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4FB57202" w14:textId="77777777" w:rsidTr="000E35FA">
        <w:tc>
          <w:tcPr>
            <w:tcW w:w="1271" w:type="dxa"/>
          </w:tcPr>
          <w:p w14:paraId="02350554" w14:textId="6CE9A3B1"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71A1C1D"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7E1E252E" w14:textId="77777777" w:rsidTr="000E35FA">
        <w:tc>
          <w:tcPr>
            <w:tcW w:w="1271" w:type="dxa"/>
          </w:tcPr>
          <w:p w14:paraId="7EE38FAA" w14:textId="5A39BD21"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7B0B5DE5"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The treatment must be the sole PBS-subsidised biological medicine for this PBS indication</w:t>
            </w:r>
          </w:p>
        </w:tc>
      </w:tr>
      <w:tr w:rsidR="00C3721C" w:rsidRPr="001A2DAE" w14:paraId="17D80E89" w14:textId="77777777" w:rsidTr="000E35FA">
        <w:tc>
          <w:tcPr>
            <w:tcW w:w="1271" w:type="dxa"/>
          </w:tcPr>
          <w:p w14:paraId="658553D0"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46ED4760"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2F61DCA1" w14:textId="77777777" w:rsidTr="000E35FA">
        <w:tc>
          <w:tcPr>
            <w:tcW w:w="1271" w:type="dxa"/>
          </w:tcPr>
          <w:p w14:paraId="56B25D62" w14:textId="74197054"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13B55A9C"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Treatment criteria:</w:t>
            </w:r>
          </w:p>
        </w:tc>
      </w:tr>
      <w:tr w:rsidR="00C3721C" w:rsidRPr="001A2DAE" w14:paraId="1CA3C72D" w14:textId="77777777" w:rsidTr="000E35FA">
        <w:tc>
          <w:tcPr>
            <w:tcW w:w="1271" w:type="dxa"/>
          </w:tcPr>
          <w:p w14:paraId="5859CAAD" w14:textId="0EF74273"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7C145EA"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Must be treated by a dermatologist; or</w:t>
            </w:r>
          </w:p>
        </w:tc>
      </w:tr>
      <w:tr w:rsidR="00C3721C" w:rsidRPr="001A2DAE" w14:paraId="336D704B" w14:textId="77777777" w:rsidTr="000E35FA">
        <w:tc>
          <w:tcPr>
            <w:tcW w:w="1271" w:type="dxa"/>
          </w:tcPr>
          <w:p w14:paraId="521CC06B" w14:textId="3EBCFA0A"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40EB61E"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Must be treated by a clinical immunologist</w:t>
            </w:r>
          </w:p>
        </w:tc>
      </w:tr>
      <w:tr w:rsidR="00C3721C" w:rsidRPr="001A2DAE" w14:paraId="7A3843DA" w14:textId="77777777" w:rsidTr="00816736">
        <w:tc>
          <w:tcPr>
            <w:tcW w:w="1271" w:type="dxa"/>
          </w:tcPr>
          <w:p w14:paraId="0879CD75"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43CBBDAC" w14:textId="77777777" w:rsidR="00C3721C" w:rsidRPr="001A2DAE" w:rsidRDefault="00C3721C" w:rsidP="00816736">
            <w:pPr>
              <w:widowControl w:val="0"/>
              <w:ind w:left="-57"/>
              <w:rPr>
                <w:rFonts w:ascii="Arial Narrow" w:hAnsi="Arial Narrow" w:cs="Arial"/>
                <w:b/>
                <w:bCs/>
                <w:sz w:val="18"/>
                <w:szCs w:val="18"/>
                <w:lang w:eastAsia="en-AU"/>
              </w:rPr>
            </w:pPr>
            <w:r w:rsidRPr="001A2DAE">
              <w:rPr>
                <w:rFonts w:ascii="Arial Narrow" w:hAnsi="Arial Narrow" w:cs="Arial"/>
                <w:b/>
                <w:bCs/>
                <w:sz w:val="18"/>
                <w:szCs w:val="18"/>
                <w:lang w:eastAsia="en-AU"/>
              </w:rPr>
              <w:t>AND</w:t>
            </w:r>
          </w:p>
        </w:tc>
      </w:tr>
      <w:tr w:rsidR="00C3721C" w:rsidRPr="001A2DAE" w14:paraId="1538834B" w14:textId="77777777" w:rsidTr="00816736">
        <w:tc>
          <w:tcPr>
            <w:tcW w:w="1271" w:type="dxa"/>
          </w:tcPr>
          <w:p w14:paraId="5B8FF043" w14:textId="72D11750"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3C013419"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Population criteria:</w:t>
            </w:r>
          </w:p>
        </w:tc>
      </w:tr>
      <w:tr w:rsidR="00C3721C" w:rsidRPr="001A2DAE" w14:paraId="00BAAD73" w14:textId="77777777" w:rsidTr="00816736">
        <w:tc>
          <w:tcPr>
            <w:tcW w:w="1271" w:type="dxa"/>
          </w:tcPr>
          <w:p w14:paraId="3411906A" w14:textId="5A78556B"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20DE06E1"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bdr w:val="none" w:sz="0" w:space="0" w:color="auto" w:frame="1"/>
                <w:lang w:eastAsia="en-AU"/>
              </w:rPr>
              <w:t>Patient must be 12 years of age or older; or</w:t>
            </w:r>
          </w:p>
        </w:tc>
      </w:tr>
      <w:tr w:rsidR="00C3721C" w:rsidRPr="001A2DAE" w14:paraId="7856D3EB" w14:textId="77777777" w:rsidTr="00816736">
        <w:trPr>
          <w:trHeight w:val="57"/>
        </w:trPr>
        <w:tc>
          <w:tcPr>
            <w:tcW w:w="1271" w:type="dxa"/>
          </w:tcPr>
          <w:p w14:paraId="149CC1BD" w14:textId="5571BF5D"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5CC12289"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i/>
                <w:iCs/>
                <w:sz w:val="18"/>
                <w:szCs w:val="18"/>
                <w:lang w:eastAsia="en-AU"/>
              </w:rPr>
              <w:t>Patient must be less than 12 years of age</w:t>
            </w:r>
          </w:p>
        </w:tc>
      </w:tr>
      <w:tr w:rsidR="00C3721C" w:rsidRPr="001A2DAE" w14:paraId="1B1D3A81" w14:textId="77777777" w:rsidTr="00816736">
        <w:tc>
          <w:tcPr>
            <w:tcW w:w="1271" w:type="dxa"/>
          </w:tcPr>
          <w:p w14:paraId="360CE757"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2813CFF2" w14:textId="77777777" w:rsidR="00C3721C" w:rsidRPr="001A2DAE" w:rsidRDefault="00C3721C" w:rsidP="00816736">
            <w:pPr>
              <w:widowControl w:val="0"/>
              <w:ind w:left="-57"/>
              <w:rPr>
                <w:rFonts w:ascii="Arial Narrow" w:hAnsi="Arial Narrow" w:cs="Arial"/>
                <w:sz w:val="18"/>
                <w:szCs w:val="18"/>
                <w:lang w:eastAsia="en-AU"/>
              </w:rPr>
            </w:pPr>
          </w:p>
        </w:tc>
      </w:tr>
      <w:tr w:rsidR="00C3721C" w:rsidRPr="001A2DAE" w14:paraId="0005D6F9" w14:textId="77777777" w:rsidTr="000E35FA">
        <w:tc>
          <w:tcPr>
            <w:tcW w:w="1271" w:type="dxa"/>
          </w:tcPr>
          <w:p w14:paraId="187ECD4C" w14:textId="07C7364B"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53969DF2"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Prescribing Instructions:</w:t>
            </w:r>
          </w:p>
          <w:p w14:paraId="543635BD"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For the purposes of this restriction, an adequate response to treatment is defined as:</w:t>
            </w:r>
          </w:p>
          <w:p w14:paraId="3EB871EC"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(a) An improvement/maintenance in the Eczema Area and Severity Index (EASI) score of at least 50% compared to baseline; and</w:t>
            </w:r>
          </w:p>
          <w:p w14:paraId="44F7318B"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(b) An improvement/maintenance in Dermatology Life Quality Index (DLQI) score of at least 4 points compared to baseline</w:t>
            </w:r>
          </w:p>
          <w:p w14:paraId="5A346DEC"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Where an initial baseline (post-topical corticosteroid, pre-biological medicine) DLQI score was not measured for a patient who had commenced treatment through a clinical trial, early access program or through private, non-PBS-subsidised supply, an absence of worsening in the current DLQI score compared to that measured at the time of the 'Grandfather listing' authority application will suffice as an adequate response for requirement (b) above.</w:t>
            </w:r>
          </w:p>
          <w:p w14:paraId="2869DB11"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State each of the current EASI and DLQI scores for this authority application.</w:t>
            </w:r>
          </w:p>
        </w:tc>
      </w:tr>
      <w:tr w:rsidR="00C3721C" w:rsidRPr="001A2DAE" w14:paraId="7578914D" w14:textId="77777777" w:rsidTr="00816736">
        <w:tc>
          <w:tcPr>
            <w:tcW w:w="1271" w:type="dxa"/>
          </w:tcPr>
          <w:p w14:paraId="7B14BFFB"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661602DC"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18807D6B" w14:textId="77777777" w:rsidTr="00816736">
        <w:tc>
          <w:tcPr>
            <w:tcW w:w="9351" w:type="dxa"/>
            <w:gridSpan w:val="2"/>
          </w:tcPr>
          <w:p w14:paraId="2D6B3FF1"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p>
          <w:p w14:paraId="0680DBE4"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p>
        </w:tc>
      </w:tr>
      <w:tr w:rsidR="00C3721C" w:rsidRPr="001A2DAE" w14:paraId="13B1E39D" w14:textId="77777777" w:rsidTr="00816736">
        <w:tc>
          <w:tcPr>
            <w:tcW w:w="9351" w:type="dxa"/>
            <w:gridSpan w:val="2"/>
          </w:tcPr>
          <w:p w14:paraId="14581F35"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r w:rsidRPr="001A2DAE">
              <w:rPr>
                <w:rFonts w:ascii="Arial Narrow" w:hAnsi="Arial Narrow" w:cs="Arial"/>
                <w:b/>
                <w:bCs/>
                <w:sz w:val="18"/>
                <w:szCs w:val="18"/>
                <w:bdr w:val="none" w:sz="0" w:space="0" w:color="auto" w:frame="1"/>
                <w:lang w:eastAsia="en-AU"/>
              </w:rPr>
              <w:t xml:space="preserve">Restriction Summary 12506 / </w:t>
            </w:r>
            <w:proofErr w:type="spellStart"/>
            <w:r w:rsidRPr="001A2DAE">
              <w:rPr>
                <w:rFonts w:ascii="Arial Narrow" w:hAnsi="Arial Narrow" w:cs="Arial"/>
                <w:b/>
                <w:bCs/>
                <w:sz w:val="18"/>
                <w:szCs w:val="18"/>
                <w:bdr w:val="none" w:sz="0" w:space="0" w:color="auto" w:frame="1"/>
                <w:lang w:eastAsia="en-AU"/>
              </w:rPr>
              <w:t>ToC</w:t>
            </w:r>
            <w:proofErr w:type="spellEnd"/>
            <w:r w:rsidRPr="001A2DAE">
              <w:rPr>
                <w:rFonts w:ascii="Arial Narrow" w:hAnsi="Arial Narrow" w:cs="Arial"/>
                <w:b/>
                <w:bCs/>
                <w:sz w:val="18"/>
                <w:szCs w:val="18"/>
                <w:bdr w:val="none" w:sz="0" w:space="0" w:color="auto" w:frame="1"/>
                <w:lang w:eastAsia="en-AU"/>
              </w:rPr>
              <w:t>: 12507</w:t>
            </w:r>
          </w:p>
        </w:tc>
      </w:tr>
      <w:tr w:rsidR="00C3721C" w:rsidRPr="001A2DAE" w14:paraId="436C9F1A" w14:textId="77777777" w:rsidTr="000E35FA">
        <w:tc>
          <w:tcPr>
            <w:tcW w:w="1271" w:type="dxa"/>
          </w:tcPr>
          <w:p w14:paraId="2A75A9B8" w14:textId="007A971E"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7EFCCDB5"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 xml:space="preserve">Indication: </w:t>
            </w:r>
            <w:r w:rsidRPr="001A2DAE">
              <w:rPr>
                <w:rFonts w:ascii="Arial Narrow" w:hAnsi="Arial Narrow" w:cs="Arial"/>
                <w:sz w:val="18"/>
                <w:szCs w:val="18"/>
                <w:lang w:eastAsia="en-AU"/>
              </w:rPr>
              <w:t>Chronic severe atopic dermatitis</w:t>
            </w:r>
          </w:p>
        </w:tc>
      </w:tr>
      <w:tr w:rsidR="00C3721C" w:rsidRPr="001A2DAE" w14:paraId="0972BAE8" w14:textId="77777777" w:rsidTr="00816736">
        <w:tc>
          <w:tcPr>
            <w:tcW w:w="1271" w:type="dxa"/>
          </w:tcPr>
          <w:p w14:paraId="39207626"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2D615125"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6609D7BE" w14:textId="77777777" w:rsidTr="000E35FA">
        <w:tc>
          <w:tcPr>
            <w:tcW w:w="1271" w:type="dxa"/>
          </w:tcPr>
          <w:p w14:paraId="11790E2E"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6C21C184"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 xml:space="preserve">Treatment Phase: </w:t>
            </w:r>
            <w:r w:rsidRPr="001A2DAE">
              <w:rPr>
                <w:rFonts w:ascii="Arial Narrow" w:hAnsi="Arial Narrow" w:cs="Arial"/>
                <w:sz w:val="18"/>
                <w:szCs w:val="18"/>
                <w:lang w:eastAsia="en-AU"/>
              </w:rPr>
              <w:t>Initial treatment of the face and/or hands</w:t>
            </w:r>
          </w:p>
        </w:tc>
      </w:tr>
      <w:tr w:rsidR="00C3721C" w:rsidRPr="001A2DAE" w14:paraId="0101E117" w14:textId="77777777" w:rsidTr="00816736">
        <w:trPr>
          <w:trHeight w:val="53"/>
        </w:trPr>
        <w:tc>
          <w:tcPr>
            <w:tcW w:w="1271" w:type="dxa"/>
          </w:tcPr>
          <w:p w14:paraId="22A6785B"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6763F6D9" w14:textId="77777777" w:rsidR="00C3721C" w:rsidRPr="001A2DAE" w:rsidRDefault="00C3721C" w:rsidP="00816736">
            <w:pPr>
              <w:widowControl w:val="0"/>
              <w:rPr>
                <w:rFonts w:ascii="Arial Narrow" w:hAnsi="Arial Narrow" w:cs="Arial"/>
                <w:b/>
                <w:bCs/>
                <w:sz w:val="18"/>
                <w:szCs w:val="18"/>
                <w:lang w:eastAsia="en-AU"/>
              </w:rPr>
            </w:pPr>
          </w:p>
        </w:tc>
      </w:tr>
      <w:tr w:rsidR="00C3721C" w:rsidRPr="001A2DAE" w14:paraId="0B4098F9" w14:textId="77777777" w:rsidTr="000E35FA">
        <w:tc>
          <w:tcPr>
            <w:tcW w:w="1271" w:type="dxa"/>
          </w:tcPr>
          <w:p w14:paraId="4024E54E" w14:textId="7A041264"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627DB2C8"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65A6EF21" w14:textId="77777777" w:rsidTr="000E35FA">
        <w:tc>
          <w:tcPr>
            <w:tcW w:w="1271" w:type="dxa"/>
          </w:tcPr>
          <w:p w14:paraId="483934AA" w14:textId="094284E3"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55A63E0A"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 xml:space="preserve">The condition must have at least 2 of the following Eczema Area and Severity Index (EASI) symptom sub-scores for erythema, oedema/papulation, excoriation, </w:t>
            </w:r>
            <w:proofErr w:type="spellStart"/>
            <w:r w:rsidRPr="001A2DAE">
              <w:rPr>
                <w:rFonts w:ascii="Arial Narrow" w:hAnsi="Arial Narrow" w:cs="Arial"/>
                <w:sz w:val="18"/>
                <w:szCs w:val="18"/>
                <w:lang w:eastAsia="en-AU"/>
              </w:rPr>
              <w:t>lichenification</w:t>
            </w:r>
            <w:proofErr w:type="spellEnd"/>
            <w:r w:rsidRPr="001A2DAE">
              <w:rPr>
                <w:rFonts w:ascii="Arial Narrow" w:hAnsi="Arial Narrow" w:cs="Arial"/>
                <w:sz w:val="18"/>
                <w:szCs w:val="18"/>
                <w:lang w:eastAsia="en-AU"/>
              </w:rPr>
              <w:t xml:space="preserve"> rated as severe despite treatment with daily topical therapy (corticosteroid of medium to high potency/calcineurin inhibitor), for at least 28 days; or</w:t>
            </w:r>
          </w:p>
        </w:tc>
      </w:tr>
      <w:tr w:rsidR="00C3721C" w:rsidRPr="001A2DAE" w14:paraId="3F0E9B58" w14:textId="77777777" w:rsidTr="000E35FA">
        <w:tc>
          <w:tcPr>
            <w:tcW w:w="1271" w:type="dxa"/>
          </w:tcPr>
          <w:p w14:paraId="5030BB99" w14:textId="57F0AF89"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7899CB06"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The condition must have affected at least 30% of the face/hands surface area despite treatment with daily topical therapy (corticosteroid of medium to high potency/calcineurin inhibitor), for at least 28 days</w:t>
            </w:r>
          </w:p>
        </w:tc>
      </w:tr>
      <w:tr w:rsidR="00C3721C" w:rsidRPr="001A2DAE" w14:paraId="1EC5753D" w14:textId="77777777" w:rsidTr="000E35FA">
        <w:tc>
          <w:tcPr>
            <w:tcW w:w="1271" w:type="dxa"/>
          </w:tcPr>
          <w:p w14:paraId="2E6A43AE"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3DB33357"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1A147D07" w14:textId="77777777" w:rsidTr="000E35FA">
        <w:tc>
          <w:tcPr>
            <w:tcW w:w="1271" w:type="dxa"/>
          </w:tcPr>
          <w:p w14:paraId="182F5677" w14:textId="478B0804"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6B14DAA3"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747D239E" w14:textId="77777777" w:rsidTr="000E35FA">
        <w:tc>
          <w:tcPr>
            <w:tcW w:w="1271" w:type="dxa"/>
          </w:tcPr>
          <w:p w14:paraId="1F0D38E8" w14:textId="3BBF54D9"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594CDB12"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 xml:space="preserve">Patient must have an </w:t>
            </w:r>
            <w:proofErr w:type="gramStart"/>
            <w:r w:rsidRPr="001A2DAE">
              <w:rPr>
                <w:rFonts w:ascii="Arial Narrow" w:hAnsi="Arial Narrow" w:cs="Arial"/>
                <w:sz w:val="18"/>
                <w:szCs w:val="18"/>
                <w:lang w:eastAsia="en-AU"/>
              </w:rPr>
              <w:t>age appropriate</w:t>
            </w:r>
            <w:proofErr w:type="gramEnd"/>
            <w:r w:rsidRPr="001A2DAE">
              <w:rPr>
                <w:rFonts w:ascii="Arial Narrow" w:hAnsi="Arial Narrow" w:cs="Arial"/>
                <w:sz w:val="18"/>
                <w:szCs w:val="18"/>
                <w:lang w:eastAsia="en-AU"/>
              </w:rPr>
              <w:t xml:space="preserve"> Dermatology Life Quality Index (DLQI) baseline score (of any value) measured following treatment with daily topical therapy (corticosteroid of medium to high potency/calcineurin inhibitor), for at least 28 days</w:t>
            </w:r>
          </w:p>
        </w:tc>
      </w:tr>
      <w:tr w:rsidR="00C3721C" w:rsidRPr="001A2DAE" w14:paraId="61C002DF" w14:textId="77777777" w:rsidTr="000E35FA">
        <w:tc>
          <w:tcPr>
            <w:tcW w:w="1271" w:type="dxa"/>
          </w:tcPr>
          <w:p w14:paraId="7FCC5BAE"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5DE62901"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1DE565EA" w14:textId="77777777" w:rsidTr="000E35FA">
        <w:tc>
          <w:tcPr>
            <w:tcW w:w="1271" w:type="dxa"/>
          </w:tcPr>
          <w:p w14:paraId="1E3B1A5A" w14:textId="3626E90A"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5C6EB367"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09E7E77E" w14:textId="77777777" w:rsidTr="000E35FA">
        <w:tc>
          <w:tcPr>
            <w:tcW w:w="1271" w:type="dxa"/>
          </w:tcPr>
          <w:p w14:paraId="04838047" w14:textId="0DC7072B"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3DCD519"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The condition must have had lesions for at least 6 months from the time of the initial diagnosis of chronic severe atopic dermatitis affecting either of: (</w:t>
            </w:r>
            <w:proofErr w:type="spellStart"/>
            <w:r w:rsidRPr="001A2DAE">
              <w:rPr>
                <w:rFonts w:ascii="Arial Narrow" w:hAnsi="Arial Narrow" w:cs="Arial"/>
                <w:sz w:val="18"/>
                <w:szCs w:val="18"/>
                <w:lang w:eastAsia="en-AU"/>
              </w:rPr>
              <w:t>i</w:t>
            </w:r>
            <w:proofErr w:type="spellEnd"/>
            <w:r w:rsidRPr="001A2DAE">
              <w:rPr>
                <w:rFonts w:ascii="Arial Narrow" w:hAnsi="Arial Narrow" w:cs="Arial"/>
                <w:sz w:val="18"/>
                <w:szCs w:val="18"/>
                <w:lang w:eastAsia="en-AU"/>
              </w:rPr>
              <w:t>) the whole body, (ii) face/hands</w:t>
            </w:r>
          </w:p>
        </w:tc>
      </w:tr>
      <w:tr w:rsidR="00C3721C" w:rsidRPr="001A2DAE" w14:paraId="25246B55" w14:textId="77777777" w:rsidTr="000E35FA">
        <w:tc>
          <w:tcPr>
            <w:tcW w:w="1271" w:type="dxa"/>
          </w:tcPr>
          <w:p w14:paraId="20A88439"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7BE54210"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1CC25E15" w14:textId="77777777" w:rsidTr="000E35FA">
        <w:tc>
          <w:tcPr>
            <w:tcW w:w="1271" w:type="dxa"/>
          </w:tcPr>
          <w:p w14:paraId="013657C0" w14:textId="276AAAA1"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1CD11940"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35BA0407" w14:textId="77777777" w:rsidTr="000E35FA">
        <w:tc>
          <w:tcPr>
            <w:tcW w:w="1271" w:type="dxa"/>
          </w:tcPr>
          <w:p w14:paraId="67A00296" w14:textId="4220AA32"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0902A79"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The treatment must be the sole PBS-subsidised biological medicine for this PBS indication</w:t>
            </w:r>
          </w:p>
        </w:tc>
      </w:tr>
      <w:tr w:rsidR="00C3721C" w:rsidRPr="001A2DAE" w14:paraId="751E1076" w14:textId="77777777" w:rsidTr="000E35FA">
        <w:tc>
          <w:tcPr>
            <w:tcW w:w="1271" w:type="dxa"/>
          </w:tcPr>
          <w:p w14:paraId="3C39507E"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7DD1CFCE"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0B668531" w14:textId="77777777" w:rsidTr="000E35FA">
        <w:tc>
          <w:tcPr>
            <w:tcW w:w="1271" w:type="dxa"/>
          </w:tcPr>
          <w:p w14:paraId="1D6A7E2C" w14:textId="7A2E137B"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197728D7"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60568529" w14:textId="77777777" w:rsidTr="000E35FA">
        <w:tc>
          <w:tcPr>
            <w:tcW w:w="1271" w:type="dxa"/>
          </w:tcPr>
          <w:p w14:paraId="77106E68" w14:textId="54AE5549"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C68822B"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not have experienced an inadequate response to this biological medicine in this PBS indication</w:t>
            </w:r>
          </w:p>
        </w:tc>
      </w:tr>
      <w:tr w:rsidR="00C3721C" w:rsidRPr="001A2DAE" w14:paraId="4B32C62B" w14:textId="77777777" w:rsidTr="000E35FA">
        <w:tc>
          <w:tcPr>
            <w:tcW w:w="1271" w:type="dxa"/>
          </w:tcPr>
          <w:p w14:paraId="723F520E"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023BCCF7"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596FB8CD" w14:textId="77777777" w:rsidTr="000E35FA">
        <w:tc>
          <w:tcPr>
            <w:tcW w:w="1271" w:type="dxa"/>
          </w:tcPr>
          <w:p w14:paraId="75E9406E" w14:textId="3F0AB83F"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1059A085"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Treatment criteria:</w:t>
            </w:r>
          </w:p>
        </w:tc>
      </w:tr>
      <w:tr w:rsidR="00C3721C" w:rsidRPr="001A2DAE" w14:paraId="174E043C" w14:textId="77777777" w:rsidTr="000E35FA">
        <w:tc>
          <w:tcPr>
            <w:tcW w:w="1271" w:type="dxa"/>
          </w:tcPr>
          <w:p w14:paraId="2E1169F0" w14:textId="194B23DA"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6D19F161"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Must be treated by a dermatologist; or</w:t>
            </w:r>
          </w:p>
        </w:tc>
      </w:tr>
      <w:tr w:rsidR="00C3721C" w:rsidRPr="001A2DAE" w14:paraId="75EED288" w14:textId="77777777" w:rsidTr="000E35FA">
        <w:tc>
          <w:tcPr>
            <w:tcW w:w="1271" w:type="dxa"/>
          </w:tcPr>
          <w:p w14:paraId="27053E27" w14:textId="72AB294D"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F2E152B"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Must be treated by a clinical immunologist</w:t>
            </w:r>
          </w:p>
        </w:tc>
      </w:tr>
      <w:tr w:rsidR="00C3721C" w:rsidRPr="001A2DAE" w14:paraId="44B1A3BF" w14:textId="77777777" w:rsidTr="00816736">
        <w:tc>
          <w:tcPr>
            <w:tcW w:w="1271" w:type="dxa"/>
          </w:tcPr>
          <w:p w14:paraId="660FA949"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01DE355B"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lang w:eastAsia="en-AU"/>
              </w:rPr>
              <w:t>AND</w:t>
            </w:r>
          </w:p>
        </w:tc>
      </w:tr>
      <w:tr w:rsidR="00C3721C" w:rsidRPr="001A2DAE" w14:paraId="5AFCC2B3" w14:textId="77777777" w:rsidTr="00816736">
        <w:tc>
          <w:tcPr>
            <w:tcW w:w="1271" w:type="dxa"/>
          </w:tcPr>
          <w:p w14:paraId="6DE3BF5C" w14:textId="2B5C5746"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55312F9F" w14:textId="77777777" w:rsidR="00C3721C" w:rsidRPr="001A2DAE" w:rsidRDefault="00C3721C" w:rsidP="00816736">
            <w:pPr>
              <w:widowControl w:val="0"/>
              <w:ind w:left="-57"/>
              <w:rPr>
                <w:rFonts w:ascii="Arial Narrow" w:hAnsi="Arial Narrow" w:cs="Arial"/>
                <w:b/>
                <w:bCs/>
                <w:sz w:val="18"/>
                <w:szCs w:val="18"/>
                <w:lang w:eastAsia="en-AU"/>
              </w:rPr>
            </w:pPr>
            <w:r w:rsidRPr="001A2DAE">
              <w:rPr>
                <w:rFonts w:ascii="Arial Narrow" w:hAnsi="Arial Narrow" w:cs="Arial"/>
                <w:b/>
                <w:bCs/>
                <w:sz w:val="18"/>
                <w:szCs w:val="18"/>
                <w:lang w:eastAsia="en-AU"/>
              </w:rPr>
              <w:t>Population criteria:</w:t>
            </w:r>
          </w:p>
        </w:tc>
      </w:tr>
      <w:tr w:rsidR="00C3721C" w:rsidRPr="001A2DAE" w14:paraId="66DC1449" w14:textId="77777777" w:rsidTr="00816736">
        <w:tc>
          <w:tcPr>
            <w:tcW w:w="1271" w:type="dxa"/>
          </w:tcPr>
          <w:p w14:paraId="2DC621FF" w14:textId="108CEC4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25130CBA"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be 12 years of age or older; or</w:t>
            </w:r>
          </w:p>
        </w:tc>
      </w:tr>
      <w:tr w:rsidR="00C3721C" w:rsidRPr="001A2DAE" w14:paraId="2945FB9C" w14:textId="77777777" w:rsidTr="00816736">
        <w:tc>
          <w:tcPr>
            <w:tcW w:w="1271" w:type="dxa"/>
          </w:tcPr>
          <w:p w14:paraId="240310C2" w14:textId="09511D1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24A6ACF5"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i/>
                <w:iCs/>
                <w:sz w:val="18"/>
                <w:szCs w:val="18"/>
                <w:lang w:eastAsia="en-AU"/>
              </w:rPr>
              <w:t>Patient must be less than 12 years of age</w:t>
            </w:r>
          </w:p>
        </w:tc>
      </w:tr>
      <w:tr w:rsidR="00C3721C" w:rsidRPr="001A2DAE" w14:paraId="1E0C2D43" w14:textId="77777777" w:rsidTr="00816736">
        <w:tc>
          <w:tcPr>
            <w:tcW w:w="1271" w:type="dxa"/>
          </w:tcPr>
          <w:p w14:paraId="7CD269E2"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2F34F79E" w14:textId="77777777" w:rsidR="00C3721C" w:rsidRPr="001A2DAE" w:rsidRDefault="00C3721C" w:rsidP="00816736">
            <w:pPr>
              <w:widowControl w:val="0"/>
              <w:ind w:left="-57"/>
              <w:rPr>
                <w:rFonts w:ascii="Arial Narrow" w:hAnsi="Arial Narrow" w:cs="Arial"/>
                <w:sz w:val="18"/>
                <w:szCs w:val="18"/>
                <w:lang w:eastAsia="en-AU"/>
              </w:rPr>
            </w:pPr>
          </w:p>
        </w:tc>
      </w:tr>
      <w:tr w:rsidR="00C3721C" w:rsidRPr="001A2DAE" w14:paraId="27492FF9" w14:textId="77777777" w:rsidTr="000E35FA">
        <w:tc>
          <w:tcPr>
            <w:tcW w:w="1271" w:type="dxa"/>
          </w:tcPr>
          <w:p w14:paraId="63C30CAF" w14:textId="2939CEBA"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CCA7841"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Prescribing Instructions:</w:t>
            </w:r>
          </w:p>
          <w:p w14:paraId="0E7437EC" w14:textId="77777777" w:rsidR="00C3721C" w:rsidRPr="001A2DAE" w:rsidRDefault="00C3721C" w:rsidP="00816736">
            <w:pPr>
              <w:widowControl w:val="0"/>
              <w:ind w:left="-57"/>
              <w:rPr>
                <w:rFonts w:ascii="Arial Narrow" w:hAnsi="Arial Narrow" w:cs="Arial"/>
                <w:sz w:val="18"/>
                <w:szCs w:val="18"/>
                <w:lang w:val="en-GB" w:eastAsia="en-AU"/>
              </w:rPr>
            </w:pPr>
            <w:r w:rsidRPr="001A2DAE">
              <w:rPr>
                <w:rFonts w:ascii="Open Sans" w:hAnsi="Open Sans" w:cs="Open Sans"/>
                <w:color w:val="333333"/>
                <w:sz w:val="18"/>
                <w:szCs w:val="18"/>
                <w:lang w:eastAsia="en-AU"/>
              </w:rPr>
              <w:t xml:space="preserve"> </w:t>
            </w:r>
            <w:r w:rsidRPr="001A2DAE">
              <w:rPr>
                <w:rFonts w:ascii="Arial Narrow" w:hAnsi="Arial Narrow" w:cs="Arial"/>
                <w:sz w:val="18"/>
                <w:szCs w:val="18"/>
                <w:lang w:val="en-GB" w:eastAsia="en-AU"/>
              </w:rPr>
              <w:t>State each of the 4 Eczema Area and Severity Index (EASI) symptom sub-score ratings (0 = none, 1 = mild, 2 = moderate, 3 = severe) for:</w:t>
            </w:r>
          </w:p>
          <w:p w14:paraId="1B921834" w14:textId="77777777" w:rsidR="00C3721C" w:rsidRPr="00527502" w:rsidRDefault="00C3721C" w:rsidP="00816736">
            <w:pPr>
              <w:widowControl w:val="0"/>
              <w:ind w:left="-57"/>
              <w:textAlignment w:val="baseline"/>
              <w:rPr>
                <w:rFonts w:ascii="Arial Narrow" w:hAnsi="Arial Narrow" w:cs="Arial"/>
                <w:sz w:val="18"/>
                <w:szCs w:val="18"/>
                <w:lang w:eastAsia="en-AU"/>
              </w:rPr>
            </w:pPr>
            <w:r w:rsidRPr="00527502">
              <w:rPr>
                <w:rFonts w:ascii="Arial Narrow" w:hAnsi="Arial Narrow" w:cs="Arial"/>
                <w:sz w:val="18"/>
                <w:szCs w:val="18"/>
                <w:lang w:eastAsia="en-AU"/>
              </w:rPr>
              <w:t>(</w:t>
            </w:r>
            <w:proofErr w:type="spellStart"/>
            <w:r w:rsidRPr="00527502">
              <w:rPr>
                <w:rFonts w:ascii="Arial Narrow" w:hAnsi="Arial Narrow" w:cs="Arial"/>
                <w:sz w:val="18"/>
                <w:szCs w:val="18"/>
                <w:lang w:eastAsia="en-AU"/>
              </w:rPr>
              <w:t>i</w:t>
            </w:r>
            <w:proofErr w:type="spellEnd"/>
            <w:r w:rsidRPr="00527502">
              <w:rPr>
                <w:rFonts w:ascii="Arial Narrow" w:hAnsi="Arial Narrow" w:cs="Arial"/>
                <w:sz w:val="18"/>
                <w:szCs w:val="18"/>
                <w:lang w:eastAsia="en-AU"/>
              </w:rPr>
              <w:t>) erythema,</w:t>
            </w:r>
          </w:p>
          <w:p w14:paraId="4EB73099" w14:textId="77777777" w:rsidR="00C3721C" w:rsidRPr="00527502" w:rsidRDefault="00C3721C" w:rsidP="00816736">
            <w:pPr>
              <w:widowControl w:val="0"/>
              <w:ind w:left="-57"/>
              <w:textAlignment w:val="baseline"/>
              <w:rPr>
                <w:rFonts w:ascii="Arial Narrow" w:hAnsi="Arial Narrow" w:cs="Arial"/>
                <w:sz w:val="18"/>
                <w:szCs w:val="18"/>
                <w:lang w:eastAsia="en-AU"/>
              </w:rPr>
            </w:pPr>
            <w:r w:rsidRPr="00527502">
              <w:rPr>
                <w:rFonts w:ascii="Arial Narrow" w:hAnsi="Arial Narrow" w:cs="Arial"/>
                <w:sz w:val="18"/>
                <w:szCs w:val="18"/>
                <w:lang w:eastAsia="en-AU"/>
              </w:rPr>
              <w:t>(ii) oedema/papulation,</w:t>
            </w:r>
          </w:p>
          <w:p w14:paraId="64D02FC7" w14:textId="77777777" w:rsidR="00C3721C" w:rsidRPr="00527502" w:rsidRDefault="00C3721C" w:rsidP="00816736">
            <w:pPr>
              <w:widowControl w:val="0"/>
              <w:ind w:left="-57"/>
              <w:textAlignment w:val="baseline"/>
              <w:rPr>
                <w:rFonts w:ascii="Arial Narrow" w:hAnsi="Arial Narrow" w:cs="Arial"/>
                <w:sz w:val="18"/>
                <w:szCs w:val="18"/>
                <w:lang w:eastAsia="en-AU"/>
              </w:rPr>
            </w:pPr>
            <w:r w:rsidRPr="00527502">
              <w:rPr>
                <w:rFonts w:ascii="Arial Narrow" w:hAnsi="Arial Narrow" w:cs="Arial"/>
                <w:sz w:val="18"/>
                <w:szCs w:val="18"/>
                <w:lang w:eastAsia="en-AU"/>
              </w:rPr>
              <w:t>(iii) excoriation,</w:t>
            </w:r>
          </w:p>
          <w:p w14:paraId="21C5C91A" w14:textId="77777777" w:rsidR="00C3721C" w:rsidRPr="00527502" w:rsidRDefault="00C3721C" w:rsidP="00816736">
            <w:pPr>
              <w:widowControl w:val="0"/>
              <w:ind w:left="-57"/>
              <w:textAlignment w:val="baseline"/>
              <w:rPr>
                <w:rFonts w:ascii="Arial Narrow" w:hAnsi="Arial Narrow" w:cs="Arial"/>
                <w:sz w:val="18"/>
                <w:szCs w:val="18"/>
                <w:lang w:eastAsia="en-AU"/>
              </w:rPr>
            </w:pPr>
            <w:r w:rsidRPr="00527502">
              <w:rPr>
                <w:rFonts w:ascii="Arial Narrow" w:hAnsi="Arial Narrow" w:cs="Arial"/>
                <w:sz w:val="18"/>
                <w:szCs w:val="18"/>
                <w:lang w:eastAsia="en-AU"/>
              </w:rPr>
              <w:t xml:space="preserve">(iv) </w:t>
            </w:r>
            <w:proofErr w:type="spellStart"/>
            <w:r w:rsidRPr="00527502">
              <w:rPr>
                <w:rFonts w:ascii="Arial Narrow" w:hAnsi="Arial Narrow" w:cs="Arial"/>
                <w:sz w:val="18"/>
                <w:szCs w:val="18"/>
                <w:lang w:eastAsia="en-AU"/>
              </w:rPr>
              <w:t>lichenification</w:t>
            </w:r>
            <w:proofErr w:type="spellEnd"/>
          </w:p>
          <w:p w14:paraId="3BC09BD3" w14:textId="77777777" w:rsidR="00C3721C" w:rsidRPr="00527502" w:rsidRDefault="00C3721C" w:rsidP="00816736">
            <w:pPr>
              <w:widowControl w:val="0"/>
              <w:ind w:left="-57"/>
              <w:textAlignment w:val="baseline"/>
              <w:rPr>
                <w:rFonts w:ascii="Arial Narrow" w:hAnsi="Arial Narrow" w:cs="Arial"/>
                <w:sz w:val="18"/>
                <w:szCs w:val="18"/>
                <w:lang w:eastAsia="en-AU"/>
              </w:rPr>
            </w:pPr>
            <w:r w:rsidRPr="00527502">
              <w:rPr>
                <w:rFonts w:ascii="Arial Narrow" w:hAnsi="Arial Narrow" w:cs="Arial"/>
                <w:sz w:val="18"/>
                <w:szCs w:val="18"/>
                <w:lang w:eastAsia="en-AU"/>
              </w:rPr>
              <w:t>Acceptable scores can be:</w:t>
            </w:r>
          </w:p>
          <w:p w14:paraId="6726BC06" w14:textId="77777777" w:rsidR="00C3721C" w:rsidRPr="00527502" w:rsidRDefault="00C3721C" w:rsidP="00816736">
            <w:pPr>
              <w:widowControl w:val="0"/>
              <w:ind w:left="-57"/>
              <w:textAlignment w:val="baseline"/>
              <w:rPr>
                <w:rFonts w:ascii="Arial Narrow" w:hAnsi="Arial Narrow" w:cs="Arial"/>
                <w:sz w:val="18"/>
                <w:szCs w:val="18"/>
                <w:lang w:eastAsia="en-AU"/>
              </w:rPr>
            </w:pPr>
            <w:r w:rsidRPr="00527502">
              <w:rPr>
                <w:rFonts w:ascii="Arial Narrow" w:hAnsi="Arial Narrow" w:cs="Arial"/>
                <w:sz w:val="18"/>
                <w:szCs w:val="18"/>
                <w:lang w:eastAsia="en-AU"/>
              </w:rPr>
              <w:t>(a) current scores; or</w:t>
            </w:r>
          </w:p>
          <w:p w14:paraId="5408323B" w14:textId="77777777" w:rsidR="00C3721C" w:rsidRPr="00527502" w:rsidRDefault="00C3721C" w:rsidP="00816736">
            <w:pPr>
              <w:widowControl w:val="0"/>
              <w:ind w:left="-57"/>
              <w:textAlignment w:val="baseline"/>
              <w:rPr>
                <w:rFonts w:ascii="Arial Narrow" w:hAnsi="Arial Narrow" w:cs="Arial"/>
                <w:sz w:val="18"/>
                <w:szCs w:val="18"/>
                <w:lang w:eastAsia="en-AU"/>
              </w:rPr>
            </w:pPr>
            <w:r w:rsidRPr="00527502">
              <w:rPr>
                <w:rFonts w:ascii="Arial Narrow" w:hAnsi="Arial Narrow" w:cs="Arial"/>
                <w:sz w:val="18"/>
                <w:szCs w:val="18"/>
                <w:lang w:eastAsia="en-AU"/>
              </w:rPr>
              <w:t>(b) past scores, including those previously quoted in a PBS authority application for another drug listed for this indication.</w:t>
            </w:r>
          </w:p>
          <w:p w14:paraId="597BEB88" w14:textId="77777777" w:rsidR="00C3721C" w:rsidRPr="00527502" w:rsidRDefault="00C3721C" w:rsidP="00816736">
            <w:pPr>
              <w:widowControl w:val="0"/>
              <w:ind w:left="-57"/>
              <w:textAlignment w:val="baseline"/>
              <w:rPr>
                <w:rFonts w:ascii="Arial Narrow" w:hAnsi="Arial Narrow" w:cs="Arial"/>
                <w:sz w:val="18"/>
                <w:szCs w:val="18"/>
                <w:lang w:eastAsia="en-AU"/>
              </w:rPr>
            </w:pPr>
            <w:r w:rsidRPr="00527502">
              <w:rPr>
                <w:rFonts w:ascii="Arial Narrow" w:hAnsi="Arial Narrow" w:cs="Arial"/>
                <w:sz w:val="18"/>
                <w:szCs w:val="18"/>
                <w:lang w:eastAsia="en-AU"/>
              </w:rPr>
              <w:t>State the percentage face/hand surface area affected by the condition (must be at least 30%) where EASI symptom sub-scores are not provided. This percentage surface area can also be stated in addition to the EASI symptom sub-scores.</w:t>
            </w:r>
          </w:p>
          <w:p w14:paraId="0207A20B" w14:textId="77777777" w:rsidR="00C3721C" w:rsidRPr="00527502" w:rsidRDefault="00C3721C" w:rsidP="00816736">
            <w:pPr>
              <w:widowControl w:val="0"/>
              <w:ind w:left="-57"/>
              <w:textAlignment w:val="baseline"/>
              <w:rPr>
                <w:rFonts w:ascii="Arial Narrow" w:hAnsi="Arial Narrow" w:cs="Arial"/>
                <w:sz w:val="18"/>
                <w:szCs w:val="18"/>
                <w:lang w:eastAsia="en-AU"/>
              </w:rPr>
            </w:pPr>
            <w:r w:rsidRPr="00527502">
              <w:rPr>
                <w:rFonts w:ascii="Arial Narrow" w:hAnsi="Arial Narrow" w:cs="Arial"/>
                <w:sz w:val="18"/>
                <w:szCs w:val="18"/>
                <w:lang w:eastAsia="en-AU"/>
              </w:rPr>
              <w:t>The EASI/percentage surface area and DLQI baseline measurements are to form the basis of determining if an adequate response to treatment has been achieved under the Continuing treatment restriction. In addition to stating them in this authority application, document them in the patient's medical records.</w:t>
            </w:r>
          </w:p>
          <w:p w14:paraId="79E0271B"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527502">
              <w:rPr>
                <w:rFonts w:ascii="Arial Narrow" w:hAnsi="Arial Narrow" w:cs="Arial"/>
                <w:sz w:val="18"/>
                <w:szCs w:val="18"/>
                <w:lang w:eastAsia="en-AU"/>
              </w:rPr>
              <w:t>Document the details of the medium to high potency topical corticosteroids (or calcineurin inhibitors) initially trialled are in the patient's medical records.</w:t>
            </w:r>
          </w:p>
        </w:tc>
      </w:tr>
      <w:tr w:rsidR="00C3721C" w:rsidRPr="001A2DAE" w14:paraId="517A3008" w14:textId="77777777" w:rsidTr="00816736">
        <w:tc>
          <w:tcPr>
            <w:tcW w:w="1271" w:type="dxa"/>
          </w:tcPr>
          <w:p w14:paraId="3DC222EC"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5BC28BCD"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183E854D" w14:textId="77777777" w:rsidTr="00816736">
        <w:tc>
          <w:tcPr>
            <w:tcW w:w="9351" w:type="dxa"/>
            <w:gridSpan w:val="2"/>
          </w:tcPr>
          <w:p w14:paraId="579186B6"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p>
          <w:p w14:paraId="04E9CBDD"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p>
        </w:tc>
      </w:tr>
      <w:tr w:rsidR="00C3721C" w:rsidRPr="001A2DAE" w14:paraId="783BE3B4" w14:textId="77777777" w:rsidTr="00816736">
        <w:tc>
          <w:tcPr>
            <w:tcW w:w="9351" w:type="dxa"/>
            <w:gridSpan w:val="2"/>
          </w:tcPr>
          <w:p w14:paraId="318C8E4D"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r w:rsidRPr="001A2DAE">
              <w:rPr>
                <w:rFonts w:ascii="Arial Narrow" w:hAnsi="Arial Narrow" w:cs="Arial"/>
                <w:b/>
                <w:bCs/>
                <w:sz w:val="18"/>
                <w:szCs w:val="18"/>
                <w:bdr w:val="none" w:sz="0" w:space="0" w:color="auto" w:frame="1"/>
                <w:lang w:eastAsia="en-AU"/>
              </w:rPr>
              <w:t xml:space="preserve">Restriction Summary 11377 / </w:t>
            </w:r>
            <w:proofErr w:type="spellStart"/>
            <w:r w:rsidRPr="001A2DAE">
              <w:rPr>
                <w:rFonts w:ascii="Arial Narrow" w:hAnsi="Arial Narrow" w:cs="Arial"/>
                <w:b/>
                <w:bCs/>
                <w:sz w:val="18"/>
                <w:szCs w:val="18"/>
                <w:bdr w:val="none" w:sz="0" w:space="0" w:color="auto" w:frame="1"/>
                <w:lang w:eastAsia="en-AU"/>
              </w:rPr>
              <w:t>ToC</w:t>
            </w:r>
            <w:proofErr w:type="spellEnd"/>
            <w:r w:rsidRPr="001A2DAE">
              <w:rPr>
                <w:rFonts w:ascii="Arial Narrow" w:hAnsi="Arial Narrow" w:cs="Arial"/>
                <w:b/>
                <w:bCs/>
                <w:sz w:val="18"/>
                <w:szCs w:val="18"/>
                <w:bdr w:val="none" w:sz="0" w:space="0" w:color="auto" w:frame="1"/>
                <w:lang w:eastAsia="en-AU"/>
              </w:rPr>
              <w:t>: 11377</w:t>
            </w:r>
          </w:p>
        </w:tc>
      </w:tr>
      <w:tr w:rsidR="00C3721C" w:rsidRPr="001A2DAE" w14:paraId="640610B7" w14:textId="77777777" w:rsidTr="000E35FA">
        <w:tc>
          <w:tcPr>
            <w:tcW w:w="1271" w:type="dxa"/>
          </w:tcPr>
          <w:p w14:paraId="2C9B7863" w14:textId="29BC8E83"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63663B84"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 xml:space="preserve">Indication: </w:t>
            </w:r>
            <w:r w:rsidRPr="001A2DAE">
              <w:rPr>
                <w:rFonts w:ascii="Arial Narrow" w:hAnsi="Arial Narrow" w:cs="Arial"/>
                <w:sz w:val="18"/>
                <w:szCs w:val="18"/>
                <w:lang w:eastAsia="en-AU"/>
              </w:rPr>
              <w:t>Chronic severe atopic dermatitis</w:t>
            </w:r>
          </w:p>
        </w:tc>
      </w:tr>
      <w:tr w:rsidR="00C3721C" w:rsidRPr="001A2DAE" w14:paraId="5F6ED75C" w14:textId="77777777" w:rsidTr="00816736">
        <w:tc>
          <w:tcPr>
            <w:tcW w:w="1271" w:type="dxa"/>
          </w:tcPr>
          <w:p w14:paraId="57BC2D8C"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692C315E"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6071DBEA" w14:textId="77777777" w:rsidTr="000E35FA">
        <w:tc>
          <w:tcPr>
            <w:tcW w:w="1271" w:type="dxa"/>
          </w:tcPr>
          <w:p w14:paraId="3A48DA0F"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17E25209"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 xml:space="preserve">Treatment Phase: </w:t>
            </w:r>
            <w:r w:rsidRPr="001A2DAE">
              <w:rPr>
                <w:rFonts w:ascii="Arial Narrow" w:hAnsi="Arial Narrow" w:cs="Arial"/>
                <w:sz w:val="18"/>
                <w:szCs w:val="18"/>
                <w:lang w:eastAsia="en-AU"/>
              </w:rPr>
              <w:t>Continuing or resuming treatment of the face and/or hands</w:t>
            </w:r>
          </w:p>
        </w:tc>
      </w:tr>
      <w:tr w:rsidR="00C3721C" w:rsidRPr="001A2DAE" w14:paraId="7F2A4351" w14:textId="77777777" w:rsidTr="00816736">
        <w:trPr>
          <w:trHeight w:val="103"/>
        </w:trPr>
        <w:tc>
          <w:tcPr>
            <w:tcW w:w="1271" w:type="dxa"/>
          </w:tcPr>
          <w:p w14:paraId="0B0E8623"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473CB64B" w14:textId="77777777" w:rsidR="00C3721C" w:rsidRPr="001A2DAE" w:rsidRDefault="00C3721C" w:rsidP="00816736">
            <w:pPr>
              <w:widowControl w:val="0"/>
              <w:ind w:left="-57"/>
              <w:textAlignment w:val="baseline"/>
              <w:rPr>
                <w:rFonts w:ascii="Arial Narrow" w:hAnsi="Arial Narrow" w:cs="Arial"/>
                <w:sz w:val="18"/>
                <w:szCs w:val="18"/>
                <w:lang w:eastAsia="en-AU"/>
              </w:rPr>
            </w:pPr>
          </w:p>
        </w:tc>
      </w:tr>
      <w:tr w:rsidR="00C3721C" w:rsidRPr="001A2DAE" w14:paraId="073EFB8F" w14:textId="77777777" w:rsidTr="000E35FA">
        <w:tc>
          <w:tcPr>
            <w:tcW w:w="1271" w:type="dxa"/>
          </w:tcPr>
          <w:p w14:paraId="13658618" w14:textId="41B4025E"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8D61060"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57E8B4BD" w14:textId="77777777" w:rsidTr="000E35FA">
        <w:tc>
          <w:tcPr>
            <w:tcW w:w="1271" w:type="dxa"/>
          </w:tcPr>
          <w:p w14:paraId="164557C5" w14:textId="31CBB4A1"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7D44EA98"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have received PBS-subsidised treatment with this biological medicine for the treatment of chronic severe atopic dermatitis affecting the face/hands</w:t>
            </w:r>
          </w:p>
        </w:tc>
      </w:tr>
      <w:tr w:rsidR="00C3721C" w:rsidRPr="001A2DAE" w14:paraId="5F197CA3" w14:textId="77777777" w:rsidTr="000E35FA">
        <w:tc>
          <w:tcPr>
            <w:tcW w:w="1271" w:type="dxa"/>
          </w:tcPr>
          <w:p w14:paraId="156AA9AE"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37FC24B8"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30598C25" w14:textId="77777777" w:rsidTr="000E35FA">
        <w:tc>
          <w:tcPr>
            <w:tcW w:w="1271" w:type="dxa"/>
          </w:tcPr>
          <w:p w14:paraId="6FCF523A" w14:textId="6EDD4E3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7F92732D"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77FBFB3C" w14:textId="77777777" w:rsidTr="000E35FA">
        <w:tc>
          <w:tcPr>
            <w:tcW w:w="1271" w:type="dxa"/>
          </w:tcPr>
          <w:p w14:paraId="76623896" w14:textId="3B0E89FE"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121C7D5"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have achieved an adequate response within the first 16 weeks of treatment; or</w:t>
            </w:r>
          </w:p>
        </w:tc>
      </w:tr>
      <w:tr w:rsidR="00C3721C" w:rsidRPr="001A2DAE" w14:paraId="7D7B53A8" w14:textId="77777777" w:rsidTr="000E35FA">
        <w:tc>
          <w:tcPr>
            <w:tcW w:w="1271" w:type="dxa"/>
          </w:tcPr>
          <w:p w14:paraId="18E22A3B" w14:textId="37D0B269"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77ACF9C"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have maintained an adequate response to their most recent course of PBS-subsidised treatment with this biological medicine for this PBS indication if this is the second or subsequent Continuing treatment authority application; or</w:t>
            </w:r>
          </w:p>
        </w:tc>
      </w:tr>
      <w:tr w:rsidR="00C3721C" w:rsidRPr="001A2DAE" w14:paraId="2C488127" w14:textId="77777777" w:rsidTr="000E35FA">
        <w:tc>
          <w:tcPr>
            <w:tcW w:w="1271" w:type="dxa"/>
          </w:tcPr>
          <w:p w14:paraId="7F4558E0" w14:textId="5C593784"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226F8B87"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have temporarily ceased treatment for reasons other than lack of response (</w:t>
            </w:r>
            <w:proofErr w:type="gramStart"/>
            <w:r w:rsidRPr="001A2DAE">
              <w:rPr>
                <w:rFonts w:ascii="Arial Narrow" w:hAnsi="Arial Narrow" w:cs="Arial"/>
                <w:sz w:val="18"/>
                <w:szCs w:val="18"/>
                <w:lang w:eastAsia="en-AU"/>
              </w:rPr>
              <w:t>e.g.</w:t>
            </w:r>
            <w:proofErr w:type="gramEnd"/>
            <w:r w:rsidRPr="001A2DAE">
              <w:rPr>
                <w:rFonts w:ascii="Arial Narrow" w:hAnsi="Arial Narrow" w:cs="Arial"/>
                <w:sz w:val="18"/>
                <w:szCs w:val="18"/>
                <w:lang w:eastAsia="en-AU"/>
              </w:rPr>
              <w:t xml:space="preserve"> family planning, vaccination with live vaccines, adverse-effect investigation), thereby being unable to achieve/maintain an adequate response immediately prior to this authority application</w:t>
            </w:r>
          </w:p>
        </w:tc>
      </w:tr>
      <w:tr w:rsidR="00C3721C" w:rsidRPr="001A2DAE" w14:paraId="29E05C66" w14:textId="77777777" w:rsidTr="000E35FA">
        <w:tc>
          <w:tcPr>
            <w:tcW w:w="1271" w:type="dxa"/>
          </w:tcPr>
          <w:p w14:paraId="748F771A"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3ED91AA7"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3483C2E8" w14:textId="77777777" w:rsidTr="000E35FA">
        <w:tc>
          <w:tcPr>
            <w:tcW w:w="1271" w:type="dxa"/>
          </w:tcPr>
          <w:p w14:paraId="1F4585D4" w14:textId="65B3A6D5"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92BE883"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7201CB54" w14:textId="77777777" w:rsidTr="000E35FA">
        <w:tc>
          <w:tcPr>
            <w:tcW w:w="1271" w:type="dxa"/>
          </w:tcPr>
          <w:p w14:paraId="3DD9058A" w14:textId="3814181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9B64F02"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The treatment must be the sole PBS-subsidised biological medicine for this PBS indication</w:t>
            </w:r>
          </w:p>
        </w:tc>
      </w:tr>
      <w:tr w:rsidR="00C3721C" w:rsidRPr="001A2DAE" w14:paraId="2E0F3CE8" w14:textId="77777777" w:rsidTr="000E35FA">
        <w:tc>
          <w:tcPr>
            <w:tcW w:w="1271" w:type="dxa"/>
          </w:tcPr>
          <w:p w14:paraId="49E239EB"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06D4D580"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09B57A10" w14:textId="77777777" w:rsidTr="000E35FA">
        <w:tc>
          <w:tcPr>
            <w:tcW w:w="1271" w:type="dxa"/>
          </w:tcPr>
          <w:p w14:paraId="19A06CF8" w14:textId="75ECF49B"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A813405"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Treatment criteria:</w:t>
            </w:r>
          </w:p>
        </w:tc>
      </w:tr>
      <w:tr w:rsidR="00C3721C" w:rsidRPr="001A2DAE" w14:paraId="240CE627" w14:textId="77777777" w:rsidTr="000E35FA">
        <w:tc>
          <w:tcPr>
            <w:tcW w:w="1271" w:type="dxa"/>
          </w:tcPr>
          <w:p w14:paraId="12186DEA" w14:textId="1E70DEBD"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E3D6307"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Must be treated by a dermatologist; or</w:t>
            </w:r>
          </w:p>
        </w:tc>
      </w:tr>
      <w:tr w:rsidR="00C3721C" w:rsidRPr="001A2DAE" w14:paraId="2908C63D" w14:textId="77777777" w:rsidTr="000E35FA">
        <w:tc>
          <w:tcPr>
            <w:tcW w:w="1271" w:type="dxa"/>
          </w:tcPr>
          <w:p w14:paraId="1DE61B25" w14:textId="6B1DB905"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1FAC1E07"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Must be treated by a clinical immunologist</w:t>
            </w:r>
          </w:p>
        </w:tc>
      </w:tr>
      <w:tr w:rsidR="00C3721C" w:rsidRPr="001A2DAE" w14:paraId="015A18E4" w14:textId="77777777" w:rsidTr="00816736">
        <w:tc>
          <w:tcPr>
            <w:tcW w:w="1271" w:type="dxa"/>
          </w:tcPr>
          <w:p w14:paraId="50A9E7E1"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213174C9" w14:textId="77777777" w:rsidR="00C3721C" w:rsidRPr="001A2DAE" w:rsidRDefault="00C3721C" w:rsidP="00816736">
            <w:pPr>
              <w:widowControl w:val="0"/>
              <w:ind w:left="-57"/>
              <w:rPr>
                <w:rFonts w:ascii="Arial Narrow" w:hAnsi="Arial Narrow" w:cs="Arial"/>
                <w:b/>
                <w:bCs/>
                <w:sz w:val="18"/>
                <w:szCs w:val="18"/>
                <w:lang w:eastAsia="en-AU"/>
              </w:rPr>
            </w:pPr>
            <w:r w:rsidRPr="001A2DAE">
              <w:rPr>
                <w:rFonts w:ascii="Arial Narrow" w:hAnsi="Arial Narrow" w:cs="Arial"/>
                <w:b/>
                <w:bCs/>
                <w:sz w:val="18"/>
                <w:szCs w:val="18"/>
                <w:lang w:eastAsia="en-AU"/>
              </w:rPr>
              <w:t>AND</w:t>
            </w:r>
          </w:p>
        </w:tc>
      </w:tr>
      <w:tr w:rsidR="00C3721C" w:rsidRPr="001A2DAE" w14:paraId="2E031CB1" w14:textId="77777777" w:rsidTr="00816736">
        <w:tc>
          <w:tcPr>
            <w:tcW w:w="1271" w:type="dxa"/>
          </w:tcPr>
          <w:p w14:paraId="78799C72" w14:textId="6E4FF624"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6C73B567"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Population criteria:</w:t>
            </w:r>
          </w:p>
        </w:tc>
      </w:tr>
      <w:tr w:rsidR="00C3721C" w:rsidRPr="001A2DAE" w14:paraId="42417AA9" w14:textId="77777777" w:rsidTr="00816736">
        <w:tc>
          <w:tcPr>
            <w:tcW w:w="1271" w:type="dxa"/>
          </w:tcPr>
          <w:p w14:paraId="487077E9" w14:textId="0CA2B0B4"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1DB4F5AC"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be 12 years of age or older; or</w:t>
            </w:r>
          </w:p>
        </w:tc>
      </w:tr>
      <w:tr w:rsidR="00C3721C" w:rsidRPr="001A2DAE" w14:paraId="1D159199" w14:textId="77777777" w:rsidTr="00816736">
        <w:tc>
          <w:tcPr>
            <w:tcW w:w="1271" w:type="dxa"/>
          </w:tcPr>
          <w:p w14:paraId="650B818E" w14:textId="586192FA"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05760E77" w14:textId="77777777" w:rsidR="00C3721C" w:rsidRPr="001A2DAE" w:rsidDel="00527502" w:rsidRDefault="00C3721C" w:rsidP="00816736">
            <w:pPr>
              <w:widowControl w:val="0"/>
              <w:ind w:left="-57"/>
              <w:rPr>
                <w:rFonts w:ascii="Arial Narrow" w:hAnsi="Arial Narrow" w:cs="Arial"/>
                <w:sz w:val="18"/>
                <w:szCs w:val="18"/>
                <w:lang w:eastAsia="en-AU"/>
              </w:rPr>
            </w:pPr>
            <w:r w:rsidRPr="001A2DAE">
              <w:rPr>
                <w:rFonts w:ascii="Arial Narrow" w:hAnsi="Arial Narrow" w:cs="Arial"/>
                <w:i/>
                <w:iCs/>
                <w:sz w:val="18"/>
                <w:szCs w:val="18"/>
                <w:lang w:eastAsia="en-AU"/>
              </w:rPr>
              <w:t>Patient must be less than 12 years of age</w:t>
            </w:r>
          </w:p>
        </w:tc>
      </w:tr>
      <w:tr w:rsidR="00C3721C" w:rsidRPr="001A2DAE" w14:paraId="559AE9A6" w14:textId="77777777" w:rsidTr="00816736">
        <w:tc>
          <w:tcPr>
            <w:tcW w:w="1271" w:type="dxa"/>
          </w:tcPr>
          <w:p w14:paraId="5F7F4E0E"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31E2671F" w14:textId="77777777" w:rsidR="00C3721C" w:rsidRPr="001A2DAE" w:rsidDel="00527502" w:rsidRDefault="00C3721C" w:rsidP="00816736">
            <w:pPr>
              <w:widowControl w:val="0"/>
              <w:ind w:left="-57"/>
              <w:rPr>
                <w:rFonts w:ascii="Arial Narrow" w:hAnsi="Arial Narrow" w:cs="Arial"/>
                <w:sz w:val="18"/>
                <w:szCs w:val="18"/>
                <w:lang w:eastAsia="en-AU"/>
              </w:rPr>
            </w:pPr>
          </w:p>
        </w:tc>
      </w:tr>
      <w:tr w:rsidR="00C3721C" w:rsidRPr="001A2DAE" w14:paraId="0B8B754B" w14:textId="77777777" w:rsidTr="000E35FA">
        <w:tc>
          <w:tcPr>
            <w:tcW w:w="1271" w:type="dxa"/>
          </w:tcPr>
          <w:p w14:paraId="66F84123" w14:textId="32505364"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5CE7C00B"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Prescribing Instructions:</w:t>
            </w:r>
          </w:p>
          <w:p w14:paraId="41BF4827"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For the purposes of this restriction, an adequate response to treatment of the face/hands is defined as:</w:t>
            </w:r>
          </w:p>
          <w:p w14:paraId="623FD80F"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(a) (</w:t>
            </w:r>
            <w:proofErr w:type="spellStart"/>
            <w:r w:rsidRPr="001A2DAE">
              <w:rPr>
                <w:rFonts w:ascii="Arial Narrow" w:hAnsi="Arial Narrow" w:cs="Arial"/>
                <w:sz w:val="18"/>
                <w:szCs w:val="18"/>
                <w:lang w:eastAsia="en-AU"/>
              </w:rPr>
              <w:t>i</w:t>
            </w:r>
            <w:proofErr w:type="spellEnd"/>
            <w:r w:rsidRPr="001A2DAE">
              <w:rPr>
                <w:rFonts w:ascii="Arial Narrow" w:hAnsi="Arial Narrow" w:cs="Arial"/>
                <w:sz w:val="18"/>
                <w:szCs w:val="18"/>
                <w:lang w:eastAsia="en-AU"/>
              </w:rPr>
              <w:t xml:space="preserve">) A rating of either mild (1) to none (0) on at least 3 of the assessments of erythema, oedema/papulation, excoriation and </w:t>
            </w:r>
            <w:proofErr w:type="spellStart"/>
            <w:r w:rsidRPr="001A2DAE">
              <w:rPr>
                <w:rFonts w:ascii="Arial Narrow" w:hAnsi="Arial Narrow" w:cs="Arial"/>
                <w:sz w:val="18"/>
                <w:szCs w:val="18"/>
                <w:lang w:eastAsia="en-AU"/>
              </w:rPr>
              <w:t>lichenification</w:t>
            </w:r>
            <w:proofErr w:type="spellEnd"/>
            <w:r w:rsidRPr="001A2DAE">
              <w:rPr>
                <w:rFonts w:ascii="Arial Narrow" w:hAnsi="Arial Narrow" w:cs="Arial"/>
                <w:sz w:val="18"/>
                <w:szCs w:val="18"/>
                <w:lang w:eastAsia="en-AU"/>
              </w:rPr>
              <w:t xml:space="preserve"> mentioned in the Eczema Area and Severity Index (EASI); or</w:t>
            </w:r>
          </w:p>
          <w:p w14:paraId="465093C3"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 xml:space="preserve">(ii) At least a 75% reduction in the skin area affected by this condition compared to </w:t>
            </w:r>
            <w:proofErr w:type="gramStart"/>
            <w:r w:rsidRPr="001A2DAE">
              <w:rPr>
                <w:rFonts w:ascii="Arial Narrow" w:hAnsi="Arial Narrow" w:cs="Arial"/>
                <w:sz w:val="18"/>
                <w:szCs w:val="18"/>
                <w:lang w:eastAsia="en-AU"/>
              </w:rPr>
              <w:t>baseline;</w:t>
            </w:r>
            <w:proofErr w:type="gramEnd"/>
            <w:r w:rsidRPr="001A2DAE">
              <w:rPr>
                <w:rFonts w:ascii="Arial Narrow" w:hAnsi="Arial Narrow" w:cs="Arial"/>
                <w:sz w:val="18"/>
                <w:szCs w:val="18"/>
                <w:lang w:eastAsia="en-AU"/>
              </w:rPr>
              <w:t xml:space="preserve"> and</w:t>
            </w:r>
          </w:p>
          <w:p w14:paraId="1C41714A"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(b) An improvement in Dermatology Life Quality Index (DLQI) score of at least 4 points compared to baseline</w:t>
            </w:r>
          </w:p>
          <w:p w14:paraId="15A3E85F"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Where an initial baseline (post-topical corticosteroid, pre-biological medicine) DLQI score was not measured for a patient who had commenced treatment through a clinical trial, early access program or through private, non-PBS-subsidised supply, an absence of worsening in the current DLQI score compared to that measured at the time of the 'Grandfather listing' authority application will suffice as an adequate response for requirement (b) above.</w:t>
            </w:r>
          </w:p>
          <w:p w14:paraId="4C1638BD"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Document each qualifying response measure in the patient's medical records for PBS compliance auditing purposes</w:t>
            </w:r>
          </w:p>
        </w:tc>
      </w:tr>
      <w:tr w:rsidR="00C3721C" w:rsidRPr="001A2DAE" w14:paraId="276738F1" w14:textId="77777777" w:rsidTr="00816736">
        <w:tc>
          <w:tcPr>
            <w:tcW w:w="1271" w:type="dxa"/>
          </w:tcPr>
          <w:p w14:paraId="001F6E6E"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50DC1D92"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19F60467" w14:textId="77777777" w:rsidTr="00816736">
        <w:tc>
          <w:tcPr>
            <w:tcW w:w="9351" w:type="dxa"/>
            <w:gridSpan w:val="2"/>
          </w:tcPr>
          <w:p w14:paraId="3E0041AE"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p>
          <w:p w14:paraId="2AE478AB"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p>
        </w:tc>
      </w:tr>
      <w:tr w:rsidR="00C3721C" w:rsidRPr="001A2DAE" w14:paraId="200C66D1" w14:textId="77777777" w:rsidTr="00816736">
        <w:tc>
          <w:tcPr>
            <w:tcW w:w="9351" w:type="dxa"/>
            <w:gridSpan w:val="2"/>
          </w:tcPr>
          <w:p w14:paraId="0E139373"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r w:rsidRPr="001A2DAE">
              <w:rPr>
                <w:rFonts w:ascii="Arial Narrow" w:hAnsi="Arial Narrow" w:cs="Arial"/>
                <w:b/>
                <w:bCs/>
                <w:sz w:val="18"/>
                <w:szCs w:val="18"/>
                <w:bdr w:val="none" w:sz="0" w:space="0" w:color="auto" w:frame="1"/>
                <w:lang w:eastAsia="en-AU"/>
              </w:rPr>
              <w:t xml:space="preserve">Restriction Summary 11504 / </w:t>
            </w:r>
            <w:proofErr w:type="spellStart"/>
            <w:r w:rsidRPr="001A2DAE">
              <w:rPr>
                <w:rFonts w:ascii="Arial Narrow" w:hAnsi="Arial Narrow" w:cs="Arial"/>
                <w:b/>
                <w:bCs/>
                <w:sz w:val="18"/>
                <w:szCs w:val="18"/>
                <w:bdr w:val="none" w:sz="0" w:space="0" w:color="auto" w:frame="1"/>
                <w:lang w:eastAsia="en-AU"/>
              </w:rPr>
              <w:t>ToC</w:t>
            </w:r>
            <w:proofErr w:type="spellEnd"/>
            <w:r w:rsidRPr="001A2DAE">
              <w:rPr>
                <w:rFonts w:ascii="Arial Narrow" w:hAnsi="Arial Narrow" w:cs="Arial"/>
                <w:b/>
                <w:bCs/>
                <w:sz w:val="18"/>
                <w:szCs w:val="18"/>
                <w:bdr w:val="none" w:sz="0" w:space="0" w:color="auto" w:frame="1"/>
                <w:lang w:eastAsia="en-AU"/>
              </w:rPr>
              <w:t>: 11425</w:t>
            </w:r>
          </w:p>
        </w:tc>
      </w:tr>
      <w:tr w:rsidR="00C3721C" w:rsidRPr="001A2DAE" w14:paraId="1641EFAF" w14:textId="77777777" w:rsidTr="000E35FA">
        <w:tc>
          <w:tcPr>
            <w:tcW w:w="1271" w:type="dxa"/>
          </w:tcPr>
          <w:p w14:paraId="16D110B5" w14:textId="4E9C039C"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6D7AACBE"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 xml:space="preserve">Indication: </w:t>
            </w:r>
            <w:r w:rsidRPr="001A2DAE">
              <w:rPr>
                <w:rFonts w:ascii="Arial Narrow" w:hAnsi="Arial Narrow" w:cs="Arial"/>
                <w:sz w:val="18"/>
                <w:szCs w:val="18"/>
                <w:lang w:eastAsia="en-AU"/>
              </w:rPr>
              <w:t>Chronic severe atopic dermatitis</w:t>
            </w:r>
          </w:p>
        </w:tc>
      </w:tr>
      <w:tr w:rsidR="00C3721C" w:rsidRPr="001A2DAE" w14:paraId="1E11909F" w14:textId="77777777" w:rsidTr="00816736">
        <w:tc>
          <w:tcPr>
            <w:tcW w:w="1271" w:type="dxa"/>
          </w:tcPr>
          <w:p w14:paraId="7A94CD62"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39982D60"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430BD263" w14:textId="77777777" w:rsidTr="000E35FA">
        <w:tc>
          <w:tcPr>
            <w:tcW w:w="1271" w:type="dxa"/>
          </w:tcPr>
          <w:p w14:paraId="22E5E7F3"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690013FD"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 xml:space="preserve">Treatment Phase: </w:t>
            </w:r>
            <w:r w:rsidRPr="001A2DAE">
              <w:rPr>
                <w:rFonts w:ascii="Arial Narrow" w:hAnsi="Arial Narrow" w:cs="Arial"/>
                <w:sz w:val="18"/>
                <w:szCs w:val="18"/>
                <w:lang w:eastAsia="en-AU"/>
              </w:rPr>
              <w:t>Transitioning from non-PBS to PBS-subsidised supply - treatment of the whole body (Grandfather listing)</w:t>
            </w:r>
          </w:p>
        </w:tc>
      </w:tr>
      <w:tr w:rsidR="00C3721C" w:rsidRPr="001A2DAE" w14:paraId="4FBF4C9D" w14:textId="77777777" w:rsidTr="00816736">
        <w:tc>
          <w:tcPr>
            <w:tcW w:w="1271" w:type="dxa"/>
          </w:tcPr>
          <w:p w14:paraId="3792F502"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tcPr>
          <w:p w14:paraId="1BCE2DCA"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3E53C6C7" w14:textId="77777777" w:rsidTr="000E35FA">
        <w:tc>
          <w:tcPr>
            <w:tcW w:w="1271" w:type="dxa"/>
          </w:tcPr>
          <w:p w14:paraId="78EAFFA5" w14:textId="5243612C"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6A5E4A42"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1AF08C20" w14:textId="77777777" w:rsidTr="00816736">
        <w:tc>
          <w:tcPr>
            <w:tcW w:w="1271" w:type="dxa"/>
          </w:tcPr>
          <w:p w14:paraId="2EFDA359" w14:textId="7DF3A53B"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53706C1E" w14:textId="77777777" w:rsidR="00C3721C" w:rsidRPr="001A2DAE" w:rsidRDefault="00C3721C" w:rsidP="00816736">
            <w:pPr>
              <w:widowControl w:val="0"/>
              <w:ind w:left="-57"/>
              <w:textAlignment w:val="baseline"/>
              <w:rPr>
                <w:rFonts w:ascii="Arial Narrow" w:hAnsi="Arial Narrow" w:cs="Arial"/>
                <w:strike/>
                <w:sz w:val="18"/>
                <w:szCs w:val="18"/>
                <w:bdr w:val="none" w:sz="0" w:space="0" w:color="auto" w:frame="1"/>
                <w:lang w:eastAsia="en-AU"/>
              </w:rPr>
            </w:pPr>
            <w:r w:rsidRPr="001A2DAE">
              <w:rPr>
                <w:rFonts w:ascii="Arial Narrow" w:hAnsi="Arial Narrow" w:cs="Arial"/>
                <w:strike/>
                <w:sz w:val="18"/>
                <w:szCs w:val="18"/>
                <w:bdr w:val="none" w:sz="0" w:space="0" w:color="auto" w:frame="1"/>
                <w:lang w:eastAsia="en-AU"/>
              </w:rPr>
              <w:t>Patient must have been receiving treatment with this biological medicine for this PBS indication prior to 1 March 2021</w:t>
            </w:r>
          </w:p>
        </w:tc>
      </w:tr>
      <w:tr w:rsidR="00C3721C" w:rsidRPr="001A2DAE" w14:paraId="1E750891" w14:textId="77777777" w:rsidTr="00816736">
        <w:tc>
          <w:tcPr>
            <w:tcW w:w="1271" w:type="dxa"/>
          </w:tcPr>
          <w:p w14:paraId="3AEA4CD8" w14:textId="0D72A5B1"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4992C3F9" w14:textId="77777777" w:rsidR="00C3721C" w:rsidRPr="001A2DAE" w:rsidRDefault="00C3721C" w:rsidP="00816736">
            <w:pPr>
              <w:widowControl w:val="0"/>
              <w:ind w:left="-57"/>
              <w:rPr>
                <w:rFonts w:ascii="Arial Narrow" w:hAnsi="Arial Narrow" w:cs="Arial"/>
                <w:i/>
                <w:iCs/>
                <w:sz w:val="18"/>
                <w:szCs w:val="18"/>
                <w:lang w:eastAsia="en-AU"/>
              </w:rPr>
            </w:pPr>
            <w:r w:rsidRPr="001A2DAE">
              <w:rPr>
                <w:rFonts w:ascii="Arial Narrow" w:hAnsi="Arial Narrow" w:cs="Arial"/>
                <w:i/>
                <w:iCs/>
                <w:sz w:val="18"/>
                <w:szCs w:val="18"/>
                <w:lang w:eastAsia="en-AU"/>
              </w:rPr>
              <w:t xml:space="preserve">Patient must be continuing treatment with this biological medicine that has been initiated </w:t>
            </w:r>
            <w:r>
              <w:rPr>
                <w:rFonts w:ascii="Arial Narrow" w:hAnsi="Arial Narrow" w:cs="Arial"/>
                <w:i/>
                <w:iCs/>
                <w:sz w:val="18"/>
                <w:szCs w:val="18"/>
                <w:lang w:eastAsia="en-AU"/>
              </w:rPr>
              <w:t xml:space="preserve">as non-PBS supply </w:t>
            </w:r>
            <w:r w:rsidRPr="001A2DAE">
              <w:rPr>
                <w:rFonts w:ascii="Arial Narrow" w:hAnsi="Arial Narrow" w:cs="Arial"/>
                <w:i/>
                <w:iCs/>
                <w:sz w:val="18"/>
                <w:szCs w:val="18"/>
                <w:lang w:eastAsia="en-AU"/>
              </w:rPr>
              <w:t>for this PBS indication in a patient aged less than 12 years, prior to [insert listing date here 1 Month 202X]</w:t>
            </w:r>
          </w:p>
        </w:tc>
      </w:tr>
      <w:tr w:rsidR="00C3721C" w:rsidRPr="001A2DAE" w14:paraId="390805C1" w14:textId="77777777" w:rsidTr="000E35FA">
        <w:tc>
          <w:tcPr>
            <w:tcW w:w="1271" w:type="dxa"/>
          </w:tcPr>
          <w:p w14:paraId="0AD665BD"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5E09CCF0"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15A6B7A7" w14:textId="77777777" w:rsidTr="000E35FA">
        <w:tc>
          <w:tcPr>
            <w:tcW w:w="1271" w:type="dxa"/>
          </w:tcPr>
          <w:p w14:paraId="03D18C8B" w14:textId="024B2383"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1909524B"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5E70B09A" w14:textId="77777777" w:rsidTr="000E35FA">
        <w:tc>
          <w:tcPr>
            <w:tcW w:w="1271" w:type="dxa"/>
          </w:tcPr>
          <w:p w14:paraId="3157C79D" w14:textId="179E1283"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F9190E7"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have had a Physicians Global Assessment (PGA) baseline score of at least 4 as evidence of severe disease despite treatment with daily topical therapy (corticosteroid of medium to high potency/calcineurin inhibitor), for at least 28 days prior to commencing non-PBS-subsidised therapy with this biological medicine</w:t>
            </w:r>
          </w:p>
        </w:tc>
      </w:tr>
      <w:tr w:rsidR="00C3721C" w:rsidRPr="001A2DAE" w14:paraId="0C39E3BD" w14:textId="77777777" w:rsidTr="000E35FA">
        <w:tc>
          <w:tcPr>
            <w:tcW w:w="1271" w:type="dxa"/>
          </w:tcPr>
          <w:p w14:paraId="2433F71D"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789BCDFA"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4528A45B" w14:textId="77777777" w:rsidTr="000E35FA">
        <w:tc>
          <w:tcPr>
            <w:tcW w:w="1271" w:type="dxa"/>
          </w:tcPr>
          <w:p w14:paraId="23E27D23" w14:textId="2638EEBB"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2E77963"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19CCB0AB" w14:textId="77777777" w:rsidTr="000E35FA">
        <w:tc>
          <w:tcPr>
            <w:tcW w:w="1271" w:type="dxa"/>
          </w:tcPr>
          <w:p w14:paraId="0A758D47" w14:textId="712B3CD2"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5AB98268"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have had an Eczema Area and Severity Index (EASI) baseline score of at least 20 despite treatment with daily topical therapy (corticosteroid of medium to high potency/calcineurin inhibitor), for at least 28 days prior to commencing non-PBS-subsidised therapy with this biological medicine</w:t>
            </w:r>
          </w:p>
        </w:tc>
      </w:tr>
      <w:tr w:rsidR="00C3721C" w:rsidRPr="001A2DAE" w14:paraId="33C336C4" w14:textId="77777777" w:rsidTr="000E35FA">
        <w:tc>
          <w:tcPr>
            <w:tcW w:w="1271" w:type="dxa"/>
          </w:tcPr>
          <w:p w14:paraId="5CA23E47"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573BFF6F"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7FDA574A" w14:textId="77777777" w:rsidTr="000E35FA">
        <w:tc>
          <w:tcPr>
            <w:tcW w:w="1271" w:type="dxa"/>
          </w:tcPr>
          <w:p w14:paraId="6318D731" w14:textId="22C929AB"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B045269"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57692C48" w14:textId="77777777" w:rsidTr="000E35FA">
        <w:tc>
          <w:tcPr>
            <w:tcW w:w="1271" w:type="dxa"/>
          </w:tcPr>
          <w:p w14:paraId="0242FA92" w14:textId="1A5055D2"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5E9363D1"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 xml:space="preserve">Patient must have an </w:t>
            </w:r>
            <w:proofErr w:type="gramStart"/>
            <w:r w:rsidRPr="001A2DAE">
              <w:rPr>
                <w:rFonts w:ascii="Arial Narrow" w:hAnsi="Arial Narrow" w:cs="Arial"/>
                <w:sz w:val="18"/>
                <w:szCs w:val="18"/>
                <w:lang w:eastAsia="en-AU"/>
              </w:rPr>
              <w:t>age appropriate</w:t>
            </w:r>
            <w:proofErr w:type="gramEnd"/>
            <w:r w:rsidRPr="001A2DAE">
              <w:rPr>
                <w:rFonts w:ascii="Arial Narrow" w:hAnsi="Arial Narrow" w:cs="Arial"/>
                <w:sz w:val="18"/>
                <w:szCs w:val="18"/>
                <w:lang w:eastAsia="en-AU"/>
              </w:rPr>
              <w:t xml:space="preserve"> Dermatology Life Quality Index (DLQI) baseline score (of any value) measured following treatment with daily topical therapy (corticosteroid of medium to high potency/calcineurin inhibitor), for at least 28 days, prior to having commenced non-PBS-subsidised therapy with this biological medicine; or</w:t>
            </w:r>
          </w:p>
        </w:tc>
      </w:tr>
      <w:tr w:rsidR="00C3721C" w:rsidRPr="001A2DAE" w14:paraId="673CCFB0" w14:textId="77777777" w:rsidTr="000E35FA">
        <w:tc>
          <w:tcPr>
            <w:tcW w:w="1271" w:type="dxa"/>
          </w:tcPr>
          <w:p w14:paraId="78D4B173" w14:textId="16F924D2"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12A88D2E"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 xml:space="preserve">Patient must have, where the above baseline DLQI was not recorded in the patient’s medical records, a current </w:t>
            </w:r>
            <w:proofErr w:type="gramStart"/>
            <w:r w:rsidRPr="001A2DAE">
              <w:rPr>
                <w:rFonts w:ascii="Arial Narrow" w:hAnsi="Arial Narrow" w:cs="Arial"/>
                <w:sz w:val="18"/>
                <w:szCs w:val="18"/>
                <w:lang w:eastAsia="en-AU"/>
              </w:rPr>
              <w:t>age-appropriate</w:t>
            </w:r>
            <w:proofErr w:type="gramEnd"/>
            <w:r w:rsidRPr="001A2DAE">
              <w:rPr>
                <w:rFonts w:ascii="Arial Narrow" w:hAnsi="Arial Narrow" w:cs="Arial"/>
                <w:sz w:val="18"/>
                <w:szCs w:val="18"/>
                <w:lang w:eastAsia="en-AU"/>
              </w:rPr>
              <w:t xml:space="preserve"> DLQI score (of any value) measured</w:t>
            </w:r>
          </w:p>
        </w:tc>
      </w:tr>
      <w:tr w:rsidR="00C3721C" w:rsidRPr="001A2DAE" w14:paraId="46648D7B" w14:textId="77777777" w:rsidTr="000E35FA">
        <w:tc>
          <w:tcPr>
            <w:tcW w:w="1271" w:type="dxa"/>
          </w:tcPr>
          <w:p w14:paraId="22F872B3"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3054F5C0"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7B0B72D7" w14:textId="77777777" w:rsidTr="000E35FA">
        <w:tc>
          <w:tcPr>
            <w:tcW w:w="1271" w:type="dxa"/>
          </w:tcPr>
          <w:p w14:paraId="1A949382" w14:textId="6F06435C"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50EBA450"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63A2BEDD" w14:textId="77777777" w:rsidTr="000E35FA">
        <w:tc>
          <w:tcPr>
            <w:tcW w:w="1271" w:type="dxa"/>
          </w:tcPr>
          <w:p w14:paraId="4E38DFA8" w14:textId="5E530DAA"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76E8FF9A"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The condition must have had lesions for at least 6 months from the time of the initial diagnosis of chronic severe atopic dermatitis affecting either of: (</w:t>
            </w:r>
            <w:proofErr w:type="spellStart"/>
            <w:r w:rsidRPr="001A2DAE">
              <w:rPr>
                <w:rFonts w:ascii="Arial Narrow" w:hAnsi="Arial Narrow" w:cs="Arial"/>
                <w:sz w:val="18"/>
                <w:szCs w:val="18"/>
                <w:lang w:eastAsia="en-AU"/>
              </w:rPr>
              <w:t>i</w:t>
            </w:r>
            <w:proofErr w:type="spellEnd"/>
            <w:r w:rsidRPr="001A2DAE">
              <w:rPr>
                <w:rFonts w:ascii="Arial Narrow" w:hAnsi="Arial Narrow" w:cs="Arial"/>
                <w:sz w:val="18"/>
                <w:szCs w:val="18"/>
                <w:lang w:eastAsia="en-AU"/>
              </w:rPr>
              <w:t>) the whole body, (ii) face/hands, prior to commencing non-PBS-subsidised therapy with this biological medicine</w:t>
            </w:r>
          </w:p>
        </w:tc>
      </w:tr>
      <w:tr w:rsidR="00C3721C" w:rsidRPr="001A2DAE" w14:paraId="54039828" w14:textId="77777777" w:rsidTr="000E35FA">
        <w:tc>
          <w:tcPr>
            <w:tcW w:w="1271" w:type="dxa"/>
          </w:tcPr>
          <w:p w14:paraId="7581114E"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7381C230"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1548AAFA" w14:textId="77777777" w:rsidTr="000E35FA">
        <w:tc>
          <w:tcPr>
            <w:tcW w:w="1271" w:type="dxa"/>
          </w:tcPr>
          <w:p w14:paraId="28F125F4" w14:textId="33402CAB"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649B8F0"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7F2B2601" w14:textId="77777777" w:rsidTr="000E35FA">
        <w:tc>
          <w:tcPr>
            <w:tcW w:w="1271" w:type="dxa"/>
          </w:tcPr>
          <w:p w14:paraId="1FD3FFDB" w14:textId="3FFE63E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230B2F87"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not be experiencing an inadequate response to current non-PBS-subsidised therapy with this biological medicine</w:t>
            </w:r>
          </w:p>
        </w:tc>
      </w:tr>
      <w:tr w:rsidR="00C3721C" w:rsidRPr="001A2DAE" w14:paraId="2E029DD1" w14:textId="77777777" w:rsidTr="000E35FA">
        <w:tc>
          <w:tcPr>
            <w:tcW w:w="1271" w:type="dxa"/>
          </w:tcPr>
          <w:p w14:paraId="355DFE02"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71E66020"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7975A0D2" w14:textId="77777777" w:rsidTr="000E35FA">
        <w:tc>
          <w:tcPr>
            <w:tcW w:w="1271" w:type="dxa"/>
          </w:tcPr>
          <w:p w14:paraId="356D2DDF" w14:textId="1D4B6F36"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885A0C6"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22ADB311" w14:textId="77777777" w:rsidTr="000E35FA">
        <w:tc>
          <w:tcPr>
            <w:tcW w:w="1271" w:type="dxa"/>
          </w:tcPr>
          <w:p w14:paraId="30A790C6" w14:textId="71F6195F"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2769D8C5"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The treatment must be the sole PBS-subsidised biological medicine for this PBS indication</w:t>
            </w:r>
          </w:p>
        </w:tc>
      </w:tr>
      <w:tr w:rsidR="00C3721C" w:rsidRPr="001A2DAE" w14:paraId="7EFFBE49" w14:textId="77777777" w:rsidTr="00816736">
        <w:tc>
          <w:tcPr>
            <w:tcW w:w="1271" w:type="dxa"/>
            <w:hideMark/>
          </w:tcPr>
          <w:p w14:paraId="7CBB612C"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3B8BD88F"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688F463B" w14:textId="77777777" w:rsidTr="000E35FA">
        <w:tc>
          <w:tcPr>
            <w:tcW w:w="1271" w:type="dxa"/>
          </w:tcPr>
          <w:p w14:paraId="3433FCA4" w14:textId="0938388B"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96FFED0"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6A358E9E" w14:textId="77777777" w:rsidTr="000E35FA">
        <w:tc>
          <w:tcPr>
            <w:tcW w:w="1271" w:type="dxa"/>
          </w:tcPr>
          <w:p w14:paraId="5B862903" w14:textId="4CDDD6AE"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4E0414A"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not have experienced an inadequate response to this biological medicine in this indication, prior to commencing non-PBS-subsidised therapy with this biological medicine</w:t>
            </w:r>
          </w:p>
        </w:tc>
      </w:tr>
      <w:tr w:rsidR="00C3721C" w:rsidRPr="001A2DAE" w14:paraId="63004AA5" w14:textId="77777777" w:rsidTr="000E35FA">
        <w:tc>
          <w:tcPr>
            <w:tcW w:w="1271" w:type="dxa"/>
          </w:tcPr>
          <w:p w14:paraId="23AD4254"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48D65ED1"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604A312A" w14:textId="77777777" w:rsidTr="000E35FA">
        <w:tc>
          <w:tcPr>
            <w:tcW w:w="1271" w:type="dxa"/>
          </w:tcPr>
          <w:p w14:paraId="1D3C8A2A" w14:textId="7581B52A"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68D2827"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Treatment criteria:</w:t>
            </w:r>
          </w:p>
        </w:tc>
      </w:tr>
      <w:tr w:rsidR="00C3721C" w:rsidRPr="001A2DAE" w14:paraId="176AF5B7" w14:textId="77777777" w:rsidTr="000E35FA">
        <w:tc>
          <w:tcPr>
            <w:tcW w:w="1271" w:type="dxa"/>
          </w:tcPr>
          <w:p w14:paraId="194CFFA9" w14:textId="0C0FF1F0"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9F8C359"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Must be treated by a dermatologist; or</w:t>
            </w:r>
          </w:p>
        </w:tc>
      </w:tr>
      <w:tr w:rsidR="00C3721C" w:rsidRPr="001A2DAE" w14:paraId="61ADC037" w14:textId="77777777" w:rsidTr="000E35FA">
        <w:tc>
          <w:tcPr>
            <w:tcW w:w="1271" w:type="dxa"/>
          </w:tcPr>
          <w:p w14:paraId="7D6132C9" w14:textId="5AC14A65"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14E649E6"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Must be treated by a clinical immunologist</w:t>
            </w:r>
          </w:p>
        </w:tc>
      </w:tr>
      <w:tr w:rsidR="00C3721C" w:rsidRPr="001A2DAE" w14:paraId="2F13978E" w14:textId="77777777" w:rsidTr="00816736">
        <w:tc>
          <w:tcPr>
            <w:tcW w:w="1271" w:type="dxa"/>
          </w:tcPr>
          <w:p w14:paraId="61B3D8A4"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4B8B038A" w14:textId="77777777" w:rsidR="00C3721C" w:rsidRPr="001A2DAE" w:rsidRDefault="00C3721C" w:rsidP="00816736">
            <w:pPr>
              <w:widowControl w:val="0"/>
              <w:ind w:left="-57"/>
              <w:rPr>
                <w:rFonts w:ascii="Arial Narrow" w:hAnsi="Arial Narrow" w:cs="Arial"/>
                <w:strike/>
                <w:sz w:val="18"/>
                <w:szCs w:val="18"/>
                <w:lang w:eastAsia="en-AU"/>
              </w:rPr>
            </w:pPr>
            <w:r w:rsidRPr="001A2DAE">
              <w:rPr>
                <w:rFonts w:ascii="Arial Narrow" w:hAnsi="Arial Narrow" w:cs="Arial"/>
                <w:b/>
                <w:bCs/>
                <w:strike/>
                <w:sz w:val="18"/>
                <w:szCs w:val="18"/>
                <w:bdr w:val="none" w:sz="0" w:space="0" w:color="auto" w:frame="1"/>
                <w:lang w:eastAsia="en-AU"/>
              </w:rPr>
              <w:t>AND</w:t>
            </w:r>
          </w:p>
        </w:tc>
      </w:tr>
      <w:tr w:rsidR="00C3721C" w:rsidRPr="001A2DAE" w14:paraId="0279DA65" w14:textId="77777777" w:rsidTr="00816736">
        <w:tc>
          <w:tcPr>
            <w:tcW w:w="1271" w:type="dxa"/>
          </w:tcPr>
          <w:p w14:paraId="1DA9F4EF" w14:textId="444FE619" w:rsidR="00C3721C" w:rsidRPr="001A2DAE" w:rsidRDefault="00C3721C" w:rsidP="00816736">
            <w:pPr>
              <w:widowControl w:val="0"/>
              <w:jc w:val="center"/>
              <w:rPr>
                <w:rFonts w:ascii="Arial Narrow" w:hAnsi="Arial Narrow" w:cs="Arial"/>
                <w:sz w:val="18"/>
                <w:szCs w:val="18"/>
                <w:lang w:eastAsia="en-AU"/>
              </w:rPr>
            </w:pPr>
          </w:p>
        </w:tc>
        <w:tc>
          <w:tcPr>
            <w:tcW w:w="8080" w:type="dxa"/>
          </w:tcPr>
          <w:p w14:paraId="1C264034" w14:textId="77777777" w:rsidR="00C3721C" w:rsidRPr="001A2DAE" w:rsidRDefault="00C3721C" w:rsidP="00816736">
            <w:pPr>
              <w:widowControl w:val="0"/>
              <w:ind w:left="-57"/>
              <w:rPr>
                <w:rFonts w:ascii="Arial Narrow" w:hAnsi="Arial Narrow" w:cs="Arial"/>
                <w:b/>
                <w:bCs/>
                <w:strike/>
                <w:sz w:val="18"/>
                <w:szCs w:val="18"/>
                <w:bdr w:val="none" w:sz="0" w:space="0" w:color="auto" w:frame="1"/>
                <w:lang w:eastAsia="en-AU"/>
              </w:rPr>
            </w:pPr>
            <w:r w:rsidRPr="001A2DAE">
              <w:rPr>
                <w:rFonts w:ascii="Arial Narrow" w:hAnsi="Arial Narrow" w:cs="Arial"/>
                <w:b/>
                <w:bCs/>
                <w:strike/>
                <w:sz w:val="18"/>
                <w:szCs w:val="18"/>
                <w:bdr w:val="none" w:sz="0" w:space="0" w:color="auto" w:frame="1"/>
                <w:lang w:eastAsia="en-AU"/>
              </w:rPr>
              <w:t>Population criteria:</w:t>
            </w:r>
          </w:p>
        </w:tc>
      </w:tr>
      <w:tr w:rsidR="00C3721C" w:rsidRPr="001A2DAE" w14:paraId="203EA647" w14:textId="77777777" w:rsidTr="00816736">
        <w:trPr>
          <w:trHeight w:val="53"/>
        </w:trPr>
        <w:tc>
          <w:tcPr>
            <w:tcW w:w="1271" w:type="dxa"/>
          </w:tcPr>
          <w:p w14:paraId="17BBFD75" w14:textId="483B2C04" w:rsidR="00C3721C" w:rsidRPr="001A2DAE" w:rsidRDefault="00C3721C" w:rsidP="00816736">
            <w:pPr>
              <w:widowControl w:val="0"/>
              <w:jc w:val="center"/>
              <w:rPr>
                <w:rFonts w:ascii="Arial Narrow" w:hAnsi="Arial Narrow" w:cs="Arial"/>
                <w:sz w:val="18"/>
                <w:szCs w:val="18"/>
                <w:lang w:eastAsia="en-AU"/>
              </w:rPr>
            </w:pPr>
          </w:p>
        </w:tc>
        <w:tc>
          <w:tcPr>
            <w:tcW w:w="8080" w:type="dxa"/>
          </w:tcPr>
          <w:p w14:paraId="21F71DCB" w14:textId="77777777" w:rsidR="00C3721C" w:rsidRPr="001A2DAE" w:rsidRDefault="00C3721C" w:rsidP="00816736">
            <w:pPr>
              <w:widowControl w:val="0"/>
              <w:ind w:left="-57"/>
              <w:rPr>
                <w:rFonts w:ascii="Arial Narrow" w:hAnsi="Arial Narrow" w:cs="Arial"/>
                <w:strike/>
                <w:sz w:val="18"/>
                <w:szCs w:val="18"/>
                <w:bdr w:val="none" w:sz="0" w:space="0" w:color="auto" w:frame="1"/>
                <w:lang w:eastAsia="en-AU"/>
              </w:rPr>
            </w:pPr>
            <w:r w:rsidRPr="001A2DAE">
              <w:rPr>
                <w:rFonts w:ascii="Arial Narrow" w:hAnsi="Arial Narrow" w:cs="Arial"/>
                <w:strike/>
                <w:sz w:val="18"/>
                <w:szCs w:val="18"/>
                <w:bdr w:val="none" w:sz="0" w:space="0" w:color="auto" w:frame="1"/>
                <w:lang w:eastAsia="en-AU"/>
              </w:rPr>
              <w:t>Patient must be 12 years of age or older; or</w:t>
            </w:r>
          </w:p>
        </w:tc>
      </w:tr>
      <w:tr w:rsidR="00C3721C" w:rsidRPr="001A2DAE" w14:paraId="680DE770" w14:textId="77777777" w:rsidTr="00816736">
        <w:tc>
          <w:tcPr>
            <w:tcW w:w="1271" w:type="dxa"/>
          </w:tcPr>
          <w:p w14:paraId="1E7DA7BE"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tcPr>
          <w:p w14:paraId="5598F578" w14:textId="77777777" w:rsidR="00C3721C" w:rsidRPr="001A2DAE" w:rsidRDefault="00C3721C" w:rsidP="00816736">
            <w:pPr>
              <w:widowControl w:val="0"/>
              <w:ind w:left="-57"/>
              <w:rPr>
                <w:rFonts w:ascii="Arial Narrow" w:hAnsi="Arial Narrow" w:cs="Arial"/>
                <w:b/>
                <w:bCs/>
                <w:sz w:val="18"/>
                <w:szCs w:val="18"/>
                <w:bdr w:val="none" w:sz="0" w:space="0" w:color="auto" w:frame="1"/>
                <w:lang w:eastAsia="en-AU"/>
              </w:rPr>
            </w:pPr>
          </w:p>
        </w:tc>
      </w:tr>
      <w:tr w:rsidR="00C3721C" w:rsidRPr="001A2DAE" w14:paraId="35A83B01" w14:textId="77777777" w:rsidTr="000E35FA">
        <w:tc>
          <w:tcPr>
            <w:tcW w:w="1271" w:type="dxa"/>
          </w:tcPr>
          <w:p w14:paraId="0C2141CD" w14:textId="2114749D"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72E60114"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Prescribing Instructions:</w:t>
            </w:r>
          </w:p>
          <w:p w14:paraId="7CC45186"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State each of the qualifying PGA, EASI and DLQI scores in the authority application. The name/s of the medium to high potency topical corticosteroids trialled prior to commencing treatment with this biological medicine must be documented in the patient's medical records.</w:t>
            </w:r>
          </w:p>
          <w:p w14:paraId="12788C3A"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The EASI and DLQI baseline measurements are to form the basis of determining if an adequate response to treatment has been achieved under the Continuing treatment restriction.</w:t>
            </w:r>
          </w:p>
        </w:tc>
      </w:tr>
      <w:tr w:rsidR="00C3721C" w:rsidRPr="001A2DAE" w14:paraId="2DAB13B1" w14:textId="77777777" w:rsidTr="000E35FA">
        <w:tc>
          <w:tcPr>
            <w:tcW w:w="1271" w:type="dxa"/>
          </w:tcPr>
          <w:p w14:paraId="11EC561B" w14:textId="28CA78BD"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2AFFAE3"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Prescribing Instructions:</w:t>
            </w:r>
          </w:p>
          <w:p w14:paraId="2438AF55"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A Grandfathered patient may qualify for PBS-subsidised treatment under this restriction once only.</w:t>
            </w:r>
          </w:p>
        </w:tc>
      </w:tr>
      <w:tr w:rsidR="00C3721C" w:rsidRPr="001A2DAE" w14:paraId="4513DDDB" w14:textId="77777777" w:rsidTr="000E35FA">
        <w:tc>
          <w:tcPr>
            <w:tcW w:w="1271" w:type="dxa"/>
          </w:tcPr>
          <w:p w14:paraId="226F8A7D" w14:textId="7A86ABFF"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2C20B095"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Prescribing Instructions:</w:t>
            </w:r>
          </w:p>
          <w:p w14:paraId="7D230F6E"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For continuing PBS-subsidised treatment, a Grandfathered patient must qualify under the Continuing treatment criteria.</w:t>
            </w:r>
          </w:p>
        </w:tc>
      </w:tr>
      <w:tr w:rsidR="00C3721C" w:rsidRPr="001A2DAE" w14:paraId="602B5894" w14:textId="77777777" w:rsidTr="00816736">
        <w:tc>
          <w:tcPr>
            <w:tcW w:w="1271" w:type="dxa"/>
          </w:tcPr>
          <w:p w14:paraId="2632EDCE"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0AD9CA1C"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5F6CAC6E" w14:textId="77777777" w:rsidTr="000E35FA">
        <w:tc>
          <w:tcPr>
            <w:tcW w:w="1271" w:type="dxa"/>
          </w:tcPr>
          <w:p w14:paraId="58B8D780" w14:textId="1B813E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6301FBE"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Administrative Advice:</w:t>
            </w:r>
          </w:p>
          <w:p w14:paraId="3F3E987C"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This grandfather restriction will cease to operate from 12 months after the date specified in the clinical criteria.</w:t>
            </w:r>
          </w:p>
        </w:tc>
      </w:tr>
      <w:tr w:rsidR="00C3721C" w:rsidRPr="001A2DAE" w14:paraId="7E5A803B" w14:textId="77777777" w:rsidTr="000E35FA">
        <w:tc>
          <w:tcPr>
            <w:tcW w:w="1271" w:type="dxa"/>
          </w:tcPr>
          <w:p w14:paraId="4C10C803" w14:textId="48461334"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AD6050A"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Administrative Advice:</w:t>
            </w:r>
          </w:p>
          <w:p w14:paraId="3F8C2454"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Instructions on the use of the Physician's Global Assessment (5-point scale) can be obtained from Sanofi Medical Information on 1800 818 806 or MedInfo.Australia@sanofi.com</w:t>
            </w:r>
          </w:p>
        </w:tc>
      </w:tr>
      <w:tr w:rsidR="00C3721C" w:rsidRPr="001A2DAE" w14:paraId="2AF78E2C" w14:textId="77777777" w:rsidTr="00816736">
        <w:tc>
          <w:tcPr>
            <w:tcW w:w="9351" w:type="dxa"/>
            <w:gridSpan w:val="2"/>
          </w:tcPr>
          <w:p w14:paraId="70F64FD7"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p>
          <w:p w14:paraId="3461E76A"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p>
        </w:tc>
      </w:tr>
      <w:tr w:rsidR="00C3721C" w:rsidRPr="001A2DAE" w14:paraId="44CFAB7D" w14:textId="77777777" w:rsidTr="00816736">
        <w:tc>
          <w:tcPr>
            <w:tcW w:w="9351" w:type="dxa"/>
            <w:gridSpan w:val="2"/>
          </w:tcPr>
          <w:p w14:paraId="7615FE74" w14:textId="77777777" w:rsidR="00C3721C" w:rsidRPr="001A2DAE" w:rsidRDefault="00C3721C" w:rsidP="00816736">
            <w:pPr>
              <w:widowControl w:val="0"/>
              <w:textAlignment w:val="baseline"/>
              <w:rPr>
                <w:rFonts w:ascii="Arial Narrow" w:hAnsi="Arial Narrow" w:cs="Arial"/>
                <w:b/>
                <w:bCs/>
                <w:sz w:val="18"/>
                <w:szCs w:val="18"/>
                <w:bdr w:val="none" w:sz="0" w:space="0" w:color="auto" w:frame="1"/>
                <w:lang w:eastAsia="en-AU"/>
              </w:rPr>
            </w:pPr>
            <w:r w:rsidRPr="001A2DAE">
              <w:rPr>
                <w:rFonts w:ascii="Arial Narrow" w:hAnsi="Arial Narrow" w:cs="Arial"/>
                <w:b/>
                <w:bCs/>
                <w:sz w:val="18"/>
                <w:szCs w:val="18"/>
                <w:bdr w:val="none" w:sz="0" w:space="0" w:color="auto" w:frame="1"/>
                <w:lang w:eastAsia="en-AU"/>
              </w:rPr>
              <w:t xml:space="preserve">Restriction Summary 11491 / </w:t>
            </w:r>
            <w:proofErr w:type="spellStart"/>
            <w:r w:rsidRPr="001A2DAE">
              <w:rPr>
                <w:rFonts w:ascii="Arial Narrow" w:hAnsi="Arial Narrow" w:cs="Arial"/>
                <w:b/>
                <w:bCs/>
                <w:sz w:val="18"/>
                <w:szCs w:val="18"/>
                <w:bdr w:val="none" w:sz="0" w:space="0" w:color="auto" w:frame="1"/>
                <w:lang w:eastAsia="en-AU"/>
              </w:rPr>
              <w:t>ToC</w:t>
            </w:r>
            <w:proofErr w:type="spellEnd"/>
            <w:r w:rsidRPr="001A2DAE">
              <w:rPr>
                <w:rFonts w:ascii="Arial Narrow" w:hAnsi="Arial Narrow" w:cs="Arial"/>
                <w:b/>
                <w:bCs/>
                <w:sz w:val="18"/>
                <w:szCs w:val="18"/>
                <w:bdr w:val="none" w:sz="0" w:space="0" w:color="auto" w:frame="1"/>
                <w:lang w:eastAsia="en-AU"/>
              </w:rPr>
              <w:t>: 11479</w:t>
            </w:r>
          </w:p>
        </w:tc>
      </w:tr>
      <w:tr w:rsidR="00C3721C" w:rsidRPr="001A2DAE" w14:paraId="4313D7BA" w14:textId="77777777" w:rsidTr="000E35FA">
        <w:tc>
          <w:tcPr>
            <w:tcW w:w="1271" w:type="dxa"/>
          </w:tcPr>
          <w:p w14:paraId="6DF2C448" w14:textId="435B7FAB"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1560F140"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 xml:space="preserve">Indication: </w:t>
            </w:r>
            <w:r w:rsidRPr="001A2DAE">
              <w:rPr>
                <w:rFonts w:ascii="Arial Narrow" w:hAnsi="Arial Narrow" w:cs="Arial"/>
                <w:sz w:val="18"/>
                <w:szCs w:val="18"/>
                <w:lang w:eastAsia="en-AU"/>
              </w:rPr>
              <w:t>Chronic severe atopic dermatitis</w:t>
            </w:r>
          </w:p>
        </w:tc>
      </w:tr>
      <w:tr w:rsidR="00C3721C" w:rsidRPr="001A2DAE" w14:paraId="2C67C24F" w14:textId="77777777" w:rsidTr="00816736">
        <w:tc>
          <w:tcPr>
            <w:tcW w:w="1271" w:type="dxa"/>
          </w:tcPr>
          <w:p w14:paraId="6B47CC3D"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3C733FEA"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26F8899D" w14:textId="77777777" w:rsidTr="000E35FA">
        <w:tc>
          <w:tcPr>
            <w:tcW w:w="1271" w:type="dxa"/>
          </w:tcPr>
          <w:p w14:paraId="2396236C"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51D9AE17"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 xml:space="preserve">Treatment Phase: </w:t>
            </w:r>
            <w:r w:rsidRPr="001A2DAE">
              <w:rPr>
                <w:rFonts w:ascii="Arial Narrow" w:hAnsi="Arial Narrow" w:cs="Arial"/>
                <w:sz w:val="18"/>
                <w:szCs w:val="18"/>
                <w:lang w:eastAsia="en-AU"/>
              </w:rPr>
              <w:t>Transitioning from non-PBS to PBS-subsidised supply - treatment of the face and/or hands (Grandfather listing)</w:t>
            </w:r>
          </w:p>
        </w:tc>
      </w:tr>
      <w:tr w:rsidR="00C3721C" w:rsidRPr="001A2DAE" w14:paraId="2C77DAA7" w14:textId="77777777" w:rsidTr="00816736">
        <w:tc>
          <w:tcPr>
            <w:tcW w:w="1271" w:type="dxa"/>
          </w:tcPr>
          <w:p w14:paraId="27C41D09"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tcPr>
          <w:p w14:paraId="299AA34F"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78E0AE6B" w14:textId="77777777" w:rsidTr="000E35FA">
        <w:tc>
          <w:tcPr>
            <w:tcW w:w="1271" w:type="dxa"/>
          </w:tcPr>
          <w:p w14:paraId="0D0C010D" w14:textId="283D8B6E"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20911509"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006C8A08" w14:textId="77777777" w:rsidTr="00816736">
        <w:tc>
          <w:tcPr>
            <w:tcW w:w="1271" w:type="dxa"/>
          </w:tcPr>
          <w:p w14:paraId="5E9028E5" w14:textId="5C1AB94D"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5B7DB3EE" w14:textId="77777777" w:rsidR="00C3721C" w:rsidRPr="001A2DAE" w:rsidRDefault="00C3721C" w:rsidP="00816736">
            <w:pPr>
              <w:widowControl w:val="0"/>
              <w:ind w:left="-57"/>
              <w:textAlignment w:val="baseline"/>
              <w:rPr>
                <w:rFonts w:ascii="Arial Narrow" w:hAnsi="Arial Narrow" w:cs="Arial"/>
                <w:strike/>
                <w:sz w:val="18"/>
                <w:szCs w:val="18"/>
                <w:bdr w:val="none" w:sz="0" w:space="0" w:color="auto" w:frame="1"/>
                <w:lang w:eastAsia="en-AU"/>
              </w:rPr>
            </w:pPr>
            <w:r w:rsidRPr="001A2DAE">
              <w:rPr>
                <w:rFonts w:ascii="Arial Narrow" w:hAnsi="Arial Narrow" w:cs="Arial"/>
                <w:strike/>
                <w:sz w:val="18"/>
                <w:szCs w:val="18"/>
                <w:bdr w:val="none" w:sz="0" w:space="0" w:color="auto" w:frame="1"/>
                <w:lang w:eastAsia="en-AU"/>
              </w:rPr>
              <w:t>Patient must have been receiving treatment with this biological medicine for this PBS indication prior to 1 March 2021</w:t>
            </w:r>
          </w:p>
        </w:tc>
      </w:tr>
      <w:tr w:rsidR="00C3721C" w:rsidRPr="001A2DAE" w14:paraId="7E27827F" w14:textId="77777777" w:rsidTr="00816736">
        <w:tc>
          <w:tcPr>
            <w:tcW w:w="1271" w:type="dxa"/>
          </w:tcPr>
          <w:p w14:paraId="6AABBD30" w14:textId="25022CF6"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5985D41F" w14:textId="77777777" w:rsidR="00C3721C" w:rsidRPr="001A2DAE" w:rsidRDefault="00C3721C" w:rsidP="00816736">
            <w:pPr>
              <w:widowControl w:val="0"/>
              <w:ind w:left="-57"/>
              <w:rPr>
                <w:rFonts w:ascii="Arial Narrow" w:hAnsi="Arial Narrow" w:cs="Arial"/>
                <w:i/>
                <w:iCs/>
                <w:sz w:val="18"/>
                <w:szCs w:val="18"/>
                <w:lang w:eastAsia="en-AU"/>
              </w:rPr>
            </w:pPr>
            <w:r w:rsidRPr="001A2DAE">
              <w:rPr>
                <w:rFonts w:ascii="Arial Narrow" w:hAnsi="Arial Narrow" w:cs="Arial"/>
                <w:i/>
                <w:iCs/>
                <w:sz w:val="18"/>
                <w:szCs w:val="18"/>
                <w:lang w:eastAsia="en-AU"/>
              </w:rPr>
              <w:t xml:space="preserve">Patient must be continuing treatment with this biological medicine that has been initiated </w:t>
            </w:r>
            <w:r>
              <w:rPr>
                <w:rFonts w:ascii="Arial Narrow" w:hAnsi="Arial Narrow" w:cs="Arial"/>
                <w:i/>
                <w:iCs/>
                <w:sz w:val="18"/>
                <w:szCs w:val="18"/>
                <w:lang w:eastAsia="en-AU"/>
              </w:rPr>
              <w:t xml:space="preserve">as non-PBS supply </w:t>
            </w:r>
            <w:r w:rsidRPr="001A2DAE">
              <w:rPr>
                <w:rFonts w:ascii="Arial Narrow" w:hAnsi="Arial Narrow" w:cs="Arial"/>
                <w:i/>
                <w:iCs/>
                <w:sz w:val="18"/>
                <w:szCs w:val="18"/>
                <w:lang w:eastAsia="en-AU"/>
              </w:rPr>
              <w:t>for this PBS indication in a patient aged less than 12 years, prior to [insert listing date here 1 Month 202X]</w:t>
            </w:r>
          </w:p>
        </w:tc>
      </w:tr>
      <w:tr w:rsidR="00C3721C" w:rsidRPr="001A2DAE" w14:paraId="5770593A" w14:textId="77777777" w:rsidTr="000E35FA">
        <w:tc>
          <w:tcPr>
            <w:tcW w:w="1271" w:type="dxa"/>
          </w:tcPr>
          <w:p w14:paraId="4CC64F27"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6ED75F4F"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7DDE7711" w14:textId="77777777" w:rsidTr="000E35FA">
        <w:tc>
          <w:tcPr>
            <w:tcW w:w="1271" w:type="dxa"/>
          </w:tcPr>
          <w:p w14:paraId="0C1BE5E8" w14:textId="5F839130"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254FB4F9"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7702425A" w14:textId="77777777" w:rsidTr="000E35FA">
        <w:tc>
          <w:tcPr>
            <w:tcW w:w="1271" w:type="dxa"/>
          </w:tcPr>
          <w:p w14:paraId="16102871" w14:textId="5565C4A4"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4EC443B"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 xml:space="preserve">The condition must have had at least 2 of the following Eczema Area and Severity Index (EASI) symptom sub-scores for erythema, oedema/papulation, excoriation, </w:t>
            </w:r>
            <w:proofErr w:type="spellStart"/>
            <w:r w:rsidRPr="001A2DAE">
              <w:rPr>
                <w:rFonts w:ascii="Arial Narrow" w:hAnsi="Arial Narrow" w:cs="Arial"/>
                <w:sz w:val="18"/>
                <w:szCs w:val="18"/>
                <w:lang w:eastAsia="en-AU"/>
              </w:rPr>
              <w:t>lichenification</w:t>
            </w:r>
            <w:proofErr w:type="spellEnd"/>
            <w:r w:rsidRPr="001A2DAE">
              <w:rPr>
                <w:rFonts w:ascii="Arial Narrow" w:hAnsi="Arial Narrow" w:cs="Arial"/>
                <w:sz w:val="18"/>
                <w:szCs w:val="18"/>
                <w:lang w:eastAsia="en-AU"/>
              </w:rPr>
              <w:t xml:space="preserve"> rated as severe despite treatment with daily topical therapy (corticosteroid of medium to high potency/calcineurin inhibitor), for at least 28 days, prior to commencing non-PBS-subsidised therapy with this biological medicine; or</w:t>
            </w:r>
          </w:p>
        </w:tc>
      </w:tr>
      <w:tr w:rsidR="00C3721C" w:rsidRPr="001A2DAE" w14:paraId="0B001CE6" w14:textId="77777777" w:rsidTr="000E35FA">
        <w:tc>
          <w:tcPr>
            <w:tcW w:w="1271" w:type="dxa"/>
          </w:tcPr>
          <w:p w14:paraId="3C87FDC9" w14:textId="3C359820"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81FE77A"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The condition must have affected at least 30% of the face/hands surface area despite treatment with daily topical therapy (corticosteroid of medium to high potency/calcineurin inhibitor), for at least 28 days, prior to commencing non-PBS-subsidised therapy with this biological medicine</w:t>
            </w:r>
          </w:p>
        </w:tc>
      </w:tr>
      <w:tr w:rsidR="00C3721C" w:rsidRPr="001A2DAE" w14:paraId="10DA4FFC" w14:textId="77777777" w:rsidTr="000E35FA">
        <w:tc>
          <w:tcPr>
            <w:tcW w:w="1271" w:type="dxa"/>
          </w:tcPr>
          <w:p w14:paraId="1E615469"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16F0041B"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42D841B0" w14:textId="77777777" w:rsidTr="000E35FA">
        <w:tc>
          <w:tcPr>
            <w:tcW w:w="1271" w:type="dxa"/>
          </w:tcPr>
          <w:p w14:paraId="223B37A9" w14:textId="6F19E794"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54D32250"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33A07ED0" w14:textId="77777777" w:rsidTr="000E35FA">
        <w:tc>
          <w:tcPr>
            <w:tcW w:w="1271" w:type="dxa"/>
          </w:tcPr>
          <w:p w14:paraId="6AA324C0" w14:textId="4FD5FE71"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FC5D59C"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 xml:space="preserve">Patient must have an </w:t>
            </w:r>
            <w:proofErr w:type="gramStart"/>
            <w:r w:rsidRPr="001A2DAE">
              <w:rPr>
                <w:rFonts w:ascii="Arial Narrow" w:hAnsi="Arial Narrow" w:cs="Arial"/>
                <w:sz w:val="18"/>
                <w:szCs w:val="18"/>
                <w:lang w:eastAsia="en-AU"/>
              </w:rPr>
              <w:t>age appropriate</w:t>
            </w:r>
            <w:proofErr w:type="gramEnd"/>
            <w:r w:rsidRPr="001A2DAE">
              <w:rPr>
                <w:rFonts w:ascii="Arial Narrow" w:hAnsi="Arial Narrow" w:cs="Arial"/>
                <w:sz w:val="18"/>
                <w:szCs w:val="18"/>
                <w:lang w:eastAsia="en-AU"/>
              </w:rPr>
              <w:t xml:space="preserve"> Dermatology Life Quality Index (DLQI) baseline score (of any value) measured following treatment with daily topical therapy (corticosteroid of medium to high potency/calcineurin inhibitor), for at least 28 days, prior to having commenced non-PBS-subsidised therapy with this biological medicine; or</w:t>
            </w:r>
          </w:p>
        </w:tc>
      </w:tr>
      <w:tr w:rsidR="00C3721C" w:rsidRPr="001A2DAE" w14:paraId="339B9F80" w14:textId="77777777" w:rsidTr="000E35FA">
        <w:tc>
          <w:tcPr>
            <w:tcW w:w="1271" w:type="dxa"/>
          </w:tcPr>
          <w:p w14:paraId="2F2DD3CB" w14:textId="5F8F219F"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0C22F19C"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 xml:space="preserve">Patient must have, where the above baseline DLQI was not recorded in the patient’s medical records, a current </w:t>
            </w:r>
            <w:proofErr w:type="gramStart"/>
            <w:r w:rsidRPr="001A2DAE">
              <w:rPr>
                <w:rFonts w:ascii="Arial Narrow" w:hAnsi="Arial Narrow" w:cs="Arial"/>
                <w:sz w:val="18"/>
                <w:szCs w:val="18"/>
                <w:lang w:eastAsia="en-AU"/>
              </w:rPr>
              <w:t>age-appropriate</w:t>
            </w:r>
            <w:proofErr w:type="gramEnd"/>
            <w:r w:rsidRPr="001A2DAE">
              <w:rPr>
                <w:rFonts w:ascii="Arial Narrow" w:hAnsi="Arial Narrow" w:cs="Arial"/>
                <w:sz w:val="18"/>
                <w:szCs w:val="18"/>
                <w:lang w:eastAsia="en-AU"/>
              </w:rPr>
              <w:t xml:space="preserve"> DLQI score (of any value) measured</w:t>
            </w:r>
          </w:p>
        </w:tc>
      </w:tr>
      <w:tr w:rsidR="00C3721C" w:rsidRPr="001A2DAE" w14:paraId="3FE02CF5" w14:textId="77777777" w:rsidTr="000E35FA">
        <w:tc>
          <w:tcPr>
            <w:tcW w:w="1271" w:type="dxa"/>
          </w:tcPr>
          <w:p w14:paraId="7442C352"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404C081E"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193671C4" w14:textId="77777777" w:rsidTr="000E35FA">
        <w:tc>
          <w:tcPr>
            <w:tcW w:w="1271" w:type="dxa"/>
          </w:tcPr>
          <w:p w14:paraId="1629867A" w14:textId="1109B22C"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5218B722"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06A57C37" w14:textId="77777777" w:rsidTr="000E35FA">
        <w:tc>
          <w:tcPr>
            <w:tcW w:w="1271" w:type="dxa"/>
          </w:tcPr>
          <w:p w14:paraId="0383B0AE" w14:textId="3C04FA8E"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6E1DC1EC"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The condition must have had lesions for at least 6 months from the time of the initial diagnosis of chronic severe atopic dermatitis affecting either of: (</w:t>
            </w:r>
            <w:proofErr w:type="spellStart"/>
            <w:r w:rsidRPr="001A2DAE">
              <w:rPr>
                <w:rFonts w:ascii="Arial Narrow" w:hAnsi="Arial Narrow" w:cs="Arial"/>
                <w:sz w:val="18"/>
                <w:szCs w:val="18"/>
                <w:lang w:eastAsia="en-AU"/>
              </w:rPr>
              <w:t>i</w:t>
            </w:r>
            <w:proofErr w:type="spellEnd"/>
            <w:r w:rsidRPr="001A2DAE">
              <w:rPr>
                <w:rFonts w:ascii="Arial Narrow" w:hAnsi="Arial Narrow" w:cs="Arial"/>
                <w:sz w:val="18"/>
                <w:szCs w:val="18"/>
                <w:lang w:eastAsia="en-AU"/>
              </w:rPr>
              <w:t>) the whole body, (ii) face/hands, prior to commencing non-PBS-subsidised therapy with this biological medicine</w:t>
            </w:r>
          </w:p>
        </w:tc>
      </w:tr>
      <w:tr w:rsidR="00C3721C" w:rsidRPr="001A2DAE" w14:paraId="0B5575BD" w14:textId="77777777" w:rsidTr="000E35FA">
        <w:tc>
          <w:tcPr>
            <w:tcW w:w="1271" w:type="dxa"/>
          </w:tcPr>
          <w:p w14:paraId="159AF8AA"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75424B73"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7F363632" w14:textId="77777777" w:rsidTr="000E35FA">
        <w:tc>
          <w:tcPr>
            <w:tcW w:w="1271" w:type="dxa"/>
          </w:tcPr>
          <w:p w14:paraId="689289FB" w14:textId="260CF8BF"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58C45679"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443E7298" w14:textId="77777777" w:rsidTr="000E35FA">
        <w:tc>
          <w:tcPr>
            <w:tcW w:w="1271" w:type="dxa"/>
          </w:tcPr>
          <w:p w14:paraId="5DCA1EFD" w14:textId="5AAF8516"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2E13AF72"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 xml:space="preserve">Patient must not be experiencing an inadequate response to current non-PBS-subsidised therapy with this biological </w:t>
            </w:r>
            <w:r w:rsidRPr="001A2DAE">
              <w:rPr>
                <w:rFonts w:ascii="Arial Narrow" w:hAnsi="Arial Narrow" w:cs="Arial"/>
                <w:sz w:val="18"/>
                <w:szCs w:val="18"/>
                <w:lang w:eastAsia="en-AU"/>
              </w:rPr>
              <w:lastRenderedPageBreak/>
              <w:t>medicine</w:t>
            </w:r>
          </w:p>
        </w:tc>
      </w:tr>
      <w:tr w:rsidR="00C3721C" w:rsidRPr="001A2DAE" w14:paraId="376E147E" w14:textId="77777777" w:rsidTr="000E35FA">
        <w:tc>
          <w:tcPr>
            <w:tcW w:w="1271" w:type="dxa"/>
          </w:tcPr>
          <w:p w14:paraId="2ABF0451"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7D155BC2"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09DD1A35" w14:textId="77777777" w:rsidTr="000E35FA">
        <w:tc>
          <w:tcPr>
            <w:tcW w:w="1271" w:type="dxa"/>
          </w:tcPr>
          <w:p w14:paraId="1514F8B9" w14:textId="1A9184B2"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6096879A"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6279D9F6" w14:textId="77777777" w:rsidTr="000E35FA">
        <w:tc>
          <w:tcPr>
            <w:tcW w:w="1271" w:type="dxa"/>
          </w:tcPr>
          <w:p w14:paraId="02430F04" w14:textId="5B9C6320"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61A3C2ED"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The treatment must be the sole PBS-subsidised biological medicine for this condition</w:t>
            </w:r>
          </w:p>
        </w:tc>
      </w:tr>
      <w:tr w:rsidR="00C3721C" w:rsidRPr="001A2DAE" w14:paraId="458F6545" w14:textId="77777777" w:rsidTr="000E35FA">
        <w:tc>
          <w:tcPr>
            <w:tcW w:w="1271" w:type="dxa"/>
          </w:tcPr>
          <w:p w14:paraId="77AB975E"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0CDAEBA9"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09FAEF56" w14:textId="77777777" w:rsidTr="000E35FA">
        <w:tc>
          <w:tcPr>
            <w:tcW w:w="1271" w:type="dxa"/>
          </w:tcPr>
          <w:p w14:paraId="292CEEB8" w14:textId="1993A0E3"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3BCEDCD7"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Clinical criteria:</w:t>
            </w:r>
          </w:p>
        </w:tc>
      </w:tr>
      <w:tr w:rsidR="00C3721C" w:rsidRPr="001A2DAE" w14:paraId="41CE29F0" w14:textId="77777777" w:rsidTr="000E35FA">
        <w:tc>
          <w:tcPr>
            <w:tcW w:w="1271" w:type="dxa"/>
          </w:tcPr>
          <w:p w14:paraId="7ABC77CD" w14:textId="4F8FEB45"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2B4CF134"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not have experienced an inadequate response to this biological medicine in this indication, prior to commencing non-PBS-subsidised therapy with this biological medicine</w:t>
            </w:r>
          </w:p>
        </w:tc>
      </w:tr>
      <w:tr w:rsidR="00C3721C" w:rsidRPr="001A2DAE" w14:paraId="202EB72B" w14:textId="77777777" w:rsidTr="00816736">
        <w:tc>
          <w:tcPr>
            <w:tcW w:w="1271" w:type="dxa"/>
            <w:hideMark/>
          </w:tcPr>
          <w:p w14:paraId="1D2BB20F" w14:textId="77777777" w:rsidR="00C3721C" w:rsidRPr="001A2DAE" w:rsidRDefault="00C3721C" w:rsidP="00816736">
            <w:pPr>
              <w:widowControl w:val="0"/>
              <w:jc w:val="center"/>
              <w:rPr>
                <w:rFonts w:ascii="Arial Narrow" w:hAnsi="Arial Narrow" w:cs="Arial"/>
                <w:sz w:val="18"/>
                <w:szCs w:val="18"/>
                <w:lang w:eastAsia="en-AU"/>
              </w:rPr>
            </w:pPr>
          </w:p>
        </w:tc>
        <w:tc>
          <w:tcPr>
            <w:tcW w:w="8080" w:type="dxa"/>
            <w:hideMark/>
          </w:tcPr>
          <w:p w14:paraId="305AA312"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AND</w:t>
            </w:r>
          </w:p>
        </w:tc>
      </w:tr>
      <w:tr w:rsidR="00C3721C" w:rsidRPr="001A2DAE" w14:paraId="7B16C371" w14:textId="77777777" w:rsidTr="000E35FA">
        <w:tc>
          <w:tcPr>
            <w:tcW w:w="1271" w:type="dxa"/>
          </w:tcPr>
          <w:p w14:paraId="3B35A6FE" w14:textId="5F41A8DB"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145424DC"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Treatment criteria:</w:t>
            </w:r>
          </w:p>
        </w:tc>
      </w:tr>
      <w:tr w:rsidR="00C3721C" w:rsidRPr="001A2DAE" w14:paraId="3E51938B" w14:textId="77777777" w:rsidTr="000E35FA">
        <w:tc>
          <w:tcPr>
            <w:tcW w:w="1271" w:type="dxa"/>
          </w:tcPr>
          <w:p w14:paraId="3354B6BE" w14:textId="74F7BDE2"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53F3780E"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Must be treated by a dermatologist; or</w:t>
            </w:r>
          </w:p>
        </w:tc>
      </w:tr>
      <w:tr w:rsidR="00C3721C" w:rsidRPr="001A2DAE" w14:paraId="5AED218C" w14:textId="77777777" w:rsidTr="000E35FA">
        <w:tc>
          <w:tcPr>
            <w:tcW w:w="1271" w:type="dxa"/>
          </w:tcPr>
          <w:p w14:paraId="5A9608E5" w14:textId="5F3C8F9F"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48E02B62"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Must be treated by a clinical immunologist</w:t>
            </w:r>
          </w:p>
        </w:tc>
      </w:tr>
      <w:tr w:rsidR="00C3721C" w:rsidRPr="001A2DAE" w14:paraId="561D7B27" w14:textId="77777777" w:rsidTr="00816736">
        <w:tc>
          <w:tcPr>
            <w:tcW w:w="1271" w:type="dxa"/>
          </w:tcPr>
          <w:p w14:paraId="562CD49F"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10E5ACA9" w14:textId="77777777" w:rsidR="00C3721C" w:rsidRPr="001A2DAE" w:rsidRDefault="00C3721C" w:rsidP="00816736">
            <w:pPr>
              <w:widowControl w:val="0"/>
              <w:ind w:left="-57"/>
              <w:rPr>
                <w:rFonts w:ascii="Arial Narrow" w:hAnsi="Arial Narrow" w:cs="Arial"/>
                <w:b/>
                <w:bCs/>
                <w:sz w:val="18"/>
                <w:szCs w:val="18"/>
                <w:lang w:eastAsia="en-AU"/>
              </w:rPr>
            </w:pPr>
            <w:r w:rsidRPr="001A2DAE">
              <w:rPr>
                <w:rFonts w:ascii="Arial Narrow" w:hAnsi="Arial Narrow" w:cs="Arial"/>
                <w:b/>
                <w:bCs/>
                <w:sz w:val="18"/>
                <w:szCs w:val="18"/>
                <w:lang w:eastAsia="en-AU"/>
              </w:rPr>
              <w:t>AND</w:t>
            </w:r>
          </w:p>
        </w:tc>
      </w:tr>
      <w:tr w:rsidR="00C3721C" w:rsidRPr="001A2DAE" w14:paraId="1117BD13" w14:textId="77777777" w:rsidTr="00816736">
        <w:tc>
          <w:tcPr>
            <w:tcW w:w="1271" w:type="dxa"/>
          </w:tcPr>
          <w:p w14:paraId="440A6401" w14:textId="15FF08B9"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5DAB5639" w14:textId="77777777" w:rsidR="00C3721C" w:rsidRPr="001A2DAE" w:rsidRDefault="00C3721C" w:rsidP="00816736">
            <w:pPr>
              <w:widowControl w:val="0"/>
              <w:ind w:left="-57"/>
              <w:rPr>
                <w:rFonts w:ascii="Arial Narrow" w:hAnsi="Arial Narrow" w:cs="Arial"/>
                <w:b/>
                <w:bCs/>
                <w:sz w:val="18"/>
                <w:szCs w:val="18"/>
                <w:lang w:eastAsia="en-AU"/>
              </w:rPr>
            </w:pPr>
            <w:r w:rsidRPr="001A2DAE">
              <w:rPr>
                <w:rFonts w:ascii="Arial Narrow" w:hAnsi="Arial Narrow" w:cs="Arial"/>
                <w:b/>
                <w:bCs/>
                <w:sz w:val="18"/>
                <w:szCs w:val="18"/>
                <w:lang w:eastAsia="en-AU"/>
              </w:rPr>
              <w:t>Population criteria:</w:t>
            </w:r>
          </w:p>
        </w:tc>
      </w:tr>
      <w:tr w:rsidR="00C3721C" w:rsidRPr="001A2DAE" w14:paraId="3B8BB01D" w14:textId="77777777" w:rsidTr="00816736">
        <w:tc>
          <w:tcPr>
            <w:tcW w:w="1271" w:type="dxa"/>
          </w:tcPr>
          <w:p w14:paraId="56BD38C0" w14:textId="024529BF"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3436F617" w14:textId="77777777" w:rsidR="00C3721C" w:rsidRPr="001A2DAE" w:rsidRDefault="00C3721C" w:rsidP="00816736">
            <w:pPr>
              <w:widowControl w:val="0"/>
              <w:ind w:left="-57"/>
              <w:rPr>
                <w:rFonts w:ascii="Arial Narrow" w:hAnsi="Arial Narrow" w:cs="Arial"/>
                <w:sz w:val="18"/>
                <w:szCs w:val="18"/>
                <w:lang w:eastAsia="en-AU"/>
              </w:rPr>
            </w:pPr>
            <w:r w:rsidRPr="001A2DAE">
              <w:rPr>
                <w:rFonts w:ascii="Arial Narrow" w:hAnsi="Arial Narrow" w:cs="Arial"/>
                <w:sz w:val="18"/>
                <w:szCs w:val="18"/>
                <w:lang w:eastAsia="en-AU"/>
              </w:rPr>
              <w:t>Patient must be 12 years of age or older; or</w:t>
            </w:r>
          </w:p>
        </w:tc>
      </w:tr>
      <w:tr w:rsidR="00C3721C" w:rsidRPr="001A2DAE" w14:paraId="40A15E98" w14:textId="77777777" w:rsidTr="00816736">
        <w:tc>
          <w:tcPr>
            <w:tcW w:w="1271" w:type="dxa"/>
          </w:tcPr>
          <w:p w14:paraId="78F0279E"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302CC57F" w14:textId="77777777" w:rsidR="00C3721C" w:rsidRPr="001A2DAE" w:rsidRDefault="00C3721C" w:rsidP="00816736">
            <w:pPr>
              <w:widowControl w:val="0"/>
              <w:ind w:left="-57"/>
              <w:rPr>
                <w:rFonts w:ascii="Arial Narrow" w:hAnsi="Arial Narrow" w:cs="Arial"/>
                <w:sz w:val="18"/>
                <w:szCs w:val="18"/>
                <w:lang w:eastAsia="en-AU"/>
              </w:rPr>
            </w:pPr>
          </w:p>
        </w:tc>
      </w:tr>
      <w:tr w:rsidR="00C3721C" w:rsidRPr="001A2DAE" w14:paraId="56D838A5" w14:textId="77777777" w:rsidTr="000E35FA">
        <w:tc>
          <w:tcPr>
            <w:tcW w:w="1271" w:type="dxa"/>
          </w:tcPr>
          <w:p w14:paraId="36209355" w14:textId="325F3192"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1AC0EE6F"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Prescribing Instructions:</w:t>
            </w:r>
          </w:p>
          <w:p w14:paraId="7687E7E5"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 xml:space="preserve">State each of the 4 Eczema Area and Severity Index (EASI) symptom sub-score ratings for erythema, oedema/papulation, excoriation, </w:t>
            </w:r>
            <w:proofErr w:type="spellStart"/>
            <w:r w:rsidRPr="001A2DAE">
              <w:rPr>
                <w:rFonts w:ascii="Arial Narrow" w:hAnsi="Arial Narrow" w:cs="Arial"/>
                <w:sz w:val="18"/>
                <w:szCs w:val="18"/>
                <w:lang w:eastAsia="en-AU"/>
              </w:rPr>
              <w:t>lichenification</w:t>
            </w:r>
            <w:proofErr w:type="spellEnd"/>
            <w:r w:rsidRPr="001A2DAE">
              <w:rPr>
                <w:rFonts w:ascii="Arial Narrow" w:hAnsi="Arial Narrow" w:cs="Arial"/>
                <w:sz w:val="18"/>
                <w:szCs w:val="18"/>
                <w:lang w:eastAsia="en-AU"/>
              </w:rPr>
              <w:t xml:space="preserve"> that were present prior to having commenced non-PBS-subsidised therapy, in the authority application. The name/s of the medium to high potency topical corticosteroids trialled prior to commencing treatment with this biological medicine is/are to be documented in the patient's medical records.</w:t>
            </w:r>
          </w:p>
        </w:tc>
      </w:tr>
      <w:tr w:rsidR="00C3721C" w:rsidRPr="001A2DAE" w14:paraId="762C7FE8" w14:textId="77777777" w:rsidTr="000E35FA">
        <w:tc>
          <w:tcPr>
            <w:tcW w:w="1271" w:type="dxa"/>
          </w:tcPr>
          <w:p w14:paraId="400206E8" w14:textId="08FD75D4"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28CFBA84"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Prescribing Instructions:</w:t>
            </w:r>
          </w:p>
          <w:p w14:paraId="44331153"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A Grandfathered patient may qualify for PBS-subsidised treatment under this restriction once only.</w:t>
            </w:r>
          </w:p>
        </w:tc>
      </w:tr>
      <w:tr w:rsidR="00C3721C" w:rsidRPr="001A2DAE" w14:paraId="75621038" w14:textId="77777777" w:rsidTr="000E35FA">
        <w:tc>
          <w:tcPr>
            <w:tcW w:w="1271" w:type="dxa"/>
          </w:tcPr>
          <w:p w14:paraId="72D4B95D" w14:textId="7E9DEA94"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65D8268F"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Prescribing Instructions:</w:t>
            </w:r>
          </w:p>
          <w:p w14:paraId="304C2CDE"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For continuing PBS-subsidised treatment, a Grandfathered patient must qualify under the Continuing treatment criteria.</w:t>
            </w:r>
          </w:p>
        </w:tc>
      </w:tr>
      <w:tr w:rsidR="00C3721C" w:rsidRPr="001A2DAE" w14:paraId="32FC5C22" w14:textId="77777777" w:rsidTr="00816736">
        <w:tc>
          <w:tcPr>
            <w:tcW w:w="1271" w:type="dxa"/>
          </w:tcPr>
          <w:p w14:paraId="4E1530CD" w14:textId="77777777"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tcPr>
          <w:p w14:paraId="1DFDF713" w14:textId="77777777" w:rsidR="00C3721C" w:rsidRPr="001A2DAE" w:rsidRDefault="00C3721C" w:rsidP="00816736">
            <w:pPr>
              <w:widowControl w:val="0"/>
              <w:ind w:left="-57"/>
              <w:textAlignment w:val="baseline"/>
              <w:rPr>
                <w:rFonts w:ascii="Arial Narrow" w:hAnsi="Arial Narrow" w:cs="Arial"/>
                <w:b/>
                <w:bCs/>
                <w:sz w:val="18"/>
                <w:szCs w:val="18"/>
                <w:bdr w:val="none" w:sz="0" w:space="0" w:color="auto" w:frame="1"/>
                <w:lang w:eastAsia="en-AU"/>
              </w:rPr>
            </w:pPr>
          </w:p>
        </w:tc>
      </w:tr>
      <w:tr w:rsidR="00C3721C" w:rsidRPr="001A2DAE" w14:paraId="21ABA51A" w14:textId="77777777" w:rsidTr="000E35FA">
        <w:tc>
          <w:tcPr>
            <w:tcW w:w="1271" w:type="dxa"/>
          </w:tcPr>
          <w:p w14:paraId="16676217" w14:textId="0B3D222F" w:rsidR="00C3721C" w:rsidRPr="001A2DAE" w:rsidRDefault="00C3721C" w:rsidP="00816736">
            <w:pPr>
              <w:widowControl w:val="0"/>
              <w:jc w:val="center"/>
              <w:textAlignment w:val="baseline"/>
              <w:rPr>
                <w:rFonts w:ascii="Arial Narrow" w:hAnsi="Arial Narrow" w:cs="Arial"/>
                <w:sz w:val="18"/>
                <w:szCs w:val="18"/>
                <w:lang w:eastAsia="en-AU"/>
              </w:rPr>
            </w:pPr>
          </w:p>
        </w:tc>
        <w:tc>
          <w:tcPr>
            <w:tcW w:w="8080" w:type="dxa"/>
            <w:hideMark/>
          </w:tcPr>
          <w:p w14:paraId="172AC8C0"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b/>
                <w:bCs/>
                <w:sz w:val="18"/>
                <w:szCs w:val="18"/>
                <w:bdr w:val="none" w:sz="0" w:space="0" w:color="auto" w:frame="1"/>
                <w:lang w:eastAsia="en-AU"/>
              </w:rPr>
              <w:t>Administrative Advice:</w:t>
            </w:r>
          </w:p>
          <w:p w14:paraId="5F6430A9" w14:textId="77777777" w:rsidR="00C3721C" w:rsidRPr="001A2DAE" w:rsidRDefault="00C3721C" w:rsidP="00816736">
            <w:pPr>
              <w:widowControl w:val="0"/>
              <w:ind w:left="-57"/>
              <w:textAlignment w:val="baseline"/>
              <w:rPr>
                <w:rFonts w:ascii="Arial Narrow" w:hAnsi="Arial Narrow" w:cs="Arial"/>
                <w:sz w:val="18"/>
                <w:szCs w:val="18"/>
                <w:lang w:eastAsia="en-AU"/>
              </w:rPr>
            </w:pPr>
            <w:r w:rsidRPr="001A2DAE">
              <w:rPr>
                <w:rFonts w:ascii="Arial Narrow" w:hAnsi="Arial Narrow" w:cs="Arial"/>
                <w:sz w:val="18"/>
                <w:szCs w:val="18"/>
                <w:lang w:eastAsia="en-AU"/>
              </w:rPr>
              <w:t>This grandfather restriction will cease to operate from 12 months after the date specified in the clinical criteria.</w:t>
            </w:r>
          </w:p>
        </w:tc>
      </w:tr>
    </w:tbl>
    <w:p w14:paraId="50E9AAE4" w14:textId="15881733" w:rsidR="00C3721C" w:rsidRDefault="00C3721C" w:rsidP="00C3721C">
      <w:pPr>
        <w:pStyle w:val="3Bodytext"/>
      </w:pPr>
    </w:p>
    <w:p w14:paraId="0252C826" w14:textId="77777777" w:rsidR="000E35FA" w:rsidRDefault="000E35FA" w:rsidP="000E35FA">
      <w:pPr>
        <w:spacing w:after="120"/>
        <w:ind w:left="426"/>
        <w:rPr>
          <w:rFonts w:cs="Arial"/>
          <w:bCs/>
          <w:lang w:val="en-GB"/>
        </w:rPr>
      </w:pPr>
      <w:r w:rsidRPr="00C07617">
        <w:rPr>
          <w:b/>
          <w:sz w:val="32"/>
        </w:rPr>
        <w:t>9</w:t>
      </w:r>
      <w:r w:rsidRPr="00C07617">
        <w:rPr>
          <w:b/>
          <w:sz w:val="32"/>
        </w:rPr>
        <w:tab/>
        <w:t>Context for Decision</w:t>
      </w:r>
    </w:p>
    <w:p w14:paraId="3CD50C4F" w14:textId="77777777" w:rsidR="000E35FA" w:rsidRPr="007129F2" w:rsidRDefault="000E35FA" w:rsidP="000E35FA">
      <w:pPr>
        <w:spacing w:after="120"/>
        <w:ind w:left="426"/>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07FC6E2E" w14:textId="1D81B185" w:rsidR="008D2C93" w:rsidRDefault="008D2C93" w:rsidP="008D2C93">
      <w:pPr>
        <w:spacing w:after="120"/>
        <w:ind w:left="426"/>
        <w:rPr>
          <w:rFonts w:cs="Arial"/>
          <w:bCs/>
          <w:lang w:val="en-GB"/>
        </w:rPr>
      </w:pPr>
      <w:r>
        <w:rPr>
          <w:b/>
          <w:sz w:val="32"/>
        </w:rPr>
        <w:t>10 Sponsor’s Comment</w:t>
      </w:r>
    </w:p>
    <w:p w14:paraId="74E64F5F" w14:textId="77777777" w:rsidR="008D2C93" w:rsidRDefault="008D2C93" w:rsidP="008D2C93">
      <w:pPr>
        <w:spacing w:after="120"/>
        <w:ind w:left="426"/>
        <w:rPr>
          <w:rFonts w:cs="Arial"/>
          <w:bCs/>
        </w:rPr>
      </w:pPr>
      <w:r w:rsidRPr="00C07617">
        <w:rPr>
          <w:rFonts w:cs="Arial"/>
          <w:bCs/>
        </w:rPr>
        <w:t>The sponsor had no comment.</w:t>
      </w:r>
    </w:p>
    <w:p w14:paraId="20EEC045" w14:textId="77777777" w:rsidR="000E35FA" w:rsidRPr="00E57628" w:rsidRDefault="000E35FA" w:rsidP="00C3721C">
      <w:pPr>
        <w:pStyle w:val="3Bodytext"/>
      </w:pPr>
    </w:p>
    <w:p w14:paraId="75425603" w14:textId="77777777" w:rsidR="00677299" w:rsidRPr="00E57628" w:rsidRDefault="00677299" w:rsidP="002D6E58">
      <w:pPr>
        <w:widowControl w:val="0"/>
      </w:pPr>
    </w:p>
    <w:sectPr w:rsidR="00677299" w:rsidRPr="00E57628" w:rsidSect="00C80985">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03595" w14:textId="77777777" w:rsidR="00BF4D29" w:rsidRDefault="00BF4D29" w:rsidP="00124A51">
      <w:r>
        <w:separator/>
      </w:r>
    </w:p>
    <w:p w14:paraId="0B347018" w14:textId="77777777" w:rsidR="00BF4D29" w:rsidRDefault="00BF4D29"/>
  </w:endnote>
  <w:endnote w:type="continuationSeparator" w:id="0">
    <w:p w14:paraId="7114F9F3" w14:textId="77777777" w:rsidR="00BF4D29" w:rsidRDefault="00BF4D29" w:rsidP="00124A51">
      <w:r>
        <w:continuationSeparator/>
      </w:r>
    </w:p>
    <w:p w14:paraId="4CC5D97C" w14:textId="77777777" w:rsidR="00BF4D29" w:rsidRDefault="00BF4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6FE06D" w14:textId="77777777" w:rsidR="00B85535" w:rsidRDefault="00B855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B1A6F" w14:textId="77777777" w:rsidR="00BF4D29" w:rsidRDefault="00BF4D29">
    <w:pPr>
      <w:pStyle w:val="Footer"/>
      <w:rPr>
        <w:rFonts w:ascii="Calibri" w:eastAsia="Calibri" w:hAnsi="Calibri"/>
        <w:szCs w:val="22"/>
      </w:rPr>
    </w:pPr>
  </w:p>
  <w:p w14:paraId="230FAD24" w14:textId="1EEB6339" w:rsidR="00BF4D29" w:rsidRPr="00BF43F9" w:rsidRDefault="00BF4D29" w:rsidP="00C80985">
    <w:pPr>
      <w:pStyle w:val="Footer"/>
      <w:jc w:val="center"/>
      <w:rPr>
        <w:b/>
        <w:bCs/>
      </w:rPr>
    </w:pPr>
    <w:r w:rsidRPr="00BF43F9">
      <w:rPr>
        <w:b/>
        <w:bCs/>
      </w:rPr>
      <w:fldChar w:fldCharType="begin"/>
    </w:r>
    <w:r w:rsidRPr="00BF43F9">
      <w:rPr>
        <w:b/>
        <w:bCs/>
      </w:rPr>
      <w:instrText xml:space="preserve"> PAGE   \* MERGEFORMAT </w:instrText>
    </w:r>
    <w:r w:rsidRPr="00BF43F9">
      <w:rPr>
        <w:b/>
        <w:bCs/>
      </w:rPr>
      <w:fldChar w:fldCharType="separate"/>
    </w:r>
    <w:r w:rsidRPr="00BF43F9">
      <w:rPr>
        <w:b/>
        <w:bCs/>
        <w:noProof/>
      </w:rPr>
      <w:t>1</w:t>
    </w:r>
    <w:r w:rsidRPr="00BF43F9">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B221CD" w14:textId="77777777" w:rsidR="00B85535" w:rsidRDefault="00B855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52E51" w14:textId="77777777" w:rsidR="00BF4D29" w:rsidRDefault="00BF4D29" w:rsidP="00124A51">
      <w:r>
        <w:separator/>
      </w:r>
    </w:p>
    <w:p w14:paraId="188EA6C1" w14:textId="77777777" w:rsidR="00BF4D29" w:rsidRDefault="00BF4D29"/>
  </w:footnote>
  <w:footnote w:type="continuationSeparator" w:id="0">
    <w:p w14:paraId="1C056D87" w14:textId="77777777" w:rsidR="00BF4D29" w:rsidRDefault="00BF4D29" w:rsidP="00124A51">
      <w:r>
        <w:continuationSeparator/>
      </w:r>
    </w:p>
    <w:p w14:paraId="17478A12" w14:textId="77777777" w:rsidR="00BF4D29" w:rsidRDefault="00BF4D29"/>
  </w:footnote>
  <w:footnote w:id="1">
    <w:p w14:paraId="530B5E75" w14:textId="79939D99" w:rsidR="00BF4D29" w:rsidRDefault="00BF4D29" w:rsidP="00E46A3C">
      <w:pPr>
        <w:pStyle w:val="FootnoteText"/>
        <w:jc w:val="left"/>
      </w:pPr>
      <w:r>
        <w:rPr>
          <w:rStyle w:val="FootnoteReference"/>
        </w:rPr>
        <w:footnoteRef/>
      </w:r>
      <w:r>
        <w:t xml:space="preserve"> </w:t>
      </w:r>
      <w:hyperlink r:id="rId1" w:history="1">
        <w:r w:rsidRPr="00A770D6">
          <w:rPr>
            <w:rStyle w:val="Hyperlink"/>
          </w:rPr>
          <w:t>https://www.cdc.gov/growthcharts/data/set2clinical/cj41c071.pdf</w:t>
        </w:r>
      </w:hyperlink>
      <w:r>
        <w:t xml:space="preserve"> and  </w:t>
      </w:r>
      <w:r w:rsidRPr="00E46A3C">
        <w:t>https://www.cdc.gov/growthcharts/data/set2clinical/cj41c072.pdf</w:t>
      </w:r>
    </w:p>
  </w:footnote>
  <w:footnote w:id="2">
    <w:p w14:paraId="0FACC4EC" w14:textId="6ACCBE8F" w:rsidR="00BF4D29" w:rsidRDefault="00BF4D29">
      <w:pPr>
        <w:pStyle w:val="FootnoteText"/>
      </w:pPr>
      <w:r>
        <w:rPr>
          <w:rStyle w:val="FootnoteReference"/>
        </w:rPr>
        <w:footnoteRef/>
      </w:r>
      <w:r>
        <w:t xml:space="preserve"> The requested restriction noted that when an initial baseline CDLQI score was not measured for a patient who commenced treatment through a clinical trial, early access program or private supply, an absence of worsening of CDLQI compared to that measured at the time of ‘Grandfather listing’ authority application will suffice as an adequate response for improvement in CDLQI score of 4 points. </w:t>
      </w:r>
      <w:r w:rsidRPr="00906D38">
        <w:rPr>
          <w:i/>
          <w:iCs/>
        </w:rPr>
        <w:t>This corresponds to the adult listing and change in DLQI score.</w:t>
      </w:r>
    </w:p>
  </w:footnote>
  <w:footnote w:id="3">
    <w:p w14:paraId="7057D2CC" w14:textId="390658CB" w:rsidR="00BF4D29" w:rsidRDefault="00BF4D29" w:rsidP="00730B9A">
      <w:pPr>
        <w:pStyle w:val="FootnoteText"/>
      </w:pPr>
      <w:r>
        <w:rPr>
          <w:rStyle w:val="FootnoteReference"/>
        </w:rPr>
        <w:footnoteRef/>
      </w:r>
      <w:r>
        <w:t xml:space="preserve"> Siegfried EC, </w:t>
      </w:r>
      <w:r>
        <w:t xml:space="preserve">Igelman S, Jaworsk JC, Antaya RJ et al. Use of dupilumab in pediatric atopic dermatitis: Access, </w:t>
      </w:r>
      <w:r>
        <w:t xml:space="preserve">dosing and implications for managing severe atopic dermatitis. </w:t>
      </w:r>
      <w:r w:rsidRPr="00593C41">
        <w:rPr>
          <w:i/>
          <w:iCs/>
        </w:rPr>
        <w:t>Pediatr Dermatol</w:t>
      </w:r>
      <w:r>
        <w:t xml:space="preserve"> 2019; 36(1): 172-176. </w:t>
      </w:r>
    </w:p>
  </w:footnote>
  <w:footnote w:id="4">
    <w:p w14:paraId="32C729D9" w14:textId="5A07722F" w:rsidR="00BF4D29" w:rsidRPr="000B54C6" w:rsidRDefault="00BF4D29" w:rsidP="00730B9A">
      <w:pPr>
        <w:jc w:val="left"/>
        <w:rPr>
          <w:rFonts w:ascii="Calibri" w:hAnsi="Calibri" w:cs="Calibri"/>
          <w:sz w:val="20"/>
          <w:szCs w:val="20"/>
        </w:rPr>
      </w:pPr>
      <w:r w:rsidRPr="00AF2DB4">
        <w:rPr>
          <w:rStyle w:val="FootnoteReference"/>
          <w:sz w:val="20"/>
          <w:szCs w:val="20"/>
        </w:rPr>
        <w:footnoteRef/>
      </w:r>
      <w:r w:rsidRPr="00AF2DB4">
        <w:rPr>
          <w:sz w:val="20"/>
          <w:szCs w:val="20"/>
        </w:rPr>
        <w:t xml:space="preserve"> </w:t>
      </w:r>
      <w:r w:rsidRPr="00AF2DB4">
        <w:rPr>
          <w:rFonts w:ascii="Calibri" w:hAnsi="Calibri" w:cs="Calibri"/>
          <w:sz w:val="20"/>
          <w:szCs w:val="20"/>
        </w:rPr>
        <w:t>McKenzie PL, Rangu S, Treat JR, Castelo-</w:t>
      </w:r>
      <w:r w:rsidRPr="00AF2DB4">
        <w:rPr>
          <w:rFonts w:ascii="Calibri" w:hAnsi="Calibri" w:cs="Calibri"/>
          <w:sz w:val="20"/>
          <w:szCs w:val="20"/>
        </w:rPr>
        <w:t>Soccio L.</w:t>
      </w:r>
      <w:r>
        <w:rPr>
          <w:rFonts w:ascii="Calibri" w:hAnsi="Calibri" w:cs="Calibri"/>
          <w:sz w:val="20"/>
          <w:szCs w:val="20"/>
        </w:rPr>
        <w:t xml:space="preserve"> E</w:t>
      </w:r>
      <w:r w:rsidRPr="00AF2DB4">
        <w:rPr>
          <w:rFonts w:ascii="Calibri" w:hAnsi="Calibri" w:cs="Calibri"/>
          <w:sz w:val="20"/>
          <w:szCs w:val="20"/>
        </w:rPr>
        <w:t>xperience using dupilumab for pediatric atopic dermatitis at a tertiary care center: Inadequate response and adverse events.</w:t>
      </w:r>
      <w:r>
        <w:rPr>
          <w:rFonts w:ascii="Calibri" w:hAnsi="Calibri" w:cs="Calibri"/>
          <w:sz w:val="20"/>
          <w:szCs w:val="20"/>
        </w:rPr>
        <w:t xml:space="preserve"> </w:t>
      </w:r>
      <w:r w:rsidRPr="00AF2DB4">
        <w:rPr>
          <w:rFonts w:ascii="Calibri" w:hAnsi="Calibri" w:cs="Calibri"/>
          <w:i/>
          <w:iCs/>
          <w:sz w:val="20"/>
          <w:szCs w:val="20"/>
        </w:rPr>
        <w:t>Pediatric Dermatol</w:t>
      </w:r>
      <w:r w:rsidRPr="00AF2DB4">
        <w:rPr>
          <w:rFonts w:ascii="Calibri" w:hAnsi="Calibri" w:cs="Calibri"/>
          <w:sz w:val="20"/>
          <w:szCs w:val="20"/>
        </w:rPr>
        <w:t xml:space="preserve"> 2021; 38(5): 1178-1184.</w:t>
      </w:r>
    </w:p>
  </w:footnote>
  <w:footnote w:id="5">
    <w:p w14:paraId="026F2B60" w14:textId="43A1F2A8" w:rsidR="00BF4D29" w:rsidRDefault="00BF4D29" w:rsidP="00730B9A">
      <w:pPr>
        <w:pStyle w:val="FootnoteText"/>
      </w:pPr>
      <w:r>
        <w:rPr>
          <w:rStyle w:val="FootnoteReference"/>
        </w:rPr>
        <w:footnoteRef/>
      </w:r>
      <w:r>
        <w:t xml:space="preserve"> </w:t>
      </w:r>
      <w:r w:rsidRPr="000B54C6">
        <w:rPr>
          <w:rFonts w:ascii="Calibri" w:hAnsi="Calibri" w:cs="Calibri"/>
        </w:rPr>
        <w:t>Muzumdar S, Zubkov M, Waldman R, DeWane ME et al.</w:t>
      </w:r>
      <w:r>
        <w:rPr>
          <w:rFonts w:ascii="Calibri" w:hAnsi="Calibri" w:cs="Calibri"/>
        </w:rPr>
        <w:t xml:space="preserve"> </w:t>
      </w:r>
      <w:r w:rsidRPr="000B54C6">
        <w:rPr>
          <w:rFonts w:ascii="Calibri" w:hAnsi="Calibri" w:cs="Calibri"/>
        </w:rPr>
        <w:t>Characterizing dupilumab facial redness in children and adolescents:</w:t>
      </w:r>
      <w:r>
        <w:rPr>
          <w:rFonts w:ascii="Calibri" w:hAnsi="Calibri" w:cs="Calibri"/>
        </w:rPr>
        <w:t xml:space="preserve"> </w:t>
      </w:r>
      <w:r w:rsidRPr="000B54C6">
        <w:rPr>
          <w:rFonts w:ascii="Calibri" w:hAnsi="Calibri" w:cs="Calibri"/>
        </w:rPr>
        <w:t>A single-institution retrospective chart review</w:t>
      </w:r>
      <w:r w:rsidRPr="000B54C6">
        <w:rPr>
          <w:rFonts w:ascii="Calibri" w:hAnsi="Calibri" w:cs="Calibri"/>
          <w:i/>
          <w:iCs/>
        </w:rPr>
        <w:t>.</w:t>
      </w:r>
      <w:r>
        <w:rPr>
          <w:rFonts w:ascii="Calibri" w:hAnsi="Calibri" w:cs="Calibri"/>
          <w:i/>
          <w:iCs/>
        </w:rPr>
        <w:t xml:space="preserve"> </w:t>
      </w:r>
      <w:r w:rsidRPr="000B54C6">
        <w:rPr>
          <w:rFonts w:ascii="Calibri" w:hAnsi="Calibri" w:cs="Calibri"/>
          <w:i/>
          <w:iCs/>
        </w:rPr>
        <w:t>J Am Acad Dermatol</w:t>
      </w:r>
      <w:r w:rsidRPr="000B54C6">
        <w:rPr>
          <w:rFonts w:ascii="Calibri" w:hAnsi="Calibri" w:cs="Calibri"/>
        </w:rPr>
        <w:t xml:space="preserve"> 2020; 83(5): 1520-1521.</w:t>
      </w:r>
    </w:p>
  </w:footnote>
  <w:footnote w:id="6">
    <w:p w14:paraId="701EF350" w14:textId="051BBCA0" w:rsidR="00BF4D29" w:rsidRDefault="00BF4D29" w:rsidP="00730B9A">
      <w:pPr>
        <w:pStyle w:val="FootnoteText"/>
      </w:pPr>
      <w:r>
        <w:rPr>
          <w:rStyle w:val="FootnoteReference"/>
        </w:rPr>
        <w:footnoteRef/>
      </w:r>
      <w:r>
        <w:t xml:space="preserve"> Barbieri JS, Bunya VY, Massaro-Giordano M, Margolis DJ. Encounters and medication use for ocular surface disorders among patients treated with dupilumab: a cohort study. </w:t>
      </w:r>
      <w:r w:rsidRPr="000B54C6">
        <w:rPr>
          <w:rFonts w:ascii="Calibri" w:hAnsi="Calibri" w:cs="Calibri"/>
          <w:i/>
          <w:iCs/>
        </w:rPr>
        <w:t xml:space="preserve">J Am </w:t>
      </w:r>
      <w:r w:rsidRPr="000B54C6">
        <w:rPr>
          <w:rFonts w:ascii="Calibri" w:hAnsi="Calibri" w:cs="Calibri"/>
          <w:i/>
          <w:iCs/>
        </w:rPr>
        <w:t>Acad Dermatol</w:t>
      </w:r>
      <w:r>
        <w:rPr>
          <w:rFonts w:ascii="Calibri" w:hAnsi="Calibri" w:cs="Calibri"/>
          <w:i/>
          <w:iCs/>
        </w:rPr>
        <w:t xml:space="preserve"> Int 2021; 4(3): 1-9.</w:t>
      </w:r>
    </w:p>
  </w:footnote>
  <w:footnote w:id="7">
    <w:p w14:paraId="44BDD419" w14:textId="02B189CD" w:rsidR="00BF4D29" w:rsidRDefault="00BF4D29" w:rsidP="00730B9A">
      <w:pPr>
        <w:pStyle w:val="FootnoteText"/>
      </w:pPr>
      <w:r>
        <w:rPr>
          <w:rStyle w:val="FootnoteReference"/>
        </w:rPr>
        <w:footnoteRef/>
      </w:r>
      <w:r>
        <w:t xml:space="preserve"> </w:t>
      </w:r>
      <w:r>
        <w:rPr>
          <w:rFonts w:ascii="Arial Narrow" w:hAnsi="Arial Narrow"/>
        </w:rPr>
        <w:t xml:space="preserve">Napolitano M, Di </w:t>
      </w:r>
      <w:r>
        <w:rPr>
          <w:rFonts w:ascii="Arial Narrow" w:hAnsi="Arial Narrow"/>
        </w:rPr>
        <w:t xml:space="preserve">Guida A, Fabbrocini G, Patruno C. Ocular adverse events in patients with atopic dermatitis undergoing treatment with dupilumab: An Italian single-center experience. </w:t>
      </w:r>
      <w:r w:rsidRPr="00F62738">
        <w:rPr>
          <w:rFonts w:ascii="Arial Narrow" w:hAnsi="Arial Narrow"/>
          <w:i/>
          <w:iCs/>
        </w:rPr>
        <w:t xml:space="preserve">Dermatol Ther </w:t>
      </w:r>
      <w:r>
        <w:rPr>
          <w:rFonts w:ascii="Arial Narrow" w:hAnsi="Arial Narrow"/>
        </w:rPr>
        <w:t>2021; 34(5): e15059.</w:t>
      </w:r>
    </w:p>
  </w:footnote>
  <w:footnote w:id="8">
    <w:p w14:paraId="02259FD6" w14:textId="42B3167D" w:rsidR="00BF4D29" w:rsidRDefault="00BF4D29" w:rsidP="00730B9A">
      <w:pPr>
        <w:pStyle w:val="FootnoteText"/>
      </w:pPr>
      <w:r>
        <w:rPr>
          <w:rStyle w:val="FootnoteReference"/>
        </w:rPr>
        <w:footnoteRef/>
      </w:r>
      <w:r>
        <w:t xml:space="preserve"> </w:t>
      </w:r>
      <w:r w:rsidRPr="00734CB3">
        <w:rPr>
          <w:rFonts w:cs="Calibri"/>
        </w:rPr>
        <w:t>Ferreira F, Torres T.</w:t>
      </w:r>
      <w:r>
        <w:rPr>
          <w:rFonts w:cs="Calibri"/>
        </w:rPr>
        <w:t xml:space="preserve"> </w:t>
      </w:r>
      <w:r w:rsidRPr="00734CB3">
        <w:rPr>
          <w:rFonts w:cs="Calibri"/>
        </w:rPr>
        <w:t>Conjunctivitis in patients with atopic dermatitis treated with dupilumab.</w:t>
      </w:r>
      <w:r>
        <w:rPr>
          <w:rFonts w:cs="Calibri"/>
        </w:rPr>
        <w:t xml:space="preserve"> </w:t>
      </w:r>
      <w:r w:rsidRPr="00734CB3">
        <w:rPr>
          <w:rFonts w:cs="Calibri"/>
          <w:i/>
          <w:iCs/>
        </w:rPr>
        <w:t xml:space="preserve">Drugs </w:t>
      </w:r>
      <w:r>
        <w:rPr>
          <w:rFonts w:cs="Calibri"/>
          <w:i/>
          <w:iCs/>
        </w:rPr>
        <w:t xml:space="preserve">in </w:t>
      </w:r>
      <w:r w:rsidRPr="00734CB3">
        <w:rPr>
          <w:rFonts w:cs="Calibri"/>
          <w:i/>
          <w:iCs/>
        </w:rPr>
        <w:t>Context</w:t>
      </w:r>
      <w:r w:rsidRPr="00734CB3">
        <w:rPr>
          <w:rFonts w:cs="Calibri"/>
        </w:rPr>
        <w:t xml:space="preserve"> 2020; 9: </w:t>
      </w:r>
      <w:r w:rsidRPr="00734CB3">
        <w:rPr>
          <w:rFonts w:cs="Calibri"/>
          <w:color w:val="1E3AFF"/>
        </w:rPr>
        <w:t>DOI: 10.7573/dic.2020-2-3</w:t>
      </w:r>
    </w:p>
  </w:footnote>
  <w:footnote w:id="9">
    <w:p w14:paraId="5867FAAC" w14:textId="7D4B4788" w:rsidR="00BF4D29" w:rsidRDefault="00BF4D29" w:rsidP="00BA69E6">
      <w:pPr>
        <w:pStyle w:val="FootnoteText"/>
      </w:pPr>
      <w:r>
        <w:rPr>
          <w:rStyle w:val="FootnoteReference"/>
        </w:rPr>
        <w:footnoteRef/>
      </w:r>
      <w:r>
        <w:t xml:space="preserve"> Raffi J, Suresh R, Fishman H, </w:t>
      </w:r>
      <w:r>
        <w:t xml:space="preserve">Botto N et al. Investigating the role of allergic contact dermatitis in residual ocular surface disease on dupilumab (ROSSD). </w:t>
      </w:r>
      <w:r w:rsidRPr="009E17DF">
        <w:rPr>
          <w:i/>
          <w:iCs/>
        </w:rPr>
        <w:t>Int J Women’s Dermatol</w:t>
      </w:r>
      <w:r>
        <w:t xml:space="preserve"> 2019; 5: 308-313.</w:t>
      </w:r>
    </w:p>
  </w:footnote>
  <w:footnote w:id="10">
    <w:p w14:paraId="1AA187DF" w14:textId="2E412563" w:rsidR="00BF4D29" w:rsidRDefault="00BF4D29" w:rsidP="008A21C8">
      <w:pPr>
        <w:pStyle w:val="FootnoteText"/>
      </w:pPr>
      <w:r>
        <w:rPr>
          <w:rStyle w:val="FootnoteReference"/>
        </w:rPr>
        <w:footnoteRef/>
      </w:r>
      <w:r>
        <w:t xml:space="preserve"> </w:t>
      </w:r>
      <w:r>
        <w:t>Kamata M and Tada Y. A literature review of real-world effectiveness and safety of dupilumab for atopic dermatitis</w:t>
      </w:r>
      <w:r w:rsidRPr="00716E7D">
        <w:rPr>
          <w:i/>
          <w:iCs/>
        </w:rPr>
        <w:t>.</w:t>
      </w:r>
      <w:r>
        <w:rPr>
          <w:i/>
          <w:iCs/>
        </w:rPr>
        <w:t xml:space="preserve"> </w:t>
      </w:r>
      <w:r w:rsidRPr="00716E7D">
        <w:rPr>
          <w:i/>
          <w:iCs/>
        </w:rPr>
        <w:t>JID Innovations</w:t>
      </w:r>
      <w:r>
        <w:t xml:space="preserve"> 2021; 1:100042.</w:t>
      </w:r>
    </w:p>
  </w:footnote>
  <w:footnote w:id="11">
    <w:p w14:paraId="41E642D0" w14:textId="250C27E7" w:rsidR="00BF4D29" w:rsidRDefault="00BF4D29" w:rsidP="008A21C8">
      <w:pPr>
        <w:pStyle w:val="FootnoteText"/>
      </w:pPr>
      <w:r>
        <w:rPr>
          <w:rStyle w:val="FootnoteReference"/>
        </w:rPr>
        <w:footnoteRef/>
      </w:r>
      <w:r>
        <w:t xml:space="preserve"> </w:t>
      </w:r>
      <w:r>
        <w:t xml:space="preserve">Francuzik W, Alexiou A, Worm M. Safety of dupilumab in patients with atopic dermatitis: expert opinion. </w:t>
      </w:r>
      <w:r w:rsidRPr="00B33E04">
        <w:rPr>
          <w:i/>
          <w:iCs/>
        </w:rPr>
        <w:t>Expert Opin Drug Saf</w:t>
      </w:r>
      <w:r>
        <w:t xml:space="preserve"> 2021; 20(9): 997-1004.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351117" w14:textId="77777777" w:rsidR="00B85535" w:rsidRDefault="00B855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0AB46" w14:textId="477832E7" w:rsidR="00BF4D29" w:rsidRPr="00BF43F9" w:rsidRDefault="00BF4D29">
    <w:pPr>
      <w:pStyle w:val="Header"/>
      <w:rPr>
        <w:i/>
        <w:iCs/>
      </w:rPr>
    </w:pPr>
    <w:r>
      <w:rPr>
        <w:i/>
        <w:iCs/>
      </w:rPr>
      <w:t xml:space="preserve">Public Summary Document </w:t>
    </w:r>
    <w:r w:rsidRPr="00BF43F9">
      <w:rPr>
        <w:i/>
        <w:iCs/>
      </w:rPr>
      <w:t>– March 2022 PBAC Meeting</w:t>
    </w:r>
  </w:p>
  <w:p w14:paraId="5E83BD6D" w14:textId="77777777" w:rsidR="00BF4D29" w:rsidRDefault="00BF4D2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764D7" w14:textId="77777777" w:rsidR="00B85535" w:rsidRDefault="00B855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D7E59C4"/>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16A67D4"/>
    <w:multiLevelType w:val="hybridMultilevel"/>
    <w:tmpl w:val="2EE22408"/>
    <w:lvl w:ilvl="0" w:tplc="601EB27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56C30"/>
    <w:multiLevelType w:val="hybridMultilevel"/>
    <w:tmpl w:val="062E95FC"/>
    <w:lvl w:ilvl="0" w:tplc="44DE4AB2">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8D4654B"/>
    <w:multiLevelType w:val="hybridMultilevel"/>
    <w:tmpl w:val="81F2B3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17A2F72"/>
    <w:multiLevelType w:val="hybridMultilevel"/>
    <w:tmpl w:val="A202CD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383609"/>
    <w:multiLevelType w:val="hybridMultilevel"/>
    <w:tmpl w:val="AD8090D0"/>
    <w:lvl w:ilvl="0" w:tplc="A6D6EF40">
      <w:start w:val="1"/>
      <w:numFmt w:val="bullet"/>
      <w:pStyle w:val="TableBullet"/>
      <w:lvlText w:val=""/>
      <w:lvlJc w:val="left"/>
      <w:pPr>
        <w:ind w:left="720" w:hanging="360"/>
      </w:pPr>
      <w:rPr>
        <w:rFonts w:ascii="Symbol" w:hAnsi="Symbol" w:hint="default"/>
      </w:rPr>
    </w:lvl>
    <w:lvl w:ilvl="1" w:tplc="1CCAC464">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FA41250"/>
    <w:multiLevelType w:val="hybridMultilevel"/>
    <w:tmpl w:val="84EE2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88A65E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B2728E1"/>
    <w:multiLevelType w:val="hybridMultilevel"/>
    <w:tmpl w:val="DA603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B02DF1"/>
    <w:multiLevelType w:val="hybridMultilevel"/>
    <w:tmpl w:val="68E0DE2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53672A"/>
    <w:multiLevelType w:val="hybridMultilevel"/>
    <w:tmpl w:val="1A8CB506"/>
    <w:lvl w:ilvl="0" w:tplc="0C090017">
      <w:start w:val="1"/>
      <w:numFmt w:val="lowerLetter"/>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21"/>
  </w:num>
  <w:num w:numId="2">
    <w:abstractNumId w:val="15"/>
  </w:num>
  <w:num w:numId="3">
    <w:abstractNumId w:val="16"/>
  </w:num>
  <w:num w:numId="4">
    <w:abstractNumId w:val="0"/>
  </w:num>
  <w:num w:numId="5">
    <w:abstractNumId w:val="21"/>
  </w:num>
  <w:num w:numId="6">
    <w:abstractNumId w:val="7"/>
  </w:num>
  <w:num w:numId="7">
    <w:abstractNumId w:val="2"/>
  </w:num>
  <w:num w:numId="8">
    <w:abstractNumId w:val="12"/>
  </w:num>
  <w:num w:numId="9">
    <w:abstractNumId w:val="14"/>
  </w:num>
  <w:num w:numId="10">
    <w:abstractNumId w:val="8"/>
  </w:num>
  <w:num w:numId="11">
    <w:abstractNumId w:val="22"/>
  </w:num>
  <w:num w:numId="12">
    <w:abstractNumId w:val="6"/>
  </w:num>
  <w:num w:numId="13">
    <w:abstractNumId w:val="19"/>
  </w:num>
  <w:num w:numId="14">
    <w:abstractNumId w:val="21"/>
  </w:num>
  <w:num w:numId="15">
    <w:abstractNumId w:val="0"/>
  </w:num>
  <w:num w:numId="16">
    <w:abstractNumId w:val="21"/>
  </w:num>
  <w:num w:numId="17">
    <w:abstractNumId w:val="21"/>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
  </w:num>
  <w:num w:numId="21">
    <w:abstractNumId w:val="21"/>
  </w:num>
  <w:num w:numId="22">
    <w:abstractNumId w:val="0"/>
  </w:num>
  <w:num w:numId="23">
    <w:abstractNumId w:val="0"/>
  </w:num>
  <w:num w:numId="24">
    <w:abstractNumId w:val="21"/>
  </w:num>
  <w:num w:numId="25">
    <w:abstractNumId w:val="4"/>
  </w:num>
  <w:num w:numId="26">
    <w:abstractNumId w:val="17"/>
  </w:num>
  <w:num w:numId="27">
    <w:abstractNumId w:val="5"/>
  </w:num>
  <w:num w:numId="28">
    <w:abstractNumId w:val="1"/>
  </w:num>
  <w:num w:numId="29">
    <w:abstractNumId w:val="10"/>
  </w:num>
  <w:num w:numId="30">
    <w:abstractNumId w:val="13"/>
  </w:num>
  <w:num w:numId="31">
    <w:abstractNumId w:val="9"/>
  </w:num>
  <w:num w:numId="3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1"/>
  </w:num>
  <w:num w:numId="35">
    <w:abstractNumId w:val="0"/>
  </w:num>
  <w:num w:numId="36">
    <w:abstractNumId w:val="21"/>
  </w:num>
  <w:num w:numId="37">
    <w:abstractNumId w:val="21"/>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21"/>
  </w:num>
  <w:num w:numId="41">
    <w:abstractNumId w:val="11"/>
  </w:num>
  <w:num w:numId="42">
    <w:abstractNumId w:val="2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IE" w:vendorID="64" w:dllVersion="0" w:nlCheck="1" w:checkStyle="0"/>
  <w:activeWritingStyle w:appName="MSWord" w:lang="en-AU" w:vendorID="64" w:dllVersion="6" w:nlCheck="1" w:checkStyle="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E79"/>
    <w:rsid w:val="00000790"/>
    <w:rsid w:val="00000C37"/>
    <w:rsid w:val="0000110B"/>
    <w:rsid w:val="00003499"/>
    <w:rsid w:val="00003869"/>
    <w:rsid w:val="000039B7"/>
    <w:rsid w:val="000048E8"/>
    <w:rsid w:val="000049E7"/>
    <w:rsid w:val="0000639A"/>
    <w:rsid w:val="000101C5"/>
    <w:rsid w:val="000105DA"/>
    <w:rsid w:val="00011A77"/>
    <w:rsid w:val="00013167"/>
    <w:rsid w:val="00013247"/>
    <w:rsid w:val="00015225"/>
    <w:rsid w:val="00015886"/>
    <w:rsid w:val="000162EF"/>
    <w:rsid w:val="00016457"/>
    <w:rsid w:val="0001687F"/>
    <w:rsid w:val="0001738C"/>
    <w:rsid w:val="000202A8"/>
    <w:rsid w:val="000207C9"/>
    <w:rsid w:val="0002225F"/>
    <w:rsid w:val="00022A4E"/>
    <w:rsid w:val="00023763"/>
    <w:rsid w:val="00023DA5"/>
    <w:rsid w:val="00024386"/>
    <w:rsid w:val="00024CA0"/>
    <w:rsid w:val="000259BE"/>
    <w:rsid w:val="000274A8"/>
    <w:rsid w:val="000274B8"/>
    <w:rsid w:val="00031847"/>
    <w:rsid w:val="000322AF"/>
    <w:rsid w:val="00033863"/>
    <w:rsid w:val="000343A2"/>
    <w:rsid w:val="00035132"/>
    <w:rsid w:val="00035DC0"/>
    <w:rsid w:val="00036829"/>
    <w:rsid w:val="0003698F"/>
    <w:rsid w:val="00040895"/>
    <w:rsid w:val="0004241B"/>
    <w:rsid w:val="000435EE"/>
    <w:rsid w:val="00043C37"/>
    <w:rsid w:val="00045017"/>
    <w:rsid w:val="00045A2B"/>
    <w:rsid w:val="0004698F"/>
    <w:rsid w:val="00047523"/>
    <w:rsid w:val="00047C32"/>
    <w:rsid w:val="000537DD"/>
    <w:rsid w:val="000539D0"/>
    <w:rsid w:val="00053EB3"/>
    <w:rsid w:val="00054621"/>
    <w:rsid w:val="000546D7"/>
    <w:rsid w:val="00056270"/>
    <w:rsid w:val="00056ECF"/>
    <w:rsid w:val="000604DF"/>
    <w:rsid w:val="00060E8B"/>
    <w:rsid w:val="00061C65"/>
    <w:rsid w:val="00063328"/>
    <w:rsid w:val="00063345"/>
    <w:rsid w:val="00064AB8"/>
    <w:rsid w:val="000653B5"/>
    <w:rsid w:val="00065733"/>
    <w:rsid w:val="00066360"/>
    <w:rsid w:val="00066AF8"/>
    <w:rsid w:val="00066F2E"/>
    <w:rsid w:val="00067981"/>
    <w:rsid w:val="00070320"/>
    <w:rsid w:val="00070436"/>
    <w:rsid w:val="0007072D"/>
    <w:rsid w:val="00071248"/>
    <w:rsid w:val="0007136A"/>
    <w:rsid w:val="000719D1"/>
    <w:rsid w:val="00071DE8"/>
    <w:rsid w:val="000720B9"/>
    <w:rsid w:val="00072F38"/>
    <w:rsid w:val="0007314C"/>
    <w:rsid w:val="000737F7"/>
    <w:rsid w:val="0007672F"/>
    <w:rsid w:val="00076B54"/>
    <w:rsid w:val="000774C7"/>
    <w:rsid w:val="000774F0"/>
    <w:rsid w:val="0008070F"/>
    <w:rsid w:val="00080909"/>
    <w:rsid w:val="000812CA"/>
    <w:rsid w:val="00081708"/>
    <w:rsid w:val="00081E63"/>
    <w:rsid w:val="0008258D"/>
    <w:rsid w:val="000835EB"/>
    <w:rsid w:val="00083E99"/>
    <w:rsid w:val="00084FA8"/>
    <w:rsid w:val="000856C5"/>
    <w:rsid w:val="00085C31"/>
    <w:rsid w:val="000863FC"/>
    <w:rsid w:val="0008745F"/>
    <w:rsid w:val="000902D9"/>
    <w:rsid w:val="000903F6"/>
    <w:rsid w:val="00090C7E"/>
    <w:rsid w:val="0009208B"/>
    <w:rsid w:val="000923F3"/>
    <w:rsid w:val="00092600"/>
    <w:rsid w:val="0009262B"/>
    <w:rsid w:val="00093310"/>
    <w:rsid w:val="000934E1"/>
    <w:rsid w:val="00094086"/>
    <w:rsid w:val="0009445C"/>
    <w:rsid w:val="00095200"/>
    <w:rsid w:val="00095A2C"/>
    <w:rsid w:val="00095FE5"/>
    <w:rsid w:val="00096284"/>
    <w:rsid w:val="00097EE9"/>
    <w:rsid w:val="000A1507"/>
    <w:rsid w:val="000A1BC0"/>
    <w:rsid w:val="000A1F52"/>
    <w:rsid w:val="000A4674"/>
    <w:rsid w:val="000A5FC3"/>
    <w:rsid w:val="000A6039"/>
    <w:rsid w:val="000A6564"/>
    <w:rsid w:val="000A6AA1"/>
    <w:rsid w:val="000A6E2F"/>
    <w:rsid w:val="000A7453"/>
    <w:rsid w:val="000A7D08"/>
    <w:rsid w:val="000A7E55"/>
    <w:rsid w:val="000B0121"/>
    <w:rsid w:val="000B0670"/>
    <w:rsid w:val="000B0E75"/>
    <w:rsid w:val="000B1BCA"/>
    <w:rsid w:val="000B2A3D"/>
    <w:rsid w:val="000B2D64"/>
    <w:rsid w:val="000B2DCB"/>
    <w:rsid w:val="000B3599"/>
    <w:rsid w:val="000B51DE"/>
    <w:rsid w:val="000B54C6"/>
    <w:rsid w:val="000B553C"/>
    <w:rsid w:val="000B5CE0"/>
    <w:rsid w:val="000B6CAC"/>
    <w:rsid w:val="000B7612"/>
    <w:rsid w:val="000B773B"/>
    <w:rsid w:val="000B78AE"/>
    <w:rsid w:val="000C0542"/>
    <w:rsid w:val="000C38D5"/>
    <w:rsid w:val="000C3DF9"/>
    <w:rsid w:val="000C516F"/>
    <w:rsid w:val="000C6713"/>
    <w:rsid w:val="000C6B72"/>
    <w:rsid w:val="000C6C28"/>
    <w:rsid w:val="000D0708"/>
    <w:rsid w:val="000D0CF0"/>
    <w:rsid w:val="000D1BFC"/>
    <w:rsid w:val="000D1D5D"/>
    <w:rsid w:val="000D1E3A"/>
    <w:rsid w:val="000D247A"/>
    <w:rsid w:val="000D281A"/>
    <w:rsid w:val="000D2848"/>
    <w:rsid w:val="000D326A"/>
    <w:rsid w:val="000D48F4"/>
    <w:rsid w:val="000D4E1F"/>
    <w:rsid w:val="000D51FB"/>
    <w:rsid w:val="000D6424"/>
    <w:rsid w:val="000D6EA0"/>
    <w:rsid w:val="000E014C"/>
    <w:rsid w:val="000E0640"/>
    <w:rsid w:val="000E135D"/>
    <w:rsid w:val="000E1D97"/>
    <w:rsid w:val="000E35FA"/>
    <w:rsid w:val="000F00BA"/>
    <w:rsid w:val="000F2C1D"/>
    <w:rsid w:val="000F316A"/>
    <w:rsid w:val="000F3C74"/>
    <w:rsid w:val="000F4BB8"/>
    <w:rsid w:val="000F4C8D"/>
    <w:rsid w:val="000F4FA9"/>
    <w:rsid w:val="000F53FB"/>
    <w:rsid w:val="000F67DE"/>
    <w:rsid w:val="000F7127"/>
    <w:rsid w:val="000F7B54"/>
    <w:rsid w:val="00100F8A"/>
    <w:rsid w:val="00101459"/>
    <w:rsid w:val="00101BC0"/>
    <w:rsid w:val="00101C70"/>
    <w:rsid w:val="0010452E"/>
    <w:rsid w:val="00105AE2"/>
    <w:rsid w:val="001060C6"/>
    <w:rsid w:val="00106B64"/>
    <w:rsid w:val="00106B80"/>
    <w:rsid w:val="001074B8"/>
    <w:rsid w:val="0010756C"/>
    <w:rsid w:val="0011032E"/>
    <w:rsid w:val="001131B4"/>
    <w:rsid w:val="0011348B"/>
    <w:rsid w:val="001140AA"/>
    <w:rsid w:val="00114559"/>
    <w:rsid w:val="00115982"/>
    <w:rsid w:val="00116C53"/>
    <w:rsid w:val="001170C0"/>
    <w:rsid w:val="00117A09"/>
    <w:rsid w:val="001206CC"/>
    <w:rsid w:val="001212AF"/>
    <w:rsid w:val="00121628"/>
    <w:rsid w:val="00121799"/>
    <w:rsid w:val="00121B1F"/>
    <w:rsid w:val="001222FC"/>
    <w:rsid w:val="00122318"/>
    <w:rsid w:val="00122C35"/>
    <w:rsid w:val="00123567"/>
    <w:rsid w:val="00123902"/>
    <w:rsid w:val="00124448"/>
    <w:rsid w:val="00124A51"/>
    <w:rsid w:val="00126007"/>
    <w:rsid w:val="00126621"/>
    <w:rsid w:val="00126B1D"/>
    <w:rsid w:val="0012790F"/>
    <w:rsid w:val="001301E9"/>
    <w:rsid w:val="00131BC3"/>
    <w:rsid w:val="00131D82"/>
    <w:rsid w:val="00132B22"/>
    <w:rsid w:val="00133D36"/>
    <w:rsid w:val="00133FA6"/>
    <w:rsid w:val="00134267"/>
    <w:rsid w:val="00134528"/>
    <w:rsid w:val="0013691E"/>
    <w:rsid w:val="00136D65"/>
    <w:rsid w:val="001371DC"/>
    <w:rsid w:val="00137645"/>
    <w:rsid w:val="00137E10"/>
    <w:rsid w:val="0014015A"/>
    <w:rsid w:val="00140E99"/>
    <w:rsid w:val="00142825"/>
    <w:rsid w:val="00143822"/>
    <w:rsid w:val="00143F67"/>
    <w:rsid w:val="00144D2B"/>
    <w:rsid w:val="00145540"/>
    <w:rsid w:val="00145612"/>
    <w:rsid w:val="001456B0"/>
    <w:rsid w:val="00145A73"/>
    <w:rsid w:val="00145D30"/>
    <w:rsid w:val="001476CB"/>
    <w:rsid w:val="001506D5"/>
    <w:rsid w:val="00151C09"/>
    <w:rsid w:val="00152C9F"/>
    <w:rsid w:val="00152CF3"/>
    <w:rsid w:val="00153361"/>
    <w:rsid w:val="00155443"/>
    <w:rsid w:val="00155714"/>
    <w:rsid w:val="00156F8F"/>
    <w:rsid w:val="00157130"/>
    <w:rsid w:val="001576B1"/>
    <w:rsid w:val="0016047B"/>
    <w:rsid w:val="0016049E"/>
    <w:rsid w:val="00160A4C"/>
    <w:rsid w:val="001612C5"/>
    <w:rsid w:val="00162913"/>
    <w:rsid w:val="00162AC9"/>
    <w:rsid w:val="00163EFF"/>
    <w:rsid w:val="00163F5A"/>
    <w:rsid w:val="00163F66"/>
    <w:rsid w:val="0016478F"/>
    <w:rsid w:val="001653B3"/>
    <w:rsid w:val="00165BDF"/>
    <w:rsid w:val="001661FB"/>
    <w:rsid w:val="00166CFB"/>
    <w:rsid w:val="001671A0"/>
    <w:rsid w:val="0016751E"/>
    <w:rsid w:val="0016767F"/>
    <w:rsid w:val="0017319A"/>
    <w:rsid w:val="00173565"/>
    <w:rsid w:val="00173B07"/>
    <w:rsid w:val="001751FA"/>
    <w:rsid w:val="00180442"/>
    <w:rsid w:val="001808D3"/>
    <w:rsid w:val="00181D9C"/>
    <w:rsid w:val="00182BE7"/>
    <w:rsid w:val="00183AFC"/>
    <w:rsid w:val="001846E1"/>
    <w:rsid w:val="001847B3"/>
    <w:rsid w:val="001848FD"/>
    <w:rsid w:val="00184B0E"/>
    <w:rsid w:val="00185359"/>
    <w:rsid w:val="00185609"/>
    <w:rsid w:val="00185CC3"/>
    <w:rsid w:val="0018752F"/>
    <w:rsid w:val="001903A5"/>
    <w:rsid w:val="00191A4A"/>
    <w:rsid w:val="00193838"/>
    <w:rsid w:val="00193AD8"/>
    <w:rsid w:val="00193D91"/>
    <w:rsid w:val="00194A52"/>
    <w:rsid w:val="00194AD8"/>
    <w:rsid w:val="00195222"/>
    <w:rsid w:val="001957F7"/>
    <w:rsid w:val="00195D4B"/>
    <w:rsid w:val="00195EF5"/>
    <w:rsid w:val="001975D8"/>
    <w:rsid w:val="00197AB2"/>
    <w:rsid w:val="001A1240"/>
    <w:rsid w:val="001A178E"/>
    <w:rsid w:val="001A187A"/>
    <w:rsid w:val="001A2297"/>
    <w:rsid w:val="001A2B91"/>
    <w:rsid w:val="001A33AB"/>
    <w:rsid w:val="001A4326"/>
    <w:rsid w:val="001A43FA"/>
    <w:rsid w:val="001A47C5"/>
    <w:rsid w:val="001A59FB"/>
    <w:rsid w:val="001A5E9E"/>
    <w:rsid w:val="001A6354"/>
    <w:rsid w:val="001A6366"/>
    <w:rsid w:val="001A7781"/>
    <w:rsid w:val="001A7AE8"/>
    <w:rsid w:val="001B0196"/>
    <w:rsid w:val="001B032D"/>
    <w:rsid w:val="001B204E"/>
    <w:rsid w:val="001B2372"/>
    <w:rsid w:val="001B3443"/>
    <w:rsid w:val="001B36F6"/>
    <w:rsid w:val="001B4D20"/>
    <w:rsid w:val="001B4FEE"/>
    <w:rsid w:val="001B5899"/>
    <w:rsid w:val="001C0255"/>
    <w:rsid w:val="001C2A9B"/>
    <w:rsid w:val="001C4299"/>
    <w:rsid w:val="001C4874"/>
    <w:rsid w:val="001C5F94"/>
    <w:rsid w:val="001C6B97"/>
    <w:rsid w:val="001C6E66"/>
    <w:rsid w:val="001C74B7"/>
    <w:rsid w:val="001C79E7"/>
    <w:rsid w:val="001C7C90"/>
    <w:rsid w:val="001D1100"/>
    <w:rsid w:val="001D1391"/>
    <w:rsid w:val="001D2362"/>
    <w:rsid w:val="001D25D7"/>
    <w:rsid w:val="001D317A"/>
    <w:rsid w:val="001D4A8F"/>
    <w:rsid w:val="001D4ECA"/>
    <w:rsid w:val="001D50B2"/>
    <w:rsid w:val="001D58AA"/>
    <w:rsid w:val="001D6266"/>
    <w:rsid w:val="001D643A"/>
    <w:rsid w:val="001D7645"/>
    <w:rsid w:val="001E0057"/>
    <w:rsid w:val="001E0CEC"/>
    <w:rsid w:val="001E1E86"/>
    <w:rsid w:val="001E238E"/>
    <w:rsid w:val="001E2483"/>
    <w:rsid w:val="001E27BF"/>
    <w:rsid w:val="001E2B1E"/>
    <w:rsid w:val="001E2CFF"/>
    <w:rsid w:val="001E2F24"/>
    <w:rsid w:val="001E30D4"/>
    <w:rsid w:val="001E34DF"/>
    <w:rsid w:val="001E3CA1"/>
    <w:rsid w:val="001E3D06"/>
    <w:rsid w:val="001E424D"/>
    <w:rsid w:val="001E48E8"/>
    <w:rsid w:val="001E52EB"/>
    <w:rsid w:val="001E53EF"/>
    <w:rsid w:val="001E5FF7"/>
    <w:rsid w:val="001E61D2"/>
    <w:rsid w:val="001E740C"/>
    <w:rsid w:val="001F02D6"/>
    <w:rsid w:val="001F1235"/>
    <w:rsid w:val="001F1CB3"/>
    <w:rsid w:val="001F2301"/>
    <w:rsid w:val="001F2805"/>
    <w:rsid w:val="001F365D"/>
    <w:rsid w:val="001F38B5"/>
    <w:rsid w:val="001F4081"/>
    <w:rsid w:val="001F5AA4"/>
    <w:rsid w:val="001F7259"/>
    <w:rsid w:val="001F7361"/>
    <w:rsid w:val="001F7BA0"/>
    <w:rsid w:val="002011B0"/>
    <w:rsid w:val="00203181"/>
    <w:rsid w:val="00203783"/>
    <w:rsid w:val="0020385F"/>
    <w:rsid w:val="0020410A"/>
    <w:rsid w:val="00204656"/>
    <w:rsid w:val="00205732"/>
    <w:rsid w:val="00205EC5"/>
    <w:rsid w:val="002068A0"/>
    <w:rsid w:val="00206F85"/>
    <w:rsid w:val="00207021"/>
    <w:rsid w:val="0020732F"/>
    <w:rsid w:val="00207D00"/>
    <w:rsid w:val="002105C1"/>
    <w:rsid w:val="0021108F"/>
    <w:rsid w:val="00213123"/>
    <w:rsid w:val="002133A7"/>
    <w:rsid w:val="00213EF5"/>
    <w:rsid w:val="00216BF5"/>
    <w:rsid w:val="00217A73"/>
    <w:rsid w:val="00220B0A"/>
    <w:rsid w:val="00223313"/>
    <w:rsid w:val="00223B49"/>
    <w:rsid w:val="00223D5A"/>
    <w:rsid w:val="00223E7D"/>
    <w:rsid w:val="0022439D"/>
    <w:rsid w:val="00224D3B"/>
    <w:rsid w:val="00224DD4"/>
    <w:rsid w:val="002256AA"/>
    <w:rsid w:val="0022742E"/>
    <w:rsid w:val="002278A0"/>
    <w:rsid w:val="00227E6A"/>
    <w:rsid w:val="002309CC"/>
    <w:rsid w:val="00231B36"/>
    <w:rsid w:val="0023209F"/>
    <w:rsid w:val="00233577"/>
    <w:rsid w:val="00233C01"/>
    <w:rsid w:val="0023413C"/>
    <w:rsid w:val="002345AB"/>
    <w:rsid w:val="002346F0"/>
    <w:rsid w:val="0023475D"/>
    <w:rsid w:val="00234972"/>
    <w:rsid w:val="002353D0"/>
    <w:rsid w:val="0023629D"/>
    <w:rsid w:val="00236DDA"/>
    <w:rsid w:val="00237255"/>
    <w:rsid w:val="00237E41"/>
    <w:rsid w:val="00240E72"/>
    <w:rsid w:val="002424AF"/>
    <w:rsid w:val="002439DC"/>
    <w:rsid w:val="002441D2"/>
    <w:rsid w:val="00244DC8"/>
    <w:rsid w:val="00245229"/>
    <w:rsid w:val="002458BA"/>
    <w:rsid w:val="00245CE9"/>
    <w:rsid w:val="00245F63"/>
    <w:rsid w:val="0024636C"/>
    <w:rsid w:val="002465A1"/>
    <w:rsid w:val="00246722"/>
    <w:rsid w:val="0024759C"/>
    <w:rsid w:val="00247925"/>
    <w:rsid w:val="00247D39"/>
    <w:rsid w:val="00251006"/>
    <w:rsid w:val="00251A05"/>
    <w:rsid w:val="002524D5"/>
    <w:rsid w:val="00252E78"/>
    <w:rsid w:val="00253B1D"/>
    <w:rsid w:val="002544AB"/>
    <w:rsid w:val="002547CE"/>
    <w:rsid w:val="00254DCF"/>
    <w:rsid w:val="0025534B"/>
    <w:rsid w:val="00255BB7"/>
    <w:rsid w:val="002572B8"/>
    <w:rsid w:val="00257541"/>
    <w:rsid w:val="00257A39"/>
    <w:rsid w:val="00257AC4"/>
    <w:rsid w:val="00257D9F"/>
    <w:rsid w:val="002618DB"/>
    <w:rsid w:val="00261EEF"/>
    <w:rsid w:val="00262A1A"/>
    <w:rsid w:val="00262A87"/>
    <w:rsid w:val="002636DB"/>
    <w:rsid w:val="00263B11"/>
    <w:rsid w:val="00264D26"/>
    <w:rsid w:val="0026506C"/>
    <w:rsid w:val="00265C3E"/>
    <w:rsid w:val="00266529"/>
    <w:rsid w:val="00266B35"/>
    <w:rsid w:val="00266D28"/>
    <w:rsid w:val="00267642"/>
    <w:rsid w:val="00267AEA"/>
    <w:rsid w:val="002700E6"/>
    <w:rsid w:val="00270FB7"/>
    <w:rsid w:val="00272591"/>
    <w:rsid w:val="00272678"/>
    <w:rsid w:val="0027294B"/>
    <w:rsid w:val="00272B4C"/>
    <w:rsid w:val="00273EB4"/>
    <w:rsid w:val="00274682"/>
    <w:rsid w:val="00274A28"/>
    <w:rsid w:val="00275C5A"/>
    <w:rsid w:val="002764E2"/>
    <w:rsid w:val="00276EF3"/>
    <w:rsid w:val="0028073B"/>
    <w:rsid w:val="00281014"/>
    <w:rsid w:val="00282524"/>
    <w:rsid w:val="00284385"/>
    <w:rsid w:val="0028665D"/>
    <w:rsid w:val="00287115"/>
    <w:rsid w:val="0029272B"/>
    <w:rsid w:val="002928FE"/>
    <w:rsid w:val="00292F4E"/>
    <w:rsid w:val="002A0342"/>
    <w:rsid w:val="002A0D00"/>
    <w:rsid w:val="002A14AB"/>
    <w:rsid w:val="002A2ADE"/>
    <w:rsid w:val="002A2F50"/>
    <w:rsid w:val="002A3786"/>
    <w:rsid w:val="002A4A7D"/>
    <w:rsid w:val="002A4D79"/>
    <w:rsid w:val="002B05A1"/>
    <w:rsid w:val="002B09A4"/>
    <w:rsid w:val="002B192D"/>
    <w:rsid w:val="002B1C1F"/>
    <w:rsid w:val="002B2AFC"/>
    <w:rsid w:val="002B30FB"/>
    <w:rsid w:val="002B432F"/>
    <w:rsid w:val="002B6025"/>
    <w:rsid w:val="002B62B3"/>
    <w:rsid w:val="002B65E0"/>
    <w:rsid w:val="002B6754"/>
    <w:rsid w:val="002B6CCE"/>
    <w:rsid w:val="002B73D6"/>
    <w:rsid w:val="002C19B2"/>
    <w:rsid w:val="002C1DB8"/>
    <w:rsid w:val="002C2510"/>
    <w:rsid w:val="002C2775"/>
    <w:rsid w:val="002C27C1"/>
    <w:rsid w:val="002C2AC2"/>
    <w:rsid w:val="002C4101"/>
    <w:rsid w:val="002C4AA4"/>
    <w:rsid w:val="002C5099"/>
    <w:rsid w:val="002C52D0"/>
    <w:rsid w:val="002C5889"/>
    <w:rsid w:val="002C6E30"/>
    <w:rsid w:val="002C71CE"/>
    <w:rsid w:val="002C7E16"/>
    <w:rsid w:val="002D0560"/>
    <w:rsid w:val="002D08F8"/>
    <w:rsid w:val="002D1661"/>
    <w:rsid w:val="002D236C"/>
    <w:rsid w:val="002D2A9F"/>
    <w:rsid w:val="002D3A7E"/>
    <w:rsid w:val="002D3C36"/>
    <w:rsid w:val="002D577C"/>
    <w:rsid w:val="002D6296"/>
    <w:rsid w:val="002D6D89"/>
    <w:rsid w:val="002D6E58"/>
    <w:rsid w:val="002D6E89"/>
    <w:rsid w:val="002E0727"/>
    <w:rsid w:val="002E1071"/>
    <w:rsid w:val="002E15B9"/>
    <w:rsid w:val="002E1D13"/>
    <w:rsid w:val="002E2158"/>
    <w:rsid w:val="002E4F02"/>
    <w:rsid w:val="002E7722"/>
    <w:rsid w:val="002F07BA"/>
    <w:rsid w:val="002F0DA9"/>
    <w:rsid w:val="002F1014"/>
    <w:rsid w:val="002F1AA5"/>
    <w:rsid w:val="002F40BD"/>
    <w:rsid w:val="002F473D"/>
    <w:rsid w:val="002F54DC"/>
    <w:rsid w:val="002F58B4"/>
    <w:rsid w:val="002F617F"/>
    <w:rsid w:val="002F643C"/>
    <w:rsid w:val="002F71C0"/>
    <w:rsid w:val="002F74F1"/>
    <w:rsid w:val="00301017"/>
    <w:rsid w:val="0030155F"/>
    <w:rsid w:val="00301999"/>
    <w:rsid w:val="00303053"/>
    <w:rsid w:val="003033C7"/>
    <w:rsid w:val="00303DE0"/>
    <w:rsid w:val="0030587B"/>
    <w:rsid w:val="00306199"/>
    <w:rsid w:val="00306703"/>
    <w:rsid w:val="00306D98"/>
    <w:rsid w:val="003072B2"/>
    <w:rsid w:val="0030786C"/>
    <w:rsid w:val="0031031A"/>
    <w:rsid w:val="00310981"/>
    <w:rsid w:val="003124D9"/>
    <w:rsid w:val="00312594"/>
    <w:rsid w:val="00312AFA"/>
    <w:rsid w:val="00314E7C"/>
    <w:rsid w:val="00315498"/>
    <w:rsid w:val="00316474"/>
    <w:rsid w:val="00316C10"/>
    <w:rsid w:val="0032002D"/>
    <w:rsid w:val="00320B82"/>
    <w:rsid w:val="0032141F"/>
    <w:rsid w:val="00322107"/>
    <w:rsid w:val="00322355"/>
    <w:rsid w:val="00322846"/>
    <w:rsid w:val="003231DE"/>
    <w:rsid w:val="00326DA7"/>
    <w:rsid w:val="003270E4"/>
    <w:rsid w:val="00330DAA"/>
    <w:rsid w:val="00330F5C"/>
    <w:rsid w:val="003353C3"/>
    <w:rsid w:val="003353D6"/>
    <w:rsid w:val="00335BD7"/>
    <w:rsid w:val="00336060"/>
    <w:rsid w:val="003366C9"/>
    <w:rsid w:val="00336BE7"/>
    <w:rsid w:val="003371B0"/>
    <w:rsid w:val="00340DF1"/>
    <w:rsid w:val="003411F0"/>
    <w:rsid w:val="00344361"/>
    <w:rsid w:val="00344403"/>
    <w:rsid w:val="00345FE8"/>
    <w:rsid w:val="00350A30"/>
    <w:rsid w:val="003517F9"/>
    <w:rsid w:val="00351BA9"/>
    <w:rsid w:val="00351CF7"/>
    <w:rsid w:val="00353945"/>
    <w:rsid w:val="00354F18"/>
    <w:rsid w:val="00354F64"/>
    <w:rsid w:val="00355B46"/>
    <w:rsid w:val="00355BC7"/>
    <w:rsid w:val="0035620E"/>
    <w:rsid w:val="003577FA"/>
    <w:rsid w:val="00360345"/>
    <w:rsid w:val="00361A05"/>
    <w:rsid w:val="003624C4"/>
    <w:rsid w:val="00363163"/>
    <w:rsid w:val="00363B00"/>
    <w:rsid w:val="003647BB"/>
    <w:rsid w:val="00365244"/>
    <w:rsid w:val="003654AC"/>
    <w:rsid w:val="00365585"/>
    <w:rsid w:val="00366ECE"/>
    <w:rsid w:val="00367206"/>
    <w:rsid w:val="00370C22"/>
    <w:rsid w:val="003710CF"/>
    <w:rsid w:val="00371C5F"/>
    <w:rsid w:val="00371DDB"/>
    <w:rsid w:val="0037358A"/>
    <w:rsid w:val="00374943"/>
    <w:rsid w:val="00374A18"/>
    <w:rsid w:val="003750F6"/>
    <w:rsid w:val="00375CA6"/>
    <w:rsid w:val="00375D54"/>
    <w:rsid w:val="003760FC"/>
    <w:rsid w:val="00376825"/>
    <w:rsid w:val="00380D46"/>
    <w:rsid w:val="00380F17"/>
    <w:rsid w:val="0038161A"/>
    <w:rsid w:val="003834E4"/>
    <w:rsid w:val="0038365C"/>
    <w:rsid w:val="0038369B"/>
    <w:rsid w:val="00383B78"/>
    <w:rsid w:val="00385669"/>
    <w:rsid w:val="00385A9D"/>
    <w:rsid w:val="00387689"/>
    <w:rsid w:val="003902B1"/>
    <w:rsid w:val="00390D9E"/>
    <w:rsid w:val="0039171F"/>
    <w:rsid w:val="0039179C"/>
    <w:rsid w:val="00391857"/>
    <w:rsid w:val="0039189C"/>
    <w:rsid w:val="0039339C"/>
    <w:rsid w:val="003940B1"/>
    <w:rsid w:val="00394108"/>
    <w:rsid w:val="00396094"/>
    <w:rsid w:val="00396896"/>
    <w:rsid w:val="00396D6A"/>
    <w:rsid w:val="00396F52"/>
    <w:rsid w:val="00396FD0"/>
    <w:rsid w:val="003A020F"/>
    <w:rsid w:val="003A16B7"/>
    <w:rsid w:val="003A1A7A"/>
    <w:rsid w:val="003A1D45"/>
    <w:rsid w:val="003A2392"/>
    <w:rsid w:val="003A2831"/>
    <w:rsid w:val="003A30AF"/>
    <w:rsid w:val="003A3505"/>
    <w:rsid w:val="003A3CB6"/>
    <w:rsid w:val="003A3ED1"/>
    <w:rsid w:val="003A44DB"/>
    <w:rsid w:val="003A666B"/>
    <w:rsid w:val="003A743E"/>
    <w:rsid w:val="003B0531"/>
    <w:rsid w:val="003B0807"/>
    <w:rsid w:val="003B0DF1"/>
    <w:rsid w:val="003B1333"/>
    <w:rsid w:val="003B13BF"/>
    <w:rsid w:val="003B2C38"/>
    <w:rsid w:val="003B3971"/>
    <w:rsid w:val="003B3C0F"/>
    <w:rsid w:val="003B40BB"/>
    <w:rsid w:val="003B47EA"/>
    <w:rsid w:val="003B55D1"/>
    <w:rsid w:val="003B5B61"/>
    <w:rsid w:val="003B746D"/>
    <w:rsid w:val="003B7906"/>
    <w:rsid w:val="003C1654"/>
    <w:rsid w:val="003C1655"/>
    <w:rsid w:val="003C1D9C"/>
    <w:rsid w:val="003C4B10"/>
    <w:rsid w:val="003C4D35"/>
    <w:rsid w:val="003C5542"/>
    <w:rsid w:val="003C66EE"/>
    <w:rsid w:val="003C730A"/>
    <w:rsid w:val="003C7770"/>
    <w:rsid w:val="003C7D19"/>
    <w:rsid w:val="003C7D2F"/>
    <w:rsid w:val="003D04E0"/>
    <w:rsid w:val="003D1219"/>
    <w:rsid w:val="003D12E4"/>
    <w:rsid w:val="003D16DF"/>
    <w:rsid w:val="003D1828"/>
    <w:rsid w:val="003D1DE4"/>
    <w:rsid w:val="003D1E9A"/>
    <w:rsid w:val="003D2422"/>
    <w:rsid w:val="003D2A99"/>
    <w:rsid w:val="003D2D12"/>
    <w:rsid w:val="003D39A1"/>
    <w:rsid w:val="003D3FBF"/>
    <w:rsid w:val="003D4A30"/>
    <w:rsid w:val="003D57A4"/>
    <w:rsid w:val="003D6592"/>
    <w:rsid w:val="003D7452"/>
    <w:rsid w:val="003D79BB"/>
    <w:rsid w:val="003D7C98"/>
    <w:rsid w:val="003D7D9D"/>
    <w:rsid w:val="003E0543"/>
    <w:rsid w:val="003E0E65"/>
    <w:rsid w:val="003E0F28"/>
    <w:rsid w:val="003E2A47"/>
    <w:rsid w:val="003E3A8F"/>
    <w:rsid w:val="003E51B2"/>
    <w:rsid w:val="003E6AEB"/>
    <w:rsid w:val="003E7392"/>
    <w:rsid w:val="003E749E"/>
    <w:rsid w:val="003E76CC"/>
    <w:rsid w:val="003F4156"/>
    <w:rsid w:val="003F4387"/>
    <w:rsid w:val="003F5078"/>
    <w:rsid w:val="003F5ADF"/>
    <w:rsid w:val="003F67E9"/>
    <w:rsid w:val="003F7BAE"/>
    <w:rsid w:val="00400948"/>
    <w:rsid w:val="00400B29"/>
    <w:rsid w:val="00401465"/>
    <w:rsid w:val="00402E1F"/>
    <w:rsid w:val="00402F4F"/>
    <w:rsid w:val="00403EA3"/>
    <w:rsid w:val="00403F73"/>
    <w:rsid w:val="00404271"/>
    <w:rsid w:val="0040504B"/>
    <w:rsid w:val="004059F4"/>
    <w:rsid w:val="00407F07"/>
    <w:rsid w:val="00407FE5"/>
    <w:rsid w:val="004101B0"/>
    <w:rsid w:val="00410326"/>
    <w:rsid w:val="00410708"/>
    <w:rsid w:val="00410A86"/>
    <w:rsid w:val="00410EC7"/>
    <w:rsid w:val="00411B39"/>
    <w:rsid w:val="004127A7"/>
    <w:rsid w:val="00413A1E"/>
    <w:rsid w:val="00414476"/>
    <w:rsid w:val="00414C2E"/>
    <w:rsid w:val="004151CF"/>
    <w:rsid w:val="00416364"/>
    <w:rsid w:val="00416788"/>
    <w:rsid w:val="0042047F"/>
    <w:rsid w:val="00420AA6"/>
    <w:rsid w:val="00420B9F"/>
    <w:rsid w:val="0042136A"/>
    <w:rsid w:val="0042192C"/>
    <w:rsid w:val="00421B33"/>
    <w:rsid w:val="00422260"/>
    <w:rsid w:val="00422595"/>
    <w:rsid w:val="00422C96"/>
    <w:rsid w:val="0042413F"/>
    <w:rsid w:val="00425806"/>
    <w:rsid w:val="004261F7"/>
    <w:rsid w:val="0043038B"/>
    <w:rsid w:val="004304AB"/>
    <w:rsid w:val="004319F8"/>
    <w:rsid w:val="00431E55"/>
    <w:rsid w:val="004321F6"/>
    <w:rsid w:val="00433044"/>
    <w:rsid w:val="00434088"/>
    <w:rsid w:val="004354A3"/>
    <w:rsid w:val="00436FFA"/>
    <w:rsid w:val="004375B9"/>
    <w:rsid w:val="0044169C"/>
    <w:rsid w:val="004428D0"/>
    <w:rsid w:val="00442C23"/>
    <w:rsid w:val="00443339"/>
    <w:rsid w:val="00444185"/>
    <w:rsid w:val="004443A7"/>
    <w:rsid w:val="0044442C"/>
    <w:rsid w:val="0044577E"/>
    <w:rsid w:val="00445941"/>
    <w:rsid w:val="00446233"/>
    <w:rsid w:val="004464EB"/>
    <w:rsid w:val="00446923"/>
    <w:rsid w:val="00447875"/>
    <w:rsid w:val="00447D26"/>
    <w:rsid w:val="00447DFC"/>
    <w:rsid w:val="00451B75"/>
    <w:rsid w:val="0045216D"/>
    <w:rsid w:val="00454930"/>
    <w:rsid w:val="00454A3B"/>
    <w:rsid w:val="00455D45"/>
    <w:rsid w:val="00456225"/>
    <w:rsid w:val="00456265"/>
    <w:rsid w:val="00460C3D"/>
    <w:rsid w:val="004620A2"/>
    <w:rsid w:val="0046337E"/>
    <w:rsid w:val="00464595"/>
    <w:rsid w:val="004656FA"/>
    <w:rsid w:val="004658B5"/>
    <w:rsid w:val="00466A2A"/>
    <w:rsid w:val="00466B62"/>
    <w:rsid w:val="004711C1"/>
    <w:rsid w:val="00471EA5"/>
    <w:rsid w:val="00472A79"/>
    <w:rsid w:val="00472C01"/>
    <w:rsid w:val="00473F19"/>
    <w:rsid w:val="00475BDE"/>
    <w:rsid w:val="00475E22"/>
    <w:rsid w:val="0048088E"/>
    <w:rsid w:val="00480F2B"/>
    <w:rsid w:val="004816BD"/>
    <w:rsid w:val="00482720"/>
    <w:rsid w:val="004830F6"/>
    <w:rsid w:val="004835E7"/>
    <w:rsid w:val="004839EF"/>
    <w:rsid w:val="00484AD6"/>
    <w:rsid w:val="00485A02"/>
    <w:rsid w:val="004867E2"/>
    <w:rsid w:val="0048773C"/>
    <w:rsid w:val="00487CBD"/>
    <w:rsid w:val="0049008B"/>
    <w:rsid w:val="00490654"/>
    <w:rsid w:val="00490B17"/>
    <w:rsid w:val="00490BE3"/>
    <w:rsid w:val="00491B3A"/>
    <w:rsid w:val="0049216B"/>
    <w:rsid w:val="00492CFD"/>
    <w:rsid w:val="00493AD4"/>
    <w:rsid w:val="00494207"/>
    <w:rsid w:val="00494DD5"/>
    <w:rsid w:val="004962D2"/>
    <w:rsid w:val="00496A13"/>
    <w:rsid w:val="004972F2"/>
    <w:rsid w:val="00497574"/>
    <w:rsid w:val="004979F3"/>
    <w:rsid w:val="004A0DA1"/>
    <w:rsid w:val="004A13D6"/>
    <w:rsid w:val="004A2784"/>
    <w:rsid w:val="004A329C"/>
    <w:rsid w:val="004A3F21"/>
    <w:rsid w:val="004A4784"/>
    <w:rsid w:val="004A52E9"/>
    <w:rsid w:val="004A538A"/>
    <w:rsid w:val="004A556B"/>
    <w:rsid w:val="004A56E2"/>
    <w:rsid w:val="004A595B"/>
    <w:rsid w:val="004A6040"/>
    <w:rsid w:val="004A6597"/>
    <w:rsid w:val="004A7848"/>
    <w:rsid w:val="004B011B"/>
    <w:rsid w:val="004B0EFD"/>
    <w:rsid w:val="004B162F"/>
    <w:rsid w:val="004B1CB4"/>
    <w:rsid w:val="004B2F18"/>
    <w:rsid w:val="004B321E"/>
    <w:rsid w:val="004B356F"/>
    <w:rsid w:val="004B3DDB"/>
    <w:rsid w:val="004B41F1"/>
    <w:rsid w:val="004B44FD"/>
    <w:rsid w:val="004B4669"/>
    <w:rsid w:val="004B4BC5"/>
    <w:rsid w:val="004B5427"/>
    <w:rsid w:val="004B5CFC"/>
    <w:rsid w:val="004B6F79"/>
    <w:rsid w:val="004B767D"/>
    <w:rsid w:val="004B774D"/>
    <w:rsid w:val="004C04E9"/>
    <w:rsid w:val="004C071D"/>
    <w:rsid w:val="004C0F94"/>
    <w:rsid w:val="004C1395"/>
    <w:rsid w:val="004C29A3"/>
    <w:rsid w:val="004C4AED"/>
    <w:rsid w:val="004C4AF6"/>
    <w:rsid w:val="004C6020"/>
    <w:rsid w:val="004D2C2D"/>
    <w:rsid w:val="004D30F8"/>
    <w:rsid w:val="004D3D97"/>
    <w:rsid w:val="004D69B5"/>
    <w:rsid w:val="004D6B1A"/>
    <w:rsid w:val="004D7227"/>
    <w:rsid w:val="004D7E7F"/>
    <w:rsid w:val="004E0E7F"/>
    <w:rsid w:val="004E0EB8"/>
    <w:rsid w:val="004E1823"/>
    <w:rsid w:val="004E18E9"/>
    <w:rsid w:val="004E2ADC"/>
    <w:rsid w:val="004E43B2"/>
    <w:rsid w:val="004E5C65"/>
    <w:rsid w:val="004F03D7"/>
    <w:rsid w:val="004F1D02"/>
    <w:rsid w:val="004F2679"/>
    <w:rsid w:val="004F27C3"/>
    <w:rsid w:val="004F2F21"/>
    <w:rsid w:val="004F3DE5"/>
    <w:rsid w:val="004F6222"/>
    <w:rsid w:val="004F6913"/>
    <w:rsid w:val="004F6C9D"/>
    <w:rsid w:val="004F7865"/>
    <w:rsid w:val="004F7CC5"/>
    <w:rsid w:val="0050005D"/>
    <w:rsid w:val="00501003"/>
    <w:rsid w:val="0050174E"/>
    <w:rsid w:val="00501854"/>
    <w:rsid w:val="0050219B"/>
    <w:rsid w:val="005036EC"/>
    <w:rsid w:val="00503AE0"/>
    <w:rsid w:val="00503F17"/>
    <w:rsid w:val="00504E95"/>
    <w:rsid w:val="00505538"/>
    <w:rsid w:val="00506928"/>
    <w:rsid w:val="005077EF"/>
    <w:rsid w:val="00510A1E"/>
    <w:rsid w:val="00510D05"/>
    <w:rsid w:val="00511AD5"/>
    <w:rsid w:val="00511DC7"/>
    <w:rsid w:val="005142C5"/>
    <w:rsid w:val="005146EF"/>
    <w:rsid w:val="00514B65"/>
    <w:rsid w:val="00514D0B"/>
    <w:rsid w:val="00514EBD"/>
    <w:rsid w:val="0051501B"/>
    <w:rsid w:val="00515263"/>
    <w:rsid w:val="005152B5"/>
    <w:rsid w:val="00515917"/>
    <w:rsid w:val="005159C4"/>
    <w:rsid w:val="00515C77"/>
    <w:rsid w:val="005165CB"/>
    <w:rsid w:val="00516B67"/>
    <w:rsid w:val="00517915"/>
    <w:rsid w:val="005202B7"/>
    <w:rsid w:val="0052071C"/>
    <w:rsid w:val="0052123C"/>
    <w:rsid w:val="00521319"/>
    <w:rsid w:val="00522879"/>
    <w:rsid w:val="00522939"/>
    <w:rsid w:val="005229D4"/>
    <w:rsid w:val="00522BC8"/>
    <w:rsid w:val="00522FEE"/>
    <w:rsid w:val="00523C28"/>
    <w:rsid w:val="00525404"/>
    <w:rsid w:val="005304E0"/>
    <w:rsid w:val="0053176B"/>
    <w:rsid w:val="0053181E"/>
    <w:rsid w:val="0053185F"/>
    <w:rsid w:val="005336A8"/>
    <w:rsid w:val="0053519D"/>
    <w:rsid w:val="0053545D"/>
    <w:rsid w:val="005357EE"/>
    <w:rsid w:val="00535B8E"/>
    <w:rsid w:val="00536F42"/>
    <w:rsid w:val="00537182"/>
    <w:rsid w:val="00540EA6"/>
    <w:rsid w:val="00541852"/>
    <w:rsid w:val="00541EA6"/>
    <w:rsid w:val="00541EDD"/>
    <w:rsid w:val="00542743"/>
    <w:rsid w:val="00542C2D"/>
    <w:rsid w:val="00542E55"/>
    <w:rsid w:val="00543AE4"/>
    <w:rsid w:val="005451C4"/>
    <w:rsid w:val="0054540E"/>
    <w:rsid w:val="00546AB7"/>
    <w:rsid w:val="005478BD"/>
    <w:rsid w:val="005479E3"/>
    <w:rsid w:val="005504AF"/>
    <w:rsid w:val="00551358"/>
    <w:rsid w:val="00551985"/>
    <w:rsid w:val="00552BD3"/>
    <w:rsid w:val="005532A0"/>
    <w:rsid w:val="00555109"/>
    <w:rsid w:val="00555455"/>
    <w:rsid w:val="005569AE"/>
    <w:rsid w:val="00556B35"/>
    <w:rsid w:val="0055741A"/>
    <w:rsid w:val="0056085A"/>
    <w:rsid w:val="005611B7"/>
    <w:rsid w:val="005618D4"/>
    <w:rsid w:val="005626D1"/>
    <w:rsid w:val="00562FFA"/>
    <w:rsid w:val="00563AF2"/>
    <w:rsid w:val="00563C38"/>
    <w:rsid w:val="00565DF0"/>
    <w:rsid w:val="005661A6"/>
    <w:rsid w:val="0056696F"/>
    <w:rsid w:val="00566D29"/>
    <w:rsid w:val="00572269"/>
    <w:rsid w:val="0057244A"/>
    <w:rsid w:val="00572D5A"/>
    <w:rsid w:val="00572F26"/>
    <w:rsid w:val="005737AB"/>
    <w:rsid w:val="005750C5"/>
    <w:rsid w:val="005752DE"/>
    <w:rsid w:val="005753A2"/>
    <w:rsid w:val="00575D8D"/>
    <w:rsid w:val="00576972"/>
    <w:rsid w:val="00581004"/>
    <w:rsid w:val="00582108"/>
    <w:rsid w:val="00583523"/>
    <w:rsid w:val="00583699"/>
    <w:rsid w:val="00585CDD"/>
    <w:rsid w:val="005868C5"/>
    <w:rsid w:val="0058692F"/>
    <w:rsid w:val="00587058"/>
    <w:rsid w:val="005871F7"/>
    <w:rsid w:val="00590807"/>
    <w:rsid w:val="00591957"/>
    <w:rsid w:val="005934C1"/>
    <w:rsid w:val="00593907"/>
    <w:rsid w:val="00593C41"/>
    <w:rsid w:val="00594500"/>
    <w:rsid w:val="005963C3"/>
    <w:rsid w:val="00597BF9"/>
    <w:rsid w:val="005A0A21"/>
    <w:rsid w:val="005A1113"/>
    <w:rsid w:val="005A229C"/>
    <w:rsid w:val="005A309A"/>
    <w:rsid w:val="005A35C8"/>
    <w:rsid w:val="005A373D"/>
    <w:rsid w:val="005A773A"/>
    <w:rsid w:val="005A7AF6"/>
    <w:rsid w:val="005A7C15"/>
    <w:rsid w:val="005B01C4"/>
    <w:rsid w:val="005B0B58"/>
    <w:rsid w:val="005B0F09"/>
    <w:rsid w:val="005B1C20"/>
    <w:rsid w:val="005B336D"/>
    <w:rsid w:val="005B4E53"/>
    <w:rsid w:val="005B5857"/>
    <w:rsid w:val="005C0BF0"/>
    <w:rsid w:val="005C1B83"/>
    <w:rsid w:val="005C25FF"/>
    <w:rsid w:val="005C283D"/>
    <w:rsid w:val="005C2ACB"/>
    <w:rsid w:val="005C2D55"/>
    <w:rsid w:val="005C346B"/>
    <w:rsid w:val="005D044D"/>
    <w:rsid w:val="005D0ABD"/>
    <w:rsid w:val="005D0B22"/>
    <w:rsid w:val="005D0C72"/>
    <w:rsid w:val="005D0D1B"/>
    <w:rsid w:val="005D18AD"/>
    <w:rsid w:val="005D1B0C"/>
    <w:rsid w:val="005D26B4"/>
    <w:rsid w:val="005D29B1"/>
    <w:rsid w:val="005D3F6E"/>
    <w:rsid w:val="005D4165"/>
    <w:rsid w:val="005D57D7"/>
    <w:rsid w:val="005D5BB6"/>
    <w:rsid w:val="005D7F11"/>
    <w:rsid w:val="005E0B52"/>
    <w:rsid w:val="005E0EDA"/>
    <w:rsid w:val="005E31F7"/>
    <w:rsid w:val="005E4E18"/>
    <w:rsid w:val="005E55C6"/>
    <w:rsid w:val="005E5B7A"/>
    <w:rsid w:val="005E5CEA"/>
    <w:rsid w:val="005E6CBC"/>
    <w:rsid w:val="005E7012"/>
    <w:rsid w:val="005E72FF"/>
    <w:rsid w:val="005E73C0"/>
    <w:rsid w:val="005E75A3"/>
    <w:rsid w:val="005F06A2"/>
    <w:rsid w:val="005F1343"/>
    <w:rsid w:val="005F1F99"/>
    <w:rsid w:val="005F26E5"/>
    <w:rsid w:val="005F2706"/>
    <w:rsid w:val="005F390F"/>
    <w:rsid w:val="005F54C9"/>
    <w:rsid w:val="005F6A8F"/>
    <w:rsid w:val="005F6BB7"/>
    <w:rsid w:val="005F7588"/>
    <w:rsid w:val="006020C1"/>
    <w:rsid w:val="0060319E"/>
    <w:rsid w:val="00603DB9"/>
    <w:rsid w:val="006054C4"/>
    <w:rsid w:val="00606FBA"/>
    <w:rsid w:val="00607669"/>
    <w:rsid w:val="006076F4"/>
    <w:rsid w:val="00607AFD"/>
    <w:rsid w:val="00610FF1"/>
    <w:rsid w:val="00612F97"/>
    <w:rsid w:val="0061345D"/>
    <w:rsid w:val="00613AC4"/>
    <w:rsid w:val="00614121"/>
    <w:rsid w:val="0061549B"/>
    <w:rsid w:val="00615746"/>
    <w:rsid w:val="00616802"/>
    <w:rsid w:val="0061750B"/>
    <w:rsid w:val="0061750F"/>
    <w:rsid w:val="00617E12"/>
    <w:rsid w:val="00620C25"/>
    <w:rsid w:val="00621477"/>
    <w:rsid w:val="00621ADA"/>
    <w:rsid w:val="00621ED4"/>
    <w:rsid w:val="00623F7B"/>
    <w:rsid w:val="00625E47"/>
    <w:rsid w:val="00626C5C"/>
    <w:rsid w:val="00630FD2"/>
    <w:rsid w:val="0063158F"/>
    <w:rsid w:val="00631C6B"/>
    <w:rsid w:val="00631D6B"/>
    <w:rsid w:val="00632183"/>
    <w:rsid w:val="00632196"/>
    <w:rsid w:val="00632706"/>
    <w:rsid w:val="006330A1"/>
    <w:rsid w:val="00633F98"/>
    <w:rsid w:val="00634380"/>
    <w:rsid w:val="0063479F"/>
    <w:rsid w:val="006353F0"/>
    <w:rsid w:val="006357B5"/>
    <w:rsid w:val="006361A6"/>
    <w:rsid w:val="00636272"/>
    <w:rsid w:val="006364A1"/>
    <w:rsid w:val="0063678E"/>
    <w:rsid w:val="00637BFD"/>
    <w:rsid w:val="006408EC"/>
    <w:rsid w:val="006418B9"/>
    <w:rsid w:val="00641A34"/>
    <w:rsid w:val="00641C4E"/>
    <w:rsid w:val="00641FB3"/>
    <w:rsid w:val="006420C1"/>
    <w:rsid w:val="0064251E"/>
    <w:rsid w:val="00643447"/>
    <w:rsid w:val="0064434C"/>
    <w:rsid w:val="00645675"/>
    <w:rsid w:val="00645BDE"/>
    <w:rsid w:val="00646C5E"/>
    <w:rsid w:val="006471CC"/>
    <w:rsid w:val="00647A29"/>
    <w:rsid w:val="006500A3"/>
    <w:rsid w:val="006506F7"/>
    <w:rsid w:val="0065079F"/>
    <w:rsid w:val="00650E84"/>
    <w:rsid w:val="00651B35"/>
    <w:rsid w:val="006526CC"/>
    <w:rsid w:val="00652A28"/>
    <w:rsid w:val="00652B7F"/>
    <w:rsid w:val="00652F59"/>
    <w:rsid w:val="0065379F"/>
    <w:rsid w:val="006545AE"/>
    <w:rsid w:val="00654745"/>
    <w:rsid w:val="006551EA"/>
    <w:rsid w:val="00655BEA"/>
    <w:rsid w:val="00656188"/>
    <w:rsid w:val="0065715A"/>
    <w:rsid w:val="00657EA1"/>
    <w:rsid w:val="006610F1"/>
    <w:rsid w:val="00661914"/>
    <w:rsid w:val="00661925"/>
    <w:rsid w:val="00661C6B"/>
    <w:rsid w:val="00662D30"/>
    <w:rsid w:val="00663A56"/>
    <w:rsid w:val="00663BD0"/>
    <w:rsid w:val="00664151"/>
    <w:rsid w:val="006648DE"/>
    <w:rsid w:val="00664B38"/>
    <w:rsid w:val="0066617B"/>
    <w:rsid w:val="0066638F"/>
    <w:rsid w:val="00666484"/>
    <w:rsid w:val="00666713"/>
    <w:rsid w:val="00667BD4"/>
    <w:rsid w:val="00667C0D"/>
    <w:rsid w:val="00670281"/>
    <w:rsid w:val="00671004"/>
    <w:rsid w:val="00671D0B"/>
    <w:rsid w:val="00671E49"/>
    <w:rsid w:val="00671E9E"/>
    <w:rsid w:val="00672533"/>
    <w:rsid w:val="00672646"/>
    <w:rsid w:val="00672B77"/>
    <w:rsid w:val="00674C9D"/>
    <w:rsid w:val="00674E42"/>
    <w:rsid w:val="0067572F"/>
    <w:rsid w:val="00677299"/>
    <w:rsid w:val="00677AA3"/>
    <w:rsid w:val="006813F8"/>
    <w:rsid w:val="00682078"/>
    <w:rsid w:val="00682112"/>
    <w:rsid w:val="00682232"/>
    <w:rsid w:val="00682BA6"/>
    <w:rsid w:val="0068458A"/>
    <w:rsid w:val="00685C73"/>
    <w:rsid w:val="0068615D"/>
    <w:rsid w:val="00686957"/>
    <w:rsid w:val="00686FB5"/>
    <w:rsid w:val="0068709B"/>
    <w:rsid w:val="006872BA"/>
    <w:rsid w:val="00687B6E"/>
    <w:rsid w:val="00690795"/>
    <w:rsid w:val="006914C6"/>
    <w:rsid w:val="00691648"/>
    <w:rsid w:val="006917D7"/>
    <w:rsid w:val="006921B2"/>
    <w:rsid w:val="0069355F"/>
    <w:rsid w:val="00693872"/>
    <w:rsid w:val="00693BF1"/>
    <w:rsid w:val="00693E14"/>
    <w:rsid w:val="0069434C"/>
    <w:rsid w:val="00694F44"/>
    <w:rsid w:val="00696F51"/>
    <w:rsid w:val="006970D4"/>
    <w:rsid w:val="00697700"/>
    <w:rsid w:val="006979A5"/>
    <w:rsid w:val="00697E7A"/>
    <w:rsid w:val="006A0BF8"/>
    <w:rsid w:val="006A65AE"/>
    <w:rsid w:val="006A6650"/>
    <w:rsid w:val="006A6886"/>
    <w:rsid w:val="006A6B99"/>
    <w:rsid w:val="006A7E5F"/>
    <w:rsid w:val="006A7FCC"/>
    <w:rsid w:val="006B0524"/>
    <w:rsid w:val="006B0C98"/>
    <w:rsid w:val="006B0EF9"/>
    <w:rsid w:val="006B155F"/>
    <w:rsid w:val="006B261B"/>
    <w:rsid w:val="006B2C90"/>
    <w:rsid w:val="006B35E6"/>
    <w:rsid w:val="006B3AB8"/>
    <w:rsid w:val="006B465A"/>
    <w:rsid w:val="006B5803"/>
    <w:rsid w:val="006B6D18"/>
    <w:rsid w:val="006B6DD0"/>
    <w:rsid w:val="006B7774"/>
    <w:rsid w:val="006B7F0F"/>
    <w:rsid w:val="006C0399"/>
    <w:rsid w:val="006C2A8E"/>
    <w:rsid w:val="006C2B48"/>
    <w:rsid w:val="006C3023"/>
    <w:rsid w:val="006C31E8"/>
    <w:rsid w:val="006C3255"/>
    <w:rsid w:val="006C3CEE"/>
    <w:rsid w:val="006C3F26"/>
    <w:rsid w:val="006C51A9"/>
    <w:rsid w:val="006D0068"/>
    <w:rsid w:val="006D0D17"/>
    <w:rsid w:val="006D3C7D"/>
    <w:rsid w:val="006D4659"/>
    <w:rsid w:val="006D5D5F"/>
    <w:rsid w:val="006D68FB"/>
    <w:rsid w:val="006D7F03"/>
    <w:rsid w:val="006E0E03"/>
    <w:rsid w:val="006E262D"/>
    <w:rsid w:val="006E2868"/>
    <w:rsid w:val="006E3B3B"/>
    <w:rsid w:val="006E3F99"/>
    <w:rsid w:val="006E4521"/>
    <w:rsid w:val="006E5AE6"/>
    <w:rsid w:val="006E63E5"/>
    <w:rsid w:val="006E6AEF"/>
    <w:rsid w:val="006F14D3"/>
    <w:rsid w:val="006F2693"/>
    <w:rsid w:val="006F306C"/>
    <w:rsid w:val="006F33D7"/>
    <w:rsid w:val="006F340F"/>
    <w:rsid w:val="006F3CE7"/>
    <w:rsid w:val="006F4354"/>
    <w:rsid w:val="006F5FDB"/>
    <w:rsid w:val="006F6288"/>
    <w:rsid w:val="006F63A5"/>
    <w:rsid w:val="006F67C1"/>
    <w:rsid w:val="006F6C57"/>
    <w:rsid w:val="007002D6"/>
    <w:rsid w:val="00700D6B"/>
    <w:rsid w:val="0070142B"/>
    <w:rsid w:val="00701EDC"/>
    <w:rsid w:val="0070276E"/>
    <w:rsid w:val="00702F8F"/>
    <w:rsid w:val="007062E1"/>
    <w:rsid w:val="00707749"/>
    <w:rsid w:val="007079FC"/>
    <w:rsid w:val="00711A36"/>
    <w:rsid w:val="00711C9C"/>
    <w:rsid w:val="0071346D"/>
    <w:rsid w:val="00713542"/>
    <w:rsid w:val="0071466A"/>
    <w:rsid w:val="00714C26"/>
    <w:rsid w:val="0071529C"/>
    <w:rsid w:val="00716939"/>
    <w:rsid w:val="00716E7D"/>
    <w:rsid w:val="00716FC9"/>
    <w:rsid w:val="007170DA"/>
    <w:rsid w:val="007172AD"/>
    <w:rsid w:val="007200DE"/>
    <w:rsid w:val="007200EC"/>
    <w:rsid w:val="00720801"/>
    <w:rsid w:val="0072109E"/>
    <w:rsid w:val="00722B1B"/>
    <w:rsid w:val="00722F41"/>
    <w:rsid w:val="00723165"/>
    <w:rsid w:val="0072416F"/>
    <w:rsid w:val="007251E5"/>
    <w:rsid w:val="00725B28"/>
    <w:rsid w:val="00727889"/>
    <w:rsid w:val="00727C94"/>
    <w:rsid w:val="00727E48"/>
    <w:rsid w:val="00730B9A"/>
    <w:rsid w:val="00731B0A"/>
    <w:rsid w:val="00731EAE"/>
    <w:rsid w:val="00731EE4"/>
    <w:rsid w:val="00732726"/>
    <w:rsid w:val="00733073"/>
    <w:rsid w:val="007332DC"/>
    <w:rsid w:val="00733801"/>
    <w:rsid w:val="007344F7"/>
    <w:rsid w:val="007347C2"/>
    <w:rsid w:val="00735033"/>
    <w:rsid w:val="00735328"/>
    <w:rsid w:val="0073685B"/>
    <w:rsid w:val="00736ABC"/>
    <w:rsid w:val="00736FA5"/>
    <w:rsid w:val="007423AE"/>
    <w:rsid w:val="0074266E"/>
    <w:rsid w:val="007426FF"/>
    <w:rsid w:val="00743A51"/>
    <w:rsid w:val="00744802"/>
    <w:rsid w:val="007449BF"/>
    <w:rsid w:val="00745327"/>
    <w:rsid w:val="00745F4A"/>
    <w:rsid w:val="00746B0C"/>
    <w:rsid w:val="00746BC0"/>
    <w:rsid w:val="00746F44"/>
    <w:rsid w:val="00747F55"/>
    <w:rsid w:val="007509DF"/>
    <w:rsid w:val="00750A32"/>
    <w:rsid w:val="007510B4"/>
    <w:rsid w:val="007519E9"/>
    <w:rsid w:val="00751C90"/>
    <w:rsid w:val="00751ECA"/>
    <w:rsid w:val="00752142"/>
    <w:rsid w:val="007523F9"/>
    <w:rsid w:val="00752751"/>
    <w:rsid w:val="0075357E"/>
    <w:rsid w:val="00754191"/>
    <w:rsid w:val="00755764"/>
    <w:rsid w:val="007573E8"/>
    <w:rsid w:val="00757994"/>
    <w:rsid w:val="00760C4E"/>
    <w:rsid w:val="00760F9E"/>
    <w:rsid w:val="007627BE"/>
    <w:rsid w:val="00764F03"/>
    <w:rsid w:val="0076521B"/>
    <w:rsid w:val="00765B1A"/>
    <w:rsid w:val="00765C2C"/>
    <w:rsid w:val="00766959"/>
    <w:rsid w:val="00766BD7"/>
    <w:rsid w:val="00770231"/>
    <w:rsid w:val="0077023D"/>
    <w:rsid w:val="00770DC6"/>
    <w:rsid w:val="00772298"/>
    <w:rsid w:val="00773A73"/>
    <w:rsid w:val="00773E75"/>
    <w:rsid w:val="007740A7"/>
    <w:rsid w:val="00775506"/>
    <w:rsid w:val="00775738"/>
    <w:rsid w:val="00777335"/>
    <w:rsid w:val="007777AE"/>
    <w:rsid w:val="00780430"/>
    <w:rsid w:val="007806F3"/>
    <w:rsid w:val="00782146"/>
    <w:rsid w:val="0078246F"/>
    <w:rsid w:val="00782BC6"/>
    <w:rsid w:val="007843F2"/>
    <w:rsid w:val="00785A9F"/>
    <w:rsid w:val="007866DD"/>
    <w:rsid w:val="007868E0"/>
    <w:rsid w:val="007901FC"/>
    <w:rsid w:val="007902BE"/>
    <w:rsid w:val="00790A30"/>
    <w:rsid w:val="00792001"/>
    <w:rsid w:val="007925DF"/>
    <w:rsid w:val="007930C3"/>
    <w:rsid w:val="00794133"/>
    <w:rsid w:val="00794A49"/>
    <w:rsid w:val="00794B33"/>
    <w:rsid w:val="0079753D"/>
    <w:rsid w:val="007A08AA"/>
    <w:rsid w:val="007A0A12"/>
    <w:rsid w:val="007A132D"/>
    <w:rsid w:val="007A1345"/>
    <w:rsid w:val="007A2DDB"/>
    <w:rsid w:val="007A3970"/>
    <w:rsid w:val="007A3AF3"/>
    <w:rsid w:val="007A55D7"/>
    <w:rsid w:val="007A5A79"/>
    <w:rsid w:val="007A6124"/>
    <w:rsid w:val="007A70BA"/>
    <w:rsid w:val="007A7632"/>
    <w:rsid w:val="007B0D68"/>
    <w:rsid w:val="007B15FC"/>
    <w:rsid w:val="007B251D"/>
    <w:rsid w:val="007B30F8"/>
    <w:rsid w:val="007B4470"/>
    <w:rsid w:val="007B4F58"/>
    <w:rsid w:val="007B50B9"/>
    <w:rsid w:val="007B528D"/>
    <w:rsid w:val="007B63CA"/>
    <w:rsid w:val="007B63D6"/>
    <w:rsid w:val="007B77D1"/>
    <w:rsid w:val="007C07C7"/>
    <w:rsid w:val="007C0EAC"/>
    <w:rsid w:val="007C195D"/>
    <w:rsid w:val="007C1B1C"/>
    <w:rsid w:val="007C1CD9"/>
    <w:rsid w:val="007C24DD"/>
    <w:rsid w:val="007C32EF"/>
    <w:rsid w:val="007C33B8"/>
    <w:rsid w:val="007C361D"/>
    <w:rsid w:val="007C3896"/>
    <w:rsid w:val="007C4B84"/>
    <w:rsid w:val="007C4F0B"/>
    <w:rsid w:val="007C70FF"/>
    <w:rsid w:val="007C7C25"/>
    <w:rsid w:val="007C7D2E"/>
    <w:rsid w:val="007D004F"/>
    <w:rsid w:val="007D00B1"/>
    <w:rsid w:val="007D0B38"/>
    <w:rsid w:val="007D5440"/>
    <w:rsid w:val="007D69EB"/>
    <w:rsid w:val="007D7C2A"/>
    <w:rsid w:val="007E1283"/>
    <w:rsid w:val="007E128F"/>
    <w:rsid w:val="007E30CE"/>
    <w:rsid w:val="007E3778"/>
    <w:rsid w:val="007E48C3"/>
    <w:rsid w:val="007E4E2B"/>
    <w:rsid w:val="007E726E"/>
    <w:rsid w:val="007F1017"/>
    <w:rsid w:val="007F38DD"/>
    <w:rsid w:val="007F4159"/>
    <w:rsid w:val="007F4A3F"/>
    <w:rsid w:val="007F4A61"/>
    <w:rsid w:val="007F4B7A"/>
    <w:rsid w:val="007F4C9B"/>
    <w:rsid w:val="007F4D48"/>
    <w:rsid w:val="007F5255"/>
    <w:rsid w:val="007F56CC"/>
    <w:rsid w:val="007F61C2"/>
    <w:rsid w:val="007F7AA1"/>
    <w:rsid w:val="00800340"/>
    <w:rsid w:val="008018A4"/>
    <w:rsid w:val="00804245"/>
    <w:rsid w:val="00804282"/>
    <w:rsid w:val="00805142"/>
    <w:rsid w:val="00805FCE"/>
    <w:rsid w:val="008066FC"/>
    <w:rsid w:val="00807A49"/>
    <w:rsid w:val="00807A8B"/>
    <w:rsid w:val="0081122B"/>
    <w:rsid w:val="00811383"/>
    <w:rsid w:val="00812006"/>
    <w:rsid w:val="00812149"/>
    <w:rsid w:val="00812CAC"/>
    <w:rsid w:val="00813570"/>
    <w:rsid w:val="0081367F"/>
    <w:rsid w:val="00814CA0"/>
    <w:rsid w:val="00815228"/>
    <w:rsid w:val="00816361"/>
    <w:rsid w:val="008166EF"/>
    <w:rsid w:val="00816736"/>
    <w:rsid w:val="008169DA"/>
    <w:rsid w:val="00816FEF"/>
    <w:rsid w:val="00820A8C"/>
    <w:rsid w:val="00820C27"/>
    <w:rsid w:val="008215FB"/>
    <w:rsid w:val="00822EFA"/>
    <w:rsid w:val="00823174"/>
    <w:rsid w:val="00824BAC"/>
    <w:rsid w:val="00825751"/>
    <w:rsid w:val="00825754"/>
    <w:rsid w:val="008264EB"/>
    <w:rsid w:val="0083071C"/>
    <w:rsid w:val="008307EC"/>
    <w:rsid w:val="00831D6B"/>
    <w:rsid w:val="00833B05"/>
    <w:rsid w:val="00833D45"/>
    <w:rsid w:val="00833F31"/>
    <w:rsid w:val="008362B4"/>
    <w:rsid w:val="008372C0"/>
    <w:rsid w:val="00837394"/>
    <w:rsid w:val="00837DD9"/>
    <w:rsid w:val="00840A9F"/>
    <w:rsid w:val="00840CA2"/>
    <w:rsid w:val="008410FA"/>
    <w:rsid w:val="00841462"/>
    <w:rsid w:val="008423FA"/>
    <w:rsid w:val="0084374F"/>
    <w:rsid w:val="00844986"/>
    <w:rsid w:val="00844A22"/>
    <w:rsid w:val="00846193"/>
    <w:rsid w:val="00847703"/>
    <w:rsid w:val="00847DF5"/>
    <w:rsid w:val="00850AA4"/>
    <w:rsid w:val="00852EEC"/>
    <w:rsid w:val="0085309D"/>
    <w:rsid w:val="00854A1F"/>
    <w:rsid w:val="00855CD7"/>
    <w:rsid w:val="00856897"/>
    <w:rsid w:val="00856E9A"/>
    <w:rsid w:val="0086075D"/>
    <w:rsid w:val="00861B18"/>
    <w:rsid w:val="00862502"/>
    <w:rsid w:val="00862CC1"/>
    <w:rsid w:val="0086536E"/>
    <w:rsid w:val="008660D4"/>
    <w:rsid w:val="008669B3"/>
    <w:rsid w:val="00870430"/>
    <w:rsid w:val="00871570"/>
    <w:rsid w:val="00871D84"/>
    <w:rsid w:val="00871FA9"/>
    <w:rsid w:val="008721B5"/>
    <w:rsid w:val="008728E9"/>
    <w:rsid w:val="00875470"/>
    <w:rsid w:val="00875F96"/>
    <w:rsid w:val="00882874"/>
    <w:rsid w:val="00882E3C"/>
    <w:rsid w:val="00883787"/>
    <w:rsid w:val="00883B12"/>
    <w:rsid w:val="00883FC9"/>
    <w:rsid w:val="008843E9"/>
    <w:rsid w:val="008852C5"/>
    <w:rsid w:val="008855E4"/>
    <w:rsid w:val="0088631B"/>
    <w:rsid w:val="00886CD2"/>
    <w:rsid w:val="00886DBA"/>
    <w:rsid w:val="00887020"/>
    <w:rsid w:val="0088752A"/>
    <w:rsid w:val="008875A3"/>
    <w:rsid w:val="0088766F"/>
    <w:rsid w:val="00887B02"/>
    <w:rsid w:val="00890056"/>
    <w:rsid w:val="00890377"/>
    <w:rsid w:val="008911B1"/>
    <w:rsid w:val="00891CB7"/>
    <w:rsid w:val="00891E6F"/>
    <w:rsid w:val="0089275D"/>
    <w:rsid w:val="00892A36"/>
    <w:rsid w:val="00893239"/>
    <w:rsid w:val="008934D0"/>
    <w:rsid w:val="00894489"/>
    <w:rsid w:val="00894724"/>
    <w:rsid w:val="00894C24"/>
    <w:rsid w:val="00894C94"/>
    <w:rsid w:val="00894D0F"/>
    <w:rsid w:val="008950FF"/>
    <w:rsid w:val="008963A5"/>
    <w:rsid w:val="00896B61"/>
    <w:rsid w:val="00896D5D"/>
    <w:rsid w:val="008A0096"/>
    <w:rsid w:val="008A0FC3"/>
    <w:rsid w:val="008A1C63"/>
    <w:rsid w:val="008A21C8"/>
    <w:rsid w:val="008A22B6"/>
    <w:rsid w:val="008A3363"/>
    <w:rsid w:val="008A3371"/>
    <w:rsid w:val="008A369D"/>
    <w:rsid w:val="008A3C3E"/>
    <w:rsid w:val="008A49F9"/>
    <w:rsid w:val="008A5E25"/>
    <w:rsid w:val="008A6105"/>
    <w:rsid w:val="008A79DE"/>
    <w:rsid w:val="008B0881"/>
    <w:rsid w:val="008B1757"/>
    <w:rsid w:val="008B756D"/>
    <w:rsid w:val="008B77D0"/>
    <w:rsid w:val="008B7992"/>
    <w:rsid w:val="008B7D7E"/>
    <w:rsid w:val="008B7DA9"/>
    <w:rsid w:val="008B7F25"/>
    <w:rsid w:val="008C07EF"/>
    <w:rsid w:val="008C099A"/>
    <w:rsid w:val="008C0CC2"/>
    <w:rsid w:val="008C283C"/>
    <w:rsid w:val="008C338A"/>
    <w:rsid w:val="008C546E"/>
    <w:rsid w:val="008C5610"/>
    <w:rsid w:val="008C5739"/>
    <w:rsid w:val="008C7ECB"/>
    <w:rsid w:val="008D0682"/>
    <w:rsid w:val="008D25A2"/>
    <w:rsid w:val="008D2A5A"/>
    <w:rsid w:val="008D2C93"/>
    <w:rsid w:val="008D3A64"/>
    <w:rsid w:val="008D3B86"/>
    <w:rsid w:val="008D3F08"/>
    <w:rsid w:val="008D44E8"/>
    <w:rsid w:val="008D4755"/>
    <w:rsid w:val="008D493C"/>
    <w:rsid w:val="008D4C3D"/>
    <w:rsid w:val="008D4C9B"/>
    <w:rsid w:val="008D5704"/>
    <w:rsid w:val="008D58BA"/>
    <w:rsid w:val="008D5DED"/>
    <w:rsid w:val="008D6B93"/>
    <w:rsid w:val="008D743C"/>
    <w:rsid w:val="008D77E0"/>
    <w:rsid w:val="008D7A92"/>
    <w:rsid w:val="008D7B11"/>
    <w:rsid w:val="008E0331"/>
    <w:rsid w:val="008E0AE3"/>
    <w:rsid w:val="008E0D3C"/>
    <w:rsid w:val="008E1B9E"/>
    <w:rsid w:val="008E1E58"/>
    <w:rsid w:val="008E2057"/>
    <w:rsid w:val="008E341D"/>
    <w:rsid w:val="008E4AE5"/>
    <w:rsid w:val="008E55AB"/>
    <w:rsid w:val="008E5DDB"/>
    <w:rsid w:val="008E7A3E"/>
    <w:rsid w:val="008F018C"/>
    <w:rsid w:val="008F120A"/>
    <w:rsid w:val="008F2182"/>
    <w:rsid w:val="008F27E0"/>
    <w:rsid w:val="008F3789"/>
    <w:rsid w:val="008F4067"/>
    <w:rsid w:val="008F48EB"/>
    <w:rsid w:val="008F49F1"/>
    <w:rsid w:val="008F4AC0"/>
    <w:rsid w:val="008F4F0B"/>
    <w:rsid w:val="008F5302"/>
    <w:rsid w:val="008F685E"/>
    <w:rsid w:val="00901204"/>
    <w:rsid w:val="00903ED5"/>
    <w:rsid w:val="009046C4"/>
    <w:rsid w:val="0090585A"/>
    <w:rsid w:val="009062A5"/>
    <w:rsid w:val="00906747"/>
    <w:rsid w:val="00906D38"/>
    <w:rsid w:val="00910F5D"/>
    <w:rsid w:val="00910FA7"/>
    <w:rsid w:val="00911272"/>
    <w:rsid w:val="009135D6"/>
    <w:rsid w:val="0091392C"/>
    <w:rsid w:val="00913F2B"/>
    <w:rsid w:val="00913FF1"/>
    <w:rsid w:val="00914128"/>
    <w:rsid w:val="00914686"/>
    <w:rsid w:val="00914867"/>
    <w:rsid w:val="00914C77"/>
    <w:rsid w:val="0091551D"/>
    <w:rsid w:val="00921ACB"/>
    <w:rsid w:val="009232D8"/>
    <w:rsid w:val="0092369B"/>
    <w:rsid w:val="00924518"/>
    <w:rsid w:val="00924F16"/>
    <w:rsid w:val="009277FB"/>
    <w:rsid w:val="0093214B"/>
    <w:rsid w:val="0093226C"/>
    <w:rsid w:val="009328D2"/>
    <w:rsid w:val="00932B18"/>
    <w:rsid w:val="009331B0"/>
    <w:rsid w:val="00934731"/>
    <w:rsid w:val="00934988"/>
    <w:rsid w:val="0093500B"/>
    <w:rsid w:val="0093576D"/>
    <w:rsid w:val="00937089"/>
    <w:rsid w:val="009370D1"/>
    <w:rsid w:val="00941100"/>
    <w:rsid w:val="00941B7A"/>
    <w:rsid w:val="00944672"/>
    <w:rsid w:val="0094482E"/>
    <w:rsid w:val="009448D4"/>
    <w:rsid w:val="00944F8A"/>
    <w:rsid w:val="0094535B"/>
    <w:rsid w:val="00946BA6"/>
    <w:rsid w:val="00947A03"/>
    <w:rsid w:val="009510A2"/>
    <w:rsid w:val="00952E51"/>
    <w:rsid w:val="009531A1"/>
    <w:rsid w:val="00953257"/>
    <w:rsid w:val="0095474C"/>
    <w:rsid w:val="0095547A"/>
    <w:rsid w:val="009554BA"/>
    <w:rsid w:val="00956156"/>
    <w:rsid w:val="00960293"/>
    <w:rsid w:val="009616BA"/>
    <w:rsid w:val="00962CB9"/>
    <w:rsid w:val="00964164"/>
    <w:rsid w:val="009641B7"/>
    <w:rsid w:val="00964312"/>
    <w:rsid w:val="0096454C"/>
    <w:rsid w:val="00964ED3"/>
    <w:rsid w:val="00965B8A"/>
    <w:rsid w:val="00966CAC"/>
    <w:rsid w:val="009678A8"/>
    <w:rsid w:val="0097071F"/>
    <w:rsid w:val="009717AC"/>
    <w:rsid w:val="00971C9F"/>
    <w:rsid w:val="009732B1"/>
    <w:rsid w:val="00975125"/>
    <w:rsid w:val="009751C1"/>
    <w:rsid w:val="00977467"/>
    <w:rsid w:val="009777C5"/>
    <w:rsid w:val="00980951"/>
    <w:rsid w:val="009811F1"/>
    <w:rsid w:val="00981BA3"/>
    <w:rsid w:val="00982D9B"/>
    <w:rsid w:val="0098371D"/>
    <w:rsid w:val="00983E57"/>
    <w:rsid w:val="00984445"/>
    <w:rsid w:val="00984D10"/>
    <w:rsid w:val="009856BA"/>
    <w:rsid w:val="00985DE2"/>
    <w:rsid w:val="0098675D"/>
    <w:rsid w:val="009868A7"/>
    <w:rsid w:val="00987206"/>
    <w:rsid w:val="00987F26"/>
    <w:rsid w:val="00990325"/>
    <w:rsid w:val="009926E0"/>
    <w:rsid w:val="00993165"/>
    <w:rsid w:val="00993BCD"/>
    <w:rsid w:val="00993DB4"/>
    <w:rsid w:val="009943D4"/>
    <w:rsid w:val="0099451E"/>
    <w:rsid w:val="00995988"/>
    <w:rsid w:val="00996B1A"/>
    <w:rsid w:val="009A0DC1"/>
    <w:rsid w:val="009A228B"/>
    <w:rsid w:val="009A26AB"/>
    <w:rsid w:val="009A2DCC"/>
    <w:rsid w:val="009A32A9"/>
    <w:rsid w:val="009A39FE"/>
    <w:rsid w:val="009A440B"/>
    <w:rsid w:val="009A5ABC"/>
    <w:rsid w:val="009A7F10"/>
    <w:rsid w:val="009B3E26"/>
    <w:rsid w:val="009B405D"/>
    <w:rsid w:val="009B6036"/>
    <w:rsid w:val="009B7DEF"/>
    <w:rsid w:val="009C07B2"/>
    <w:rsid w:val="009C0D8B"/>
    <w:rsid w:val="009C1422"/>
    <w:rsid w:val="009C3706"/>
    <w:rsid w:val="009C3A3A"/>
    <w:rsid w:val="009C3A5B"/>
    <w:rsid w:val="009C6A66"/>
    <w:rsid w:val="009C6CEA"/>
    <w:rsid w:val="009C7B85"/>
    <w:rsid w:val="009D0254"/>
    <w:rsid w:val="009D1A64"/>
    <w:rsid w:val="009D332B"/>
    <w:rsid w:val="009D3FC1"/>
    <w:rsid w:val="009D4B9C"/>
    <w:rsid w:val="009D5B91"/>
    <w:rsid w:val="009D6839"/>
    <w:rsid w:val="009D792E"/>
    <w:rsid w:val="009E0DFE"/>
    <w:rsid w:val="009E11F6"/>
    <w:rsid w:val="009E1421"/>
    <w:rsid w:val="009E17DF"/>
    <w:rsid w:val="009E3011"/>
    <w:rsid w:val="009E31F6"/>
    <w:rsid w:val="009E36EB"/>
    <w:rsid w:val="009E4C07"/>
    <w:rsid w:val="009F112E"/>
    <w:rsid w:val="009F2327"/>
    <w:rsid w:val="009F44A0"/>
    <w:rsid w:val="009F7132"/>
    <w:rsid w:val="009F758E"/>
    <w:rsid w:val="00A00983"/>
    <w:rsid w:val="00A01184"/>
    <w:rsid w:val="00A01936"/>
    <w:rsid w:val="00A02013"/>
    <w:rsid w:val="00A02720"/>
    <w:rsid w:val="00A029F5"/>
    <w:rsid w:val="00A037C2"/>
    <w:rsid w:val="00A03D43"/>
    <w:rsid w:val="00A04380"/>
    <w:rsid w:val="00A05472"/>
    <w:rsid w:val="00A05A6A"/>
    <w:rsid w:val="00A05C32"/>
    <w:rsid w:val="00A0653F"/>
    <w:rsid w:val="00A100A3"/>
    <w:rsid w:val="00A112CF"/>
    <w:rsid w:val="00A11CD0"/>
    <w:rsid w:val="00A12B25"/>
    <w:rsid w:val="00A13948"/>
    <w:rsid w:val="00A1453B"/>
    <w:rsid w:val="00A1468D"/>
    <w:rsid w:val="00A146EF"/>
    <w:rsid w:val="00A14C7F"/>
    <w:rsid w:val="00A1529A"/>
    <w:rsid w:val="00A1555B"/>
    <w:rsid w:val="00A155C5"/>
    <w:rsid w:val="00A16886"/>
    <w:rsid w:val="00A16A52"/>
    <w:rsid w:val="00A16AD8"/>
    <w:rsid w:val="00A17292"/>
    <w:rsid w:val="00A20E2D"/>
    <w:rsid w:val="00A21C95"/>
    <w:rsid w:val="00A21CF3"/>
    <w:rsid w:val="00A21EA9"/>
    <w:rsid w:val="00A24813"/>
    <w:rsid w:val="00A2593F"/>
    <w:rsid w:val="00A270EE"/>
    <w:rsid w:val="00A27AEC"/>
    <w:rsid w:val="00A30D48"/>
    <w:rsid w:val="00A320DB"/>
    <w:rsid w:val="00A3278B"/>
    <w:rsid w:val="00A34041"/>
    <w:rsid w:val="00A35D16"/>
    <w:rsid w:val="00A36CE1"/>
    <w:rsid w:val="00A37180"/>
    <w:rsid w:val="00A37BCD"/>
    <w:rsid w:val="00A40EAE"/>
    <w:rsid w:val="00A41168"/>
    <w:rsid w:val="00A414A6"/>
    <w:rsid w:val="00A41689"/>
    <w:rsid w:val="00A42592"/>
    <w:rsid w:val="00A431E3"/>
    <w:rsid w:val="00A43C59"/>
    <w:rsid w:val="00A44042"/>
    <w:rsid w:val="00A46C6E"/>
    <w:rsid w:val="00A4732C"/>
    <w:rsid w:val="00A476F4"/>
    <w:rsid w:val="00A478B8"/>
    <w:rsid w:val="00A50316"/>
    <w:rsid w:val="00A5034F"/>
    <w:rsid w:val="00A50ECD"/>
    <w:rsid w:val="00A518F3"/>
    <w:rsid w:val="00A51B68"/>
    <w:rsid w:val="00A52729"/>
    <w:rsid w:val="00A53675"/>
    <w:rsid w:val="00A559D7"/>
    <w:rsid w:val="00A55B13"/>
    <w:rsid w:val="00A564D7"/>
    <w:rsid w:val="00A56A15"/>
    <w:rsid w:val="00A56B6A"/>
    <w:rsid w:val="00A578CA"/>
    <w:rsid w:val="00A578DC"/>
    <w:rsid w:val="00A60519"/>
    <w:rsid w:val="00A610E6"/>
    <w:rsid w:val="00A615C2"/>
    <w:rsid w:val="00A640E2"/>
    <w:rsid w:val="00A64D65"/>
    <w:rsid w:val="00A6725B"/>
    <w:rsid w:val="00A674AF"/>
    <w:rsid w:val="00A67A28"/>
    <w:rsid w:val="00A70232"/>
    <w:rsid w:val="00A705E5"/>
    <w:rsid w:val="00A70605"/>
    <w:rsid w:val="00A726FD"/>
    <w:rsid w:val="00A73134"/>
    <w:rsid w:val="00A73E0E"/>
    <w:rsid w:val="00A76001"/>
    <w:rsid w:val="00A76A12"/>
    <w:rsid w:val="00A76C7D"/>
    <w:rsid w:val="00A76D42"/>
    <w:rsid w:val="00A773F4"/>
    <w:rsid w:val="00A777B2"/>
    <w:rsid w:val="00A805FF"/>
    <w:rsid w:val="00A80B0C"/>
    <w:rsid w:val="00A825D4"/>
    <w:rsid w:val="00A8265D"/>
    <w:rsid w:val="00A828F6"/>
    <w:rsid w:val="00A82B73"/>
    <w:rsid w:val="00A84430"/>
    <w:rsid w:val="00A84918"/>
    <w:rsid w:val="00A86969"/>
    <w:rsid w:val="00A86E8B"/>
    <w:rsid w:val="00A87164"/>
    <w:rsid w:val="00A87192"/>
    <w:rsid w:val="00A87A30"/>
    <w:rsid w:val="00A87A72"/>
    <w:rsid w:val="00A90E36"/>
    <w:rsid w:val="00A915B7"/>
    <w:rsid w:val="00A9202A"/>
    <w:rsid w:val="00A922A4"/>
    <w:rsid w:val="00A93072"/>
    <w:rsid w:val="00A938BD"/>
    <w:rsid w:val="00A93953"/>
    <w:rsid w:val="00A94EA2"/>
    <w:rsid w:val="00A9533F"/>
    <w:rsid w:val="00A95503"/>
    <w:rsid w:val="00A95898"/>
    <w:rsid w:val="00A959D8"/>
    <w:rsid w:val="00A95EC3"/>
    <w:rsid w:val="00A9667A"/>
    <w:rsid w:val="00AA0344"/>
    <w:rsid w:val="00AA113D"/>
    <w:rsid w:val="00AA148B"/>
    <w:rsid w:val="00AA22B9"/>
    <w:rsid w:val="00AA46C8"/>
    <w:rsid w:val="00AA4D19"/>
    <w:rsid w:val="00AA678D"/>
    <w:rsid w:val="00AA6BD5"/>
    <w:rsid w:val="00AA6BD8"/>
    <w:rsid w:val="00AA6C7D"/>
    <w:rsid w:val="00AA6E1D"/>
    <w:rsid w:val="00AA723C"/>
    <w:rsid w:val="00AA7FD6"/>
    <w:rsid w:val="00AB042A"/>
    <w:rsid w:val="00AB0719"/>
    <w:rsid w:val="00AB100D"/>
    <w:rsid w:val="00AB10D3"/>
    <w:rsid w:val="00AB19EF"/>
    <w:rsid w:val="00AB2D34"/>
    <w:rsid w:val="00AB3377"/>
    <w:rsid w:val="00AB33C4"/>
    <w:rsid w:val="00AB3430"/>
    <w:rsid w:val="00AB37B9"/>
    <w:rsid w:val="00AB4654"/>
    <w:rsid w:val="00AB4AD1"/>
    <w:rsid w:val="00AB5E07"/>
    <w:rsid w:val="00AB74AB"/>
    <w:rsid w:val="00AB786E"/>
    <w:rsid w:val="00AB7CFA"/>
    <w:rsid w:val="00AC1846"/>
    <w:rsid w:val="00AC4021"/>
    <w:rsid w:val="00AC5B48"/>
    <w:rsid w:val="00AC6C3D"/>
    <w:rsid w:val="00AD04C2"/>
    <w:rsid w:val="00AD1450"/>
    <w:rsid w:val="00AD19D7"/>
    <w:rsid w:val="00AD1C23"/>
    <w:rsid w:val="00AD21C5"/>
    <w:rsid w:val="00AD2AB8"/>
    <w:rsid w:val="00AD6502"/>
    <w:rsid w:val="00AD651C"/>
    <w:rsid w:val="00AD766E"/>
    <w:rsid w:val="00AE0695"/>
    <w:rsid w:val="00AE071F"/>
    <w:rsid w:val="00AE0AD4"/>
    <w:rsid w:val="00AE10DB"/>
    <w:rsid w:val="00AE20A9"/>
    <w:rsid w:val="00AE389D"/>
    <w:rsid w:val="00AE3E7E"/>
    <w:rsid w:val="00AE5A10"/>
    <w:rsid w:val="00AE67FF"/>
    <w:rsid w:val="00AF1131"/>
    <w:rsid w:val="00AF1315"/>
    <w:rsid w:val="00AF19BF"/>
    <w:rsid w:val="00AF2A0D"/>
    <w:rsid w:val="00AF2A1B"/>
    <w:rsid w:val="00AF2DB4"/>
    <w:rsid w:val="00AF2DC3"/>
    <w:rsid w:val="00AF30E6"/>
    <w:rsid w:val="00AF6447"/>
    <w:rsid w:val="00AF7934"/>
    <w:rsid w:val="00B0065C"/>
    <w:rsid w:val="00B019D3"/>
    <w:rsid w:val="00B033E5"/>
    <w:rsid w:val="00B03A63"/>
    <w:rsid w:val="00B04A3D"/>
    <w:rsid w:val="00B06B81"/>
    <w:rsid w:val="00B070EE"/>
    <w:rsid w:val="00B124D3"/>
    <w:rsid w:val="00B137F8"/>
    <w:rsid w:val="00B15DB1"/>
    <w:rsid w:val="00B201A4"/>
    <w:rsid w:val="00B201D1"/>
    <w:rsid w:val="00B213A6"/>
    <w:rsid w:val="00B235B0"/>
    <w:rsid w:val="00B2405D"/>
    <w:rsid w:val="00B24DF6"/>
    <w:rsid w:val="00B256E4"/>
    <w:rsid w:val="00B26ECC"/>
    <w:rsid w:val="00B275E8"/>
    <w:rsid w:val="00B27EC0"/>
    <w:rsid w:val="00B32431"/>
    <w:rsid w:val="00B33942"/>
    <w:rsid w:val="00B342F2"/>
    <w:rsid w:val="00B34FE2"/>
    <w:rsid w:val="00B35166"/>
    <w:rsid w:val="00B357D8"/>
    <w:rsid w:val="00B360F4"/>
    <w:rsid w:val="00B36A00"/>
    <w:rsid w:val="00B36BE7"/>
    <w:rsid w:val="00B37BFC"/>
    <w:rsid w:val="00B40358"/>
    <w:rsid w:val="00B40E8C"/>
    <w:rsid w:val="00B414FA"/>
    <w:rsid w:val="00B41614"/>
    <w:rsid w:val="00B4191B"/>
    <w:rsid w:val="00B4234F"/>
    <w:rsid w:val="00B42851"/>
    <w:rsid w:val="00B42F80"/>
    <w:rsid w:val="00B435CB"/>
    <w:rsid w:val="00B43B44"/>
    <w:rsid w:val="00B43FF8"/>
    <w:rsid w:val="00B44824"/>
    <w:rsid w:val="00B457C2"/>
    <w:rsid w:val="00B505C8"/>
    <w:rsid w:val="00B50D33"/>
    <w:rsid w:val="00B50DB8"/>
    <w:rsid w:val="00B51335"/>
    <w:rsid w:val="00B52238"/>
    <w:rsid w:val="00B53654"/>
    <w:rsid w:val="00B538E5"/>
    <w:rsid w:val="00B53905"/>
    <w:rsid w:val="00B54B5B"/>
    <w:rsid w:val="00B5562E"/>
    <w:rsid w:val="00B55D65"/>
    <w:rsid w:val="00B57000"/>
    <w:rsid w:val="00B5760C"/>
    <w:rsid w:val="00B603F1"/>
    <w:rsid w:val="00B60939"/>
    <w:rsid w:val="00B60AFD"/>
    <w:rsid w:val="00B621EC"/>
    <w:rsid w:val="00B62316"/>
    <w:rsid w:val="00B62715"/>
    <w:rsid w:val="00B635EB"/>
    <w:rsid w:val="00B63D62"/>
    <w:rsid w:val="00B64BD5"/>
    <w:rsid w:val="00B64CC9"/>
    <w:rsid w:val="00B64D35"/>
    <w:rsid w:val="00B65611"/>
    <w:rsid w:val="00B665FF"/>
    <w:rsid w:val="00B70E25"/>
    <w:rsid w:val="00B70E8E"/>
    <w:rsid w:val="00B710A0"/>
    <w:rsid w:val="00B71F0A"/>
    <w:rsid w:val="00B7282D"/>
    <w:rsid w:val="00B73DDA"/>
    <w:rsid w:val="00B76C92"/>
    <w:rsid w:val="00B8052B"/>
    <w:rsid w:val="00B818A4"/>
    <w:rsid w:val="00B827F0"/>
    <w:rsid w:val="00B82C70"/>
    <w:rsid w:val="00B83C89"/>
    <w:rsid w:val="00B84117"/>
    <w:rsid w:val="00B849C1"/>
    <w:rsid w:val="00B84A9F"/>
    <w:rsid w:val="00B84BF0"/>
    <w:rsid w:val="00B85535"/>
    <w:rsid w:val="00B858F0"/>
    <w:rsid w:val="00B85AA2"/>
    <w:rsid w:val="00B8649C"/>
    <w:rsid w:val="00B8695D"/>
    <w:rsid w:val="00B86BF8"/>
    <w:rsid w:val="00B87DD2"/>
    <w:rsid w:val="00B87F0A"/>
    <w:rsid w:val="00B90292"/>
    <w:rsid w:val="00B917B7"/>
    <w:rsid w:val="00B92D0B"/>
    <w:rsid w:val="00B9410F"/>
    <w:rsid w:val="00B94945"/>
    <w:rsid w:val="00B94DD6"/>
    <w:rsid w:val="00B954EB"/>
    <w:rsid w:val="00B979D7"/>
    <w:rsid w:val="00BA2463"/>
    <w:rsid w:val="00BA322D"/>
    <w:rsid w:val="00BA334E"/>
    <w:rsid w:val="00BA33DD"/>
    <w:rsid w:val="00BA395F"/>
    <w:rsid w:val="00BA509C"/>
    <w:rsid w:val="00BA5AA7"/>
    <w:rsid w:val="00BA63FA"/>
    <w:rsid w:val="00BA69E6"/>
    <w:rsid w:val="00BB00B3"/>
    <w:rsid w:val="00BB0BDD"/>
    <w:rsid w:val="00BB1684"/>
    <w:rsid w:val="00BB16A4"/>
    <w:rsid w:val="00BB176C"/>
    <w:rsid w:val="00BB27A5"/>
    <w:rsid w:val="00BB2A73"/>
    <w:rsid w:val="00BB3A45"/>
    <w:rsid w:val="00BB4832"/>
    <w:rsid w:val="00BB4ACC"/>
    <w:rsid w:val="00BB5075"/>
    <w:rsid w:val="00BB5557"/>
    <w:rsid w:val="00BB703E"/>
    <w:rsid w:val="00BB732D"/>
    <w:rsid w:val="00BB7405"/>
    <w:rsid w:val="00BC230B"/>
    <w:rsid w:val="00BC2A26"/>
    <w:rsid w:val="00BC2DF7"/>
    <w:rsid w:val="00BC2F7B"/>
    <w:rsid w:val="00BC3631"/>
    <w:rsid w:val="00BC591F"/>
    <w:rsid w:val="00BC6DC9"/>
    <w:rsid w:val="00BC7982"/>
    <w:rsid w:val="00BC7D6D"/>
    <w:rsid w:val="00BD1475"/>
    <w:rsid w:val="00BD2108"/>
    <w:rsid w:val="00BD2CF5"/>
    <w:rsid w:val="00BD3502"/>
    <w:rsid w:val="00BD454B"/>
    <w:rsid w:val="00BD4A5D"/>
    <w:rsid w:val="00BD4BDC"/>
    <w:rsid w:val="00BD5226"/>
    <w:rsid w:val="00BD6102"/>
    <w:rsid w:val="00BD68A3"/>
    <w:rsid w:val="00BD6938"/>
    <w:rsid w:val="00BD6BC0"/>
    <w:rsid w:val="00BD6CF3"/>
    <w:rsid w:val="00BE0ECA"/>
    <w:rsid w:val="00BE1B88"/>
    <w:rsid w:val="00BE2180"/>
    <w:rsid w:val="00BE21F2"/>
    <w:rsid w:val="00BE22DF"/>
    <w:rsid w:val="00BE2445"/>
    <w:rsid w:val="00BE2F26"/>
    <w:rsid w:val="00BE4275"/>
    <w:rsid w:val="00BE6217"/>
    <w:rsid w:val="00BE76E4"/>
    <w:rsid w:val="00BF06AE"/>
    <w:rsid w:val="00BF0F95"/>
    <w:rsid w:val="00BF1145"/>
    <w:rsid w:val="00BF20B1"/>
    <w:rsid w:val="00BF2433"/>
    <w:rsid w:val="00BF38CD"/>
    <w:rsid w:val="00BF43F9"/>
    <w:rsid w:val="00BF4D29"/>
    <w:rsid w:val="00BF61C9"/>
    <w:rsid w:val="00BF6BB4"/>
    <w:rsid w:val="00BF6C94"/>
    <w:rsid w:val="00BF7E34"/>
    <w:rsid w:val="00C00424"/>
    <w:rsid w:val="00C00F1E"/>
    <w:rsid w:val="00C03727"/>
    <w:rsid w:val="00C05183"/>
    <w:rsid w:val="00C07730"/>
    <w:rsid w:val="00C1179F"/>
    <w:rsid w:val="00C12724"/>
    <w:rsid w:val="00C12C14"/>
    <w:rsid w:val="00C135D7"/>
    <w:rsid w:val="00C14D1D"/>
    <w:rsid w:val="00C15F04"/>
    <w:rsid w:val="00C17858"/>
    <w:rsid w:val="00C179B3"/>
    <w:rsid w:val="00C17DAC"/>
    <w:rsid w:val="00C17E3F"/>
    <w:rsid w:val="00C200AA"/>
    <w:rsid w:val="00C209C4"/>
    <w:rsid w:val="00C211E9"/>
    <w:rsid w:val="00C232ED"/>
    <w:rsid w:val="00C237ED"/>
    <w:rsid w:val="00C23EF6"/>
    <w:rsid w:val="00C24632"/>
    <w:rsid w:val="00C25418"/>
    <w:rsid w:val="00C25D9C"/>
    <w:rsid w:val="00C270D8"/>
    <w:rsid w:val="00C2778B"/>
    <w:rsid w:val="00C31000"/>
    <w:rsid w:val="00C31649"/>
    <w:rsid w:val="00C3434C"/>
    <w:rsid w:val="00C34C6B"/>
    <w:rsid w:val="00C34D8C"/>
    <w:rsid w:val="00C363A3"/>
    <w:rsid w:val="00C371DC"/>
    <w:rsid w:val="00C3721C"/>
    <w:rsid w:val="00C37273"/>
    <w:rsid w:val="00C3770D"/>
    <w:rsid w:val="00C40385"/>
    <w:rsid w:val="00C41754"/>
    <w:rsid w:val="00C41768"/>
    <w:rsid w:val="00C425F2"/>
    <w:rsid w:val="00C42C90"/>
    <w:rsid w:val="00C432B2"/>
    <w:rsid w:val="00C4344E"/>
    <w:rsid w:val="00C446C8"/>
    <w:rsid w:val="00C451A4"/>
    <w:rsid w:val="00C475AA"/>
    <w:rsid w:val="00C51AEC"/>
    <w:rsid w:val="00C53C98"/>
    <w:rsid w:val="00C54EDE"/>
    <w:rsid w:val="00C56FCF"/>
    <w:rsid w:val="00C57B6C"/>
    <w:rsid w:val="00C6019C"/>
    <w:rsid w:val="00C6160B"/>
    <w:rsid w:val="00C62198"/>
    <w:rsid w:val="00C628A6"/>
    <w:rsid w:val="00C6344B"/>
    <w:rsid w:val="00C64344"/>
    <w:rsid w:val="00C65108"/>
    <w:rsid w:val="00C65576"/>
    <w:rsid w:val="00C6567C"/>
    <w:rsid w:val="00C65BCC"/>
    <w:rsid w:val="00C66165"/>
    <w:rsid w:val="00C6771E"/>
    <w:rsid w:val="00C67E36"/>
    <w:rsid w:val="00C7060A"/>
    <w:rsid w:val="00C7076C"/>
    <w:rsid w:val="00C7151A"/>
    <w:rsid w:val="00C717E3"/>
    <w:rsid w:val="00C71F60"/>
    <w:rsid w:val="00C72241"/>
    <w:rsid w:val="00C73D5A"/>
    <w:rsid w:val="00C7424F"/>
    <w:rsid w:val="00C750C8"/>
    <w:rsid w:val="00C7560F"/>
    <w:rsid w:val="00C76555"/>
    <w:rsid w:val="00C808CF"/>
    <w:rsid w:val="00C80985"/>
    <w:rsid w:val="00C80A0E"/>
    <w:rsid w:val="00C81158"/>
    <w:rsid w:val="00C8213F"/>
    <w:rsid w:val="00C84DE0"/>
    <w:rsid w:val="00C85154"/>
    <w:rsid w:val="00C85299"/>
    <w:rsid w:val="00C874BB"/>
    <w:rsid w:val="00C8790B"/>
    <w:rsid w:val="00C8797A"/>
    <w:rsid w:val="00C900B8"/>
    <w:rsid w:val="00C90C71"/>
    <w:rsid w:val="00C91FD1"/>
    <w:rsid w:val="00C931CF"/>
    <w:rsid w:val="00C932E8"/>
    <w:rsid w:val="00C936D1"/>
    <w:rsid w:val="00C938CF"/>
    <w:rsid w:val="00C93E7C"/>
    <w:rsid w:val="00C94053"/>
    <w:rsid w:val="00C941B6"/>
    <w:rsid w:val="00C9624D"/>
    <w:rsid w:val="00C969DA"/>
    <w:rsid w:val="00C970D8"/>
    <w:rsid w:val="00CA0100"/>
    <w:rsid w:val="00CA0377"/>
    <w:rsid w:val="00CA28E1"/>
    <w:rsid w:val="00CA2A7F"/>
    <w:rsid w:val="00CA2C77"/>
    <w:rsid w:val="00CA37B1"/>
    <w:rsid w:val="00CA444F"/>
    <w:rsid w:val="00CA5245"/>
    <w:rsid w:val="00CA5DAA"/>
    <w:rsid w:val="00CA6A63"/>
    <w:rsid w:val="00CA71F4"/>
    <w:rsid w:val="00CA7B09"/>
    <w:rsid w:val="00CB12A5"/>
    <w:rsid w:val="00CB1CAC"/>
    <w:rsid w:val="00CB1F22"/>
    <w:rsid w:val="00CB2F2A"/>
    <w:rsid w:val="00CB4AE2"/>
    <w:rsid w:val="00CB59FA"/>
    <w:rsid w:val="00CB5B1A"/>
    <w:rsid w:val="00CB63F7"/>
    <w:rsid w:val="00CB6AF9"/>
    <w:rsid w:val="00CB6B22"/>
    <w:rsid w:val="00CB7F5F"/>
    <w:rsid w:val="00CC1149"/>
    <w:rsid w:val="00CC1199"/>
    <w:rsid w:val="00CC1B39"/>
    <w:rsid w:val="00CC1F58"/>
    <w:rsid w:val="00CC31EB"/>
    <w:rsid w:val="00CC33C9"/>
    <w:rsid w:val="00CC35EA"/>
    <w:rsid w:val="00CC3664"/>
    <w:rsid w:val="00CC3848"/>
    <w:rsid w:val="00CC3EFB"/>
    <w:rsid w:val="00CC44A2"/>
    <w:rsid w:val="00CC57C7"/>
    <w:rsid w:val="00CC5818"/>
    <w:rsid w:val="00CC59FD"/>
    <w:rsid w:val="00CC5BDE"/>
    <w:rsid w:val="00CC5E7F"/>
    <w:rsid w:val="00CC75B4"/>
    <w:rsid w:val="00CD2AC7"/>
    <w:rsid w:val="00CD3F77"/>
    <w:rsid w:val="00CD6ADC"/>
    <w:rsid w:val="00CD7193"/>
    <w:rsid w:val="00CE028C"/>
    <w:rsid w:val="00CE0602"/>
    <w:rsid w:val="00CE1A7D"/>
    <w:rsid w:val="00CE1A90"/>
    <w:rsid w:val="00CE21FE"/>
    <w:rsid w:val="00CE305A"/>
    <w:rsid w:val="00CE38C8"/>
    <w:rsid w:val="00CE4842"/>
    <w:rsid w:val="00CE61F9"/>
    <w:rsid w:val="00CE6274"/>
    <w:rsid w:val="00CE6834"/>
    <w:rsid w:val="00CE6F19"/>
    <w:rsid w:val="00CE70CC"/>
    <w:rsid w:val="00CE77B6"/>
    <w:rsid w:val="00CE7B79"/>
    <w:rsid w:val="00CF053D"/>
    <w:rsid w:val="00CF0BB7"/>
    <w:rsid w:val="00CF2177"/>
    <w:rsid w:val="00CF2B8D"/>
    <w:rsid w:val="00CF37F1"/>
    <w:rsid w:val="00CF456B"/>
    <w:rsid w:val="00CF56F9"/>
    <w:rsid w:val="00CF5A22"/>
    <w:rsid w:val="00CF6485"/>
    <w:rsid w:val="00CF6763"/>
    <w:rsid w:val="00D00CF7"/>
    <w:rsid w:val="00D0262E"/>
    <w:rsid w:val="00D02C8F"/>
    <w:rsid w:val="00D036D3"/>
    <w:rsid w:val="00D03A03"/>
    <w:rsid w:val="00D046A2"/>
    <w:rsid w:val="00D059B1"/>
    <w:rsid w:val="00D05E3D"/>
    <w:rsid w:val="00D06139"/>
    <w:rsid w:val="00D06DBF"/>
    <w:rsid w:val="00D10595"/>
    <w:rsid w:val="00D110BD"/>
    <w:rsid w:val="00D117C0"/>
    <w:rsid w:val="00D13675"/>
    <w:rsid w:val="00D13FC2"/>
    <w:rsid w:val="00D1403A"/>
    <w:rsid w:val="00D141E1"/>
    <w:rsid w:val="00D15314"/>
    <w:rsid w:val="00D16BDF"/>
    <w:rsid w:val="00D16D44"/>
    <w:rsid w:val="00D17D6C"/>
    <w:rsid w:val="00D21170"/>
    <w:rsid w:val="00D2155B"/>
    <w:rsid w:val="00D22097"/>
    <w:rsid w:val="00D23D11"/>
    <w:rsid w:val="00D24198"/>
    <w:rsid w:val="00D244B6"/>
    <w:rsid w:val="00D252E2"/>
    <w:rsid w:val="00D254C2"/>
    <w:rsid w:val="00D26505"/>
    <w:rsid w:val="00D2754D"/>
    <w:rsid w:val="00D27B27"/>
    <w:rsid w:val="00D30699"/>
    <w:rsid w:val="00D32480"/>
    <w:rsid w:val="00D33BE9"/>
    <w:rsid w:val="00D33F93"/>
    <w:rsid w:val="00D357FF"/>
    <w:rsid w:val="00D369F2"/>
    <w:rsid w:val="00D37BC9"/>
    <w:rsid w:val="00D40620"/>
    <w:rsid w:val="00D40B7D"/>
    <w:rsid w:val="00D424C7"/>
    <w:rsid w:val="00D43B2A"/>
    <w:rsid w:val="00D43D83"/>
    <w:rsid w:val="00D47575"/>
    <w:rsid w:val="00D47C3D"/>
    <w:rsid w:val="00D5243B"/>
    <w:rsid w:val="00D533EC"/>
    <w:rsid w:val="00D534CB"/>
    <w:rsid w:val="00D53859"/>
    <w:rsid w:val="00D544BF"/>
    <w:rsid w:val="00D55012"/>
    <w:rsid w:val="00D5502B"/>
    <w:rsid w:val="00D557AA"/>
    <w:rsid w:val="00D559AF"/>
    <w:rsid w:val="00D56A95"/>
    <w:rsid w:val="00D57CC7"/>
    <w:rsid w:val="00D57EF1"/>
    <w:rsid w:val="00D621DB"/>
    <w:rsid w:val="00D63B32"/>
    <w:rsid w:val="00D63D64"/>
    <w:rsid w:val="00D65CEF"/>
    <w:rsid w:val="00D66F35"/>
    <w:rsid w:val="00D67D1B"/>
    <w:rsid w:val="00D70F16"/>
    <w:rsid w:val="00D7154B"/>
    <w:rsid w:val="00D72F57"/>
    <w:rsid w:val="00D73D3E"/>
    <w:rsid w:val="00D74066"/>
    <w:rsid w:val="00D742B9"/>
    <w:rsid w:val="00D76A07"/>
    <w:rsid w:val="00D76A44"/>
    <w:rsid w:val="00D77B1B"/>
    <w:rsid w:val="00D801D7"/>
    <w:rsid w:val="00D8108E"/>
    <w:rsid w:val="00D815EF"/>
    <w:rsid w:val="00D81F26"/>
    <w:rsid w:val="00D8227D"/>
    <w:rsid w:val="00D837F9"/>
    <w:rsid w:val="00D8405E"/>
    <w:rsid w:val="00D86231"/>
    <w:rsid w:val="00D86350"/>
    <w:rsid w:val="00D86E11"/>
    <w:rsid w:val="00D8783A"/>
    <w:rsid w:val="00D902F1"/>
    <w:rsid w:val="00D90C0D"/>
    <w:rsid w:val="00D90D42"/>
    <w:rsid w:val="00D915D3"/>
    <w:rsid w:val="00D918D7"/>
    <w:rsid w:val="00D91923"/>
    <w:rsid w:val="00D9218D"/>
    <w:rsid w:val="00D9231F"/>
    <w:rsid w:val="00D93753"/>
    <w:rsid w:val="00D93C89"/>
    <w:rsid w:val="00D940F1"/>
    <w:rsid w:val="00D941DD"/>
    <w:rsid w:val="00D95520"/>
    <w:rsid w:val="00DA0D5B"/>
    <w:rsid w:val="00DA10A2"/>
    <w:rsid w:val="00DA1CE7"/>
    <w:rsid w:val="00DA23BA"/>
    <w:rsid w:val="00DA3167"/>
    <w:rsid w:val="00DA395D"/>
    <w:rsid w:val="00DA3C4D"/>
    <w:rsid w:val="00DA4DC3"/>
    <w:rsid w:val="00DA5E48"/>
    <w:rsid w:val="00DA7255"/>
    <w:rsid w:val="00DA77A5"/>
    <w:rsid w:val="00DA7A83"/>
    <w:rsid w:val="00DB038F"/>
    <w:rsid w:val="00DB0E2F"/>
    <w:rsid w:val="00DB1A6A"/>
    <w:rsid w:val="00DB1F98"/>
    <w:rsid w:val="00DB2F26"/>
    <w:rsid w:val="00DB3DBF"/>
    <w:rsid w:val="00DB484F"/>
    <w:rsid w:val="00DB631C"/>
    <w:rsid w:val="00DB63D5"/>
    <w:rsid w:val="00DB7A00"/>
    <w:rsid w:val="00DC04F6"/>
    <w:rsid w:val="00DC0690"/>
    <w:rsid w:val="00DC1D65"/>
    <w:rsid w:val="00DC201F"/>
    <w:rsid w:val="00DC2D3D"/>
    <w:rsid w:val="00DC3407"/>
    <w:rsid w:val="00DC3C57"/>
    <w:rsid w:val="00DC501F"/>
    <w:rsid w:val="00DC5501"/>
    <w:rsid w:val="00DC63A1"/>
    <w:rsid w:val="00DC69C2"/>
    <w:rsid w:val="00DC7154"/>
    <w:rsid w:val="00DC7E8A"/>
    <w:rsid w:val="00DD0F78"/>
    <w:rsid w:val="00DD273C"/>
    <w:rsid w:val="00DD3F28"/>
    <w:rsid w:val="00DD4537"/>
    <w:rsid w:val="00DD4E15"/>
    <w:rsid w:val="00DD5A7C"/>
    <w:rsid w:val="00DD6A23"/>
    <w:rsid w:val="00DE04E1"/>
    <w:rsid w:val="00DE2304"/>
    <w:rsid w:val="00DE3138"/>
    <w:rsid w:val="00DE37F8"/>
    <w:rsid w:val="00DE4FCB"/>
    <w:rsid w:val="00DE5158"/>
    <w:rsid w:val="00DE5A11"/>
    <w:rsid w:val="00DE5C6E"/>
    <w:rsid w:val="00DE5D07"/>
    <w:rsid w:val="00DE72A7"/>
    <w:rsid w:val="00DE778F"/>
    <w:rsid w:val="00DE781E"/>
    <w:rsid w:val="00DE7832"/>
    <w:rsid w:val="00DE79B5"/>
    <w:rsid w:val="00DE7C61"/>
    <w:rsid w:val="00DF0CDE"/>
    <w:rsid w:val="00DF157E"/>
    <w:rsid w:val="00DF18FC"/>
    <w:rsid w:val="00DF2260"/>
    <w:rsid w:val="00DF2C17"/>
    <w:rsid w:val="00DF48FA"/>
    <w:rsid w:val="00DF5581"/>
    <w:rsid w:val="00DF5D2B"/>
    <w:rsid w:val="00DF67C9"/>
    <w:rsid w:val="00DF6F8D"/>
    <w:rsid w:val="00E00025"/>
    <w:rsid w:val="00E00DDD"/>
    <w:rsid w:val="00E00E8E"/>
    <w:rsid w:val="00E0285C"/>
    <w:rsid w:val="00E053C5"/>
    <w:rsid w:val="00E05630"/>
    <w:rsid w:val="00E06DBB"/>
    <w:rsid w:val="00E078C7"/>
    <w:rsid w:val="00E10149"/>
    <w:rsid w:val="00E109F4"/>
    <w:rsid w:val="00E11340"/>
    <w:rsid w:val="00E122A1"/>
    <w:rsid w:val="00E1292A"/>
    <w:rsid w:val="00E13EE7"/>
    <w:rsid w:val="00E15A8D"/>
    <w:rsid w:val="00E15E48"/>
    <w:rsid w:val="00E161C3"/>
    <w:rsid w:val="00E16372"/>
    <w:rsid w:val="00E169C0"/>
    <w:rsid w:val="00E20E4D"/>
    <w:rsid w:val="00E20ED6"/>
    <w:rsid w:val="00E21358"/>
    <w:rsid w:val="00E21527"/>
    <w:rsid w:val="00E217C6"/>
    <w:rsid w:val="00E2249B"/>
    <w:rsid w:val="00E22A0D"/>
    <w:rsid w:val="00E244F6"/>
    <w:rsid w:val="00E24819"/>
    <w:rsid w:val="00E26009"/>
    <w:rsid w:val="00E265A5"/>
    <w:rsid w:val="00E27112"/>
    <w:rsid w:val="00E2771E"/>
    <w:rsid w:val="00E311EF"/>
    <w:rsid w:val="00E32180"/>
    <w:rsid w:val="00E33711"/>
    <w:rsid w:val="00E34948"/>
    <w:rsid w:val="00E35F48"/>
    <w:rsid w:val="00E37569"/>
    <w:rsid w:val="00E37B59"/>
    <w:rsid w:val="00E37F87"/>
    <w:rsid w:val="00E37FC4"/>
    <w:rsid w:val="00E401B2"/>
    <w:rsid w:val="00E40641"/>
    <w:rsid w:val="00E41E30"/>
    <w:rsid w:val="00E427B9"/>
    <w:rsid w:val="00E42E0C"/>
    <w:rsid w:val="00E42F73"/>
    <w:rsid w:val="00E43CEA"/>
    <w:rsid w:val="00E43D70"/>
    <w:rsid w:val="00E466F3"/>
    <w:rsid w:val="00E46A3C"/>
    <w:rsid w:val="00E47B2C"/>
    <w:rsid w:val="00E51560"/>
    <w:rsid w:val="00E51D18"/>
    <w:rsid w:val="00E529F6"/>
    <w:rsid w:val="00E53FC8"/>
    <w:rsid w:val="00E54347"/>
    <w:rsid w:val="00E55424"/>
    <w:rsid w:val="00E55915"/>
    <w:rsid w:val="00E55BB5"/>
    <w:rsid w:val="00E5694F"/>
    <w:rsid w:val="00E56A5B"/>
    <w:rsid w:val="00E57628"/>
    <w:rsid w:val="00E57CBE"/>
    <w:rsid w:val="00E62344"/>
    <w:rsid w:val="00E63117"/>
    <w:rsid w:val="00E63615"/>
    <w:rsid w:val="00E63C98"/>
    <w:rsid w:val="00E64072"/>
    <w:rsid w:val="00E651D8"/>
    <w:rsid w:val="00E65720"/>
    <w:rsid w:val="00E65E79"/>
    <w:rsid w:val="00E66117"/>
    <w:rsid w:val="00E66954"/>
    <w:rsid w:val="00E66BA2"/>
    <w:rsid w:val="00E67416"/>
    <w:rsid w:val="00E67CF7"/>
    <w:rsid w:val="00E67E6D"/>
    <w:rsid w:val="00E711D6"/>
    <w:rsid w:val="00E718B6"/>
    <w:rsid w:val="00E7203C"/>
    <w:rsid w:val="00E723BA"/>
    <w:rsid w:val="00E73581"/>
    <w:rsid w:val="00E744E9"/>
    <w:rsid w:val="00E745AF"/>
    <w:rsid w:val="00E7496C"/>
    <w:rsid w:val="00E833F7"/>
    <w:rsid w:val="00E83BDF"/>
    <w:rsid w:val="00E840F9"/>
    <w:rsid w:val="00E8771E"/>
    <w:rsid w:val="00E87805"/>
    <w:rsid w:val="00E87A1D"/>
    <w:rsid w:val="00E9094A"/>
    <w:rsid w:val="00E90C24"/>
    <w:rsid w:val="00E90C66"/>
    <w:rsid w:val="00E91993"/>
    <w:rsid w:val="00E91D35"/>
    <w:rsid w:val="00E926A5"/>
    <w:rsid w:val="00E93689"/>
    <w:rsid w:val="00E93BD0"/>
    <w:rsid w:val="00EA059C"/>
    <w:rsid w:val="00EA079F"/>
    <w:rsid w:val="00EA0FAA"/>
    <w:rsid w:val="00EA17C3"/>
    <w:rsid w:val="00EA280A"/>
    <w:rsid w:val="00EA2CAA"/>
    <w:rsid w:val="00EA328D"/>
    <w:rsid w:val="00EA34FE"/>
    <w:rsid w:val="00EA3864"/>
    <w:rsid w:val="00EA46EB"/>
    <w:rsid w:val="00EA5341"/>
    <w:rsid w:val="00EA5AED"/>
    <w:rsid w:val="00EA7F1C"/>
    <w:rsid w:val="00EB0228"/>
    <w:rsid w:val="00EB15B6"/>
    <w:rsid w:val="00EB3C05"/>
    <w:rsid w:val="00EB3D06"/>
    <w:rsid w:val="00EB452E"/>
    <w:rsid w:val="00EB4916"/>
    <w:rsid w:val="00EB5965"/>
    <w:rsid w:val="00EB6B52"/>
    <w:rsid w:val="00EB7666"/>
    <w:rsid w:val="00EB77C0"/>
    <w:rsid w:val="00EC00C9"/>
    <w:rsid w:val="00EC05D4"/>
    <w:rsid w:val="00EC0641"/>
    <w:rsid w:val="00EC0DD9"/>
    <w:rsid w:val="00EC13D2"/>
    <w:rsid w:val="00EC1826"/>
    <w:rsid w:val="00EC2649"/>
    <w:rsid w:val="00EC31ED"/>
    <w:rsid w:val="00EC52E0"/>
    <w:rsid w:val="00EC5430"/>
    <w:rsid w:val="00EC5836"/>
    <w:rsid w:val="00EC688C"/>
    <w:rsid w:val="00EC7CEB"/>
    <w:rsid w:val="00ED3215"/>
    <w:rsid w:val="00ED337F"/>
    <w:rsid w:val="00ED554C"/>
    <w:rsid w:val="00ED57EA"/>
    <w:rsid w:val="00ED5BD4"/>
    <w:rsid w:val="00EE02CD"/>
    <w:rsid w:val="00EE07D3"/>
    <w:rsid w:val="00EE1996"/>
    <w:rsid w:val="00EE1C01"/>
    <w:rsid w:val="00EE1FBD"/>
    <w:rsid w:val="00EE22AF"/>
    <w:rsid w:val="00EE22CD"/>
    <w:rsid w:val="00EE63C5"/>
    <w:rsid w:val="00EE63D8"/>
    <w:rsid w:val="00EE7174"/>
    <w:rsid w:val="00EE7E11"/>
    <w:rsid w:val="00EF0171"/>
    <w:rsid w:val="00EF03F6"/>
    <w:rsid w:val="00EF11A4"/>
    <w:rsid w:val="00EF1B25"/>
    <w:rsid w:val="00EF1DA0"/>
    <w:rsid w:val="00EF45E5"/>
    <w:rsid w:val="00EF4747"/>
    <w:rsid w:val="00EF4846"/>
    <w:rsid w:val="00EF4BF8"/>
    <w:rsid w:val="00EF501C"/>
    <w:rsid w:val="00EF7057"/>
    <w:rsid w:val="00F00880"/>
    <w:rsid w:val="00F02253"/>
    <w:rsid w:val="00F03979"/>
    <w:rsid w:val="00F03C2E"/>
    <w:rsid w:val="00F03F63"/>
    <w:rsid w:val="00F04A66"/>
    <w:rsid w:val="00F04B4B"/>
    <w:rsid w:val="00F0516C"/>
    <w:rsid w:val="00F052C7"/>
    <w:rsid w:val="00F067A2"/>
    <w:rsid w:val="00F07B9E"/>
    <w:rsid w:val="00F1028A"/>
    <w:rsid w:val="00F10807"/>
    <w:rsid w:val="00F1116F"/>
    <w:rsid w:val="00F11C0F"/>
    <w:rsid w:val="00F11C96"/>
    <w:rsid w:val="00F1263A"/>
    <w:rsid w:val="00F15379"/>
    <w:rsid w:val="00F15B77"/>
    <w:rsid w:val="00F16B0F"/>
    <w:rsid w:val="00F16C90"/>
    <w:rsid w:val="00F16E86"/>
    <w:rsid w:val="00F20113"/>
    <w:rsid w:val="00F2041F"/>
    <w:rsid w:val="00F21089"/>
    <w:rsid w:val="00F22000"/>
    <w:rsid w:val="00F22E91"/>
    <w:rsid w:val="00F245C1"/>
    <w:rsid w:val="00F24837"/>
    <w:rsid w:val="00F24AAC"/>
    <w:rsid w:val="00F2575F"/>
    <w:rsid w:val="00F25893"/>
    <w:rsid w:val="00F2746E"/>
    <w:rsid w:val="00F27565"/>
    <w:rsid w:val="00F3040C"/>
    <w:rsid w:val="00F310C1"/>
    <w:rsid w:val="00F310D4"/>
    <w:rsid w:val="00F31D5A"/>
    <w:rsid w:val="00F33975"/>
    <w:rsid w:val="00F33DE9"/>
    <w:rsid w:val="00F342A6"/>
    <w:rsid w:val="00F35E6D"/>
    <w:rsid w:val="00F3619A"/>
    <w:rsid w:val="00F364D7"/>
    <w:rsid w:val="00F37FAE"/>
    <w:rsid w:val="00F4042B"/>
    <w:rsid w:val="00F40AAA"/>
    <w:rsid w:val="00F40BA7"/>
    <w:rsid w:val="00F40F9D"/>
    <w:rsid w:val="00F41ACD"/>
    <w:rsid w:val="00F42C86"/>
    <w:rsid w:val="00F42F29"/>
    <w:rsid w:val="00F43864"/>
    <w:rsid w:val="00F43F84"/>
    <w:rsid w:val="00F4515B"/>
    <w:rsid w:val="00F46842"/>
    <w:rsid w:val="00F46CB6"/>
    <w:rsid w:val="00F4756D"/>
    <w:rsid w:val="00F47DE8"/>
    <w:rsid w:val="00F50B27"/>
    <w:rsid w:val="00F52637"/>
    <w:rsid w:val="00F540DD"/>
    <w:rsid w:val="00F542C1"/>
    <w:rsid w:val="00F54965"/>
    <w:rsid w:val="00F54A34"/>
    <w:rsid w:val="00F54C54"/>
    <w:rsid w:val="00F55E73"/>
    <w:rsid w:val="00F55EDA"/>
    <w:rsid w:val="00F56C80"/>
    <w:rsid w:val="00F60092"/>
    <w:rsid w:val="00F604C8"/>
    <w:rsid w:val="00F61148"/>
    <w:rsid w:val="00F61C18"/>
    <w:rsid w:val="00F62140"/>
    <w:rsid w:val="00F625FE"/>
    <w:rsid w:val="00F64BB6"/>
    <w:rsid w:val="00F655CE"/>
    <w:rsid w:val="00F65F4B"/>
    <w:rsid w:val="00F667C1"/>
    <w:rsid w:val="00F66BEB"/>
    <w:rsid w:val="00F67A69"/>
    <w:rsid w:val="00F67B30"/>
    <w:rsid w:val="00F703B1"/>
    <w:rsid w:val="00F7041A"/>
    <w:rsid w:val="00F70BFF"/>
    <w:rsid w:val="00F70C9D"/>
    <w:rsid w:val="00F7277F"/>
    <w:rsid w:val="00F72B3F"/>
    <w:rsid w:val="00F74CD9"/>
    <w:rsid w:val="00F75618"/>
    <w:rsid w:val="00F7586B"/>
    <w:rsid w:val="00F75E95"/>
    <w:rsid w:val="00F77BFE"/>
    <w:rsid w:val="00F80A7B"/>
    <w:rsid w:val="00F80E5D"/>
    <w:rsid w:val="00F81BFF"/>
    <w:rsid w:val="00F81E78"/>
    <w:rsid w:val="00F82318"/>
    <w:rsid w:val="00F837A2"/>
    <w:rsid w:val="00F83882"/>
    <w:rsid w:val="00F84B9B"/>
    <w:rsid w:val="00F851CE"/>
    <w:rsid w:val="00F8598E"/>
    <w:rsid w:val="00F862FB"/>
    <w:rsid w:val="00F86788"/>
    <w:rsid w:val="00F8780F"/>
    <w:rsid w:val="00F90B17"/>
    <w:rsid w:val="00F91219"/>
    <w:rsid w:val="00F92444"/>
    <w:rsid w:val="00F92EAD"/>
    <w:rsid w:val="00F9393E"/>
    <w:rsid w:val="00F941B3"/>
    <w:rsid w:val="00F965BC"/>
    <w:rsid w:val="00F96FD0"/>
    <w:rsid w:val="00F97A78"/>
    <w:rsid w:val="00FA0685"/>
    <w:rsid w:val="00FA0B20"/>
    <w:rsid w:val="00FA11DC"/>
    <w:rsid w:val="00FA18AC"/>
    <w:rsid w:val="00FA24E7"/>
    <w:rsid w:val="00FA2A3F"/>
    <w:rsid w:val="00FA2F68"/>
    <w:rsid w:val="00FA398E"/>
    <w:rsid w:val="00FA39A3"/>
    <w:rsid w:val="00FA3A06"/>
    <w:rsid w:val="00FA3E44"/>
    <w:rsid w:val="00FA413E"/>
    <w:rsid w:val="00FA4C87"/>
    <w:rsid w:val="00FA50EB"/>
    <w:rsid w:val="00FA5EE6"/>
    <w:rsid w:val="00FA6754"/>
    <w:rsid w:val="00FA7956"/>
    <w:rsid w:val="00FB107E"/>
    <w:rsid w:val="00FB2FCB"/>
    <w:rsid w:val="00FB3987"/>
    <w:rsid w:val="00FB4BC1"/>
    <w:rsid w:val="00FB7C55"/>
    <w:rsid w:val="00FC0A07"/>
    <w:rsid w:val="00FC1074"/>
    <w:rsid w:val="00FC1884"/>
    <w:rsid w:val="00FC1A31"/>
    <w:rsid w:val="00FC1A90"/>
    <w:rsid w:val="00FC2625"/>
    <w:rsid w:val="00FC371D"/>
    <w:rsid w:val="00FC3BB7"/>
    <w:rsid w:val="00FC5F0B"/>
    <w:rsid w:val="00FC6D3C"/>
    <w:rsid w:val="00FD028A"/>
    <w:rsid w:val="00FD0F92"/>
    <w:rsid w:val="00FD1180"/>
    <w:rsid w:val="00FD2100"/>
    <w:rsid w:val="00FD2FC7"/>
    <w:rsid w:val="00FD3A89"/>
    <w:rsid w:val="00FD436C"/>
    <w:rsid w:val="00FD446D"/>
    <w:rsid w:val="00FD4F2C"/>
    <w:rsid w:val="00FD4F95"/>
    <w:rsid w:val="00FD5BBD"/>
    <w:rsid w:val="00FD628C"/>
    <w:rsid w:val="00FD6394"/>
    <w:rsid w:val="00FE033E"/>
    <w:rsid w:val="00FE0E6C"/>
    <w:rsid w:val="00FE18EA"/>
    <w:rsid w:val="00FE1CDC"/>
    <w:rsid w:val="00FE1D89"/>
    <w:rsid w:val="00FE232D"/>
    <w:rsid w:val="00FE38CC"/>
    <w:rsid w:val="00FE41A8"/>
    <w:rsid w:val="00FE5AFB"/>
    <w:rsid w:val="00FE70C3"/>
    <w:rsid w:val="00FF0C6D"/>
    <w:rsid w:val="00FF0CC2"/>
    <w:rsid w:val="00FF1DB8"/>
    <w:rsid w:val="00FF2AD9"/>
    <w:rsid w:val="00FF359F"/>
    <w:rsid w:val="00FF3B7C"/>
    <w:rsid w:val="00FF3DCF"/>
    <w:rsid w:val="00FF492C"/>
    <w:rsid w:val="00FF4A21"/>
    <w:rsid w:val="00FF5AA3"/>
    <w:rsid w:val="00FF5AD8"/>
    <w:rsid w:val="00FF5BE4"/>
    <w:rsid w:val="00FF6793"/>
    <w:rsid w:val="00FF6BB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7299"/>
    <w:pPr>
      <w:jc w:val="both"/>
    </w:pPr>
    <w:rPr>
      <w:rFonts w:asciiTheme="minorHAnsi" w:hAnsiTheme="minorHAnsi"/>
      <w:sz w:val="24"/>
      <w:szCs w:val="24"/>
      <w:lang w:eastAsia="en-GB"/>
    </w:rPr>
  </w:style>
  <w:style w:type="paragraph" w:styleId="Heading1">
    <w:name w:val="heading 1"/>
    <w:basedOn w:val="Normal"/>
    <w:next w:val="Normal"/>
    <w:link w:val="Heading1Char"/>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link w:val="Heading3Char"/>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uiPriority w:val="7"/>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Bullet1,ES Paragraph,PBAC ES Paragraph,PBAC normal points,Bullet List,Figure_name,lp1,Table Legend"/>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1 Char,ES Paragraph Char,Bullet List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Header Table,Source table_,NICE instructions,HealthConsult"/>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qFormat/>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snapToGrid w:val="0"/>
      <w:lang w:val="en-US"/>
    </w:rPr>
  </w:style>
  <w:style w:type="paragraph" w:styleId="NormalWeb">
    <w:name w:val="Normal (Web)"/>
    <w:basedOn w:val="Normal"/>
    <w:uiPriority w:val="99"/>
    <w:rsid w:val="008F48EB"/>
    <w:pPr>
      <w:spacing w:before="100" w:after="100"/>
      <w:jc w:val="left"/>
    </w:pPr>
    <w:rPr>
      <w:rFonts w:ascii="Times New Roman" w:hAnsi="Times New Roman"/>
      <w:snapToGrid w:val="0"/>
      <w:lang w:val="en-GB"/>
    </w:rPr>
  </w:style>
  <w:style w:type="paragraph" w:styleId="TOC2">
    <w:name w:val="toc 2"/>
    <w:basedOn w:val="Normal"/>
    <w:next w:val="Normal"/>
    <w:autoRedefine/>
    <w:uiPriority w:val="39"/>
    <w:rsid w:val="00114559"/>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6B0C98"/>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sz w:val="20"/>
    </w:rPr>
  </w:style>
  <w:style w:type="paragraph" w:styleId="TOC4">
    <w:name w:val="toc 4"/>
    <w:basedOn w:val="Normal"/>
    <w:next w:val="Normal"/>
    <w:autoRedefine/>
    <w:rsid w:val="00D0262E"/>
    <w:pPr>
      <w:ind w:left="660"/>
      <w:jc w:val="left"/>
    </w:pPr>
    <w:rPr>
      <w:sz w:val="20"/>
    </w:rPr>
  </w:style>
  <w:style w:type="paragraph" w:styleId="TOC5">
    <w:name w:val="toc 5"/>
    <w:basedOn w:val="Normal"/>
    <w:next w:val="Normal"/>
    <w:autoRedefine/>
    <w:rsid w:val="00D0262E"/>
    <w:pPr>
      <w:ind w:left="880"/>
      <w:jc w:val="left"/>
    </w:pPr>
    <w:rPr>
      <w:sz w:val="20"/>
    </w:rPr>
  </w:style>
  <w:style w:type="paragraph" w:styleId="TOC6">
    <w:name w:val="toc 6"/>
    <w:basedOn w:val="Normal"/>
    <w:next w:val="Normal"/>
    <w:autoRedefine/>
    <w:rsid w:val="00D0262E"/>
    <w:pPr>
      <w:ind w:left="1100"/>
      <w:jc w:val="left"/>
    </w:pPr>
    <w:rPr>
      <w:sz w:val="20"/>
    </w:rPr>
  </w:style>
  <w:style w:type="paragraph" w:styleId="TOC7">
    <w:name w:val="toc 7"/>
    <w:basedOn w:val="Normal"/>
    <w:next w:val="Normal"/>
    <w:autoRedefine/>
    <w:rsid w:val="00D0262E"/>
    <w:pPr>
      <w:ind w:left="1320"/>
      <w:jc w:val="left"/>
    </w:pPr>
    <w:rPr>
      <w:sz w:val="20"/>
    </w:rPr>
  </w:style>
  <w:style w:type="paragraph" w:styleId="TOC8">
    <w:name w:val="toc 8"/>
    <w:basedOn w:val="Normal"/>
    <w:next w:val="Normal"/>
    <w:autoRedefine/>
    <w:rsid w:val="00D0262E"/>
    <w:pPr>
      <w:ind w:left="1540"/>
      <w:jc w:val="left"/>
    </w:pPr>
    <w:rPr>
      <w:sz w:val="20"/>
    </w:rPr>
  </w:style>
  <w:style w:type="paragraph" w:styleId="TOC9">
    <w:name w:val="toc 9"/>
    <w:basedOn w:val="Normal"/>
    <w:next w:val="Normal"/>
    <w:autoRedefine/>
    <w:rsid w:val="00D0262E"/>
    <w:pPr>
      <w:ind w:left="1760"/>
      <w:jc w:val="left"/>
    </w:pPr>
    <w:rPr>
      <w:sz w:val="20"/>
    </w:rPr>
  </w:style>
  <w:style w:type="paragraph" w:styleId="CommentText">
    <w:name w:val="annotation text"/>
    <w:basedOn w:val="Normal"/>
    <w:link w:val="CommentTextChar"/>
    <w:uiPriority w:val="99"/>
    <w:rsid w:val="00FD2100"/>
    <w:rPr>
      <w:rFonts w:ascii="Times New Roman" w:hAnsi="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eastAsia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B457C2"/>
    <w:pPr>
      <w:numPr>
        <w:ilvl w:val="1"/>
        <w:numId w:val="1"/>
      </w:numPr>
    </w:pPr>
  </w:style>
  <w:style w:type="character" w:customStyle="1" w:styleId="3-BodyTextChar">
    <w:name w:val="3-Body Text Char"/>
    <w:basedOn w:val="ListParagraphChar"/>
    <w:link w:val="3-BodyText"/>
    <w:rsid w:val="00B457C2"/>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TableFigureFooter">
    <w:name w:val="Table/Figure Footer"/>
    <w:basedOn w:val="Normal"/>
    <w:link w:val="TableFigureFooterChar"/>
    <w:qFormat/>
    <w:rsid w:val="00EC5836"/>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eastAsiaTheme="majorEastAsia"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eastAsiaTheme="majorEastAsia"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TableBullet">
    <w:name w:val="Table Bullet"/>
    <w:basedOn w:val="TableText0"/>
    <w:rsid w:val="004D3D97"/>
    <w:pPr>
      <w:keepNext w:val="0"/>
      <w:numPr>
        <w:numId w:val="6"/>
      </w:numPr>
      <w:spacing w:before="40" w:after="40"/>
      <w:ind w:left="357" w:hanging="357"/>
    </w:pPr>
    <w:rPr>
      <w:rFonts w:asciiTheme="minorHAnsi" w:eastAsiaTheme="minorHAnsi" w:hAnsiTheme="minorHAnsi" w:cstheme="minorHAnsi"/>
      <w:bCs w:val="0"/>
      <w:sz w:val="18"/>
      <w:szCs w:val="18"/>
      <w:lang w:eastAsia="en-US"/>
    </w:rPr>
  </w:style>
  <w:style w:type="paragraph" w:styleId="Quote">
    <w:name w:val="Quote"/>
    <w:basedOn w:val="Normal"/>
    <w:next w:val="Normal"/>
    <w:link w:val="QuoteChar"/>
    <w:uiPriority w:val="29"/>
    <w:rsid w:val="00BB16A4"/>
    <w:pPr>
      <w:spacing w:after="240"/>
      <w:ind w:left="720"/>
      <w:jc w:val="left"/>
    </w:pPr>
    <w:rPr>
      <w:rFonts w:eastAsiaTheme="minorEastAsia" w:cstheme="minorBidi"/>
      <w:iCs/>
      <w:sz w:val="22"/>
      <w:szCs w:val="22"/>
      <w:lang w:eastAsia="en-US" w:bidi="hi-IN"/>
    </w:rPr>
  </w:style>
  <w:style w:type="character" w:customStyle="1" w:styleId="QuoteChar">
    <w:name w:val="Quote Char"/>
    <w:basedOn w:val="DefaultParagraphFont"/>
    <w:link w:val="Quote"/>
    <w:uiPriority w:val="29"/>
    <w:rsid w:val="00BB16A4"/>
    <w:rPr>
      <w:rFonts w:asciiTheme="minorHAnsi" w:eastAsiaTheme="minorEastAsia" w:hAnsiTheme="minorHAnsi" w:cstheme="minorBidi"/>
      <w:iCs/>
      <w:sz w:val="22"/>
      <w:szCs w:val="22"/>
      <w:lang w:eastAsia="en-US" w:bidi="hi-IN"/>
    </w:rPr>
  </w:style>
  <w:style w:type="table" w:customStyle="1" w:styleId="Summarybox1">
    <w:name w:val="Summary box1"/>
    <w:basedOn w:val="TableNormal"/>
    <w:next w:val="TableGrid"/>
    <w:uiPriority w:val="39"/>
    <w:rsid w:val="00EF484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b w:val="0"/>
      </w:rPr>
    </w:tblStylePr>
  </w:style>
  <w:style w:type="paragraph" w:styleId="FootnoteText">
    <w:name w:val="footnote text"/>
    <w:basedOn w:val="Normal"/>
    <w:link w:val="FootnoteTextChar"/>
    <w:semiHidden/>
    <w:unhideWhenUsed/>
    <w:rsid w:val="00D93C89"/>
    <w:rPr>
      <w:sz w:val="20"/>
      <w:szCs w:val="20"/>
    </w:rPr>
  </w:style>
  <w:style w:type="character" w:customStyle="1" w:styleId="FootnoteTextChar">
    <w:name w:val="Footnote Text Char"/>
    <w:basedOn w:val="DefaultParagraphFont"/>
    <w:link w:val="FootnoteText"/>
    <w:semiHidden/>
    <w:rsid w:val="00D93C89"/>
    <w:rPr>
      <w:rFonts w:ascii="Calibri" w:hAnsi="Calibri" w:cs="Arial"/>
    </w:rPr>
  </w:style>
  <w:style w:type="character" w:styleId="FootnoteReference">
    <w:name w:val="footnote reference"/>
    <w:basedOn w:val="DefaultParagraphFont"/>
    <w:semiHidden/>
    <w:unhideWhenUsed/>
    <w:rsid w:val="00D93C89"/>
    <w:rPr>
      <w:vertAlign w:val="superscript"/>
    </w:rPr>
  </w:style>
  <w:style w:type="paragraph" w:customStyle="1" w:styleId="BodyText1">
    <w:name w:val="Body Text1"/>
    <w:basedOn w:val="Normal"/>
    <w:link w:val="BodytextChar0"/>
    <w:qFormat/>
    <w:rsid w:val="00314E7C"/>
    <w:pPr>
      <w:keepNext/>
      <w:keepLines/>
      <w:spacing w:before="120" w:after="120" w:line="360" w:lineRule="auto"/>
    </w:pPr>
    <w:rPr>
      <w:rFonts w:eastAsiaTheme="minorHAnsi" w:cstheme="minorBidi"/>
      <w:sz w:val="22"/>
      <w:szCs w:val="22"/>
      <w:lang w:eastAsia="en-US"/>
    </w:rPr>
  </w:style>
  <w:style w:type="character" w:customStyle="1" w:styleId="BodytextChar0">
    <w:name w:val="Body text Char"/>
    <w:basedOn w:val="DefaultParagraphFont"/>
    <w:link w:val="BodyText1"/>
    <w:rsid w:val="00314E7C"/>
    <w:rPr>
      <w:rFonts w:asciiTheme="minorHAnsi" w:eastAsiaTheme="minorHAnsi" w:hAnsiTheme="minorHAnsi" w:cstheme="minorBidi"/>
      <w:sz w:val="22"/>
      <w:szCs w:val="22"/>
      <w:lang w:eastAsia="en-US"/>
    </w:rPr>
  </w:style>
  <w:style w:type="character" w:customStyle="1" w:styleId="UnresolvedMention1">
    <w:name w:val="Unresolved Mention1"/>
    <w:basedOn w:val="DefaultParagraphFont"/>
    <w:uiPriority w:val="99"/>
    <w:semiHidden/>
    <w:unhideWhenUsed/>
    <w:rsid w:val="005B01C4"/>
    <w:rPr>
      <w:color w:val="605E5C"/>
      <w:shd w:val="clear" w:color="auto" w:fill="E1DFDD"/>
    </w:rPr>
  </w:style>
  <w:style w:type="character" w:customStyle="1" w:styleId="apple-converted-space">
    <w:name w:val="apple-converted-space"/>
    <w:basedOn w:val="DefaultParagraphFont"/>
    <w:rsid w:val="00FE5AFB"/>
  </w:style>
  <w:style w:type="character" w:styleId="Emphasis">
    <w:name w:val="Emphasis"/>
    <w:basedOn w:val="DefaultParagraphFont"/>
    <w:uiPriority w:val="20"/>
    <w:rsid w:val="009554BA"/>
    <w:rPr>
      <w:b w:val="0"/>
      <w:i/>
      <w:iCs/>
    </w:rPr>
  </w:style>
  <w:style w:type="paragraph" w:customStyle="1" w:styleId="V50Instructions">
    <w:name w:val="V5.0 Instructions"/>
    <w:basedOn w:val="Normal"/>
    <w:link w:val="V50InstructionsChar"/>
    <w:qFormat/>
    <w:rsid w:val="00D22097"/>
    <w:pPr>
      <w:spacing w:before="120" w:after="160"/>
      <w:jc w:val="left"/>
    </w:pPr>
    <w:rPr>
      <w:rFonts w:eastAsiaTheme="minorHAnsi" w:cstheme="minorBidi"/>
      <w:color w:val="4BACC6" w:themeColor="accent5"/>
      <w:szCs w:val="22"/>
      <w:lang w:eastAsia="en-US"/>
    </w:rPr>
  </w:style>
  <w:style w:type="paragraph" w:customStyle="1" w:styleId="TableHeading0">
    <w:name w:val="Table Heading"/>
    <w:basedOn w:val="Normal"/>
    <w:qFormat/>
    <w:rsid w:val="00D22097"/>
    <w:pPr>
      <w:keepNext/>
      <w:spacing w:after="60"/>
      <w:jc w:val="left"/>
    </w:pPr>
    <w:rPr>
      <w:rFonts w:ascii="Arial Narrow" w:eastAsiaTheme="minorHAnsi" w:hAnsi="Arial Narrow" w:cstheme="minorBidi"/>
      <w:b/>
      <w:sz w:val="20"/>
      <w:szCs w:val="22"/>
      <w:lang w:eastAsia="en-US"/>
    </w:rPr>
  </w:style>
  <w:style w:type="character" w:customStyle="1" w:styleId="V50InstructionsChar">
    <w:name w:val="V5.0 Instructions Char"/>
    <w:basedOn w:val="DefaultParagraphFont"/>
    <w:link w:val="V50Instructions"/>
    <w:rsid w:val="00D22097"/>
    <w:rPr>
      <w:rFonts w:asciiTheme="minorHAnsi" w:eastAsiaTheme="minorHAnsi" w:hAnsiTheme="minorHAnsi" w:cstheme="minorBidi"/>
      <w:color w:val="4BACC6" w:themeColor="accent5"/>
      <w:sz w:val="24"/>
      <w:szCs w:val="22"/>
      <w:lang w:eastAsia="en-US"/>
    </w:rPr>
  </w:style>
  <w:style w:type="table" w:customStyle="1" w:styleId="TableGrid1">
    <w:name w:val="Table Grid1"/>
    <w:basedOn w:val="TableNormal"/>
    <w:next w:val="TableGrid"/>
    <w:uiPriority w:val="59"/>
    <w:rsid w:val="00D2209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Text"/>
    <w:basedOn w:val="Normal"/>
    <w:qFormat/>
    <w:rsid w:val="00195D4B"/>
    <w:pPr>
      <w:keepNext/>
      <w:spacing w:before="60" w:after="60"/>
      <w:jc w:val="left"/>
    </w:pPr>
    <w:rPr>
      <w:color w:val="000000"/>
      <w:sz w:val="22"/>
      <w:szCs w:val="21"/>
    </w:rPr>
  </w:style>
  <w:style w:type="paragraph" w:customStyle="1" w:styleId="Bodytextitalics">
    <w:name w:val="Body text italics"/>
    <w:basedOn w:val="BodyText"/>
    <w:qFormat/>
    <w:rsid w:val="00EA0FAA"/>
    <w:pPr>
      <w:spacing w:after="120"/>
      <w:jc w:val="both"/>
    </w:pPr>
    <w:rPr>
      <w:rFonts w:eastAsiaTheme="minorHAnsi" w:cstheme="minorBidi"/>
      <w:i/>
      <w:szCs w:val="22"/>
    </w:rPr>
  </w:style>
  <w:style w:type="table" w:customStyle="1" w:styleId="GridTable4-Accent61">
    <w:name w:val="Grid Table 4 - Accent 61"/>
    <w:basedOn w:val="TableNormal"/>
    <w:uiPriority w:val="49"/>
    <w:rsid w:val="003A743E"/>
    <w:rPr>
      <w:rFonts w:asciiTheme="minorHAnsi" w:hAnsiTheme="minorHAnsi" w:cs="Arial"/>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rFonts w:cs="Arial"/>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rFonts w:cs="Arial"/>
        <w:b/>
        <w:bCs/>
      </w:rPr>
      <w:tblPr/>
      <w:tcPr>
        <w:tcBorders>
          <w:top w:val="double" w:sz="4" w:space="0" w:color="F79646" w:themeColor="accent6"/>
        </w:tcBorders>
      </w:tcPr>
    </w:tblStylePr>
    <w:tblStylePr w:type="firstCol">
      <w:rPr>
        <w:rFonts w:cs="Arial"/>
        <w:b/>
        <w:bCs/>
      </w:rPr>
    </w:tblStylePr>
    <w:tblStylePr w:type="lastCol">
      <w:rPr>
        <w:rFonts w:cs="Arial"/>
        <w:b/>
        <w:bCs/>
      </w:rPr>
    </w:tblStylePr>
    <w:tblStylePr w:type="band1Vert">
      <w:rPr>
        <w:rFonts w:cs="Arial"/>
      </w:rPr>
      <w:tblPr/>
      <w:tcPr>
        <w:shd w:val="clear" w:color="auto" w:fill="FDE9D9" w:themeFill="accent6" w:themeFillTint="33"/>
      </w:tcPr>
    </w:tblStylePr>
    <w:tblStylePr w:type="band1Horz">
      <w:rPr>
        <w:rFonts w:cs="Arial"/>
      </w:rPr>
      <w:tblPr/>
      <w:tcPr>
        <w:shd w:val="clear" w:color="auto" w:fill="FDE9D9" w:themeFill="accent6" w:themeFillTint="33"/>
      </w:tcPr>
    </w:tblStylePr>
  </w:style>
  <w:style w:type="paragraph" w:customStyle="1" w:styleId="TableNotes">
    <w:name w:val="TableNotes"/>
    <w:basedOn w:val="Normal"/>
    <w:qFormat/>
    <w:rsid w:val="003A743E"/>
    <w:pPr>
      <w:spacing w:after="160" w:line="256" w:lineRule="auto"/>
      <w:contextualSpacing/>
      <w:jc w:val="left"/>
    </w:pPr>
    <w:rPr>
      <w:rFonts w:eastAsiaTheme="minorHAnsi" w:cstheme="minorBidi"/>
      <w:sz w:val="16"/>
      <w:szCs w:val="16"/>
      <w:lang w:eastAsia="en-US"/>
    </w:rPr>
  </w:style>
  <w:style w:type="paragraph" w:customStyle="1" w:styleId="Tabletext2">
    <w:name w:val="Tabletext"/>
    <w:basedOn w:val="Normal"/>
    <w:qFormat/>
    <w:rsid w:val="00E40641"/>
    <w:pPr>
      <w:jc w:val="left"/>
    </w:pPr>
    <w:rPr>
      <w:sz w:val="18"/>
      <w:szCs w:val="22"/>
      <w:lang w:eastAsia="en-US"/>
    </w:rPr>
  </w:style>
  <w:style w:type="table" w:styleId="GridTable4-Accent6">
    <w:name w:val="Grid Table 4 Accent 6"/>
    <w:basedOn w:val="TableNormal"/>
    <w:uiPriority w:val="49"/>
    <w:rsid w:val="00E40641"/>
    <w:rPr>
      <w:rFonts w:asciiTheme="minorHAnsi" w:eastAsiaTheme="minorHAnsi" w:hAnsiTheme="minorHAnsi" w:cstheme="minorBidi"/>
      <w:sz w:val="22"/>
      <w:szCs w:val="22"/>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citation-doi">
    <w:name w:val="citation-doi"/>
    <w:basedOn w:val="DefaultParagraphFont"/>
    <w:rsid w:val="00FC1A31"/>
  </w:style>
  <w:style w:type="character" w:customStyle="1" w:styleId="ahead-of-print">
    <w:name w:val="ahead-of-print"/>
    <w:basedOn w:val="DefaultParagraphFont"/>
    <w:rsid w:val="00FC1A31"/>
  </w:style>
  <w:style w:type="table" w:customStyle="1" w:styleId="Summarybox2">
    <w:name w:val="Summary box2"/>
    <w:basedOn w:val="TableNormal"/>
    <w:uiPriority w:val="59"/>
    <w:rsid w:val="00B73DD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Bodytext">
    <w:name w:val="3. Body text"/>
    <w:basedOn w:val="ListParagraph"/>
    <w:link w:val="3BodytextChar"/>
    <w:qFormat/>
    <w:rsid w:val="00A5034F"/>
    <w:pPr>
      <w:numPr>
        <w:numId w:val="0"/>
      </w:numPr>
      <w:ind w:left="720" w:hanging="720"/>
    </w:pPr>
    <w:rPr>
      <w:rFonts w:eastAsiaTheme="minorHAnsi" w:cstheme="minorBidi"/>
      <w:snapToGrid/>
      <w:szCs w:val="22"/>
    </w:rPr>
  </w:style>
  <w:style w:type="character" w:customStyle="1" w:styleId="secondary-date">
    <w:name w:val="secondary-date"/>
    <w:basedOn w:val="DefaultParagraphFont"/>
    <w:rsid w:val="006F340F"/>
  </w:style>
  <w:style w:type="character" w:customStyle="1" w:styleId="3BodytextChar">
    <w:name w:val="3. Body text Char"/>
    <w:basedOn w:val="DefaultParagraphFont"/>
    <w:link w:val="3Bodytext"/>
    <w:rsid w:val="0049008B"/>
    <w:rPr>
      <w:rFonts w:asciiTheme="minorHAnsi" w:eastAsiaTheme="minorHAnsi" w:hAnsiTheme="minorHAnsi" w:cstheme="minorBidi"/>
      <w:sz w:val="24"/>
      <w:szCs w:val="22"/>
    </w:rPr>
  </w:style>
  <w:style w:type="character" w:customStyle="1" w:styleId="UnresolvedMention2">
    <w:name w:val="Unresolved Mention2"/>
    <w:basedOn w:val="DefaultParagraphFont"/>
    <w:uiPriority w:val="99"/>
    <w:semiHidden/>
    <w:unhideWhenUsed/>
    <w:rsid w:val="00E46A3C"/>
    <w:rPr>
      <w:color w:val="605E5C"/>
      <w:shd w:val="clear" w:color="auto" w:fill="E1DFDD"/>
    </w:rPr>
  </w:style>
  <w:style w:type="character" w:styleId="UnresolvedMention">
    <w:name w:val="Unresolved Mention"/>
    <w:basedOn w:val="DefaultParagraphFont"/>
    <w:uiPriority w:val="99"/>
    <w:semiHidden/>
    <w:unhideWhenUsed/>
    <w:rsid w:val="00906747"/>
    <w:rPr>
      <w:color w:val="605E5C"/>
      <w:shd w:val="clear" w:color="auto" w:fill="E1DFDD"/>
    </w:rPr>
  </w:style>
  <w:style w:type="paragraph" w:customStyle="1" w:styleId="3-SubsectionHeading">
    <w:name w:val="3-Subsection Heading"/>
    <w:basedOn w:val="Heading2"/>
    <w:next w:val="Normal"/>
    <w:link w:val="3-SubsectionHeadingChar"/>
    <w:qFormat/>
    <w:rsid w:val="00BF43F9"/>
    <w:pPr>
      <w:keepNext/>
      <w:spacing w:before="120" w:after="120"/>
      <w:outlineLvl w:val="9"/>
    </w:pPr>
    <w:rPr>
      <w:rFonts w:eastAsiaTheme="majorEastAsia" w:cstheme="majorBidi"/>
      <w:color w:val="365F91" w:themeColor="accent1" w:themeShade="BF"/>
      <w:spacing w:val="5"/>
      <w:kern w:val="28"/>
      <w:szCs w:val="36"/>
      <w:lang w:eastAsia="en-US"/>
    </w:rPr>
  </w:style>
  <w:style w:type="character" w:customStyle="1" w:styleId="3-SubsectionHeadingChar">
    <w:name w:val="3-Subsection Heading Char"/>
    <w:basedOn w:val="Heading2Char"/>
    <w:link w:val="3-SubsectionHeading"/>
    <w:rsid w:val="00BF43F9"/>
    <w:rPr>
      <w:rFonts w:asciiTheme="minorHAnsi" w:eastAsiaTheme="majorEastAsia" w:hAnsiTheme="minorHAnsi" w:cstheme="majorBidi"/>
      <w:b/>
      <w:i/>
      <w:snapToGrid/>
      <w:color w:val="365F91" w:themeColor="accent1" w:themeShade="BF"/>
      <w:spacing w:val="5"/>
      <w:kern w:val="28"/>
      <w:sz w:val="28"/>
      <w:szCs w:val="36"/>
      <w:lang w:eastAsia="en-US"/>
    </w:rPr>
  </w:style>
  <w:style w:type="character" w:customStyle="1" w:styleId="normaltextrun">
    <w:name w:val="normaltextrun"/>
    <w:basedOn w:val="DefaultParagraphFont"/>
    <w:rsid w:val="00365585"/>
  </w:style>
  <w:style w:type="character" w:customStyle="1" w:styleId="Heading1Char">
    <w:name w:val="Heading 1 Char"/>
    <w:basedOn w:val="DefaultParagraphFont"/>
    <w:link w:val="Heading1"/>
    <w:uiPriority w:val="1"/>
    <w:rsid w:val="00C3721C"/>
    <w:rPr>
      <w:rFonts w:asciiTheme="minorHAnsi" w:hAnsiTheme="minorHAnsi"/>
      <w:b/>
      <w:caps/>
      <w:sz w:val="32"/>
      <w:szCs w:val="24"/>
      <w:lang w:eastAsia="en-GB"/>
    </w:rPr>
  </w:style>
  <w:style w:type="character" w:customStyle="1" w:styleId="Heading3Char">
    <w:name w:val="Heading 3 Char"/>
    <w:basedOn w:val="DefaultParagraphFont"/>
    <w:link w:val="Heading3"/>
    <w:rsid w:val="00C3721C"/>
    <w:rPr>
      <w:rFonts w:asciiTheme="minorHAnsi" w:hAnsiTheme="minorHAnsi"/>
      <w:sz w:val="24"/>
      <w:szCs w:val="24"/>
      <w:u w:val="single"/>
      <w:lang w:eastAsia="en-GB"/>
    </w:rPr>
  </w:style>
  <w:style w:type="character" w:customStyle="1" w:styleId="Heading4Char">
    <w:name w:val="Heading 4 Char"/>
    <w:basedOn w:val="DefaultParagraphFont"/>
    <w:link w:val="Heading4"/>
    <w:rsid w:val="00C3721C"/>
    <w:rPr>
      <w:rFonts w:asciiTheme="minorHAnsi" w:hAnsiTheme="minorHAnsi"/>
      <w:b/>
      <w:bCs/>
      <w:i/>
      <w:sz w:val="26"/>
      <w:szCs w:val="28"/>
      <w:lang w:eastAsia="en-GB"/>
    </w:rPr>
  </w:style>
  <w:style w:type="character" w:customStyle="1" w:styleId="Heading5Char">
    <w:name w:val="Heading 5 Char"/>
    <w:basedOn w:val="DefaultParagraphFont"/>
    <w:link w:val="Heading5"/>
    <w:rsid w:val="00C3721C"/>
    <w:rPr>
      <w:rFonts w:asciiTheme="minorHAnsi" w:hAnsiTheme="minorHAnsi"/>
      <w:b/>
      <w:bCs/>
      <w:iCs/>
      <w:sz w:val="26"/>
      <w:szCs w:val="26"/>
      <w:lang w:eastAsia="en-GB"/>
    </w:rPr>
  </w:style>
  <w:style w:type="character" w:customStyle="1" w:styleId="Heading6Char">
    <w:name w:val="Heading 6 Char"/>
    <w:basedOn w:val="DefaultParagraphFont"/>
    <w:link w:val="Heading6"/>
    <w:rsid w:val="00C3721C"/>
    <w:rPr>
      <w:rFonts w:asciiTheme="minorHAnsi" w:hAnsiTheme="minorHAnsi"/>
      <w:b/>
      <w:bCs/>
      <w:i/>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509924">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28548142">
      <w:bodyDiv w:val="1"/>
      <w:marLeft w:val="0"/>
      <w:marRight w:val="0"/>
      <w:marTop w:val="0"/>
      <w:marBottom w:val="0"/>
      <w:divBdr>
        <w:top w:val="none" w:sz="0" w:space="0" w:color="auto"/>
        <w:left w:val="none" w:sz="0" w:space="0" w:color="auto"/>
        <w:bottom w:val="none" w:sz="0" w:space="0" w:color="auto"/>
        <w:right w:val="none" w:sz="0" w:space="0" w:color="auto"/>
      </w:divBdr>
      <w:divsChild>
        <w:div w:id="1209731573">
          <w:marLeft w:val="0"/>
          <w:marRight w:val="0"/>
          <w:marTop w:val="0"/>
          <w:marBottom w:val="0"/>
          <w:divBdr>
            <w:top w:val="none" w:sz="0" w:space="0" w:color="auto"/>
            <w:left w:val="none" w:sz="0" w:space="0" w:color="auto"/>
            <w:bottom w:val="none" w:sz="0" w:space="0" w:color="auto"/>
            <w:right w:val="none" w:sz="0" w:space="0" w:color="auto"/>
          </w:divBdr>
          <w:divsChild>
            <w:div w:id="1548568316">
              <w:marLeft w:val="0"/>
              <w:marRight w:val="0"/>
              <w:marTop w:val="0"/>
              <w:marBottom w:val="0"/>
              <w:divBdr>
                <w:top w:val="none" w:sz="0" w:space="0" w:color="auto"/>
                <w:left w:val="none" w:sz="0" w:space="0" w:color="auto"/>
                <w:bottom w:val="none" w:sz="0" w:space="0" w:color="auto"/>
                <w:right w:val="none" w:sz="0" w:space="0" w:color="auto"/>
              </w:divBdr>
              <w:divsChild>
                <w:div w:id="191905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6753">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77826448">
      <w:bodyDiv w:val="1"/>
      <w:marLeft w:val="0"/>
      <w:marRight w:val="0"/>
      <w:marTop w:val="0"/>
      <w:marBottom w:val="0"/>
      <w:divBdr>
        <w:top w:val="none" w:sz="0" w:space="0" w:color="auto"/>
        <w:left w:val="none" w:sz="0" w:space="0" w:color="auto"/>
        <w:bottom w:val="none" w:sz="0" w:space="0" w:color="auto"/>
        <w:right w:val="none" w:sz="0" w:space="0" w:color="auto"/>
      </w:divBdr>
    </w:div>
    <w:div w:id="406852104">
      <w:bodyDiv w:val="1"/>
      <w:marLeft w:val="0"/>
      <w:marRight w:val="0"/>
      <w:marTop w:val="0"/>
      <w:marBottom w:val="0"/>
      <w:divBdr>
        <w:top w:val="none" w:sz="0" w:space="0" w:color="auto"/>
        <w:left w:val="none" w:sz="0" w:space="0" w:color="auto"/>
        <w:bottom w:val="none" w:sz="0" w:space="0" w:color="auto"/>
        <w:right w:val="none" w:sz="0" w:space="0" w:color="auto"/>
      </w:divBdr>
      <w:divsChild>
        <w:div w:id="1593851555">
          <w:marLeft w:val="0"/>
          <w:marRight w:val="0"/>
          <w:marTop w:val="0"/>
          <w:marBottom w:val="0"/>
          <w:divBdr>
            <w:top w:val="none" w:sz="0" w:space="0" w:color="auto"/>
            <w:left w:val="none" w:sz="0" w:space="0" w:color="auto"/>
            <w:bottom w:val="none" w:sz="0" w:space="0" w:color="auto"/>
            <w:right w:val="none" w:sz="0" w:space="0" w:color="auto"/>
          </w:divBdr>
          <w:divsChild>
            <w:div w:id="1839810214">
              <w:marLeft w:val="0"/>
              <w:marRight w:val="0"/>
              <w:marTop w:val="0"/>
              <w:marBottom w:val="0"/>
              <w:divBdr>
                <w:top w:val="none" w:sz="0" w:space="0" w:color="auto"/>
                <w:left w:val="none" w:sz="0" w:space="0" w:color="auto"/>
                <w:bottom w:val="none" w:sz="0" w:space="0" w:color="auto"/>
                <w:right w:val="none" w:sz="0" w:space="0" w:color="auto"/>
              </w:divBdr>
              <w:divsChild>
                <w:div w:id="164188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332948">
      <w:bodyDiv w:val="1"/>
      <w:marLeft w:val="0"/>
      <w:marRight w:val="0"/>
      <w:marTop w:val="0"/>
      <w:marBottom w:val="0"/>
      <w:divBdr>
        <w:top w:val="none" w:sz="0" w:space="0" w:color="auto"/>
        <w:left w:val="none" w:sz="0" w:space="0" w:color="auto"/>
        <w:bottom w:val="none" w:sz="0" w:space="0" w:color="auto"/>
        <w:right w:val="none" w:sz="0" w:space="0" w:color="auto"/>
      </w:divBdr>
    </w:div>
    <w:div w:id="493688683">
      <w:bodyDiv w:val="1"/>
      <w:marLeft w:val="0"/>
      <w:marRight w:val="0"/>
      <w:marTop w:val="0"/>
      <w:marBottom w:val="0"/>
      <w:divBdr>
        <w:top w:val="none" w:sz="0" w:space="0" w:color="auto"/>
        <w:left w:val="none" w:sz="0" w:space="0" w:color="auto"/>
        <w:bottom w:val="none" w:sz="0" w:space="0" w:color="auto"/>
        <w:right w:val="none" w:sz="0" w:space="0" w:color="auto"/>
      </w:divBdr>
    </w:div>
    <w:div w:id="498890045">
      <w:bodyDiv w:val="1"/>
      <w:marLeft w:val="0"/>
      <w:marRight w:val="0"/>
      <w:marTop w:val="0"/>
      <w:marBottom w:val="0"/>
      <w:divBdr>
        <w:top w:val="none" w:sz="0" w:space="0" w:color="auto"/>
        <w:left w:val="none" w:sz="0" w:space="0" w:color="auto"/>
        <w:bottom w:val="none" w:sz="0" w:space="0" w:color="auto"/>
        <w:right w:val="none" w:sz="0" w:space="0" w:color="auto"/>
      </w:divBdr>
      <w:divsChild>
        <w:div w:id="1604652604">
          <w:marLeft w:val="0"/>
          <w:marRight w:val="0"/>
          <w:marTop w:val="0"/>
          <w:marBottom w:val="0"/>
          <w:divBdr>
            <w:top w:val="none" w:sz="0" w:space="0" w:color="auto"/>
            <w:left w:val="none" w:sz="0" w:space="0" w:color="auto"/>
            <w:bottom w:val="none" w:sz="0" w:space="0" w:color="auto"/>
            <w:right w:val="none" w:sz="0" w:space="0" w:color="auto"/>
          </w:divBdr>
          <w:divsChild>
            <w:div w:id="1203715102">
              <w:marLeft w:val="0"/>
              <w:marRight w:val="0"/>
              <w:marTop w:val="0"/>
              <w:marBottom w:val="0"/>
              <w:divBdr>
                <w:top w:val="none" w:sz="0" w:space="0" w:color="auto"/>
                <w:left w:val="none" w:sz="0" w:space="0" w:color="auto"/>
                <w:bottom w:val="none" w:sz="0" w:space="0" w:color="auto"/>
                <w:right w:val="none" w:sz="0" w:space="0" w:color="auto"/>
              </w:divBdr>
              <w:divsChild>
                <w:div w:id="42563454">
                  <w:marLeft w:val="0"/>
                  <w:marRight w:val="0"/>
                  <w:marTop w:val="0"/>
                  <w:marBottom w:val="0"/>
                  <w:divBdr>
                    <w:top w:val="none" w:sz="0" w:space="0" w:color="auto"/>
                    <w:left w:val="none" w:sz="0" w:space="0" w:color="auto"/>
                    <w:bottom w:val="none" w:sz="0" w:space="0" w:color="auto"/>
                    <w:right w:val="none" w:sz="0" w:space="0" w:color="auto"/>
                  </w:divBdr>
                  <w:divsChild>
                    <w:div w:id="214120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62781">
      <w:bodyDiv w:val="1"/>
      <w:marLeft w:val="0"/>
      <w:marRight w:val="0"/>
      <w:marTop w:val="0"/>
      <w:marBottom w:val="0"/>
      <w:divBdr>
        <w:top w:val="none" w:sz="0" w:space="0" w:color="auto"/>
        <w:left w:val="none" w:sz="0" w:space="0" w:color="auto"/>
        <w:bottom w:val="none" w:sz="0" w:space="0" w:color="auto"/>
        <w:right w:val="none" w:sz="0" w:space="0" w:color="auto"/>
      </w:divBdr>
    </w:div>
    <w:div w:id="595746526">
      <w:bodyDiv w:val="1"/>
      <w:marLeft w:val="0"/>
      <w:marRight w:val="0"/>
      <w:marTop w:val="0"/>
      <w:marBottom w:val="0"/>
      <w:divBdr>
        <w:top w:val="none" w:sz="0" w:space="0" w:color="auto"/>
        <w:left w:val="none" w:sz="0" w:space="0" w:color="auto"/>
        <w:bottom w:val="none" w:sz="0" w:space="0" w:color="auto"/>
        <w:right w:val="none" w:sz="0" w:space="0" w:color="auto"/>
      </w:divBdr>
    </w:div>
    <w:div w:id="638733545">
      <w:bodyDiv w:val="1"/>
      <w:marLeft w:val="0"/>
      <w:marRight w:val="0"/>
      <w:marTop w:val="0"/>
      <w:marBottom w:val="0"/>
      <w:divBdr>
        <w:top w:val="none" w:sz="0" w:space="0" w:color="auto"/>
        <w:left w:val="none" w:sz="0" w:space="0" w:color="auto"/>
        <w:bottom w:val="none" w:sz="0" w:space="0" w:color="auto"/>
        <w:right w:val="none" w:sz="0" w:space="0" w:color="auto"/>
      </w:divBdr>
    </w:div>
    <w:div w:id="701632546">
      <w:bodyDiv w:val="1"/>
      <w:marLeft w:val="0"/>
      <w:marRight w:val="0"/>
      <w:marTop w:val="0"/>
      <w:marBottom w:val="0"/>
      <w:divBdr>
        <w:top w:val="none" w:sz="0" w:space="0" w:color="auto"/>
        <w:left w:val="none" w:sz="0" w:space="0" w:color="auto"/>
        <w:bottom w:val="none" w:sz="0" w:space="0" w:color="auto"/>
        <w:right w:val="none" w:sz="0" w:space="0" w:color="auto"/>
      </w:divBdr>
      <w:divsChild>
        <w:div w:id="259266107">
          <w:marLeft w:val="0"/>
          <w:marRight w:val="0"/>
          <w:marTop w:val="0"/>
          <w:marBottom w:val="0"/>
          <w:divBdr>
            <w:top w:val="none" w:sz="0" w:space="0" w:color="auto"/>
            <w:left w:val="none" w:sz="0" w:space="0" w:color="auto"/>
            <w:bottom w:val="none" w:sz="0" w:space="0" w:color="auto"/>
            <w:right w:val="none" w:sz="0" w:space="0" w:color="auto"/>
          </w:divBdr>
        </w:div>
        <w:div w:id="1728602386">
          <w:marLeft w:val="0"/>
          <w:marRight w:val="0"/>
          <w:marTop w:val="0"/>
          <w:marBottom w:val="0"/>
          <w:divBdr>
            <w:top w:val="none" w:sz="0" w:space="0" w:color="auto"/>
            <w:left w:val="none" w:sz="0" w:space="0" w:color="auto"/>
            <w:bottom w:val="none" w:sz="0" w:space="0" w:color="auto"/>
            <w:right w:val="none" w:sz="0" w:space="0" w:color="auto"/>
          </w:divBdr>
        </w:div>
        <w:div w:id="236748391">
          <w:marLeft w:val="0"/>
          <w:marRight w:val="0"/>
          <w:marTop w:val="0"/>
          <w:marBottom w:val="0"/>
          <w:divBdr>
            <w:top w:val="none" w:sz="0" w:space="0" w:color="auto"/>
            <w:left w:val="none" w:sz="0" w:space="0" w:color="auto"/>
            <w:bottom w:val="none" w:sz="0" w:space="0" w:color="auto"/>
            <w:right w:val="none" w:sz="0" w:space="0" w:color="auto"/>
          </w:divBdr>
        </w:div>
        <w:div w:id="1603033719">
          <w:marLeft w:val="0"/>
          <w:marRight w:val="0"/>
          <w:marTop w:val="0"/>
          <w:marBottom w:val="0"/>
          <w:divBdr>
            <w:top w:val="none" w:sz="0" w:space="0" w:color="auto"/>
            <w:left w:val="none" w:sz="0" w:space="0" w:color="auto"/>
            <w:bottom w:val="none" w:sz="0" w:space="0" w:color="auto"/>
            <w:right w:val="none" w:sz="0" w:space="0" w:color="auto"/>
          </w:divBdr>
        </w:div>
      </w:divsChild>
    </w:div>
    <w:div w:id="735590985">
      <w:bodyDiv w:val="1"/>
      <w:marLeft w:val="0"/>
      <w:marRight w:val="0"/>
      <w:marTop w:val="0"/>
      <w:marBottom w:val="0"/>
      <w:divBdr>
        <w:top w:val="none" w:sz="0" w:space="0" w:color="auto"/>
        <w:left w:val="none" w:sz="0" w:space="0" w:color="auto"/>
        <w:bottom w:val="none" w:sz="0" w:space="0" w:color="auto"/>
        <w:right w:val="none" w:sz="0" w:space="0" w:color="auto"/>
      </w:divBdr>
      <w:divsChild>
        <w:div w:id="778648204">
          <w:marLeft w:val="0"/>
          <w:marRight w:val="0"/>
          <w:marTop w:val="0"/>
          <w:marBottom w:val="0"/>
          <w:divBdr>
            <w:top w:val="none" w:sz="0" w:space="0" w:color="auto"/>
            <w:left w:val="none" w:sz="0" w:space="0" w:color="auto"/>
            <w:bottom w:val="none" w:sz="0" w:space="0" w:color="auto"/>
            <w:right w:val="none" w:sz="0" w:space="0" w:color="auto"/>
          </w:divBdr>
          <w:divsChild>
            <w:div w:id="1050038419">
              <w:marLeft w:val="0"/>
              <w:marRight w:val="0"/>
              <w:marTop w:val="0"/>
              <w:marBottom w:val="0"/>
              <w:divBdr>
                <w:top w:val="none" w:sz="0" w:space="0" w:color="auto"/>
                <w:left w:val="none" w:sz="0" w:space="0" w:color="auto"/>
                <w:bottom w:val="none" w:sz="0" w:space="0" w:color="auto"/>
                <w:right w:val="none" w:sz="0" w:space="0" w:color="auto"/>
              </w:divBdr>
              <w:divsChild>
                <w:div w:id="124318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863950">
      <w:bodyDiv w:val="1"/>
      <w:marLeft w:val="0"/>
      <w:marRight w:val="0"/>
      <w:marTop w:val="0"/>
      <w:marBottom w:val="0"/>
      <w:divBdr>
        <w:top w:val="none" w:sz="0" w:space="0" w:color="auto"/>
        <w:left w:val="none" w:sz="0" w:space="0" w:color="auto"/>
        <w:bottom w:val="none" w:sz="0" w:space="0" w:color="auto"/>
        <w:right w:val="none" w:sz="0" w:space="0" w:color="auto"/>
      </w:divBdr>
    </w:div>
    <w:div w:id="1041252236">
      <w:bodyDiv w:val="1"/>
      <w:marLeft w:val="0"/>
      <w:marRight w:val="0"/>
      <w:marTop w:val="0"/>
      <w:marBottom w:val="0"/>
      <w:divBdr>
        <w:top w:val="none" w:sz="0" w:space="0" w:color="auto"/>
        <w:left w:val="none" w:sz="0" w:space="0" w:color="auto"/>
        <w:bottom w:val="none" w:sz="0" w:space="0" w:color="auto"/>
        <w:right w:val="none" w:sz="0" w:space="0" w:color="auto"/>
      </w:divBdr>
    </w:div>
    <w:div w:id="1166629340">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59591">
      <w:bodyDiv w:val="1"/>
      <w:marLeft w:val="0"/>
      <w:marRight w:val="0"/>
      <w:marTop w:val="0"/>
      <w:marBottom w:val="0"/>
      <w:divBdr>
        <w:top w:val="none" w:sz="0" w:space="0" w:color="auto"/>
        <w:left w:val="none" w:sz="0" w:space="0" w:color="auto"/>
        <w:bottom w:val="none" w:sz="0" w:space="0" w:color="auto"/>
        <w:right w:val="none" w:sz="0" w:space="0" w:color="auto"/>
      </w:divBdr>
      <w:divsChild>
        <w:div w:id="1914968525">
          <w:marLeft w:val="0"/>
          <w:marRight w:val="0"/>
          <w:marTop w:val="0"/>
          <w:marBottom w:val="0"/>
          <w:divBdr>
            <w:top w:val="none" w:sz="0" w:space="0" w:color="auto"/>
            <w:left w:val="none" w:sz="0" w:space="0" w:color="auto"/>
            <w:bottom w:val="none" w:sz="0" w:space="0" w:color="auto"/>
            <w:right w:val="none" w:sz="0" w:space="0" w:color="auto"/>
          </w:divBdr>
          <w:divsChild>
            <w:div w:id="805202127">
              <w:marLeft w:val="0"/>
              <w:marRight w:val="0"/>
              <w:marTop w:val="0"/>
              <w:marBottom w:val="0"/>
              <w:divBdr>
                <w:top w:val="none" w:sz="0" w:space="0" w:color="auto"/>
                <w:left w:val="none" w:sz="0" w:space="0" w:color="auto"/>
                <w:bottom w:val="none" w:sz="0" w:space="0" w:color="auto"/>
                <w:right w:val="none" w:sz="0" w:space="0" w:color="auto"/>
              </w:divBdr>
              <w:divsChild>
                <w:div w:id="60203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95404">
      <w:bodyDiv w:val="1"/>
      <w:marLeft w:val="0"/>
      <w:marRight w:val="0"/>
      <w:marTop w:val="0"/>
      <w:marBottom w:val="0"/>
      <w:divBdr>
        <w:top w:val="none" w:sz="0" w:space="0" w:color="auto"/>
        <w:left w:val="none" w:sz="0" w:space="0" w:color="auto"/>
        <w:bottom w:val="none" w:sz="0" w:space="0" w:color="auto"/>
        <w:right w:val="none" w:sz="0" w:space="0" w:color="auto"/>
      </w:divBdr>
    </w:div>
    <w:div w:id="1768766133">
      <w:bodyDiv w:val="1"/>
      <w:marLeft w:val="0"/>
      <w:marRight w:val="0"/>
      <w:marTop w:val="0"/>
      <w:marBottom w:val="0"/>
      <w:divBdr>
        <w:top w:val="none" w:sz="0" w:space="0" w:color="auto"/>
        <w:left w:val="none" w:sz="0" w:space="0" w:color="auto"/>
        <w:bottom w:val="none" w:sz="0" w:space="0" w:color="auto"/>
        <w:right w:val="none" w:sz="0" w:space="0" w:color="auto"/>
      </w:divBdr>
    </w:div>
    <w:div w:id="1853951429">
      <w:bodyDiv w:val="1"/>
      <w:marLeft w:val="0"/>
      <w:marRight w:val="0"/>
      <w:marTop w:val="0"/>
      <w:marBottom w:val="0"/>
      <w:divBdr>
        <w:top w:val="none" w:sz="0" w:space="0" w:color="auto"/>
        <w:left w:val="none" w:sz="0" w:space="0" w:color="auto"/>
        <w:bottom w:val="none" w:sz="0" w:space="0" w:color="auto"/>
        <w:right w:val="none" w:sz="0" w:space="0" w:color="auto"/>
      </w:divBdr>
    </w:div>
    <w:div w:id="1941990919">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9735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growthcharts/data/set2clinical/cj41c07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859CC5-BDD1-4157-BFEF-5C4E5DF2A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20150</Words>
  <Characters>110987</Characters>
  <Application>Microsoft Office Word</Application>
  <DocSecurity>0</DocSecurity>
  <Lines>924</Lines>
  <Paragraphs>261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2022-04-01T01:02:00Z</dcterms:created>
  <dcterms:modified xsi:type="dcterms:W3CDTF">2022-06-24T06:09:00Z</dcterms:modified>
</cp:coreProperties>
</file>