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DB627" w14:textId="4FB2608D" w:rsidR="00872E8F" w:rsidRDefault="007A4731" w:rsidP="00F24869">
      <w:pPr>
        <w:pStyle w:val="1MainTitle"/>
        <w:jc w:val="left"/>
      </w:pPr>
      <w:r>
        <w:t>5</w:t>
      </w:r>
      <w:r w:rsidR="70971A32">
        <w:t>.</w:t>
      </w:r>
      <w:r>
        <w:t>28</w:t>
      </w:r>
      <w:r w:rsidR="00872E8F">
        <w:tab/>
      </w:r>
      <w:r w:rsidR="004261FA" w:rsidRPr="004261FA">
        <w:t>GLYCOMACROPEPTIDE FORMULA WITH AMINO ACIDS, VITAMINS, MINERALS, TRACE ELEMENTS, CARBOHYDRATE, FAT AND LOW PHENYLALANINE</w:t>
      </w:r>
      <w:r>
        <w:br/>
      </w:r>
      <w:r w:rsidRPr="007A4731">
        <w:t xml:space="preserve">Sachets containing oral powder 33.4 g, </w:t>
      </w:r>
      <w:r w:rsidR="00E618E8">
        <w:t>30</w:t>
      </w:r>
      <w:r w:rsidR="00EA4709">
        <w:t xml:space="preserve"> (</w:t>
      </w:r>
      <w:r w:rsidR="00EA4709" w:rsidRPr="007A4731">
        <w:t xml:space="preserve">PKU GMPro </w:t>
      </w:r>
      <w:r w:rsidR="00EA4709">
        <w:t>ULTRA)</w:t>
      </w:r>
      <w:r>
        <w:t>,</w:t>
      </w:r>
      <w:r>
        <w:br/>
      </w:r>
      <w:r w:rsidRPr="007A4731">
        <w:t xml:space="preserve">PKU GMPro </w:t>
      </w:r>
      <w:r w:rsidR="00452715">
        <w:t>ULTRA</w:t>
      </w:r>
      <w:bookmarkStart w:id="0" w:name="_Hlk92265330"/>
      <w:r>
        <w:t>®</w:t>
      </w:r>
      <w:bookmarkEnd w:id="0"/>
      <w:r w:rsidR="70971A32">
        <w:t>,</w:t>
      </w:r>
      <w:r w:rsidR="00872E8F">
        <w:br/>
      </w:r>
      <w:r w:rsidRPr="007A4731">
        <w:t>Nutricia Australia Pty Limited</w:t>
      </w:r>
    </w:p>
    <w:p w14:paraId="5F4D54C1" w14:textId="3A9AAE9A" w:rsidR="00E11F44" w:rsidRPr="00E11F44" w:rsidRDefault="007E490F" w:rsidP="00CD6257">
      <w:pPr>
        <w:pStyle w:val="2-SectionHeading"/>
        <w:rPr>
          <w:rFonts w:cstheme="minorHAnsi"/>
          <w:color w:val="FF0000"/>
        </w:rPr>
      </w:pPr>
      <w:r w:rsidRPr="0033263D">
        <w:t xml:space="preserve">Purpose of </w:t>
      </w:r>
      <w:r w:rsidR="00FA0B04">
        <w:t>Submission</w:t>
      </w:r>
    </w:p>
    <w:p w14:paraId="50FAB4A3" w14:textId="22889E90" w:rsidR="007E490F" w:rsidRPr="00E618E8" w:rsidRDefault="006C6C10" w:rsidP="00465F5D">
      <w:pPr>
        <w:pStyle w:val="3Bodytext"/>
        <w:jc w:val="both"/>
        <w:rPr>
          <w:rFonts w:cstheme="minorHAnsi"/>
          <w:szCs w:val="24"/>
        </w:rPr>
      </w:pPr>
      <w:r w:rsidRPr="00E618E8">
        <w:rPr>
          <w:rFonts w:cstheme="minorHAnsi"/>
          <w:szCs w:val="24"/>
        </w:rPr>
        <w:t>The</w:t>
      </w:r>
      <w:r w:rsidR="00A43C5C" w:rsidRPr="00E618E8">
        <w:rPr>
          <w:rFonts w:cstheme="minorHAnsi"/>
          <w:szCs w:val="24"/>
        </w:rPr>
        <w:t xml:space="preserve"> Category 3 submission requested </w:t>
      </w:r>
      <w:r w:rsidR="00465C7C">
        <w:rPr>
          <w:rFonts w:cstheme="minorHAnsi"/>
          <w:szCs w:val="24"/>
        </w:rPr>
        <w:t>a General Schedule Restricted Benefit listing of</w:t>
      </w:r>
      <w:r w:rsidR="00A43C5C" w:rsidRPr="00E618E8">
        <w:rPr>
          <w:szCs w:val="24"/>
        </w:rPr>
        <w:t xml:space="preserve"> </w:t>
      </w:r>
      <w:bookmarkStart w:id="1" w:name="_Hlk95981845"/>
      <w:bookmarkStart w:id="2" w:name="_Hlk95981964"/>
      <w:r w:rsidR="004261FA" w:rsidRPr="004261FA">
        <w:rPr>
          <w:szCs w:val="24"/>
        </w:rPr>
        <w:t>glycomacropeptide formula with amino acids, vitamins, minerals, trace elements</w:t>
      </w:r>
      <w:bookmarkEnd w:id="1"/>
      <w:r w:rsidR="004261FA" w:rsidRPr="004261FA">
        <w:rPr>
          <w:szCs w:val="24"/>
        </w:rPr>
        <w:t>, carbohydrate, fat and low phenylalanine</w:t>
      </w:r>
      <w:bookmarkEnd w:id="2"/>
      <w:r w:rsidR="004261FA" w:rsidRPr="00E618E8">
        <w:rPr>
          <w:szCs w:val="24"/>
        </w:rPr>
        <w:t>, sachets containing oral powder 33.4 g</w:t>
      </w:r>
      <w:r w:rsidR="00A43C5C" w:rsidRPr="00E618E8">
        <w:rPr>
          <w:szCs w:val="24"/>
        </w:rPr>
        <w:t xml:space="preserve"> (PKU GMPro </w:t>
      </w:r>
      <w:r w:rsidR="00452715">
        <w:rPr>
          <w:szCs w:val="24"/>
        </w:rPr>
        <w:t>ULTRA</w:t>
      </w:r>
      <w:r w:rsidR="00AE2B29" w:rsidRPr="00AE2B29">
        <w:rPr>
          <w:szCs w:val="24"/>
        </w:rPr>
        <w:t>®</w:t>
      </w:r>
      <w:r w:rsidR="00A43C5C" w:rsidRPr="00E618E8">
        <w:rPr>
          <w:szCs w:val="24"/>
        </w:rPr>
        <w:t xml:space="preserve">) </w:t>
      </w:r>
      <w:r w:rsidR="00465C7C">
        <w:rPr>
          <w:szCs w:val="24"/>
        </w:rPr>
        <w:t xml:space="preserve">for the treatment of phenylketonuria (PKU) in </w:t>
      </w:r>
      <w:r w:rsidR="00A43C5C" w:rsidRPr="00E618E8">
        <w:rPr>
          <w:szCs w:val="24"/>
        </w:rPr>
        <w:t>children and adults</w:t>
      </w:r>
      <w:r w:rsidR="00465C7C">
        <w:rPr>
          <w:szCs w:val="24"/>
        </w:rPr>
        <w:t>.</w:t>
      </w:r>
    </w:p>
    <w:p w14:paraId="3D1D4320" w14:textId="77777777" w:rsidR="007E490F" w:rsidRPr="00FD6D8E" w:rsidRDefault="007E490F" w:rsidP="001F2311">
      <w:pPr>
        <w:pStyle w:val="2-SectionHeading"/>
      </w:pPr>
      <w:r w:rsidRPr="009E2E8E">
        <w:t>Background</w:t>
      </w:r>
      <w:r>
        <w:t xml:space="preserve"> </w:t>
      </w:r>
    </w:p>
    <w:p w14:paraId="2FBF2299" w14:textId="264AAF4F" w:rsidR="00DC02BA" w:rsidRPr="00D50436" w:rsidRDefault="00DC02BA" w:rsidP="00465F5D">
      <w:pPr>
        <w:pStyle w:val="3Bodytext"/>
        <w:jc w:val="both"/>
        <w:rPr>
          <w:color w:val="000000" w:themeColor="text1"/>
        </w:rPr>
      </w:pPr>
      <w:r>
        <w:t xml:space="preserve">PKU GMPro ULTRA </w:t>
      </w:r>
      <w:r w:rsidRPr="00CB2A1A">
        <w:t>ha</w:t>
      </w:r>
      <w:r w:rsidR="001D6CF3">
        <w:t>d</w:t>
      </w:r>
      <w:r>
        <w:t xml:space="preserve"> </w:t>
      </w:r>
      <w:r w:rsidRPr="00CB2A1A">
        <w:t>not been considered by the</w:t>
      </w:r>
      <w:r w:rsidR="00DC7AE7">
        <w:t xml:space="preserve"> Pharmaceutical Benefits Advisory Committee</w:t>
      </w:r>
      <w:r w:rsidRPr="00CB2A1A">
        <w:t xml:space="preserve"> </w:t>
      </w:r>
      <w:r w:rsidR="00DC7AE7">
        <w:t>(</w:t>
      </w:r>
      <w:r w:rsidRPr="00CB2A1A">
        <w:t>PBAC</w:t>
      </w:r>
      <w:r w:rsidR="00DC7AE7">
        <w:t>)</w:t>
      </w:r>
      <w:r w:rsidRPr="00CB2A1A">
        <w:t xml:space="preserve"> previously.</w:t>
      </w:r>
    </w:p>
    <w:p w14:paraId="7024E327" w14:textId="43FDA2D0" w:rsidR="002308C2" w:rsidRDefault="002308C2" w:rsidP="00465F5D">
      <w:pPr>
        <w:pStyle w:val="3Bodytext"/>
        <w:jc w:val="both"/>
      </w:pPr>
      <w:r>
        <w:t>G</w:t>
      </w:r>
      <w:r w:rsidRPr="002308C2">
        <w:t xml:space="preserve">lycomacropeptide formula with amino acids, vitamins, minerals, trace elements, carbohydrate, </w:t>
      </w:r>
      <w:proofErr w:type="gramStart"/>
      <w:r w:rsidRPr="002308C2">
        <w:t>fat</w:t>
      </w:r>
      <w:proofErr w:type="gramEnd"/>
      <w:r w:rsidRPr="002308C2">
        <w:t xml:space="preserve"> and low phenylalanine</w:t>
      </w:r>
      <w:r w:rsidR="00042C3B">
        <w:t xml:space="preserve"> is not </w:t>
      </w:r>
      <w:r w:rsidR="00FD6AED">
        <w:t>PBS</w:t>
      </w:r>
      <w:r w:rsidR="00293BC2">
        <w:t>-</w:t>
      </w:r>
      <w:r w:rsidR="00FD6AED">
        <w:t>listed</w:t>
      </w:r>
      <w:r>
        <w:t>.</w:t>
      </w:r>
    </w:p>
    <w:p w14:paraId="5E2BA4D6" w14:textId="74AEC768" w:rsidR="00717456" w:rsidRDefault="00AE2B29" w:rsidP="00465F5D">
      <w:pPr>
        <w:pStyle w:val="3Bodytext"/>
        <w:jc w:val="both"/>
      </w:pPr>
      <w:r>
        <w:t xml:space="preserve">The submission confirmed </w:t>
      </w:r>
      <w:r w:rsidR="00DA7754" w:rsidRPr="00E618E8">
        <w:t xml:space="preserve">PKU GMPro </w:t>
      </w:r>
      <w:r w:rsidR="00452715">
        <w:t>ULTRA</w:t>
      </w:r>
      <w:r w:rsidR="00DA7754" w:rsidRPr="001C22B4">
        <w:t xml:space="preserve"> meets the requirements for foods </w:t>
      </w:r>
      <w:r w:rsidR="00A1315F">
        <w:t xml:space="preserve">for </w:t>
      </w:r>
      <w:r w:rsidR="00DA7754" w:rsidRPr="001C22B4">
        <w:t xml:space="preserve">medical purposes as set out under </w:t>
      </w:r>
      <w:r w:rsidR="00A1315F">
        <w:t>t</w:t>
      </w:r>
      <w:r w:rsidR="00DA7754" w:rsidRPr="001C22B4">
        <w:t xml:space="preserve">he </w:t>
      </w:r>
      <w:r w:rsidR="00DA7754" w:rsidRPr="00285247">
        <w:rPr>
          <w:i/>
          <w:iCs/>
        </w:rPr>
        <w:t>Australia New Zealand Food Standards Code – Standard 2.9.5: Food for Special Medical Purposes</w:t>
      </w:r>
      <w:r w:rsidR="00DA7754" w:rsidRPr="001C22B4">
        <w:t>.</w:t>
      </w:r>
      <w:bookmarkStart w:id="3" w:name="_Hlk93321823"/>
    </w:p>
    <w:bookmarkEnd w:id="3"/>
    <w:p w14:paraId="1B8790B6" w14:textId="77777777" w:rsidR="00964A9F" w:rsidRDefault="00964A9F" w:rsidP="00964A9F">
      <w:pPr>
        <w:pStyle w:val="2-SectionHeading"/>
      </w:pPr>
      <w:r w:rsidRPr="009D507A">
        <w:t xml:space="preserve">Requested listing </w:t>
      </w:r>
    </w:p>
    <w:p w14:paraId="026E3699" w14:textId="77777777" w:rsidR="00AD3263" w:rsidRPr="00AD3263" w:rsidRDefault="00AF6340" w:rsidP="0093464A">
      <w:pPr>
        <w:pStyle w:val="3Bodytext"/>
        <w:rPr>
          <w:rFonts w:cstheme="minorHAnsi"/>
        </w:rPr>
      </w:pPr>
      <w:bookmarkStart w:id="4" w:name="_Hlk91139931"/>
      <w:r w:rsidRPr="00AD3263">
        <w:t xml:space="preserve">The submission requested the following new listing. </w:t>
      </w:r>
    </w:p>
    <w:p w14:paraId="13E75F28" w14:textId="6FBB6067" w:rsidR="00AF6340" w:rsidRPr="00AD3263" w:rsidRDefault="00AF6340" w:rsidP="00AD3263">
      <w:pPr>
        <w:pStyle w:val="3Bodytext"/>
        <w:numPr>
          <w:ilvl w:val="0"/>
          <w:numId w:val="0"/>
        </w:numPr>
        <w:ind w:left="720"/>
        <w:rPr>
          <w:rFonts w:cstheme="minorHAnsi"/>
        </w:rPr>
      </w:pPr>
      <w:r w:rsidRPr="00AD3263">
        <w:rPr>
          <w:rFonts w:cstheme="minorHAnsi"/>
        </w:rPr>
        <w:t>Add new medicinal product as follows: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1"/>
        <w:gridCol w:w="2133"/>
        <w:gridCol w:w="993"/>
        <w:gridCol w:w="850"/>
        <w:gridCol w:w="709"/>
        <w:gridCol w:w="709"/>
        <w:gridCol w:w="1842"/>
      </w:tblGrid>
      <w:tr w:rsidR="00EE2EBE" w:rsidRPr="00AD3263" w14:paraId="5F090026" w14:textId="77777777" w:rsidTr="00EE2EBE">
        <w:trPr>
          <w:cantSplit/>
          <w:trHeight w:val="471"/>
        </w:trPr>
        <w:tc>
          <w:tcPr>
            <w:tcW w:w="3964" w:type="dxa"/>
            <w:gridSpan w:val="2"/>
          </w:tcPr>
          <w:bookmarkEnd w:id="4"/>
          <w:p w14:paraId="54166E96" w14:textId="77777777" w:rsidR="00EE2EBE" w:rsidRPr="00AD3263" w:rsidRDefault="00EE2EBE" w:rsidP="009F4FA6">
            <w:pPr>
              <w:keepNext/>
              <w:widowControl w:val="0"/>
              <w:ind w:left="-57"/>
              <w:rPr>
                <w:rFonts w:ascii="Arial Narrow" w:hAnsi="Arial Narrow" w:cs="Arial"/>
                <w:b/>
                <w:bCs/>
                <w:sz w:val="20"/>
                <w:szCs w:val="20"/>
              </w:rPr>
            </w:pPr>
            <w:r w:rsidRPr="00AD3263">
              <w:rPr>
                <w:rFonts w:ascii="Arial Narrow" w:hAnsi="Arial Narrow" w:cs="Arial"/>
                <w:b/>
                <w:bCs/>
                <w:sz w:val="20"/>
                <w:szCs w:val="20"/>
              </w:rPr>
              <w:lastRenderedPageBreak/>
              <w:t>MEDICINAL PRODUCT</w:t>
            </w:r>
          </w:p>
          <w:p w14:paraId="7B9D515F" w14:textId="77777777" w:rsidR="00EE2EBE" w:rsidRPr="00AD3263" w:rsidRDefault="00EE2EBE" w:rsidP="009F4FA6">
            <w:pPr>
              <w:keepNext/>
              <w:widowControl w:val="0"/>
              <w:ind w:left="-57"/>
              <w:rPr>
                <w:rFonts w:ascii="Arial Narrow" w:hAnsi="Arial Narrow" w:cs="Arial"/>
                <w:b/>
                <w:sz w:val="20"/>
                <w:szCs w:val="20"/>
              </w:rPr>
            </w:pPr>
            <w:r w:rsidRPr="00AD3263">
              <w:rPr>
                <w:rFonts w:ascii="Arial Narrow" w:hAnsi="Arial Narrow" w:cs="Arial"/>
                <w:b/>
                <w:bCs/>
                <w:sz w:val="20"/>
                <w:szCs w:val="20"/>
              </w:rPr>
              <w:t>medicinal product pack</w:t>
            </w:r>
          </w:p>
        </w:tc>
        <w:tc>
          <w:tcPr>
            <w:tcW w:w="993" w:type="dxa"/>
          </w:tcPr>
          <w:p w14:paraId="5D47A465" w14:textId="77777777" w:rsidR="00EE2EBE" w:rsidRPr="00AD3263" w:rsidRDefault="00EE2EBE" w:rsidP="009F4FA6">
            <w:pPr>
              <w:keepNext/>
              <w:widowControl w:val="0"/>
              <w:ind w:left="-108"/>
              <w:jc w:val="center"/>
              <w:rPr>
                <w:rFonts w:ascii="Arial Narrow" w:hAnsi="Arial Narrow" w:cs="Arial"/>
                <w:b/>
                <w:sz w:val="20"/>
                <w:szCs w:val="20"/>
              </w:rPr>
            </w:pPr>
            <w:r w:rsidRPr="00AD3263">
              <w:rPr>
                <w:rFonts w:ascii="Arial Narrow" w:hAnsi="Arial Narrow" w:cs="Arial"/>
                <w:b/>
                <w:sz w:val="20"/>
                <w:szCs w:val="20"/>
              </w:rPr>
              <w:t>PBS item code</w:t>
            </w:r>
          </w:p>
        </w:tc>
        <w:tc>
          <w:tcPr>
            <w:tcW w:w="850" w:type="dxa"/>
          </w:tcPr>
          <w:p w14:paraId="207A8C56" w14:textId="15FF5F64" w:rsidR="00EE2EBE" w:rsidRPr="00AD3263" w:rsidRDefault="00EE2EBE" w:rsidP="009F4FA6">
            <w:pPr>
              <w:keepNext/>
              <w:widowControl w:val="0"/>
              <w:ind w:left="-108"/>
              <w:jc w:val="center"/>
              <w:rPr>
                <w:rFonts w:ascii="Arial Narrow" w:hAnsi="Arial Narrow" w:cs="Arial"/>
                <w:b/>
                <w:sz w:val="20"/>
                <w:szCs w:val="20"/>
              </w:rPr>
            </w:pPr>
            <w:r w:rsidRPr="00AD3263">
              <w:rPr>
                <w:rFonts w:ascii="Arial Narrow" w:hAnsi="Arial Narrow" w:cs="Arial"/>
                <w:b/>
                <w:sz w:val="20"/>
                <w:szCs w:val="20"/>
              </w:rPr>
              <w:t>Max. qty packs</w:t>
            </w:r>
          </w:p>
        </w:tc>
        <w:tc>
          <w:tcPr>
            <w:tcW w:w="709" w:type="dxa"/>
          </w:tcPr>
          <w:p w14:paraId="18668A53" w14:textId="77777777" w:rsidR="00EE2EBE" w:rsidRPr="00AD3263" w:rsidRDefault="00EE2EBE" w:rsidP="009F4FA6">
            <w:pPr>
              <w:keepNext/>
              <w:widowControl w:val="0"/>
              <w:ind w:left="-108"/>
              <w:jc w:val="center"/>
              <w:rPr>
                <w:rFonts w:ascii="Arial Narrow" w:hAnsi="Arial Narrow" w:cs="Arial"/>
                <w:b/>
                <w:sz w:val="20"/>
                <w:szCs w:val="20"/>
              </w:rPr>
            </w:pPr>
            <w:r w:rsidRPr="00AD3263">
              <w:rPr>
                <w:rFonts w:ascii="Arial Narrow" w:hAnsi="Arial Narrow" w:cs="Arial"/>
                <w:b/>
                <w:sz w:val="20"/>
                <w:szCs w:val="20"/>
              </w:rPr>
              <w:t>Max. qty units</w:t>
            </w:r>
          </w:p>
        </w:tc>
        <w:tc>
          <w:tcPr>
            <w:tcW w:w="709" w:type="dxa"/>
          </w:tcPr>
          <w:p w14:paraId="30D545C7" w14:textId="77777777" w:rsidR="00EE2EBE" w:rsidRPr="00AD3263" w:rsidRDefault="00EE2EBE" w:rsidP="009F4FA6">
            <w:pPr>
              <w:keepNext/>
              <w:widowControl w:val="0"/>
              <w:ind w:left="-108"/>
              <w:jc w:val="center"/>
              <w:rPr>
                <w:rFonts w:ascii="Arial Narrow" w:hAnsi="Arial Narrow" w:cs="Arial"/>
                <w:b/>
                <w:sz w:val="20"/>
                <w:szCs w:val="20"/>
              </w:rPr>
            </w:pPr>
            <w:r w:rsidRPr="00AD3263">
              <w:rPr>
                <w:rFonts w:ascii="Arial Narrow" w:hAnsi="Arial Narrow" w:cs="Arial"/>
                <w:b/>
                <w:sz w:val="20"/>
                <w:szCs w:val="20"/>
              </w:rPr>
              <w:t>№.of</w:t>
            </w:r>
          </w:p>
          <w:p w14:paraId="00E2C2E8" w14:textId="77777777" w:rsidR="00EE2EBE" w:rsidRPr="00AD3263" w:rsidRDefault="00EE2EBE" w:rsidP="009F4FA6">
            <w:pPr>
              <w:keepNext/>
              <w:widowControl w:val="0"/>
              <w:ind w:left="-108"/>
              <w:jc w:val="center"/>
              <w:rPr>
                <w:rFonts w:ascii="Arial Narrow" w:hAnsi="Arial Narrow" w:cs="Arial"/>
                <w:b/>
                <w:sz w:val="20"/>
                <w:szCs w:val="20"/>
              </w:rPr>
            </w:pPr>
            <w:proofErr w:type="spellStart"/>
            <w:r w:rsidRPr="00AD3263">
              <w:rPr>
                <w:rFonts w:ascii="Arial Narrow" w:hAnsi="Arial Narrow" w:cs="Arial"/>
                <w:b/>
                <w:sz w:val="20"/>
                <w:szCs w:val="20"/>
              </w:rPr>
              <w:t>Rpts</w:t>
            </w:r>
            <w:proofErr w:type="spellEnd"/>
          </w:p>
        </w:tc>
        <w:tc>
          <w:tcPr>
            <w:tcW w:w="1842" w:type="dxa"/>
          </w:tcPr>
          <w:p w14:paraId="165BE911" w14:textId="77777777" w:rsidR="00EE2EBE" w:rsidRPr="00AD3263" w:rsidRDefault="00EE2EBE" w:rsidP="009F4FA6">
            <w:pPr>
              <w:keepNext/>
              <w:widowControl w:val="0"/>
              <w:rPr>
                <w:rFonts w:ascii="Arial Narrow" w:hAnsi="Arial Narrow" w:cs="Arial"/>
                <w:b/>
                <w:sz w:val="20"/>
                <w:szCs w:val="20"/>
                <w:lang w:val="fr-FR"/>
              </w:rPr>
            </w:pPr>
            <w:r w:rsidRPr="00AD3263">
              <w:rPr>
                <w:rFonts w:ascii="Arial Narrow" w:hAnsi="Arial Narrow" w:cs="Arial"/>
                <w:b/>
                <w:sz w:val="20"/>
                <w:szCs w:val="20"/>
              </w:rPr>
              <w:t>Available brands</w:t>
            </w:r>
          </w:p>
        </w:tc>
      </w:tr>
      <w:tr w:rsidR="00E21ECF" w:rsidRPr="00AD3263" w14:paraId="78E3690D" w14:textId="77777777" w:rsidTr="00EE2EBE">
        <w:trPr>
          <w:cantSplit/>
          <w:trHeight w:val="224"/>
        </w:trPr>
        <w:tc>
          <w:tcPr>
            <w:tcW w:w="9067" w:type="dxa"/>
            <w:gridSpan w:val="7"/>
          </w:tcPr>
          <w:p w14:paraId="7757A860" w14:textId="42A77A2D" w:rsidR="00E21ECF" w:rsidRPr="00AD3263" w:rsidRDefault="00E21ECF" w:rsidP="009F4FA6">
            <w:pPr>
              <w:keepNext/>
              <w:widowControl w:val="0"/>
              <w:ind w:left="-57"/>
              <w:rPr>
                <w:rFonts w:ascii="Arial Narrow" w:hAnsi="Arial Narrow" w:cs="Arial"/>
                <w:sz w:val="20"/>
                <w:szCs w:val="20"/>
              </w:rPr>
            </w:pPr>
            <w:r w:rsidRPr="00AD3263">
              <w:rPr>
                <w:rFonts w:ascii="Arial Narrow" w:hAnsi="Arial Narrow" w:cs="Arial"/>
                <w:sz w:val="20"/>
                <w:szCs w:val="20"/>
              </w:rPr>
              <w:t>GLYCOMACROPEPTIDE FORMULA WITH AMINO ACIDS, VITAMINS, MINERALS, TRACE ELEMENTS, CARBOHYDRATE, FAT AND LOW PHENYLALANINE</w:t>
            </w:r>
          </w:p>
        </w:tc>
      </w:tr>
      <w:tr w:rsidR="00EE2EBE" w:rsidRPr="00AD3263" w14:paraId="0E622808" w14:textId="77777777" w:rsidTr="00EE2EBE">
        <w:trPr>
          <w:cantSplit/>
          <w:trHeight w:val="553"/>
        </w:trPr>
        <w:tc>
          <w:tcPr>
            <w:tcW w:w="3964" w:type="dxa"/>
            <w:gridSpan w:val="2"/>
          </w:tcPr>
          <w:p w14:paraId="4742136E" w14:textId="50966646" w:rsidR="00EE2EBE" w:rsidRPr="00506952" w:rsidRDefault="00EE2EBE" w:rsidP="009F4FA6">
            <w:pPr>
              <w:keepNext/>
              <w:widowControl w:val="0"/>
              <w:ind w:left="-57"/>
              <w:rPr>
                <w:rFonts w:ascii="Arial Narrow" w:hAnsi="Arial Narrow" w:cs="Arial"/>
                <w:i/>
                <w:iCs/>
                <w:sz w:val="20"/>
                <w:szCs w:val="20"/>
              </w:rPr>
            </w:pPr>
            <w:r w:rsidRPr="00506952">
              <w:rPr>
                <w:rFonts w:ascii="Arial Narrow" w:hAnsi="Arial Narrow" w:cs="Arial"/>
                <w:i/>
                <w:iCs/>
                <w:sz w:val="20"/>
                <w:szCs w:val="20"/>
              </w:rPr>
              <w:t>glycomacropeptide formula with amino acids, vitamins, minerals, trace elements, carbohydrate, fat and low phenylalanine powder for oral liquid, 30 x 33.4 g sachets</w:t>
            </w:r>
          </w:p>
        </w:tc>
        <w:tc>
          <w:tcPr>
            <w:tcW w:w="993" w:type="dxa"/>
          </w:tcPr>
          <w:p w14:paraId="4CF0389A" w14:textId="750770CB" w:rsidR="00EE2EBE" w:rsidRPr="00506952" w:rsidRDefault="00EE2EBE" w:rsidP="009F4FA6">
            <w:pPr>
              <w:keepNext/>
              <w:widowControl w:val="0"/>
              <w:jc w:val="center"/>
              <w:rPr>
                <w:rFonts w:ascii="Arial Narrow" w:hAnsi="Arial Narrow" w:cs="Arial"/>
                <w:i/>
                <w:iCs/>
                <w:sz w:val="20"/>
                <w:szCs w:val="20"/>
              </w:rPr>
            </w:pPr>
            <w:r w:rsidRPr="00506952">
              <w:rPr>
                <w:rFonts w:ascii="Arial Narrow" w:hAnsi="Arial Narrow" w:cs="Arial"/>
                <w:i/>
                <w:iCs/>
                <w:sz w:val="20"/>
                <w:szCs w:val="20"/>
              </w:rPr>
              <w:t>NEW</w:t>
            </w:r>
          </w:p>
        </w:tc>
        <w:tc>
          <w:tcPr>
            <w:tcW w:w="850" w:type="dxa"/>
          </w:tcPr>
          <w:p w14:paraId="36B85D63" w14:textId="5B1687C7" w:rsidR="00EE2EBE" w:rsidRPr="00506952" w:rsidRDefault="00EE2EBE" w:rsidP="009F4FA6">
            <w:pPr>
              <w:keepNext/>
              <w:widowControl w:val="0"/>
              <w:jc w:val="center"/>
              <w:rPr>
                <w:rFonts w:ascii="Arial Narrow" w:hAnsi="Arial Narrow" w:cs="Arial"/>
                <w:i/>
                <w:iCs/>
                <w:sz w:val="20"/>
                <w:szCs w:val="20"/>
              </w:rPr>
            </w:pPr>
            <w:r w:rsidRPr="00506952">
              <w:rPr>
                <w:rFonts w:ascii="Arial Narrow" w:hAnsi="Arial Narrow" w:cs="Arial"/>
                <w:i/>
                <w:iCs/>
                <w:sz w:val="20"/>
                <w:szCs w:val="20"/>
              </w:rPr>
              <w:t>4</w:t>
            </w:r>
          </w:p>
        </w:tc>
        <w:tc>
          <w:tcPr>
            <w:tcW w:w="709" w:type="dxa"/>
          </w:tcPr>
          <w:p w14:paraId="59E378F4" w14:textId="2DFCBBA4" w:rsidR="00EE2EBE" w:rsidRPr="00506952" w:rsidRDefault="00EE2EBE" w:rsidP="009F4FA6">
            <w:pPr>
              <w:keepNext/>
              <w:widowControl w:val="0"/>
              <w:jc w:val="center"/>
              <w:rPr>
                <w:rFonts w:ascii="Arial Narrow" w:hAnsi="Arial Narrow" w:cs="Arial"/>
                <w:i/>
                <w:iCs/>
                <w:sz w:val="20"/>
                <w:szCs w:val="20"/>
              </w:rPr>
            </w:pPr>
            <w:r w:rsidRPr="00506952">
              <w:rPr>
                <w:rFonts w:ascii="Arial Narrow" w:hAnsi="Arial Narrow" w:cs="Arial"/>
                <w:i/>
                <w:iCs/>
                <w:sz w:val="20"/>
                <w:szCs w:val="20"/>
              </w:rPr>
              <w:t>4</w:t>
            </w:r>
          </w:p>
        </w:tc>
        <w:tc>
          <w:tcPr>
            <w:tcW w:w="709" w:type="dxa"/>
          </w:tcPr>
          <w:p w14:paraId="06A40841" w14:textId="77777777" w:rsidR="00EE2EBE" w:rsidRPr="00506952" w:rsidRDefault="00EE2EBE" w:rsidP="009F4FA6">
            <w:pPr>
              <w:keepNext/>
              <w:widowControl w:val="0"/>
              <w:jc w:val="center"/>
              <w:rPr>
                <w:rFonts w:ascii="Arial Narrow" w:hAnsi="Arial Narrow" w:cs="Arial"/>
                <w:i/>
                <w:iCs/>
                <w:sz w:val="20"/>
                <w:szCs w:val="20"/>
              </w:rPr>
            </w:pPr>
            <w:r w:rsidRPr="00506952">
              <w:rPr>
                <w:rFonts w:ascii="Arial Narrow" w:hAnsi="Arial Narrow" w:cs="Arial"/>
                <w:i/>
                <w:iCs/>
                <w:sz w:val="20"/>
                <w:szCs w:val="20"/>
              </w:rPr>
              <w:t>5</w:t>
            </w:r>
          </w:p>
        </w:tc>
        <w:tc>
          <w:tcPr>
            <w:tcW w:w="1842" w:type="dxa"/>
          </w:tcPr>
          <w:p w14:paraId="5DDD5065" w14:textId="26B9D8B0" w:rsidR="00EE2EBE" w:rsidRPr="00506952" w:rsidRDefault="00293BC2" w:rsidP="009F4FA6">
            <w:pPr>
              <w:keepNext/>
              <w:widowControl w:val="0"/>
              <w:rPr>
                <w:rFonts w:ascii="Arial Narrow" w:hAnsi="Arial Narrow" w:cs="Arial"/>
                <w:i/>
                <w:iCs/>
                <w:sz w:val="20"/>
                <w:szCs w:val="20"/>
              </w:rPr>
            </w:pPr>
            <w:r w:rsidRPr="00506952">
              <w:rPr>
                <w:rFonts w:ascii="Arial Narrow" w:hAnsi="Arial Narrow"/>
                <w:i/>
                <w:iCs/>
                <w:sz w:val="20"/>
                <w:szCs w:val="20"/>
              </w:rPr>
              <w:t>PKU GMPro ULTRA</w:t>
            </w:r>
          </w:p>
        </w:tc>
      </w:tr>
      <w:tr w:rsidR="00E21ECF" w:rsidRPr="00AD3263" w14:paraId="3CBAEEC9" w14:textId="77777777" w:rsidTr="00EE2EBE">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6260F59A" w14:textId="312FE599" w:rsidR="00E21ECF" w:rsidRPr="00AD3263" w:rsidRDefault="00E21ECF" w:rsidP="009F4FA6">
            <w:pPr>
              <w:keepNext/>
              <w:widowControl w:val="0"/>
              <w:rPr>
                <w:rFonts w:ascii="Arial Narrow" w:hAnsi="Arial Narrow" w:cs="Arial"/>
                <w:sz w:val="20"/>
                <w:szCs w:val="20"/>
              </w:rPr>
            </w:pPr>
          </w:p>
        </w:tc>
      </w:tr>
      <w:tr w:rsidR="00E21ECF" w:rsidRPr="00AD3263" w14:paraId="5B04E0DB" w14:textId="77777777" w:rsidTr="00EE2EBE">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tcPr>
          <w:p w14:paraId="11A3FBF0" w14:textId="2EA3DD13" w:rsidR="00E21ECF" w:rsidRPr="00AD3263" w:rsidRDefault="00E21ECF" w:rsidP="009F4FA6">
            <w:pPr>
              <w:keepNext/>
              <w:widowControl w:val="0"/>
              <w:rPr>
                <w:rFonts w:ascii="Arial Narrow" w:hAnsi="Arial Narrow" w:cs="Arial"/>
                <w:sz w:val="20"/>
                <w:szCs w:val="20"/>
              </w:rPr>
            </w:pPr>
            <w:r w:rsidRPr="00AD3263">
              <w:rPr>
                <w:rFonts w:ascii="Arial Narrow" w:hAnsi="Arial Narrow" w:cs="Arial"/>
                <w:sz w:val="20"/>
                <w:szCs w:val="20"/>
              </w:rPr>
              <w:t xml:space="preserve">Restriction Summary [new] / Treatment of Concept: </w:t>
            </w:r>
          </w:p>
        </w:tc>
      </w:tr>
      <w:tr w:rsidR="00E21ECF" w:rsidRPr="00AD3263" w14:paraId="6FA801A7" w14:textId="77777777" w:rsidTr="00EE2EBE">
        <w:tblPrEx>
          <w:tblCellMar>
            <w:top w:w="15" w:type="dxa"/>
            <w:left w:w="15" w:type="dxa"/>
            <w:bottom w:w="15" w:type="dxa"/>
            <w:right w:w="15" w:type="dxa"/>
          </w:tblCellMar>
          <w:tblLook w:val="04A0" w:firstRow="1" w:lastRow="0" w:firstColumn="1" w:lastColumn="0" w:noHBand="0" w:noVBand="1"/>
        </w:tblPrEx>
        <w:tc>
          <w:tcPr>
            <w:tcW w:w="1831" w:type="dxa"/>
            <w:tcBorders>
              <w:top w:val="single" w:sz="4" w:space="0" w:color="auto"/>
              <w:left w:val="single" w:sz="4" w:space="0" w:color="auto"/>
              <w:right w:val="single" w:sz="4" w:space="0" w:color="auto"/>
            </w:tcBorders>
          </w:tcPr>
          <w:p w14:paraId="45B7F019" w14:textId="5F64F6A5" w:rsidR="00E21ECF" w:rsidRPr="00AD3263" w:rsidRDefault="00E21ECF" w:rsidP="009F4FA6">
            <w:pPr>
              <w:keepNext/>
              <w:widowControl w:val="0"/>
              <w:jc w:val="center"/>
              <w:rPr>
                <w:rFonts w:ascii="Arial Narrow" w:hAnsi="Arial Narrow" w:cs="Arial"/>
                <w:b/>
                <w:sz w:val="18"/>
                <w:szCs w:val="18"/>
              </w:rPr>
            </w:pPr>
          </w:p>
        </w:tc>
        <w:tc>
          <w:tcPr>
            <w:tcW w:w="7236" w:type="dxa"/>
            <w:gridSpan w:val="6"/>
            <w:tcBorders>
              <w:top w:val="single" w:sz="4" w:space="0" w:color="auto"/>
              <w:left w:val="single" w:sz="4" w:space="0" w:color="auto"/>
              <w:bottom w:val="single" w:sz="4" w:space="0" w:color="auto"/>
              <w:right w:val="single" w:sz="4" w:space="0" w:color="auto"/>
            </w:tcBorders>
          </w:tcPr>
          <w:p w14:paraId="3550966F" w14:textId="0A56F9C0" w:rsidR="00E21ECF" w:rsidRPr="00AD3263" w:rsidRDefault="00E21ECF" w:rsidP="009F4FA6">
            <w:pPr>
              <w:keepNext/>
              <w:widowControl w:val="0"/>
              <w:rPr>
                <w:rFonts w:ascii="Arial Narrow" w:hAnsi="Arial Narrow" w:cs="Arial"/>
                <w:sz w:val="20"/>
                <w:szCs w:val="20"/>
              </w:rPr>
            </w:pPr>
            <w:r w:rsidRPr="00AD3263">
              <w:rPr>
                <w:rFonts w:ascii="Arial Narrow" w:hAnsi="Arial Narrow" w:cs="Arial"/>
                <w:b/>
                <w:sz w:val="20"/>
                <w:szCs w:val="20"/>
              </w:rPr>
              <w:t xml:space="preserve">Category / Program:   </w:t>
            </w:r>
            <w:r w:rsidRPr="00AD3263">
              <w:rPr>
                <w:rFonts w:ascii="Arial Narrow" w:hAnsi="Arial Narrow" w:cs="Arial"/>
                <w:sz w:val="20"/>
                <w:szCs w:val="20"/>
              </w:rPr>
              <w:t>GENERAL – General Schedule (Code GE)</w:t>
            </w:r>
            <w:r w:rsidRPr="00AD3263">
              <w:rPr>
                <w:rFonts w:ascii="Arial Narrow" w:hAnsi="Arial Narrow" w:cs="Arial"/>
                <w:color w:val="FF0000"/>
                <w:sz w:val="20"/>
                <w:szCs w:val="20"/>
              </w:rPr>
              <w:t xml:space="preserve"> </w:t>
            </w:r>
          </w:p>
        </w:tc>
      </w:tr>
      <w:tr w:rsidR="00E21ECF" w:rsidRPr="00AD3263" w14:paraId="32590271" w14:textId="77777777" w:rsidTr="00EE2EBE">
        <w:tblPrEx>
          <w:tblCellMar>
            <w:top w:w="15" w:type="dxa"/>
            <w:left w:w="15" w:type="dxa"/>
            <w:bottom w:w="15" w:type="dxa"/>
            <w:right w:w="15" w:type="dxa"/>
          </w:tblCellMar>
          <w:tblLook w:val="04A0" w:firstRow="1" w:lastRow="0" w:firstColumn="1" w:lastColumn="0" w:noHBand="0" w:noVBand="1"/>
        </w:tblPrEx>
        <w:trPr>
          <w:trHeight w:val="240"/>
        </w:trPr>
        <w:tc>
          <w:tcPr>
            <w:tcW w:w="1831" w:type="dxa"/>
            <w:tcBorders>
              <w:left w:val="single" w:sz="4" w:space="0" w:color="auto"/>
              <w:right w:val="single" w:sz="4" w:space="0" w:color="auto"/>
            </w:tcBorders>
          </w:tcPr>
          <w:p w14:paraId="0245C1AF" w14:textId="77777777" w:rsidR="00E21ECF" w:rsidRPr="00AD3263" w:rsidRDefault="00E21ECF" w:rsidP="009F4FA6">
            <w:pPr>
              <w:keepNext/>
              <w:widowControl w:val="0"/>
              <w:jc w:val="center"/>
              <w:rPr>
                <w:rFonts w:ascii="Arial Narrow" w:hAnsi="Arial Narrow" w:cs="Arial"/>
                <w:b/>
                <w:sz w:val="18"/>
                <w:szCs w:val="18"/>
              </w:rPr>
            </w:pPr>
          </w:p>
        </w:tc>
        <w:tc>
          <w:tcPr>
            <w:tcW w:w="7236" w:type="dxa"/>
            <w:gridSpan w:val="6"/>
            <w:tcBorders>
              <w:top w:val="single" w:sz="4" w:space="0" w:color="auto"/>
              <w:left w:val="single" w:sz="4" w:space="0" w:color="auto"/>
              <w:bottom w:val="single" w:sz="4" w:space="0" w:color="auto"/>
              <w:right w:val="single" w:sz="4" w:space="0" w:color="auto"/>
            </w:tcBorders>
          </w:tcPr>
          <w:p w14:paraId="0F405712" w14:textId="3C82D582" w:rsidR="00E21ECF" w:rsidRPr="00AD3263" w:rsidRDefault="00E21ECF" w:rsidP="009F4FA6">
            <w:pPr>
              <w:keepNext/>
              <w:widowControl w:val="0"/>
              <w:rPr>
                <w:rFonts w:ascii="Arial Narrow" w:hAnsi="Arial Narrow" w:cs="Arial"/>
                <w:b/>
                <w:sz w:val="20"/>
                <w:szCs w:val="20"/>
              </w:rPr>
            </w:pPr>
            <w:r w:rsidRPr="00AD3263">
              <w:rPr>
                <w:rFonts w:ascii="Arial Narrow" w:hAnsi="Arial Narrow" w:cs="Arial"/>
                <w:b/>
                <w:sz w:val="20"/>
                <w:szCs w:val="20"/>
              </w:rPr>
              <w:t xml:space="preserve">Prescriber type:   </w:t>
            </w:r>
            <w:r w:rsidRPr="00AD3263">
              <w:rPr>
                <w:rFonts w:ascii="Arial Narrow" w:hAnsi="Arial Narrow" w:cs="Arial"/>
                <w:sz w:val="20"/>
                <w:szCs w:val="20"/>
              </w:rPr>
              <w:fldChar w:fldCharType="begin">
                <w:ffData>
                  <w:name w:val=""/>
                  <w:enabled/>
                  <w:calcOnExit w:val="0"/>
                  <w:checkBox>
                    <w:sizeAuto/>
                    <w:default w:val="1"/>
                  </w:checkBox>
                </w:ffData>
              </w:fldChar>
            </w:r>
            <w:r w:rsidRPr="00AD3263">
              <w:rPr>
                <w:rFonts w:ascii="Arial Narrow" w:hAnsi="Arial Narrow" w:cs="Arial"/>
                <w:sz w:val="20"/>
                <w:szCs w:val="20"/>
              </w:rPr>
              <w:instrText xml:space="preserve"> FORMCHECKBOX </w:instrText>
            </w:r>
            <w:r w:rsidR="00191474">
              <w:rPr>
                <w:rFonts w:ascii="Arial Narrow" w:hAnsi="Arial Narrow" w:cs="Arial"/>
                <w:sz w:val="20"/>
                <w:szCs w:val="20"/>
              </w:rPr>
            </w:r>
            <w:r w:rsidR="00191474">
              <w:rPr>
                <w:rFonts w:ascii="Arial Narrow" w:hAnsi="Arial Narrow" w:cs="Arial"/>
                <w:sz w:val="20"/>
                <w:szCs w:val="20"/>
              </w:rPr>
              <w:fldChar w:fldCharType="separate"/>
            </w:r>
            <w:r w:rsidRPr="00AD3263">
              <w:rPr>
                <w:rFonts w:ascii="Arial Narrow" w:hAnsi="Arial Narrow" w:cs="Arial"/>
                <w:sz w:val="20"/>
                <w:szCs w:val="20"/>
              </w:rPr>
              <w:fldChar w:fldCharType="end"/>
            </w:r>
            <w:r w:rsidRPr="00AD3263">
              <w:rPr>
                <w:rFonts w:ascii="Arial Narrow" w:hAnsi="Arial Narrow" w:cs="Arial"/>
                <w:sz w:val="20"/>
                <w:szCs w:val="20"/>
              </w:rPr>
              <w:t xml:space="preserve">Medical Practitioners    </w:t>
            </w:r>
            <w:r w:rsidRPr="00AD3263">
              <w:rPr>
                <w:rFonts w:ascii="Arial Narrow" w:hAnsi="Arial Narrow" w:cs="Arial"/>
                <w:sz w:val="20"/>
                <w:szCs w:val="20"/>
              </w:rPr>
              <w:fldChar w:fldCharType="begin">
                <w:ffData>
                  <w:name w:val=""/>
                  <w:enabled/>
                  <w:calcOnExit w:val="0"/>
                  <w:checkBox>
                    <w:sizeAuto/>
                    <w:default w:val="1"/>
                  </w:checkBox>
                </w:ffData>
              </w:fldChar>
            </w:r>
            <w:r w:rsidRPr="00AD3263">
              <w:rPr>
                <w:rFonts w:ascii="Arial Narrow" w:hAnsi="Arial Narrow" w:cs="Arial"/>
                <w:sz w:val="20"/>
                <w:szCs w:val="20"/>
              </w:rPr>
              <w:instrText xml:space="preserve"> FORMCHECKBOX </w:instrText>
            </w:r>
            <w:r w:rsidR="00191474">
              <w:rPr>
                <w:rFonts w:ascii="Arial Narrow" w:hAnsi="Arial Narrow" w:cs="Arial"/>
                <w:sz w:val="20"/>
                <w:szCs w:val="20"/>
              </w:rPr>
            </w:r>
            <w:r w:rsidR="00191474">
              <w:rPr>
                <w:rFonts w:ascii="Arial Narrow" w:hAnsi="Arial Narrow" w:cs="Arial"/>
                <w:sz w:val="20"/>
                <w:szCs w:val="20"/>
              </w:rPr>
              <w:fldChar w:fldCharType="separate"/>
            </w:r>
            <w:r w:rsidRPr="00AD3263">
              <w:rPr>
                <w:rFonts w:ascii="Arial Narrow" w:hAnsi="Arial Narrow" w:cs="Arial"/>
                <w:sz w:val="20"/>
                <w:szCs w:val="20"/>
              </w:rPr>
              <w:fldChar w:fldCharType="end"/>
            </w:r>
            <w:r w:rsidRPr="00AD3263">
              <w:rPr>
                <w:rFonts w:ascii="Arial Narrow" w:hAnsi="Arial Narrow" w:cs="Arial"/>
                <w:sz w:val="20"/>
                <w:szCs w:val="20"/>
              </w:rPr>
              <w:t xml:space="preserve">Nurse practitioners   </w:t>
            </w:r>
          </w:p>
        </w:tc>
      </w:tr>
      <w:tr w:rsidR="00E21ECF" w:rsidRPr="00AD3263" w14:paraId="5628D619" w14:textId="77777777" w:rsidTr="00EE2EBE">
        <w:tblPrEx>
          <w:tblCellMar>
            <w:top w:w="15" w:type="dxa"/>
            <w:left w:w="15" w:type="dxa"/>
            <w:bottom w:w="15" w:type="dxa"/>
            <w:right w:w="15" w:type="dxa"/>
          </w:tblCellMar>
          <w:tblLook w:val="04A0" w:firstRow="1" w:lastRow="0" w:firstColumn="1" w:lastColumn="0" w:noHBand="0" w:noVBand="1"/>
        </w:tblPrEx>
        <w:tc>
          <w:tcPr>
            <w:tcW w:w="1831" w:type="dxa"/>
            <w:tcBorders>
              <w:left w:val="single" w:sz="4" w:space="0" w:color="auto"/>
              <w:bottom w:val="single" w:sz="4" w:space="0" w:color="auto"/>
              <w:right w:val="single" w:sz="4" w:space="0" w:color="auto"/>
            </w:tcBorders>
          </w:tcPr>
          <w:p w14:paraId="064C2A48" w14:textId="77777777" w:rsidR="00E21ECF" w:rsidRPr="00AD3263" w:rsidRDefault="00E21ECF" w:rsidP="009F4FA6">
            <w:pPr>
              <w:keepNext/>
              <w:widowControl w:val="0"/>
              <w:jc w:val="center"/>
              <w:rPr>
                <w:rFonts w:ascii="Arial Narrow" w:hAnsi="Arial Narrow" w:cs="Arial"/>
                <w:b/>
                <w:sz w:val="18"/>
                <w:szCs w:val="18"/>
              </w:rPr>
            </w:pPr>
          </w:p>
        </w:tc>
        <w:tc>
          <w:tcPr>
            <w:tcW w:w="7236" w:type="dxa"/>
            <w:gridSpan w:val="6"/>
            <w:tcBorders>
              <w:top w:val="single" w:sz="4" w:space="0" w:color="auto"/>
              <w:left w:val="single" w:sz="4" w:space="0" w:color="auto"/>
              <w:bottom w:val="single" w:sz="4" w:space="0" w:color="auto"/>
              <w:right w:val="single" w:sz="4" w:space="0" w:color="auto"/>
            </w:tcBorders>
          </w:tcPr>
          <w:p w14:paraId="2AB75446" w14:textId="69A9B802" w:rsidR="00E21ECF" w:rsidRPr="00AD3263" w:rsidRDefault="00E21ECF" w:rsidP="009F4FA6">
            <w:pPr>
              <w:keepNext/>
              <w:widowControl w:val="0"/>
              <w:rPr>
                <w:rFonts w:ascii="Arial Narrow" w:eastAsia="Calibri" w:hAnsi="Arial Narrow" w:cs="Arial"/>
                <w:sz w:val="20"/>
                <w:szCs w:val="20"/>
              </w:rPr>
            </w:pPr>
            <w:r w:rsidRPr="00AD3263">
              <w:rPr>
                <w:rFonts w:ascii="Arial Narrow" w:hAnsi="Arial Narrow" w:cs="Arial"/>
                <w:b/>
                <w:sz w:val="20"/>
                <w:szCs w:val="20"/>
              </w:rPr>
              <w:t xml:space="preserve">Restriction type: </w:t>
            </w:r>
            <w:r w:rsidRPr="00AD3263">
              <w:rPr>
                <w:rFonts w:ascii="Arial Narrow" w:eastAsia="Calibri" w:hAnsi="Arial Narrow" w:cs="Arial"/>
                <w:sz w:val="20"/>
                <w:szCs w:val="20"/>
              </w:rPr>
              <w:fldChar w:fldCharType="begin">
                <w:ffData>
                  <w:name w:val=""/>
                  <w:enabled/>
                  <w:calcOnExit w:val="0"/>
                  <w:checkBox>
                    <w:sizeAuto/>
                    <w:default w:val="1"/>
                  </w:checkBox>
                </w:ffData>
              </w:fldChar>
            </w:r>
            <w:r w:rsidRPr="00AD3263">
              <w:rPr>
                <w:rFonts w:ascii="Arial Narrow" w:eastAsia="Calibri" w:hAnsi="Arial Narrow" w:cs="Arial"/>
                <w:sz w:val="20"/>
                <w:szCs w:val="20"/>
              </w:rPr>
              <w:instrText xml:space="preserve"> FORMCHECKBOX </w:instrText>
            </w:r>
            <w:r w:rsidR="00191474">
              <w:rPr>
                <w:rFonts w:ascii="Arial Narrow" w:eastAsia="Calibri" w:hAnsi="Arial Narrow" w:cs="Arial"/>
                <w:sz w:val="20"/>
                <w:szCs w:val="20"/>
              </w:rPr>
            </w:r>
            <w:r w:rsidR="00191474">
              <w:rPr>
                <w:rFonts w:ascii="Arial Narrow" w:eastAsia="Calibri" w:hAnsi="Arial Narrow" w:cs="Arial"/>
                <w:sz w:val="20"/>
                <w:szCs w:val="20"/>
              </w:rPr>
              <w:fldChar w:fldCharType="separate"/>
            </w:r>
            <w:r w:rsidRPr="00AD3263">
              <w:rPr>
                <w:rFonts w:ascii="Arial Narrow" w:eastAsia="Calibri" w:hAnsi="Arial Narrow" w:cs="Arial"/>
                <w:sz w:val="20"/>
                <w:szCs w:val="20"/>
              </w:rPr>
              <w:fldChar w:fldCharType="end"/>
            </w:r>
            <w:r w:rsidRPr="00AD3263">
              <w:rPr>
                <w:rFonts w:ascii="Arial Narrow" w:eastAsia="Calibri" w:hAnsi="Arial Narrow" w:cs="Arial"/>
                <w:sz w:val="20"/>
                <w:szCs w:val="20"/>
              </w:rPr>
              <w:t>Restricted benefit</w:t>
            </w:r>
          </w:p>
        </w:tc>
      </w:tr>
      <w:tr w:rsidR="00E21ECF" w:rsidRPr="00AD3263" w14:paraId="073CB08F" w14:textId="77777777" w:rsidTr="000F12BA">
        <w:tblPrEx>
          <w:tblCellMar>
            <w:top w:w="15" w:type="dxa"/>
            <w:left w:w="15" w:type="dxa"/>
            <w:bottom w:w="15" w:type="dxa"/>
            <w:right w:w="15" w:type="dxa"/>
          </w:tblCellMar>
          <w:tblLook w:val="04A0" w:firstRow="1" w:lastRow="0" w:firstColumn="1" w:lastColumn="0" w:noHBand="0" w:noVBand="1"/>
        </w:tblPrEx>
        <w:tc>
          <w:tcPr>
            <w:tcW w:w="1831" w:type="dxa"/>
            <w:vAlign w:val="center"/>
          </w:tcPr>
          <w:p w14:paraId="70F3A811" w14:textId="3F57027D" w:rsidR="00E21ECF" w:rsidRPr="00AD3263" w:rsidRDefault="00E21ECF" w:rsidP="009F4FA6">
            <w:pPr>
              <w:keepNext/>
              <w:widowControl w:val="0"/>
              <w:jc w:val="center"/>
              <w:rPr>
                <w:rFonts w:ascii="Arial Narrow" w:hAnsi="Arial Narrow"/>
                <w:b/>
                <w:bCs/>
                <w:color w:val="333333"/>
                <w:sz w:val="18"/>
                <w:szCs w:val="18"/>
              </w:rPr>
            </w:pPr>
          </w:p>
        </w:tc>
        <w:tc>
          <w:tcPr>
            <w:tcW w:w="7236" w:type="dxa"/>
            <w:gridSpan w:val="6"/>
            <w:vAlign w:val="center"/>
            <w:hideMark/>
          </w:tcPr>
          <w:p w14:paraId="1AB40551" w14:textId="32FEB85D" w:rsidR="00E21ECF" w:rsidRPr="00AD3263" w:rsidRDefault="00E21ECF" w:rsidP="009F4FA6">
            <w:pPr>
              <w:keepNext/>
              <w:widowControl w:val="0"/>
              <w:rPr>
                <w:rFonts w:ascii="Arial Narrow" w:hAnsi="Arial Narrow"/>
                <w:color w:val="333333"/>
                <w:sz w:val="20"/>
                <w:szCs w:val="20"/>
              </w:rPr>
            </w:pPr>
            <w:r w:rsidRPr="00AD3263">
              <w:rPr>
                <w:rFonts w:ascii="Arial Narrow" w:hAnsi="Arial Narrow"/>
                <w:b/>
                <w:bCs/>
                <w:color w:val="333333"/>
                <w:sz w:val="20"/>
                <w:szCs w:val="20"/>
              </w:rPr>
              <w:t>Indication:</w:t>
            </w:r>
            <w:r w:rsidRPr="00AD3263">
              <w:rPr>
                <w:rFonts w:ascii="Arial Narrow" w:hAnsi="Arial Narrow"/>
                <w:color w:val="333333"/>
                <w:sz w:val="20"/>
                <w:szCs w:val="20"/>
              </w:rPr>
              <w:t xml:space="preserve"> Phenylketonuria</w:t>
            </w:r>
          </w:p>
        </w:tc>
      </w:tr>
      <w:tr w:rsidR="00E21ECF" w:rsidRPr="00AD3263" w14:paraId="6D1EA7CC" w14:textId="77777777" w:rsidTr="00EE2EBE">
        <w:tblPrEx>
          <w:tblCellMar>
            <w:top w:w="15" w:type="dxa"/>
            <w:left w:w="15" w:type="dxa"/>
            <w:bottom w:w="15" w:type="dxa"/>
            <w:right w:w="15" w:type="dxa"/>
          </w:tblCellMar>
          <w:tblLook w:val="04A0" w:firstRow="1" w:lastRow="0" w:firstColumn="1" w:lastColumn="0" w:noHBand="0" w:noVBand="1"/>
        </w:tblPrEx>
        <w:tc>
          <w:tcPr>
            <w:tcW w:w="1831" w:type="dxa"/>
            <w:vAlign w:val="center"/>
          </w:tcPr>
          <w:p w14:paraId="25792619" w14:textId="08075A7E" w:rsidR="00E21ECF" w:rsidRPr="00AD3263" w:rsidRDefault="00E21ECF" w:rsidP="009F4FA6">
            <w:pPr>
              <w:keepNext/>
              <w:widowControl w:val="0"/>
              <w:jc w:val="center"/>
              <w:rPr>
                <w:rFonts w:ascii="Arial Narrow" w:hAnsi="Arial Narrow"/>
                <w:b/>
                <w:bCs/>
                <w:color w:val="333333"/>
                <w:sz w:val="18"/>
                <w:szCs w:val="18"/>
              </w:rPr>
            </w:pPr>
          </w:p>
        </w:tc>
        <w:tc>
          <w:tcPr>
            <w:tcW w:w="7236" w:type="dxa"/>
            <w:gridSpan w:val="6"/>
            <w:vAlign w:val="center"/>
            <w:hideMark/>
          </w:tcPr>
          <w:p w14:paraId="2BA17BFF" w14:textId="4E837DAD" w:rsidR="00E21ECF" w:rsidRPr="00AD3263" w:rsidRDefault="00E21ECF" w:rsidP="009F4FA6">
            <w:pPr>
              <w:keepNext/>
              <w:widowControl w:val="0"/>
              <w:rPr>
                <w:rFonts w:ascii="Arial Narrow" w:hAnsi="Arial Narrow"/>
                <w:color w:val="333333"/>
                <w:sz w:val="20"/>
                <w:szCs w:val="20"/>
              </w:rPr>
            </w:pPr>
            <w:r w:rsidRPr="00AD3263">
              <w:rPr>
                <w:rFonts w:ascii="Arial Narrow" w:hAnsi="Arial Narrow"/>
                <w:b/>
                <w:bCs/>
                <w:color w:val="333333"/>
                <w:sz w:val="20"/>
                <w:szCs w:val="20"/>
              </w:rPr>
              <w:t>Population criteria:</w:t>
            </w:r>
            <w:r w:rsidRPr="00AD3263">
              <w:rPr>
                <w:rFonts w:ascii="Arial Narrow" w:hAnsi="Arial Narrow"/>
                <w:b/>
                <w:bCs/>
                <w:strike/>
                <w:color w:val="333333"/>
                <w:sz w:val="20"/>
                <w:szCs w:val="20"/>
              </w:rPr>
              <w:t xml:space="preserve"> </w:t>
            </w:r>
            <w:r w:rsidRPr="00AD3263">
              <w:rPr>
                <w:rFonts w:ascii="Arial Narrow" w:hAnsi="Arial Narrow"/>
                <w:strike/>
                <w:color w:val="333333"/>
                <w:sz w:val="20"/>
                <w:szCs w:val="20"/>
              </w:rPr>
              <w:t>For children from 3 years of age, and adults</w:t>
            </w:r>
          </w:p>
        </w:tc>
      </w:tr>
    </w:tbl>
    <w:p w14:paraId="0D43A60B" w14:textId="77777777" w:rsidR="00535250" w:rsidRPr="00AD3263" w:rsidRDefault="00535250" w:rsidP="009F4FA6">
      <w:pPr>
        <w:keepNext/>
        <w:widowControl w:val="0"/>
        <w:rPr>
          <w:rFonts w:asciiTheme="minorHAnsi" w:eastAsiaTheme="minorHAnsi" w:hAnsiTheme="minorHAnsi" w:cstheme="minorBidi"/>
          <w:b/>
          <w:color w:val="000000" w:themeColor="text1"/>
          <w:sz w:val="22"/>
          <w:szCs w:val="22"/>
          <w:lang w:eastAsia="en-US"/>
        </w:rPr>
      </w:pPr>
    </w:p>
    <w:p w14:paraId="4E82CD40" w14:textId="4D92CC4C" w:rsidR="00AE1198" w:rsidRDefault="00D95D5A" w:rsidP="009F4FA6">
      <w:pPr>
        <w:pStyle w:val="3Bodytext"/>
        <w:keepNext/>
        <w:widowControl w:val="0"/>
        <w:jc w:val="both"/>
      </w:pPr>
      <w:r w:rsidRPr="00AD3263">
        <w:t xml:space="preserve">The submission </w:t>
      </w:r>
      <w:r w:rsidR="008808B3" w:rsidRPr="00AD3263">
        <w:t xml:space="preserve">proposed a </w:t>
      </w:r>
      <w:r w:rsidR="00887D16" w:rsidRPr="00AD3263">
        <w:t>population criterion</w:t>
      </w:r>
      <w:r w:rsidR="008808B3" w:rsidRPr="00AD3263">
        <w:t>, which is inconsistent with the proposed comparators.</w:t>
      </w:r>
      <w:bookmarkStart w:id="5" w:name="_Hlk93304996"/>
      <w:r w:rsidR="00AE1198" w:rsidRPr="00AD3263">
        <w:t xml:space="preserve"> </w:t>
      </w:r>
    </w:p>
    <w:p w14:paraId="13B4666A" w14:textId="3B46967D" w:rsidR="00AD3263" w:rsidRPr="008F0438" w:rsidRDefault="00AD3263" w:rsidP="008F0438">
      <w:pPr>
        <w:pStyle w:val="3Bodytext"/>
        <w:keepNext/>
        <w:widowControl w:val="0"/>
        <w:numPr>
          <w:ilvl w:val="0"/>
          <w:numId w:val="0"/>
        </w:numPr>
        <w:ind w:left="720"/>
        <w:jc w:val="both"/>
        <w:rPr>
          <w:i/>
          <w:iCs/>
        </w:rPr>
      </w:pPr>
      <w:r w:rsidRPr="008F0438">
        <w:rPr>
          <w:i/>
          <w:iCs/>
        </w:rPr>
        <w:t xml:space="preserve">For more detail on PBAC’s view, see section </w:t>
      </w:r>
      <w:r w:rsidR="007A2E66" w:rsidRPr="008F0438">
        <w:rPr>
          <w:i/>
          <w:iCs/>
        </w:rPr>
        <w:t>7</w:t>
      </w:r>
      <w:r w:rsidRPr="008F0438">
        <w:rPr>
          <w:i/>
          <w:iCs/>
        </w:rPr>
        <w:t xml:space="preserve"> PBAC outcome.</w:t>
      </w:r>
    </w:p>
    <w:bookmarkEnd w:id="5"/>
    <w:p w14:paraId="29A96004" w14:textId="6DFED2D7" w:rsidR="00C27C1C" w:rsidRPr="00AD3263" w:rsidRDefault="00C27C1C" w:rsidP="001F2311">
      <w:pPr>
        <w:pStyle w:val="2-SectionHeading"/>
        <w:rPr>
          <w:color w:val="FF0000"/>
        </w:rPr>
      </w:pPr>
      <w:r w:rsidRPr="00AD3263">
        <w:t xml:space="preserve">Comparator </w:t>
      </w:r>
      <w:r w:rsidR="00EE2EBE" w:rsidRPr="00AD3263">
        <w:t xml:space="preserve"> </w:t>
      </w:r>
    </w:p>
    <w:p w14:paraId="65FA9912" w14:textId="060DE726" w:rsidR="0006307F" w:rsidRPr="00AD3263" w:rsidRDefault="00C27C1C" w:rsidP="00465F5D">
      <w:pPr>
        <w:pStyle w:val="3Bodytext"/>
        <w:jc w:val="both"/>
        <w:rPr>
          <w:bCs/>
          <w:lang w:val="en-GB"/>
        </w:rPr>
      </w:pPr>
      <w:r w:rsidRPr="00AD3263">
        <w:t xml:space="preserve">The submission nominated </w:t>
      </w:r>
      <w:bookmarkStart w:id="6" w:name="_Hlk92278577"/>
      <w:bookmarkStart w:id="7" w:name="_Hlk90998443"/>
      <w:r w:rsidR="00377D78" w:rsidRPr="00AD3263">
        <w:t xml:space="preserve">PKU </w:t>
      </w:r>
      <w:proofErr w:type="spellStart"/>
      <w:r w:rsidR="00377D78" w:rsidRPr="00AD3263">
        <w:t>Bettermilk</w:t>
      </w:r>
      <w:proofErr w:type="spellEnd"/>
      <w:r w:rsidR="00377D78" w:rsidRPr="00AD3263">
        <w:t xml:space="preserve"> Lite</w:t>
      </w:r>
      <w:bookmarkEnd w:id="6"/>
      <w:r w:rsidR="00293BC2">
        <w:rPr>
          <w:rFonts w:cstheme="minorHAnsi"/>
        </w:rPr>
        <w:t>®</w:t>
      </w:r>
      <w:r w:rsidR="00377D78" w:rsidRPr="00AD3263">
        <w:t xml:space="preserve"> and </w:t>
      </w:r>
      <w:bookmarkStart w:id="8" w:name="_Hlk92698149"/>
      <w:r w:rsidR="00377D78" w:rsidRPr="00AD3263">
        <w:t>PKU Build 20</w:t>
      </w:r>
      <w:bookmarkEnd w:id="7"/>
      <w:r w:rsidR="00293BC2">
        <w:rPr>
          <w:rFonts w:cstheme="minorHAnsi"/>
        </w:rPr>
        <w:t>®</w:t>
      </w:r>
      <w:r w:rsidR="00377D78" w:rsidRPr="00AD3263">
        <w:t xml:space="preserve"> </w:t>
      </w:r>
      <w:bookmarkEnd w:id="8"/>
      <w:r w:rsidRPr="00AD3263">
        <w:t>as the main comparator</w:t>
      </w:r>
      <w:r w:rsidR="00377D78" w:rsidRPr="00AD3263">
        <w:t>s</w:t>
      </w:r>
      <w:r w:rsidRPr="00AD3263">
        <w:t>.</w:t>
      </w:r>
      <w:r w:rsidR="00DC0EFC" w:rsidRPr="00AD3263">
        <w:t xml:space="preserve"> </w:t>
      </w:r>
      <w:r w:rsidR="008F0438">
        <w:t>The PBAC considered this was appropriate</w:t>
      </w:r>
      <w:r w:rsidR="00DC0EFC" w:rsidRPr="00AD3263">
        <w:t>.</w:t>
      </w:r>
    </w:p>
    <w:p w14:paraId="3893D905" w14:textId="336D4A75" w:rsidR="00AD3263" w:rsidRPr="008F0438" w:rsidRDefault="00AD3263" w:rsidP="00465F5D">
      <w:pPr>
        <w:pStyle w:val="3Bodytext"/>
        <w:keepNext/>
        <w:widowControl w:val="0"/>
        <w:numPr>
          <w:ilvl w:val="0"/>
          <w:numId w:val="0"/>
        </w:numPr>
        <w:ind w:left="720"/>
        <w:jc w:val="both"/>
        <w:rPr>
          <w:i/>
          <w:iCs/>
        </w:rPr>
      </w:pPr>
      <w:r w:rsidRPr="008F0438">
        <w:rPr>
          <w:i/>
          <w:iCs/>
        </w:rPr>
        <w:t xml:space="preserve">For more detail on PBAC’s view, see section </w:t>
      </w:r>
      <w:r w:rsidR="007A2E66" w:rsidRPr="008F0438">
        <w:rPr>
          <w:i/>
          <w:iCs/>
        </w:rPr>
        <w:t>7</w:t>
      </w:r>
      <w:r w:rsidRPr="008F0438">
        <w:rPr>
          <w:i/>
          <w:iCs/>
        </w:rPr>
        <w:t xml:space="preserve"> PBAC outcome.</w:t>
      </w:r>
    </w:p>
    <w:p w14:paraId="313E55A0" w14:textId="5E876EF4" w:rsidR="00C27C1C" w:rsidRPr="00AD3263" w:rsidRDefault="00C27C1C" w:rsidP="00C27C1C">
      <w:pPr>
        <w:pStyle w:val="Heading1"/>
        <w:keepLines/>
        <w:numPr>
          <w:ilvl w:val="0"/>
          <w:numId w:val="2"/>
        </w:numPr>
        <w:spacing w:before="240"/>
        <w:ind w:left="709" w:hanging="709"/>
        <w:rPr>
          <w:sz w:val="32"/>
          <w:szCs w:val="32"/>
        </w:rPr>
      </w:pPr>
      <w:r w:rsidRPr="00AD3263">
        <w:rPr>
          <w:sz w:val="32"/>
          <w:szCs w:val="32"/>
        </w:rPr>
        <w:t>Consideration of the evidence</w:t>
      </w:r>
    </w:p>
    <w:p w14:paraId="208C3F66" w14:textId="77777777" w:rsidR="007D3612" w:rsidRDefault="007D3612" w:rsidP="007D3612">
      <w:pPr>
        <w:pStyle w:val="4-SubsectionHeading"/>
        <w:rPr>
          <w:iCs/>
          <w:lang w:eastAsia="en-US"/>
        </w:rPr>
      </w:pPr>
      <w:bookmarkStart w:id="9" w:name="_Hlk93325221"/>
      <w:r>
        <w:rPr>
          <w:iCs/>
          <w:lang w:eastAsia="en-US"/>
        </w:rPr>
        <w:t>Sponsor hearing</w:t>
      </w:r>
    </w:p>
    <w:p w14:paraId="3F68DEA2" w14:textId="77777777" w:rsidR="007D3612" w:rsidRDefault="007D3612" w:rsidP="007D3612">
      <w:pPr>
        <w:widowControl w:val="0"/>
        <w:numPr>
          <w:ilvl w:val="1"/>
          <w:numId w:val="11"/>
        </w:numPr>
        <w:spacing w:after="120"/>
        <w:rPr>
          <w:rFonts w:cs="Calibri"/>
          <w:bCs/>
          <w:snapToGrid w:val="0"/>
        </w:rPr>
      </w:pPr>
      <w:r>
        <w:rPr>
          <w:rFonts w:cs="Calibri"/>
          <w:bCs/>
          <w:snapToGrid w:val="0"/>
        </w:rPr>
        <w:t>There was no hearing for this item.</w:t>
      </w:r>
    </w:p>
    <w:p w14:paraId="3531B7A2" w14:textId="77777777" w:rsidR="007D3612" w:rsidRDefault="007D3612" w:rsidP="007D3612">
      <w:pPr>
        <w:pStyle w:val="4-SubsectionHeading"/>
        <w:rPr>
          <w:iCs/>
          <w:lang w:eastAsia="en-US"/>
        </w:rPr>
      </w:pPr>
      <w:r>
        <w:rPr>
          <w:iCs/>
          <w:lang w:eastAsia="en-US"/>
        </w:rPr>
        <w:t>Consumer comments</w:t>
      </w:r>
    </w:p>
    <w:p w14:paraId="4F5E7FF7" w14:textId="6B86B910" w:rsidR="007D3612" w:rsidRDefault="007D3612" w:rsidP="007D3612">
      <w:pPr>
        <w:widowControl w:val="0"/>
        <w:numPr>
          <w:ilvl w:val="1"/>
          <w:numId w:val="11"/>
        </w:numPr>
        <w:spacing w:after="120"/>
        <w:rPr>
          <w:rFonts w:asciiTheme="minorHAnsi" w:hAnsiTheme="minorHAnsi" w:cs="Arial"/>
          <w:bCs/>
          <w:snapToGrid w:val="0"/>
        </w:rPr>
      </w:pPr>
      <w:r>
        <w:rPr>
          <w:rFonts w:asciiTheme="minorHAnsi" w:hAnsiTheme="minorHAnsi" w:cs="Arial"/>
          <w:bCs/>
          <w:snapToGrid w:val="0"/>
        </w:rPr>
        <w:t>The PBAC noted that no consumer comments were received for this item.</w:t>
      </w:r>
    </w:p>
    <w:p w14:paraId="105E9B3B" w14:textId="77777777" w:rsidR="007D3612" w:rsidRPr="007D3612" w:rsidRDefault="007D3612" w:rsidP="007D3612">
      <w:pPr>
        <w:pStyle w:val="4-SubsectionHeading"/>
        <w:rPr>
          <w:iCs/>
          <w:lang w:eastAsia="en-US"/>
        </w:rPr>
      </w:pPr>
      <w:r w:rsidRPr="007D3612">
        <w:rPr>
          <w:iCs/>
          <w:lang w:eastAsia="en-US"/>
        </w:rPr>
        <w:t xml:space="preserve">Clinical trials </w:t>
      </w:r>
    </w:p>
    <w:p w14:paraId="296FC09E" w14:textId="2FEFE488" w:rsidR="00043587" w:rsidRPr="00AD3263" w:rsidRDefault="00745EDB" w:rsidP="00A7003E">
      <w:pPr>
        <w:pStyle w:val="3-BodyText"/>
        <w:numPr>
          <w:ilvl w:val="1"/>
          <w:numId w:val="2"/>
        </w:numPr>
      </w:pPr>
      <w:r w:rsidRPr="00AD3263">
        <w:t>As a Category 3 submission, no clinical trials were presented in the submission.</w:t>
      </w:r>
      <w:r w:rsidR="00DC02BA" w:rsidRPr="00AD3263">
        <w:t xml:space="preserve"> </w:t>
      </w:r>
      <w:r w:rsidR="00043587" w:rsidRPr="00AD3263">
        <w:t xml:space="preserve">The submission considered PKU GMPro </w:t>
      </w:r>
      <w:r w:rsidR="00452715" w:rsidRPr="00AD3263">
        <w:t>ULTRA</w:t>
      </w:r>
      <w:r w:rsidR="00043587" w:rsidRPr="00AD3263">
        <w:t xml:space="preserve"> nutritionally very similar to the main comparators</w:t>
      </w:r>
      <w:r w:rsidR="000E2BE8" w:rsidRPr="00AD3263">
        <w:t>.</w:t>
      </w:r>
    </w:p>
    <w:bookmarkEnd w:id="9"/>
    <w:p w14:paraId="052E4609" w14:textId="730EF123" w:rsidR="004C1AB2" w:rsidRPr="00AD3263" w:rsidRDefault="00F976AE">
      <w:pPr>
        <w:pStyle w:val="3-BodyText"/>
        <w:numPr>
          <w:ilvl w:val="1"/>
          <w:numId w:val="2"/>
        </w:numPr>
      </w:pPr>
      <w:r w:rsidRPr="00AD3263">
        <w:t xml:space="preserve">The submission presented </w:t>
      </w:r>
      <w:r w:rsidR="00DC02BA" w:rsidRPr="00AD3263">
        <w:t xml:space="preserve">a </w:t>
      </w:r>
      <w:r w:rsidRPr="00AD3263">
        <w:t xml:space="preserve">summary of the results </w:t>
      </w:r>
      <w:r w:rsidR="004C1AB2" w:rsidRPr="00AD3263">
        <w:t>of acceptability case studies evaluat</w:t>
      </w:r>
      <w:r w:rsidRPr="00AD3263">
        <w:t>ing</w:t>
      </w:r>
      <w:r w:rsidR="004C1AB2" w:rsidRPr="00AD3263">
        <w:t xml:space="preserve"> the tolerance, compliance, </w:t>
      </w:r>
      <w:proofErr w:type="gramStart"/>
      <w:r w:rsidR="004C1AB2" w:rsidRPr="00AD3263">
        <w:t>acceptability</w:t>
      </w:r>
      <w:proofErr w:type="gramEnd"/>
      <w:r w:rsidR="004C1AB2" w:rsidRPr="00AD3263">
        <w:t xml:space="preserve"> and safety of </w:t>
      </w:r>
      <w:bookmarkStart w:id="10" w:name="_Hlk92992862"/>
      <w:r w:rsidR="004C1AB2" w:rsidRPr="00AD3263">
        <w:t xml:space="preserve">PKU GMPro </w:t>
      </w:r>
      <w:bookmarkEnd w:id="10"/>
      <w:r w:rsidR="00452715" w:rsidRPr="00AD3263">
        <w:t>ULTRA</w:t>
      </w:r>
      <w:r w:rsidRPr="00AD3263">
        <w:t>.</w:t>
      </w:r>
      <w:bookmarkStart w:id="11" w:name="_Hlk93325298"/>
      <w:r w:rsidR="00887D16" w:rsidRPr="00AD3263">
        <w:t xml:space="preserve"> </w:t>
      </w:r>
      <w:r w:rsidR="00DC02BA" w:rsidRPr="00AD3263">
        <w:t xml:space="preserve"> </w:t>
      </w:r>
      <w:r w:rsidRPr="00AD3263">
        <w:t xml:space="preserve">The submission considered PKU GMPro </w:t>
      </w:r>
      <w:r w:rsidR="00452715" w:rsidRPr="00AD3263">
        <w:t>ULTRA</w:t>
      </w:r>
      <w:r w:rsidRPr="00AD3263">
        <w:t xml:space="preserve"> well tolerated and accepted, with good compliance</w:t>
      </w:r>
      <w:r w:rsidR="001A3906" w:rsidRPr="00AD3263">
        <w:t xml:space="preserve"> to the dietary regime</w:t>
      </w:r>
      <w:r w:rsidR="00A5487B" w:rsidRPr="00AD3263">
        <w:t>n</w:t>
      </w:r>
      <w:r w:rsidR="00CF3D51">
        <w:t>.</w:t>
      </w:r>
      <w:bookmarkEnd w:id="11"/>
    </w:p>
    <w:p w14:paraId="342B133E" w14:textId="77777777" w:rsidR="00D95D5A" w:rsidRPr="002B4A29" w:rsidRDefault="00D95D5A" w:rsidP="00D95D5A">
      <w:pPr>
        <w:pStyle w:val="4-SubsectionHeading"/>
        <w:rPr>
          <w:iCs/>
          <w:lang w:eastAsia="en-US"/>
        </w:rPr>
      </w:pPr>
      <w:r w:rsidRPr="002B4A29">
        <w:rPr>
          <w:iCs/>
          <w:lang w:eastAsia="en-US"/>
        </w:rPr>
        <w:lastRenderedPageBreak/>
        <w:t>Pricing consideration</w:t>
      </w:r>
    </w:p>
    <w:p w14:paraId="44C37877" w14:textId="4BBEB4B6" w:rsidR="00535250" w:rsidRPr="00AD3263" w:rsidRDefault="00522DA5" w:rsidP="00465F5D">
      <w:pPr>
        <w:pStyle w:val="3-BodyText"/>
        <w:numPr>
          <w:ilvl w:val="1"/>
          <w:numId w:val="2"/>
        </w:numPr>
      </w:pPr>
      <w:r w:rsidRPr="00AD3263">
        <w:t xml:space="preserve">The submission presented a cost-minimisation analysis of PKU GMPro </w:t>
      </w:r>
      <w:r w:rsidR="00452715" w:rsidRPr="00AD3263">
        <w:t>ULTRA</w:t>
      </w:r>
      <w:r w:rsidRPr="00AD3263">
        <w:t xml:space="preserve"> compared with comparators </w:t>
      </w:r>
      <w:bookmarkStart w:id="12" w:name="_Hlk97298136"/>
      <w:r w:rsidRPr="00AD3263">
        <w:t xml:space="preserve">based on the same price </w:t>
      </w:r>
      <w:r w:rsidR="002F3983" w:rsidRPr="00AD3263">
        <w:t xml:space="preserve">of </w:t>
      </w:r>
      <w:r w:rsidRPr="00AD3263">
        <w:t>protein equivalen</w:t>
      </w:r>
      <w:r w:rsidR="00243657" w:rsidRPr="00AD3263">
        <w:t>t</w:t>
      </w:r>
      <w:r w:rsidR="008808B3" w:rsidRPr="00AD3263">
        <w:t xml:space="preserve"> (PE)</w:t>
      </w:r>
      <w:r w:rsidR="004C7A09" w:rsidRPr="00AD3263">
        <w:t xml:space="preserve"> per gram</w:t>
      </w:r>
      <w:r w:rsidRPr="00AD3263">
        <w:t xml:space="preserve"> of $0.8016 at the approved ex-manufacturer price (AEMP).</w:t>
      </w:r>
      <w:r w:rsidR="00F31162" w:rsidRPr="00AD3263">
        <w:t xml:space="preserve"> </w:t>
      </w:r>
    </w:p>
    <w:p w14:paraId="6209168E" w14:textId="459D0891" w:rsidR="00522DA5" w:rsidRPr="00AD3263" w:rsidRDefault="00522DA5" w:rsidP="00465F5D">
      <w:pPr>
        <w:pStyle w:val="3Bodytext"/>
        <w:jc w:val="both"/>
      </w:pPr>
      <w:bookmarkStart w:id="13" w:name="_Hlk92984532"/>
      <w:bookmarkEnd w:id="12"/>
      <w:r w:rsidRPr="00AD3263">
        <w:t xml:space="preserve">The </w:t>
      </w:r>
      <w:r w:rsidR="00CF3D51">
        <w:t xml:space="preserve">submission </w:t>
      </w:r>
      <w:r w:rsidRPr="00AD3263">
        <w:t>proposed</w:t>
      </w:r>
      <w:r w:rsidR="00E9474B" w:rsidRPr="00AD3263">
        <w:t xml:space="preserve"> </w:t>
      </w:r>
      <w:r w:rsidR="00CF3D51">
        <w:t xml:space="preserve">an </w:t>
      </w:r>
      <w:r w:rsidR="006162A5" w:rsidRPr="00AD3263">
        <w:t>AEMP</w:t>
      </w:r>
      <w:r w:rsidR="0091032F" w:rsidRPr="00AD3263">
        <w:t xml:space="preserve"> (</w:t>
      </w:r>
      <w:r w:rsidR="00C371D1" w:rsidRPr="00AD3263">
        <w:t>$480.97</w:t>
      </w:r>
      <w:r w:rsidR="0091032F" w:rsidRPr="00AD3263">
        <w:t>)</w:t>
      </w:r>
      <w:r w:rsidR="00C371D1" w:rsidRPr="00AD3263">
        <w:t xml:space="preserve"> </w:t>
      </w:r>
      <w:r w:rsidR="00CF3D51">
        <w:t>equivalent to</w:t>
      </w:r>
      <w:r w:rsidRPr="00AD3263">
        <w:t xml:space="preserve"> the comparators</w:t>
      </w:r>
      <w:r w:rsidR="007D3612">
        <w:t>.</w:t>
      </w:r>
      <w:r w:rsidR="004C6448" w:rsidRPr="00AD3263">
        <w:t xml:space="preserve"> </w:t>
      </w:r>
    </w:p>
    <w:p w14:paraId="20946EF8" w14:textId="1BC0E5B1" w:rsidR="00C130CF" w:rsidRPr="00AD3263" w:rsidRDefault="001D6CF3" w:rsidP="00465F5D">
      <w:pPr>
        <w:pStyle w:val="3Bodytext"/>
        <w:jc w:val="both"/>
      </w:pPr>
      <w:bookmarkStart w:id="14" w:name="_Hlk96004217"/>
      <w:r>
        <w:t xml:space="preserve">The PBAC noted </w:t>
      </w:r>
      <w:r w:rsidR="00337F32">
        <w:t xml:space="preserve">that as </w:t>
      </w:r>
      <w:r>
        <w:t>PKU GMPro ULTRA</w:t>
      </w:r>
      <w:r w:rsidR="00C130CF" w:rsidRPr="00AD3263">
        <w:t xml:space="preserve"> </w:t>
      </w:r>
      <w:r w:rsidR="00337F32">
        <w:t xml:space="preserve">is a new drug it </w:t>
      </w:r>
      <w:r w:rsidR="002F4234">
        <w:t>would</w:t>
      </w:r>
      <w:r w:rsidR="002F4234" w:rsidRPr="00AD3263">
        <w:t xml:space="preserve"> </w:t>
      </w:r>
      <w:r w:rsidR="00C130CF" w:rsidRPr="00AD3263">
        <w:t>be placed on the F1 formulary. Drugs in the F1 formulary are subject to anniversary price reductions</w:t>
      </w:r>
      <w:r w:rsidR="009B519D" w:rsidRPr="00AD3263">
        <w:t xml:space="preserve"> with the first reduction being a 5% reduction on the fifth anniversary of listing</w:t>
      </w:r>
      <w:r w:rsidR="00C130CF" w:rsidRPr="00AD3263">
        <w:t>.</w:t>
      </w:r>
      <w:r w:rsidR="00B64179" w:rsidRPr="00AD3263">
        <w:t xml:space="preserve"> The comparators are listed as the drug glycomacropeptide and essential amino acids with vitamins and minerals and have already been subject to a 5%</w:t>
      </w:r>
      <w:r w:rsidR="00D32A43" w:rsidRPr="00AD3263">
        <w:t> </w:t>
      </w:r>
      <w:r w:rsidR="003A71AC" w:rsidRPr="00AD3263">
        <w:t>five-year</w:t>
      </w:r>
      <w:r w:rsidR="00B64179" w:rsidRPr="00AD3263">
        <w:t xml:space="preserve"> anniversary price reduction (on 1 April 2019).</w:t>
      </w:r>
    </w:p>
    <w:bookmarkEnd w:id="13"/>
    <w:bookmarkEnd w:id="14"/>
    <w:p w14:paraId="5FF00C1D" w14:textId="4D96689D" w:rsidR="003D7126" w:rsidRPr="002B4A29" w:rsidRDefault="003D7126" w:rsidP="003D7126">
      <w:pPr>
        <w:pStyle w:val="4-SubsectionHeading"/>
        <w:rPr>
          <w:iCs/>
          <w:lang w:eastAsia="en-US"/>
        </w:rPr>
      </w:pPr>
      <w:r w:rsidRPr="002B4A29">
        <w:rPr>
          <w:iCs/>
          <w:lang w:eastAsia="en-US"/>
        </w:rPr>
        <w:t>Drug cost/patient/year: $</w:t>
      </w:r>
      <w:bookmarkStart w:id="15" w:name="_Hlk90997209"/>
      <w:r w:rsidR="00D503FE" w:rsidRPr="002B4A29">
        <w:rPr>
          <w:iCs/>
          <w:lang w:eastAsia="en-US"/>
        </w:rPr>
        <w:t>25,008.24</w:t>
      </w:r>
      <w:bookmarkEnd w:id="15"/>
    </w:p>
    <w:p w14:paraId="24000F36" w14:textId="28D04688" w:rsidR="00D32A43" w:rsidRPr="00AD3263" w:rsidRDefault="00D503FE" w:rsidP="00465F5D">
      <w:pPr>
        <w:pStyle w:val="3Bodytext"/>
        <w:jc w:val="both"/>
        <w:rPr>
          <w:rFonts w:cstheme="minorHAnsi"/>
          <w:szCs w:val="24"/>
        </w:rPr>
      </w:pPr>
      <w:bookmarkStart w:id="16" w:name="_Hlk94770376"/>
      <w:bookmarkStart w:id="17" w:name="_Hlk94772584"/>
      <w:r w:rsidRPr="00AD3263">
        <w:rPr>
          <w:rFonts w:cstheme="minorHAnsi"/>
          <w:szCs w:val="24"/>
        </w:rPr>
        <w:t xml:space="preserve">The above calculation of nutritional product cost per patient per year </w:t>
      </w:r>
      <w:r w:rsidR="00ED40EC" w:rsidRPr="00AD3263">
        <w:rPr>
          <w:rFonts w:cstheme="minorHAnsi"/>
          <w:szCs w:val="24"/>
        </w:rPr>
        <w:t xml:space="preserve">for the treatment of PKU </w:t>
      </w:r>
      <w:r w:rsidRPr="00AD3263">
        <w:rPr>
          <w:rFonts w:cstheme="minorHAnsi"/>
          <w:szCs w:val="24"/>
        </w:rPr>
        <w:t xml:space="preserve">is derived from the </w:t>
      </w:r>
      <w:r w:rsidR="00DC7AE7">
        <w:rPr>
          <w:rFonts w:cstheme="minorHAnsi"/>
          <w:szCs w:val="24"/>
        </w:rPr>
        <w:t>dispensed price for maximum quantity (</w:t>
      </w:r>
      <w:r w:rsidRPr="00AD3263">
        <w:rPr>
          <w:rFonts w:cstheme="minorHAnsi"/>
          <w:szCs w:val="24"/>
        </w:rPr>
        <w:t>DPMQ</w:t>
      </w:r>
      <w:r w:rsidR="00DC7AE7">
        <w:rPr>
          <w:rFonts w:cstheme="minorHAnsi"/>
          <w:szCs w:val="24"/>
        </w:rPr>
        <w:t>)</w:t>
      </w:r>
      <w:r w:rsidRPr="00AD3263">
        <w:rPr>
          <w:rFonts w:cstheme="minorHAnsi"/>
          <w:szCs w:val="24"/>
        </w:rPr>
        <w:t xml:space="preserve"> for one month’s supply ($2</w:t>
      </w:r>
      <w:r w:rsidR="005E1D9C" w:rsidRPr="00AD3263">
        <w:rPr>
          <w:rFonts w:cstheme="minorHAnsi"/>
          <w:szCs w:val="24"/>
        </w:rPr>
        <w:t>,</w:t>
      </w:r>
      <w:r w:rsidRPr="00AD3263">
        <w:rPr>
          <w:rFonts w:cstheme="minorHAnsi"/>
          <w:szCs w:val="24"/>
        </w:rPr>
        <w:t>084.02) over 12 months</w:t>
      </w:r>
      <w:bookmarkEnd w:id="16"/>
      <w:r w:rsidR="00A5487B" w:rsidRPr="00AD3263">
        <w:rPr>
          <w:rFonts w:cstheme="minorHAnsi"/>
          <w:szCs w:val="24"/>
        </w:rPr>
        <w:t xml:space="preserve">. </w:t>
      </w:r>
      <w:r w:rsidR="00784014" w:rsidRPr="00AD3263">
        <w:rPr>
          <w:rFonts w:cstheme="minorHAnsi"/>
          <w:szCs w:val="24"/>
        </w:rPr>
        <w:t>The submission state</w:t>
      </w:r>
      <w:r w:rsidR="001D6CF3">
        <w:rPr>
          <w:rFonts w:cstheme="minorHAnsi"/>
          <w:szCs w:val="24"/>
        </w:rPr>
        <w:t>d</w:t>
      </w:r>
      <w:r w:rsidR="00784014" w:rsidRPr="00AD3263">
        <w:rPr>
          <w:rFonts w:cstheme="minorHAnsi"/>
          <w:szCs w:val="24"/>
        </w:rPr>
        <w:t xml:space="preserve"> that t</w:t>
      </w:r>
      <w:r w:rsidR="001A3906" w:rsidRPr="00AD3263">
        <w:rPr>
          <w:rFonts w:cstheme="minorHAnsi"/>
          <w:szCs w:val="24"/>
        </w:rPr>
        <w:t xml:space="preserve">he </w:t>
      </w:r>
      <w:r w:rsidR="005D5AD5" w:rsidRPr="00AD3263">
        <w:rPr>
          <w:rFonts w:cstheme="minorHAnsi"/>
          <w:szCs w:val="24"/>
        </w:rPr>
        <w:t xml:space="preserve">maximum quantity is calculated based on the highest expected usage, which </w:t>
      </w:r>
      <w:r w:rsidR="001D6CF3">
        <w:rPr>
          <w:rFonts w:cstheme="minorHAnsi"/>
          <w:szCs w:val="24"/>
        </w:rPr>
        <w:t>was</w:t>
      </w:r>
      <w:r w:rsidR="005D5AD5" w:rsidRPr="00AD3263">
        <w:rPr>
          <w:rFonts w:cstheme="minorHAnsi"/>
          <w:szCs w:val="24"/>
        </w:rPr>
        <w:t xml:space="preserve"> calculated for an adult male. </w:t>
      </w:r>
    </w:p>
    <w:p w14:paraId="0A969119" w14:textId="401CAFC8" w:rsidR="00D32A43" w:rsidRPr="00AD3263" w:rsidRDefault="00ED40EC" w:rsidP="00465F5D">
      <w:pPr>
        <w:pStyle w:val="3Bodytext"/>
        <w:jc w:val="both"/>
        <w:rPr>
          <w:rFonts w:cstheme="minorHAnsi"/>
          <w:szCs w:val="24"/>
        </w:rPr>
      </w:pPr>
      <w:r w:rsidRPr="00AD3263">
        <w:t xml:space="preserve">The submission claimed that for an </w:t>
      </w:r>
      <w:r w:rsidR="00507749" w:rsidRPr="00AD3263">
        <w:t>adult male with reference weight 80</w:t>
      </w:r>
      <w:r w:rsidR="00DC7AE7">
        <w:t> </w:t>
      </w:r>
      <w:r w:rsidR="00507749" w:rsidRPr="00AD3263">
        <w:t xml:space="preserve">kg, </w:t>
      </w:r>
      <w:r w:rsidRPr="00AD3263">
        <w:t xml:space="preserve">the protein requirement per day </w:t>
      </w:r>
      <w:r w:rsidR="00507749" w:rsidRPr="00AD3263">
        <w:t>would be 80</w:t>
      </w:r>
      <w:r w:rsidR="00DC7AE7">
        <w:t> </w:t>
      </w:r>
      <w:r w:rsidR="00507749" w:rsidRPr="00AD3263">
        <w:t>g,</w:t>
      </w:r>
      <w:r w:rsidRPr="00AD3263">
        <w:t xml:space="preserve"> calculated based on weight (kg) time</w:t>
      </w:r>
      <w:r w:rsidR="00507749" w:rsidRPr="00AD3263">
        <w:t xml:space="preserve">s the correspondent total protein (g/kg/day). </w:t>
      </w:r>
    </w:p>
    <w:p w14:paraId="7861AD68" w14:textId="2C618C45" w:rsidR="00486596" w:rsidRPr="00AD3263" w:rsidRDefault="00507749" w:rsidP="00465F5D">
      <w:pPr>
        <w:pStyle w:val="3Bodytext"/>
        <w:jc w:val="both"/>
        <w:rPr>
          <w:rFonts w:cstheme="minorHAnsi"/>
          <w:szCs w:val="24"/>
        </w:rPr>
      </w:pPr>
      <w:r w:rsidRPr="00AD3263">
        <w:t>At the highest expected usage, the product could substitute 100% of daily protein requirements, equating to 80</w:t>
      </w:r>
      <w:r w:rsidR="00DC7AE7">
        <w:t> </w:t>
      </w:r>
      <w:r w:rsidRPr="00AD3263">
        <w:t>g per day. In this case, each prescription of PKU GMPro ULTRA provides 2400</w:t>
      </w:r>
      <w:r w:rsidR="00DC7AE7">
        <w:t> </w:t>
      </w:r>
      <w:r w:rsidRPr="00AD3263">
        <w:t>g of protein, which will provide 80</w:t>
      </w:r>
      <w:r w:rsidR="00DC7AE7">
        <w:t> </w:t>
      </w:r>
      <w:r w:rsidRPr="00AD3263">
        <w:t xml:space="preserve">kg males a month’s supply. </w:t>
      </w:r>
      <w:r w:rsidR="00ED40EC" w:rsidRPr="00AD3263">
        <w:t xml:space="preserve"> </w:t>
      </w:r>
      <w:r w:rsidR="005D5AD5" w:rsidRPr="00AD3263">
        <w:rPr>
          <w:rFonts w:cstheme="minorHAnsi"/>
          <w:szCs w:val="24"/>
        </w:rPr>
        <w:t>Protein requirements will vary</w:t>
      </w:r>
      <w:r w:rsidR="001A3906" w:rsidRPr="00AD3263">
        <w:rPr>
          <w:rFonts w:cstheme="minorHAnsi"/>
          <w:szCs w:val="24"/>
        </w:rPr>
        <w:t xml:space="preserve"> dependent on age, bodyweight, and medical condition of the patient.</w:t>
      </w:r>
      <w:r w:rsidR="004C6448" w:rsidRPr="00AD3263">
        <w:rPr>
          <w:rFonts w:cstheme="minorHAnsi"/>
          <w:szCs w:val="24"/>
        </w:rPr>
        <w:t xml:space="preserve"> </w:t>
      </w:r>
    </w:p>
    <w:bookmarkEnd w:id="17"/>
    <w:p w14:paraId="5EB16602" w14:textId="3B2711B1" w:rsidR="00D70349" w:rsidRPr="002B4A29" w:rsidRDefault="00D70349" w:rsidP="00AC2CDD">
      <w:pPr>
        <w:pStyle w:val="4-SubsectionHeading"/>
        <w:rPr>
          <w:iCs/>
          <w:lang w:eastAsia="en-US"/>
        </w:rPr>
      </w:pPr>
      <w:r w:rsidRPr="002B4A29">
        <w:rPr>
          <w:iCs/>
          <w:lang w:eastAsia="en-US"/>
        </w:rPr>
        <w:t>Estimated PBS utilisation and financial implications</w:t>
      </w:r>
    </w:p>
    <w:p w14:paraId="04A8A3F5" w14:textId="3567AC32" w:rsidR="00D95D5A" w:rsidRPr="00AD3263" w:rsidRDefault="00D95D5A" w:rsidP="00465F5D">
      <w:pPr>
        <w:pStyle w:val="3Bodytext"/>
        <w:jc w:val="both"/>
        <w:rPr>
          <w:rFonts w:cstheme="minorHAnsi"/>
          <w:szCs w:val="24"/>
        </w:rPr>
      </w:pPr>
      <w:bookmarkStart w:id="18" w:name="_Hlk92278858"/>
      <w:r w:rsidRPr="00AD3263">
        <w:rPr>
          <w:rFonts w:cstheme="minorHAnsi"/>
          <w:szCs w:val="24"/>
        </w:rPr>
        <w:t xml:space="preserve">The submission did not present economic or financial evaluations. </w:t>
      </w:r>
    </w:p>
    <w:bookmarkEnd w:id="18"/>
    <w:p w14:paraId="6CF4048B" w14:textId="1AE99994" w:rsidR="000E383B" w:rsidRPr="00AD3263" w:rsidRDefault="00DC2ADB" w:rsidP="00465F5D">
      <w:pPr>
        <w:pStyle w:val="3Bodytext"/>
        <w:jc w:val="both"/>
      </w:pPr>
      <w:r w:rsidRPr="00AD3263">
        <w:rPr>
          <w:rFonts w:cstheme="minorHAnsi"/>
          <w:szCs w:val="24"/>
        </w:rPr>
        <w:t xml:space="preserve">The </w:t>
      </w:r>
      <w:r w:rsidR="00D95D5A" w:rsidRPr="00AD3263">
        <w:rPr>
          <w:rFonts w:cstheme="minorHAnsi"/>
          <w:szCs w:val="24"/>
        </w:rPr>
        <w:t>submission considered the listing</w:t>
      </w:r>
      <w:r w:rsidRPr="00AD3263">
        <w:rPr>
          <w:rFonts w:cstheme="minorHAnsi"/>
          <w:szCs w:val="24"/>
        </w:rPr>
        <w:t xml:space="preserve"> of PKU GMPro </w:t>
      </w:r>
      <w:r w:rsidR="00452715" w:rsidRPr="00AD3263">
        <w:rPr>
          <w:rFonts w:cstheme="minorHAnsi"/>
          <w:szCs w:val="24"/>
        </w:rPr>
        <w:t>ULTRA</w:t>
      </w:r>
      <w:r w:rsidRPr="00AD3263">
        <w:rPr>
          <w:rFonts w:cstheme="minorHAnsi"/>
          <w:szCs w:val="24"/>
        </w:rPr>
        <w:t xml:space="preserve"> will</w:t>
      </w:r>
      <w:r w:rsidR="003D6077" w:rsidRPr="00AD3263">
        <w:rPr>
          <w:rFonts w:cstheme="minorHAnsi"/>
          <w:szCs w:val="24"/>
        </w:rPr>
        <w:t xml:space="preserve"> not</w:t>
      </w:r>
      <w:r w:rsidRPr="00AD3263">
        <w:rPr>
          <w:rFonts w:cstheme="minorHAnsi"/>
          <w:szCs w:val="24"/>
        </w:rPr>
        <w:t xml:space="preserve"> </w:t>
      </w:r>
      <w:r w:rsidR="0087082A" w:rsidRPr="00AD3263">
        <w:rPr>
          <w:rFonts w:cstheme="minorHAnsi"/>
          <w:szCs w:val="24"/>
        </w:rPr>
        <w:t xml:space="preserve">have a financial impact to Government because it will </w:t>
      </w:r>
      <w:r w:rsidRPr="00AD3263">
        <w:rPr>
          <w:rFonts w:cstheme="minorHAnsi"/>
          <w:szCs w:val="24"/>
        </w:rPr>
        <w:t>not result in any new patients commencing dietary treatment for PKU</w:t>
      </w:r>
      <w:r w:rsidR="0087082A" w:rsidRPr="00AD3263">
        <w:rPr>
          <w:rFonts w:cstheme="minorHAnsi"/>
          <w:szCs w:val="24"/>
        </w:rPr>
        <w:t xml:space="preserve">. </w:t>
      </w:r>
      <w:r w:rsidR="00924DD6" w:rsidRPr="00AD3263">
        <w:rPr>
          <w:rFonts w:cstheme="minorHAnsi"/>
          <w:szCs w:val="24"/>
        </w:rPr>
        <w:t xml:space="preserve">The </w:t>
      </w:r>
      <w:r w:rsidR="00924DD6" w:rsidRPr="00AD3263">
        <w:rPr>
          <w:rStyle w:val="CommentReference"/>
          <w:sz w:val="24"/>
          <w:szCs w:val="22"/>
        </w:rPr>
        <w:t>submission expects PKU GMPro ULTRA to only substitute for the comparators assuming 1:1 script equivalence.</w:t>
      </w:r>
    </w:p>
    <w:p w14:paraId="2E9CD61D" w14:textId="731AE83F" w:rsidR="00924DD6" w:rsidRDefault="00924DD6" w:rsidP="00465F5D">
      <w:pPr>
        <w:pStyle w:val="3Bodytext"/>
        <w:jc w:val="both"/>
        <w:rPr>
          <w:rStyle w:val="CommentReference"/>
          <w:sz w:val="24"/>
          <w:szCs w:val="22"/>
        </w:rPr>
      </w:pPr>
      <w:r w:rsidRPr="00AD3263">
        <w:rPr>
          <w:rStyle w:val="CommentReference"/>
          <w:sz w:val="24"/>
          <w:szCs w:val="22"/>
        </w:rPr>
        <w:t>The submission requested PKU GMPro ULTRA to have an equivalent DPMQ ($2</w:t>
      </w:r>
      <w:r w:rsidR="0021134E">
        <w:rPr>
          <w:rStyle w:val="CommentReference"/>
          <w:sz w:val="24"/>
          <w:szCs w:val="22"/>
        </w:rPr>
        <w:t>,</w:t>
      </w:r>
      <w:r w:rsidRPr="00AD3263">
        <w:rPr>
          <w:rStyle w:val="CommentReference"/>
          <w:sz w:val="24"/>
          <w:szCs w:val="22"/>
        </w:rPr>
        <w:t xml:space="preserve">084.02) to both comparators. </w:t>
      </w:r>
    </w:p>
    <w:p w14:paraId="493BF55D" w14:textId="319942B4" w:rsidR="00AD3263" w:rsidRPr="002E0C67" w:rsidRDefault="00AD3263" w:rsidP="002E0C67">
      <w:pPr>
        <w:pStyle w:val="3Bodytext"/>
        <w:keepNext/>
        <w:widowControl w:val="0"/>
        <w:numPr>
          <w:ilvl w:val="0"/>
          <w:numId w:val="0"/>
        </w:numPr>
        <w:ind w:left="720"/>
        <w:jc w:val="both"/>
        <w:rPr>
          <w:i/>
          <w:iCs/>
        </w:rPr>
      </w:pPr>
      <w:r w:rsidRPr="002E0C67">
        <w:rPr>
          <w:i/>
          <w:iCs/>
        </w:rPr>
        <w:lastRenderedPageBreak/>
        <w:t xml:space="preserve">For more detail on PBAC’s view, see section </w:t>
      </w:r>
      <w:r w:rsidR="007A2E66" w:rsidRPr="002E0C67">
        <w:rPr>
          <w:i/>
          <w:iCs/>
        </w:rPr>
        <w:t>7</w:t>
      </w:r>
      <w:r w:rsidRPr="002E0C67">
        <w:rPr>
          <w:i/>
          <w:iCs/>
        </w:rPr>
        <w:t xml:space="preserve"> PBAC outcome.</w:t>
      </w:r>
    </w:p>
    <w:p w14:paraId="00DBD1A6" w14:textId="77777777" w:rsidR="00643DD0" w:rsidRPr="00AD3263" w:rsidRDefault="00643DD0" w:rsidP="00643DD0">
      <w:pPr>
        <w:pStyle w:val="Heading1"/>
        <w:keepNext/>
        <w:keepLines/>
        <w:numPr>
          <w:ilvl w:val="0"/>
          <w:numId w:val="2"/>
        </w:numPr>
        <w:spacing w:before="240"/>
        <w:ind w:left="709" w:hanging="709"/>
        <w:rPr>
          <w:rFonts w:eastAsiaTheme="majorEastAsia" w:cstheme="majorBidi"/>
          <w:sz w:val="32"/>
          <w:szCs w:val="28"/>
        </w:rPr>
      </w:pPr>
      <w:r w:rsidRPr="00AD3263">
        <w:rPr>
          <w:rFonts w:eastAsiaTheme="majorEastAsia" w:cstheme="majorBidi"/>
          <w:sz w:val="32"/>
          <w:szCs w:val="28"/>
        </w:rPr>
        <w:t xml:space="preserve">NPWP Consideration </w:t>
      </w:r>
    </w:p>
    <w:p w14:paraId="435AEA72" w14:textId="4663945A" w:rsidR="00FC6432" w:rsidRPr="00AD3263" w:rsidRDefault="00FC6432" w:rsidP="00465F5D">
      <w:pPr>
        <w:pStyle w:val="3Bodytext"/>
        <w:jc w:val="both"/>
        <w:rPr>
          <w:rFonts w:cstheme="minorHAnsi"/>
          <w:szCs w:val="24"/>
        </w:rPr>
      </w:pPr>
      <w:r w:rsidRPr="00AD3263">
        <w:rPr>
          <w:rFonts w:cstheme="minorHAnsi"/>
          <w:szCs w:val="24"/>
        </w:rPr>
        <w:t xml:space="preserve">The </w:t>
      </w:r>
      <w:r w:rsidR="00DC7AE7">
        <w:rPr>
          <w:rFonts w:cstheme="minorHAnsi"/>
          <w:szCs w:val="24"/>
        </w:rPr>
        <w:t>Nutritional Products Working Party (</w:t>
      </w:r>
      <w:r w:rsidRPr="00AD3263">
        <w:rPr>
          <w:rFonts w:cstheme="minorHAnsi"/>
          <w:szCs w:val="24"/>
        </w:rPr>
        <w:t>NPWP</w:t>
      </w:r>
      <w:r w:rsidR="00DC7AE7">
        <w:rPr>
          <w:rFonts w:cstheme="minorHAnsi"/>
          <w:szCs w:val="24"/>
        </w:rPr>
        <w:t>)</w:t>
      </w:r>
      <w:r w:rsidRPr="00AD3263">
        <w:rPr>
          <w:rFonts w:cstheme="minorHAnsi"/>
          <w:szCs w:val="24"/>
        </w:rPr>
        <w:t xml:space="preserve"> supported the</w:t>
      </w:r>
      <w:r w:rsidR="00E81C10" w:rsidRPr="00AD3263">
        <w:rPr>
          <w:rFonts w:cstheme="minorHAnsi"/>
          <w:szCs w:val="24"/>
        </w:rPr>
        <w:t xml:space="preserve"> </w:t>
      </w:r>
      <w:r w:rsidRPr="00AD3263">
        <w:rPr>
          <w:rFonts w:cstheme="minorHAnsi"/>
          <w:szCs w:val="24"/>
        </w:rPr>
        <w:t>listing of PKU GMPro ULTRA for the treatment of phenylketonuria (PKU) in children and adults.</w:t>
      </w:r>
    </w:p>
    <w:p w14:paraId="11E0E1BF" w14:textId="21B1B9A0" w:rsidR="00FC6432" w:rsidRPr="00AD3263" w:rsidRDefault="00FC6432" w:rsidP="00465F5D">
      <w:pPr>
        <w:pStyle w:val="3Bodytext"/>
        <w:jc w:val="both"/>
        <w:rPr>
          <w:rFonts w:cstheme="minorHAnsi"/>
          <w:szCs w:val="24"/>
        </w:rPr>
      </w:pPr>
      <w:r w:rsidRPr="00AD3263">
        <w:rPr>
          <w:rFonts w:cstheme="minorHAnsi"/>
          <w:szCs w:val="24"/>
        </w:rPr>
        <w:t xml:space="preserve">The NPWP noted that </w:t>
      </w:r>
      <w:r w:rsidR="00F224C1" w:rsidRPr="00AD3263">
        <w:rPr>
          <w:rFonts w:cstheme="minorHAnsi"/>
          <w:szCs w:val="24"/>
        </w:rPr>
        <w:t>the submission stated that PKU GMPro ULTRA is a reformulation of previously PBAC recommended PKU GMPro</w:t>
      </w:r>
      <w:r w:rsidR="00FD6AED" w:rsidRPr="00AD3263">
        <w:rPr>
          <w:rFonts w:cstheme="minorHAnsi"/>
          <w:szCs w:val="24"/>
        </w:rPr>
        <w:t>®</w:t>
      </w:r>
      <w:r w:rsidR="00F224C1" w:rsidRPr="00AD3263">
        <w:rPr>
          <w:rFonts w:cstheme="minorHAnsi"/>
          <w:szCs w:val="24"/>
        </w:rPr>
        <w:t xml:space="preserve">. However, the NPWP noted the nutritional content in PKU GMPro ULTRA differed from that of PKU GMPro and advised it should not be considered a reformulation of PKU GMPro. </w:t>
      </w:r>
    </w:p>
    <w:p w14:paraId="7B41170D" w14:textId="7FCA4617" w:rsidR="00FC6432" w:rsidRPr="00AD3263" w:rsidRDefault="00FC6432" w:rsidP="00465F5D">
      <w:pPr>
        <w:pStyle w:val="3Bodytext"/>
        <w:jc w:val="both"/>
        <w:rPr>
          <w:rFonts w:cstheme="minorHAnsi"/>
          <w:szCs w:val="24"/>
        </w:rPr>
      </w:pPr>
      <w:r w:rsidRPr="00AD3263">
        <w:rPr>
          <w:rFonts w:cstheme="minorHAnsi"/>
          <w:szCs w:val="24"/>
        </w:rPr>
        <w:t xml:space="preserve">The NPWP advised that the comparators PKU </w:t>
      </w:r>
      <w:proofErr w:type="spellStart"/>
      <w:r w:rsidRPr="00AD3263">
        <w:rPr>
          <w:rFonts w:cstheme="minorHAnsi"/>
          <w:szCs w:val="24"/>
        </w:rPr>
        <w:t>Bettermilk</w:t>
      </w:r>
      <w:proofErr w:type="spellEnd"/>
      <w:r w:rsidRPr="00AD3263">
        <w:rPr>
          <w:rFonts w:cstheme="minorHAnsi"/>
          <w:szCs w:val="24"/>
        </w:rPr>
        <w:t xml:space="preserve"> Lite and PKU Build 20 are appropriate.</w:t>
      </w:r>
    </w:p>
    <w:p w14:paraId="3212DE56" w14:textId="77777777" w:rsidR="00F224C1" w:rsidRPr="00AD3263" w:rsidRDefault="00F224C1" w:rsidP="00465F5D">
      <w:pPr>
        <w:pStyle w:val="3Bodytext"/>
        <w:jc w:val="both"/>
        <w:rPr>
          <w:rFonts w:cstheme="minorHAnsi"/>
          <w:szCs w:val="24"/>
        </w:rPr>
      </w:pPr>
      <w:r w:rsidRPr="00AD3263">
        <w:rPr>
          <w:rFonts w:cstheme="minorHAnsi"/>
          <w:szCs w:val="24"/>
        </w:rPr>
        <w:t xml:space="preserve">The NPWP advised to exclude the proposed population criterion ‘For children from 3 years of age, and adults’ from the restriction noting this is consistent with the comparators. </w:t>
      </w:r>
    </w:p>
    <w:p w14:paraId="18E86794" w14:textId="5886A222" w:rsidR="00F224C1" w:rsidRPr="00AD3263" w:rsidRDefault="00F224C1" w:rsidP="00465F5D">
      <w:pPr>
        <w:pStyle w:val="3Bodytext"/>
        <w:jc w:val="both"/>
        <w:rPr>
          <w:rFonts w:cstheme="minorHAnsi"/>
          <w:szCs w:val="24"/>
        </w:rPr>
      </w:pPr>
      <w:r w:rsidRPr="00AD3263">
        <w:rPr>
          <w:rFonts w:cstheme="minorHAnsi"/>
          <w:szCs w:val="24"/>
        </w:rPr>
        <w:t xml:space="preserve">The NPWP advised the addition of </w:t>
      </w:r>
      <w:r w:rsidR="008C64B3" w:rsidRPr="00AD3263">
        <w:rPr>
          <w:rFonts w:cstheme="minorHAnsi"/>
          <w:szCs w:val="24"/>
        </w:rPr>
        <w:t>a</w:t>
      </w:r>
      <w:r w:rsidRPr="00AD3263">
        <w:rPr>
          <w:rFonts w:cstheme="minorHAnsi"/>
          <w:szCs w:val="24"/>
        </w:rPr>
        <w:t xml:space="preserve"> </w:t>
      </w:r>
      <w:r w:rsidR="008C64B3" w:rsidRPr="00AD3263">
        <w:rPr>
          <w:rFonts w:cstheme="minorHAnsi"/>
          <w:szCs w:val="24"/>
        </w:rPr>
        <w:t xml:space="preserve">cow’s milk allergy caution to </w:t>
      </w:r>
      <w:r w:rsidRPr="00AD3263">
        <w:rPr>
          <w:rFonts w:cstheme="minorHAnsi"/>
          <w:szCs w:val="24"/>
        </w:rPr>
        <w:t xml:space="preserve">the restriction is not necessary. The NPWP considered the nutritional label containing the allergy warning would be sufficient. </w:t>
      </w:r>
    </w:p>
    <w:p w14:paraId="26DA668B" w14:textId="50730813" w:rsidR="00F224C1" w:rsidRDefault="00F224C1" w:rsidP="00465F5D">
      <w:pPr>
        <w:pStyle w:val="3Bodytext"/>
        <w:jc w:val="both"/>
        <w:rPr>
          <w:rFonts w:cstheme="minorHAnsi"/>
          <w:szCs w:val="24"/>
        </w:rPr>
      </w:pPr>
      <w:r w:rsidRPr="00AD3263">
        <w:rPr>
          <w:rFonts w:cstheme="minorHAnsi"/>
          <w:szCs w:val="24"/>
        </w:rPr>
        <w:t>The NPWP advised that the addition of administration advice to the restriction was not necessary noting that prescribers will be familiar with the contemporary treatment factors.</w:t>
      </w:r>
    </w:p>
    <w:p w14:paraId="2A47EEE1" w14:textId="77777777" w:rsidR="007F54E0" w:rsidRPr="00285247" w:rsidRDefault="007F54E0" w:rsidP="00285247">
      <w:pPr>
        <w:pStyle w:val="3Bodytext"/>
        <w:numPr>
          <w:ilvl w:val="0"/>
          <w:numId w:val="0"/>
        </w:numPr>
        <w:ind w:left="720"/>
        <w:rPr>
          <w:i/>
          <w:iCs/>
        </w:rPr>
      </w:pPr>
      <w:r w:rsidRPr="00285247">
        <w:rPr>
          <w:i/>
          <w:iCs/>
        </w:rPr>
        <w:t>For more detail on PBAC’s view, see section 7 PBAC outcome.</w:t>
      </w:r>
    </w:p>
    <w:p w14:paraId="4DE60C5C" w14:textId="471C18F9" w:rsidR="00AD3263" w:rsidRDefault="00AD3263" w:rsidP="00AD3263">
      <w:pPr>
        <w:pStyle w:val="2-SectionHeading"/>
        <w:rPr>
          <w:rFonts w:eastAsiaTheme="majorEastAsia"/>
        </w:rPr>
      </w:pPr>
      <w:r>
        <w:rPr>
          <w:rFonts w:eastAsiaTheme="majorEastAsia"/>
        </w:rPr>
        <w:t>PBAC Outcome</w:t>
      </w:r>
    </w:p>
    <w:p w14:paraId="0A11C205" w14:textId="1BF6D257" w:rsidR="00CF3D51" w:rsidRPr="00CF3D51" w:rsidRDefault="00450798" w:rsidP="00465F5D">
      <w:pPr>
        <w:pStyle w:val="3Bodytext"/>
        <w:jc w:val="both"/>
        <w:rPr>
          <w:rFonts w:cs="Arial"/>
          <w:snapToGrid w:val="0"/>
          <w:szCs w:val="24"/>
          <w:lang w:val="en-GB"/>
        </w:rPr>
      </w:pPr>
      <w:r>
        <w:rPr>
          <w:rFonts w:cs="Arial"/>
          <w:snapToGrid w:val="0"/>
          <w:lang w:val="en-GB"/>
        </w:rPr>
        <w:t>The PBAC recommended the</w:t>
      </w:r>
      <w:r w:rsidR="006507F4">
        <w:rPr>
          <w:rFonts w:cs="Arial"/>
          <w:snapToGrid w:val="0"/>
          <w:lang w:val="en-GB"/>
        </w:rPr>
        <w:t xml:space="preserve"> General Schedule</w:t>
      </w:r>
      <w:r>
        <w:rPr>
          <w:rFonts w:cs="Arial"/>
          <w:snapToGrid w:val="0"/>
          <w:lang w:val="en-GB"/>
        </w:rPr>
        <w:t xml:space="preserve"> </w:t>
      </w:r>
      <w:r w:rsidR="00FB706A">
        <w:rPr>
          <w:rFonts w:cs="Arial"/>
          <w:snapToGrid w:val="0"/>
          <w:lang w:val="en-GB"/>
        </w:rPr>
        <w:t xml:space="preserve">Restricted Benefit </w:t>
      </w:r>
      <w:r>
        <w:rPr>
          <w:rFonts w:cs="Arial"/>
          <w:snapToGrid w:val="0"/>
          <w:lang w:val="en-GB"/>
        </w:rPr>
        <w:t xml:space="preserve">listing of </w:t>
      </w:r>
      <w:r w:rsidRPr="008F0438">
        <w:rPr>
          <w:rFonts w:cs="Calibri"/>
        </w:rPr>
        <w:t xml:space="preserve">glycomacropeptide formula with amino acids, vitamins, minerals, trace elements, carbohydrate, </w:t>
      </w:r>
      <w:proofErr w:type="gramStart"/>
      <w:r w:rsidRPr="008F0438">
        <w:rPr>
          <w:rFonts w:cs="Calibri"/>
        </w:rPr>
        <w:t>fat</w:t>
      </w:r>
      <w:proofErr w:type="gramEnd"/>
      <w:r w:rsidRPr="008F0438">
        <w:rPr>
          <w:rFonts w:cs="Calibri"/>
        </w:rPr>
        <w:t xml:space="preserve"> and low phenylalanine</w:t>
      </w:r>
      <w:r>
        <w:t xml:space="preserve"> (PKU GMPro ULTRA</w:t>
      </w:r>
      <w:r w:rsidR="00373A28">
        <w:rPr>
          <w:rFonts w:cstheme="minorHAnsi"/>
        </w:rPr>
        <w:t>®</w:t>
      </w:r>
      <w:r>
        <w:t>)</w:t>
      </w:r>
      <w:r w:rsidR="00FB706A">
        <w:t xml:space="preserve"> for the treatment of </w:t>
      </w:r>
      <w:r w:rsidR="00373A28">
        <w:t>p</w:t>
      </w:r>
      <w:r w:rsidR="00373A28" w:rsidRPr="00FB706A">
        <w:t>henylketonuria</w:t>
      </w:r>
      <w:r w:rsidR="00CB6712">
        <w:t>.</w:t>
      </w:r>
    </w:p>
    <w:p w14:paraId="7D6114C7" w14:textId="6EEE4821" w:rsidR="00450798" w:rsidRPr="00CF3D51" w:rsidRDefault="00CF3D51" w:rsidP="00465F5D">
      <w:pPr>
        <w:pStyle w:val="3Bodytext"/>
        <w:jc w:val="both"/>
        <w:rPr>
          <w:snapToGrid w:val="0"/>
          <w:szCs w:val="24"/>
          <w:lang w:val="en-GB"/>
        </w:rPr>
      </w:pPr>
      <w:r w:rsidRPr="0018083C">
        <w:t xml:space="preserve">The PBAC </w:t>
      </w:r>
      <w:r w:rsidR="00FB706A">
        <w:t xml:space="preserve">noted and </w:t>
      </w:r>
      <w:r w:rsidRPr="0018083C">
        <w:t xml:space="preserve">agreed with the NPWP advice detailed in Section </w:t>
      </w:r>
      <w:r>
        <w:t>6</w:t>
      </w:r>
      <w:r w:rsidRPr="0018083C">
        <w:t xml:space="preserve"> NPWP consideration</w:t>
      </w:r>
      <w:bookmarkStart w:id="19" w:name="_Hlk97301178"/>
      <w:r>
        <w:rPr>
          <w:snapToGrid w:val="0"/>
          <w:lang w:val="en-GB"/>
        </w:rPr>
        <w:t>.</w:t>
      </w:r>
    </w:p>
    <w:p w14:paraId="52D4F484" w14:textId="4004D7EF" w:rsidR="00CF3D51" w:rsidRDefault="00CF3D51" w:rsidP="00465F5D">
      <w:pPr>
        <w:pStyle w:val="3Bodytext"/>
        <w:jc w:val="both"/>
        <w:rPr>
          <w:bCs/>
        </w:rPr>
      </w:pPr>
      <w:bookmarkStart w:id="20" w:name="_Hlk97620954"/>
      <w:r w:rsidRPr="0018083C">
        <w:rPr>
          <w:bCs/>
        </w:rPr>
        <w:t>The PBAC advised that</w:t>
      </w:r>
      <w:r>
        <w:rPr>
          <w:bCs/>
        </w:rPr>
        <w:t xml:space="preserve"> PKU GMPro ULTRA</w:t>
      </w:r>
      <w:r w:rsidRPr="0018083C">
        <w:rPr>
          <w:bCs/>
        </w:rPr>
        <w:t xml:space="preserve"> is suitable for prescribing by nurse practitioners</w:t>
      </w:r>
      <w:r w:rsidR="00FB706A">
        <w:rPr>
          <w:bCs/>
        </w:rPr>
        <w:t xml:space="preserve">. </w:t>
      </w:r>
    </w:p>
    <w:p w14:paraId="14DCC8D0" w14:textId="6A17384E" w:rsidR="003127BE" w:rsidRPr="003127BE" w:rsidRDefault="003127BE" w:rsidP="003127BE">
      <w:pPr>
        <w:pStyle w:val="3Bodytext"/>
        <w:rPr>
          <w:bCs/>
        </w:rPr>
      </w:pPr>
      <w:r w:rsidRPr="003127BE">
        <w:rPr>
          <w:bCs/>
        </w:rPr>
        <w:t>The PBAC recommended that the Early Supply Rule should not apply, as it has been</w:t>
      </w:r>
      <w:r>
        <w:rPr>
          <w:bCs/>
        </w:rPr>
        <w:t xml:space="preserve"> </w:t>
      </w:r>
      <w:r w:rsidRPr="003127BE">
        <w:rPr>
          <w:bCs/>
        </w:rPr>
        <w:t>the PBAC’s view that general nutrients be exempt.</w:t>
      </w:r>
    </w:p>
    <w:bookmarkEnd w:id="19"/>
    <w:bookmarkEnd w:id="20"/>
    <w:p w14:paraId="55482B1A" w14:textId="329862B5" w:rsidR="00E8548B" w:rsidRPr="00450798" w:rsidRDefault="00450798" w:rsidP="00465F5D">
      <w:pPr>
        <w:pStyle w:val="3-BodyText"/>
        <w:numPr>
          <w:ilvl w:val="1"/>
          <w:numId w:val="2"/>
        </w:numPr>
      </w:pPr>
      <w:r>
        <w:t xml:space="preserve">The PBAC </w:t>
      </w:r>
      <w:r w:rsidR="00E8548B">
        <w:t xml:space="preserve">considered the </w:t>
      </w:r>
      <w:r>
        <w:t xml:space="preserve">cost-minimisation analysis </w:t>
      </w:r>
      <w:r w:rsidR="00E8548B">
        <w:t>appropriate noting the AEMP</w:t>
      </w:r>
      <w:r w:rsidR="003F0C0B">
        <w:t xml:space="preserve"> </w:t>
      </w:r>
      <w:r>
        <w:t xml:space="preserve">of PKU GMPro ULTRA compared with the main comparators PKU </w:t>
      </w:r>
      <w:proofErr w:type="spellStart"/>
      <w:r>
        <w:t>Bettermilk</w:t>
      </w:r>
      <w:proofErr w:type="spellEnd"/>
      <w:r>
        <w:t xml:space="preserve"> Lite</w:t>
      </w:r>
      <w:r w:rsidR="00373A28">
        <w:rPr>
          <w:rFonts w:cstheme="minorHAnsi"/>
        </w:rPr>
        <w:t>®</w:t>
      </w:r>
      <w:r>
        <w:t xml:space="preserve"> and PKU Build 20</w:t>
      </w:r>
      <w:r w:rsidR="00373A28">
        <w:rPr>
          <w:rFonts w:cstheme="minorHAnsi"/>
        </w:rPr>
        <w:t>®</w:t>
      </w:r>
      <w:r>
        <w:t xml:space="preserve"> </w:t>
      </w:r>
      <w:r w:rsidR="003F0C0B">
        <w:t>was</w:t>
      </w:r>
      <w:r>
        <w:t xml:space="preserve"> </w:t>
      </w:r>
      <w:r w:rsidRPr="00AD3263">
        <w:t>based on the same price of protein equivalent (PE) per gram of $0.8016</w:t>
      </w:r>
      <w:r w:rsidR="00E8548B">
        <w:t>.</w:t>
      </w:r>
      <w:r w:rsidR="003F0C0B">
        <w:t xml:space="preserve"> </w:t>
      </w:r>
    </w:p>
    <w:p w14:paraId="6DFC21A3" w14:textId="0F873545" w:rsidR="007D3612" w:rsidRDefault="003F0C0B" w:rsidP="00465F5D">
      <w:pPr>
        <w:pStyle w:val="3Bodytext"/>
        <w:jc w:val="both"/>
      </w:pPr>
      <w:bookmarkStart w:id="21" w:name="_Hlk97301943"/>
      <w:r>
        <w:rPr>
          <w:rFonts w:cs="Arial"/>
          <w:snapToGrid w:val="0"/>
          <w:lang w:val="en-GB"/>
        </w:rPr>
        <w:lastRenderedPageBreak/>
        <w:t>The PBAC noted that the</w:t>
      </w:r>
      <w:r w:rsidR="00EC7862">
        <w:rPr>
          <w:rFonts w:cs="Arial"/>
          <w:snapToGrid w:val="0"/>
          <w:lang w:val="en-GB"/>
        </w:rPr>
        <w:t xml:space="preserve"> </w:t>
      </w:r>
      <w:r w:rsidR="002E0C67" w:rsidRPr="00AD3263">
        <w:rPr>
          <w:rStyle w:val="CommentReference"/>
          <w:sz w:val="24"/>
          <w:szCs w:val="22"/>
        </w:rPr>
        <w:t>substitut</w:t>
      </w:r>
      <w:r w:rsidR="002E0C67">
        <w:rPr>
          <w:rStyle w:val="CommentReference"/>
          <w:sz w:val="24"/>
          <w:szCs w:val="22"/>
        </w:rPr>
        <w:t>ion</w:t>
      </w:r>
      <w:r>
        <w:rPr>
          <w:rStyle w:val="CommentReference"/>
          <w:sz w:val="24"/>
          <w:szCs w:val="22"/>
        </w:rPr>
        <w:t xml:space="preserve"> would</w:t>
      </w:r>
      <w:r w:rsidR="002E0C67">
        <w:rPr>
          <w:rStyle w:val="CommentReference"/>
          <w:sz w:val="24"/>
          <w:szCs w:val="22"/>
        </w:rPr>
        <w:t xml:space="preserve"> only occur</w:t>
      </w:r>
      <w:r w:rsidR="00E8548B">
        <w:rPr>
          <w:rStyle w:val="CommentReference"/>
          <w:sz w:val="24"/>
          <w:szCs w:val="22"/>
        </w:rPr>
        <w:t xml:space="preserve"> </w:t>
      </w:r>
      <w:r w:rsidR="002E0C67">
        <w:rPr>
          <w:rStyle w:val="CommentReference"/>
          <w:sz w:val="24"/>
          <w:szCs w:val="22"/>
        </w:rPr>
        <w:t xml:space="preserve">with the </w:t>
      </w:r>
      <w:r w:rsidR="002E0C67" w:rsidRPr="00AD3263">
        <w:rPr>
          <w:rStyle w:val="CommentReference"/>
          <w:sz w:val="24"/>
          <w:szCs w:val="22"/>
        </w:rPr>
        <w:t xml:space="preserve">comparators </w:t>
      </w:r>
      <w:r w:rsidR="002E0C67">
        <w:rPr>
          <w:rStyle w:val="CommentReference"/>
          <w:sz w:val="24"/>
          <w:szCs w:val="22"/>
        </w:rPr>
        <w:t>(</w:t>
      </w:r>
      <w:r w:rsidR="002E0C67" w:rsidRPr="00AD3263">
        <w:rPr>
          <w:rStyle w:val="CommentReference"/>
          <w:sz w:val="24"/>
          <w:szCs w:val="22"/>
        </w:rPr>
        <w:t>assuming 1:1 script equivalence</w:t>
      </w:r>
      <w:r w:rsidR="002E0C67">
        <w:rPr>
          <w:rStyle w:val="CommentReference"/>
          <w:sz w:val="24"/>
          <w:szCs w:val="22"/>
        </w:rPr>
        <w:t>)</w:t>
      </w:r>
      <w:r w:rsidR="00541BB0">
        <w:rPr>
          <w:rStyle w:val="CommentReference"/>
          <w:sz w:val="24"/>
          <w:szCs w:val="22"/>
        </w:rPr>
        <w:t xml:space="preserve"> with</w:t>
      </w:r>
      <w:r w:rsidR="002E0C67">
        <w:rPr>
          <w:rStyle w:val="CommentReference"/>
          <w:sz w:val="24"/>
          <w:szCs w:val="22"/>
        </w:rPr>
        <w:t xml:space="preserve"> a</w:t>
      </w:r>
      <w:r w:rsidR="00541BB0">
        <w:rPr>
          <w:rStyle w:val="CommentReference"/>
          <w:sz w:val="24"/>
          <w:szCs w:val="22"/>
        </w:rPr>
        <w:t>n</w:t>
      </w:r>
      <w:r w:rsidR="002E0C67">
        <w:rPr>
          <w:rStyle w:val="CommentReference"/>
          <w:sz w:val="24"/>
          <w:szCs w:val="22"/>
        </w:rPr>
        <w:t xml:space="preserve"> equivalent DPMQ of $2,084.02.</w:t>
      </w:r>
      <w:r w:rsidR="00E8548B">
        <w:rPr>
          <w:rFonts w:cs="Arial"/>
          <w:snapToGrid w:val="0"/>
          <w:lang w:val="en-GB"/>
        </w:rPr>
        <w:t xml:space="preserve"> </w:t>
      </w:r>
      <w:r>
        <w:rPr>
          <w:rFonts w:cs="Arial"/>
          <w:snapToGrid w:val="0"/>
          <w:lang w:val="en-GB"/>
        </w:rPr>
        <w:t>The PBAC considered the estimation of nil financial cost to the Government reasonable.</w:t>
      </w:r>
    </w:p>
    <w:bookmarkEnd w:id="21"/>
    <w:p w14:paraId="0D4C69C3" w14:textId="4AC20A0B" w:rsidR="00AD3263" w:rsidRPr="00AD3263" w:rsidRDefault="00AD3263" w:rsidP="00465F5D">
      <w:pPr>
        <w:widowControl w:val="0"/>
        <w:numPr>
          <w:ilvl w:val="1"/>
          <w:numId w:val="2"/>
        </w:numPr>
        <w:spacing w:after="120"/>
        <w:rPr>
          <w:rFonts w:asciiTheme="minorHAnsi" w:hAnsiTheme="minorHAnsi" w:cs="Arial"/>
          <w:snapToGrid w:val="0"/>
          <w:lang w:val="en-GB"/>
        </w:rPr>
      </w:pPr>
      <w:r w:rsidRPr="00AD3263">
        <w:rPr>
          <w:rFonts w:asciiTheme="minorHAnsi" w:hAnsiTheme="minorHAnsi" w:cstheme="minorHAnsi"/>
          <w:lang w:val="en-GB"/>
        </w:rPr>
        <w:t>The PBAC noted that its recommendation was on a cost-minimisation basis and advised that, because</w:t>
      </w:r>
      <w:r w:rsidR="007D3612">
        <w:rPr>
          <w:rFonts w:asciiTheme="minorHAnsi" w:hAnsiTheme="minorHAnsi" w:cstheme="minorHAnsi"/>
          <w:lang w:val="en-GB"/>
        </w:rPr>
        <w:t xml:space="preserve"> PKU GMPro ULTRA </w:t>
      </w:r>
      <w:r w:rsidRPr="00AD3263">
        <w:rPr>
          <w:rFonts w:asciiTheme="minorHAnsi" w:hAnsiTheme="minorHAnsi" w:cstheme="minorHAnsi"/>
          <w:lang w:val="en-GB"/>
        </w:rPr>
        <w:t>is not expected to provide a substantial</w:t>
      </w:r>
      <w:r w:rsidRPr="00AD3263">
        <w:rPr>
          <w:rFonts w:asciiTheme="minorHAnsi" w:hAnsiTheme="minorHAnsi"/>
          <w:bCs/>
          <w:lang w:val="en-GB"/>
        </w:rPr>
        <w:t xml:space="preserve"> and clinically relevant improvement in efficacy, or reduction of toxicity, over </w:t>
      </w:r>
      <w:r w:rsidR="007D3612">
        <w:rPr>
          <w:rFonts w:asciiTheme="minorHAnsi" w:hAnsiTheme="minorHAnsi"/>
          <w:bCs/>
          <w:lang w:val="en-GB"/>
        </w:rPr>
        <w:t xml:space="preserve">PKU </w:t>
      </w:r>
      <w:proofErr w:type="spellStart"/>
      <w:r w:rsidR="007D3612">
        <w:rPr>
          <w:rFonts w:asciiTheme="minorHAnsi" w:hAnsiTheme="minorHAnsi"/>
          <w:bCs/>
          <w:lang w:val="en-GB"/>
        </w:rPr>
        <w:t>Bettermilk</w:t>
      </w:r>
      <w:proofErr w:type="spellEnd"/>
      <w:r w:rsidR="007D3612">
        <w:rPr>
          <w:rFonts w:asciiTheme="minorHAnsi" w:hAnsiTheme="minorHAnsi"/>
          <w:bCs/>
          <w:lang w:val="en-GB"/>
        </w:rPr>
        <w:t xml:space="preserve"> Lite and PKU Build 20</w:t>
      </w:r>
      <w:r w:rsidRPr="00AD3263">
        <w:rPr>
          <w:rFonts w:asciiTheme="minorHAnsi" w:hAnsiTheme="minorHAnsi"/>
          <w:bCs/>
          <w:lang w:val="en-GB"/>
        </w:rPr>
        <w:t xml:space="preserve">, or not expected to address a high and urgent unmet clinical need given the presence of an alternative therapy, the criteria prescribed by the </w:t>
      </w:r>
      <w:r w:rsidRPr="00AD3263">
        <w:rPr>
          <w:rFonts w:asciiTheme="minorHAnsi" w:hAnsiTheme="minorHAnsi"/>
          <w:bCs/>
          <w:i/>
          <w:lang w:val="en-GB"/>
        </w:rPr>
        <w:t>National Health (Pharmaceuticals and Vaccines – Cost Recovery) Regulations 2009</w:t>
      </w:r>
      <w:r w:rsidRPr="00AD3263">
        <w:rPr>
          <w:rFonts w:asciiTheme="minorHAnsi" w:hAnsiTheme="minorHAnsi"/>
          <w:bCs/>
          <w:lang w:val="en-GB"/>
        </w:rPr>
        <w:t xml:space="preserve"> for Pricing Pathway A were not met.</w:t>
      </w:r>
    </w:p>
    <w:p w14:paraId="41267CF5" w14:textId="77777777" w:rsidR="007D3612" w:rsidRDefault="007D3612" w:rsidP="00465F5D">
      <w:pPr>
        <w:pStyle w:val="3Bodytext"/>
        <w:jc w:val="both"/>
      </w:pPr>
      <w:r>
        <w:t>The PBAC noted that this submission is not eligible for an Independent Review as it received a positive recommendation.</w:t>
      </w:r>
    </w:p>
    <w:p w14:paraId="3A4EC443" w14:textId="77777777" w:rsidR="00AD3263" w:rsidRPr="00525B39" w:rsidRDefault="00AD3263" w:rsidP="00AD3263">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7ACC043F" w14:textId="6C4BA4E8" w:rsidR="00AD3263" w:rsidRDefault="00AD3263" w:rsidP="00AD3263">
      <w:pPr>
        <w:rPr>
          <w:rFonts w:asciiTheme="minorHAnsi" w:hAnsiTheme="minorHAnsi" w:cs="Arial"/>
          <w:bCs/>
          <w:snapToGrid w:val="0"/>
          <w:lang w:val="en-GB"/>
        </w:rPr>
      </w:pPr>
      <w:r w:rsidRPr="00525B39">
        <w:rPr>
          <w:rFonts w:asciiTheme="minorHAnsi" w:hAnsiTheme="minorHAnsi" w:cs="Arial"/>
          <w:bCs/>
          <w:snapToGrid w:val="0"/>
          <w:lang w:val="en-GB"/>
        </w:rPr>
        <w:t>Recommended</w:t>
      </w:r>
    </w:p>
    <w:p w14:paraId="67B3446F" w14:textId="77777777" w:rsidR="00AD3263" w:rsidRPr="007D3612" w:rsidRDefault="00AD3263" w:rsidP="007D3612">
      <w:pPr>
        <w:pStyle w:val="Heading1"/>
        <w:keepNext/>
        <w:keepLines/>
        <w:numPr>
          <w:ilvl w:val="0"/>
          <w:numId w:val="2"/>
        </w:numPr>
        <w:spacing w:before="240"/>
        <w:ind w:left="709" w:hanging="709"/>
        <w:rPr>
          <w:rFonts w:eastAsiaTheme="majorEastAsia" w:cstheme="majorBidi"/>
          <w:sz w:val="32"/>
          <w:szCs w:val="28"/>
        </w:rPr>
      </w:pPr>
      <w:r w:rsidRPr="007D3612">
        <w:rPr>
          <w:rFonts w:eastAsiaTheme="majorEastAsia" w:cstheme="majorBidi"/>
          <w:sz w:val="32"/>
          <w:szCs w:val="28"/>
        </w:rPr>
        <w:t>Recommended listing</w:t>
      </w:r>
    </w:p>
    <w:p w14:paraId="5A52DCD2" w14:textId="436684FF" w:rsidR="00AD3263" w:rsidRPr="007D3612" w:rsidRDefault="00AD3263" w:rsidP="007D3612">
      <w:pPr>
        <w:widowControl w:val="0"/>
        <w:numPr>
          <w:ilvl w:val="1"/>
          <w:numId w:val="2"/>
        </w:numPr>
        <w:spacing w:after="120"/>
        <w:contextualSpacing/>
        <w:rPr>
          <w:rFonts w:asciiTheme="minorHAnsi" w:hAnsiTheme="minorHAnsi" w:cs="Arial"/>
          <w:b/>
          <w:bCs/>
          <w:snapToGrid w:val="0"/>
        </w:rPr>
      </w:pPr>
      <w:r w:rsidRPr="007D3612">
        <w:rPr>
          <w:rFonts w:asciiTheme="minorHAnsi" w:hAnsiTheme="minorHAnsi" w:cs="Arial"/>
          <w:bCs/>
          <w:snapToGrid w:val="0"/>
        </w:rPr>
        <w:t>Add new item:</w:t>
      </w:r>
    </w:p>
    <w:p w14:paraId="4F090706" w14:textId="77777777" w:rsidR="007D3612" w:rsidRPr="007D3612" w:rsidRDefault="007D3612" w:rsidP="007D3612">
      <w:pPr>
        <w:widowControl w:val="0"/>
        <w:spacing w:after="120"/>
        <w:contextualSpacing/>
        <w:rPr>
          <w:rFonts w:asciiTheme="minorHAnsi" w:hAnsiTheme="minorHAnsi" w:cs="Arial"/>
          <w:b/>
          <w:bCs/>
          <w:snapToGrid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1"/>
        <w:gridCol w:w="2133"/>
        <w:gridCol w:w="993"/>
        <w:gridCol w:w="850"/>
        <w:gridCol w:w="709"/>
        <w:gridCol w:w="709"/>
        <w:gridCol w:w="1842"/>
      </w:tblGrid>
      <w:tr w:rsidR="007D3612" w:rsidRPr="00AD3263" w14:paraId="0FB82588" w14:textId="77777777" w:rsidTr="00C748E8">
        <w:trPr>
          <w:cantSplit/>
          <w:trHeight w:val="471"/>
        </w:trPr>
        <w:tc>
          <w:tcPr>
            <w:tcW w:w="3964" w:type="dxa"/>
            <w:gridSpan w:val="2"/>
          </w:tcPr>
          <w:p w14:paraId="3DB1E2AD" w14:textId="77777777" w:rsidR="007D3612" w:rsidRPr="00AD3263" w:rsidRDefault="007D3612" w:rsidP="00C748E8">
            <w:pPr>
              <w:keepNext/>
              <w:widowControl w:val="0"/>
              <w:ind w:left="-57"/>
              <w:rPr>
                <w:rFonts w:ascii="Arial Narrow" w:hAnsi="Arial Narrow" w:cs="Arial"/>
                <w:b/>
                <w:bCs/>
                <w:sz w:val="20"/>
                <w:szCs w:val="20"/>
              </w:rPr>
            </w:pPr>
            <w:r w:rsidRPr="00AD3263">
              <w:rPr>
                <w:rFonts w:ascii="Arial Narrow" w:hAnsi="Arial Narrow" w:cs="Arial"/>
                <w:b/>
                <w:bCs/>
                <w:sz w:val="20"/>
                <w:szCs w:val="20"/>
              </w:rPr>
              <w:t>MEDICINAL PRODUCT</w:t>
            </w:r>
          </w:p>
          <w:p w14:paraId="6C51EE8C" w14:textId="77777777" w:rsidR="007D3612" w:rsidRPr="00AD3263" w:rsidRDefault="007D3612" w:rsidP="00C748E8">
            <w:pPr>
              <w:keepNext/>
              <w:widowControl w:val="0"/>
              <w:ind w:left="-57"/>
              <w:rPr>
                <w:rFonts w:ascii="Arial Narrow" w:hAnsi="Arial Narrow" w:cs="Arial"/>
                <w:b/>
                <w:sz w:val="20"/>
                <w:szCs w:val="20"/>
              </w:rPr>
            </w:pPr>
            <w:r w:rsidRPr="00AD3263">
              <w:rPr>
                <w:rFonts w:ascii="Arial Narrow" w:hAnsi="Arial Narrow" w:cs="Arial"/>
                <w:b/>
                <w:bCs/>
                <w:sz w:val="20"/>
                <w:szCs w:val="20"/>
              </w:rPr>
              <w:t>medicinal product pack</w:t>
            </w:r>
          </w:p>
        </w:tc>
        <w:tc>
          <w:tcPr>
            <w:tcW w:w="993" w:type="dxa"/>
          </w:tcPr>
          <w:p w14:paraId="1E3959B0" w14:textId="77777777" w:rsidR="007D3612" w:rsidRPr="00AD3263" w:rsidRDefault="007D3612" w:rsidP="00C748E8">
            <w:pPr>
              <w:keepNext/>
              <w:widowControl w:val="0"/>
              <w:ind w:left="-108"/>
              <w:jc w:val="center"/>
              <w:rPr>
                <w:rFonts w:ascii="Arial Narrow" w:hAnsi="Arial Narrow" w:cs="Arial"/>
                <w:b/>
                <w:sz w:val="20"/>
                <w:szCs w:val="20"/>
              </w:rPr>
            </w:pPr>
            <w:r w:rsidRPr="00AD3263">
              <w:rPr>
                <w:rFonts w:ascii="Arial Narrow" w:hAnsi="Arial Narrow" w:cs="Arial"/>
                <w:b/>
                <w:sz w:val="20"/>
                <w:szCs w:val="20"/>
              </w:rPr>
              <w:t>PBS item code</w:t>
            </w:r>
          </w:p>
        </w:tc>
        <w:tc>
          <w:tcPr>
            <w:tcW w:w="850" w:type="dxa"/>
          </w:tcPr>
          <w:p w14:paraId="19326CE9" w14:textId="77777777" w:rsidR="007D3612" w:rsidRPr="00AD3263" w:rsidRDefault="007D3612" w:rsidP="00C748E8">
            <w:pPr>
              <w:keepNext/>
              <w:widowControl w:val="0"/>
              <w:ind w:left="-108"/>
              <w:jc w:val="center"/>
              <w:rPr>
                <w:rFonts w:ascii="Arial Narrow" w:hAnsi="Arial Narrow" w:cs="Arial"/>
                <w:b/>
                <w:sz w:val="20"/>
                <w:szCs w:val="20"/>
              </w:rPr>
            </w:pPr>
            <w:r w:rsidRPr="00AD3263">
              <w:rPr>
                <w:rFonts w:ascii="Arial Narrow" w:hAnsi="Arial Narrow" w:cs="Arial"/>
                <w:b/>
                <w:sz w:val="20"/>
                <w:szCs w:val="20"/>
              </w:rPr>
              <w:t>Max. qty packs</w:t>
            </w:r>
          </w:p>
        </w:tc>
        <w:tc>
          <w:tcPr>
            <w:tcW w:w="709" w:type="dxa"/>
          </w:tcPr>
          <w:p w14:paraId="3E88F46C" w14:textId="77777777" w:rsidR="007D3612" w:rsidRPr="00AD3263" w:rsidRDefault="007D3612" w:rsidP="00C748E8">
            <w:pPr>
              <w:keepNext/>
              <w:widowControl w:val="0"/>
              <w:ind w:left="-108"/>
              <w:jc w:val="center"/>
              <w:rPr>
                <w:rFonts w:ascii="Arial Narrow" w:hAnsi="Arial Narrow" w:cs="Arial"/>
                <w:b/>
                <w:sz w:val="20"/>
                <w:szCs w:val="20"/>
              </w:rPr>
            </w:pPr>
            <w:r w:rsidRPr="00AD3263">
              <w:rPr>
                <w:rFonts w:ascii="Arial Narrow" w:hAnsi="Arial Narrow" w:cs="Arial"/>
                <w:b/>
                <w:sz w:val="20"/>
                <w:szCs w:val="20"/>
              </w:rPr>
              <w:t>Max. qty units</w:t>
            </w:r>
          </w:p>
        </w:tc>
        <w:tc>
          <w:tcPr>
            <w:tcW w:w="709" w:type="dxa"/>
          </w:tcPr>
          <w:p w14:paraId="27159B8B" w14:textId="77777777" w:rsidR="007D3612" w:rsidRPr="00AD3263" w:rsidRDefault="007D3612" w:rsidP="00C748E8">
            <w:pPr>
              <w:keepNext/>
              <w:widowControl w:val="0"/>
              <w:ind w:left="-108"/>
              <w:jc w:val="center"/>
              <w:rPr>
                <w:rFonts w:ascii="Arial Narrow" w:hAnsi="Arial Narrow" w:cs="Arial"/>
                <w:b/>
                <w:sz w:val="20"/>
                <w:szCs w:val="20"/>
              </w:rPr>
            </w:pPr>
            <w:r w:rsidRPr="00AD3263">
              <w:rPr>
                <w:rFonts w:ascii="Arial Narrow" w:hAnsi="Arial Narrow" w:cs="Arial"/>
                <w:b/>
                <w:sz w:val="20"/>
                <w:szCs w:val="20"/>
              </w:rPr>
              <w:t>№.of</w:t>
            </w:r>
          </w:p>
          <w:p w14:paraId="02FCE1D7" w14:textId="77777777" w:rsidR="007D3612" w:rsidRPr="00AD3263" w:rsidRDefault="007D3612" w:rsidP="00C748E8">
            <w:pPr>
              <w:keepNext/>
              <w:widowControl w:val="0"/>
              <w:ind w:left="-108"/>
              <w:jc w:val="center"/>
              <w:rPr>
                <w:rFonts w:ascii="Arial Narrow" w:hAnsi="Arial Narrow" w:cs="Arial"/>
                <w:b/>
                <w:sz w:val="20"/>
                <w:szCs w:val="20"/>
              </w:rPr>
            </w:pPr>
            <w:proofErr w:type="spellStart"/>
            <w:r w:rsidRPr="00AD3263">
              <w:rPr>
                <w:rFonts w:ascii="Arial Narrow" w:hAnsi="Arial Narrow" w:cs="Arial"/>
                <w:b/>
                <w:sz w:val="20"/>
                <w:szCs w:val="20"/>
              </w:rPr>
              <w:t>Rpts</w:t>
            </w:r>
            <w:proofErr w:type="spellEnd"/>
          </w:p>
        </w:tc>
        <w:tc>
          <w:tcPr>
            <w:tcW w:w="1842" w:type="dxa"/>
          </w:tcPr>
          <w:p w14:paraId="3A70AD61" w14:textId="77777777" w:rsidR="007D3612" w:rsidRPr="00AD3263" w:rsidRDefault="007D3612" w:rsidP="00C748E8">
            <w:pPr>
              <w:keepNext/>
              <w:widowControl w:val="0"/>
              <w:rPr>
                <w:rFonts w:ascii="Arial Narrow" w:hAnsi="Arial Narrow" w:cs="Arial"/>
                <w:b/>
                <w:sz w:val="20"/>
                <w:szCs w:val="20"/>
                <w:lang w:val="fr-FR"/>
              </w:rPr>
            </w:pPr>
            <w:r w:rsidRPr="00AD3263">
              <w:rPr>
                <w:rFonts w:ascii="Arial Narrow" w:hAnsi="Arial Narrow" w:cs="Arial"/>
                <w:b/>
                <w:sz w:val="20"/>
                <w:szCs w:val="20"/>
              </w:rPr>
              <w:t>Available brands</w:t>
            </w:r>
          </w:p>
        </w:tc>
      </w:tr>
      <w:tr w:rsidR="007D3612" w:rsidRPr="00AD3263" w14:paraId="436A73C9" w14:textId="77777777" w:rsidTr="00C748E8">
        <w:trPr>
          <w:cantSplit/>
          <w:trHeight w:val="224"/>
        </w:trPr>
        <w:tc>
          <w:tcPr>
            <w:tcW w:w="9067" w:type="dxa"/>
            <w:gridSpan w:val="7"/>
          </w:tcPr>
          <w:p w14:paraId="26847ADF" w14:textId="77777777" w:rsidR="007D3612" w:rsidRPr="00AD3263" w:rsidRDefault="007D3612" w:rsidP="00C748E8">
            <w:pPr>
              <w:keepNext/>
              <w:widowControl w:val="0"/>
              <w:ind w:left="-57"/>
              <w:rPr>
                <w:rFonts w:ascii="Arial Narrow" w:hAnsi="Arial Narrow" w:cs="Arial"/>
                <w:sz w:val="20"/>
                <w:szCs w:val="20"/>
              </w:rPr>
            </w:pPr>
            <w:r w:rsidRPr="00AD3263">
              <w:rPr>
                <w:rFonts w:ascii="Arial Narrow" w:hAnsi="Arial Narrow" w:cs="Arial"/>
                <w:sz w:val="20"/>
                <w:szCs w:val="20"/>
              </w:rPr>
              <w:t>GLYCOMACROPEPTIDE FORMULA WITH AMINO ACIDS, VITAMINS, MINERALS, TRACE ELEMENTS, CARBOHYDRATE, FAT AND LOW PHENYLALANINE</w:t>
            </w:r>
          </w:p>
        </w:tc>
      </w:tr>
      <w:tr w:rsidR="007D3612" w:rsidRPr="00AD3263" w14:paraId="52DA1D2B" w14:textId="77777777" w:rsidTr="00C748E8">
        <w:trPr>
          <w:cantSplit/>
          <w:trHeight w:val="553"/>
        </w:trPr>
        <w:tc>
          <w:tcPr>
            <w:tcW w:w="3964" w:type="dxa"/>
            <w:gridSpan w:val="2"/>
          </w:tcPr>
          <w:p w14:paraId="65E8B764" w14:textId="77777777" w:rsidR="007D3612" w:rsidRPr="00506952" w:rsidRDefault="007D3612" w:rsidP="00C748E8">
            <w:pPr>
              <w:keepNext/>
              <w:widowControl w:val="0"/>
              <w:ind w:left="-57"/>
              <w:rPr>
                <w:rFonts w:ascii="Arial Narrow" w:hAnsi="Arial Narrow" w:cs="Arial"/>
                <w:i/>
                <w:iCs/>
                <w:sz w:val="20"/>
                <w:szCs w:val="20"/>
              </w:rPr>
            </w:pPr>
            <w:r w:rsidRPr="00506952">
              <w:rPr>
                <w:rFonts w:ascii="Arial Narrow" w:hAnsi="Arial Narrow" w:cs="Arial"/>
                <w:i/>
                <w:iCs/>
                <w:sz w:val="20"/>
                <w:szCs w:val="20"/>
              </w:rPr>
              <w:t>glycomacropeptide formula with amino acids, vitamins, minerals, trace elements, carbohydrate, fat and low phenylalanine powder for oral liquid, 30 x 33.4 g sachets</w:t>
            </w:r>
          </w:p>
        </w:tc>
        <w:tc>
          <w:tcPr>
            <w:tcW w:w="993" w:type="dxa"/>
          </w:tcPr>
          <w:p w14:paraId="2BD05B36" w14:textId="77777777" w:rsidR="007D3612" w:rsidRPr="00506952" w:rsidRDefault="007D3612" w:rsidP="00C748E8">
            <w:pPr>
              <w:keepNext/>
              <w:widowControl w:val="0"/>
              <w:jc w:val="center"/>
              <w:rPr>
                <w:rFonts w:ascii="Arial Narrow" w:hAnsi="Arial Narrow" w:cs="Arial"/>
                <w:i/>
                <w:iCs/>
                <w:sz w:val="20"/>
                <w:szCs w:val="20"/>
              </w:rPr>
            </w:pPr>
            <w:r w:rsidRPr="00506952">
              <w:rPr>
                <w:rFonts w:ascii="Arial Narrow" w:hAnsi="Arial Narrow" w:cs="Arial"/>
                <w:i/>
                <w:iCs/>
                <w:sz w:val="20"/>
                <w:szCs w:val="20"/>
              </w:rPr>
              <w:t>NEW</w:t>
            </w:r>
          </w:p>
        </w:tc>
        <w:tc>
          <w:tcPr>
            <w:tcW w:w="850" w:type="dxa"/>
          </w:tcPr>
          <w:p w14:paraId="7347DEF6" w14:textId="77777777" w:rsidR="007D3612" w:rsidRPr="00506952" w:rsidRDefault="007D3612" w:rsidP="00C748E8">
            <w:pPr>
              <w:keepNext/>
              <w:widowControl w:val="0"/>
              <w:jc w:val="center"/>
              <w:rPr>
                <w:rFonts w:ascii="Arial Narrow" w:hAnsi="Arial Narrow" w:cs="Arial"/>
                <w:i/>
                <w:iCs/>
                <w:sz w:val="20"/>
                <w:szCs w:val="20"/>
              </w:rPr>
            </w:pPr>
            <w:r w:rsidRPr="00506952">
              <w:rPr>
                <w:rFonts w:ascii="Arial Narrow" w:hAnsi="Arial Narrow" w:cs="Arial"/>
                <w:i/>
                <w:iCs/>
                <w:sz w:val="20"/>
                <w:szCs w:val="20"/>
              </w:rPr>
              <w:t>4</w:t>
            </w:r>
          </w:p>
        </w:tc>
        <w:tc>
          <w:tcPr>
            <w:tcW w:w="709" w:type="dxa"/>
          </w:tcPr>
          <w:p w14:paraId="274173FC" w14:textId="77777777" w:rsidR="007D3612" w:rsidRPr="00506952" w:rsidRDefault="007D3612" w:rsidP="00C748E8">
            <w:pPr>
              <w:keepNext/>
              <w:widowControl w:val="0"/>
              <w:jc w:val="center"/>
              <w:rPr>
                <w:rFonts w:ascii="Arial Narrow" w:hAnsi="Arial Narrow" w:cs="Arial"/>
                <w:i/>
                <w:iCs/>
                <w:sz w:val="20"/>
                <w:szCs w:val="20"/>
              </w:rPr>
            </w:pPr>
            <w:r w:rsidRPr="00506952">
              <w:rPr>
                <w:rFonts w:ascii="Arial Narrow" w:hAnsi="Arial Narrow" w:cs="Arial"/>
                <w:i/>
                <w:iCs/>
                <w:sz w:val="20"/>
                <w:szCs w:val="20"/>
              </w:rPr>
              <w:t>4</w:t>
            </w:r>
          </w:p>
        </w:tc>
        <w:tc>
          <w:tcPr>
            <w:tcW w:w="709" w:type="dxa"/>
          </w:tcPr>
          <w:p w14:paraId="150B64B0" w14:textId="77777777" w:rsidR="007D3612" w:rsidRPr="00506952" w:rsidRDefault="007D3612" w:rsidP="00C748E8">
            <w:pPr>
              <w:keepNext/>
              <w:widowControl w:val="0"/>
              <w:jc w:val="center"/>
              <w:rPr>
                <w:rFonts w:ascii="Arial Narrow" w:hAnsi="Arial Narrow" w:cs="Arial"/>
                <w:i/>
                <w:iCs/>
                <w:sz w:val="20"/>
                <w:szCs w:val="20"/>
              </w:rPr>
            </w:pPr>
            <w:r w:rsidRPr="00506952">
              <w:rPr>
                <w:rFonts w:ascii="Arial Narrow" w:hAnsi="Arial Narrow" w:cs="Arial"/>
                <w:i/>
                <w:iCs/>
                <w:sz w:val="20"/>
                <w:szCs w:val="20"/>
              </w:rPr>
              <w:t>5</w:t>
            </w:r>
          </w:p>
        </w:tc>
        <w:tc>
          <w:tcPr>
            <w:tcW w:w="1842" w:type="dxa"/>
          </w:tcPr>
          <w:p w14:paraId="71227B1E" w14:textId="18F04BE6" w:rsidR="007D3612" w:rsidRPr="00506952" w:rsidRDefault="00373A28" w:rsidP="00C748E8">
            <w:pPr>
              <w:keepNext/>
              <w:widowControl w:val="0"/>
              <w:rPr>
                <w:rFonts w:ascii="Arial Narrow" w:hAnsi="Arial Narrow" w:cs="Arial"/>
                <w:i/>
                <w:iCs/>
                <w:sz w:val="20"/>
                <w:szCs w:val="20"/>
              </w:rPr>
            </w:pPr>
            <w:r w:rsidRPr="00506952">
              <w:rPr>
                <w:rFonts w:ascii="Arial Narrow" w:hAnsi="Arial Narrow"/>
                <w:i/>
                <w:iCs/>
                <w:sz w:val="20"/>
                <w:szCs w:val="20"/>
              </w:rPr>
              <w:t>PKU GMPro ULTRA</w:t>
            </w:r>
          </w:p>
        </w:tc>
      </w:tr>
      <w:tr w:rsidR="007D3612" w:rsidRPr="00AD3263" w14:paraId="046B55DF" w14:textId="77777777" w:rsidTr="00C748E8">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149DCA6C" w14:textId="77777777" w:rsidR="007D3612" w:rsidRPr="00AD3263" w:rsidRDefault="007D3612" w:rsidP="00C748E8">
            <w:pPr>
              <w:keepNext/>
              <w:widowControl w:val="0"/>
              <w:rPr>
                <w:rFonts w:ascii="Arial Narrow" w:hAnsi="Arial Narrow" w:cs="Arial"/>
                <w:sz w:val="20"/>
                <w:szCs w:val="20"/>
              </w:rPr>
            </w:pPr>
          </w:p>
        </w:tc>
      </w:tr>
      <w:tr w:rsidR="007D3612" w:rsidRPr="00AD3263" w14:paraId="768E96BB" w14:textId="77777777" w:rsidTr="00C748E8">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tcPr>
          <w:p w14:paraId="24CA0E2D" w14:textId="1D274887" w:rsidR="007D3612" w:rsidRPr="00AD3263" w:rsidRDefault="007D3612" w:rsidP="00C748E8">
            <w:pPr>
              <w:keepNext/>
              <w:widowControl w:val="0"/>
              <w:rPr>
                <w:rFonts w:ascii="Arial Narrow" w:hAnsi="Arial Narrow" w:cs="Arial"/>
                <w:sz w:val="20"/>
                <w:szCs w:val="20"/>
              </w:rPr>
            </w:pPr>
            <w:r w:rsidRPr="00AD3263">
              <w:rPr>
                <w:rFonts w:ascii="Arial Narrow" w:hAnsi="Arial Narrow" w:cs="Arial"/>
                <w:sz w:val="20"/>
                <w:szCs w:val="20"/>
              </w:rPr>
              <w:t xml:space="preserve">Restriction Summary [new] / Treatment of Concept: </w:t>
            </w:r>
          </w:p>
        </w:tc>
      </w:tr>
      <w:tr w:rsidR="007D3612" w:rsidRPr="00AD3263" w14:paraId="6850F2F1" w14:textId="77777777" w:rsidTr="00C748E8">
        <w:tblPrEx>
          <w:tblCellMar>
            <w:top w:w="15" w:type="dxa"/>
            <w:left w:w="15" w:type="dxa"/>
            <w:bottom w:w="15" w:type="dxa"/>
            <w:right w:w="15" w:type="dxa"/>
          </w:tblCellMar>
          <w:tblLook w:val="04A0" w:firstRow="1" w:lastRow="0" w:firstColumn="1" w:lastColumn="0" w:noHBand="0" w:noVBand="1"/>
        </w:tblPrEx>
        <w:tc>
          <w:tcPr>
            <w:tcW w:w="1831" w:type="dxa"/>
            <w:tcBorders>
              <w:top w:val="single" w:sz="4" w:space="0" w:color="auto"/>
              <w:left w:val="single" w:sz="4" w:space="0" w:color="auto"/>
              <w:right w:val="single" w:sz="4" w:space="0" w:color="auto"/>
            </w:tcBorders>
          </w:tcPr>
          <w:p w14:paraId="57398196" w14:textId="071611BA" w:rsidR="007D3612" w:rsidRPr="00AD3263" w:rsidRDefault="007D3612" w:rsidP="00C748E8">
            <w:pPr>
              <w:keepNext/>
              <w:widowControl w:val="0"/>
              <w:jc w:val="center"/>
              <w:rPr>
                <w:rFonts w:ascii="Arial Narrow" w:hAnsi="Arial Narrow" w:cs="Arial"/>
                <w:b/>
                <w:sz w:val="18"/>
                <w:szCs w:val="18"/>
              </w:rPr>
            </w:pPr>
          </w:p>
        </w:tc>
        <w:tc>
          <w:tcPr>
            <w:tcW w:w="7236" w:type="dxa"/>
            <w:gridSpan w:val="6"/>
            <w:tcBorders>
              <w:top w:val="single" w:sz="4" w:space="0" w:color="auto"/>
              <w:left w:val="single" w:sz="4" w:space="0" w:color="auto"/>
              <w:bottom w:val="single" w:sz="4" w:space="0" w:color="auto"/>
              <w:right w:val="single" w:sz="4" w:space="0" w:color="auto"/>
            </w:tcBorders>
          </w:tcPr>
          <w:p w14:paraId="542D48DC" w14:textId="77777777" w:rsidR="007D3612" w:rsidRPr="00AD3263" w:rsidRDefault="007D3612" w:rsidP="00C748E8">
            <w:pPr>
              <w:keepNext/>
              <w:widowControl w:val="0"/>
              <w:rPr>
                <w:rFonts w:ascii="Arial Narrow" w:hAnsi="Arial Narrow" w:cs="Arial"/>
                <w:sz w:val="20"/>
                <w:szCs w:val="20"/>
              </w:rPr>
            </w:pPr>
            <w:r w:rsidRPr="00AD3263">
              <w:rPr>
                <w:rFonts w:ascii="Arial Narrow" w:hAnsi="Arial Narrow" w:cs="Arial"/>
                <w:b/>
                <w:sz w:val="20"/>
                <w:szCs w:val="20"/>
              </w:rPr>
              <w:t xml:space="preserve">Category / Program:   </w:t>
            </w:r>
            <w:r w:rsidRPr="00AD3263">
              <w:rPr>
                <w:rFonts w:ascii="Arial Narrow" w:hAnsi="Arial Narrow" w:cs="Arial"/>
                <w:sz w:val="20"/>
                <w:szCs w:val="20"/>
              </w:rPr>
              <w:t>GENERAL – General Schedule (Code GE)</w:t>
            </w:r>
            <w:r w:rsidRPr="00AD3263">
              <w:rPr>
                <w:rFonts w:ascii="Arial Narrow" w:hAnsi="Arial Narrow" w:cs="Arial"/>
                <w:color w:val="FF0000"/>
                <w:sz w:val="20"/>
                <w:szCs w:val="20"/>
              </w:rPr>
              <w:t xml:space="preserve"> </w:t>
            </w:r>
          </w:p>
        </w:tc>
      </w:tr>
      <w:tr w:rsidR="007D3612" w:rsidRPr="00AD3263" w14:paraId="767AF1F4" w14:textId="77777777" w:rsidTr="00C748E8">
        <w:tblPrEx>
          <w:tblCellMar>
            <w:top w:w="15" w:type="dxa"/>
            <w:left w:w="15" w:type="dxa"/>
            <w:bottom w:w="15" w:type="dxa"/>
            <w:right w:w="15" w:type="dxa"/>
          </w:tblCellMar>
          <w:tblLook w:val="04A0" w:firstRow="1" w:lastRow="0" w:firstColumn="1" w:lastColumn="0" w:noHBand="0" w:noVBand="1"/>
        </w:tblPrEx>
        <w:trPr>
          <w:trHeight w:val="240"/>
        </w:trPr>
        <w:tc>
          <w:tcPr>
            <w:tcW w:w="1831" w:type="dxa"/>
            <w:tcBorders>
              <w:left w:val="single" w:sz="4" w:space="0" w:color="auto"/>
              <w:right w:val="single" w:sz="4" w:space="0" w:color="auto"/>
            </w:tcBorders>
          </w:tcPr>
          <w:p w14:paraId="0484EB49" w14:textId="77777777" w:rsidR="007D3612" w:rsidRPr="00AD3263" w:rsidRDefault="007D3612" w:rsidP="00C748E8">
            <w:pPr>
              <w:keepNext/>
              <w:widowControl w:val="0"/>
              <w:jc w:val="center"/>
              <w:rPr>
                <w:rFonts w:ascii="Arial Narrow" w:hAnsi="Arial Narrow" w:cs="Arial"/>
                <w:b/>
                <w:sz w:val="18"/>
                <w:szCs w:val="18"/>
              </w:rPr>
            </w:pPr>
          </w:p>
        </w:tc>
        <w:tc>
          <w:tcPr>
            <w:tcW w:w="7236" w:type="dxa"/>
            <w:gridSpan w:val="6"/>
            <w:tcBorders>
              <w:top w:val="single" w:sz="4" w:space="0" w:color="auto"/>
              <w:left w:val="single" w:sz="4" w:space="0" w:color="auto"/>
              <w:bottom w:val="single" w:sz="4" w:space="0" w:color="auto"/>
              <w:right w:val="single" w:sz="4" w:space="0" w:color="auto"/>
            </w:tcBorders>
          </w:tcPr>
          <w:p w14:paraId="7A42F9ED" w14:textId="77777777" w:rsidR="007D3612" w:rsidRPr="00AD3263" w:rsidRDefault="007D3612" w:rsidP="00C748E8">
            <w:pPr>
              <w:keepNext/>
              <w:widowControl w:val="0"/>
              <w:rPr>
                <w:rFonts w:ascii="Arial Narrow" w:hAnsi="Arial Narrow" w:cs="Arial"/>
                <w:b/>
                <w:sz w:val="20"/>
                <w:szCs w:val="20"/>
              </w:rPr>
            </w:pPr>
            <w:r w:rsidRPr="00AD3263">
              <w:rPr>
                <w:rFonts w:ascii="Arial Narrow" w:hAnsi="Arial Narrow" w:cs="Arial"/>
                <w:b/>
                <w:sz w:val="20"/>
                <w:szCs w:val="20"/>
              </w:rPr>
              <w:t xml:space="preserve">Prescriber type:   </w:t>
            </w:r>
            <w:r w:rsidRPr="00AD3263">
              <w:rPr>
                <w:rFonts w:ascii="Arial Narrow" w:hAnsi="Arial Narrow" w:cs="Arial"/>
                <w:sz w:val="20"/>
                <w:szCs w:val="20"/>
              </w:rPr>
              <w:fldChar w:fldCharType="begin">
                <w:ffData>
                  <w:name w:val=""/>
                  <w:enabled/>
                  <w:calcOnExit w:val="0"/>
                  <w:checkBox>
                    <w:sizeAuto/>
                    <w:default w:val="1"/>
                  </w:checkBox>
                </w:ffData>
              </w:fldChar>
            </w:r>
            <w:r w:rsidRPr="00AD3263">
              <w:rPr>
                <w:rFonts w:ascii="Arial Narrow" w:hAnsi="Arial Narrow" w:cs="Arial"/>
                <w:sz w:val="20"/>
                <w:szCs w:val="20"/>
              </w:rPr>
              <w:instrText xml:space="preserve"> FORMCHECKBOX </w:instrText>
            </w:r>
            <w:r w:rsidR="00191474">
              <w:rPr>
                <w:rFonts w:ascii="Arial Narrow" w:hAnsi="Arial Narrow" w:cs="Arial"/>
                <w:sz w:val="20"/>
                <w:szCs w:val="20"/>
              </w:rPr>
            </w:r>
            <w:r w:rsidR="00191474">
              <w:rPr>
                <w:rFonts w:ascii="Arial Narrow" w:hAnsi="Arial Narrow" w:cs="Arial"/>
                <w:sz w:val="20"/>
                <w:szCs w:val="20"/>
              </w:rPr>
              <w:fldChar w:fldCharType="separate"/>
            </w:r>
            <w:r w:rsidRPr="00AD3263">
              <w:rPr>
                <w:rFonts w:ascii="Arial Narrow" w:hAnsi="Arial Narrow" w:cs="Arial"/>
                <w:sz w:val="20"/>
                <w:szCs w:val="20"/>
              </w:rPr>
              <w:fldChar w:fldCharType="end"/>
            </w:r>
            <w:r w:rsidRPr="00AD3263">
              <w:rPr>
                <w:rFonts w:ascii="Arial Narrow" w:hAnsi="Arial Narrow" w:cs="Arial"/>
                <w:sz w:val="20"/>
                <w:szCs w:val="20"/>
              </w:rPr>
              <w:t xml:space="preserve">Medical Practitioners    </w:t>
            </w:r>
            <w:r w:rsidRPr="00AD3263">
              <w:rPr>
                <w:rFonts w:ascii="Arial Narrow" w:hAnsi="Arial Narrow" w:cs="Arial"/>
                <w:sz w:val="20"/>
                <w:szCs w:val="20"/>
              </w:rPr>
              <w:fldChar w:fldCharType="begin">
                <w:ffData>
                  <w:name w:val=""/>
                  <w:enabled/>
                  <w:calcOnExit w:val="0"/>
                  <w:checkBox>
                    <w:sizeAuto/>
                    <w:default w:val="1"/>
                  </w:checkBox>
                </w:ffData>
              </w:fldChar>
            </w:r>
            <w:r w:rsidRPr="00AD3263">
              <w:rPr>
                <w:rFonts w:ascii="Arial Narrow" w:hAnsi="Arial Narrow" w:cs="Arial"/>
                <w:sz w:val="20"/>
                <w:szCs w:val="20"/>
              </w:rPr>
              <w:instrText xml:space="preserve"> FORMCHECKBOX </w:instrText>
            </w:r>
            <w:r w:rsidR="00191474">
              <w:rPr>
                <w:rFonts w:ascii="Arial Narrow" w:hAnsi="Arial Narrow" w:cs="Arial"/>
                <w:sz w:val="20"/>
                <w:szCs w:val="20"/>
              </w:rPr>
            </w:r>
            <w:r w:rsidR="00191474">
              <w:rPr>
                <w:rFonts w:ascii="Arial Narrow" w:hAnsi="Arial Narrow" w:cs="Arial"/>
                <w:sz w:val="20"/>
                <w:szCs w:val="20"/>
              </w:rPr>
              <w:fldChar w:fldCharType="separate"/>
            </w:r>
            <w:r w:rsidRPr="00AD3263">
              <w:rPr>
                <w:rFonts w:ascii="Arial Narrow" w:hAnsi="Arial Narrow" w:cs="Arial"/>
                <w:sz w:val="20"/>
                <w:szCs w:val="20"/>
              </w:rPr>
              <w:fldChar w:fldCharType="end"/>
            </w:r>
            <w:r w:rsidRPr="00AD3263">
              <w:rPr>
                <w:rFonts w:ascii="Arial Narrow" w:hAnsi="Arial Narrow" w:cs="Arial"/>
                <w:sz w:val="20"/>
                <w:szCs w:val="20"/>
              </w:rPr>
              <w:t xml:space="preserve">Nurse practitioners   </w:t>
            </w:r>
          </w:p>
        </w:tc>
      </w:tr>
      <w:tr w:rsidR="007D3612" w:rsidRPr="00AD3263" w14:paraId="7AE1D7FE" w14:textId="77777777" w:rsidTr="00C748E8">
        <w:tblPrEx>
          <w:tblCellMar>
            <w:top w:w="15" w:type="dxa"/>
            <w:left w:w="15" w:type="dxa"/>
            <w:bottom w:w="15" w:type="dxa"/>
            <w:right w:w="15" w:type="dxa"/>
          </w:tblCellMar>
          <w:tblLook w:val="04A0" w:firstRow="1" w:lastRow="0" w:firstColumn="1" w:lastColumn="0" w:noHBand="0" w:noVBand="1"/>
        </w:tblPrEx>
        <w:tc>
          <w:tcPr>
            <w:tcW w:w="1831" w:type="dxa"/>
            <w:tcBorders>
              <w:left w:val="single" w:sz="4" w:space="0" w:color="auto"/>
              <w:bottom w:val="single" w:sz="4" w:space="0" w:color="auto"/>
              <w:right w:val="single" w:sz="4" w:space="0" w:color="auto"/>
            </w:tcBorders>
          </w:tcPr>
          <w:p w14:paraId="65A11D64" w14:textId="77777777" w:rsidR="007D3612" w:rsidRPr="00AD3263" w:rsidRDefault="007D3612" w:rsidP="00C748E8">
            <w:pPr>
              <w:keepNext/>
              <w:widowControl w:val="0"/>
              <w:jc w:val="center"/>
              <w:rPr>
                <w:rFonts w:ascii="Arial Narrow" w:hAnsi="Arial Narrow" w:cs="Arial"/>
                <w:b/>
                <w:sz w:val="18"/>
                <w:szCs w:val="18"/>
              </w:rPr>
            </w:pPr>
          </w:p>
        </w:tc>
        <w:tc>
          <w:tcPr>
            <w:tcW w:w="7236" w:type="dxa"/>
            <w:gridSpan w:val="6"/>
            <w:tcBorders>
              <w:top w:val="single" w:sz="4" w:space="0" w:color="auto"/>
              <w:left w:val="single" w:sz="4" w:space="0" w:color="auto"/>
              <w:bottom w:val="single" w:sz="4" w:space="0" w:color="auto"/>
              <w:right w:val="single" w:sz="4" w:space="0" w:color="auto"/>
            </w:tcBorders>
          </w:tcPr>
          <w:p w14:paraId="70F179FD" w14:textId="77777777" w:rsidR="007D3612" w:rsidRPr="00AD3263" w:rsidRDefault="007D3612" w:rsidP="00C748E8">
            <w:pPr>
              <w:keepNext/>
              <w:widowControl w:val="0"/>
              <w:rPr>
                <w:rFonts w:ascii="Arial Narrow" w:eastAsia="Calibri" w:hAnsi="Arial Narrow" w:cs="Arial"/>
                <w:sz w:val="20"/>
                <w:szCs w:val="20"/>
              </w:rPr>
            </w:pPr>
            <w:r w:rsidRPr="00AD3263">
              <w:rPr>
                <w:rFonts w:ascii="Arial Narrow" w:hAnsi="Arial Narrow" w:cs="Arial"/>
                <w:b/>
                <w:sz w:val="20"/>
                <w:szCs w:val="20"/>
              </w:rPr>
              <w:t xml:space="preserve">Restriction type: </w:t>
            </w:r>
            <w:r w:rsidRPr="00AD3263">
              <w:rPr>
                <w:rFonts w:ascii="Arial Narrow" w:eastAsia="Calibri" w:hAnsi="Arial Narrow" w:cs="Arial"/>
                <w:sz w:val="20"/>
                <w:szCs w:val="20"/>
              </w:rPr>
              <w:fldChar w:fldCharType="begin">
                <w:ffData>
                  <w:name w:val=""/>
                  <w:enabled/>
                  <w:calcOnExit w:val="0"/>
                  <w:checkBox>
                    <w:sizeAuto/>
                    <w:default w:val="1"/>
                  </w:checkBox>
                </w:ffData>
              </w:fldChar>
            </w:r>
            <w:r w:rsidRPr="00AD3263">
              <w:rPr>
                <w:rFonts w:ascii="Arial Narrow" w:eastAsia="Calibri" w:hAnsi="Arial Narrow" w:cs="Arial"/>
                <w:sz w:val="20"/>
                <w:szCs w:val="20"/>
              </w:rPr>
              <w:instrText xml:space="preserve"> FORMCHECKBOX </w:instrText>
            </w:r>
            <w:r w:rsidR="00191474">
              <w:rPr>
                <w:rFonts w:ascii="Arial Narrow" w:eastAsia="Calibri" w:hAnsi="Arial Narrow" w:cs="Arial"/>
                <w:sz w:val="20"/>
                <w:szCs w:val="20"/>
              </w:rPr>
            </w:r>
            <w:r w:rsidR="00191474">
              <w:rPr>
                <w:rFonts w:ascii="Arial Narrow" w:eastAsia="Calibri" w:hAnsi="Arial Narrow" w:cs="Arial"/>
                <w:sz w:val="20"/>
                <w:szCs w:val="20"/>
              </w:rPr>
              <w:fldChar w:fldCharType="separate"/>
            </w:r>
            <w:r w:rsidRPr="00AD3263">
              <w:rPr>
                <w:rFonts w:ascii="Arial Narrow" w:eastAsia="Calibri" w:hAnsi="Arial Narrow" w:cs="Arial"/>
                <w:sz w:val="20"/>
                <w:szCs w:val="20"/>
              </w:rPr>
              <w:fldChar w:fldCharType="end"/>
            </w:r>
            <w:r w:rsidRPr="00AD3263">
              <w:rPr>
                <w:rFonts w:ascii="Arial Narrow" w:eastAsia="Calibri" w:hAnsi="Arial Narrow" w:cs="Arial"/>
                <w:sz w:val="20"/>
                <w:szCs w:val="20"/>
              </w:rPr>
              <w:t>Restricted benefit</w:t>
            </w:r>
          </w:p>
        </w:tc>
      </w:tr>
      <w:tr w:rsidR="007D3612" w:rsidRPr="00AD3263" w14:paraId="3A7D5BC6" w14:textId="77777777" w:rsidTr="000F12BA">
        <w:tblPrEx>
          <w:tblCellMar>
            <w:top w:w="15" w:type="dxa"/>
            <w:left w:w="15" w:type="dxa"/>
            <w:bottom w:w="15" w:type="dxa"/>
            <w:right w:w="15" w:type="dxa"/>
          </w:tblCellMar>
          <w:tblLook w:val="04A0" w:firstRow="1" w:lastRow="0" w:firstColumn="1" w:lastColumn="0" w:noHBand="0" w:noVBand="1"/>
        </w:tblPrEx>
        <w:tc>
          <w:tcPr>
            <w:tcW w:w="1831" w:type="dxa"/>
            <w:vAlign w:val="center"/>
          </w:tcPr>
          <w:p w14:paraId="4528197E" w14:textId="74B2C643" w:rsidR="007D3612" w:rsidRPr="00AD3263" w:rsidRDefault="007D3612" w:rsidP="00C748E8">
            <w:pPr>
              <w:keepNext/>
              <w:widowControl w:val="0"/>
              <w:jc w:val="center"/>
              <w:rPr>
                <w:rFonts w:ascii="Arial Narrow" w:hAnsi="Arial Narrow"/>
                <w:b/>
                <w:bCs/>
                <w:color w:val="333333"/>
                <w:sz w:val="18"/>
                <w:szCs w:val="18"/>
              </w:rPr>
            </w:pPr>
          </w:p>
        </w:tc>
        <w:tc>
          <w:tcPr>
            <w:tcW w:w="7236" w:type="dxa"/>
            <w:gridSpan w:val="6"/>
            <w:vAlign w:val="center"/>
            <w:hideMark/>
          </w:tcPr>
          <w:p w14:paraId="2E66D81B" w14:textId="77777777" w:rsidR="007D3612" w:rsidRPr="00AD3263" w:rsidRDefault="007D3612" w:rsidP="00C748E8">
            <w:pPr>
              <w:keepNext/>
              <w:widowControl w:val="0"/>
              <w:rPr>
                <w:rFonts w:ascii="Arial Narrow" w:hAnsi="Arial Narrow"/>
                <w:color w:val="333333"/>
                <w:sz w:val="20"/>
                <w:szCs w:val="20"/>
              </w:rPr>
            </w:pPr>
            <w:r w:rsidRPr="00AD3263">
              <w:rPr>
                <w:rFonts w:ascii="Arial Narrow" w:hAnsi="Arial Narrow"/>
                <w:b/>
                <w:bCs/>
                <w:color w:val="333333"/>
                <w:sz w:val="20"/>
                <w:szCs w:val="20"/>
              </w:rPr>
              <w:t>Indication:</w:t>
            </w:r>
            <w:r w:rsidRPr="00AD3263">
              <w:rPr>
                <w:rFonts w:ascii="Arial Narrow" w:hAnsi="Arial Narrow"/>
                <w:color w:val="333333"/>
                <w:sz w:val="20"/>
                <w:szCs w:val="20"/>
              </w:rPr>
              <w:t xml:space="preserve"> Phenylketonuria</w:t>
            </w:r>
          </w:p>
        </w:tc>
      </w:tr>
    </w:tbl>
    <w:p w14:paraId="36A3C8D7" w14:textId="6508F199" w:rsidR="00AD3263" w:rsidRDefault="00AD3263" w:rsidP="003127BE">
      <w:pPr>
        <w:widowControl w:val="0"/>
        <w:rPr>
          <w:rFonts w:asciiTheme="minorHAnsi" w:hAnsiTheme="minorHAnsi" w:cs="Arial"/>
          <w:snapToGrid w:val="0"/>
          <w:lang w:val="en-GB"/>
        </w:rPr>
      </w:pPr>
    </w:p>
    <w:p w14:paraId="762F4FC4" w14:textId="6456D746" w:rsidR="002D7D55" w:rsidRPr="000F12BA" w:rsidRDefault="003127BE" w:rsidP="000F12BA">
      <w:pPr>
        <w:widowControl w:val="0"/>
        <w:rPr>
          <w:rFonts w:asciiTheme="minorHAnsi" w:hAnsiTheme="minorHAnsi" w:cs="Arial"/>
          <w:snapToGrid w:val="0"/>
          <w:lang w:val="en-GB"/>
        </w:rPr>
      </w:pPr>
      <w:r w:rsidRPr="00936FC8">
        <w:rPr>
          <w:rFonts w:asciiTheme="minorHAnsi" w:hAnsiTheme="minorHAnsi" w:cs="Arial"/>
          <w:b/>
          <w:i/>
        </w:rPr>
        <w:t>This restriction may be subject to further review. Should there be any changes made to the restriction the Sponsor will be informed.</w:t>
      </w:r>
    </w:p>
    <w:p w14:paraId="2D9B6AF8" w14:textId="77777777" w:rsidR="000F12BA" w:rsidRDefault="000F12BA" w:rsidP="000F12BA">
      <w:pPr>
        <w:pStyle w:val="2-SectionHeading"/>
        <w:rPr>
          <w:bCs/>
          <w:lang w:val="en-GB"/>
        </w:rPr>
      </w:pPr>
      <w:r w:rsidRPr="00C07617">
        <w:t>Context for Decision</w:t>
      </w:r>
    </w:p>
    <w:p w14:paraId="3E638136" w14:textId="77777777" w:rsidR="000F12BA" w:rsidRPr="007129F2" w:rsidRDefault="000F12BA" w:rsidP="000F12BA">
      <w:pPr>
        <w:widowControl w:val="0"/>
        <w:spacing w:after="120"/>
        <w:ind w:left="720"/>
        <w:contextualSpacing/>
        <w:rPr>
          <w:rFonts w:asciiTheme="minorHAnsi" w:hAnsiTheme="minorHAnsi" w:cs="Arial"/>
          <w:bCs/>
          <w:lang w:val="en-GB"/>
        </w:rPr>
      </w:pPr>
      <w:r w:rsidRPr="007129F2">
        <w:rPr>
          <w:rFonts w:asciiTheme="minorHAnsi" w:hAnsiTheme="minorHAnsi" w:cs="Arial"/>
          <w:bCs/>
          <w:lang w:val="en-GB"/>
        </w:rPr>
        <w:t xml:space="preserve">The PBAC helps decide whether and, if so, how medicines should be subsidised through the Pharmaceutical Benefits Scheme (PBS) in Australia. It considers applications </w:t>
      </w:r>
      <w:r w:rsidRPr="00BB7E19">
        <w:rPr>
          <w:rFonts w:asciiTheme="minorHAnsi" w:hAnsiTheme="minorHAnsi" w:cs="Arial"/>
          <w:bCs/>
          <w:snapToGrid w:val="0"/>
        </w:rPr>
        <w:t>regarding</w:t>
      </w:r>
      <w:r w:rsidRPr="007129F2">
        <w:rPr>
          <w:rFonts w:asciiTheme="minorHAnsi" w:hAnsiTheme="minorHAnsi" w:cs="Arial"/>
          <w:bCs/>
          <w:lang w:val="en-GB"/>
        </w:rPr>
        <w:t xml:space="preserve"> the listing of medicines on the PBS and provides advice about other matters relating to the operation of the PBS in this context. A PBAC decision in relation to PBS listings does not necessarily represent a final PBAC view about the </w:t>
      </w:r>
      <w:r w:rsidRPr="007129F2">
        <w:rPr>
          <w:rFonts w:asciiTheme="minorHAnsi" w:hAnsiTheme="minorHAnsi" w:cs="Arial"/>
          <w:bCs/>
          <w:lang w:val="en-GB"/>
        </w:rPr>
        <w:lastRenderedPageBreak/>
        <w:t>merits of the medicine or the circumstances in which it should be made available through the PBS. The PBAC welcomes applications containing new information at any time.</w:t>
      </w:r>
    </w:p>
    <w:p w14:paraId="0A60DBA6" w14:textId="77777777" w:rsidR="000F12BA" w:rsidRPr="00C07617" w:rsidRDefault="000F12BA" w:rsidP="000F12BA">
      <w:pPr>
        <w:pStyle w:val="2-SectionHeading"/>
        <w:rPr>
          <w:b w:val="0"/>
        </w:rPr>
      </w:pPr>
      <w:r>
        <w:t>Sponsor’s Comment</w:t>
      </w:r>
    </w:p>
    <w:p w14:paraId="6844AC85" w14:textId="4E7654F9" w:rsidR="000F12BA" w:rsidRPr="00191474" w:rsidRDefault="000F12BA" w:rsidP="00191474">
      <w:pPr>
        <w:widowControl w:val="0"/>
        <w:spacing w:after="120"/>
        <w:ind w:left="720"/>
        <w:contextualSpacing/>
        <w:rPr>
          <w:rFonts w:asciiTheme="minorHAnsi" w:hAnsiTheme="minorHAnsi" w:cs="Arial"/>
          <w:bCs/>
        </w:rPr>
      </w:pPr>
      <w:r w:rsidRPr="00BB7E19">
        <w:rPr>
          <w:rFonts w:asciiTheme="minorHAnsi" w:hAnsiTheme="minorHAnsi" w:cs="Arial"/>
          <w:bCs/>
        </w:rPr>
        <w:t xml:space="preserve">The </w:t>
      </w:r>
      <w:r w:rsidRPr="00BB7E19">
        <w:rPr>
          <w:rFonts w:asciiTheme="minorHAnsi" w:hAnsiTheme="minorHAnsi" w:cs="Arial"/>
          <w:bCs/>
          <w:lang w:val="en-GB"/>
        </w:rPr>
        <w:t>sponsor</w:t>
      </w:r>
      <w:r w:rsidRPr="00BB7E19">
        <w:rPr>
          <w:rFonts w:asciiTheme="minorHAnsi" w:hAnsiTheme="minorHAnsi" w:cs="Arial"/>
          <w:bCs/>
        </w:rPr>
        <w:t xml:space="preserve"> had</w:t>
      </w:r>
      <w:r w:rsidRPr="00C07617">
        <w:rPr>
          <w:rFonts w:asciiTheme="minorHAnsi" w:hAnsiTheme="minorHAnsi" w:cs="Arial"/>
          <w:bCs/>
        </w:rPr>
        <w:t xml:space="preserve"> no comment.</w:t>
      </w:r>
    </w:p>
    <w:sectPr w:rsidR="000F12BA" w:rsidRPr="00191474"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C0C87" w14:textId="77777777" w:rsidR="00065D10" w:rsidRDefault="00065D10">
      <w:r>
        <w:separator/>
      </w:r>
    </w:p>
    <w:p w14:paraId="0BA98438" w14:textId="77777777" w:rsidR="00065D10" w:rsidRDefault="00065D10"/>
  </w:endnote>
  <w:endnote w:type="continuationSeparator" w:id="0">
    <w:p w14:paraId="5BC9C01C" w14:textId="77777777" w:rsidR="00065D10" w:rsidRDefault="00065D10">
      <w:r>
        <w:continuationSeparator/>
      </w:r>
    </w:p>
    <w:p w14:paraId="65DBD454" w14:textId="77777777" w:rsidR="00065D10" w:rsidRDefault="00065D10"/>
  </w:endnote>
  <w:endnote w:type="continuationNotice" w:id="1">
    <w:p w14:paraId="2C82A84F" w14:textId="77777777" w:rsidR="00065D10" w:rsidRDefault="00065D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065D10" w14:paraId="4075D3FE" w14:textId="77777777" w:rsidTr="005A3173">
      <w:trPr>
        <w:trHeight w:val="151"/>
      </w:trPr>
      <w:tc>
        <w:tcPr>
          <w:tcW w:w="2250" w:type="pct"/>
          <w:tcBorders>
            <w:top w:val="nil"/>
            <w:left w:val="nil"/>
            <w:bottom w:val="single" w:sz="4" w:space="0" w:color="4F81BD"/>
            <w:right w:val="nil"/>
          </w:tcBorders>
        </w:tcPr>
        <w:p w14:paraId="096D0DDE" w14:textId="77777777" w:rsidR="00065D10" w:rsidRPr="005A3173" w:rsidRDefault="00065D10"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065D10" w:rsidRPr="005A3173" w:rsidRDefault="00065D1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065D10" w:rsidRPr="005A3173" w:rsidRDefault="00065D10" w:rsidP="005A3173">
          <w:pPr>
            <w:pStyle w:val="Header"/>
            <w:spacing w:line="276" w:lineRule="auto"/>
            <w:rPr>
              <w:rFonts w:eastAsia="MS Gothic"/>
              <w:b/>
              <w:bCs/>
              <w:color w:val="4F81BD"/>
            </w:rPr>
          </w:pPr>
        </w:p>
      </w:tc>
    </w:tr>
    <w:tr w:rsidR="00065D10" w14:paraId="32EF4DB8" w14:textId="77777777" w:rsidTr="005A3173">
      <w:trPr>
        <w:trHeight w:val="150"/>
      </w:trPr>
      <w:tc>
        <w:tcPr>
          <w:tcW w:w="2250" w:type="pct"/>
          <w:tcBorders>
            <w:top w:val="single" w:sz="4" w:space="0" w:color="4F81BD"/>
            <w:left w:val="nil"/>
            <w:bottom w:val="nil"/>
            <w:right w:val="nil"/>
          </w:tcBorders>
        </w:tcPr>
        <w:p w14:paraId="03528A4C" w14:textId="77777777" w:rsidR="00065D10" w:rsidRPr="005A3173" w:rsidRDefault="00065D10" w:rsidP="005A3173">
          <w:pPr>
            <w:pStyle w:val="Header"/>
            <w:spacing w:line="276" w:lineRule="auto"/>
            <w:rPr>
              <w:rFonts w:eastAsia="MS Gothic"/>
              <w:b/>
              <w:bCs/>
              <w:color w:val="4F81BD"/>
            </w:rPr>
          </w:pPr>
        </w:p>
      </w:tc>
      <w:tc>
        <w:tcPr>
          <w:tcW w:w="0" w:type="auto"/>
          <w:vMerge/>
          <w:vAlign w:val="center"/>
          <w:hideMark/>
        </w:tcPr>
        <w:p w14:paraId="109042FB" w14:textId="77777777" w:rsidR="00065D10" w:rsidRPr="005A3173" w:rsidRDefault="00065D10" w:rsidP="005A3173">
          <w:pPr>
            <w:rPr>
              <w:color w:val="365F91"/>
              <w:sz w:val="22"/>
              <w:szCs w:val="22"/>
            </w:rPr>
          </w:pPr>
        </w:p>
      </w:tc>
      <w:tc>
        <w:tcPr>
          <w:tcW w:w="2250" w:type="pct"/>
          <w:tcBorders>
            <w:top w:val="single" w:sz="4" w:space="0" w:color="4F81BD"/>
            <w:left w:val="nil"/>
            <w:bottom w:val="nil"/>
            <w:right w:val="nil"/>
          </w:tcBorders>
        </w:tcPr>
        <w:p w14:paraId="09664199" w14:textId="77777777" w:rsidR="00065D10" w:rsidRPr="005A3173" w:rsidRDefault="00065D10" w:rsidP="005A3173">
          <w:pPr>
            <w:pStyle w:val="Header"/>
            <w:spacing w:line="276" w:lineRule="auto"/>
            <w:rPr>
              <w:rFonts w:eastAsia="MS Gothic"/>
              <w:b/>
              <w:bCs/>
              <w:color w:val="4F81BD"/>
            </w:rPr>
          </w:pPr>
        </w:p>
      </w:tc>
    </w:tr>
  </w:tbl>
  <w:p w14:paraId="21855C18" w14:textId="77777777" w:rsidR="00065D10" w:rsidRDefault="00065D10"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065D10" w:rsidRDefault="00065D10">
    <w:pPr>
      <w:pStyle w:val="Footer"/>
    </w:pPr>
  </w:p>
  <w:p w14:paraId="48FFA445" w14:textId="77777777" w:rsidR="00065D10" w:rsidRDefault="00065D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2FBA1" w14:textId="77777777" w:rsidR="00AD3263" w:rsidRDefault="00AD3263">
    <w:pPr>
      <w:pStyle w:val="Footer"/>
      <w:jc w:val="center"/>
    </w:pPr>
  </w:p>
  <w:sdt>
    <w:sdtPr>
      <w:id w:val="-1153676946"/>
      <w:docPartObj>
        <w:docPartGallery w:val="Page Numbers (Bottom of Page)"/>
        <w:docPartUnique/>
      </w:docPartObj>
    </w:sdtPr>
    <w:sdtEndPr>
      <w:rPr>
        <w:b/>
        <w:bCs/>
        <w:noProof/>
      </w:rPr>
    </w:sdtEndPr>
    <w:sdtContent>
      <w:p w14:paraId="355827FE" w14:textId="3A41E72B" w:rsidR="00065D10" w:rsidRPr="00AD3263" w:rsidRDefault="00AD3263" w:rsidP="00AD3263">
        <w:pPr>
          <w:pStyle w:val="Footer"/>
          <w:jc w:val="center"/>
          <w:rPr>
            <w:b/>
            <w:bCs/>
          </w:rPr>
        </w:pPr>
        <w:r w:rsidRPr="00AD3263">
          <w:rPr>
            <w:b/>
            <w:bCs/>
          </w:rPr>
          <w:fldChar w:fldCharType="begin"/>
        </w:r>
        <w:r w:rsidRPr="00AD3263">
          <w:rPr>
            <w:b/>
            <w:bCs/>
          </w:rPr>
          <w:instrText xml:space="preserve"> PAGE   \* MERGEFORMAT </w:instrText>
        </w:r>
        <w:r w:rsidRPr="00AD3263">
          <w:rPr>
            <w:b/>
            <w:bCs/>
          </w:rPr>
          <w:fldChar w:fldCharType="separate"/>
        </w:r>
        <w:r w:rsidR="0021134E">
          <w:rPr>
            <w:b/>
            <w:bCs/>
            <w:noProof/>
          </w:rPr>
          <w:t>6</w:t>
        </w:r>
        <w:r w:rsidRPr="00AD3263">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887"/>
      <w:gridCol w:w="1252"/>
      <w:gridCol w:w="3887"/>
    </w:tblGrid>
    <w:tr w:rsidR="00065D10" w14:paraId="1B1A9BFB" w14:textId="77777777" w:rsidTr="005A3173">
      <w:trPr>
        <w:trHeight w:val="151"/>
      </w:trPr>
      <w:tc>
        <w:tcPr>
          <w:tcW w:w="2250" w:type="pct"/>
          <w:tcBorders>
            <w:top w:val="nil"/>
            <w:left w:val="nil"/>
            <w:bottom w:val="single" w:sz="4" w:space="0" w:color="4F81BD"/>
            <w:right w:val="nil"/>
          </w:tcBorders>
        </w:tcPr>
        <w:p w14:paraId="1AEC0F9B" w14:textId="77777777" w:rsidR="00065D10" w:rsidRPr="005A3173" w:rsidRDefault="00065D10"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065D10" w:rsidRPr="005A3173" w:rsidRDefault="00065D1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065D10" w:rsidRPr="005A3173" w:rsidRDefault="00065D10" w:rsidP="005A3173">
          <w:pPr>
            <w:pStyle w:val="Header"/>
            <w:spacing w:line="276" w:lineRule="auto"/>
            <w:rPr>
              <w:rFonts w:eastAsia="MS Gothic"/>
              <w:b/>
              <w:bCs/>
              <w:color w:val="4F81BD"/>
            </w:rPr>
          </w:pPr>
        </w:p>
      </w:tc>
    </w:tr>
    <w:tr w:rsidR="00065D10" w14:paraId="0A17FD7B" w14:textId="77777777" w:rsidTr="005A3173">
      <w:trPr>
        <w:trHeight w:val="150"/>
      </w:trPr>
      <w:tc>
        <w:tcPr>
          <w:tcW w:w="2250" w:type="pct"/>
          <w:tcBorders>
            <w:top w:val="single" w:sz="4" w:space="0" w:color="4F81BD"/>
            <w:left w:val="nil"/>
            <w:bottom w:val="nil"/>
            <w:right w:val="nil"/>
          </w:tcBorders>
        </w:tcPr>
        <w:p w14:paraId="66DEA9D9" w14:textId="77777777" w:rsidR="00065D10" w:rsidRPr="005A3173" w:rsidRDefault="00065D10" w:rsidP="005A3173">
          <w:pPr>
            <w:pStyle w:val="Header"/>
            <w:spacing w:line="276" w:lineRule="auto"/>
            <w:rPr>
              <w:rFonts w:eastAsia="MS Gothic"/>
              <w:b/>
              <w:bCs/>
              <w:color w:val="4F81BD"/>
            </w:rPr>
          </w:pPr>
        </w:p>
      </w:tc>
      <w:tc>
        <w:tcPr>
          <w:tcW w:w="0" w:type="auto"/>
          <w:vMerge/>
          <w:vAlign w:val="center"/>
          <w:hideMark/>
        </w:tcPr>
        <w:p w14:paraId="0726D67B" w14:textId="77777777" w:rsidR="00065D10" w:rsidRPr="005A3173" w:rsidRDefault="00065D10" w:rsidP="005A3173">
          <w:pPr>
            <w:rPr>
              <w:color w:val="365F91"/>
              <w:sz w:val="22"/>
              <w:szCs w:val="22"/>
            </w:rPr>
          </w:pPr>
        </w:p>
      </w:tc>
      <w:tc>
        <w:tcPr>
          <w:tcW w:w="2250" w:type="pct"/>
          <w:tcBorders>
            <w:top w:val="single" w:sz="4" w:space="0" w:color="4F81BD"/>
            <w:left w:val="nil"/>
            <w:bottom w:val="nil"/>
            <w:right w:val="nil"/>
          </w:tcBorders>
        </w:tcPr>
        <w:p w14:paraId="77FEEEB1" w14:textId="77777777" w:rsidR="00065D10" w:rsidRPr="005A3173" w:rsidRDefault="00065D10"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065D10" w14:paraId="434C4AE3" w14:textId="77777777" w:rsidTr="005A3173">
      <w:trPr>
        <w:trHeight w:val="151"/>
      </w:trPr>
      <w:tc>
        <w:tcPr>
          <w:tcW w:w="2250" w:type="pct"/>
          <w:tcBorders>
            <w:top w:val="nil"/>
            <w:left w:val="nil"/>
            <w:bottom w:val="single" w:sz="4" w:space="0" w:color="4F81BD"/>
            <w:right w:val="nil"/>
          </w:tcBorders>
        </w:tcPr>
        <w:p w14:paraId="556410DA" w14:textId="77777777" w:rsidR="00065D10" w:rsidRPr="005A3173" w:rsidRDefault="00065D10"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065D10" w:rsidRPr="005A3173" w:rsidRDefault="00065D1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065D10" w:rsidRPr="005A3173" w:rsidRDefault="00065D10" w:rsidP="005A3173">
          <w:pPr>
            <w:pStyle w:val="Header"/>
            <w:spacing w:line="276" w:lineRule="auto"/>
            <w:rPr>
              <w:rFonts w:eastAsia="MS Gothic"/>
              <w:b/>
              <w:bCs/>
              <w:color w:val="4F81BD"/>
            </w:rPr>
          </w:pPr>
        </w:p>
      </w:tc>
    </w:tr>
    <w:tr w:rsidR="00065D10" w14:paraId="2F5EEC4C" w14:textId="77777777" w:rsidTr="005A3173">
      <w:trPr>
        <w:trHeight w:val="150"/>
      </w:trPr>
      <w:tc>
        <w:tcPr>
          <w:tcW w:w="2250" w:type="pct"/>
          <w:tcBorders>
            <w:top w:val="single" w:sz="4" w:space="0" w:color="4F81BD"/>
            <w:left w:val="nil"/>
            <w:bottom w:val="nil"/>
            <w:right w:val="nil"/>
          </w:tcBorders>
        </w:tcPr>
        <w:p w14:paraId="60E1BA15" w14:textId="77777777" w:rsidR="00065D10" w:rsidRPr="005A3173" w:rsidRDefault="00065D10" w:rsidP="005A3173">
          <w:pPr>
            <w:pStyle w:val="Header"/>
            <w:spacing w:line="276" w:lineRule="auto"/>
            <w:rPr>
              <w:rFonts w:eastAsia="MS Gothic"/>
              <w:b/>
              <w:bCs/>
              <w:color w:val="4F81BD"/>
            </w:rPr>
          </w:pPr>
        </w:p>
      </w:tc>
      <w:tc>
        <w:tcPr>
          <w:tcW w:w="0" w:type="auto"/>
          <w:vMerge/>
          <w:vAlign w:val="center"/>
          <w:hideMark/>
        </w:tcPr>
        <w:p w14:paraId="4EACACBE" w14:textId="77777777" w:rsidR="00065D10" w:rsidRPr="005A3173" w:rsidRDefault="00065D10" w:rsidP="005A3173">
          <w:pPr>
            <w:rPr>
              <w:color w:val="365F91"/>
              <w:sz w:val="22"/>
              <w:szCs w:val="22"/>
            </w:rPr>
          </w:pPr>
        </w:p>
      </w:tc>
      <w:tc>
        <w:tcPr>
          <w:tcW w:w="2250" w:type="pct"/>
          <w:tcBorders>
            <w:top w:val="single" w:sz="4" w:space="0" w:color="4F81BD"/>
            <w:left w:val="nil"/>
            <w:bottom w:val="nil"/>
            <w:right w:val="nil"/>
          </w:tcBorders>
        </w:tcPr>
        <w:p w14:paraId="516BCB31" w14:textId="77777777" w:rsidR="00065D10" w:rsidRPr="005A3173" w:rsidRDefault="00065D10" w:rsidP="005A3173">
          <w:pPr>
            <w:pStyle w:val="Header"/>
            <w:spacing w:line="276" w:lineRule="auto"/>
            <w:rPr>
              <w:rFonts w:eastAsia="MS Gothic"/>
              <w:b/>
              <w:bCs/>
              <w:color w:val="4F81BD"/>
            </w:rPr>
          </w:pPr>
        </w:p>
      </w:tc>
    </w:tr>
  </w:tbl>
  <w:p w14:paraId="679BDCC0" w14:textId="77777777" w:rsidR="00065D10" w:rsidRPr="007C0F57" w:rsidRDefault="00065D10"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065D10" w:rsidRPr="007C0F57" w:rsidRDefault="00065D10" w:rsidP="007C0F57">
    <w:pPr>
      <w:pStyle w:val="Footer"/>
      <w:jc w:val="center"/>
      <w:rPr>
        <w:b/>
        <w:i/>
        <w:sz w:val="20"/>
        <w:szCs w:val="20"/>
      </w:rPr>
    </w:pPr>
    <w:r w:rsidRPr="007C0F57">
      <w:rPr>
        <w:b/>
        <w:i/>
        <w:sz w:val="20"/>
        <w:szCs w:val="20"/>
      </w:rPr>
      <w:t>Commercial-in-Confidence</w:t>
    </w:r>
  </w:p>
  <w:p w14:paraId="36E9E30B" w14:textId="77777777" w:rsidR="00065D10" w:rsidRDefault="00065D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4DEF6" w14:textId="77777777" w:rsidR="00065D10" w:rsidRDefault="00065D10">
      <w:r>
        <w:separator/>
      </w:r>
    </w:p>
    <w:p w14:paraId="695A6FF0" w14:textId="77777777" w:rsidR="00065D10" w:rsidRDefault="00065D10"/>
  </w:footnote>
  <w:footnote w:type="continuationSeparator" w:id="0">
    <w:p w14:paraId="08E64528" w14:textId="77777777" w:rsidR="00065D10" w:rsidRDefault="00065D10">
      <w:r>
        <w:continuationSeparator/>
      </w:r>
    </w:p>
    <w:p w14:paraId="04F7C855" w14:textId="77777777" w:rsidR="00065D10" w:rsidRDefault="00065D10"/>
  </w:footnote>
  <w:footnote w:type="continuationNotice" w:id="1">
    <w:p w14:paraId="455A81AE" w14:textId="77777777" w:rsidR="00065D10" w:rsidRDefault="00065D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065D10"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065D10" w:rsidRPr="00A06225" w:rsidRDefault="00065D10">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065D10" w:rsidRPr="00A06225" w:rsidRDefault="00065D10"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065D10" w:rsidRPr="00A06225" w:rsidRDefault="00065D10">
          <w:pPr>
            <w:pStyle w:val="Header"/>
            <w:spacing w:line="276" w:lineRule="auto"/>
            <w:rPr>
              <w:rFonts w:ascii="Cambria" w:eastAsia="MS Gothic" w:hAnsi="Cambria"/>
              <w:b/>
              <w:bCs/>
              <w:color w:val="4F81BD"/>
            </w:rPr>
          </w:pPr>
        </w:p>
      </w:tc>
    </w:tr>
    <w:tr w:rsidR="00065D10"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065D10" w:rsidRPr="00A06225" w:rsidRDefault="00065D10">
          <w:pPr>
            <w:pStyle w:val="Header"/>
            <w:spacing w:line="276" w:lineRule="auto"/>
            <w:rPr>
              <w:rFonts w:ascii="Cambria" w:eastAsia="MS Gothic" w:hAnsi="Cambria"/>
              <w:b/>
              <w:bCs/>
              <w:color w:val="4F81BD"/>
            </w:rPr>
          </w:pPr>
        </w:p>
      </w:tc>
      <w:tc>
        <w:tcPr>
          <w:tcW w:w="0" w:type="auto"/>
          <w:vMerge/>
          <w:vAlign w:val="center"/>
          <w:hideMark/>
        </w:tcPr>
        <w:p w14:paraId="00B70FF1" w14:textId="77777777" w:rsidR="00065D10" w:rsidRPr="00A06225" w:rsidRDefault="00065D10">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065D10" w:rsidRPr="00A06225" w:rsidRDefault="00065D10">
          <w:pPr>
            <w:pStyle w:val="Header"/>
            <w:spacing w:line="276" w:lineRule="auto"/>
            <w:rPr>
              <w:rFonts w:ascii="Cambria" w:eastAsia="MS Gothic" w:hAnsi="Cambria"/>
              <w:b/>
              <w:bCs/>
              <w:color w:val="4F81BD"/>
            </w:rPr>
          </w:pPr>
        </w:p>
      </w:tc>
    </w:tr>
  </w:tbl>
  <w:p w14:paraId="7DCC695F" w14:textId="77777777" w:rsidR="00065D10" w:rsidRDefault="00065D10">
    <w:pPr>
      <w:pStyle w:val="Header"/>
    </w:pPr>
  </w:p>
  <w:p w14:paraId="25F34A60" w14:textId="77777777" w:rsidR="00065D10" w:rsidRDefault="00065D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1C437" w14:textId="660C6E4A" w:rsidR="00AD3263" w:rsidRPr="00056684" w:rsidRDefault="000F12BA" w:rsidP="00AD3263">
    <w:pPr>
      <w:pStyle w:val="Header"/>
      <w:ind w:left="360"/>
      <w:rPr>
        <w:rFonts w:asciiTheme="minorHAnsi" w:hAnsiTheme="minorHAnsi" w:cs="Arial"/>
        <w:i/>
        <w:color w:val="808080"/>
      </w:rPr>
    </w:pPr>
    <w:bookmarkStart w:id="22" w:name="_Hlk76375146"/>
    <w:r>
      <w:rPr>
        <w:rFonts w:asciiTheme="minorHAnsi" w:hAnsiTheme="minorHAnsi" w:cs="Arial"/>
        <w:i/>
        <w:color w:val="808080"/>
      </w:rPr>
      <w:t>Public Summary Document</w:t>
    </w:r>
    <w:r w:rsidR="007D3612">
      <w:rPr>
        <w:rFonts w:asciiTheme="minorHAnsi" w:hAnsiTheme="minorHAnsi" w:cs="Arial"/>
        <w:i/>
        <w:color w:val="808080"/>
      </w:rPr>
      <w:t xml:space="preserve"> </w:t>
    </w:r>
    <w:r w:rsidR="00AD3263" w:rsidRPr="00056684">
      <w:rPr>
        <w:rFonts w:asciiTheme="minorHAnsi" w:hAnsiTheme="minorHAnsi" w:cs="Arial"/>
        <w:i/>
        <w:color w:val="808080"/>
      </w:rPr>
      <w:t xml:space="preserve">– </w:t>
    </w:r>
    <w:r w:rsidR="00AD3263">
      <w:rPr>
        <w:rFonts w:asciiTheme="minorHAnsi" w:hAnsiTheme="minorHAnsi" w:cs="Arial"/>
        <w:i/>
        <w:color w:val="808080"/>
      </w:rPr>
      <w:t>March 2022</w:t>
    </w:r>
    <w:r w:rsidR="00AD3263" w:rsidRPr="00056684">
      <w:rPr>
        <w:rFonts w:asciiTheme="minorHAnsi" w:hAnsiTheme="minorHAnsi" w:cs="Arial"/>
        <w:i/>
        <w:color w:val="808080"/>
      </w:rPr>
      <w:t xml:space="preserve"> PBAC Meeting</w:t>
    </w:r>
  </w:p>
  <w:bookmarkEnd w:id="22"/>
  <w:p w14:paraId="49E1B9F5" w14:textId="77777777" w:rsidR="00065D10" w:rsidRDefault="00065D10"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CD074" w14:textId="77777777" w:rsidR="00191474" w:rsidRDefault="001914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1440"/>
        </w:tabs>
        <w:ind w:left="144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244933"/>
    <w:multiLevelType w:val="hybridMultilevel"/>
    <w:tmpl w:val="BEC87E2E"/>
    <w:lvl w:ilvl="0" w:tplc="3F1ECEA6">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4"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5" w15:restartNumberingAfterBreak="0">
    <w:nsid w:val="425E57ED"/>
    <w:multiLevelType w:val="hybridMultilevel"/>
    <w:tmpl w:val="F00477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3"/>
  </w:num>
  <w:num w:numId="2">
    <w:abstractNumId w:val="9"/>
  </w:num>
  <w:num w:numId="3">
    <w:abstractNumId w:val="0"/>
  </w:num>
  <w:num w:numId="4">
    <w:abstractNumId w:val="8"/>
  </w:num>
  <w:num w:numId="5">
    <w:abstractNumId w:val="4"/>
  </w:num>
  <w:num w:numId="6">
    <w:abstractNumId w:val="1"/>
  </w:num>
  <w:num w:numId="7">
    <w:abstractNumId w:val="6"/>
  </w:num>
  <w:num w:numId="8">
    <w:abstractNumId w:val="2"/>
  </w:num>
  <w:num w:numId="9">
    <w:abstractNumId w:val="7"/>
  </w:num>
  <w:num w:numId="10">
    <w:abstractNumId w:val="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num>
  <w:num w:numId="1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45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646F"/>
    <w:rsid w:val="000066F1"/>
    <w:rsid w:val="00006782"/>
    <w:rsid w:val="0001179A"/>
    <w:rsid w:val="00011A59"/>
    <w:rsid w:val="00014D69"/>
    <w:rsid w:val="00016A41"/>
    <w:rsid w:val="000214D1"/>
    <w:rsid w:val="0002464A"/>
    <w:rsid w:val="0002598C"/>
    <w:rsid w:val="00025A04"/>
    <w:rsid w:val="0002693D"/>
    <w:rsid w:val="000276DF"/>
    <w:rsid w:val="0003050E"/>
    <w:rsid w:val="0003106B"/>
    <w:rsid w:val="00034905"/>
    <w:rsid w:val="00036817"/>
    <w:rsid w:val="00040A30"/>
    <w:rsid w:val="00041ADC"/>
    <w:rsid w:val="000421A1"/>
    <w:rsid w:val="0004240E"/>
    <w:rsid w:val="00042C3B"/>
    <w:rsid w:val="00043330"/>
    <w:rsid w:val="00043587"/>
    <w:rsid w:val="00044EC4"/>
    <w:rsid w:val="00045E26"/>
    <w:rsid w:val="00046903"/>
    <w:rsid w:val="000514B5"/>
    <w:rsid w:val="0005322E"/>
    <w:rsid w:val="00054E2B"/>
    <w:rsid w:val="00060E64"/>
    <w:rsid w:val="000621AB"/>
    <w:rsid w:val="00062E88"/>
    <w:rsid w:val="0006307F"/>
    <w:rsid w:val="00064B97"/>
    <w:rsid w:val="00065D10"/>
    <w:rsid w:val="00066193"/>
    <w:rsid w:val="00066755"/>
    <w:rsid w:val="00070E90"/>
    <w:rsid w:val="00071A5B"/>
    <w:rsid w:val="00072730"/>
    <w:rsid w:val="0007337F"/>
    <w:rsid w:val="00074320"/>
    <w:rsid w:val="00074D38"/>
    <w:rsid w:val="00075A31"/>
    <w:rsid w:val="000763D5"/>
    <w:rsid w:val="00076997"/>
    <w:rsid w:val="00076C38"/>
    <w:rsid w:val="00077143"/>
    <w:rsid w:val="00077DF7"/>
    <w:rsid w:val="0008050C"/>
    <w:rsid w:val="00082169"/>
    <w:rsid w:val="000834BE"/>
    <w:rsid w:val="00083F01"/>
    <w:rsid w:val="000864F7"/>
    <w:rsid w:val="00087C4C"/>
    <w:rsid w:val="000918CB"/>
    <w:rsid w:val="00091B06"/>
    <w:rsid w:val="00093A08"/>
    <w:rsid w:val="00094384"/>
    <w:rsid w:val="000951C4"/>
    <w:rsid w:val="00095ADA"/>
    <w:rsid w:val="000969AD"/>
    <w:rsid w:val="000975FB"/>
    <w:rsid w:val="000A02F8"/>
    <w:rsid w:val="000A3AA2"/>
    <w:rsid w:val="000A44B2"/>
    <w:rsid w:val="000A52F6"/>
    <w:rsid w:val="000A58B8"/>
    <w:rsid w:val="000B1FD6"/>
    <w:rsid w:val="000B44C3"/>
    <w:rsid w:val="000B558D"/>
    <w:rsid w:val="000B5A89"/>
    <w:rsid w:val="000B65F6"/>
    <w:rsid w:val="000B7767"/>
    <w:rsid w:val="000C5F95"/>
    <w:rsid w:val="000C6996"/>
    <w:rsid w:val="000C7C46"/>
    <w:rsid w:val="000D09E9"/>
    <w:rsid w:val="000D113F"/>
    <w:rsid w:val="000D23BA"/>
    <w:rsid w:val="000E0663"/>
    <w:rsid w:val="000E19B7"/>
    <w:rsid w:val="000E20FC"/>
    <w:rsid w:val="000E2BE8"/>
    <w:rsid w:val="000E383B"/>
    <w:rsid w:val="000E3DFB"/>
    <w:rsid w:val="000E5EA1"/>
    <w:rsid w:val="000E681E"/>
    <w:rsid w:val="000E696B"/>
    <w:rsid w:val="000E7E52"/>
    <w:rsid w:val="000E7E90"/>
    <w:rsid w:val="000EE1C7"/>
    <w:rsid w:val="000F0003"/>
    <w:rsid w:val="000F10EC"/>
    <w:rsid w:val="000F12BA"/>
    <w:rsid w:val="000F3384"/>
    <w:rsid w:val="000F4E6A"/>
    <w:rsid w:val="000F7354"/>
    <w:rsid w:val="00101ABE"/>
    <w:rsid w:val="00102202"/>
    <w:rsid w:val="00102700"/>
    <w:rsid w:val="00102A78"/>
    <w:rsid w:val="00103118"/>
    <w:rsid w:val="00103F1B"/>
    <w:rsid w:val="00104227"/>
    <w:rsid w:val="001053D5"/>
    <w:rsid w:val="00106A08"/>
    <w:rsid w:val="00106D22"/>
    <w:rsid w:val="001106D4"/>
    <w:rsid w:val="001107BF"/>
    <w:rsid w:val="00111FCE"/>
    <w:rsid w:val="0011224A"/>
    <w:rsid w:val="00113649"/>
    <w:rsid w:val="00113D5C"/>
    <w:rsid w:val="00116B03"/>
    <w:rsid w:val="00120AA6"/>
    <w:rsid w:val="001239DB"/>
    <w:rsid w:val="0012417C"/>
    <w:rsid w:val="00124BF2"/>
    <w:rsid w:val="00125837"/>
    <w:rsid w:val="0012597F"/>
    <w:rsid w:val="00126B19"/>
    <w:rsid w:val="00126D3A"/>
    <w:rsid w:val="0012749D"/>
    <w:rsid w:val="001306A5"/>
    <w:rsid w:val="00130918"/>
    <w:rsid w:val="001311AE"/>
    <w:rsid w:val="00133852"/>
    <w:rsid w:val="001366C2"/>
    <w:rsid w:val="00136C17"/>
    <w:rsid w:val="00140B74"/>
    <w:rsid w:val="00140D94"/>
    <w:rsid w:val="00142395"/>
    <w:rsid w:val="00142714"/>
    <w:rsid w:val="00144D09"/>
    <w:rsid w:val="001452ED"/>
    <w:rsid w:val="00147D84"/>
    <w:rsid w:val="00151CBD"/>
    <w:rsid w:val="001533C3"/>
    <w:rsid w:val="001549C1"/>
    <w:rsid w:val="00156C8D"/>
    <w:rsid w:val="00160F4D"/>
    <w:rsid w:val="00162BDD"/>
    <w:rsid w:val="00162D4E"/>
    <w:rsid w:val="00163329"/>
    <w:rsid w:val="00164623"/>
    <w:rsid w:val="001652DE"/>
    <w:rsid w:val="001653EC"/>
    <w:rsid w:val="00165B64"/>
    <w:rsid w:val="00167C39"/>
    <w:rsid w:val="00176B9D"/>
    <w:rsid w:val="00180713"/>
    <w:rsid w:val="00180720"/>
    <w:rsid w:val="001830CE"/>
    <w:rsid w:val="001836E3"/>
    <w:rsid w:val="00184659"/>
    <w:rsid w:val="001860E5"/>
    <w:rsid w:val="0018643B"/>
    <w:rsid w:val="00191474"/>
    <w:rsid w:val="00196307"/>
    <w:rsid w:val="00197C70"/>
    <w:rsid w:val="00197F03"/>
    <w:rsid w:val="001A0D10"/>
    <w:rsid w:val="001A33EA"/>
    <w:rsid w:val="001A3906"/>
    <w:rsid w:val="001A4413"/>
    <w:rsid w:val="001A4C4F"/>
    <w:rsid w:val="001A5A2B"/>
    <w:rsid w:val="001A76FB"/>
    <w:rsid w:val="001B017F"/>
    <w:rsid w:val="001B0B79"/>
    <w:rsid w:val="001B2BBC"/>
    <w:rsid w:val="001B2BCD"/>
    <w:rsid w:val="001B3A40"/>
    <w:rsid w:val="001B3FFE"/>
    <w:rsid w:val="001B5129"/>
    <w:rsid w:val="001C0B4C"/>
    <w:rsid w:val="001C0EC4"/>
    <w:rsid w:val="001C1192"/>
    <w:rsid w:val="001C1195"/>
    <w:rsid w:val="001C12AE"/>
    <w:rsid w:val="001C1E84"/>
    <w:rsid w:val="001C2A0F"/>
    <w:rsid w:val="001C2E42"/>
    <w:rsid w:val="001C7F85"/>
    <w:rsid w:val="001D1F5F"/>
    <w:rsid w:val="001D51DD"/>
    <w:rsid w:val="001D6CF3"/>
    <w:rsid w:val="001E06D2"/>
    <w:rsid w:val="001E17C4"/>
    <w:rsid w:val="001E2D65"/>
    <w:rsid w:val="001E49FF"/>
    <w:rsid w:val="001F005B"/>
    <w:rsid w:val="001F1298"/>
    <w:rsid w:val="001F1850"/>
    <w:rsid w:val="001F1FBF"/>
    <w:rsid w:val="001F2311"/>
    <w:rsid w:val="001F2B80"/>
    <w:rsid w:val="001F2F1C"/>
    <w:rsid w:val="001F3189"/>
    <w:rsid w:val="00200BEA"/>
    <w:rsid w:val="00201FB8"/>
    <w:rsid w:val="00203FAC"/>
    <w:rsid w:val="0021134E"/>
    <w:rsid w:val="002113B8"/>
    <w:rsid w:val="002133FB"/>
    <w:rsid w:val="00213CFB"/>
    <w:rsid w:val="0021553C"/>
    <w:rsid w:val="0021557B"/>
    <w:rsid w:val="00215FD7"/>
    <w:rsid w:val="00216B87"/>
    <w:rsid w:val="002174FD"/>
    <w:rsid w:val="00217BE1"/>
    <w:rsid w:val="00217D4B"/>
    <w:rsid w:val="002214B9"/>
    <w:rsid w:val="00221F3D"/>
    <w:rsid w:val="00222680"/>
    <w:rsid w:val="00223370"/>
    <w:rsid w:val="00225831"/>
    <w:rsid w:val="00227BC5"/>
    <w:rsid w:val="002308C2"/>
    <w:rsid w:val="00230F63"/>
    <w:rsid w:val="00234252"/>
    <w:rsid w:val="0023466E"/>
    <w:rsid w:val="00237AC6"/>
    <w:rsid w:val="00242BFD"/>
    <w:rsid w:val="00243657"/>
    <w:rsid w:val="00244139"/>
    <w:rsid w:val="00244490"/>
    <w:rsid w:val="00244BEC"/>
    <w:rsid w:val="00245B9C"/>
    <w:rsid w:val="00252587"/>
    <w:rsid w:val="00253499"/>
    <w:rsid w:val="002551A4"/>
    <w:rsid w:val="00257664"/>
    <w:rsid w:val="00260165"/>
    <w:rsid w:val="00265151"/>
    <w:rsid w:val="00265C2C"/>
    <w:rsid w:val="00266509"/>
    <w:rsid w:val="002700C8"/>
    <w:rsid w:val="0027188C"/>
    <w:rsid w:val="00271BA1"/>
    <w:rsid w:val="00273AC5"/>
    <w:rsid w:val="002762FA"/>
    <w:rsid w:val="00277505"/>
    <w:rsid w:val="00277873"/>
    <w:rsid w:val="00280A34"/>
    <w:rsid w:val="0028158C"/>
    <w:rsid w:val="002823B6"/>
    <w:rsid w:val="00282449"/>
    <w:rsid w:val="00285247"/>
    <w:rsid w:val="00285F13"/>
    <w:rsid w:val="00290C03"/>
    <w:rsid w:val="0029273B"/>
    <w:rsid w:val="00292E3B"/>
    <w:rsid w:val="002933A8"/>
    <w:rsid w:val="00293BC2"/>
    <w:rsid w:val="00294274"/>
    <w:rsid w:val="0029458F"/>
    <w:rsid w:val="00297A63"/>
    <w:rsid w:val="002A018F"/>
    <w:rsid w:val="002A0E04"/>
    <w:rsid w:val="002A104C"/>
    <w:rsid w:val="002A1EF7"/>
    <w:rsid w:val="002A2B7B"/>
    <w:rsid w:val="002A494D"/>
    <w:rsid w:val="002A4960"/>
    <w:rsid w:val="002A636A"/>
    <w:rsid w:val="002A755F"/>
    <w:rsid w:val="002B0AE0"/>
    <w:rsid w:val="002B1AE6"/>
    <w:rsid w:val="002B1D51"/>
    <w:rsid w:val="002B2DE8"/>
    <w:rsid w:val="002B30F8"/>
    <w:rsid w:val="002B388A"/>
    <w:rsid w:val="002B3BFE"/>
    <w:rsid w:val="002B3C1A"/>
    <w:rsid w:val="002B4691"/>
    <w:rsid w:val="002B4A29"/>
    <w:rsid w:val="002B5596"/>
    <w:rsid w:val="002B77D7"/>
    <w:rsid w:val="002C212F"/>
    <w:rsid w:val="002C2F35"/>
    <w:rsid w:val="002C6AA9"/>
    <w:rsid w:val="002C7485"/>
    <w:rsid w:val="002D2641"/>
    <w:rsid w:val="002D283A"/>
    <w:rsid w:val="002D4543"/>
    <w:rsid w:val="002D4C03"/>
    <w:rsid w:val="002D4EEE"/>
    <w:rsid w:val="002D7D55"/>
    <w:rsid w:val="002E022A"/>
    <w:rsid w:val="002E0C67"/>
    <w:rsid w:val="002E3153"/>
    <w:rsid w:val="002E4A02"/>
    <w:rsid w:val="002E5292"/>
    <w:rsid w:val="002E72CA"/>
    <w:rsid w:val="002E75DD"/>
    <w:rsid w:val="002F1D07"/>
    <w:rsid w:val="002F3983"/>
    <w:rsid w:val="002F4234"/>
    <w:rsid w:val="002F5608"/>
    <w:rsid w:val="002F5C5B"/>
    <w:rsid w:val="002F600D"/>
    <w:rsid w:val="002F6F0F"/>
    <w:rsid w:val="002F7E47"/>
    <w:rsid w:val="00300AD6"/>
    <w:rsid w:val="00300B1B"/>
    <w:rsid w:val="003019D0"/>
    <w:rsid w:val="003019DE"/>
    <w:rsid w:val="003064AF"/>
    <w:rsid w:val="00307DC6"/>
    <w:rsid w:val="00310A8B"/>
    <w:rsid w:val="00310B68"/>
    <w:rsid w:val="003127BE"/>
    <w:rsid w:val="003160D2"/>
    <w:rsid w:val="003173FC"/>
    <w:rsid w:val="00317602"/>
    <w:rsid w:val="00317C6C"/>
    <w:rsid w:val="00320B80"/>
    <w:rsid w:val="00320CD3"/>
    <w:rsid w:val="003215FF"/>
    <w:rsid w:val="00322667"/>
    <w:rsid w:val="0032607C"/>
    <w:rsid w:val="00326E79"/>
    <w:rsid w:val="0032748A"/>
    <w:rsid w:val="003301B1"/>
    <w:rsid w:val="00331189"/>
    <w:rsid w:val="0033263D"/>
    <w:rsid w:val="00334A5A"/>
    <w:rsid w:val="00334E69"/>
    <w:rsid w:val="0033518A"/>
    <w:rsid w:val="00335535"/>
    <w:rsid w:val="003367EF"/>
    <w:rsid w:val="00337F32"/>
    <w:rsid w:val="00341AE4"/>
    <w:rsid w:val="00343FB7"/>
    <w:rsid w:val="003440EE"/>
    <w:rsid w:val="003471E8"/>
    <w:rsid w:val="003476EE"/>
    <w:rsid w:val="00350EB8"/>
    <w:rsid w:val="003541DD"/>
    <w:rsid w:val="00356E5B"/>
    <w:rsid w:val="00360887"/>
    <w:rsid w:val="00360C22"/>
    <w:rsid w:val="0036249F"/>
    <w:rsid w:val="00364D16"/>
    <w:rsid w:val="00364F9C"/>
    <w:rsid w:val="00367D40"/>
    <w:rsid w:val="00370776"/>
    <w:rsid w:val="00371246"/>
    <w:rsid w:val="00371554"/>
    <w:rsid w:val="003736C9"/>
    <w:rsid w:val="00373A28"/>
    <w:rsid w:val="00377D78"/>
    <w:rsid w:val="00380453"/>
    <w:rsid w:val="00383824"/>
    <w:rsid w:val="00383B77"/>
    <w:rsid w:val="00384988"/>
    <w:rsid w:val="00384D7D"/>
    <w:rsid w:val="00386900"/>
    <w:rsid w:val="003872CF"/>
    <w:rsid w:val="003874CB"/>
    <w:rsid w:val="00390397"/>
    <w:rsid w:val="00392144"/>
    <w:rsid w:val="0039782C"/>
    <w:rsid w:val="003A13A6"/>
    <w:rsid w:val="003A2165"/>
    <w:rsid w:val="003A3AF3"/>
    <w:rsid w:val="003A5B4A"/>
    <w:rsid w:val="003A5D95"/>
    <w:rsid w:val="003A6510"/>
    <w:rsid w:val="003A71AC"/>
    <w:rsid w:val="003A74E2"/>
    <w:rsid w:val="003A7916"/>
    <w:rsid w:val="003B0D3A"/>
    <w:rsid w:val="003B2302"/>
    <w:rsid w:val="003B23C5"/>
    <w:rsid w:val="003B2A75"/>
    <w:rsid w:val="003B49B2"/>
    <w:rsid w:val="003B6124"/>
    <w:rsid w:val="003B7960"/>
    <w:rsid w:val="003C0908"/>
    <w:rsid w:val="003C093A"/>
    <w:rsid w:val="003C1ECF"/>
    <w:rsid w:val="003C2FB5"/>
    <w:rsid w:val="003C394D"/>
    <w:rsid w:val="003D24C5"/>
    <w:rsid w:val="003D4594"/>
    <w:rsid w:val="003D4AC4"/>
    <w:rsid w:val="003D5433"/>
    <w:rsid w:val="003D6077"/>
    <w:rsid w:val="003D63B7"/>
    <w:rsid w:val="003D7126"/>
    <w:rsid w:val="003D74C5"/>
    <w:rsid w:val="003E4374"/>
    <w:rsid w:val="003E468B"/>
    <w:rsid w:val="003E5829"/>
    <w:rsid w:val="003E5B57"/>
    <w:rsid w:val="003E62BD"/>
    <w:rsid w:val="003E658D"/>
    <w:rsid w:val="003F044F"/>
    <w:rsid w:val="003F0C0B"/>
    <w:rsid w:val="003F0C3A"/>
    <w:rsid w:val="003F15F0"/>
    <w:rsid w:val="003F2AD9"/>
    <w:rsid w:val="003F3228"/>
    <w:rsid w:val="003F3B7E"/>
    <w:rsid w:val="003F5C8C"/>
    <w:rsid w:val="003F63CE"/>
    <w:rsid w:val="003F775A"/>
    <w:rsid w:val="00400E55"/>
    <w:rsid w:val="0040128E"/>
    <w:rsid w:val="0040216B"/>
    <w:rsid w:val="0040590E"/>
    <w:rsid w:val="00407CC8"/>
    <w:rsid w:val="00414F0C"/>
    <w:rsid w:val="00420400"/>
    <w:rsid w:val="00423E78"/>
    <w:rsid w:val="004252EC"/>
    <w:rsid w:val="004261FA"/>
    <w:rsid w:val="00430D39"/>
    <w:rsid w:val="00442C91"/>
    <w:rsid w:val="004465BD"/>
    <w:rsid w:val="00446938"/>
    <w:rsid w:val="00447ED0"/>
    <w:rsid w:val="00450798"/>
    <w:rsid w:val="00451F9C"/>
    <w:rsid w:val="00452715"/>
    <w:rsid w:val="004528FA"/>
    <w:rsid w:val="00457CA7"/>
    <w:rsid w:val="00461A44"/>
    <w:rsid w:val="00462D26"/>
    <w:rsid w:val="0046368B"/>
    <w:rsid w:val="0046385A"/>
    <w:rsid w:val="00464039"/>
    <w:rsid w:val="00465C7C"/>
    <w:rsid w:val="00465F5D"/>
    <w:rsid w:val="00466ADA"/>
    <w:rsid w:val="004702BB"/>
    <w:rsid w:val="0047494B"/>
    <w:rsid w:val="004758AD"/>
    <w:rsid w:val="00476245"/>
    <w:rsid w:val="00477A9B"/>
    <w:rsid w:val="00482AE4"/>
    <w:rsid w:val="00483035"/>
    <w:rsid w:val="00485940"/>
    <w:rsid w:val="00486596"/>
    <w:rsid w:val="00486C95"/>
    <w:rsid w:val="004877C2"/>
    <w:rsid w:val="004904B9"/>
    <w:rsid w:val="004928E1"/>
    <w:rsid w:val="00492D8D"/>
    <w:rsid w:val="00496662"/>
    <w:rsid w:val="004A1431"/>
    <w:rsid w:val="004A2484"/>
    <w:rsid w:val="004A5A85"/>
    <w:rsid w:val="004A71D1"/>
    <w:rsid w:val="004A7C5B"/>
    <w:rsid w:val="004B1845"/>
    <w:rsid w:val="004B2348"/>
    <w:rsid w:val="004B2E01"/>
    <w:rsid w:val="004B2E98"/>
    <w:rsid w:val="004B5640"/>
    <w:rsid w:val="004B6084"/>
    <w:rsid w:val="004BCF29"/>
    <w:rsid w:val="004C0206"/>
    <w:rsid w:val="004C03D0"/>
    <w:rsid w:val="004C1AB2"/>
    <w:rsid w:val="004C1BD7"/>
    <w:rsid w:val="004C239C"/>
    <w:rsid w:val="004C31FE"/>
    <w:rsid w:val="004C524C"/>
    <w:rsid w:val="004C5EDD"/>
    <w:rsid w:val="004C5FFA"/>
    <w:rsid w:val="004C6448"/>
    <w:rsid w:val="004C691D"/>
    <w:rsid w:val="004C6C07"/>
    <w:rsid w:val="004C7A09"/>
    <w:rsid w:val="004C7E15"/>
    <w:rsid w:val="004D2CD1"/>
    <w:rsid w:val="004D32A3"/>
    <w:rsid w:val="004D4FF6"/>
    <w:rsid w:val="004D5ADD"/>
    <w:rsid w:val="004E692D"/>
    <w:rsid w:val="004E7230"/>
    <w:rsid w:val="004E7D87"/>
    <w:rsid w:val="004F2553"/>
    <w:rsid w:val="004F25FA"/>
    <w:rsid w:val="004F306A"/>
    <w:rsid w:val="004F5B8A"/>
    <w:rsid w:val="00501554"/>
    <w:rsid w:val="00502AFE"/>
    <w:rsid w:val="00502E64"/>
    <w:rsid w:val="00503AD7"/>
    <w:rsid w:val="00503E89"/>
    <w:rsid w:val="00504E0C"/>
    <w:rsid w:val="00504E13"/>
    <w:rsid w:val="00506952"/>
    <w:rsid w:val="00507749"/>
    <w:rsid w:val="005109D4"/>
    <w:rsid w:val="0051173D"/>
    <w:rsid w:val="0051230A"/>
    <w:rsid w:val="00514CD7"/>
    <w:rsid w:val="005167EC"/>
    <w:rsid w:val="005170DA"/>
    <w:rsid w:val="00517C67"/>
    <w:rsid w:val="00520D6A"/>
    <w:rsid w:val="00522DA5"/>
    <w:rsid w:val="00522DB6"/>
    <w:rsid w:val="005264A7"/>
    <w:rsid w:val="0052792D"/>
    <w:rsid w:val="005319B2"/>
    <w:rsid w:val="00532402"/>
    <w:rsid w:val="00532C74"/>
    <w:rsid w:val="00533239"/>
    <w:rsid w:val="00534E2E"/>
    <w:rsid w:val="00535133"/>
    <w:rsid w:val="00535250"/>
    <w:rsid w:val="0054064C"/>
    <w:rsid w:val="00541BB0"/>
    <w:rsid w:val="00544552"/>
    <w:rsid w:val="00545130"/>
    <w:rsid w:val="00546B36"/>
    <w:rsid w:val="0055286A"/>
    <w:rsid w:val="00553557"/>
    <w:rsid w:val="00555745"/>
    <w:rsid w:val="00557D4F"/>
    <w:rsid w:val="0056122E"/>
    <w:rsid w:val="0056484E"/>
    <w:rsid w:val="00565999"/>
    <w:rsid w:val="00567D8A"/>
    <w:rsid w:val="00570231"/>
    <w:rsid w:val="005764CD"/>
    <w:rsid w:val="00577C4D"/>
    <w:rsid w:val="00580532"/>
    <w:rsid w:val="00581932"/>
    <w:rsid w:val="00583B14"/>
    <w:rsid w:val="005903BB"/>
    <w:rsid w:val="005906D5"/>
    <w:rsid w:val="00593893"/>
    <w:rsid w:val="005963BB"/>
    <w:rsid w:val="005A15D2"/>
    <w:rsid w:val="005A3173"/>
    <w:rsid w:val="005A3223"/>
    <w:rsid w:val="005A3DA3"/>
    <w:rsid w:val="005A52C4"/>
    <w:rsid w:val="005A63A1"/>
    <w:rsid w:val="005B0486"/>
    <w:rsid w:val="005B1473"/>
    <w:rsid w:val="005B36FA"/>
    <w:rsid w:val="005C1046"/>
    <w:rsid w:val="005C4F73"/>
    <w:rsid w:val="005C5504"/>
    <w:rsid w:val="005D03AB"/>
    <w:rsid w:val="005D07E9"/>
    <w:rsid w:val="005D1C52"/>
    <w:rsid w:val="005D401D"/>
    <w:rsid w:val="005D5017"/>
    <w:rsid w:val="005D5708"/>
    <w:rsid w:val="005D5AD5"/>
    <w:rsid w:val="005D63FA"/>
    <w:rsid w:val="005D73C7"/>
    <w:rsid w:val="005E0C2D"/>
    <w:rsid w:val="005E0D82"/>
    <w:rsid w:val="005E0F59"/>
    <w:rsid w:val="005E10D3"/>
    <w:rsid w:val="005E1333"/>
    <w:rsid w:val="005E1D9C"/>
    <w:rsid w:val="005E29DD"/>
    <w:rsid w:val="005E3136"/>
    <w:rsid w:val="005E507D"/>
    <w:rsid w:val="005F0AD0"/>
    <w:rsid w:val="005F13A3"/>
    <w:rsid w:val="00601A91"/>
    <w:rsid w:val="00602BA3"/>
    <w:rsid w:val="00605B63"/>
    <w:rsid w:val="00605F9A"/>
    <w:rsid w:val="00606442"/>
    <w:rsid w:val="00606EED"/>
    <w:rsid w:val="0060718F"/>
    <w:rsid w:val="00612A95"/>
    <w:rsid w:val="00612B83"/>
    <w:rsid w:val="00612E34"/>
    <w:rsid w:val="00614159"/>
    <w:rsid w:val="006150DA"/>
    <w:rsid w:val="006158A3"/>
    <w:rsid w:val="006162A5"/>
    <w:rsid w:val="00616BBC"/>
    <w:rsid w:val="00616C5F"/>
    <w:rsid w:val="00616DAC"/>
    <w:rsid w:val="00616FDA"/>
    <w:rsid w:val="00617725"/>
    <w:rsid w:val="00617C00"/>
    <w:rsid w:val="00617CCB"/>
    <w:rsid w:val="006212F9"/>
    <w:rsid w:val="006263BF"/>
    <w:rsid w:val="0062748A"/>
    <w:rsid w:val="006301FE"/>
    <w:rsid w:val="00630546"/>
    <w:rsid w:val="00630A2C"/>
    <w:rsid w:val="00634A75"/>
    <w:rsid w:val="00634D11"/>
    <w:rsid w:val="0063682E"/>
    <w:rsid w:val="00640088"/>
    <w:rsid w:val="00641A4F"/>
    <w:rsid w:val="00642672"/>
    <w:rsid w:val="00642DA8"/>
    <w:rsid w:val="006436CD"/>
    <w:rsid w:val="00643748"/>
    <w:rsid w:val="00643DD0"/>
    <w:rsid w:val="006469BB"/>
    <w:rsid w:val="006507F4"/>
    <w:rsid w:val="00651169"/>
    <w:rsid w:val="006518E0"/>
    <w:rsid w:val="00653D69"/>
    <w:rsid w:val="006552E6"/>
    <w:rsid w:val="00655794"/>
    <w:rsid w:val="00656F2F"/>
    <w:rsid w:val="00657C63"/>
    <w:rsid w:val="00661CBC"/>
    <w:rsid w:val="00662B85"/>
    <w:rsid w:val="006670BE"/>
    <w:rsid w:val="00670A76"/>
    <w:rsid w:val="006711AA"/>
    <w:rsid w:val="00672B57"/>
    <w:rsid w:val="00673F1F"/>
    <w:rsid w:val="00675622"/>
    <w:rsid w:val="0067747D"/>
    <w:rsid w:val="006818D5"/>
    <w:rsid w:val="00681CA4"/>
    <w:rsid w:val="0069036C"/>
    <w:rsid w:val="0069039D"/>
    <w:rsid w:val="006906DB"/>
    <w:rsid w:val="006913E9"/>
    <w:rsid w:val="00691900"/>
    <w:rsid w:val="00691E6C"/>
    <w:rsid w:val="0069247B"/>
    <w:rsid w:val="0069277C"/>
    <w:rsid w:val="006931B4"/>
    <w:rsid w:val="0069342D"/>
    <w:rsid w:val="00693DFB"/>
    <w:rsid w:val="00694FD5"/>
    <w:rsid w:val="0069501D"/>
    <w:rsid w:val="00696129"/>
    <w:rsid w:val="00697CF2"/>
    <w:rsid w:val="006A12A5"/>
    <w:rsid w:val="006A2515"/>
    <w:rsid w:val="006A5E20"/>
    <w:rsid w:val="006B0D94"/>
    <w:rsid w:val="006B16B6"/>
    <w:rsid w:val="006B485D"/>
    <w:rsid w:val="006B50DB"/>
    <w:rsid w:val="006C0C45"/>
    <w:rsid w:val="006C20FC"/>
    <w:rsid w:val="006C334C"/>
    <w:rsid w:val="006C6C10"/>
    <w:rsid w:val="006C708E"/>
    <w:rsid w:val="006D14E7"/>
    <w:rsid w:val="006D194B"/>
    <w:rsid w:val="006D4444"/>
    <w:rsid w:val="006D6493"/>
    <w:rsid w:val="006D6EC7"/>
    <w:rsid w:val="006D7E45"/>
    <w:rsid w:val="006E1143"/>
    <w:rsid w:val="006E1BCD"/>
    <w:rsid w:val="006E2732"/>
    <w:rsid w:val="006E59CD"/>
    <w:rsid w:val="006F0A71"/>
    <w:rsid w:val="006F1C6B"/>
    <w:rsid w:val="006F40C2"/>
    <w:rsid w:val="006F5125"/>
    <w:rsid w:val="006F733D"/>
    <w:rsid w:val="00700236"/>
    <w:rsid w:val="00700765"/>
    <w:rsid w:val="00702959"/>
    <w:rsid w:val="00702B6F"/>
    <w:rsid w:val="007030B4"/>
    <w:rsid w:val="00703B86"/>
    <w:rsid w:val="00704069"/>
    <w:rsid w:val="00706A2F"/>
    <w:rsid w:val="0070718E"/>
    <w:rsid w:val="00707E52"/>
    <w:rsid w:val="00710259"/>
    <w:rsid w:val="0071031F"/>
    <w:rsid w:val="00710737"/>
    <w:rsid w:val="0071340B"/>
    <w:rsid w:val="00713C50"/>
    <w:rsid w:val="0071436D"/>
    <w:rsid w:val="00715BBB"/>
    <w:rsid w:val="00717456"/>
    <w:rsid w:val="007174BB"/>
    <w:rsid w:val="0072025D"/>
    <w:rsid w:val="00723328"/>
    <w:rsid w:val="007237DE"/>
    <w:rsid w:val="00723F39"/>
    <w:rsid w:val="0072502E"/>
    <w:rsid w:val="00730C97"/>
    <w:rsid w:val="0073137C"/>
    <w:rsid w:val="007340B9"/>
    <w:rsid w:val="007340E9"/>
    <w:rsid w:val="007353D3"/>
    <w:rsid w:val="0074156B"/>
    <w:rsid w:val="00741619"/>
    <w:rsid w:val="00745EDB"/>
    <w:rsid w:val="00747092"/>
    <w:rsid w:val="007526E6"/>
    <w:rsid w:val="00754DF9"/>
    <w:rsid w:val="007555E8"/>
    <w:rsid w:val="00755CC5"/>
    <w:rsid w:val="007570A1"/>
    <w:rsid w:val="00762862"/>
    <w:rsid w:val="0076420C"/>
    <w:rsid w:val="00770E16"/>
    <w:rsid w:val="00771D07"/>
    <w:rsid w:val="00772649"/>
    <w:rsid w:val="00773BE3"/>
    <w:rsid w:val="007743DD"/>
    <w:rsid w:val="00774E2C"/>
    <w:rsid w:val="0077503C"/>
    <w:rsid w:val="0077518D"/>
    <w:rsid w:val="007753C2"/>
    <w:rsid w:val="0077560D"/>
    <w:rsid w:val="00776068"/>
    <w:rsid w:val="0077722A"/>
    <w:rsid w:val="007838B8"/>
    <w:rsid w:val="00784014"/>
    <w:rsid w:val="00785779"/>
    <w:rsid w:val="00787FD8"/>
    <w:rsid w:val="007915BA"/>
    <w:rsid w:val="00791844"/>
    <w:rsid w:val="00793CE9"/>
    <w:rsid w:val="00796667"/>
    <w:rsid w:val="00797068"/>
    <w:rsid w:val="007979BD"/>
    <w:rsid w:val="007A0204"/>
    <w:rsid w:val="007A0575"/>
    <w:rsid w:val="007A2E66"/>
    <w:rsid w:val="007A4731"/>
    <w:rsid w:val="007A5C88"/>
    <w:rsid w:val="007A6A2F"/>
    <w:rsid w:val="007B024E"/>
    <w:rsid w:val="007B3BAF"/>
    <w:rsid w:val="007B3DDC"/>
    <w:rsid w:val="007B72A6"/>
    <w:rsid w:val="007C06D2"/>
    <w:rsid w:val="007C08E0"/>
    <w:rsid w:val="007C0F57"/>
    <w:rsid w:val="007C40B6"/>
    <w:rsid w:val="007C5975"/>
    <w:rsid w:val="007C729F"/>
    <w:rsid w:val="007D1EEB"/>
    <w:rsid w:val="007D3612"/>
    <w:rsid w:val="007D503D"/>
    <w:rsid w:val="007D59E7"/>
    <w:rsid w:val="007D5F2A"/>
    <w:rsid w:val="007E07AC"/>
    <w:rsid w:val="007E0EEA"/>
    <w:rsid w:val="007E1014"/>
    <w:rsid w:val="007E12F8"/>
    <w:rsid w:val="007E19BA"/>
    <w:rsid w:val="007E1D28"/>
    <w:rsid w:val="007E490F"/>
    <w:rsid w:val="007E6AF5"/>
    <w:rsid w:val="007F0021"/>
    <w:rsid w:val="007F2641"/>
    <w:rsid w:val="007F54E0"/>
    <w:rsid w:val="007F7C36"/>
    <w:rsid w:val="007F7F45"/>
    <w:rsid w:val="0080001F"/>
    <w:rsid w:val="00801958"/>
    <w:rsid w:val="008055AF"/>
    <w:rsid w:val="008057CD"/>
    <w:rsid w:val="00805904"/>
    <w:rsid w:val="008066B8"/>
    <w:rsid w:val="00806796"/>
    <w:rsid w:val="00810167"/>
    <w:rsid w:val="008104D0"/>
    <w:rsid w:val="00811CC0"/>
    <w:rsid w:val="008151D6"/>
    <w:rsid w:val="00816FEB"/>
    <w:rsid w:val="00820803"/>
    <w:rsid w:val="00821527"/>
    <w:rsid w:val="00821E50"/>
    <w:rsid w:val="00822696"/>
    <w:rsid w:val="00825A6C"/>
    <w:rsid w:val="0082617E"/>
    <w:rsid w:val="008268BB"/>
    <w:rsid w:val="00826F6D"/>
    <w:rsid w:val="008306F3"/>
    <w:rsid w:val="00830E40"/>
    <w:rsid w:val="00832D9A"/>
    <w:rsid w:val="0083369F"/>
    <w:rsid w:val="00834FC0"/>
    <w:rsid w:val="00835C62"/>
    <w:rsid w:val="008368A1"/>
    <w:rsid w:val="00836D83"/>
    <w:rsid w:val="00840EF7"/>
    <w:rsid w:val="00844C0A"/>
    <w:rsid w:val="00846056"/>
    <w:rsid w:val="0084681F"/>
    <w:rsid w:val="00847EC0"/>
    <w:rsid w:val="00855FD6"/>
    <w:rsid w:val="00856A33"/>
    <w:rsid w:val="00856DDD"/>
    <w:rsid w:val="00860233"/>
    <w:rsid w:val="00863E68"/>
    <w:rsid w:val="008647B5"/>
    <w:rsid w:val="00867D64"/>
    <w:rsid w:val="0087082A"/>
    <w:rsid w:val="00872E8F"/>
    <w:rsid w:val="00875DCB"/>
    <w:rsid w:val="00876FBF"/>
    <w:rsid w:val="0087755A"/>
    <w:rsid w:val="00877E8E"/>
    <w:rsid w:val="008808B3"/>
    <w:rsid w:val="00882085"/>
    <w:rsid w:val="00883188"/>
    <w:rsid w:val="00884A0C"/>
    <w:rsid w:val="00886472"/>
    <w:rsid w:val="00886ACA"/>
    <w:rsid w:val="00886B01"/>
    <w:rsid w:val="00887A05"/>
    <w:rsid w:val="00887D16"/>
    <w:rsid w:val="0089031E"/>
    <w:rsid w:val="0089109A"/>
    <w:rsid w:val="00893D5C"/>
    <w:rsid w:val="0089460B"/>
    <w:rsid w:val="0089598E"/>
    <w:rsid w:val="00897D58"/>
    <w:rsid w:val="00897F22"/>
    <w:rsid w:val="008A0B39"/>
    <w:rsid w:val="008A17A3"/>
    <w:rsid w:val="008A1956"/>
    <w:rsid w:val="008A1E85"/>
    <w:rsid w:val="008A2419"/>
    <w:rsid w:val="008A4937"/>
    <w:rsid w:val="008A50F1"/>
    <w:rsid w:val="008A5631"/>
    <w:rsid w:val="008A59D9"/>
    <w:rsid w:val="008A643E"/>
    <w:rsid w:val="008A6819"/>
    <w:rsid w:val="008A79EF"/>
    <w:rsid w:val="008B007A"/>
    <w:rsid w:val="008B2EC0"/>
    <w:rsid w:val="008B6C3A"/>
    <w:rsid w:val="008B6DCF"/>
    <w:rsid w:val="008B76F5"/>
    <w:rsid w:val="008C64B3"/>
    <w:rsid w:val="008C77B3"/>
    <w:rsid w:val="008D0945"/>
    <w:rsid w:val="008D1409"/>
    <w:rsid w:val="008D15CC"/>
    <w:rsid w:val="008D1729"/>
    <w:rsid w:val="008D1B5C"/>
    <w:rsid w:val="008D3C82"/>
    <w:rsid w:val="008D447E"/>
    <w:rsid w:val="008D54FA"/>
    <w:rsid w:val="008D6ACF"/>
    <w:rsid w:val="008D7A41"/>
    <w:rsid w:val="008E2C72"/>
    <w:rsid w:val="008E3680"/>
    <w:rsid w:val="008E4F87"/>
    <w:rsid w:val="008E5870"/>
    <w:rsid w:val="008E77E4"/>
    <w:rsid w:val="008F0213"/>
    <w:rsid w:val="008F0438"/>
    <w:rsid w:val="008F07ED"/>
    <w:rsid w:val="008F11F8"/>
    <w:rsid w:val="008F1434"/>
    <w:rsid w:val="008F2BB9"/>
    <w:rsid w:val="008F3AF8"/>
    <w:rsid w:val="008F3D6A"/>
    <w:rsid w:val="008F54C3"/>
    <w:rsid w:val="008F5D40"/>
    <w:rsid w:val="008F7080"/>
    <w:rsid w:val="008F7355"/>
    <w:rsid w:val="008F78FF"/>
    <w:rsid w:val="009023DC"/>
    <w:rsid w:val="009027C5"/>
    <w:rsid w:val="00904413"/>
    <w:rsid w:val="009067B7"/>
    <w:rsid w:val="0090775A"/>
    <w:rsid w:val="00907DFD"/>
    <w:rsid w:val="0091032F"/>
    <w:rsid w:val="00912B12"/>
    <w:rsid w:val="00913C99"/>
    <w:rsid w:val="009160FD"/>
    <w:rsid w:val="00917D69"/>
    <w:rsid w:val="00920B6D"/>
    <w:rsid w:val="00924DD6"/>
    <w:rsid w:val="00926560"/>
    <w:rsid w:val="00926B15"/>
    <w:rsid w:val="00926EFD"/>
    <w:rsid w:val="009277F0"/>
    <w:rsid w:val="00930291"/>
    <w:rsid w:val="00930937"/>
    <w:rsid w:val="009324A6"/>
    <w:rsid w:val="00933B7D"/>
    <w:rsid w:val="00933E6C"/>
    <w:rsid w:val="00934A15"/>
    <w:rsid w:val="00935A6E"/>
    <w:rsid w:val="00937958"/>
    <w:rsid w:val="009406E5"/>
    <w:rsid w:val="00941602"/>
    <w:rsid w:val="00942160"/>
    <w:rsid w:val="00946921"/>
    <w:rsid w:val="00947343"/>
    <w:rsid w:val="0095146F"/>
    <w:rsid w:val="009534C7"/>
    <w:rsid w:val="00957944"/>
    <w:rsid w:val="009602C5"/>
    <w:rsid w:val="0096215C"/>
    <w:rsid w:val="00962223"/>
    <w:rsid w:val="0096252B"/>
    <w:rsid w:val="009644D9"/>
    <w:rsid w:val="00964A9F"/>
    <w:rsid w:val="00966C85"/>
    <w:rsid w:val="00966D0D"/>
    <w:rsid w:val="00967732"/>
    <w:rsid w:val="0096783C"/>
    <w:rsid w:val="00970023"/>
    <w:rsid w:val="009722B3"/>
    <w:rsid w:val="009727C2"/>
    <w:rsid w:val="00972C94"/>
    <w:rsid w:val="00973E24"/>
    <w:rsid w:val="00974C21"/>
    <w:rsid w:val="00975948"/>
    <w:rsid w:val="00976BEC"/>
    <w:rsid w:val="009772FD"/>
    <w:rsid w:val="00977BF3"/>
    <w:rsid w:val="009803E4"/>
    <w:rsid w:val="00980B0E"/>
    <w:rsid w:val="00982B39"/>
    <w:rsid w:val="009836A3"/>
    <w:rsid w:val="00984C58"/>
    <w:rsid w:val="009855A8"/>
    <w:rsid w:val="00985CBE"/>
    <w:rsid w:val="00985D1A"/>
    <w:rsid w:val="00990CF8"/>
    <w:rsid w:val="009913F4"/>
    <w:rsid w:val="00991782"/>
    <w:rsid w:val="009937F7"/>
    <w:rsid w:val="00994075"/>
    <w:rsid w:val="0099465B"/>
    <w:rsid w:val="009951A1"/>
    <w:rsid w:val="00997A44"/>
    <w:rsid w:val="009A01C4"/>
    <w:rsid w:val="009A0CDD"/>
    <w:rsid w:val="009A24AF"/>
    <w:rsid w:val="009A3168"/>
    <w:rsid w:val="009A4BDF"/>
    <w:rsid w:val="009A542F"/>
    <w:rsid w:val="009A5D04"/>
    <w:rsid w:val="009A61CA"/>
    <w:rsid w:val="009B0C64"/>
    <w:rsid w:val="009B0F67"/>
    <w:rsid w:val="009B208A"/>
    <w:rsid w:val="009B2756"/>
    <w:rsid w:val="009B3D56"/>
    <w:rsid w:val="009B3F8C"/>
    <w:rsid w:val="009B519D"/>
    <w:rsid w:val="009B533B"/>
    <w:rsid w:val="009B63AF"/>
    <w:rsid w:val="009C10B4"/>
    <w:rsid w:val="009C703C"/>
    <w:rsid w:val="009D0C29"/>
    <w:rsid w:val="009D206E"/>
    <w:rsid w:val="009D3CAA"/>
    <w:rsid w:val="009D507A"/>
    <w:rsid w:val="009D6532"/>
    <w:rsid w:val="009D71FD"/>
    <w:rsid w:val="009E06F0"/>
    <w:rsid w:val="009E0755"/>
    <w:rsid w:val="009E10AD"/>
    <w:rsid w:val="009E2588"/>
    <w:rsid w:val="009E2E8E"/>
    <w:rsid w:val="009E40E1"/>
    <w:rsid w:val="009E6B4F"/>
    <w:rsid w:val="009F0EFA"/>
    <w:rsid w:val="009F4AE0"/>
    <w:rsid w:val="009F4E46"/>
    <w:rsid w:val="009F4FA6"/>
    <w:rsid w:val="009F5B65"/>
    <w:rsid w:val="009F5C50"/>
    <w:rsid w:val="009F5F2E"/>
    <w:rsid w:val="009F7A8A"/>
    <w:rsid w:val="00A01432"/>
    <w:rsid w:val="00A02134"/>
    <w:rsid w:val="00A0424B"/>
    <w:rsid w:val="00A06225"/>
    <w:rsid w:val="00A110D1"/>
    <w:rsid w:val="00A12587"/>
    <w:rsid w:val="00A128E6"/>
    <w:rsid w:val="00A1315F"/>
    <w:rsid w:val="00A144D3"/>
    <w:rsid w:val="00A21AF9"/>
    <w:rsid w:val="00A21D7D"/>
    <w:rsid w:val="00A22AC3"/>
    <w:rsid w:val="00A23F3F"/>
    <w:rsid w:val="00A24067"/>
    <w:rsid w:val="00A24A4B"/>
    <w:rsid w:val="00A2500A"/>
    <w:rsid w:val="00A27070"/>
    <w:rsid w:val="00A2744D"/>
    <w:rsid w:val="00A30D16"/>
    <w:rsid w:val="00A33EB7"/>
    <w:rsid w:val="00A34E6C"/>
    <w:rsid w:val="00A34FD0"/>
    <w:rsid w:val="00A35BD4"/>
    <w:rsid w:val="00A36398"/>
    <w:rsid w:val="00A37C8D"/>
    <w:rsid w:val="00A4020E"/>
    <w:rsid w:val="00A408E8"/>
    <w:rsid w:val="00A40FB5"/>
    <w:rsid w:val="00A42826"/>
    <w:rsid w:val="00A429B3"/>
    <w:rsid w:val="00A43C5C"/>
    <w:rsid w:val="00A44EC1"/>
    <w:rsid w:val="00A510E4"/>
    <w:rsid w:val="00A526F7"/>
    <w:rsid w:val="00A5273B"/>
    <w:rsid w:val="00A53A9D"/>
    <w:rsid w:val="00A5487B"/>
    <w:rsid w:val="00A55FEE"/>
    <w:rsid w:val="00A57422"/>
    <w:rsid w:val="00A62C1A"/>
    <w:rsid w:val="00A63CA2"/>
    <w:rsid w:val="00A6426D"/>
    <w:rsid w:val="00A665C1"/>
    <w:rsid w:val="00A66C4C"/>
    <w:rsid w:val="00A673A4"/>
    <w:rsid w:val="00A7001A"/>
    <w:rsid w:val="00A7003E"/>
    <w:rsid w:val="00A70622"/>
    <w:rsid w:val="00A70977"/>
    <w:rsid w:val="00A70D58"/>
    <w:rsid w:val="00A744F9"/>
    <w:rsid w:val="00A7582B"/>
    <w:rsid w:val="00A77613"/>
    <w:rsid w:val="00A77B87"/>
    <w:rsid w:val="00A81851"/>
    <w:rsid w:val="00A8390C"/>
    <w:rsid w:val="00A86AE0"/>
    <w:rsid w:val="00A91362"/>
    <w:rsid w:val="00A9151C"/>
    <w:rsid w:val="00A919C6"/>
    <w:rsid w:val="00A928BD"/>
    <w:rsid w:val="00A94664"/>
    <w:rsid w:val="00A97DE9"/>
    <w:rsid w:val="00AA12CD"/>
    <w:rsid w:val="00AA1C91"/>
    <w:rsid w:val="00AA26CF"/>
    <w:rsid w:val="00AA4D1C"/>
    <w:rsid w:val="00AA52FD"/>
    <w:rsid w:val="00AA5897"/>
    <w:rsid w:val="00AA7006"/>
    <w:rsid w:val="00AB2397"/>
    <w:rsid w:val="00AB3CEC"/>
    <w:rsid w:val="00AB4684"/>
    <w:rsid w:val="00AB5856"/>
    <w:rsid w:val="00AC081D"/>
    <w:rsid w:val="00AC0C6F"/>
    <w:rsid w:val="00AC1266"/>
    <w:rsid w:val="00AC193C"/>
    <w:rsid w:val="00AC2CDD"/>
    <w:rsid w:val="00AC30C1"/>
    <w:rsid w:val="00AC4C46"/>
    <w:rsid w:val="00AC4DE5"/>
    <w:rsid w:val="00AC4F21"/>
    <w:rsid w:val="00AC5206"/>
    <w:rsid w:val="00AC6F46"/>
    <w:rsid w:val="00AD124C"/>
    <w:rsid w:val="00AD3106"/>
    <w:rsid w:val="00AD3263"/>
    <w:rsid w:val="00AD3FC6"/>
    <w:rsid w:val="00AD4322"/>
    <w:rsid w:val="00AE03B0"/>
    <w:rsid w:val="00AE1198"/>
    <w:rsid w:val="00AE11A5"/>
    <w:rsid w:val="00AE13E2"/>
    <w:rsid w:val="00AE22D3"/>
    <w:rsid w:val="00AE2B29"/>
    <w:rsid w:val="00AE4B8D"/>
    <w:rsid w:val="00AE5A49"/>
    <w:rsid w:val="00AF11D8"/>
    <w:rsid w:val="00AF5867"/>
    <w:rsid w:val="00AF62DF"/>
    <w:rsid w:val="00AF6340"/>
    <w:rsid w:val="00AF68CC"/>
    <w:rsid w:val="00AF70D7"/>
    <w:rsid w:val="00B00CD0"/>
    <w:rsid w:val="00B00E7F"/>
    <w:rsid w:val="00B01FF4"/>
    <w:rsid w:val="00B0326D"/>
    <w:rsid w:val="00B06037"/>
    <w:rsid w:val="00B06478"/>
    <w:rsid w:val="00B07533"/>
    <w:rsid w:val="00B07CFB"/>
    <w:rsid w:val="00B1059E"/>
    <w:rsid w:val="00B14A36"/>
    <w:rsid w:val="00B16206"/>
    <w:rsid w:val="00B16273"/>
    <w:rsid w:val="00B170A5"/>
    <w:rsid w:val="00B1725F"/>
    <w:rsid w:val="00B176C8"/>
    <w:rsid w:val="00B17EE5"/>
    <w:rsid w:val="00B205AA"/>
    <w:rsid w:val="00B22653"/>
    <w:rsid w:val="00B22E84"/>
    <w:rsid w:val="00B233AD"/>
    <w:rsid w:val="00B23E25"/>
    <w:rsid w:val="00B25F75"/>
    <w:rsid w:val="00B26B3F"/>
    <w:rsid w:val="00B2778F"/>
    <w:rsid w:val="00B327E2"/>
    <w:rsid w:val="00B33635"/>
    <w:rsid w:val="00B37A23"/>
    <w:rsid w:val="00B37CF8"/>
    <w:rsid w:val="00B42AF4"/>
    <w:rsid w:val="00B43E90"/>
    <w:rsid w:val="00B44308"/>
    <w:rsid w:val="00B45722"/>
    <w:rsid w:val="00B467DC"/>
    <w:rsid w:val="00B46C19"/>
    <w:rsid w:val="00B50B3D"/>
    <w:rsid w:val="00B52303"/>
    <w:rsid w:val="00B5392A"/>
    <w:rsid w:val="00B539EF"/>
    <w:rsid w:val="00B56118"/>
    <w:rsid w:val="00B56218"/>
    <w:rsid w:val="00B566E1"/>
    <w:rsid w:val="00B56AFB"/>
    <w:rsid w:val="00B57340"/>
    <w:rsid w:val="00B602F6"/>
    <w:rsid w:val="00B6319C"/>
    <w:rsid w:val="00B64179"/>
    <w:rsid w:val="00B64A96"/>
    <w:rsid w:val="00B6684C"/>
    <w:rsid w:val="00B6773F"/>
    <w:rsid w:val="00B70EB3"/>
    <w:rsid w:val="00B72906"/>
    <w:rsid w:val="00B7445F"/>
    <w:rsid w:val="00B74F48"/>
    <w:rsid w:val="00B7525E"/>
    <w:rsid w:val="00B75433"/>
    <w:rsid w:val="00B760FB"/>
    <w:rsid w:val="00B76765"/>
    <w:rsid w:val="00B767AB"/>
    <w:rsid w:val="00B775F3"/>
    <w:rsid w:val="00B801BA"/>
    <w:rsid w:val="00B812D6"/>
    <w:rsid w:val="00B8201A"/>
    <w:rsid w:val="00B84D5C"/>
    <w:rsid w:val="00B85AF6"/>
    <w:rsid w:val="00B929B8"/>
    <w:rsid w:val="00B956ED"/>
    <w:rsid w:val="00BA2DA8"/>
    <w:rsid w:val="00BA347C"/>
    <w:rsid w:val="00BA4C79"/>
    <w:rsid w:val="00BB298A"/>
    <w:rsid w:val="00BB3469"/>
    <w:rsid w:val="00BB5C49"/>
    <w:rsid w:val="00BB6240"/>
    <w:rsid w:val="00BB6285"/>
    <w:rsid w:val="00BB69F5"/>
    <w:rsid w:val="00BB7EC3"/>
    <w:rsid w:val="00BC04B1"/>
    <w:rsid w:val="00BC2F41"/>
    <w:rsid w:val="00BC4347"/>
    <w:rsid w:val="00BC470E"/>
    <w:rsid w:val="00BC4B9A"/>
    <w:rsid w:val="00BD02C3"/>
    <w:rsid w:val="00BD7483"/>
    <w:rsid w:val="00BD784C"/>
    <w:rsid w:val="00BE020A"/>
    <w:rsid w:val="00BE13DF"/>
    <w:rsid w:val="00BE1EF0"/>
    <w:rsid w:val="00BE25D7"/>
    <w:rsid w:val="00BE267E"/>
    <w:rsid w:val="00BE3557"/>
    <w:rsid w:val="00BE62C7"/>
    <w:rsid w:val="00BE6EC5"/>
    <w:rsid w:val="00BF092C"/>
    <w:rsid w:val="00BF27A0"/>
    <w:rsid w:val="00BF4CB6"/>
    <w:rsid w:val="00BF6CBD"/>
    <w:rsid w:val="00C00DA7"/>
    <w:rsid w:val="00C034FB"/>
    <w:rsid w:val="00C04CDE"/>
    <w:rsid w:val="00C068A6"/>
    <w:rsid w:val="00C12768"/>
    <w:rsid w:val="00C12D70"/>
    <w:rsid w:val="00C130CF"/>
    <w:rsid w:val="00C13707"/>
    <w:rsid w:val="00C162FE"/>
    <w:rsid w:val="00C16724"/>
    <w:rsid w:val="00C21B09"/>
    <w:rsid w:val="00C257D3"/>
    <w:rsid w:val="00C25EFF"/>
    <w:rsid w:val="00C2673A"/>
    <w:rsid w:val="00C278CD"/>
    <w:rsid w:val="00C27B58"/>
    <w:rsid w:val="00C27C1C"/>
    <w:rsid w:val="00C33186"/>
    <w:rsid w:val="00C35996"/>
    <w:rsid w:val="00C371D1"/>
    <w:rsid w:val="00C40125"/>
    <w:rsid w:val="00C42BCD"/>
    <w:rsid w:val="00C46C13"/>
    <w:rsid w:val="00C4747E"/>
    <w:rsid w:val="00C47993"/>
    <w:rsid w:val="00C5151E"/>
    <w:rsid w:val="00C5342C"/>
    <w:rsid w:val="00C53B2B"/>
    <w:rsid w:val="00C549E7"/>
    <w:rsid w:val="00C57465"/>
    <w:rsid w:val="00C60272"/>
    <w:rsid w:val="00C603D4"/>
    <w:rsid w:val="00C6256A"/>
    <w:rsid w:val="00C63FDA"/>
    <w:rsid w:val="00C64EBC"/>
    <w:rsid w:val="00C664D2"/>
    <w:rsid w:val="00C677E1"/>
    <w:rsid w:val="00C710E2"/>
    <w:rsid w:val="00C71C3F"/>
    <w:rsid w:val="00C7409E"/>
    <w:rsid w:val="00C74D6D"/>
    <w:rsid w:val="00C75D27"/>
    <w:rsid w:val="00C76E76"/>
    <w:rsid w:val="00C77891"/>
    <w:rsid w:val="00C77B74"/>
    <w:rsid w:val="00C82062"/>
    <w:rsid w:val="00C829A9"/>
    <w:rsid w:val="00C8487C"/>
    <w:rsid w:val="00C87B80"/>
    <w:rsid w:val="00C90330"/>
    <w:rsid w:val="00C90F0B"/>
    <w:rsid w:val="00C91449"/>
    <w:rsid w:val="00C92D10"/>
    <w:rsid w:val="00C92F79"/>
    <w:rsid w:val="00C95200"/>
    <w:rsid w:val="00C960B0"/>
    <w:rsid w:val="00C96EC0"/>
    <w:rsid w:val="00CA2BB3"/>
    <w:rsid w:val="00CA3C60"/>
    <w:rsid w:val="00CA45E5"/>
    <w:rsid w:val="00CA48D9"/>
    <w:rsid w:val="00CB1193"/>
    <w:rsid w:val="00CB4767"/>
    <w:rsid w:val="00CB493D"/>
    <w:rsid w:val="00CB6712"/>
    <w:rsid w:val="00CC3B97"/>
    <w:rsid w:val="00CD6257"/>
    <w:rsid w:val="00CD7C0B"/>
    <w:rsid w:val="00CE10C4"/>
    <w:rsid w:val="00CE2343"/>
    <w:rsid w:val="00CE27B5"/>
    <w:rsid w:val="00CE2BDF"/>
    <w:rsid w:val="00CE6681"/>
    <w:rsid w:val="00CE6D24"/>
    <w:rsid w:val="00CE6DAF"/>
    <w:rsid w:val="00CF3D51"/>
    <w:rsid w:val="00CF410A"/>
    <w:rsid w:val="00CF7528"/>
    <w:rsid w:val="00CF7FDE"/>
    <w:rsid w:val="00D012AF"/>
    <w:rsid w:val="00D0321E"/>
    <w:rsid w:val="00D05457"/>
    <w:rsid w:val="00D062ED"/>
    <w:rsid w:val="00D069EB"/>
    <w:rsid w:val="00D07A8A"/>
    <w:rsid w:val="00D109DF"/>
    <w:rsid w:val="00D10E31"/>
    <w:rsid w:val="00D11199"/>
    <w:rsid w:val="00D1455A"/>
    <w:rsid w:val="00D14A70"/>
    <w:rsid w:val="00D179FE"/>
    <w:rsid w:val="00D207EA"/>
    <w:rsid w:val="00D22093"/>
    <w:rsid w:val="00D24253"/>
    <w:rsid w:val="00D309A8"/>
    <w:rsid w:val="00D31150"/>
    <w:rsid w:val="00D3138B"/>
    <w:rsid w:val="00D31FCE"/>
    <w:rsid w:val="00D3280C"/>
    <w:rsid w:val="00D32A43"/>
    <w:rsid w:val="00D33D11"/>
    <w:rsid w:val="00D3406A"/>
    <w:rsid w:val="00D34D24"/>
    <w:rsid w:val="00D37DE8"/>
    <w:rsid w:val="00D37E18"/>
    <w:rsid w:val="00D40B11"/>
    <w:rsid w:val="00D42864"/>
    <w:rsid w:val="00D429EC"/>
    <w:rsid w:val="00D441F1"/>
    <w:rsid w:val="00D4572C"/>
    <w:rsid w:val="00D469B2"/>
    <w:rsid w:val="00D503FE"/>
    <w:rsid w:val="00D50436"/>
    <w:rsid w:val="00D52B24"/>
    <w:rsid w:val="00D53F34"/>
    <w:rsid w:val="00D54B09"/>
    <w:rsid w:val="00D61DA8"/>
    <w:rsid w:val="00D6243E"/>
    <w:rsid w:val="00D65658"/>
    <w:rsid w:val="00D67EB2"/>
    <w:rsid w:val="00D70349"/>
    <w:rsid w:val="00D72B6F"/>
    <w:rsid w:val="00D741EB"/>
    <w:rsid w:val="00D74FC9"/>
    <w:rsid w:val="00D7679C"/>
    <w:rsid w:val="00D820F3"/>
    <w:rsid w:val="00D83605"/>
    <w:rsid w:val="00D84934"/>
    <w:rsid w:val="00D866EB"/>
    <w:rsid w:val="00D87D1A"/>
    <w:rsid w:val="00D906DA"/>
    <w:rsid w:val="00D91271"/>
    <w:rsid w:val="00D919F5"/>
    <w:rsid w:val="00D945F6"/>
    <w:rsid w:val="00D94F03"/>
    <w:rsid w:val="00D95161"/>
    <w:rsid w:val="00D95C23"/>
    <w:rsid w:val="00D95D5A"/>
    <w:rsid w:val="00D95E4F"/>
    <w:rsid w:val="00DA0A82"/>
    <w:rsid w:val="00DA0D14"/>
    <w:rsid w:val="00DA1FC9"/>
    <w:rsid w:val="00DA2CB5"/>
    <w:rsid w:val="00DA383E"/>
    <w:rsid w:val="00DA4BAC"/>
    <w:rsid w:val="00DA6577"/>
    <w:rsid w:val="00DA722E"/>
    <w:rsid w:val="00DA7754"/>
    <w:rsid w:val="00DA792A"/>
    <w:rsid w:val="00DB0151"/>
    <w:rsid w:val="00DB04D7"/>
    <w:rsid w:val="00DB50E1"/>
    <w:rsid w:val="00DC02BA"/>
    <w:rsid w:val="00DC0566"/>
    <w:rsid w:val="00DC05E1"/>
    <w:rsid w:val="00DC0693"/>
    <w:rsid w:val="00DC0EFC"/>
    <w:rsid w:val="00DC1499"/>
    <w:rsid w:val="00DC16CF"/>
    <w:rsid w:val="00DC2ADB"/>
    <w:rsid w:val="00DC2C3E"/>
    <w:rsid w:val="00DC3137"/>
    <w:rsid w:val="00DC3AEC"/>
    <w:rsid w:val="00DC4880"/>
    <w:rsid w:val="00DC5E90"/>
    <w:rsid w:val="00DC7AE7"/>
    <w:rsid w:val="00DD0BE9"/>
    <w:rsid w:val="00DD26F9"/>
    <w:rsid w:val="00DD42AB"/>
    <w:rsid w:val="00DD6287"/>
    <w:rsid w:val="00DE06AF"/>
    <w:rsid w:val="00DE5DA7"/>
    <w:rsid w:val="00DE6D27"/>
    <w:rsid w:val="00DE76EA"/>
    <w:rsid w:val="00DF01F8"/>
    <w:rsid w:val="00DF021D"/>
    <w:rsid w:val="00DF14EE"/>
    <w:rsid w:val="00DF217D"/>
    <w:rsid w:val="00DF26A7"/>
    <w:rsid w:val="00DF3277"/>
    <w:rsid w:val="00DF6A31"/>
    <w:rsid w:val="00DF77A1"/>
    <w:rsid w:val="00DF7919"/>
    <w:rsid w:val="00E00509"/>
    <w:rsid w:val="00E0207E"/>
    <w:rsid w:val="00E02AE6"/>
    <w:rsid w:val="00E03912"/>
    <w:rsid w:val="00E04748"/>
    <w:rsid w:val="00E07370"/>
    <w:rsid w:val="00E078D9"/>
    <w:rsid w:val="00E10293"/>
    <w:rsid w:val="00E103A0"/>
    <w:rsid w:val="00E1043F"/>
    <w:rsid w:val="00E10DD7"/>
    <w:rsid w:val="00E11F44"/>
    <w:rsid w:val="00E13E60"/>
    <w:rsid w:val="00E15627"/>
    <w:rsid w:val="00E15B4B"/>
    <w:rsid w:val="00E164B3"/>
    <w:rsid w:val="00E16910"/>
    <w:rsid w:val="00E21ECF"/>
    <w:rsid w:val="00E239E2"/>
    <w:rsid w:val="00E24E09"/>
    <w:rsid w:val="00E27234"/>
    <w:rsid w:val="00E3495C"/>
    <w:rsid w:val="00E42BDB"/>
    <w:rsid w:val="00E5726D"/>
    <w:rsid w:val="00E57EEB"/>
    <w:rsid w:val="00E615FB"/>
    <w:rsid w:val="00E618E8"/>
    <w:rsid w:val="00E62D94"/>
    <w:rsid w:val="00E62ECC"/>
    <w:rsid w:val="00E6429B"/>
    <w:rsid w:val="00E64F37"/>
    <w:rsid w:val="00E65091"/>
    <w:rsid w:val="00E65393"/>
    <w:rsid w:val="00E65E54"/>
    <w:rsid w:val="00E661C7"/>
    <w:rsid w:val="00E732C4"/>
    <w:rsid w:val="00E73DD5"/>
    <w:rsid w:val="00E74E41"/>
    <w:rsid w:val="00E80155"/>
    <w:rsid w:val="00E8134B"/>
    <w:rsid w:val="00E81C10"/>
    <w:rsid w:val="00E81E0D"/>
    <w:rsid w:val="00E81F28"/>
    <w:rsid w:val="00E848C0"/>
    <w:rsid w:val="00E84BB8"/>
    <w:rsid w:val="00E8548B"/>
    <w:rsid w:val="00E86F92"/>
    <w:rsid w:val="00E90DA1"/>
    <w:rsid w:val="00E91B96"/>
    <w:rsid w:val="00E92F2E"/>
    <w:rsid w:val="00E935DA"/>
    <w:rsid w:val="00E93D1E"/>
    <w:rsid w:val="00E941A1"/>
    <w:rsid w:val="00E9474B"/>
    <w:rsid w:val="00E95CE3"/>
    <w:rsid w:val="00E95F9A"/>
    <w:rsid w:val="00E97665"/>
    <w:rsid w:val="00EA0856"/>
    <w:rsid w:val="00EA1DC4"/>
    <w:rsid w:val="00EA252F"/>
    <w:rsid w:val="00EA2825"/>
    <w:rsid w:val="00EA4709"/>
    <w:rsid w:val="00EA5027"/>
    <w:rsid w:val="00EA64C2"/>
    <w:rsid w:val="00EA6518"/>
    <w:rsid w:val="00EA71A2"/>
    <w:rsid w:val="00EA7466"/>
    <w:rsid w:val="00EA7EDE"/>
    <w:rsid w:val="00EB0B63"/>
    <w:rsid w:val="00EB1936"/>
    <w:rsid w:val="00EB298F"/>
    <w:rsid w:val="00EB3545"/>
    <w:rsid w:val="00EB37BE"/>
    <w:rsid w:val="00EB4BAE"/>
    <w:rsid w:val="00EB5088"/>
    <w:rsid w:val="00EB7210"/>
    <w:rsid w:val="00EC2726"/>
    <w:rsid w:val="00EC4109"/>
    <w:rsid w:val="00EC681C"/>
    <w:rsid w:val="00EC7862"/>
    <w:rsid w:val="00EC7B87"/>
    <w:rsid w:val="00ED01B9"/>
    <w:rsid w:val="00ED0AC8"/>
    <w:rsid w:val="00ED1644"/>
    <w:rsid w:val="00ED2593"/>
    <w:rsid w:val="00ED3709"/>
    <w:rsid w:val="00ED40EC"/>
    <w:rsid w:val="00ED680E"/>
    <w:rsid w:val="00ED7D55"/>
    <w:rsid w:val="00ED7D9C"/>
    <w:rsid w:val="00EE00A7"/>
    <w:rsid w:val="00EE2EBE"/>
    <w:rsid w:val="00EE31A2"/>
    <w:rsid w:val="00EE4329"/>
    <w:rsid w:val="00EE6203"/>
    <w:rsid w:val="00EF0069"/>
    <w:rsid w:val="00EF44A0"/>
    <w:rsid w:val="00EF4580"/>
    <w:rsid w:val="00EF4FED"/>
    <w:rsid w:val="00EF5F45"/>
    <w:rsid w:val="00EF6843"/>
    <w:rsid w:val="00EF6941"/>
    <w:rsid w:val="00EF6FB3"/>
    <w:rsid w:val="00F0068B"/>
    <w:rsid w:val="00F007C6"/>
    <w:rsid w:val="00F0172E"/>
    <w:rsid w:val="00F050BD"/>
    <w:rsid w:val="00F05657"/>
    <w:rsid w:val="00F05AB0"/>
    <w:rsid w:val="00F12C74"/>
    <w:rsid w:val="00F1559A"/>
    <w:rsid w:val="00F1667C"/>
    <w:rsid w:val="00F17ED6"/>
    <w:rsid w:val="00F20676"/>
    <w:rsid w:val="00F209E2"/>
    <w:rsid w:val="00F224C1"/>
    <w:rsid w:val="00F2398F"/>
    <w:rsid w:val="00F24332"/>
    <w:rsid w:val="00F24869"/>
    <w:rsid w:val="00F25578"/>
    <w:rsid w:val="00F258E5"/>
    <w:rsid w:val="00F25B9C"/>
    <w:rsid w:val="00F2675A"/>
    <w:rsid w:val="00F26CC6"/>
    <w:rsid w:val="00F300BC"/>
    <w:rsid w:val="00F305FA"/>
    <w:rsid w:val="00F31162"/>
    <w:rsid w:val="00F3263C"/>
    <w:rsid w:val="00F32B77"/>
    <w:rsid w:val="00F3334E"/>
    <w:rsid w:val="00F3573A"/>
    <w:rsid w:val="00F361F1"/>
    <w:rsid w:val="00F36CCB"/>
    <w:rsid w:val="00F374E5"/>
    <w:rsid w:val="00F37B93"/>
    <w:rsid w:val="00F37BAD"/>
    <w:rsid w:val="00F37ECA"/>
    <w:rsid w:val="00F40A1C"/>
    <w:rsid w:val="00F43AF2"/>
    <w:rsid w:val="00F45216"/>
    <w:rsid w:val="00F5007E"/>
    <w:rsid w:val="00F508F6"/>
    <w:rsid w:val="00F50EC4"/>
    <w:rsid w:val="00F52232"/>
    <w:rsid w:val="00F527B1"/>
    <w:rsid w:val="00F52DC2"/>
    <w:rsid w:val="00F550CF"/>
    <w:rsid w:val="00F553D2"/>
    <w:rsid w:val="00F56A2D"/>
    <w:rsid w:val="00F57A6D"/>
    <w:rsid w:val="00F6044B"/>
    <w:rsid w:val="00F62F19"/>
    <w:rsid w:val="00F638CC"/>
    <w:rsid w:val="00F64C9E"/>
    <w:rsid w:val="00F64CC1"/>
    <w:rsid w:val="00F708B1"/>
    <w:rsid w:val="00F72317"/>
    <w:rsid w:val="00F72C2F"/>
    <w:rsid w:val="00F73DC1"/>
    <w:rsid w:val="00F75379"/>
    <w:rsid w:val="00F75BB8"/>
    <w:rsid w:val="00F77714"/>
    <w:rsid w:val="00F80475"/>
    <w:rsid w:val="00F80E6E"/>
    <w:rsid w:val="00F81390"/>
    <w:rsid w:val="00F81F7A"/>
    <w:rsid w:val="00F8247A"/>
    <w:rsid w:val="00F82E5C"/>
    <w:rsid w:val="00F83F58"/>
    <w:rsid w:val="00F85206"/>
    <w:rsid w:val="00F87CEA"/>
    <w:rsid w:val="00F9629A"/>
    <w:rsid w:val="00F976AE"/>
    <w:rsid w:val="00F97EFC"/>
    <w:rsid w:val="00FA0B04"/>
    <w:rsid w:val="00FA0C7C"/>
    <w:rsid w:val="00FA0F36"/>
    <w:rsid w:val="00FA1BDD"/>
    <w:rsid w:val="00FA305C"/>
    <w:rsid w:val="00FA462E"/>
    <w:rsid w:val="00FA4DD5"/>
    <w:rsid w:val="00FA5883"/>
    <w:rsid w:val="00FA6055"/>
    <w:rsid w:val="00FA6A12"/>
    <w:rsid w:val="00FA7F64"/>
    <w:rsid w:val="00FB0B39"/>
    <w:rsid w:val="00FB2E76"/>
    <w:rsid w:val="00FB322F"/>
    <w:rsid w:val="00FB442F"/>
    <w:rsid w:val="00FB706A"/>
    <w:rsid w:val="00FC118C"/>
    <w:rsid w:val="00FC1929"/>
    <w:rsid w:val="00FC5B46"/>
    <w:rsid w:val="00FC6432"/>
    <w:rsid w:val="00FD1D4F"/>
    <w:rsid w:val="00FD24BF"/>
    <w:rsid w:val="00FD3B6E"/>
    <w:rsid w:val="00FD4140"/>
    <w:rsid w:val="00FD57EB"/>
    <w:rsid w:val="00FD6AED"/>
    <w:rsid w:val="00FD6D8E"/>
    <w:rsid w:val="00FD71A8"/>
    <w:rsid w:val="00FE0663"/>
    <w:rsid w:val="00FE0E94"/>
    <w:rsid w:val="00FE369C"/>
    <w:rsid w:val="00FE3CD9"/>
    <w:rsid w:val="00FF00BD"/>
    <w:rsid w:val="00FF0B13"/>
    <w:rsid w:val="00FF1ED4"/>
    <w:rsid w:val="00FF2801"/>
    <w:rsid w:val="00FF3F6F"/>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5409"/>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714"/>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5"/>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2"/>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6"/>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EE4329"/>
    <w:rPr>
      <w:color w:val="605E5C"/>
      <w:shd w:val="clear" w:color="auto" w:fill="E1DFDD"/>
    </w:rPr>
  </w:style>
  <w:style w:type="paragraph" w:styleId="FootnoteText">
    <w:name w:val="footnote text"/>
    <w:basedOn w:val="Normal"/>
    <w:link w:val="FootnoteTextChar"/>
    <w:semiHidden/>
    <w:unhideWhenUsed/>
    <w:rsid w:val="00486596"/>
    <w:pPr>
      <w:jc w:val="left"/>
    </w:pPr>
    <w:rPr>
      <w:rFonts w:ascii="Times New Roman" w:hAnsi="Times New Roman"/>
      <w:sz w:val="20"/>
      <w:szCs w:val="20"/>
    </w:rPr>
  </w:style>
  <w:style w:type="character" w:customStyle="1" w:styleId="FootnoteTextChar">
    <w:name w:val="Footnote Text Char"/>
    <w:basedOn w:val="DefaultParagraphFont"/>
    <w:link w:val="FootnoteText"/>
    <w:semiHidden/>
    <w:rsid w:val="00486596"/>
  </w:style>
  <w:style w:type="character" w:styleId="FootnoteReference">
    <w:name w:val="footnote reference"/>
    <w:basedOn w:val="DefaultParagraphFont"/>
    <w:semiHidden/>
    <w:unhideWhenUsed/>
    <w:rsid w:val="00486596"/>
    <w:rPr>
      <w:vertAlign w:val="superscript"/>
    </w:rPr>
  </w:style>
  <w:style w:type="character" w:customStyle="1" w:styleId="3-SubsectionHeadingChar">
    <w:name w:val="3-Subsection Heading Char"/>
    <w:basedOn w:val="DefaultParagraphFont"/>
    <w:link w:val="3-SubsectionHeading"/>
    <w:locked/>
    <w:rsid w:val="002B4A29"/>
    <w:rPr>
      <w:rFonts w:asciiTheme="minorHAnsi" w:eastAsiaTheme="majorEastAsia" w:hAnsiTheme="minorHAnsi" w:cstheme="majorBidi"/>
      <w:b/>
      <w:i/>
      <w:color w:val="365F91" w:themeColor="accent1" w:themeShade="BF"/>
      <w:spacing w:val="5"/>
      <w:kern w:val="28"/>
      <w:sz w:val="28"/>
      <w:szCs w:val="36"/>
      <w:lang w:eastAsia="en-US"/>
    </w:rPr>
  </w:style>
  <w:style w:type="paragraph" w:customStyle="1" w:styleId="3-SubsectionHeading">
    <w:name w:val="3-Subsection Heading"/>
    <w:basedOn w:val="Heading2"/>
    <w:next w:val="Normal"/>
    <w:link w:val="3-SubsectionHeadingChar"/>
    <w:qFormat/>
    <w:rsid w:val="002B4A29"/>
    <w:pPr>
      <w:spacing w:before="120" w:after="120"/>
      <w:outlineLvl w:val="9"/>
    </w:pPr>
    <w:rPr>
      <w:rFonts w:asciiTheme="minorHAnsi" w:eastAsiaTheme="majorEastAsia" w:hAnsiTheme="minorHAnsi" w:cstheme="majorBidi"/>
      <w:color w:val="365F91" w:themeColor="accent1" w:themeShade="BF"/>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5467">
      <w:bodyDiv w:val="1"/>
      <w:marLeft w:val="0"/>
      <w:marRight w:val="0"/>
      <w:marTop w:val="0"/>
      <w:marBottom w:val="0"/>
      <w:divBdr>
        <w:top w:val="none" w:sz="0" w:space="0" w:color="auto"/>
        <w:left w:val="none" w:sz="0" w:space="0" w:color="auto"/>
        <w:bottom w:val="none" w:sz="0" w:space="0" w:color="auto"/>
        <w:right w:val="none" w:sz="0" w:space="0" w:color="auto"/>
      </w:divBdr>
    </w:div>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68577355">
      <w:bodyDiv w:val="1"/>
      <w:marLeft w:val="0"/>
      <w:marRight w:val="0"/>
      <w:marTop w:val="0"/>
      <w:marBottom w:val="0"/>
      <w:divBdr>
        <w:top w:val="none" w:sz="0" w:space="0" w:color="auto"/>
        <w:left w:val="none" w:sz="0" w:space="0" w:color="auto"/>
        <w:bottom w:val="none" w:sz="0" w:space="0" w:color="auto"/>
        <w:right w:val="none" w:sz="0" w:space="0" w:color="auto"/>
      </w:divBdr>
    </w:div>
    <w:div w:id="125204198">
      <w:bodyDiv w:val="1"/>
      <w:marLeft w:val="0"/>
      <w:marRight w:val="0"/>
      <w:marTop w:val="0"/>
      <w:marBottom w:val="0"/>
      <w:divBdr>
        <w:top w:val="none" w:sz="0" w:space="0" w:color="auto"/>
        <w:left w:val="none" w:sz="0" w:space="0" w:color="auto"/>
        <w:bottom w:val="none" w:sz="0" w:space="0" w:color="auto"/>
        <w:right w:val="none" w:sz="0" w:space="0" w:color="auto"/>
      </w:divBdr>
    </w:div>
    <w:div w:id="132673690">
      <w:bodyDiv w:val="1"/>
      <w:marLeft w:val="0"/>
      <w:marRight w:val="0"/>
      <w:marTop w:val="0"/>
      <w:marBottom w:val="0"/>
      <w:divBdr>
        <w:top w:val="none" w:sz="0" w:space="0" w:color="auto"/>
        <w:left w:val="none" w:sz="0" w:space="0" w:color="auto"/>
        <w:bottom w:val="none" w:sz="0" w:space="0" w:color="auto"/>
        <w:right w:val="none" w:sz="0" w:space="0" w:color="auto"/>
      </w:divBdr>
    </w:div>
    <w:div w:id="179009634">
      <w:bodyDiv w:val="1"/>
      <w:marLeft w:val="0"/>
      <w:marRight w:val="0"/>
      <w:marTop w:val="0"/>
      <w:marBottom w:val="0"/>
      <w:divBdr>
        <w:top w:val="none" w:sz="0" w:space="0" w:color="auto"/>
        <w:left w:val="none" w:sz="0" w:space="0" w:color="auto"/>
        <w:bottom w:val="none" w:sz="0" w:space="0" w:color="auto"/>
        <w:right w:val="none" w:sz="0" w:space="0" w:color="auto"/>
      </w:divBdr>
    </w:div>
    <w:div w:id="272908254">
      <w:bodyDiv w:val="1"/>
      <w:marLeft w:val="0"/>
      <w:marRight w:val="0"/>
      <w:marTop w:val="0"/>
      <w:marBottom w:val="0"/>
      <w:divBdr>
        <w:top w:val="none" w:sz="0" w:space="0" w:color="auto"/>
        <w:left w:val="none" w:sz="0" w:space="0" w:color="auto"/>
        <w:bottom w:val="none" w:sz="0" w:space="0" w:color="auto"/>
        <w:right w:val="none" w:sz="0" w:space="0" w:color="auto"/>
      </w:divBdr>
    </w:div>
    <w:div w:id="295331003">
      <w:bodyDiv w:val="1"/>
      <w:marLeft w:val="0"/>
      <w:marRight w:val="0"/>
      <w:marTop w:val="0"/>
      <w:marBottom w:val="0"/>
      <w:divBdr>
        <w:top w:val="none" w:sz="0" w:space="0" w:color="auto"/>
        <w:left w:val="none" w:sz="0" w:space="0" w:color="auto"/>
        <w:bottom w:val="none" w:sz="0" w:space="0" w:color="auto"/>
        <w:right w:val="none" w:sz="0" w:space="0" w:color="auto"/>
      </w:divBdr>
    </w:div>
    <w:div w:id="353531312">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593635308">
      <w:bodyDiv w:val="1"/>
      <w:marLeft w:val="0"/>
      <w:marRight w:val="0"/>
      <w:marTop w:val="0"/>
      <w:marBottom w:val="0"/>
      <w:divBdr>
        <w:top w:val="none" w:sz="0" w:space="0" w:color="auto"/>
        <w:left w:val="none" w:sz="0" w:space="0" w:color="auto"/>
        <w:bottom w:val="none" w:sz="0" w:space="0" w:color="auto"/>
        <w:right w:val="none" w:sz="0" w:space="0" w:color="auto"/>
      </w:divBdr>
    </w:div>
    <w:div w:id="659307254">
      <w:bodyDiv w:val="1"/>
      <w:marLeft w:val="0"/>
      <w:marRight w:val="0"/>
      <w:marTop w:val="0"/>
      <w:marBottom w:val="0"/>
      <w:divBdr>
        <w:top w:val="none" w:sz="0" w:space="0" w:color="auto"/>
        <w:left w:val="none" w:sz="0" w:space="0" w:color="auto"/>
        <w:bottom w:val="none" w:sz="0" w:space="0" w:color="auto"/>
        <w:right w:val="none" w:sz="0" w:space="0" w:color="auto"/>
      </w:divBdr>
    </w:div>
    <w:div w:id="692072050">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76889198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07010988">
      <w:bodyDiv w:val="1"/>
      <w:marLeft w:val="0"/>
      <w:marRight w:val="0"/>
      <w:marTop w:val="0"/>
      <w:marBottom w:val="0"/>
      <w:divBdr>
        <w:top w:val="none" w:sz="0" w:space="0" w:color="auto"/>
        <w:left w:val="none" w:sz="0" w:space="0" w:color="auto"/>
        <w:bottom w:val="none" w:sz="0" w:space="0" w:color="auto"/>
        <w:right w:val="none" w:sz="0" w:space="0" w:color="auto"/>
      </w:divBdr>
    </w:div>
    <w:div w:id="825704571">
      <w:bodyDiv w:val="1"/>
      <w:marLeft w:val="0"/>
      <w:marRight w:val="0"/>
      <w:marTop w:val="0"/>
      <w:marBottom w:val="0"/>
      <w:divBdr>
        <w:top w:val="none" w:sz="0" w:space="0" w:color="auto"/>
        <w:left w:val="none" w:sz="0" w:space="0" w:color="auto"/>
        <w:bottom w:val="none" w:sz="0" w:space="0" w:color="auto"/>
        <w:right w:val="none" w:sz="0" w:space="0" w:color="auto"/>
      </w:divBdr>
    </w:div>
    <w:div w:id="949703977">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15427433">
      <w:bodyDiv w:val="1"/>
      <w:marLeft w:val="0"/>
      <w:marRight w:val="0"/>
      <w:marTop w:val="0"/>
      <w:marBottom w:val="0"/>
      <w:divBdr>
        <w:top w:val="none" w:sz="0" w:space="0" w:color="auto"/>
        <w:left w:val="none" w:sz="0" w:space="0" w:color="auto"/>
        <w:bottom w:val="none" w:sz="0" w:space="0" w:color="auto"/>
        <w:right w:val="none" w:sz="0" w:space="0" w:color="auto"/>
      </w:divBdr>
    </w:div>
    <w:div w:id="1112477051">
      <w:bodyDiv w:val="1"/>
      <w:marLeft w:val="0"/>
      <w:marRight w:val="0"/>
      <w:marTop w:val="0"/>
      <w:marBottom w:val="0"/>
      <w:divBdr>
        <w:top w:val="none" w:sz="0" w:space="0" w:color="auto"/>
        <w:left w:val="none" w:sz="0" w:space="0" w:color="auto"/>
        <w:bottom w:val="none" w:sz="0" w:space="0" w:color="auto"/>
        <w:right w:val="none" w:sz="0" w:space="0" w:color="auto"/>
      </w:divBdr>
    </w:div>
    <w:div w:id="1158613326">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34332629">
      <w:bodyDiv w:val="1"/>
      <w:marLeft w:val="0"/>
      <w:marRight w:val="0"/>
      <w:marTop w:val="0"/>
      <w:marBottom w:val="0"/>
      <w:divBdr>
        <w:top w:val="none" w:sz="0" w:space="0" w:color="auto"/>
        <w:left w:val="none" w:sz="0" w:space="0" w:color="auto"/>
        <w:bottom w:val="none" w:sz="0" w:space="0" w:color="auto"/>
        <w:right w:val="none" w:sz="0" w:space="0" w:color="auto"/>
      </w:divBdr>
    </w:div>
    <w:div w:id="1391265213">
      <w:bodyDiv w:val="1"/>
      <w:marLeft w:val="0"/>
      <w:marRight w:val="0"/>
      <w:marTop w:val="0"/>
      <w:marBottom w:val="0"/>
      <w:divBdr>
        <w:top w:val="none" w:sz="0" w:space="0" w:color="auto"/>
        <w:left w:val="none" w:sz="0" w:space="0" w:color="auto"/>
        <w:bottom w:val="none" w:sz="0" w:space="0" w:color="auto"/>
        <w:right w:val="none" w:sz="0" w:space="0" w:color="auto"/>
      </w:divBdr>
    </w:div>
    <w:div w:id="1435512691">
      <w:bodyDiv w:val="1"/>
      <w:marLeft w:val="0"/>
      <w:marRight w:val="0"/>
      <w:marTop w:val="0"/>
      <w:marBottom w:val="0"/>
      <w:divBdr>
        <w:top w:val="none" w:sz="0" w:space="0" w:color="auto"/>
        <w:left w:val="none" w:sz="0" w:space="0" w:color="auto"/>
        <w:bottom w:val="none" w:sz="0" w:space="0" w:color="auto"/>
        <w:right w:val="none" w:sz="0" w:space="0" w:color="auto"/>
      </w:divBdr>
    </w:div>
    <w:div w:id="1492913572">
      <w:bodyDiv w:val="1"/>
      <w:marLeft w:val="0"/>
      <w:marRight w:val="0"/>
      <w:marTop w:val="0"/>
      <w:marBottom w:val="0"/>
      <w:divBdr>
        <w:top w:val="none" w:sz="0" w:space="0" w:color="auto"/>
        <w:left w:val="none" w:sz="0" w:space="0" w:color="auto"/>
        <w:bottom w:val="none" w:sz="0" w:space="0" w:color="auto"/>
        <w:right w:val="none" w:sz="0" w:space="0" w:color="auto"/>
      </w:divBdr>
    </w:div>
    <w:div w:id="1533036723">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578393119">
      <w:bodyDiv w:val="1"/>
      <w:marLeft w:val="0"/>
      <w:marRight w:val="0"/>
      <w:marTop w:val="0"/>
      <w:marBottom w:val="0"/>
      <w:divBdr>
        <w:top w:val="none" w:sz="0" w:space="0" w:color="auto"/>
        <w:left w:val="none" w:sz="0" w:space="0" w:color="auto"/>
        <w:bottom w:val="none" w:sz="0" w:space="0" w:color="auto"/>
        <w:right w:val="none" w:sz="0" w:space="0" w:color="auto"/>
      </w:divBdr>
    </w:div>
    <w:div w:id="1581595089">
      <w:bodyDiv w:val="1"/>
      <w:marLeft w:val="0"/>
      <w:marRight w:val="0"/>
      <w:marTop w:val="0"/>
      <w:marBottom w:val="0"/>
      <w:divBdr>
        <w:top w:val="none" w:sz="0" w:space="0" w:color="auto"/>
        <w:left w:val="none" w:sz="0" w:space="0" w:color="auto"/>
        <w:bottom w:val="none" w:sz="0" w:space="0" w:color="auto"/>
        <w:right w:val="none" w:sz="0" w:space="0" w:color="auto"/>
      </w:divBdr>
    </w:div>
    <w:div w:id="1585142440">
      <w:bodyDiv w:val="1"/>
      <w:marLeft w:val="0"/>
      <w:marRight w:val="0"/>
      <w:marTop w:val="0"/>
      <w:marBottom w:val="0"/>
      <w:divBdr>
        <w:top w:val="none" w:sz="0" w:space="0" w:color="auto"/>
        <w:left w:val="none" w:sz="0" w:space="0" w:color="auto"/>
        <w:bottom w:val="none" w:sz="0" w:space="0" w:color="auto"/>
        <w:right w:val="none" w:sz="0" w:space="0" w:color="auto"/>
      </w:divBdr>
    </w:div>
    <w:div w:id="1613051693">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28325068">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048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EA490-260A-4477-B8DB-090208A3C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1482</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2022-03-30T04:40:00Z</dcterms:created>
  <dcterms:modified xsi:type="dcterms:W3CDTF">2022-06-24T04:41:00Z</dcterms:modified>
</cp:coreProperties>
</file>