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0472D" w14:textId="5D21CF8C" w:rsidR="00D50FA4" w:rsidRPr="008E7C4C" w:rsidRDefault="00187246" w:rsidP="00D50FA4">
      <w:pPr>
        <w:pStyle w:val="1-MainHeading"/>
      </w:pPr>
      <w:bookmarkStart w:id="0" w:name="_Toc93487430"/>
      <w:r w:rsidRPr="008E7C4C">
        <w:t>7.06</w:t>
      </w:r>
      <w:r w:rsidR="00163F66" w:rsidRPr="008E7C4C">
        <w:tab/>
      </w:r>
      <w:r w:rsidRPr="008E7C4C">
        <w:t>IXAZOMIB</w:t>
      </w:r>
      <w:r w:rsidR="00D50FA4" w:rsidRPr="008E7C4C">
        <w:t>,</w:t>
      </w:r>
      <w:r w:rsidR="00D50FA4" w:rsidRPr="008E7C4C">
        <w:br/>
        <w:t xml:space="preserve">Capsule 2.3 mg, </w:t>
      </w:r>
      <w:r w:rsidRPr="008E7C4C">
        <w:t xml:space="preserve">Capsule </w:t>
      </w:r>
      <w:r w:rsidR="00D50FA4" w:rsidRPr="008E7C4C">
        <w:t>3 mg,</w:t>
      </w:r>
      <w:r w:rsidRPr="008E7C4C">
        <w:t xml:space="preserve"> Capsule</w:t>
      </w:r>
      <w:r w:rsidR="00D50FA4" w:rsidRPr="008E7C4C">
        <w:t xml:space="preserve"> 4 mg,</w:t>
      </w:r>
      <w:r w:rsidR="00D50FA4" w:rsidRPr="008E7C4C">
        <w:br/>
      </w:r>
      <w:proofErr w:type="spellStart"/>
      <w:r w:rsidR="00D50FA4" w:rsidRPr="008E7C4C">
        <w:t>Ninlaro</w:t>
      </w:r>
      <w:proofErr w:type="spellEnd"/>
      <w:r w:rsidR="00D50FA4" w:rsidRPr="008E7C4C">
        <w:rPr>
          <w:vertAlign w:val="superscript"/>
        </w:rPr>
        <w:t>®</w:t>
      </w:r>
      <w:r w:rsidR="00D50FA4" w:rsidRPr="008E7C4C">
        <w:t>,</w:t>
      </w:r>
      <w:r w:rsidR="00D50FA4" w:rsidRPr="008E7C4C">
        <w:br/>
        <w:t>Takeda Pharmaceuticals Australia Pty Ltd.</w:t>
      </w:r>
      <w:bookmarkEnd w:id="0"/>
    </w:p>
    <w:p w14:paraId="572526A1" w14:textId="77777777" w:rsidR="00CC25DE" w:rsidRPr="008E7C4C" w:rsidRDefault="00CC25DE" w:rsidP="003A3E40">
      <w:pPr>
        <w:pStyle w:val="2-SectionHeading"/>
      </w:pPr>
      <w:bookmarkStart w:id="1" w:name="_Toc93487431"/>
      <w:r w:rsidRPr="008E7C4C">
        <w:t>Purpose of submission</w:t>
      </w:r>
      <w:bookmarkEnd w:id="1"/>
    </w:p>
    <w:p w14:paraId="4747DA3C" w14:textId="2C0E7820" w:rsidR="00CC25DE" w:rsidRPr="008E7C4C" w:rsidRDefault="00CC25DE" w:rsidP="00CC25DE">
      <w:pPr>
        <w:numPr>
          <w:ilvl w:val="1"/>
          <w:numId w:val="1"/>
        </w:numPr>
        <w:spacing w:after="120"/>
        <w:rPr>
          <w:rFonts w:asciiTheme="minorHAnsi" w:hAnsiTheme="minorHAnsi"/>
          <w:snapToGrid w:val="0"/>
        </w:rPr>
      </w:pPr>
      <w:r w:rsidRPr="008E7C4C">
        <w:rPr>
          <w:rFonts w:asciiTheme="minorHAnsi" w:hAnsiTheme="minorHAnsi"/>
          <w:snapToGrid w:val="0"/>
        </w:rPr>
        <w:t xml:space="preserve">The </w:t>
      </w:r>
      <w:r w:rsidR="006006CF" w:rsidRPr="008E7C4C">
        <w:rPr>
          <w:rFonts w:asciiTheme="minorHAnsi" w:hAnsiTheme="minorHAnsi"/>
          <w:snapToGrid w:val="0"/>
        </w:rPr>
        <w:t xml:space="preserve">standard re-entry </w:t>
      </w:r>
      <w:r w:rsidRPr="008E7C4C">
        <w:rPr>
          <w:rFonts w:asciiTheme="minorHAnsi" w:hAnsiTheme="minorHAnsi"/>
          <w:snapToGrid w:val="0"/>
        </w:rPr>
        <w:t xml:space="preserve">resubmission requested a Section 100 (Highly Specialised Drug), Authority Required (telephone) listing for </w:t>
      </w:r>
      <w:proofErr w:type="spellStart"/>
      <w:r w:rsidRPr="008E7C4C">
        <w:rPr>
          <w:rFonts w:asciiTheme="minorHAnsi" w:hAnsiTheme="minorHAnsi"/>
          <w:snapToGrid w:val="0"/>
        </w:rPr>
        <w:t>ixazomib</w:t>
      </w:r>
      <w:proofErr w:type="spellEnd"/>
      <w:r w:rsidRPr="008E7C4C">
        <w:rPr>
          <w:rFonts w:asciiTheme="minorHAnsi" w:hAnsiTheme="minorHAnsi"/>
          <w:snapToGrid w:val="0"/>
        </w:rPr>
        <w:t xml:space="preserve"> in combination with lenalidomide and dexamethasone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for the treatment of relapsed and/or refractory multiple myeloma (RRMM) after at least two prior therapies. </w:t>
      </w:r>
    </w:p>
    <w:p w14:paraId="2A8C1148" w14:textId="013F9287" w:rsidR="00CC25DE" w:rsidRPr="008E7C4C" w:rsidRDefault="00CC25DE" w:rsidP="00CC25DE">
      <w:pPr>
        <w:numPr>
          <w:ilvl w:val="1"/>
          <w:numId w:val="1"/>
        </w:numPr>
        <w:spacing w:after="120"/>
        <w:rPr>
          <w:rFonts w:asciiTheme="minorHAnsi" w:hAnsiTheme="minorHAnsi"/>
          <w:snapToGrid w:val="0"/>
        </w:rPr>
      </w:pPr>
      <w:r w:rsidRPr="008E7C4C">
        <w:rPr>
          <w:rFonts w:asciiTheme="minorHAnsi" w:hAnsiTheme="minorHAnsi"/>
          <w:snapToGrid w:val="0"/>
        </w:rPr>
        <w:t xml:space="preserve">Listing was requested </w:t>
      </w:r>
      <w:proofErr w:type="gramStart"/>
      <w:r w:rsidRPr="008E7C4C">
        <w:rPr>
          <w:rFonts w:asciiTheme="minorHAnsi" w:hAnsiTheme="minorHAnsi"/>
          <w:snapToGrid w:val="0"/>
        </w:rPr>
        <w:t>on the basis of</w:t>
      </w:r>
      <w:proofErr w:type="gramEnd"/>
      <w:r w:rsidRPr="008E7C4C">
        <w:rPr>
          <w:rFonts w:asciiTheme="minorHAnsi" w:hAnsiTheme="minorHAnsi"/>
          <w:snapToGrid w:val="0"/>
        </w:rPr>
        <w:t xml:space="preserve"> a cost utility analysis versus lenalidomide in combination with dexamethasone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and </w:t>
      </w:r>
      <w:r w:rsidR="00E9600F" w:rsidRPr="008E7C4C">
        <w:rPr>
          <w:rFonts w:asciiTheme="minorHAnsi" w:hAnsiTheme="minorHAnsi"/>
          <w:snapToGrid w:val="0"/>
        </w:rPr>
        <w:t xml:space="preserve">the </w:t>
      </w:r>
      <w:r w:rsidRPr="008E7C4C">
        <w:rPr>
          <w:rFonts w:asciiTheme="minorHAnsi" w:hAnsiTheme="minorHAnsi"/>
          <w:snapToGrid w:val="0"/>
        </w:rPr>
        <w:t>cost-minimisation analysis (CMA) versus carfilzomib in combination with dexamethasone (Cd)</w:t>
      </w:r>
      <w:r w:rsidR="00E9600F" w:rsidRPr="008E7C4C">
        <w:rPr>
          <w:rFonts w:asciiTheme="minorHAnsi" w:hAnsiTheme="minorHAnsi"/>
          <w:snapToGrid w:val="0"/>
        </w:rPr>
        <w:t xml:space="preserve"> which was presented in the </w:t>
      </w:r>
      <w:r w:rsidR="001C06DC" w:rsidRPr="008E7C4C">
        <w:rPr>
          <w:rFonts w:asciiTheme="minorHAnsi" w:hAnsiTheme="minorHAnsi"/>
          <w:snapToGrid w:val="0"/>
        </w:rPr>
        <w:t>November 2020 submission</w:t>
      </w:r>
      <w:r w:rsidRPr="008E7C4C">
        <w:rPr>
          <w:rFonts w:asciiTheme="minorHAnsi" w:hAnsiTheme="minorHAnsi"/>
          <w:snapToGrid w:val="0"/>
        </w:rPr>
        <w:t xml:space="preserve">. </w:t>
      </w:r>
      <w:r w:rsidR="00804E78" w:rsidRPr="008E7C4C">
        <w:rPr>
          <w:rFonts w:asciiTheme="minorHAnsi" w:hAnsiTheme="minorHAnsi"/>
          <w:snapToGrid w:val="0"/>
        </w:rPr>
        <w:t>T</w:t>
      </w:r>
      <w:r w:rsidRPr="008E7C4C">
        <w:rPr>
          <w:rFonts w:asciiTheme="minorHAnsi" w:hAnsiTheme="minorHAnsi"/>
          <w:snapToGrid w:val="0"/>
        </w:rPr>
        <w:t xml:space="preserve">he resubmission did not </w:t>
      </w:r>
      <w:r w:rsidR="001C06DC" w:rsidRPr="008E7C4C">
        <w:rPr>
          <w:rFonts w:asciiTheme="minorHAnsi" w:hAnsiTheme="minorHAnsi"/>
          <w:snapToGrid w:val="0"/>
        </w:rPr>
        <w:t>re</w:t>
      </w:r>
      <w:r w:rsidR="0037788E" w:rsidRPr="008E7C4C">
        <w:rPr>
          <w:rFonts w:asciiTheme="minorHAnsi" w:hAnsiTheme="minorHAnsi"/>
          <w:snapToGrid w:val="0"/>
        </w:rPr>
        <w:t>-</w:t>
      </w:r>
      <w:r w:rsidR="00804E78" w:rsidRPr="008E7C4C">
        <w:rPr>
          <w:rFonts w:asciiTheme="minorHAnsi" w:hAnsiTheme="minorHAnsi"/>
          <w:snapToGrid w:val="0"/>
        </w:rPr>
        <w:t>present</w:t>
      </w:r>
      <w:r w:rsidRPr="008E7C4C">
        <w:rPr>
          <w:rFonts w:asciiTheme="minorHAnsi" w:hAnsiTheme="minorHAnsi"/>
          <w:snapToGrid w:val="0"/>
        </w:rPr>
        <w:t xml:space="preserve"> the CMA</w:t>
      </w:r>
      <w:r w:rsidR="007E51A8" w:rsidRPr="008E7C4C">
        <w:rPr>
          <w:rFonts w:asciiTheme="minorHAnsi" w:hAnsiTheme="minorHAnsi"/>
          <w:snapToGrid w:val="0"/>
        </w:rPr>
        <w:t xml:space="preserve"> </w:t>
      </w:r>
      <w:r w:rsidR="00804E78" w:rsidRPr="008E7C4C">
        <w:rPr>
          <w:rFonts w:asciiTheme="minorHAnsi" w:hAnsiTheme="minorHAnsi"/>
          <w:snapToGrid w:val="0"/>
        </w:rPr>
        <w:t>comparing</w:t>
      </w:r>
      <w:r w:rsidR="007E51A8" w:rsidRPr="008E7C4C">
        <w:rPr>
          <w:rFonts w:asciiTheme="minorHAnsi" w:hAnsiTheme="minorHAnsi"/>
          <w:snapToGrid w:val="0"/>
        </w:rPr>
        <w:t xml:space="preserve"> </w:t>
      </w:r>
      <w:proofErr w:type="spellStart"/>
      <w:r w:rsidR="007E51A8" w:rsidRPr="008E7C4C">
        <w:rPr>
          <w:rFonts w:asciiTheme="minorHAnsi" w:hAnsiTheme="minorHAnsi"/>
          <w:snapToGrid w:val="0"/>
        </w:rPr>
        <w:t>ILd</w:t>
      </w:r>
      <w:proofErr w:type="spellEnd"/>
      <w:r w:rsidR="007E51A8" w:rsidRPr="008E7C4C">
        <w:rPr>
          <w:rFonts w:asciiTheme="minorHAnsi" w:hAnsiTheme="minorHAnsi"/>
          <w:snapToGrid w:val="0"/>
        </w:rPr>
        <w:t xml:space="preserve"> and Cd </w:t>
      </w:r>
      <w:r w:rsidR="00804E78" w:rsidRPr="008E7C4C">
        <w:rPr>
          <w:rFonts w:asciiTheme="minorHAnsi" w:hAnsiTheme="minorHAnsi"/>
          <w:snapToGrid w:val="0"/>
        </w:rPr>
        <w:t>in</w:t>
      </w:r>
      <w:r w:rsidR="007E51A8" w:rsidRPr="008E7C4C">
        <w:rPr>
          <w:rFonts w:asciiTheme="minorHAnsi" w:hAnsiTheme="minorHAnsi"/>
          <w:snapToGrid w:val="0"/>
        </w:rPr>
        <w:t xml:space="preserve"> the proposed </w:t>
      </w:r>
      <w:r w:rsidR="00804E78" w:rsidRPr="008E7C4C">
        <w:rPr>
          <w:rFonts w:asciiTheme="minorHAnsi" w:hAnsiTheme="minorHAnsi"/>
          <w:snapToGrid w:val="0"/>
        </w:rPr>
        <w:t>PBS population.</w:t>
      </w:r>
    </w:p>
    <w:p w14:paraId="5A7FB6B2" w14:textId="77777777" w:rsidR="00CC25DE" w:rsidRPr="008E7C4C" w:rsidRDefault="00CC25DE" w:rsidP="00CC25DE">
      <w:pPr>
        <w:numPr>
          <w:ilvl w:val="1"/>
          <w:numId w:val="1"/>
        </w:numPr>
        <w:spacing w:after="120"/>
        <w:rPr>
          <w:rFonts w:asciiTheme="minorHAnsi" w:hAnsiTheme="minorHAnsi"/>
          <w:snapToGrid w:val="0"/>
        </w:rPr>
      </w:pPr>
      <w:r w:rsidRPr="008E7C4C">
        <w:rPr>
          <w:rFonts w:asciiTheme="minorHAnsi" w:hAnsiTheme="minorHAnsi"/>
          <w:snapToGrid w:val="0"/>
        </w:rPr>
        <w:t xml:space="preserve">The key components of the clinical issues addressed by the submission are provided in Table 1.  </w:t>
      </w:r>
    </w:p>
    <w:p w14:paraId="7090A5B3" w14:textId="77777777" w:rsidR="00CC25DE" w:rsidRPr="008E7C4C" w:rsidRDefault="00CC25DE" w:rsidP="007F45EF">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Table 1: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316"/>
        <w:gridCol w:w="3433"/>
      </w:tblGrid>
      <w:tr w:rsidR="00CC25DE" w:rsidRPr="008E7C4C" w14:paraId="67D7AC91" w14:textId="77777777" w:rsidTr="00F373E3">
        <w:tc>
          <w:tcPr>
            <w:tcW w:w="12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31B876" w14:textId="77777777" w:rsidR="00CC25DE" w:rsidRPr="008E7C4C" w:rsidRDefault="00CC25DE" w:rsidP="007F45EF">
            <w:pPr>
              <w:keepNext/>
              <w:rPr>
                <w:rFonts w:ascii="Arial Narrow" w:eastAsia="MS Gothic" w:hAnsi="Arial Narrow" w:cs="Times New Roman"/>
                <w:b/>
                <w:sz w:val="20"/>
              </w:rPr>
            </w:pPr>
            <w:r w:rsidRPr="008E7C4C">
              <w:rPr>
                <w:rFonts w:ascii="Arial Narrow" w:eastAsia="MS Gothic" w:hAnsi="Arial Narrow" w:cs="Times New Roman"/>
                <w:b/>
                <w:sz w:val="20"/>
              </w:rPr>
              <w:t>Component</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7E9190" w14:textId="77777777" w:rsidR="00CC25DE" w:rsidRPr="008E7C4C" w:rsidRDefault="00CC25DE" w:rsidP="007F45EF">
            <w:pPr>
              <w:keepNext/>
              <w:rPr>
                <w:rFonts w:ascii="Arial Narrow" w:eastAsia="MS Gothic" w:hAnsi="Arial Narrow" w:cs="Times New Roman"/>
                <w:b/>
                <w:sz w:val="20"/>
              </w:rPr>
            </w:pPr>
            <w:r w:rsidRPr="008E7C4C">
              <w:rPr>
                <w:rFonts w:ascii="Arial Narrow" w:eastAsia="MS Gothic" w:hAnsi="Arial Narrow" w:cs="Times New Roman"/>
                <w:b/>
                <w:sz w:val="20"/>
              </w:rPr>
              <w:t>November 2020 PBAC consideration</w:t>
            </w:r>
          </w:p>
        </w:tc>
        <w:tc>
          <w:tcPr>
            <w:tcW w:w="3487" w:type="dxa"/>
            <w:tcBorders>
              <w:top w:val="single" w:sz="4" w:space="0" w:color="auto"/>
              <w:left w:val="single" w:sz="4" w:space="0" w:color="auto"/>
              <w:bottom w:val="single" w:sz="4" w:space="0" w:color="auto"/>
              <w:right w:val="single" w:sz="4" w:space="0" w:color="auto"/>
            </w:tcBorders>
          </w:tcPr>
          <w:p w14:paraId="60A2FD2E" w14:textId="77777777" w:rsidR="00CC25DE" w:rsidRPr="008E7C4C" w:rsidRDefault="00CC25DE" w:rsidP="007F45EF">
            <w:pPr>
              <w:keepNext/>
              <w:rPr>
                <w:rFonts w:ascii="Arial Narrow" w:eastAsia="MS Gothic" w:hAnsi="Arial Narrow" w:cs="Times New Roman"/>
                <w:b/>
                <w:sz w:val="20"/>
              </w:rPr>
            </w:pPr>
            <w:r w:rsidRPr="008E7C4C">
              <w:rPr>
                <w:rFonts w:ascii="Arial Narrow" w:eastAsia="MS Gothic" w:hAnsi="Arial Narrow" w:cs="Times New Roman"/>
                <w:b/>
                <w:sz w:val="20"/>
              </w:rPr>
              <w:t>March 2022 PBAC consideration.</w:t>
            </w:r>
          </w:p>
        </w:tc>
      </w:tr>
      <w:tr w:rsidR="00CC25DE" w:rsidRPr="008E7C4C" w14:paraId="58063188" w14:textId="77777777" w:rsidTr="00F373E3">
        <w:tc>
          <w:tcPr>
            <w:tcW w:w="12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04353B"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eastAsia="MS Gothic" w:hAnsi="Arial Narrow" w:cs="Times New Roman"/>
                <w:snapToGrid w:val="0"/>
                <w:sz w:val="20"/>
              </w:rPr>
              <w:t>Population</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7AEA42"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hAnsi="Arial Narrow" w:cs="Times New Roman"/>
                <w:snapToGrid w:val="0"/>
                <w:sz w:val="20"/>
              </w:rPr>
              <w:t xml:space="preserve">Patients with </w:t>
            </w:r>
            <w:proofErr w:type="gramStart"/>
            <w:r w:rsidRPr="008E7C4C">
              <w:rPr>
                <w:rFonts w:ascii="Arial Narrow" w:hAnsi="Arial Narrow" w:cs="Times New Roman"/>
                <w:snapToGrid w:val="0"/>
                <w:sz w:val="20"/>
              </w:rPr>
              <w:t>histologically-confirmed</w:t>
            </w:r>
            <w:proofErr w:type="gramEnd"/>
            <w:r w:rsidRPr="008E7C4C">
              <w:rPr>
                <w:rFonts w:ascii="Arial Narrow" w:hAnsi="Arial Narrow" w:cs="Times New Roman"/>
                <w:snapToGrid w:val="0"/>
                <w:sz w:val="20"/>
              </w:rPr>
              <w:t xml:space="preserve"> multiple myeloma who have received at least one prior therapy</w:t>
            </w:r>
          </w:p>
        </w:tc>
        <w:tc>
          <w:tcPr>
            <w:tcW w:w="3487" w:type="dxa"/>
            <w:tcBorders>
              <w:top w:val="single" w:sz="4" w:space="0" w:color="auto"/>
              <w:left w:val="single" w:sz="4" w:space="0" w:color="auto"/>
              <w:bottom w:val="single" w:sz="4" w:space="0" w:color="auto"/>
              <w:right w:val="single" w:sz="4" w:space="0" w:color="auto"/>
            </w:tcBorders>
            <w:shd w:val="clear" w:color="auto" w:fill="auto"/>
          </w:tcPr>
          <w:p w14:paraId="6A79A6F0"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eastAsia="MS Gothic" w:hAnsi="Arial Narrow" w:cs="Times New Roman"/>
                <w:snapToGrid w:val="0"/>
                <w:sz w:val="20"/>
              </w:rPr>
              <w:t xml:space="preserve">Patients with </w:t>
            </w:r>
            <w:proofErr w:type="gramStart"/>
            <w:r w:rsidRPr="008E7C4C">
              <w:rPr>
                <w:rFonts w:ascii="Arial Narrow" w:eastAsia="MS Gothic" w:hAnsi="Arial Narrow" w:cs="Times New Roman"/>
                <w:snapToGrid w:val="0"/>
                <w:sz w:val="20"/>
              </w:rPr>
              <w:t>histologically-confirmed</w:t>
            </w:r>
            <w:proofErr w:type="gramEnd"/>
            <w:r w:rsidRPr="008E7C4C">
              <w:rPr>
                <w:rFonts w:ascii="Arial Narrow" w:eastAsia="MS Gothic" w:hAnsi="Arial Narrow" w:cs="Times New Roman"/>
                <w:snapToGrid w:val="0"/>
                <w:sz w:val="20"/>
              </w:rPr>
              <w:t xml:space="preserve"> multiple myeloma who have received </w:t>
            </w:r>
            <w:r w:rsidRPr="008E7C4C">
              <w:rPr>
                <w:rFonts w:ascii="Arial Narrow" w:eastAsia="MS Gothic" w:hAnsi="Arial Narrow" w:cs="Times New Roman"/>
                <w:snapToGrid w:val="0"/>
                <w:sz w:val="20"/>
                <w:u w:val="single"/>
              </w:rPr>
              <w:t>at least two prior therapies.</w:t>
            </w:r>
          </w:p>
        </w:tc>
      </w:tr>
      <w:tr w:rsidR="00CC25DE" w:rsidRPr="008E7C4C" w14:paraId="655F4C0E" w14:textId="77777777" w:rsidTr="00F373E3">
        <w:tc>
          <w:tcPr>
            <w:tcW w:w="12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A72147"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eastAsia="MS Gothic" w:hAnsi="Arial Narrow" w:cs="Times New Roman"/>
                <w:snapToGrid w:val="0"/>
                <w:sz w:val="20"/>
              </w:rPr>
              <w:t>Intervention</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B43F5E" w14:textId="77777777" w:rsidR="00CC25DE" w:rsidRPr="008E7C4C" w:rsidRDefault="00CC25DE" w:rsidP="007F45EF">
            <w:pPr>
              <w:keepNext/>
              <w:jc w:val="left"/>
              <w:rPr>
                <w:rFonts w:ascii="Arial Narrow" w:hAnsi="Arial Narrow" w:cs="Times New Roman"/>
                <w:snapToGrid w:val="0"/>
                <w:sz w:val="20"/>
              </w:rPr>
            </w:pPr>
            <w:proofErr w:type="spellStart"/>
            <w:r w:rsidRPr="008E7C4C">
              <w:rPr>
                <w:rFonts w:ascii="Arial Narrow" w:hAnsi="Arial Narrow" w:cs="Times New Roman"/>
                <w:snapToGrid w:val="0"/>
                <w:sz w:val="20"/>
              </w:rPr>
              <w:t>Ixazomib</w:t>
            </w:r>
            <w:proofErr w:type="spellEnd"/>
            <w:r w:rsidRPr="008E7C4C">
              <w:rPr>
                <w:rFonts w:ascii="Arial Narrow" w:hAnsi="Arial Narrow" w:cs="Times New Roman"/>
                <w:snapToGrid w:val="0"/>
                <w:sz w:val="20"/>
              </w:rPr>
              <w:t xml:space="preserve"> (NINLARO®) in combination with lenalidomide and dexamethasone (</w:t>
            </w:r>
            <w:proofErr w:type="spellStart"/>
            <w:r w:rsidRPr="008E7C4C">
              <w:rPr>
                <w:rFonts w:ascii="Arial Narrow" w:hAnsi="Arial Narrow" w:cs="Times New Roman"/>
                <w:snapToGrid w:val="0"/>
                <w:sz w:val="20"/>
              </w:rPr>
              <w:t>ILd</w:t>
            </w:r>
            <w:proofErr w:type="spellEnd"/>
            <w:r w:rsidRPr="008E7C4C">
              <w:rPr>
                <w:rFonts w:ascii="Arial Narrow" w:hAnsi="Arial Narrow" w:cs="Times New Roman"/>
                <w:snapToGrid w:val="0"/>
                <w:sz w:val="20"/>
              </w:rPr>
              <w:t>)</w:t>
            </w:r>
          </w:p>
        </w:tc>
        <w:tc>
          <w:tcPr>
            <w:tcW w:w="34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EFB0D2" w14:textId="77777777" w:rsidR="00CC25DE" w:rsidRPr="008E7C4C" w:rsidRDefault="00CC25DE" w:rsidP="007F45EF">
            <w:pPr>
              <w:keepNext/>
              <w:jc w:val="left"/>
              <w:rPr>
                <w:rFonts w:ascii="Arial Narrow" w:hAnsi="Arial Narrow" w:cs="Times New Roman"/>
                <w:snapToGrid w:val="0"/>
                <w:sz w:val="20"/>
              </w:rPr>
            </w:pPr>
            <w:proofErr w:type="spellStart"/>
            <w:r w:rsidRPr="008E7C4C">
              <w:rPr>
                <w:rFonts w:ascii="Arial Narrow" w:hAnsi="Arial Narrow" w:cs="Times New Roman"/>
                <w:snapToGrid w:val="0"/>
                <w:sz w:val="20"/>
              </w:rPr>
              <w:t>Ixazomib</w:t>
            </w:r>
            <w:proofErr w:type="spellEnd"/>
            <w:r w:rsidRPr="008E7C4C">
              <w:rPr>
                <w:rFonts w:ascii="Arial Narrow" w:hAnsi="Arial Narrow" w:cs="Times New Roman"/>
                <w:snapToGrid w:val="0"/>
                <w:sz w:val="20"/>
              </w:rPr>
              <w:t xml:space="preserve"> (NINLARO®) in combination with lenalidomide and dexamethasone (</w:t>
            </w:r>
            <w:proofErr w:type="spellStart"/>
            <w:r w:rsidRPr="008E7C4C">
              <w:rPr>
                <w:rFonts w:ascii="Arial Narrow" w:hAnsi="Arial Narrow" w:cs="Times New Roman"/>
                <w:snapToGrid w:val="0"/>
                <w:sz w:val="20"/>
              </w:rPr>
              <w:t>ILd</w:t>
            </w:r>
            <w:proofErr w:type="spellEnd"/>
            <w:r w:rsidRPr="008E7C4C">
              <w:rPr>
                <w:rFonts w:ascii="Arial Narrow" w:hAnsi="Arial Narrow" w:cs="Times New Roman"/>
                <w:snapToGrid w:val="0"/>
                <w:sz w:val="20"/>
              </w:rPr>
              <w:t>)</w:t>
            </w:r>
          </w:p>
        </w:tc>
      </w:tr>
      <w:tr w:rsidR="00CC25DE" w:rsidRPr="008E7C4C" w14:paraId="13735A14" w14:textId="77777777" w:rsidTr="00F373E3">
        <w:tc>
          <w:tcPr>
            <w:tcW w:w="12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F59C91"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eastAsia="MS Gothic" w:hAnsi="Arial Narrow" w:cs="Times New Roman"/>
                <w:snapToGrid w:val="0"/>
                <w:sz w:val="20"/>
              </w:rPr>
              <w:t>Comparator</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84143B" w14:textId="77777777" w:rsidR="00CC25DE" w:rsidRPr="008E7C4C" w:rsidRDefault="00CC25DE" w:rsidP="007F45EF">
            <w:pPr>
              <w:keepNext/>
              <w:jc w:val="left"/>
              <w:rPr>
                <w:rFonts w:ascii="Arial Narrow" w:hAnsi="Arial Narrow" w:cs="Times New Roman"/>
                <w:snapToGrid w:val="0"/>
                <w:sz w:val="20"/>
              </w:rPr>
            </w:pPr>
            <w:r w:rsidRPr="008E7C4C">
              <w:rPr>
                <w:rFonts w:ascii="Arial Narrow" w:hAnsi="Arial Narrow" w:cs="Times New Roman"/>
                <w:snapToGrid w:val="0"/>
                <w:sz w:val="20"/>
              </w:rPr>
              <w:t>Main comparator: Carfilzomib in combination with dexamethasone (Cd)</w:t>
            </w:r>
          </w:p>
          <w:p w14:paraId="7609060E" w14:textId="77777777" w:rsidR="00CC25DE" w:rsidRPr="008E7C4C" w:rsidRDefault="00CC25DE" w:rsidP="007F45EF">
            <w:pPr>
              <w:keepNext/>
              <w:jc w:val="left"/>
              <w:rPr>
                <w:rFonts w:ascii="Arial Narrow" w:hAnsi="Arial Narrow" w:cs="Times New Roman"/>
                <w:snapToGrid w:val="0"/>
                <w:sz w:val="20"/>
              </w:rPr>
            </w:pPr>
            <w:r w:rsidRPr="008E7C4C">
              <w:rPr>
                <w:rFonts w:ascii="Arial Narrow" w:hAnsi="Arial Narrow" w:cs="Times New Roman"/>
                <w:snapToGrid w:val="0"/>
                <w:sz w:val="20"/>
              </w:rPr>
              <w:t>Secondary comparator: Lenalidomide in combination with dexamethasone (</w:t>
            </w:r>
            <w:proofErr w:type="spellStart"/>
            <w:r w:rsidRPr="008E7C4C">
              <w:rPr>
                <w:rFonts w:ascii="Arial Narrow" w:hAnsi="Arial Narrow" w:cs="Times New Roman"/>
                <w:snapToGrid w:val="0"/>
                <w:sz w:val="20"/>
              </w:rPr>
              <w:t>Ld</w:t>
            </w:r>
            <w:proofErr w:type="spellEnd"/>
            <w:r w:rsidRPr="008E7C4C">
              <w:rPr>
                <w:rFonts w:ascii="Arial Narrow" w:hAnsi="Arial Narrow" w:cs="Times New Roman"/>
                <w:snapToGrid w:val="0"/>
                <w:sz w:val="20"/>
              </w:rPr>
              <w:t>)</w:t>
            </w:r>
          </w:p>
          <w:p w14:paraId="533A3322" w14:textId="7882FB78" w:rsidR="00CC25DE" w:rsidRPr="008E7C4C" w:rsidRDefault="00CC25DE" w:rsidP="007F45EF">
            <w:pPr>
              <w:keepNext/>
              <w:jc w:val="left"/>
              <w:rPr>
                <w:rFonts w:ascii="Arial Narrow" w:eastAsia="MS Gothic" w:hAnsi="Arial Narrow" w:cs="Times New Roman"/>
                <w:snapToGrid w:val="0"/>
                <w:sz w:val="20"/>
              </w:rPr>
            </w:pPr>
            <w:r w:rsidRPr="008E7C4C">
              <w:rPr>
                <w:rFonts w:ascii="Arial Narrow" w:hAnsi="Arial Narrow" w:cs="Times New Roman"/>
                <w:snapToGrid w:val="0"/>
                <w:sz w:val="20"/>
              </w:rPr>
              <w:t>Secondary near market comparator: Daratumumab in combination with bortezomib and dexamethasone (</w:t>
            </w:r>
            <w:proofErr w:type="spellStart"/>
            <w:r w:rsidRPr="008E7C4C">
              <w:rPr>
                <w:rFonts w:ascii="Arial Narrow" w:hAnsi="Arial Narrow" w:cs="Times New Roman"/>
                <w:snapToGrid w:val="0"/>
                <w:sz w:val="20"/>
              </w:rPr>
              <w:t>DBd</w:t>
            </w:r>
            <w:proofErr w:type="spellEnd"/>
            <w:r w:rsidRPr="008E7C4C">
              <w:rPr>
                <w:rFonts w:ascii="Arial Narrow" w:hAnsi="Arial Narrow" w:cs="Times New Roman"/>
                <w:snapToGrid w:val="0"/>
                <w:sz w:val="20"/>
              </w:rPr>
              <w:t>)</w:t>
            </w:r>
            <w:r w:rsidR="00C3028F" w:rsidRPr="008E7C4C" w:rsidDel="00C3028F">
              <w:rPr>
                <w:rFonts w:ascii="Arial Narrow" w:hAnsi="Arial Narrow" w:cs="Times New Roman"/>
                <w:snapToGrid w:val="0"/>
                <w:sz w:val="20"/>
                <w:vertAlign w:val="superscript"/>
              </w:rPr>
              <w:t xml:space="preserve"> </w:t>
            </w:r>
          </w:p>
        </w:tc>
        <w:tc>
          <w:tcPr>
            <w:tcW w:w="3487" w:type="dxa"/>
            <w:tcBorders>
              <w:top w:val="single" w:sz="4" w:space="0" w:color="auto"/>
              <w:left w:val="single" w:sz="4" w:space="0" w:color="auto"/>
              <w:bottom w:val="single" w:sz="4" w:space="0" w:color="auto"/>
              <w:right w:val="single" w:sz="4" w:space="0" w:color="auto"/>
            </w:tcBorders>
            <w:shd w:val="clear" w:color="auto" w:fill="auto"/>
          </w:tcPr>
          <w:p w14:paraId="7AC8767D" w14:textId="77777777" w:rsidR="00CC25DE" w:rsidRPr="008E7C4C" w:rsidRDefault="00CC25DE" w:rsidP="007F45EF">
            <w:pPr>
              <w:keepNext/>
              <w:jc w:val="left"/>
              <w:rPr>
                <w:rFonts w:ascii="Arial Narrow" w:eastAsia="MS Gothic" w:hAnsi="Arial Narrow" w:cs="Times New Roman"/>
                <w:snapToGrid w:val="0"/>
                <w:sz w:val="20"/>
                <w:u w:val="single"/>
              </w:rPr>
            </w:pPr>
            <w:r w:rsidRPr="008E7C4C">
              <w:rPr>
                <w:rFonts w:ascii="Arial Narrow" w:eastAsia="MS Gothic" w:hAnsi="Arial Narrow" w:cs="Times New Roman"/>
                <w:snapToGrid w:val="0"/>
                <w:sz w:val="20"/>
                <w:u w:val="single"/>
              </w:rPr>
              <w:t>Main comparator: Lenalidomide in combination with dexamethasone (</w:t>
            </w:r>
            <w:proofErr w:type="spellStart"/>
            <w:r w:rsidRPr="008E7C4C">
              <w:rPr>
                <w:rFonts w:ascii="Arial Narrow" w:eastAsia="MS Gothic" w:hAnsi="Arial Narrow" w:cs="Times New Roman"/>
                <w:snapToGrid w:val="0"/>
                <w:sz w:val="20"/>
                <w:u w:val="single"/>
              </w:rPr>
              <w:t>Ld</w:t>
            </w:r>
            <w:proofErr w:type="spellEnd"/>
            <w:r w:rsidRPr="008E7C4C">
              <w:rPr>
                <w:rFonts w:ascii="Arial Narrow" w:eastAsia="MS Gothic" w:hAnsi="Arial Narrow" w:cs="Times New Roman"/>
                <w:snapToGrid w:val="0"/>
                <w:sz w:val="20"/>
                <w:u w:val="single"/>
              </w:rPr>
              <w:t>)</w:t>
            </w:r>
          </w:p>
          <w:p w14:paraId="7776A320" w14:textId="77777777" w:rsidR="00CC25DE" w:rsidRPr="008E7C4C" w:rsidRDefault="00CC25DE" w:rsidP="007F45EF">
            <w:pPr>
              <w:keepNext/>
              <w:jc w:val="left"/>
              <w:rPr>
                <w:rFonts w:ascii="Arial Narrow" w:eastAsia="MS Gothic" w:hAnsi="Arial Narrow" w:cs="Times New Roman"/>
                <w:snapToGrid w:val="0"/>
                <w:sz w:val="20"/>
                <w:u w:val="single"/>
              </w:rPr>
            </w:pPr>
          </w:p>
          <w:p w14:paraId="1D5CFD6F"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eastAsia="MS Gothic" w:hAnsi="Arial Narrow" w:cs="Times New Roman"/>
                <w:snapToGrid w:val="0"/>
                <w:sz w:val="20"/>
                <w:u w:val="single"/>
              </w:rPr>
              <w:t>Secondary comparator: Carfilzomib in combination with dexamethasone (Cd)</w:t>
            </w:r>
          </w:p>
        </w:tc>
      </w:tr>
      <w:tr w:rsidR="00CC25DE" w:rsidRPr="008E7C4C" w14:paraId="44814960" w14:textId="77777777" w:rsidTr="00F373E3">
        <w:tc>
          <w:tcPr>
            <w:tcW w:w="12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536112"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eastAsia="MS Gothic" w:hAnsi="Arial Narrow" w:cs="Times New Roman"/>
                <w:snapToGrid w:val="0"/>
                <w:sz w:val="20"/>
              </w:rPr>
              <w:t>Outcomes</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BFC508"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hAnsi="Arial Narrow" w:cs="Times New Roman"/>
                <w:snapToGrid w:val="0"/>
                <w:sz w:val="20"/>
              </w:rPr>
              <w:t>PFS, OS, ORR, Safety/tolerability</w:t>
            </w:r>
          </w:p>
        </w:tc>
        <w:tc>
          <w:tcPr>
            <w:tcW w:w="34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F6A769"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hAnsi="Arial Narrow" w:cs="Times New Roman"/>
                <w:snapToGrid w:val="0"/>
                <w:sz w:val="20"/>
              </w:rPr>
              <w:t>PFS, OS, ORR, Safety/tolerability</w:t>
            </w:r>
          </w:p>
        </w:tc>
      </w:tr>
      <w:tr w:rsidR="00CC25DE" w:rsidRPr="008E7C4C" w14:paraId="59B61C78" w14:textId="77777777" w:rsidTr="00F373E3">
        <w:tc>
          <w:tcPr>
            <w:tcW w:w="12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E8C6BC" w14:textId="77777777" w:rsidR="00CC25DE" w:rsidRPr="008E7C4C" w:rsidRDefault="00CC25DE" w:rsidP="007F45EF">
            <w:pPr>
              <w:keepNext/>
              <w:jc w:val="left"/>
              <w:rPr>
                <w:rFonts w:ascii="Arial Narrow" w:eastAsia="MS Gothic" w:hAnsi="Arial Narrow" w:cs="Times New Roman"/>
                <w:snapToGrid w:val="0"/>
                <w:sz w:val="20"/>
                <w:vertAlign w:val="superscript"/>
              </w:rPr>
            </w:pPr>
            <w:r w:rsidRPr="008E7C4C">
              <w:rPr>
                <w:rFonts w:ascii="Arial Narrow" w:eastAsia="MS Gothic" w:hAnsi="Arial Narrow" w:cs="Times New Roman"/>
                <w:snapToGrid w:val="0"/>
                <w:sz w:val="20"/>
              </w:rPr>
              <w:t>Clinical claim</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1CF27D" w14:textId="77777777" w:rsidR="00CC25DE" w:rsidRPr="008E7C4C" w:rsidRDefault="00CC25DE" w:rsidP="007F45EF">
            <w:pPr>
              <w:keepNext/>
              <w:jc w:val="left"/>
              <w:rPr>
                <w:rFonts w:ascii="Arial Narrow" w:hAnsi="Arial Narrow" w:cs="Times New Roman"/>
                <w:snapToGrid w:val="0"/>
                <w:sz w:val="20"/>
              </w:rPr>
            </w:pPr>
            <w:r w:rsidRPr="008E7C4C">
              <w:rPr>
                <w:rFonts w:ascii="Arial Narrow" w:hAnsi="Arial Narrow" w:cs="Times New Roman"/>
                <w:snapToGrid w:val="0"/>
                <w:sz w:val="20"/>
              </w:rPr>
              <w:t xml:space="preserve">In patients with RRMM, </w:t>
            </w:r>
            <w:proofErr w:type="spellStart"/>
            <w:r w:rsidRPr="008E7C4C">
              <w:rPr>
                <w:rFonts w:ascii="Arial Narrow" w:hAnsi="Arial Narrow" w:cs="Times New Roman"/>
                <w:snapToGrid w:val="0"/>
                <w:sz w:val="20"/>
              </w:rPr>
              <w:t>ILd</w:t>
            </w:r>
            <w:proofErr w:type="spellEnd"/>
            <w:r w:rsidRPr="008E7C4C">
              <w:rPr>
                <w:rFonts w:ascii="Arial Narrow" w:hAnsi="Arial Narrow" w:cs="Times New Roman"/>
                <w:snapToGrid w:val="0"/>
                <w:sz w:val="20"/>
              </w:rPr>
              <w:t xml:space="preserve"> is superior in terms of effectiveness, and non-inferior in terms of safety to </w:t>
            </w:r>
            <w:proofErr w:type="spellStart"/>
            <w:r w:rsidRPr="008E7C4C">
              <w:rPr>
                <w:rFonts w:ascii="Arial Narrow" w:hAnsi="Arial Narrow" w:cs="Times New Roman"/>
                <w:snapToGrid w:val="0"/>
                <w:sz w:val="20"/>
              </w:rPr>
              <w:t>Ld</w:t>
            </w:r>
            <w:proofErr w:type="spellEnd"/>
          </w:p>
          <w:p w14:paraId="788F773B" w14:textId="77777777" w:rsidR="00CC25DE" w:rsidRPr="008E7C4C" w:rsidRDefault="00CC25DE" w:rsidP="007F45EF">
            <w:pPr>
              <w:keepNext/>
              <w:jc w:val="left"/>
              <w:rPr>
                <w:rFonts w:ascii="Arial Narrow" w:hAnsi="Arial Narrow" w:cs="Times New Roman"/>
                <w:snapToGrid w:val="0"/>
                <w:sz w:val="20"/>
              </w:rPr>
            </w:pPr>
            <w:r w:rsidRPr="008E7C4C">
              <w:rPr>
                <w:rFonts w:ascii="Arial Narrow" w:hAnsi="Arial Narrow" w:cs="Times New Roman"/>
                <w:snapToGrid w:val="0"/>
                <w:sz w:val="20"/>
              </w:rPr>
              <w:t xml:space="preserve">In patients with RRMM, </w:t>
            </w:r>
            <w:proofErr w:type="spellStart"/>
            <w:r w:rsidRPr="008E7C4C">
              <w:rPr>
                <w:rFonts w:ascii="Arial Narrow" w:hAnsi="Arial Narrow" w:cs="Times New Roman"/>
                <w:snapToGrid w:val="0"/>
                <w:sz w:val="20"/>
              </w:rPr>
              <w:t>ILd</w:t>
            </w:r>
            <w:proofErr w:type="spellEnd"/>
            <w:r w:rsidRPr="008E7C4C">
              <w:rPr>
                <w:rFonts w:ascii="Arial Narrow" w:hAnsi="Arial Narrow" w:cs="Times New Roman"/>
                <w:snapToGrid w:val="0"/>
                <w:sz w:val="20"/>
              </w:rPr>
              <w:t xml:space="preserve"> is at least non-inferior in terms of effectiveness and safety to Cd.</w:t>
            </w:r>
          </w:p>
          <w:p w14:paraId="32DDF9C3"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hAnsi="Arial Narrow" w:cs="Times New Roman"/>
                <w:snapToGrid w:val="0"/>
                <w:sz w:val="20"/>
              </w:rPr>
              <w:t xml:space="preserve">In patients with RRMM, </w:t>
            </w:r>
            <w:proofErr w:type="spellStart"/>
            <w:r w:rsidRPr="008E7C4C">
              <w:rPr>
                <w:rFonts w:ascii="Arial Narrow" w:hAnsi="Arial Narrow" w:cs="Times New Roman"/>
                <w:snapToGrid w:val="0"/>
                <w:sz w:val="20"/>
              </w:rPr>
              <w:t>ILd</w:t>
            </w:r>
            <w:proofErr w:type="spellEnd"/>
            <w:r w:rsidRPr="008E7C4C">
              <w:rPr>
                <w:rFonts w:ascii="Arial Narrow" w:hAnsi="Arial Narrow" w:cs="Times New Roman"/>
                <w:snapToGrid w:val="0"/>
                <w:sz w:val="20"/>
              </w:rPr>
              <w:t xml:space="preserve"> is non-inferior in terms of effectiveness and safety to </w:t>
            </w:r>
            <w:proofErr w:type="spellStart"/>
            <w:r w:rsidRPr="008E7C4C">
              <w:rPr>
                <w:rFonts w:ascii="Arial Narrow" w:hAnsi="Arial Narrow" w:cs="Times New Roman"/>
                <w:snapToGrid w:val="0"/>
                <w:sz w:val="20"/>
              </w:rPr>
              <w:t>DBd</w:t>
            </w:r>
            <w:proofErr w:type="spellEnd"/>
            <w:r w:rsidRPr="008E7C4C">
              <w:rPr>
                <w:rFonts w:ascii="Arial Narrow" w:hAnsi="Arial Narrow" w:cs="Times New Roman"/>
                <w:snapToGrid w:val="0"/>
                <w:sz w:val="20"/>
              </w:rPr>
              <w:t>.</w:t>
            </w:r>
          </w:p>
        </w:tc>
        <w:tc>
          <w:tcPr>
            <w:tcW w:w="3487" w:type="dxa"/>
            <w:tcBorders>
              <w:top w:val="single" w:sz="4" w:space="0" w:color="auto"/>
              <w:left w:val="single" w:sz="4" w:space="0" w:color="auto"/>
              <w:bottom w:val="single" w:sz="4" w:space="0" w:color="auto"/>
              <w:right w:val="single" w:sz="4" w:space="0" w:color="auto"/>
            </w:tcBorders>
            <w:shd w:val="clear" w:color="auto" w:fill="auto"/>
          </w:tcPr>
          <w:p w14:paraId="08C373E7"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eastAsia="MS Gothic" w:hAnsi="Arial Narrow" w:cs="Times New Roman"/>
                <w:snapToGrid w:val="0"/>
                <w:sz w:val="20"/>
              </w:rPr>
              <w:t xml:space="preserve">In patients with RRMM, </w:t>
            </w:r>
            <w:proofErr w:type="spellStart"/>
            <w:r w:rsidRPr="008E7C4C">
              <w:rPr>
                <w:rFonts w:ascii="Arial Narrow" w:eastAsia="MS Gothic" w:hAnsi="Arial Narrow" w:cs="Times New Roman"/>
                <w:snapToGrid w:val="0"/>
                <w:sz w:val="20"/>
              </w:rPr>
              <w:t>ILd</w:t>
            </w:r>
            <w:proofErr w:type="spellEnd"/>
            <w:r w:rsidRPr="008E7C4C">
              <w:rPr>
                <w:rFonts w:ascii="Arial Narrow" w:eastAsia="MS Gothic" w:hAnsi="Arial Narrow" w:cs="Times New Roman"/>
                <w:snapToGrid w:val="0"/>
                <w:sz w:val="20"/>
              </w:rPr>
              <w:t xml:space="preserve"> is superior in terms of effectiveness, and non-inferior in terms of safety to Ld.</w:t>
            </w:r>
          </w:p>
          <w:p w14:paraId="4D421206" w14:textId="77777777" w:rsidR="00CC25DE" w:rsidRPr="008E7C4C" w:rsidRDefault="00CC25DE" w:rsidP="007F45EF">
            <w:pPr>
              <w:keepNext/>
              <w:jc w:val="left"/>
              <w:rPr>
                <w:rFonts w:ascii="Arial Narrow" w:eastAsia="MS Gothic" w:hAnsi="Arial Narrow" w:cs="Times New Roman"/>
                <w:snapToGrid w:val="0"/>
                <w:sz w:val="20"/>
              </w:rPr>
            </w:pPr>
          </w:p>
          <w:p w14:paraId="7ABA575A" w14:textId="77777777" w:rsidR="00CC25DE" w:rsidRPr="008E7C4C" w:rsidRDefault="00CC25DE" w:rsidP="007F45EF">
            <w:pPr>
              <w:keepNext/>
              <w:jc w:val="left"/>
              <w:rPr>
                <w:rFonts w:ascii="Arial Narrow" w:eastAsia="MS Gothic" w:hAnsi="Arial Narrow" w:cs="Times New Roman"/>
                <w:snapToGrid w:val="0"/>
                <w:sz w:val="20"/>
              </w:rPr>
            </w:pPr>
            <w:r w:rsidRPr="008E7C4C">
              <w:rPr>
                <w:rFonts w:ascii="Arial Narrow" w:eastAsia="MS Gothic" w:hAnsi="Arial Narrow" w:cs="Times New Roman"/>
                <w:snapToGrid w:val="0"/>
                <w:sz w:val="20"/>
                <w:shd w:val="clear" w:color="auto" w:fill="C6D9F1" w:themeFill="text2" w:themeFillTint="33"/>
              </w:rPr>
              <w:t xml:space="preserve">On balance, in patients with RRMM, </w:t>
            </w:r>
            <w:proofErr w:type="spellStart"/>
            <w:r w:rsidRPr="008E7C4C">
              <w:rPr>
                <w:rFonts w:ascii="Arial Narrow" w:eastAsia="MS Gothic" w:hAnsi="Arial Narrow" w:cs="Times New Roman"/>
                <w:snapToGrid w:val="0"/>
                <w:sz w:val="20"/>
                <w:shd w:val="clear" w:color="auto" w:fill="C6D9F1" w:themeFill="text2" w:themeFillTint="33"/>
              </w:rPr>
              <w:t>ILd</w:t>
            </w:r>
            <w:proofErr w:type="spellEnd"/>
            <w:r w:rsidRPr="008E7C4C">
              <w:rPr>
                <w:rFonts w:ascii="Arial Narrow" w:eastAsia="MS Gothic" w:hAnsi="Arial Narrow" w:cs="Times New Roman"/>
                <w:snapToGrid w:val="0"/>
                <w:sz w:val="20"/>
                <w:shd w:val="clear" w:color="auto" w:fill="C6D9F1" w:themeFill="text2" w:themeFillTint="33"/>
              </w:rPr>
              <w:t xml:space="preserve"> is at least non-inferior in terms of effectiveness and safety to Cd.</w:t>
            </w:r>
          </w:p>
        </w:tc>
      </w:tr>
    </w:tbl>
    <w:p w14:paraId="3A6EFC57" w14:textId="21FE9546" w:rsidR="00CC25DE" w:rsidRPr="008E7C4C" w:rsidRDefault="00CC25DE" w:rsidP="00CC25DE">
      <w:pPr>
        <w:keepLines/>
        <w:suppressLineNumbers/>
        <w:spacing w:after="120"/>
        <w:contextualSpacing/>
        <w:rPr>
          <w:rFonts w:ascii="Arial Narrow" w:hAnsi="Arial Narrow"/>
          <w:iCs/>
          <w:snapToGrid w:val="0"/>
          <w:sz w:val="18"/>
          <w:szCs w:val="18"/>
        </w:rPr>
      </w:pPr>
      <w:r w:rsidRPr="008E7C4C">
        <w:rPr>
          <w:rFonts w:ascii="Arial Narrow" w:hAnsi="Arial Narrow"/>
          <w:iCs/>
          <w:snapToGrid w:val="0"/>
          <w:sz w:val="18"/>
          <w:szCs w:val="18"/>
        </w:rPr>
        <w:t>Source: Table</w:t>
      </w:r>
      <w:r w:rsidR="00F317A7" w:rsidRPr="008E7C4C">
        <w:rPr>
          <w:rFonts w:ascii="Arial Narrow" w:hAnsi="Arial Narrow"/>
          <w:iCs/>
          <w:snapToGrid w:val="0"/>
          <w:sz w:val="18"/>
          <w:szCs w:val="18"/>
        </w:rPr>
        <w:t xml:space="preserve"> </w:t>
      </w:r>
      <w:r w:rsidRPr="008E7C4C">
        <w:rPr>
          <w:rFonts w:ascii="Arial Narrow" w:hAnsi="Arial Narrow"/>
          <w:iCs/>
          <w:snapToGrid w:val="0"/>
          <w:sz w:val="18"/>
          <w:szCs w:val="18"/>
        </w:rPr>
        <w:t>1-1, p17 of the resubmission.</w:t>
      </w:r>
    </w:p>
    <w:p w14:paraId="4ED359CA" w14:textId="7FB24C47" w:rsidR="00CC25DE" w:rsidRPr="008E7C4C" w:rsidRDefault="00CC25DE" w:rsidP="00CC25DE">
      <w:pPr>
        <w:keepLines/>
        <w:suppressLineNumbers/>
        <w:spacing w:after="120"/>
        <w:contextualSpacing/>
        <w:rPr>
          <w:rFonts w:ascii="Arial Narrow" w:hAnsi="Arial Narrow"/>
          <w:iCs/>
          <w:snapToGrid w:val="0"/>
          <w:sz w:val="18"/>
          <w:szCs w:val="18"/>
        </w:rPr>
      </w:pPr>
      <w:r w:rsidRPr="008E7C4C">
        <w:rPr>
          <w:rFonts w:ascii="Arial Narrow" w:hAnsi="Arial Narrow"/>
          <w:iCs/>
          <w:snapToGrid w:val="0"/>
          <w:sz w:val="18"/>
          <w:szCs w:val="18"/>
        </w:rPr>
        <w:t>Cd</w:t>
      </w:r>
      <w:r w:rsidR="001C06DC" w:rsidRPr="008E7C4C">
        <w:rPr>
          <w:rFonts w:ascii="Arial Narrow" w:hAnsi="Arial Narrow"/>
          <w:iCs/>
          <w:snapToGrid w:val="0"/>
          <w:sz w:val="18"/>
          <w:szCs w:val="18"/>
        </w:rPr>
        <w:t xml:space="preserve"> </w:t>
      </w:r>
      <w:r w:rsidRPr="008E7C4C">
        <w:rPr>
          <w:rFonts w:ascii="Arial Narrow" w:hAnsi="Arial Narrow"/>
          <w:iCs/>
          <w:snapToGrid w:val="0"/>
          <w:sz w:val="18"/>
          <w:szCs w:val="18"/>
        </w:rPr>
        <w:t xml:space="preserve">= carfilzomib </w:t>
      </w:r>
      <w:r w:rsidR="001C06DC" w:rsidRPr="008E7C4C">
        <w:rPr>
          <w:rFonts w:ascii="Arial Narrow" w:hAnsi="Arial Narrow"/>
          <w:iCs/>
          <w:snapToGrid w:val="0"/>
          <w:sz w:val="18"/>
          <w:szCs w:val="18"/>
        </w:rPr>
        <w:t>+</w:t>
      </w:r>
      <w:r w:rsidRPr="008E7C4C">
        <w:rPr>
          <w:rFonts w:ascii="Arial Narrow" w:hAnsi="Arial Narrow"/>
          <w:iCs/>
          <w:snapToGrid w:val="0"/>
          <w:sz w:val="18"/>
          <w:szCs w:val="18"/>
        </w:rPr>
        <w:t xml:space="preserve"> dexamethasone; </w:t>
      </w:r>
      <w:proofErr w:type="spellStart"/>
      <w:r w:rsidRPr="008E7C4C">
        <w:rPr>
          <w:rFonts w:ascii="Arial Narrow" w:hAnsi="Arial Narrow"/>
          <w:iCs/>
          <w:snapToGrid w:val="0"/>
          <w:sz w:val="18"/>
          <w:szCs w:val="18"/>
        </w:rPr>
        <w:t>DBd</w:t>
      </w:r>
      <w:proofErr w:type="spellEnd"/>
      <w:r w:rsidR="001C06DC" w:rsidRPr="008E7C4C">
        <w:rPr>
          <w:rFonts w:ascii="Arial Narrow" w:hAnsi="Arial Narrow"/>
          <w:iCs/>
          <w:snapToGrid w:val="0"/>
          <w:sz w:val="18"/>
          <w:szCs w:val="18"/>
        </w:rPr>
        <w:t xml:space="preserve"> </w:t>
      </w:r>
      <w:r w:rsidRPr="008E7C4C">
        <w:rPr>
          <w:rFonts w:ascii="Arial Narrow" w:hAnsi="Arial Narrow"/>
          <w:iCs/>
          <w:snapToGrid w:val="0"/>
          <w:sz w:val="18"/>
          <w:szCs w:val="18"/>
        </w:rPr>
        <w:t>= daratumumab</w:t>
      </w:r>
      <w:r w:rsidR="001C06DC" w:rsidRPr="008E7C4C">
        <w:rPr>
          <w:rFonts w:ascii="Arial Narrow" w:hAnsi="Arial Narrow"/>
          <w:iCs/>
          <w:snapToGrid w:val="0"/>
          <w:sz w:val="18"/>
          <w:szCs w:val="18"/>
        </w:rPr>
        <w:t xml:space="preserve"> +</w:t>
      </w:r>
      <w:r w:rsidRPr="008E7C4C">
        <w:rPr>
          <w:rFonts w:ascii="Arial Narrow" w:hAnsi="Arial Narrow"/>
          <w:iCs/>
          <w:snapToGrid w:val="0"/>
          <w:sz w:val="18"/>
          <w:szCs w:val="18"/>
        </w:rPr>
        <w:t xml:space="preserve"> bortezomib </w:t>
      </w:r>
      <w:r w:rsidR="001C06DC" w:rsidRPr="008E7C4C">
        <w:rPr>
          <w:rFonts w:ascii="Arial Narrow" w:hAnsi="Arial Narrow"/>
          <w:iCs/>
          <w:snapToGrid w:val="0"/>
          <w:sz w:val="18"/>
          <w:szCs w:val="18"/>
        </w:rPr>
        <w:t>+</w:t>
      </w:r>
      <w:r w:rsidRPr="008E7C4C">
        <w:rPr>
          <w:rFonts w:ascii="Arial Narrow" w:hAnsi="Arial Narrow"/>
          <w:iCs/>
          <w:snapToGrid w:val="0"/>
          <w:sz w:val="18"/>
          <w:szCs w:val="18"/>
        </w:rPr>
        <w:t xml:space="preserve"> dexamethasone; </w:t>
      </w:r>
      <w:proofErr w:type="spellStart"/>
      <w:r w:rsidRPr="008E7C4C">
        <w:rPr>
          <w:rFonts w:ascii="Arial Narrow" w:hAnsi="Arial Narrow"/>
          <w:iCs/>
          <w:snapToGrid w:val="0"/>
          <w:sz w:val="18"/>
          <w:szCs w:val="18"/>
        </w:rPr>
        <w:t>ILd</w:t>
      </w:r>
      <w:proofErr w:type="spellEnd"/>
      <w:r w:rsidR="001C06DC" w:rsidRPr="008E7C4C">
        <w:rPr>
          <w:rFonts w:ascii="Arial Narrow" w:hAnsi="Arial Narrow"/>
          <w:iCs/>
          <w:snapToGrid w:val="0"/>
          <w:sz w:val="18"/>
          <w:szCs w:val="18"/>
        </w:rPr>
        <w:t xml:space="preserve"> </w:t>
      </w:r>
      <w:r w:rsidRPr="008E7C4C">
        <w:rPr>
          <w:rFonts w:ascii="Arial Narrow" w:hAnsi="Arial Narrow"/>
          <w:iCs/>
          <w:snapToGrid w:val="0"/>
          <w:sz w:val="18"/>
          <w:szCs w:val="18"/>
        </w:rPr>
        <w:t xml:space="preserve">= </w:t>
      </w:r>
      <w:proofErr w:type="spellStart"/>
      <w:r w:rsidRPr="008E7C4C">
        <w:rPr>
          <w:rFonts w:ascii="Arial Narrow" w:hAnsi="Arial Narrow"/>
          <w:iCs/>
          <w:snapToGrid w:val="0"/>
          <w:sz w:val="18"/>
          <w:szCs w:val="18"/>
        </w:rPr>
        <w:t>ixazomib</w:t>
      </w:r>
      <w:proofErr w:type="spellEnd"/>
      <w:r w:rsidRPr="008E7C4C">
        <w:rPr>
          <w:rFonts w:ascii="Arial Narrow" w:hAnsi="Arial Narrow"/>
          <w:iCs/>
          <w:snapToGrid w:val="0"/>
          <w:sz w:val="18"/>
          <w:szCs w:val="18"/>
        </w:rPr>
        <w:t xml:space="preserve"> </w:t>
      </w:r>
      <w:r w:rsidR="001C06DC" w:rsidRPr="008E7C4C">
        <w:rPr>
          <w:rFonts w:ascii="Arial Narrow" w:hAnsi="Arial Narrow"/>
          <w:iCs/>
          <w:snapToGrid w:val="0"/>
          <w:sz w:val="18"/>
          <w:szCs w:val="18"/>
        </w:rPr>
        <w:t>+</w:t>
      </w:r>
      <w:r w:rsidRPr="008E7C4C">
        <w:rPr>
          <w:rFonts w:ascii="Arial Narrow" w:hAnsi="Arial Narrow"/>
          <w:iCs/>
          <w:snapToGrid w:val="0"/>
          <w:sz w:val="18"/>
          <w:szCs w:val="18"/>
        </w:rPr>
        <w:t xml:space="preserve"> lenalidomide </w:t>
      </w:r>
      <w:r w:rsidR="001C06DC" w:rsidRPr="008E7C4C">
        <w:rPr>
          <w:rFonts w:ascii="Arial Narrow" w:hAnsi="Arial Narrow"/>
          <w:iCs/>
          <w:snapToGrid w:val="0"/>
          <w:sz w:val="18"/>
          <w:szCs w:val="18"/>
        </w:rPr>
        <w:t>+</w:t>
      </w:r>
      <w:r w:rsidRPr="008E7C4C">
        <w:rPr>
          <w:rFonts w:ascii="Arial Narrow" w:hAnsi="Arial Narrow"/>
          <w:iCs/>
          <w:snapToGrid w:val="0"/>
          <w:sz w:val="18"/>
          <w:szCs w:val="18"/>
        </w:rPr>
        <w:t xml:space="preserve"> dexamethasone; ORR</w:t>
      </w:r>
      <w:r w:rsidR="001C06DC" w:rsidRPr="008E7C4C">
        <w:rPr>
          <w:rFonts w:ascii="Arial Narrow" w:hAnsi="Arial Narrow"/>
          <w:iCs/>
          <w:snapToGrid w:val="0"/>
          <w:sz w:val="18"/>
          <w:szCs w:val="18"/>
        </w:rPr>
        <w:t xml:space="preserve"> </w:t>
      </w:r>
      <w:r w:rsidRPr="008E7C4C">
        <w:rPr>
          <w:rFonts w:ascii="Arial Narrow" w:hAnsi="Arial Narrow"/>
          <w:iCs/>
          <w:snapToGrid w:val="0"/>
          <w:sz w:val="18"/>
          <w:szCs w:val="18"/>
        </w:rPr>
        <w:t>= overall response rate; OS</w:t>
      </w:r>
      <w:r w:rsidR="001C06DC" w:rsidRPr="008E7C4C">
        <w:rPr>
          <w:rFonts w:ascii="Arial Narrow" w:hAnsi="Arial Narrow"/>
          <w:iCs/>
          <w:snapToGrid w:val="0"/>
          <w:sz w:val="18"/>
          <w:szCs w:val="18"/>
        </w:rPr>
        <w:t xml:space="preserve"> </w:t>
      </w:r>
      <w:r w:rsidR="00C3028F" w:rsidRPr="008E7C4C">
        <w:rPr>
          <w:rFonts w:ascii="Arial Narrow" w:hAnsi="Arial Narrow"/>
          <w:iCs/>
          <w:snapToGrid w:val="0"/>
          <w:sz w:val="18"/>
          <w:szCs w:val="18"/>
        </w:rPr>
        <w:t xml:space="preserve">= </w:t>
      </w:r>
      <w:r w:rsidRPr="008E7C4C">
        <w:rPr>
          <w:rFonts w:ascii="Arial Narrow" w:hAnsi="Arial Narrow"/>
          <w:iCs/>
          <w:snapToGrid w:val="0"/>
          <w:sz w:val="18"/>
          <w:szCs w:val="18"/>
        </w:rPr>
        <w:t>overall survival; PFS</w:t>
      </w:r>
      <w:r w:rsidR="001C06DC" w:rsidRPr="008E7C4C">
        <w:rPr>
          <w:rFonts w:ascii="Arial Narrow" w:hAnsi="Arial Narrow"/>
          <w:iCs/>
          <w:snapToGrid w:val="0"/>
          <w:sz w:val="18"/>
          <w:szCs w:val="18"/>
        </w:rPr>
        <w:t xml:space="preserve"> </w:t>
      </w:r>
      <w:r w:rsidRPr="008E7C4C">
        <w:rPr>
          <w:rFonts w:ascii="Arial Narrow" w:hAnsi="Arial Narrow"/>
          <w:iCs/>
          <w:snapToGrid w:val="0"/>
          <w:sz w:val="18"/>
          <w:szCs w:val="18"/>
        </w:rPr>
        <w:t>= progression-free survival; RRMM</w:t>
      </w:r>
      <w:r w:rsidR="001C06DC" w:rsidRPr="008E7C4C">
        <w:rPr>
          <w:rFonts w:ascii="Arial Narrow" w:hAnsi="Arial Narrow"/>
          <w:iCs/>
          <w:snapToGrid w:val="0"/>
          <w:sz w:val="18"/>
          <w:szCs w:val="18"/>
        </w:rPr>
        <w:t xml:space="preserve"> </w:t>
      </w:r>
      <w:r w:rsidRPr="008E7C4C">
        <w:rPr>
          <w:rFonts w:ascii="Arial Narrow" w:hAnsi="Arial Narrow"/>
          <w:iCs/>
          <w:snapToGrid w:val="0"/>
          <w:sz w:val="18"/>
          <w:szCs w:val="18"/>
        </w:rPr>
        <w:t xml:space="preserve">= relapsed </w:t>
      </w:r>
      <w:r w:rsidR="001C06DC" w:rsidRPr="008E7C4C">
        <w:rPr>
          <w:rFonts w:ascii="Arial Narrow" w:hAnsi="Arial Narrow"/>
          <w:iCs/>
          <w:snapToGrid w:val="0"/>
          <w:sz w:val="18"/>
          <w:szCs w:val="18"/>
        </w:rPr>
        <w:t>and/</w:t>
      </w:r>
      <w:r w:rsidRPr="008E7C4C">
        <w:rPr>
          <w:rFonts w:ascii="Arial Narrow" w:hAnsi="Arial Narrow"/>
          <w:iCs/>
          <w:snapToGrid w:val="0"/>
          <w:sz w:val="18"/>
          <w:szCs w:val="18"/>
        </w:rPr>
        <w:t>or refractory multiple myeloma.</w:t>
      </w:r>
    </w:p>
    <w:p w14:paraId="1D287F77" w14:textId="77777777" w:rsidR="00CC25DE" w:rsidRPr="008E7C4C" w:rsidRDefault="00CC25DE" w:rsidP="00CC25DE">
      <w:pPr>
        <w:keepLines/>
        <w:suppressLineNumbers/>
        <w:spacing w:after="120"/>
        <w:contextualSpacing/>
        <w:rPr>
          <w:rFonts w:ascii="Arial Narrow" w:hAnsi="Arial Narrow"/>
          <w:iCs/>
          <w:snapToGrid w:val="0"/>
          <w:sz w:val="18"/>
          <w:szCs w:val="18"/>
        </w:rPr>
      </w:pPr>
      <w:r w:rsidRPr="008E7C4C">
        <w:rPr>
          <w:rFonts w:ascii="Arial Narrow" w:hAnsi="Arial Narrow"/>
          <w:iCs/>
          <w:snapToGrid w:val="0"/>
          <w:sz w:val="18"/>
          <w:szCs w:val="18"/>
        </w:rPr>
        <w:t xml:space="preserve">Underlined text refers to changes relative to the initial submission; blue shaded text refers to information previously included in the initial submission of </w:t>
      </w:r>
      <w:proofErr w:type="spellStart"/>
      <w:r w:rsidRPr="008E7C4C">
        <w:rPr>
          <w:rFonts w:ascii="Arial Narrow" w:hAnsi="Arial Narrow"/>
          <w:iCs/>
          <w:snapToGrid w:val="0"/>
          <w:sz w:val="18"/>
          <w:szCs w:val="18"/>
        </w:rPr>
        <w:t>ixazomib</w:t>
      </w:r>
      <w:proofErr w:type="spellEnd"/>
      <w:r w:rsidRPr="008E7C4C">
        <w:rPr>
          <w:rFonts w:ascii="Arial Narrow" w:hAnsi="Arial Narrow"/>
          <w:iCs/>
          <w:snapToGrid w:val="0"/>
          <w:sz w:val="18"/>
          <w:szCs w:val="18"/>
        </w:rPr>
        <w:t xml:space="preserve"> to the PBAC. </w:t>
      </w:r>
    </w:p>
    <w:p w14:paraId="35AEACFB" w14:textId="77777777" w:rsidR="00CC25DE" w:rsidRPr="008E7C4C" w:rsidRDefault="00CC25DE" w:rsidP="003A3E40">
      <w:pPr>
        <w:pStyle w:val="2-SectionHeading"/>
      </w:pPr>
      <w:bookmarkStart w:id="2" w:name="_Toc93487432"/>
      <w:r w:rsidRPr="008E7C4C">
        <w:lastRenderedPageBreak/>
        <w:t>Background</w:t>
      </w:r>
      <w:bookmarkEnd w:id="2"/>
    </w:p>
    <w:p w14:paraId="092EEE3B" w14:textId="77777777" w:rsidR="00CC25DE" w:rsidRPr="008E7C4C" w:rsidRDefault="00CC25DE" w:rsidP="00CC25DE">
      <w:pPr>
        <w:keepNext/>
        <w:spacing w:before="120" w:after="120"/>
        <w:outlineLvl w:val="1"/>
        <w:rPr>
          <w:rFonts w:asciiTheme="minorHAnsi" w:eastAsiaTheme="majorEastAsia" w:hAnsiTheme="minorHAnsi" w:cstheme="majorBidi"/>
          <w:b/>
          <w:i/>
          <w:spacing w:val="5"/>
          <w:kern w:val="28"/>
          <w:sz w:val="28"/>
          <w:szCs w:val="36"/>
        </w:rPr>
      </w:pPr>
      <w:bookmarkStart w:id="3" w:name="_Toc22897638"/>
      <w:r w:rsidRPr="008E7C4C">
        <w:rPr>
          <w:rFonts w:asciiTheme="minorHAnsi" w:eastAsiaTheme="majorEastAsia" w:hAnsiTheme="minorHAnsi" w:cstheme="majorBidi"/>
          <w:b/>
          <w:i/>
          <w:spacing w:val="5"/>
          <w:kern w:val="28"/>
          <w:sz w:val="28"/>
          <w:szCs w:val="36"/>
        </w:rPr>
        <w:t>Registration status</w:t>
      </w:r>
      <w:bookmarkEnd w:id="3"/>
    </w:p>
    <w:p w14:paraId="68760720" w14:textId="77777777" w:rsidR="00CC25DE" w:rsidRPr="008E7C4C" w:rsidRDefault="00CC25DE" w:rsidP="00CC25DE">
      <w:pPr>
        <w:numPr>
          <w:ilvl w:val="1"/>
          <w:numId w:val="1"/>
        </w:numPr>
        <w:spacing w:after="120"/>
        <w:rPr>
          <w:rFonts w:asciiTheme="minorHAnsi" w:hAnsiTheme="minorHAnsi"/>
          <w:snapToGrid w:val="0"/>
        </w:rPr>
      </w:pPr>
      <w:proofErr w:type="spellStart"/>
      <w:r w:rsidRPr="008E7C4C">
        <w:rPr>
          <w:rFonts w:asciiTheme="minorHAnsi" w:hAnsiTheme="minorHAnsi"/>
          <w:snapToGrid w:val="0"/>
        </w:rPr>
        <w:t>Ixazomib</w:t>
      </w:r>
      <w:proofErr w:type="spellEnd"/>
      <w:r w:rsidRPr="008E7C4C">
        <w:rPr>
          <w:rFonts w:asciiTheme="minorHAnsi" w:hAnsiTheme="minorHAnsi"/>
          <w:snapToGrid w:val="0"/>
        </w:rPr>
        <w:t xml:space="preserve"> in combination with lenalidomide and dexamethasone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was TGA registered on 15 November 2016 for the treatment of patients with multiple myeloma (MM) who have received at least one prior therapy.  </w:t>
      </w:r>
      <w:bookmarkStart w:id="4" w:name="_Toc22897639"/>
    </w:p>
    <w:p w14:paraId="12FC5196" w14:textId="77777777" w:rsidR="00CC25DE" w:rsidRPr="008E7C4C" w:rsidRDefault="00CC25DE" w:rsidP="00CC25DE">
      <w:pPr>
        <w:keepNext/>
        <w:spacing w:before="120" w:after="120"/>
        <w:outlineLvl w:val="1"/>
        <w:rPr>
          <w:rFonts w:asciiTheme="minorHAnsi" w:eastAsiaTheme="majorEastAsia" w:hAnsiTheme="minorHAnsi" w:cstheme="majorBidi"/>
          <w:b/>
          <w:i/>
          <w:spacing w:val="5"/>
          <w:kern w:val="28"/>
          <w:sz w:val="28"/>
          <w:szCs w:val="36"/>
        </w:rPr>
      </w:pPr>
      <w:r w:rsidRPr="008E7C4C">
        <w:rPr>
          <w:rFonts w:asciiTheme="minorHAnsi" w:eastAsiaTheme="majorEastAsia" w:hAnsiTheme="minorHAnsi" w:cstheme="majorBidi"/>
          <w:b/>
          <w:i/>
          <w:spacing w:val="5"/>
          <w:kern w:val="28"/>
          <w:sz w:val="28"/>
          <w:szCs w:val="36"/>
        </w:rPr>
        <w:t>Previous PBAC consideration</w:t>
      </w:r>
      <w:bookmarkEnd w:id="4"/>
    </w:p>
    <w:p w14:paraId="74D29DBD" w14:textId="77777777" w:rsidR="00CC25DE" w:rsidRPr="008E7C4C" w:rsidRDefault="00CC25DE" w:rsidP="00CC25DE">
      <w:pPr>
        <w:keepNext/>
        <w:numPr>
          <w:ilvl w:val="1"/>
          <w:numId w:val="1"/>
        </w:numPr>
        <w:spacing w:after="160"/>
        <w:rPr>
          <w:rFonts w:ascii="Arial Narrow" w:hAnsi="Arial Narrow"/>
          <w:b/>
          <w:snapToGrid w:val="0"/>
          <w:sz w:val="20"/>
          <w:szCs w:val="16"/>
        </w:rPr>
      </w:pPr>
      <w:r w:rsidRPr="008E7C4C">
        <w:rPr>
          <w:rFonts w:asciiTheme="minorHAnsi" w:hAnsiTheme="minorHAnsi" w:cs="Calibri"/>
        </w:rPr>
        <w:t xml:space="preserve">A summary of the matters of concern raised by the PBAC with respect to the November 2020 submission, and how they have been addressed in the March 2022 resubmission is provided in Table 2. </w:t>
      </w:r>
    </w:p>
    <w:p w14:paraId="4EFA48FB" w14:textId="49140013" w:rsidR="00CC25DE" w:rsidRPr="008E7C4C" w:rsidRDefault="00CC25DE" w:rsidP="00CC25DE">
      <w:pPr>
        <w:numPr>
          <w:ilvl w:val="1"/>
          <w:numId w:val="1"/>
        </w:numPr>
        <w:spacing w:after="120"/>
        <w:rPr>
          <w:snapToGrid w:val="0"/>
          <w:szCs w:val="22"/>
        </w:rPr>
      </w:pPr>
      <w:r w:rsidRPr="008E7C4C">
        <w:rPr>
          <w:rFonts w:asciiTheme="minorHAnsi" w:hAnsiTheme="minorHAnsi"/>
          <w:snapToGrid w:val="0"/>
        </w:rPr>
        <w:t xml:space="preserve">As distinct from the November 2020 submission, the March 2022 resubmission requested listing of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after at least </w:t>
      </w:r>
      <w:r w:rsidR="001C06DC" w:rsidRPr="008E7C4C">
        <w:rPr>
          <w:rFonts w:asciiTheme="minorHAnsi" w:hAnsiTheme="minorHAnsi"/>
          <w:snapToGrid w:val="0"/>
        </w:rPr>
        <w:t>two</w:t>
      </w:r>
      <w:r w:rsidRPr="008E7C4C">
        <w:rPr>
          <w:rFonts w:asciiTheme="minorHAnsi" w:hAnsiTheme="minorHAnsi"/>
          <w:snapToGrid w:val="0"/>
        </w:rPr>
        <w:t xml:space="preserve"> prior therapies </w:t>
      </w:r>
      <w:r w:rsidR="001C06DC" w:rsidRPr="008E7C4C">
        <w:rPr>
          <w:rFonts w:asciiTheme="minorHAnsi" w:hAnsiTheme="minorHAnsi"/>
          <w:snapToGrid w:val="0"/>
        </w:rPr>
        <w:t>rather than after</w:t>
      </w:r>
      <w:r w:rsidRPr="008E7C4C">
        <w:rPr>
          <w:rFonts w:asciiTheme="minorHAnsi" w:hAnsiTheme="minorHAnsi"/>
          <w:snapToGrid w:val="0"/>
        </w:rPr>
        <w:t xml:space="preserve"> at least one prior therapy. The resubmission argued its decision to change the requested line of therapy </w:t>
      </w:r>
      <w:r w:rsidR="00B0178B" w:rsidRPr="008E7C4C">
        <w:rPr>
          <w:rFonts w:asciiTheme="minorHAnsi" w:hAnsiTheme="minorHAnsi"/>
          <w:snapToGrid w:val="0"/>
        </w:rPr>
        <w:t xml:space="preserve">was </w:t>
      </w:r>
      <w:r w:rsidRPr="008E7C4C">
        <w:rPr>
          <w:rFonts w:asciiTheme="minorHAnsi" w:hAnsiTheme="minorHAnsi"/>
          <w:snapToGrid w:val="0"/>
        </w:rPr>
        <w:t>due to the listing of daratumumab in combination with bortezomib and dexamethasone (</w:t>
      </w:r>
      <w:proofErr w:type="spellStart"/>
      <w:r w:rsidRPr="008E7C4C">
        <w:rPr>
          <w:rFonts w:asciiTheme="minorHAnsi" w:hAnsiTheme="minorHAnsi"/>
          <w:snapToGrid w:val="0"/>
        </w:rPr>
        <w:t>DBd</w:t>
      </w:r>
      <w:proofErr w:type="spellEnd"/>
      <w:r w:rsidRPr="008E7C4C">
        <w:rPr>
          <w:rFonts w:asciiTheme="minorHAnsi" w:hAnsiTheme="minorHAnsi"/>
          <w:snapToGrid w:val="0"/>
        </w:rPr>
        <w:t xml:space="preserve">) in second line only. In addition, the resubmission proposed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as its main comparator and Cd as its secondary comparator. The submission provided updated survival data from the pivotal TMM-1 trial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vs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w:t>
      </w:r>
    </w:p>
    <w:p w14:paraId="72CE9F9F" w14:textId="77777777" w:rsidR="00CC25DE" w:rsidRPr="008E7C4C" w:rsidRDefault="00CC25DE" w:rsidP="00CC25DE">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Table 2: Summary of key differences between submissions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66"/>
        <w:gridCol w:w="3028"/>
      </w:tblGrid>
      <w:tr w:rsidR="00CC25DE" w:rsidRPr="008E7C4C" w14:paraId="0255FB34" w14:textId="77777777" w:rsidTr="00764910">
        <w:trPr>
          <w:cantSplit/>
          <w:tblHeader/>
        </w:trPr>
        <w:tc>
          <w:tcPr>
            <w:tcW w:w="1177" w:type="pct"/>
            <w:tcMar>
              <w:left w:w="28" w:type="dxa"/>
              <w:right w:w="28" w:type="dxa"/>
            </w:tcMar>
          </w:tcPr>
          <w:p w14:paraId="7BCE79D0" w14:textId="77777777" w:rsidR="00CC25DE" w:rsidRPr="008E7C4C" w:rsidRDefault="00CC25DE" w:rsidP="00764910">
            <w:pPr>
              <w:jc w:val="left"/>
              <w:rPr>
                <w:rFonts w:ascii="Arial Narrow" w:eastAsiaTheme="majorEastAsia" w:hAnsi="Arial Narrow" w:cs="Calibri"/>
                <w:b/>
                <w:sz w:val="20"/>
              </w:rPr>
            </w:pPr>
            <w:r w:rsidRPr="008E7C4C">
              <w:rPr>
                <w:rFonts w:ascii="Arial Narrow" w:eastAsiaTheme="majorEastAsia" w:hAnsi="Arial Narrow" w:cs="Calibri"/>
                <w:b/>
                <w:sz w:val="20"/>
              </w:rPr>
              <w:t>Component</w:t>
            </w:r>
          </w:p>
        </w:tc>
        <w:tc>
          <w:tcPr>
            <w:tcW w:w="2144" w:type="pct"/>
            <w:tcMar>
              <w:left w:w="28" w:type="dxa"/>
              <w:right w:w="28" w:type="dxa"/>
            </w:tcMar>
            <w:vAlign w:val="center"/>
          </w:tcPr>
          <w:p w14:paraId="3B2425DC" w14:textId="77777777" w:rsidR="00CC25DE" w:rsidRPr="008E7C4C" w:rsidRDefault="00CC25DE" w:rsidP="009A188C">
            <w:pPr>
              <w:jc w:val="left"/>
              <w:rPr>
                <w:rFonts w:ascii="Arial Narrow" w:eastAsiaTheme="majorEastAsia" w:hAnsi="Arial Narrow" w:cs="Calibri"/>
                <w:b/>
                <w:sz w:val="20"/>
              </w:rPr>
            </w:pPr>
            <w:r w:rsidRPr="008E7C4C">
              <w:rPr>
                <w:rFonts w:ascii="Arial Narrow" w:eastAsiaTheme="majorEastAsia" w:hAnsi="Arial Narrow" w:cs="Calibri"/>
                <w:b/>
                <w:sz w:val="20"/>
              </w:rPr>
              <w:t>Matter of concern</w:t>
            </w:r>
          </w:p>
        </w:tc>
        <w:tc>
          <w:tcPr>
            <w:tcW w:w="1679" w:type="pct"/>
            <w:tcMar>
              <w:left w:w="28" w:type="dxa"/>
              <w:right w:w="28" w:type="dxa"/>
            </w:tcMar>
            <w:vAlign w:val="center"/>
          </w:tcPr>
          <w:p w14:paraId="74CD4827" w14:textId="77777777" w:rsidR="00CC25DE" w:rsidRPr="008E7C4C" w:rsidRDefault="00CC25DE" w:rsidP="009A188C">
            <w:pPr>
              <w:jc w:val="left"/>
              <w:rPr>
                <w:rFonts w:ascii="Arial Narrow" w:eastAsiaTheme="majorEastAsia" w:hAnsi="Arial Narrow" w:cs="Calibri"/>
                <w:b/>
                <w:iCs/>
                <w:sz w:val="20"/>
              </w:rPr>
            </w:pPr>
            <w:r w:rsidRPr="008E7C4C">
              <w:rPr>
                <w:rFonts w:ascii="Arial Narrow" w:eastAsiaTheme="majorEastAsia" w:hAnsi="Arial Narrow" w:cs="Calibri"/>
                <w:b/>
                <w:iCs/>
                <w:sz w:val="20"/>
              </w:rPr>
              <w:t>How the resubmission addresses it</w:t>
            </w:r>
          </w:p>
        </w:tc>
      </w:tr>
      <w:tr w:rsidR="00CC25DE" w:rsidRPr="008E7C4C" w14:paraId="56F4B394" w14:textId="77777777" w:rsidTr="00764910">
        <w:trPr>
          <w:cantSplit/>
        </w:trPr>
        <w:tc>
          <w:tcPr>
            <w:tcW w:w="1177" w:type="pct"/>
            <w:tcMar>
              <w:left w:w="28" w:type="dxa"/>
              <w:right w:w="28" w:type="dxa"/>
            </w:tcMar>
          </w:tcPr>
          <w:p w14:paraId="3792B742" w14:textId="77777777" w:rsidR="00CC25DE" w:rsidRPr="008E7C4C" w:rsidRDefault="00CC25DE" w:rsidP="00764910">
            <w:pPr>
              <w:jc w:val="left"/>
              <w:rPr>
                <w:rFonts w:ascii="Arial Narrow" w:eastAsiaTheme="majorEastAsia" w:hAnsi="Arial Narrow" w:cs="Calibri"/>
                <w:bCs/>
                <w:sz w:val="20"/>
              </w:rPr>
            </w:pPr>
            <w:r w:rsidRPr="008E7C4C">
              <w:rPr>
                <w:rFonts w:ascii="Arial Narrow" w:eastAsiaTheme="majorEastAsia" w:hAnsi="Arial Narrow" w:cs="Calibri"/>
                <w:bCs/>
                <w:sz w:val="20"/>
              </w:rPr>
              <w:t>Clinical place in therapy</w:t>
            </w:r>
          </w:p>
        </w:tc>
        <w:tc>
          <w:tcPr>
            <w:tcW w:w="2144" w:type="pct"/>
            <w:tcMar>
              <w:left w:w="28" w:type="dxa"/>
              <w:right w:w="28" w:type="dxa"/>
            </w:tcMar>
          </w:tcPr>
          <w:p w14:paraId="128D2FC1" w14:textId="77777777" w:rsidR="00CC25DE" w:rsidRPr="008E7C4C" w:rsidRDefault="00CC25DE" w:rsidP="009A188C">
            <w:pPr>
              <w:jc w:val="left"/>
              <w:rPr>
                <w:rFonts w:ascii="Arial Narrow" w:hAnsi="Arial Narrow" w:cs="Calibri"/>
                <w:snapToGrid w:val="0"/>
                <w:color w:val="0066FF"/>
                <w:sz w:val="20"/>
                <w:szCs w:val="20"/>
              </w:rPr>
            </w:pPr>
            <w:r w:rsidRPr="008E7C4C">
              <w:rPr>
                <w:rFonts w:ascii="Arial Narrow" w:eastAsiaTheme="majorEastAsia" w:hAnsi="Arial Narrow" w:cs="Calibri"/>
                <w:bCs/>
                <w:snapToGrid w:val="0"/>
                <w:sz w:val="20"/>
              </w:rPr>
              <w:t xml:space="preserve">If </w:t>
            </w:r>
            <w:proofErr w:type="spellStart"/>
            <w:r w:rsidRPr="008E7C4C">
              <w:rPr>
                <w:rFonts w:ascii="Arial Narrow" w:eastAsiaTheme="majorEastAsia" w:hAnsi="Arial Narrow" w:cs="Calibri"/>
                <w:bCs/>
                <w:snapToGrid w:val="0"/>
                <w:sz w:val="20"/>
              </w:rPr>
              <w:t>DBd</w:t>
            </w:r>
            <w:proofErr w:type="spellEnd"/>
            <w:r w:rsidRPr="008E7C4C">
              <w:rPr>
                <w:rFonts w:ascii="Arial Narrow" w:eastAsiaTheme="majorEastAsia" w:hAnsi="Arial Narrow" w:cs="Calibri"/>
                <w:bCs/>
                <w:snapToGrid w:val="0"/>
                <w:sz w:val="20"/>
              </w:rPr>
              <w:t xml:space="preserve"> is listed on the PBS and restricted to the </w:t>
            </w:r>
            <w:proofErr w:type="gramStart"/>
            <w:r w:rsidRPr="008E7C4C">
              <w:rPr>
                <w:rFonts w:ascii="Arial Narrow" w:eastAsiaTheme="majorEastAsia" w:hAnsi="Arial Narrow" w:cs="Calibri"/>
                <w:bCs/>
                <w:snapToGrid w:val="0"/>
                <w:sz w:val="20"/>
              </w:rPr>
              <w:t>second-line</w:t>
            </w:r>
            <w:proofErr w:type="gramEnd"/>
            <w:r w:rsidRPr="008E7C4C">
              <w:rPr>
                <w:rFonts w:ascii="Arial Narrow" w:eastAsiaTheme="majorEastAsia" w:hAnsi="Arial Narrow" w:cs="Calibri"/>
                <w:bCs/>
                <w:snapToGrid w:val="0"/>
                <w:sz w:val="20"/>
              </w:rPr>
              <w:t xml:space="preserve"> setting it will likely displace the other RRMM treatments to the third-line setting. (para 7.4, November 2020 PSD)</w:t>
            </w:r>
          </w:p>
        </w:tc>
        <w:tc>
          <w:tcPr>
            <w:tcW w:w="1679" w:type="pct"/>
            <w:tcMar>
              <w:left w:w="28" w:type="dxa"/>
              <w:right w:w="28" w:type="dxa"/>
            </w:tcMar>
          </w:tcPr>
          <w:p w14:paraId="4D6DC240" w14:textId="77777777" w:rsidR="00CC25DE" w:rsidRPr="008E7C4C" w:rsidRDefault="00CC25DE"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Addressed.</w:t>
            </w:r>
          </w:p>
          <w:p w14:paraId="06C1E181" w14:textId="3C2231F3" w:rsidR="00CC25DE" w:rsidRPr="008E7C4C" w:rsidRDefault="00CC25DE" w:rsidP="00B42E3E">
            <w:pPr>
              <w:jc w:val="left"/>
              <w:rPr>
                <w:rFonts w:ascii="Arial Narrow" w:hAnsi="Arial Narrow" w:cs="Calibri"/>
                <w:iCs/>
                <w:snapToGrid w:val="0"/>
                <w:color w:val="0066FF"/>
                <w:sz w:val="20"/>
                <w:szCs w:val="20"/>
              </w:rPr>
            </w:pPr>
            <w:r w:rsidRPr="008E7C4C">
              <w:rPr>
                <w:rFonts w:ascii="Arial Narrow" w:eastAsiaTheme="majorEastAsia" w:hAnsi="Arial Narrow" w:cs="Calibri"/>
                <w:bCs/>
                <w:iCs/>
                <w:snapToGrid w:val="0"/>
                <w:sz w:val="20"/>
              </w:rPr>
              <w:t xml:space="preserve">The new requested restriction for </w:t>
            </w:r>
            <w:proofErr w:type="spellStart"/>
            <w:r w:rsidRPr="008E7C4C">
              <w:rPr>
                <w:rFonts w:ascii="Arial Narrow" w:eastAsiaTheme="majorEastAsia" w:hAnsi="Arial Narrow" w:cs="Calibri"/>
                <w:bCs/>
                <w:iCs/>
                <w:snapToGrid w:val="0"/>
                <w:sz w:val="20"/>
              </w:rPr>
              <w:t>ILd</w:t>
            </w:r>
            <w:proofErr w:type="spellEnd"/>
            <w:r w:rsidRPr="008E7C4C">
              <w:rPr>
                <w:rFonts w:ascii="Arial Narrow" w:eastAsiaTheme="majorEastAsia" w:hAnsi="Arial Narrow" w:cs="Calibri"/>
                <w:bCs/>
                <w:iCs/>
                <w:snapToGrid w:val="0"/>
                <w:sz w:val="20"/>
              </w:rPr>
              <w:t xml:space="preserve"> is for after at least two prior therapies (</w:t>
            </w:r>
            <w:r w:rsidR="00B42E3E" w:rsidRPr="008E7C4C">
              <w:rPr>
                <w:rFonts w:ascii="Arial Narrow" w:eastAsiaTheme="majorEastAsia" w:hAnsi="Arial Narrow" w:cs="Calibri"/>
                <w:bCs/>
                <w:iCs/>
                <w:snapToGrid w:val="0"/>
                <w:sz w:val="20"/>
              </w:rPr>
              <w:t xml:space="preserve">refer </w:t>
            </w:r>
            <w:r w:rsidR="00C032D2" w:rsidRPr="008E7C4C">
              <w:rPr>
                <w:rFonts w:ascii="Arial Narrow" w:eastAsiaTheme="majorEastAsia" w:hAnsi="Arial Narrow" w:cs="Calibri"/>
                <w:bCs/>
                <w:iCs/>
                <w:snapToGrid w:val="0"/>
                <w:sz w:val="20"/>
              </w:rPr>
              <w:t>Table 1</w:t>
            </w:r>
            <w:r w:rsidRPr="008E7C4C">
              <w:rPr>
                <w:rFonts w:ascii="Arial Narrow" w:eastAsiaTheme="majorEastAsia" w:hAnsi="Arial Narrow" w:cs="Calibri"/>
                <w:bCs/>
                <w:iCs/>
                <w:snapToGrid w:val="0"/>
                <w:sz w:val="20"/>
              </w:rPr>
              <w:t>).</w:t>
            </w:r>
          </w:p>
        </w:tc>
      </w:tr>
      <w:tr w:rsidR="00CC25DE" w:rsidRPr="008E7C4C" w14:paraId="505899DF" w14:textId="77777777" w:rsidTr="00764910">
        <w:trPr>
          <w:cantSplit/>
        </w:trPr>
        <w:tc>
          <w:tcPr>
            <w:tcW w:w="1177" w:type="pct"/>
            <w:tcMar>
              <w:left w:w="28" w:type="dxa"/>
              <w:right w:w="28" w:type="dxa"/>
            </w:tcMar>
          </w:tcPr>
          <w:p w14:paraId="049A2AEE" w14:textId="77777777" w:rsidR="00CC25DE" w:rsidRPr="008E7C4C" w:rsidRDefault="00CC25DE" w:rsidP="00764910">
            <w:pPr>
              <w:jc w:val="left"/>
              <w:rPr>
                <w:rFonts w:ascii="Arial Narrow" w:eastAsiaTheme="majorEastAsia" w:hAnsi="Arial Narrow" w:cs="Calibri"/>
                <w:bCs/>
                <w:sz w:val="20"/>
              </w:rPr>
            </w:pPr>
            <w:r w:rsidRPr="008E7C4C">
              <w:rPr>
                <w:rFonts w:ascii="Arial Narrow" w:eastAsiaTheme="majorEastAsia" w:hAnsi="Arial Narrow" w:cs="Calibri"/>
                <w:bCs/>
                <w:sz w:val="20"/>
              </w:rPr>
              <w:t>Naïve indirect treatment comparison with Cd</w:t>
            </w:r>
          </w:p>
        </w:tc>
        <w:tc>
          <w:tcPr>
            <w:tcW w:w="2144" w:type="pct"/>
            <w:tcMar>
              <w:left w:w="28" w:type="dxa"/>
              <w:right w:w="28" w:type="dxa"/>
            </w:tcMar>
          </w:tcPr>
          <w:p w14:paraId="296DB119" w14:textId="77777777" w:rsidR="00CC25DE" w:rsidRPr="008E7C4C" w:rsidRDefault="00CC25DE" w:rsidP="009A188C">
            <w:pPr>
              <w:jc w:val="left"/>
              <w:rPr>
                <w:rFonts w:ascii="Arial Narrow" w:hAnsi="Arial Narrow" w:cs="Calibri"/>
                <w:snapToGrid w:val="0"/>
                <w:color w:val="000000" w:themeColor="text1"/>
                <w:sz w:val="20"/>
                <w:szCs w:val="20"/>
              </w:rPr>
            </w:pPr>
            <w:r w:rsidRPr="008E7C4C">
              <w:rPr>
                <w:rFonts w:ascii="Arial Narrow" w:hAnsi="Arial Narrow" w:cs="Calibri"/>
                <w:snapToGrid w:val="0"/>
                <w:color w:val="000000" w:themeColor="text1"/>
                <w:sz w:val="20"/>
                <w:szCs w:val="20"/>
              </w:rPr>
              <w:t xml:space="preserve">Due to </w:t>
            </w:r>
            <w:proofErr w:type="gramStart"/>
            <w:r w:rsidRPr="008E7C4C">
              <w:rPr>
                <w:rFonts w:ascii="Arial Narrow" w:hAnsi="Arial Narrow" w:cs="Calibri"/>
                <w:snapToGrid w:val="0"/>
                <w:color w:val="000000" w:themeColor="text1"/>
                <w:sz w:val="20"/>
                <w:szCs w:val="20"/>
              </w:rPr>
              <w:t>a number of</w:t>
            </w:r>
            <w:proofErr w:type="gramEnd"/>
            <w:r w:rsidRPr="008E7C4C">
              <w:rPr>
                <w:rFonts w:ascii="Arial Narrow" w:hAnsi="Arial Narrow" w:cs="Calibri"/>
                <w:snapToGrid w:val="0"/>
                <w:color w:val="000000" w:themeColor="text1"/>
                <w:sz w:val="20"/>
                <w:szCs w:val="20"/>
              </w:rPr>
              <w:t xml:space="preserve"> eligibility criteria differences and transitivity issues between the TMM-1 (</w:t>
            </w:r>
            <w:proofErr w:type="spellStart"/>
            <w:r w:rsidRPr="008E7C4C">
              <w:rPr>
                <w:rFonts w:ascii="Arial Narrow" w:hAnsi="Arial Narrow" w:cs="Calibri"/>
                <w:snapToGrid w:val="0"/>
                <w:color w:val="000000" w:themeColor="text1"/>
                <w:sz w:val="20"/>
                <w:szCs w:val="20"/>
              </w:rPr>
              <w:t>ILd</w:t>
            </w:r>
            <w:proofErr w:type="spellEnd"/>
            <w:r w:rsidRPr="008E7C4C">
              <w:rPr>
                <w:rFonts w:ascii="Arial Narrow" w:hAnsi="Arial Narrow" w:cs="Calibri"/>
                <w:snapToGrid w:val="0"/>
                <w:color w:val="000000" w:themeColor="text1"/>
                <w:sz w:val="20"/>
                <w:szCs w:val="20"/>
              </w:rPr>
              <w:t xml:space="preserve"> vs </w:t>
            </w:r>
            <w:proofErr w:type="spellStart"/>
            <w:r w:rsidRPr="008E7C4C">
              <w:rPr>
                <w:rFonts w:ascii="Arial Narrow" w:hAnsi="Arial Narrow" w:cs="Calibri"/>
                <w:snapToGrid w:val="0"/>
                <w:color w:val="000000" w:themeColor="text1"/>
                <w:sz w:val="20"/>
                <w:szCs w:val="20"/>
              </w:rPr>
              <w:t>Ld</w:t>
            </w:r>
            <w:proofErr w:type="spellEnd"/>
            <w:r w:rsidRPr="008E7C4C">
              <w:rPr>
                <w:rFonts w:ascii="Arial Narrow" w:hAnsi="Arial Narrow" w:cs="Calibri"/>
                <w:snapToGrid w:val="0"/>
                <w:color w:val="000000" w:themeColor="text1"/>
                <w:sz w:val="20"/>
                <w:szCs w:val="20"/>
              </w:rPr>
              <w:t xml:space="preserve">) and ENDEAVOUR (Cd vs Bd) </w:t>
            </w:r>
            <w:r w:rsidRPr="008E7C4C">
              <w:rPr>
                <w:rFonts w:ascii="Arial Narrow" w:eastAsiaTheme="majorEastAsia" w:hAnsi="Arial Narrow" w:cs="Calibri"/>
                <w:bCs/>
                <w:color w:val="000000" w:themeColor="text1"/>
                <w:sz w:val="20"/>
              </w:rPr>
              <w:t>with no comparison between the comparator arms (</w:t>
            </w:r>
            <w:proofErr w:type="spellStart"/>
            <w:r w:rsidRPr="008E7C4C">
              <w:rPr>
                <w:rFonts w:ascii="Arial Narrow" w:eastAsiaTheme="majorEastAsia" w:hAnsi="Arial Narrow" w:cs="Calibri"/>
                <w:bCs/>
                <w:color w:val="000000" w:themeColor="text1"/>
                <w:sz w:val="20"/>
              </w:rPr>
              <w:t>Ld</w:t>
            </w:r>
            <w:proofErr w:type="spellEnd"/>
            <w:r w:rsidRPr="008E7C4C">
              <w:rPr>
                <w:rFonts w:ascii="Arial Narrow" w:eastAsiaTheme="majorEastAsia" w:hAnsi="Arial Narrow" w:cs="Calibri"/>
                <w:bCs/>
                <w:color w:val="000000" w:themeColor="text1"/>
                <w:sz w:val="20"/>
              </w:rPr>
              <w:t xml:space="preserve"> for TOURMALINE and Bd for ENDEAVOR), the PBAC considered that the results of the naïve ITC were difficult to interpret </w:t>
            </w:r>
            <w:r w:rsidRPr="008E7C4C">
              <w:rPr>
                <w:rFonts w:ascii="Arial Narrow" w:eastAsiaTheme="majorEastAsia" w:hAnsi="Arial Narrow" w:cs="Calibri"/>
                <w:bCs/>
                <w:snapToGrid w:val="0"/>
                <w:color w:val="000000" w:themeColor="text1"/>
                <w:sz w:val="20"/>
              </w:rPr>
              <w:t>(para 7.6 and 7.7, November 2020 PSD)</w:t>
            </w:r>
          </w:p>
        </w:tc>
        <w:tc>
          <w:tcPr>
            <w:tcW w:w="1679" w:type="pct"/>
            <w:tcMar>
              <w:left w:w="28" w:type="dxa"/>
              <w:right w:w="28" w:type="dxa"/>
            </w:tcMar>
          </w:tcPr>
          <w:p w14:paraId="702FCE3E" w14:textId="77777777" w:rsidR="00CC25DE" w:rsidRPr="008E7C4C" w:rsidRDefault="00CC25DE"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 xml:space="preserve">Addressed. </w:t>
            </w:r>
          </w:p>
          <w:p w14:paraId="75080945" w14:textId="77777777" w:rsidR="00CC25DE" w:rsidRPr="008E7C4C" w:rsidRDefault="00CC25DE"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The main comparator is now Ld. However, the resubmission did not address the issues with respect to proposed secondary comparator Cd.</w:t>
            </w:r>
          </w:p>
        </w:tc>
      </w:tr>
      <w:tr w:rsidR="00CC25DE" w:rsidRPr="008E7C4C" w14:paraId="64757AE6" w14:textId="77777777" w:rsidTr="00764910">
        <w:trPr>
          <w:cantSplit/>
        </w:trPr>
        <w:tc>
          <w:tcPr>
            <w:tcW w:w="1177" w:type="pct"/>
            <w:tcMar>
              <w:left w:w="28" w:type="dxa"/>
              <w:right w:w="28" w:type="dxa"/>
            </w:tcMar>
          </w:tcPr>
          <w:p w14:paraId="7213D8F3" w14:textId="77777777" w:rsidR="00CC25DE" w:rsidRPr="008E7C4C" w:rsidRDefault="00CC25DE" w:rsidP="00764910">
            <w:pPr>
              <w:jc w:val="left"/>
              <w:rPr>
                <w:rFonts w:ascii="Arial Narrow" w:eastAsiaTheme="majorEastAsia" w:hAnsi="Arial Narrow" w:cs="Calibri"/>
                <w:bCs/>
                <w:sz w:val="20"/>
              </w:rPr>
            </w:pPr>
            <w:r w:rsidRPr="008E7C4C">
              <w:rPr>
                <w:rFonts w:ascii="Arial Narrow" w:eastAsiaTheme="majorEastAsia" w:hAnsi="Arial Narrow" w:cs="Calibri"/>
                <w:bCs/>
                <w:sz w:val="20"/>
              </w:rPr>
              <w:t>Immature OS</w:t>
            </w:r>
          </w:p>
        </w:tc>
        <w:tc>
          <w:tcPr>
            <w:tcW w:w="2144" w:type="pct"/>
            <w:tcMar>
              <w:left w:w="28" w:type="dxa"/>
              <w:right w:w="28" w:type="dxa"/>
            </w:tcMar>
          </w:tcPr>
          <w:p w14:paraId="7E76D36A" w14:textId="77777777" w:rsidR="00CC25DE" w:rsidRPr="008E7C4C" w:rsidRDefault="00CC25DE" w:rsidP="009A188C">
            <w:pPr>
              <w:jc w:val="left"/>
              <w:rPr>
                <w:rFonts w:ascii="Arial Narrow" w:hAnsi="Arial Narrow" w:cs="Calibri"/>
                <w:snapToGrid w:val="0"/>
                <w:color w:val="000000" w:themeColor="text1"/>
                <w:sz w:val="20"/>
                <w:szCs w:val="20"/>
              </w:rPr>
            </w:pPr>
            <w:r w:rsidRPr="008E7C4C">
              <w:rPr>
                <w:rFonts w:ascii="Arial Narrow" w:hAnsi="Arial Narrow" w:cs="Calibri"/>
                <w:snapToGrid w:val="0"/>
                <w:color w:val="000000" w:themeColor="text1"/>
                <w:sz w:val="20"/>
                <w:szCs w:val="20"/>
              </w:rPr>
              <w:t xml:space="preserve">The data from the TMM-1 were too immature to assess efficacy in terms of OS </w:t>
            </w:r>
            <w:r w:rsidRPr="008E7C4C">
              <w:rPr>
                <w:rFonts w:ascii="Arial Narrow" w:eastAsiaTheme="majorEastAsia" w:hAnsi="Arial Narrow" w:cs="Calibri"/>
                <w:bCs/>
                <w:snapToGrid w:val="0"/>
                <w:color w:val="000000" w:themeColor="text1"/>
                <w:sz w:val="20"/>
              </w:rPr>
              <w:t>(para 7.8, November 2020 PSD)</w:t>
            </w:r>
          </w:p>
        </w:tc>
        <w:tc>
          <w:tcPr>
            <w:tcW w:w="1679" w:type="pct"/>
            <w:tcMar>
              <w:left w:w="28" w:type="dxa"/>
              <w:right w:w="28" w:type="dxa"/>
            </w:tcMar>
          </w:tcPr>
          <w:p w14:paraId="2F999480" w14:textId="77777777" w:rsidR="00CC25DE" w:rsidRPr="008E7C4C" w:rsidRDefault="00CC25DE"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Addressed.</w:t>
            </w:r>
          </w:p>
          <w:p w14:paraId="31E2CA3E" w14:textId="77777777" w:rsidR="00CC25DE" w:rsidRPr="008E7C4C" w:rsidRDefault="00CC25DE"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Updated OS for TMM-1 (</w:t>
            </w:r>
            <w:r w:rsidR="00A7420D" w:rsidRPr="008E7C4C">
              <w:rPr>
                <w:rFonts w:ascii="Arial Narrow" w:eastAsiaTheme="majorEastAsia" w:hAnsi="Arial Narrow" w:cs="Calibri"/>
                <w:bCs/>
                <w:iCs/>
                <w:snapToGrid w:val="0"/>
                <w:sz w:val="20"/>
              </w:rPr>
              <w:t>85-month</w:t>
            </w:r>
            <w:r w:rsidRPr="008E7C4C">
              <w:rPr>
                <w:rFonts w:ascii="Arial Narrow" w:eastAsiaTheme="majorEastAsia" w:hAnsi="Arial Narrow" w:cs="Calibri"/>
                <w:bCs/>
                <w:iCs/>
                <w:snapToGrid w:val="0"/>
                <w:sz w:val="20"/>
              </w:rPr>
              <w:t xml:space="preserve"> follow-up) is presented. No statistically significant difference was found in the ITT analysis. </w:t>
            </w:r>
          </w:p>
        </w:tc>
      </w:tr>
      <w:tr w:rsidR="00CC25DE" w:rsidRPr="008E7C4C" w14:paraId="5362DFB2" w14:textId="77777777" w:rsidTr="00764910">
        <w:trPr>
          <w:cantSplit/>
        </w:trPr>
        <w:tc>
          <w:tcPr>
            <w:tcW w:w="1177" w:type="pct"/>
            <w:tcMar>
              <w:left w:w="28" w:type="dxa"/>
              <w:right w:w="28" w:type="dxa"/>
            </w:tcMar>
          </w:tcPr>
          <w:p w14:paraId="09F8A33F" w14:textId="77777777" w:rsidR="00CC25DE" w:rsidRPr="008E7C4C" w:rsidRDefault="00CC25DE" w:rsidP="00764910">
            <w:pPr>
              <w:jc w:val="left"/>
              <w:rPr>
                <w:rFonts w:ascii="Arial Narrow" w:eastAsiaTheme="majorEastAsia" w:hAnsi="Arial Narrow" w:cs="Calibri"/>
                <w:bCs/>
                <w:sz w:val="20"/>
              </w:rPr>
            </w:pPr>
            <w:r w:rsidRPr="008E7C4C">
              <w:rPr>
                <w:rFonts w:ascii="Arial Narrow" w:eastAsiaTheme="majorEastAsia" w:hAnsi="Arial Narrow" w:cs="Calibri"/>
                <w:bCs/>
                <w:sz w:val="20"/>
              </w:rPr>
              <w:lastRenderedPageBreak/>
              <w:t>Clinical claim: efficacy</w:t>
            </w:r>
          </w:p>
        </w:tc>
        <w:tc>
          <w:tcPr>
            <w:tcW w:w="2144" w:type="pct"/>
            <w:tcMar>
              <w:left w:w="28" w:type="dxa"/>
              <w:right w:w="28" w:type="dxa"/>
            </w:tcMar>
          </w:tcPr>
          <w:p w14:paraId="229B6BA0" w14:textId="77777777" w:rsidR="00CC25DE" w:rsidRPr="008E7C4C" w:rsidRDefault="00CC25DE" w:rsidP="009A188C">
            <w:pPr>
              <w:jc w:val="left"/>
              <w:rPr>
                <w:rFonts w:ascii="Arial Narrow" w:hAnsi="Arial Narrow" w:cs="Calibri"/>
                <w:snapToGrid w:val="0"/>
                <w:color w:val="000000" w:themeColor="text1"/>
                <w:sz w:val="20"/>
                <w:szCs w:val="20"/>
              </w:rPr>
            </w:pPr>
            <w:r w:rsidRPr="008E7C4C">
              <w:rPr>
                <w:rFonts w:ascii="Arial Narrow" w:eastAsiaTheme="majorEastAsia" w:hAnsi="Arial Narrow" w:cs="Calibri"/>
                <w:bCs/>
                <w:snapToGrid w:val="0"/>
                <w:color w:val="000000" w:themeColor="text1"/>
                <w:sz w:val="20"/>
              </w:rPr>
              <w:t xml:space="preserve">PBAC considered the claim that </w:t>
            </w:r>
            <w:proofErr w:type="spellStart"/>
            <w:r w:rsidRPr="008E7C4C">
              <w:rPr>
                <w:rFonts w:ascii="Arial Narrow" w:eastAsiaTheme="majorEastAsia" w:hAnsi="Arial Narrow" w:cs="Calibri"/>
                <w:bCs/>
                <w:snapToGrid w:val="0"/>
                <w:color w:val="000000" w:themeColor="text1"/>
                <w:sz w:val="20"/>
              </w:rPr>
              <w:t>ILd</w:t>
            </w:r>
            <w:proofErr w:type="spellEnd"/>
            <w:r w:rsidRPr="008E7C4C">
              <w:rPr>
                <w:rFonts w:ascii="Arial Narrow" w:eastAsiaTheme="majorEastAsia" w:hAnsi="Arial Narrow" w:cs="Calibri"/>
                <w:bCs/>
                <w:snapToGrid w:val="0"/>
                <w:color w:val="000000" w:themeColor="text1"/>
                <w:sz w:val="20"/>
              </w:rPr>
              <w:t xml:space="preserve"> was non-inferior compared to Cd in terms of efficacy was not supported by the available data due to the nature of the naïve ITC, the differences across the trial patient populations, the more favourable PFS results for Cd (vs Bd) compared with </w:t>
            </w:r>
            <w:proofErr w:type="spellStart"/>
            <w:r w:rsidRPr="008E7C4C">
              <w:rPr>
                <w:rFonts w:ascii="Arial Narrow" w:eastAsiaTheme="majorEastAsia" w:hAnsi="Arial Narrow" w:cs="Calibri"/>
                <w:bCs/>
                <w:snapToGrid w:val="0"/>
                <w:color w:val="000000" w:themeColor="text1"/>
                <w:sz w:val="20"/>
              </w:rPr>
              <w:t>ILd</w:t>
            </w:r>
            <w:proofErr w:type="spellEnd"/>
            <w:r w:rsidRPr="008E7C4C">
              <w:rPr>
                <w:rFonts w:ascii="Arial Narrow" w:eastAsiaTheme="majorEastAsia" w:hAnsi="Arial Narrow" w:cs="Calibri"/>
                <w:bCs/>
                <w:snapToGrid w:val="0"/>
                <w:color w:val="000000" w:themeColor="text1"/>
                <w:sz w:val="20"/>
              </w:rPr>
              <w:t xml:space="preserve"> (vs </w:t>
            </w:r>
            <w:proofErr w:type="spellStart"/>
            <w:r w:rsidRPr="008E7C4C">
              <w:rPr>
                <w:rFonts w:ascii="Arial Narrow" w:eastAsiaTheme="majorEastAsia" w:hAnsi="Arial Narrow" w:cs="Calibri"/>
                <w:bCs/>
                <w:snapToGrid w:val="0"/>
                <w:color w:val="000000" w:themeColor="text1"/>
                <w:sz w:val="20"/>
              </w:rPr>
              <w:t>Ld</w:t>
            </w:r>
            <w:proofErr w:type="spellEnd"/>
            <w:r w:rsidRPr="008E7C4C">
              <w:rPr>
                <w:rFonts w:ascii="Arial Narrow" w:eastAsiaTheme="majorEastAsia" w:hAnsi="Arial Narrow" w:cs="Calibri"/>
                <w:bCs/>
                <w:snapToGrid w:val="0"/>
                <w:color w:val="000000" w:themeColor="text1"/>
                <w:sz w:val="20"/>
              </w:rPr>
              <w:t>) and the more certain OS results for Cd (para 7.9, November 2020 PSD)</w:t>
            </w:r>
          </w:p>
        </w:tc>
        <w:tc>
          <w:tcPr>
            <w:tcW w:w="1679" w:type="pct"/>
            <w:tcMar>
              <w:left w:w="28" w:type="dxa"/>
              <w:right w:w="28" w:type="dxa"/>
            </w:tcMar>
          </w:tcPr>
          <w:p w14:paraId="3F7C9465" w14:textId="77777777" w:rsidR="00C032D2" w:rsidRPr="008E7C4C" w:rsidRDefault="00C032D2"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 xml:space="preserve">The new primary comparator is </w:t>
            </w:r>
            <w:proofErr w:type="spellStart"/>
            <w:r w:rsidRPr="008E7C4C">
              <w:rPr>
                <w:rFonts w:ascii="Arial Narrow" w:eastAsiaTheme="majorEastAsia" w:hAnsi="Arial Narrow" w:cs="Calibri"/>
                <w:bCs/>
                <w:iCs/>
                <w:snapToGrid w:val="0"/>
                <w:sz w:val="20"/>
              </w:rPr>
              <w:t>Ld</w:t>
            </w:r>
            <w:proofErr w:type="spellEnd"/>
            <w:r w:rsidRPr="008E7C4C">
              <w:rPr>
                <w:rFonts w:ascii="Arial Narrow" w:eastAsiaTheme="majorEastAsia" w:hAnsi="Arial Narrow" w:cs="Calibri"/>
                <w:bCs/>
                <w:iCs/>
                <w:snapToGrid w:val="0"/>
                <w:sz w:val="20"/>
              </w:rPr>
              <w:t xml:space="preserve"> with a direct comparison based on TMM-1. </w:t>
            </w:r>
          </w:p>
          <w:p w14:paraId="2955B42B" w14:textId="119E7E5E" w:rsidR="00CC25DE" w:rsidRPr="008E7C4C" w:rsidRDefault="00C032D2"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 xml:space="preserve">Although this addressed </w:t>
            </w:r>
            <w:r w:rsidR="00780FD8" w:rsidRPr="008E7C4C">
              <w:rPr>
                <w:rFonts w:ascii="Arial Narrow" w:eastAsiaTheme="majorEastAsia" w:hAnsi="Arial Narrow" w:cs="Calibri"/>
                <w:bCs/>
                <w:iCs/>
                <w:snapToGrid w:val="0"/>
                <w:sz w:val="20"/>
              </w:rPr>
              <w:t>previous</w:t>
            </w:r>
            <w:r w:rsidRPr="008E7C4C">
              <w:rPr>
                <w:rFonts w:ascii="Arial Narrow" w:eastAsiaTheme="majorEastAsia" w:hAnsi="Arial Narrow" w:cs="Calibri"/>
                <w:bCs/>
                <w:iCs/>
                <w:snapToGrid w:val="0"/>
                <w:sz w:val="20"/>
              </w:rPr>
              <w:t xml:space="preserve"> PBAC concerns with respect to</w:t>
            </w:r>
            <w:r w:rsidR="001F7BC3" w:rsidRPr="008E7C4C">
              <w:rPr>
                <w:rFonts w:ascii="Arial Narrow" w:eastAsiaTheme="majorEastAsia" w:hAnsi="Arial Narrow" w:cs="Calibri"/>
                <w:bCs/>
                <w:iCs/>
                <w:snapToGrid w:val="0"/>
                <w:sz w:val="20"/>
              </w:rPr>
              <w:t xml:space="preserve"> the</w:t>
            </w:r>
            <w:r w:rsidRPr="008E7C4C">
              <w:rPr>
                <w:rFonts w:ascii="Arial Narrow" w:eastAsiaTheme="majorEastAsia" w:hAnsi="Arial Narrow" w:cs="Calibri"/>
                <w:bCs/>
                <w:iCs/>
                <w:snapToGrid w:val="0"/>
                <w:sz w:val="20"/>
              </w:rPr>
              <w:t xml:space="preserve"> naïve ITC, the clinical claim </w:t>
            </w:r>
            <w:r w:rsidR="00780FD8" w:rsidRPr="008E7C4C">
              <w:rPr>
                <w:rFonts w:ascii="Arial Narrow" w:eastAsiaTheme="majorEastAsia" w:hAnsi="Arial Narrow" w:cs="Calibri"/>
                <w:bCs/>
                <w:iCs/>
                <w:snapToGrid w:val="0"/>
                <w:sz w:val="20"/>
              </w:rPr>
              <w:t>of non-inferior</w:t>
            </w:r>
            <w:r w:rsidRPr="008E7C4C">
              <w:rPr>
                <w:rFonts w:ascii="Arial Narrow" w:eastAsiaTheme="majorEastAsia" w:hAnsi="Arial Narrow" w:cs="Calibri"/>
                <w:bCs/>
                <w:iCs/>
                <w:snapToGrid w:val="0"/>
                <w:sz w:val="20"/>
              </w:rPr>
              <w:t xml:space="preserve"> efficacy with respect </w:t>
            </w:r>
            <w:proofErr w:type="gramStart"/>
            <w:r w:rsidRPr="008E7C4C">
              <w:rPr>
                <w:rFonts w:ascii="Arial Narrow" w:eastAsiaTheme="majorEastAsia" w:hAnsi="Arial Narrow" w:cs="Calibri"/>
                <w:bCs/>
                <w:iCs/>
                <w:snapToGrid w:val="0"/>
                <w:sz w:val="20"/>
              </w:rPr>
              <w:t>to  Cd</w:t>
            </w:r>
            <w:proofErr w:type="gramEnd"/>
            <w:r w:rsidRPr="008E7C4C">
              <w:rPr>
                <w:rFonts w:ascii="Arial Narrow" w:eastAsiaTheme="majorEastAsia" w:hAnsi="Arial Narrow" w:cs="Calibri"/>
                <w:bCs/>
                <w:iCs/>
                <w:snapToGrid w:val="0"/>
                <w:sz w:val="20"/>
              </w:rPr>
              <w:t xml:space="preserve"> </w:t>
            </w:r>
            <w:r w:rsidR="00A220FF" w:rsidRPr="008E7C4C">
              <w:rPr>
                <w:rFonts w:ascii="Arial Narrow" w:eastAsiaTheme="majorEastAsia" w:hAnsi="Arial Narrow" w:cs="Calibri"/>
                <w:bCs/>
                <w:iCs/>
                <w:snapToGrid w:val="0"/>
                <w:sz w:val="20"/>
              </w:rPr>
              <w:t>remained unsupported</w:t>
            </w:r>
            <w:r w:rsidRPr="008E7C4C">
              <w:rPr>
                <w:rFonts w:ascii="Arial Narrow" w:eastAsiaTheme="majorEastAsia" w:hAnsi="Arial Narrow" w:cs="Calibri"/>
                <w:bCs/>
                <w:iCs/>
                <w:snapToGrid w:val="0"/>
                <w:sz w:val="20"/>
              </w:rPr>
              <w:t>.</w:t>
            </w:r>
          </w:p>
          <w:p w14:paraId="57EDA86A" w14:textId="78A322C2" w:rsidR="00CC25DE" w:rsidRPr="008E7C4C" w:rsidRDefault="00CC25DE" w:rsidP="000A2A18">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The resubmission did not present any evidence supporting the claim against Cd, hence all issues identified in the initial submission remain</w:t>
            </w:r>
            <w:r w:rsidR="000A2A18" w:rsidRPr="008E7C4C">
              <w:rPr>
                <w:rFonts w:ascii="Arial Narrow" w:eastAsiaTheme="majorEastAsia" w:hAnsi="Arial Narrow" w:cs="Calibri"/>
                <w:bCs/>
                <w:iCs/>
                <w:snapToGrid w:val="0"/>
                <w:sz w:val="20"/>
              </w:rPr>
              <w:t>ed</w:t>
            </w:r>
            <w:r w:rsidRPr="008E7C4C">
              <w:rPr>
                <w:rFonts w:ascii="Arial Narrow" w:eastAsiaTheme="majorEastAsia" w:hAnsi="Arial Narrow" w:cs="Calibri"/>
                <w:bCs/>
                <w:iCs/>
                <w:snapToGrid w:val="0"/>
                <w:sz w:val="20"/>
              </w:rPr>
              <w:t xml:space="preserve"> unaddressed. </w:t>
            </w:r>
          </w:p>
        </w:tc>
      </w:tr>
      <w:tr w:rsidR="00CC25DE" w:rsidRPr="008E7C4C" w14:paraId="7AD37D63" w14:textId="77777777" w:rsidTr="00764910">
        <w:trPr>
          <w:cantSplit/>
        </w:trPr>
        <w:tc>
          <w:tcPr>
            <w:tcW w:w="1177" w:type="pct"/>
            <w:tcMar>
              <w:left w:w="28" w:type="dxa"/>
              <w:right w:w="28" w:type="dxa"/>
            </w:tcMar>
          </w:tcPr>
          <w:p w14:paraId="132C8CCE" w14:textId="77777777" w:rsidR="00CC25DE" w:rsidRPr="008E7C4C" w:rsidRDefault="00CC25DE" w:rsidP="00764910">
            <w:pPr>
              <w:jc w:val="left"/>
              <w:rPr>
                <w:rFonts w:ascii="Arial Narrow" w:eastAsiaTheme="majorEastAsia" w:hAnsi="Arial Narrow" w:cs="Calibri"/>
                <w:bCs/>
                <w:sz w:val="20"/>
              </w:rPr>
            </w:pPr>
            <w:r w:rsidRPr="008E7C4C">
              <w:rPr>
                <w:rFonts w:ascii="Arial Narrow" w:eastAsiaTheme="majorEastAsia" w:hAnsi="Arial Narrow" w:cs="Calibri"/>
                <w:bCs/>
                <w:sz w:val="20"/>
              </w:rPr>
              <w:t>Clinical claim: safety</w:t>
            </w:r>
          </w:p>
        </w:tc>
        <w:tc>
          <w:tcPr>
            <w:tcW w:w="2144" w:type="pct"/>
            <w:tcMar>
              <w:left w:w="28" w:type="dxa"/>
              <w:right w:w="28" w:type="dxa"/>
            </w:tcMar>
          </w:tcPr>
          <w:p w14:paraId="2F2265D9" w14:textId="77777777" w:rsidR="00CC25DE" w:rsidRPr="008E7C4C" w:rsidRDefault="00CC25DE" w:rsidP="009A188C">
            <w:pPr>
              <w:jc w:val="left"/>
              <w:rPr>
                <w:rFonts w:ascii="Arial Narrow" w:eastAsiaTheme="majorEastAsia" w:hAnsi="Arial Narrow" w:cs="Calibri"/>
                <w:b/>
                <w:snapToGrid w:val="0"/>
                <w:sz w:val="20"/>
              </w:rPr>
            </w:pPr>
            <w:r w:rsidRPr="008E7C4C">
              <w:rPr>
                <w:rFonts w:ascii="Arial Narrow" w:eastAsiaTheme="majorEastAsia" w:hAnsi="Arial Narrow" w:cs="Calibri"/>
                <w:bCs/>
                <w:snapToGrid w:val="0"/>
                <w:sz w:val="20"/>
              </w:rPr>
              <w:t xml:space="preserve">Neutropenia and thrombocytopenia were the </w:t>
            </w:r>
            <w:proofErr w:type="gramStart"/>
            <w:r w:rsidRPr="008E7C4C">
              <w:rPr>
                <w:rFonts w:ascii="Arial Narrow" w:eastAsiaTheme="majorEastAsia" w:hAnsi="Arial Narrow" w:cs="Calibri"/>
                <w:bCs/>
                <w:snapToGrid w:val="0"/>
                <w:sz w:val="20"/>
              </w:rPr>
              <w:t>most commonly reported</w:t>
            </w:r>
            <w:proofErr w:type="gramEnd"/>
            <w:r w:rsidRPr="008E7C4C">
              <w:rPr>
                <w:rFonts w:ascii="Arial Narrow" w:eastAsiaTheme="majorEastAsia" w:hAnsi="Arial Narrow" w:cs="Calibri"/>
                <w:bCs/>
                <w:snapToGrid w:val="0"/>
                <w:sz w:val="20"/>
              </w:rPr>
              <w:t xml:space="preserve"> Grade ≥ 3 adverse events (AEs) for </w:t>
            </w:r>
            <w:proofErr w:type="spellStart"/>
            <w:r w:rsidRPr="008E7C4C">
              <w:rPr>
                <w:rFonts w:ascii="Arial Narrow" w:eastAsiaTheme="majorEastAsia" w:hAnsi="Arial Narrow" w:cs="Calibri"/>
                <w:bCs/>
                <w:snapToGrid w:val="0"/>
                <w:sz w:val="20"/>
              </w:rPr>
              <w:t>ILd</w:t>
            </w:r>
            <w:proofErr w:type="spellEnd"/>
            <w:r w:rsidRPr="008E7C4C">
              <w:rPr>
                <w:rFonts w:ascii="Arial Narrow" w:eastAsiaTheme="majorEastAsia" w:hAnsi="Arial Narrow" w:cs="Calibri"/>
                <w:bCs/>
                <w:snapToGrid w:val="0"/>
                <w:sz w:val="20"/>
              </w:rPr>
              <w:t xml:space="preserve"> and anaemia and hypertension were the most commonly reported Grade ≥ 3 AEs for Cd. The PBAC considered that the naïve ITC did not support the claim that </w:t>
            </w:r>
            <w:proofErr w:type="spellStart"/>
            <w:r w:rsidRPr="008E7C4C">
              <w:rPr>
                <w:rFonts w:ascii="Arial Narrow" w:eastAsiaTheme="majorEastAsia" w:hAnsi="Arial Narrow" w:cs="Calibri"/>
                <w:bCs/>
                <w:snapToGrid w:val="0"/>
                <w:sz w:val="20"/>
              </w:rPr>
              <w:t>ILd</w:t>
            </w:r>
            <w:proofErr w:type="spellEnd"/>
            <w:r w:rsidRPr="008E7C4C">
              <w:rPr>
                <w:rFonts w:ascii="Arial Narrow" w:eastAsiaTheme="majorEastAsia" w:hAnsi="Arial Narrow" w:cs="Calibri"/>
                <w:bCs/>
                <w:snapToGrid w:val="0"/>
                <w:sz w:val="20"/>
              </w:rPr>
              <w:t xml:space="preserve"> was non-inferior to Cd in terms of safety (para 7.10, November 2020 PSD)</w:t>
            </w:r>
          </w:p>
        </w:tc>
        <w:tc>
          <w:tcPr>
            <w:tcW w:w="1679" w:type="pct"/>
            <w:tcMar>
              <w:left w:w="28" w:type="dxa"/>
              <w:right w:w="28" w:type="dxa"/>
            </w:tcMar>
          </w:tcPr>
          <w:p w14:paraId="55A9F359" w14:textId="77777777" w:rsidR="00C032D2" w:rsidRPr="008E7C4C" w:rsidRDefault="00C032D2"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 xml:space="preserve">The new primary comparator is </w:t>
            </w:r>
            <w:proofErr w:type="spellStart"/>
            <w:r w:rsidRPr="008E7C4C">
              <w:rPr>
                <w:rFonts w:ascii="Arial Narrow" w:eastAsiaTheme="majorEastAsia" w:hAnsi="Arial Narrow" w:cs="Calibri"/>
                <w:bCs/>
                <w:iCs/>
                <w:snapToGrid w:val="0"/>
                <w:sz w:val="20"/>
              </w:rPr>
              <w:t>Ld</w:t>
            </w:r>
            <w:proofErr w:type="spellEnd"/>
            <w:r w:rsidRPr="008E7C4C">
              <w:rPr>
                <w:rFonts w:ascii="Arial Narrow" w:eastAsiaTheme="majorEastAsia" w:hAnsi="Arial Narrow" w:cs="Calibri"/>
                <w:bCs/>
                <w:iCs/>
                <w:snapToGrid w:val="0"/>
                <w:sz w:val="20"/>
              </w:rPr>
              <w:t xml:space="preserve"> with a direct comparison based on TMM-1. </w:t>
            </w:r>
          </w:p>
          <w:p w14:paraId="5F487C40" w14:textId="21A54C8B" w:rsidR="00CC25DE" w:rsidRPr="008E7C4C" w:rsidRDefault="00C032D2"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 xml:space="preserve">Although this </w:t>
            </w:r>
            <w:proofErr w:type="gramStart"/>
            <w:r w:rsidRPr="008E7C4C">
              <w:rPr>
                <w:rFonts w:ascii="Arial Narrow" w:eastAsiaTheme="majorEastAsia" w:hAnsi="Arial Narrow" w:cs="Calibri"/>
                <w:bCs/>
                <w:iCs/>
                <w:snapToGrid w:val="0"/>
                <w:sz w:val="20"/>
              </w:rPr>
              <w:t xml:space="preserve">addressed </w:t>
            </w:r>
            <w:r w:rsidR="00A220FF" w:rsidRPr="008E7C4C">
              <w:rPr>
                <w:rFonts w:ascii="Arial Narrow" w:eastAsiaTheme="majorEastAsia" w:hAnsi="Arial Narrow" w:cs="Calibri"/>
                <w:bCs/>
                <w:iCs/>
                <w:snapToGrid w:val="0"/>
                <w:sz w:val="20"/>
              </w:rPr>
              <w:t xml:space="preserve"> previous</w:t>
            </w:r>
            <w:proofErr w:type="gramEnd"/>
            <w:r w:rsidR="00A220FF" w:rsidRPr="008E7C4C">
              <w:rPr>
                <w:rFonts w:ascii="Arial Narrow" w:eastAsiaTheme="majorEastAsia" w:hAnsi="Arial Narrow" w:cs="Calibri"/>
                <w:bCs/>
                <w:iCs/>
                <w:snapToGrid w:val="0"/>
                <w:sz w:val="20"/>
              </w:rPr>
              <w:t xml:space="preserve"> </w:t>
            </w:r>
            <w:r w:rsidRPr="008E7C4C">
              <w:rPr>
                <w:rFonts w:ascii="Arial Narrow" w:eastAsiaTheme="majorEastAsia" w:hAnsi="Arial Narrow" w:cs="Calibri"/>
                <w:bCs/>
                <w:iCs/>
                <w:snapToGrid w:val="0"/>
                <w:sz w:val="20"/>
              </w:rPr>
              <w:t xml:space="preserve">PBAC concerns with respect to </w:t>
            </w:r>
            <w:r w:rsidR="001F7BC3" w:rsidRPr="008E7C4C">
              <w:rPr>
                <w:rFonts w:ascii="Arial Narrow" w:eastAsiaTheme="majorEastAsia" w:hAnsi="Arial Narrow" w:cs="Calibri"/>
                <w:bCs/>
                <w:iCs/>
                <w:snapToGrid w:val="0"/>
                <w:sz w:val="20"/>
              </w:rPr>
              <w:t>the</w:t>
            </w:r>
            <w:r w:rsidRPr="008E7C4C">
              <w:rPr>
                <w:rFonts w:ascii="Arial Narrow" w:eastAsiaTheme="majorEastAsia" w:hAnsi="Arial Narrow" w:cs="Calibri"/>
                <w:bCs/>
                <w:iCs/>
                <w:snapToGrid w:val="0"/>
                <w:sz w:val="20"/>
              </w:rPr>
              <w:t xml:space="preserve"> naïve ITC, the</w:t>
            </w:r>
            <w:r w:rsidR="00A220FF" w:rsidRPr="008E7C4C">
              <w:rPr>
                <w:rFonts w:ascii="Arial Narrow" w:eastAsiaTheme="majorEastAsia" w:hAnsi="Arial Narrow" w:cs="Calibri"/>
                <w:bCs/>
                <w:iCs/>
                <w:snapToGrid w:val="0"/>
                <w:sz w:val="20"/>
              </w:rPr>
              <w:t xml:space="preserve"> non-</w:t>
            </w:r>
            <w:r w:rsidR="00F317A7" w:rsidRPr="008E7C4C">
              <w:rPr>
                <w:rFonts w:ascii="Arial Narrow" w:eastAsiaTheme="majorEastAsia" w:hAnsi="Arial Narrow" w:cs="Calibri"/>
                <w:bCs/>
                <w:iCs/>
                <w:snapToGrid w:val="0"/>
                <w:sz w:val="20"/>
              </w:rPr>
              <w:t>inferiority</w:t>
            </w:r>
            <w:r w:rsidRPr="008E7C4C">
              <w:rPr>
                <w:rFonts w:ascii="Arial Narrow" w:eastAsiaTheme="majorEastAsia" w:hAnsi="Arial Narrow" w:cs="Calibri"/>
                <w:bCs/>
                <w:iCs/>
                <w:snapToGrid w:val="0"/>
                <w:sz w:val="20"/>
              </w:rPr>
              <w:t xml:space="preserve"> </w:t>
            </w:r>
            <w:r w:rsidR="00A220FF" w:rsidRPr="008E7C4C">
              <w:rPr>
                <w:rFonts w:ascii="Arial Narrow" w:eastAsiaTheme="majorEastAsia" w:hAnsi="Arial Narrow" w:cs="Calibri"/>
                <w:bCs/>
                <w:iCs/>
                <w:snapToGrid w:val="0"/>
                <w:sz w:val="20"/>
              </w:rPr>
              <w:t>safety</w:t>
            </w:r>
            <w:r w:rsidRPr="008E7C4C">
              <w:rPr>
                <w:rFonts w:ascii="Arial Narrow" w:eastAsiaTheme="majorEastAsia" w:hAnsi="Arial Narrow" w:cs="Calibri"/>
                <w:bCs/>
                <w:iCs/>
                <w:snapToGrid w:val="0"/>
                <w:sz w:val="20"/>
              </w:rPr>
              <w:t xml:space="preserve"> claim </w:t>
            </w:r>
            <w:r w:rsidR="00A220FF" w:rsidRPr="008E7C4C">
              <w:rPr>
                <w:rFonts w:ascii="Arial Narrow" w:eastAsiaTheme="majorEastAsia" w:hAnsi="Arial Narrow" w:cs="Calibri"/>
                <w:bCs/>
                <w:iCs/>
                <w:snapToGrid w:val="0"/>
                <w:sz w:val="20"/>
              </w:rPr>
              <w:t xml:space="preserve">remained </w:t>
            </w:r>
            <w:r w:rsidR="000A2A18" w:rsidRPr="008E7C4C">
              <w:rPr>
                <w:rFonts w:ascii="Arial Narrow" w:eastAsiaTheme="majorEastAsia" w:hAnsi="Arial Narrow" w:cs="Calibri"/>
                <w:bCs/>
                <w:iCs/>
                <w:snapToGrid w:val="0"/>
                <w:sz w:val="20"/>
              </w:rPr>
              <w:t>unaddressed</w:t>
            </w:r>
            <w:r w:rsidRPr="008E7C4C">
              <w:rPr>
                <w:rFonts w:ascii="Arial Narrow" w:eastAsiaTheme="majorEastAsia" w:hAnsi="Arial Narrow" w:cs="Calibri"/>
                <w:bCs/>
                <w:iCs/>
                <w:snapToGrid w:val="0"/>
                <w:sz w:val="20"/>
              </w:rPr>
              <w:t xml:space="preserve">. </w:t>
            </w:r>
          </w:p>
        </w:tc>
      </w:tr>
      <w:tr w:rsidR="00CC25DE" w:rsidRPr="008E7C4C" w14:paraId="3C33EF64" w14:textId="77777777" w:rsidTr="00764910">
        <w:trPr>
          <w:cantSplit/>
        </w:trPr>
        <w:tc>
          <w:tcPr>
            <w:tcW w:w="1177" w:type="pct"/>
            <w:tcMar>
              <w:left w:w="28" w:type="dxa"/>
              <w:right w:w="28" w:type="dxa"/>
            </w:tcMar>
          </w:tcPr>
          <w:p w14:paraId="1E7E2C83" w14:textId="77777777" w:rsidR="00CC25DE" w:rsidRPr="008E7C4C" w:rsidRDefault="00CC25DE" w:rsidP="00764910">
            <w:pPr>
              <w:jc w:val="left"/>
              <w:rPr>
                <w:rFonts w:ascii="Arial Narrow" w:eastAsiaTheme="majorEastAsia" w:hAnsi="Arial Narrow" w:cs="Calibri"/>
                <w:bCs/>
                <w:sz w:val="20"/>
              </w:rPr>
            </w:pPr>
            <w:r w:rsidRPr="008E7C4C">
              <w:rPr>
                <w:rFonts w:ascii="Arial Narrow" w:eastAsiaTheme="majorEastAsia" w:hAnsi="Arial Narrow" w:cs="Calibri"/>
                <w:bCs/>
                <w:sz w:val="20"/>
              </w:rPr>
              <w:t>Economic analysis</w:t>
            </w:r>
          </w:p>
        </w:tc>
        <w:tc>
          <w:tcPr>
            <w:tcW w:w="2144" w:type="pct"/>
            <w:tcMar>
              <w:left w:w="28" w:type="dxa"/>
              <w:right w:w="28" w:type="dxa"/>
            </w:tcMar>
          </w:tcPr>
          <w:p w14:paraId="697E66A5" w14:textId="77777777" w:rsidR="00CC25DE" w:rsidRPr="008E7C4C" w:rsidRDefault="00CC25DE" w:rsidP="009A188C">
            <w:pPr>
              <w:jc w:val="left"/>
              <w:rPr>
                <w:rFonts w:ascii="Arial Narrow" w:eastAsiaTheme="majorEastAsia" w:hAnsi="Arial Narrow" w:cs="Calibri"/>
                <w:bCs/>
                <w:snapToGrid w:val="0"/>
                <w:sz w:val="20"/>
              </w:rPr>
            </w:pPr>
            <w:r w:rsidRPr="008E7C4C">
              <w:rPr>
                <w:rFonts w:ascii="Arial Narrow" w:eastAsiaTheme="majorEastAsia" w:hAnsi="Arial Narrow" w:cs="Calibri"/>
                <w:bCs/>
                <w:snapToGrid w:val="0"/>
                <w:sz w:val="20"/>
              </w:rPr>
              <w:t xml:space="preserve">CMA between </w:t>
            </w:r>
            <w:proofErr w:type="spellStart"/>
            <w:r w:rsidRPr="008E7C4C">
              <w:rPr>
                <w:rFonts w:ascii="Arial Narrow" w:eastAsiaTheme="majorEastAsia" w:hAnsi="Arial Narrow" w:cs="Calibri"/>
                <w:bCs/>
                <w:snapToGrid w:val="0"/>
                <w:sz w:val="20"/>
              </w:rPr>
              <w:t>ILd</w:t>
            </w:r>
            <w:proofErr w:type="spellEnd"/>
            <w:r w:rsidRPr="008E7C4C">
              <w:rPr>
                <w:rFonts w:ascii="Arial Narrow" w:eastAsiaTheme="majorEastAsia" w:hAnsi="Arial Narrow" w:cs="Calibri"/>
                <w:bCs/>
                <w:snapToGrid w:val="0"/>
                <w:sz w:val="20"/>
              </w:rPr>
              <w:t xml:space="preserve"> vs Cd not appropriate as the claim of non-inferiority efficacy and safety not supported (para 7.11, November 2020 PSD)</w:t>
            </w:r>
          </w:p>
        </w:tc>
        <w:tc>
          <w:tcPr>
            <w:tcW w:w="1679" w:type="pct"/>
            <w:tcMar>
              <w:left w:w="28" w:type="dxa"/>
              <w:right w:w="28" w:type="dxa"/>
            </w:tcMar>
          </w:tcPr>
          <w:p w14:paraId="286EC2CD" w14:textId="0C7D844C" w:rsidR="00CC25DE" w:rsidRPr="008E7C4C" w:rsidRDefault="00F35D58"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 xml:space="preserve">The resubmission presented a CUA of </w:t>
            </w:r>
            <w:proofErr w:type="spellStart"/>
            <w:r w:rsidRPr="008E7C4C">
              <w:rPr>
                <w:rFonts w:ascii="Arial Narrow" w:eastAsiaTheme="majorEastAsia" w:hAnsi="Arial Narrow" w:cs="Calibri"/>
                <w:bCs/>
                <w:iCs/>
                <w:snapToGrid w:val="0"/>
                <w:sz w:val="20"/>
              </w:rPr>
              <w:t>ILd</w:t>
            </w:r>
            <w:proofErr w:type="spellEnd"/>
            <w:r w:rsidRPr="008E7C4C">
              <w:rPr>
                <w:rFonts w:ascii="Arial Narrow" w:eastAsiaTheme="majorEastAsia" w:hAnsi="Arial Narrow" w:cs="Calibri"/>
                <w:bCs/>
                <w:iCs/>
                <w:snapToGrid w:val="0"/>
                <w:sz w:val="20"/>
              </w:rPr>
              <w:t xml:space="preserve"> vs </w:t>
            </w:r>
            <w:proofErr w:type="spellStart"/>
            <w:r w:rsidRPr="008E7C4C">
              <w:rPr>
                <w:rFonts w:ascii="Arial Narrow" w:eastAsiaTheme="majorEastAsia" w:hAnsi="Arial Narrow" w:cs="Calibri"/>
                <w:bCs/>
                <w:iCs/>
                <w:snapToGrid w:val="0"/>
                <w:sz w:val="20"/>
              </w:rPr>
              <w:t>Ld</w:t>
            </w:r>
            <w:proofErr w:type="spellEnd"/>
            <w:r w:rsidRPr="008E7C4C">
              <w:rPr>
                <w:rFonts w:ascii="Arial Narrow" w:eastAsiaTheme="majorEastAsia" w:hAnsi="Arial Narrow" w:cs="Calibri"/>
                <w:bCs/>
                <w:iCs/>
                <w:snapToGrid w:val="0"/>
                <w:sz w:val="20"/>
              </w:rPr>
              <w:t xml:space="preserve"> based on the direct randomised comparison from TMM-1.</w:t>
            </w:r>
            <w:r w:rsidR="00F317A7" w:rsidRPr="008E7C4C">
              <w:rPr>
                <w:rFonts w:ascii="Arial Narrow" w:eastAsiaTheme="majorEastAsia" w:hAnsi="Arial Narrow" w:cs="Calibri"/>
                <w:bCs/>
                <w:iCs/>
                <w:snapToGrid w:val="0"/>
                <w:sz w:val="20"/>
              </w:rPr>
              <w:t xml:space="preserve"> </w:t>
            </w:r>
            <w:r w:rsidR="00A220FF" w:rsidRPr="008E7C4C">
              <w:rPr>
                <w:rFonts w:ascii="Arial Narrow" w:eastAsiaTheme="majorEastAsia" w:hAnsi="Arial Narrow" w:cs="Calibri"/>
                <w:bCs/>
                <w:iCs/>
                <w:snapToGrid w:val="0"/>
                <w:sz w:val="20"/>
              </w:rPr>
              <w:t>This is appropriate</w:t>
            </w:r>
            <w:r w:rsidR="00B8273C" w:rsidRPr="008E7C4C">
              <w:rPr>
                <w:rFonts w:ascii="Arial Narrow" w:eastAsiaTheme="majorEastAsia" w:hAnsi="Arial Narrow" w:cs="Calibri"/>
                <w:bCs/>
                <w:iCs/>
                <w:snapToGrid w:val="0"/>
                <w:sz w:val="20"/>
              </w:rPr>
              <w:t xml:space="preserve">, </w:t>
            </w:r>
            <w:proofErr w:type="gramStart"/>
            <w:r w:rsidR="00B8273C" w:rsidRPr="008E7C4C">
              <w:rPr>
                <w:rFonts w:ascii="Arial Narrow" w:eastAsiaTheme="majorEastAsia" w:hAnsi="Arial Narrow" w:cs="Calibri"/>
                <w:bCs/>
                <w:iCs/>
                <w:snapToGrid w:val="0"/>
                <w:sz w:val="20"/>
              </w:rPr>
              <w:t>however</w:t>
            </w:r>
            <w:r w:rsidR="00A220FF" w:rsidRPr="008E7C4C">
              <w:rPr>
                <w:rFonts w:ascii="Arial Narrow" w:eastAsiaTheme="majorEastAsia" w:hAnsi="Arial Narrow" w:cs="Calibri"/>
                <w:bCs/>
                <w:iCs/>
                <w:snapToGrid w:val="0"/>
                <w:sz w:val="20"/>
              </w:rPr>
              <w:t xml:space="preserve">  no</w:t>
            </w:r>
            <w:proofErr w:type="gramEnd"/>
            <w:r w:rsidR="00A220FF" w:rsidRPr="008E7C4C">
              <w:rPr>
                <w:rFonts w:ascii="Arial Narrow" w:eastAsiaTheme="majorEastAsia" w:hAnsi="Arial Narrow" w:cs="Calibri"/>
                <w:bCs/>
                <w:iCs/>
                <w:snapToGrid w:val="0"/>
                <w:sz w:val="20"/>
              </w:rPr>
              <w:t xml:space="preserve"> CMA was presented </w:t>
            </w:r>
            <w:r w:rsidR="00B8273C" w:rsidRPr="008E7C4C">
              <w:rPr>
                <w:rFonts w:ascii="Arial Narrow" w:eastAsiaTheme="majorEastAsia" w:hAnsi="Arial Narrow" w:cs="Calibri"/>
                <w:bCs/>
                <w:iCs/>
                <w:snapToGrid w:val="0"/>
                <w:sz w:val="20"/>
              </w:rPr>
              <w:t xml:space="preserve">for the secondary comparator, </w:t>
            </w:r>
            <w:r w:rsidR="003554A1" w:rsidRPr="008E7C4C">
              <w:rPr>
                <w:rFonts w:ascii="Arial Narrow" w:eastAsiaTheme="majorEastAsia" w:hAnsi="Arial Narrow" w:cs="Calibri"/>
                <w:bCs/>
                <w:iCs/>
                <w:snapToGrid w:val="0"/>
                <w:sz w:val="20"/>
              </w:rPr>
              <w:t xml:space="preserve"> </w:t>
            </w:r>
            <w:r w:rsidR="00A220FF" w:rsidRPr="008E7C4C">
              <w:rPr>
                <w:rFonts w:ascii="Arial Narrow" w:eastAsiaTheme="majorEastAsia" w:hAnsi="Arial Narrow" w:cs="Calibri"/>
                <w:bCs/>
                <w:iCs/>
                <w:snapToGrid w:val="0"/>
                <w:sz w:val="20"/>
              </w:rPr>
              <w:t>Cd.</w:t>
            </w:r>
            <w:r w:rsidRPr="008E7C4C">
              <w:rPr>
                <w:rFonts w:ascii="Arial Narrow" w:eastAsiaTheme="majorEastAsia" w:hAnsi="Arial Narrow" w:cs="Calibri"/>
                <w:bCs/>
                <w:iCs/>
                <w:snapToGrid w:val="0"/>
                <w:sz w:val="20"/>
              </w:rPr>
              <w:t xml:space="preserve">  </w:t>
            </w:r>
          </w:p>
        </w:tc>
      </w:tr>
      <w:tr w:rsidR="00CC25DE" w:rsidRPr="008E7C4C" w14:paraId="56C544AE" w14:textId="77777777" w:rsidTr="00764910">
        <w:trPr>
          <w:cantSplit/>
        </w:trPr>
        <w:tc>
          <w:tcPr>
            <w:tcW w:w="1177" w:type="pct"/>
            <w:tcMar>
              <w:left w:w="28" w:type="dxa"/>
              <w:right w:w="28" w:type="dxa"/>
            </w:tcMar>
          </w:tcPr>
          <w:p w14:paraId="2F739CA8" w14:textId="77777777" w:rsidR="00CC25DE" w:rsidRPr="008E7C4C" w:rsidRDefault="00CC25DE" w:rsidP="00764910">
            <w:pPr>
              <w:jc w:val="left"/>
              <w:rPr>
                <w:rFonts w:ascii="Arial Narrow" w:eastAsiaTheme="majorEastAsia" w:hAnsi="Arial Narrow" w:cs="Calibri"/>
                <w:bCs/>
                <w:sz w:val="20"/>
              </w:rPr>
            </w:pPr>
            <w:r w:rsidRPr="008E7C4C">
              <w:rPr>
                <w:rFonts w:ascii="Arial Narrow" w:eastAsiaTheme="majorEastAsia" w:hAnsi="Arial Narrow" w:cs="Calibri"/>
                <w:bCs/>
                <w:sz w:val="20"/>
              </w:rPr>
              <w:t>Financial analysis</w:t>
            </w:r>
          </w:p>
        </w:tc>
        <w:tc>
          <w:tcPr>
            <w:tcW w:w="2144" w:type="pct"/>
            <w:tcMar>
              <w:left w:w="28" w:type="dxa"/>
              <w:right w:w="28" w:type="dxa"/>
            </w:tcMar>
          </w:tcPr>
          <w:p w14:paraId="014D9DE5" w14:textId="77777777" w:rsidR="00CC25DE" w:rsidRPr="008E7C4C" w:rsidRDefault="00CC25DE" w:rsidP="009A188C">
            <w:pPr>
              <w:jc w:val="left"/>
              <w:rPr>
                <w:rFonts w:ascii="Arial Narrow" w:eastAsiaTheme="majorEastAsia" w:hAnsi="Arial Narrow" w:cs="Calibri"/>
                <w:bCs/>
                <w:snapToGrid w:val="0"/>
                <w:sz w:val="20"/>
              </w:rPr>
            </w:pPr>
            <w:r w:rsidRPr="008E7C4C">
              <w:rPr>
                <w:rFonts w:ascii="Arial Narrow" w:eastAsiaTheme="majorEastAsia" w:hAnsi="Arial Narrow" w:cs="Calibri"/>
                <w:bCs/>
                <w:snapToGrid w:val="0"/>
                <w:sz w:val="20"/>
              </w:rPr>
              <w:t xml:space="preserve">Estimated net financial impact of listing </w:t>
            </w:r>
            <w:proofErr w:type="spellStart"/>
            <w:r w:rsidRPr="008E7C4C">
              <w:rPr>
                <w:rFonts w:ascii="Arial Narrow" w:eastAsiaTheme="majorEastAsia" w:hAnsi="Arial Narrow" w:cs="Calibri"/>
                <w:bCs/>
                <w:snapToGrid w:val="0"/>
                <w:sz w:val="20"/>
              </w:rPr>
              <w:t>ixazomib</w:t>
            </w:r>
            <w:proofErr w:type="spellEnd"/>
            <w:r w:rsidRPr="008E7C4C">
              <w:rPr>
                <w:rFonts w:ascii="Arial Narrow" w:eastAsiaTheme="majorEastAsia" w:hAnsi="Arial Narrow" w:cs="Calibri"/>
                <w:bCs/>
                <w:snapToGrid w:val="0"/>
                <w:sz w:val="20"/>
              </w:rPr>
              <w:t xml:space="preserve"> on the PBS was underestimated as (</w:t>
            </w:r>
            <w:proofErr w:type="spellStart"/>
            <w:r w:rsidRPr="008E7C4C">
              <w:rPr>
                <w:rFonts w:ascii="Arial Narrow" w:eastAsiaTheme="majorEastAsia" w:hAnsi="Arial Narrow" w:cs="Calibri"/>
                <w:bCs/>
                <w:snapToGrid w:val="0"/>
                <w:sz w:val="20"/>
              </w:rPr>
              <w:t>i</w:t>
            </w:r>
            <w:proofErr w:type="spellEnd"/>
            <w:r w:rsidRPr="008E7C4C">
              <w:rPr>
                <w:rFonts w:ascii="Arial Narrow" w:eastAsiaTheme="majorEastAsia" w:hAnsi="Arial Narrow" w:cs="Calibri"/>
                <w:bCs/>
                <w:snapToGrid w:val="0"/>
                <w:sz w:val="20"/>
              </w:rPr>
              <w:t xml:space="preserve">) </w:t>
            </w:r>
            <w:proofErr w:type="spellStart"/>
            <w:r w:rsidRPr="008E7C4C">
              <w:rPr>
                <w:rFonts w:ascii="Arial Narrow" w:eastAsiaTheme="majorEastAsia" w:hAnsi="Arial Narrow" w:cs="Calibri"/>
                <w:bCs/>
                <w:snapToGrid w:val="0"/>
                <w:sz w:val="20"/>
              </w:rPr>
              <w:t>ILd</w:t>
            </w:r>
            <w:proofErr w:type="spellEnd"/>
            <w:r w:rsidRPr="008E7C4C">
              <w:rPr>
                <w:rFonts w:ascii="Arial Narrow" w:eastAsiaTheme="majorEastAsia" w:hAnsi="Arial Narrow" w:cs="Calibri"/>
                <w:bCs/>
                <w:snapToGrid w:val="0"/>
                <w:sz w:val="20"/>
              </w:rPr>
              <w:t xml:space="preserve"> would displace, rather than replace, a proportion of Cd use; (ii) the duration of use of Cd was potentially overestimated; and (iii) the substitution for </w:t>
            </w:r>
            <w:proofErr w:type="spellStart"/>
            <w:r w:rsidRPr="008E7C4C">
              <w:rPr>
                <w:rFonts w:ascii="Arial Narrow" w:eastAsiaTheme="majorEastAsia" w:hAnsi="Arial Narrow" w:cs="Calibri"/>
                <w:bCs/>
                <w:snapToGrid w:val="0"/>
                <w:sz w:val="20"/>
              </w:rPr>
              <w:t>Ld</w:t>
            </w:r>
            <w:proofErr w:type="spellEnd"/>
            <w:r w:rsidRPr="008E7C4C">
              <w:rPr>
                <w:rFonts w:ascii="Arial Narrow" w:eastAsiaTheme="majorEastAsia" w:hAnsi="Arial Narrow" w:cs="Calibri"/>
                <w:bCs/>
                <w:snapToGrid w:val="0"/>
                <w:sz w:val="20"/>
              </w:rPr>
              <w:t xml:space="preserve"> was potentially underestimated (para 7.12, November 2020 PSD)</w:t>
            </w:r>
          </w:p>
        </w:tc>
        <w:tc>
          <w:tcPr>
            <w:tcW w:w="1679" w:type="pct"/>
            <w:tcMar>
              <w:left w:w="28" w:type="dxa"/>
              <w:right w:w="28" w:type="dxa"/>
            </w:tcMar>
          </w:tcPr>
          <w:p w14:paraId="19AF0AE6" w14:textId="77777777" w:rsidR="00CC25DE" w:rsidRPr="008E7C4C" w:rsidRDefault="00CC25DE"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 xml:space="preserve">Partially addressed. </w:t>
            </w:r>
          </w:p>
          <w:p w14:paraId="6B41CF94" w14:textId="77777777" w:rsidR="00CC25DE" w:rsidRPr="008E7C4C" w:rsidRDefault="00366A64" w:rsidP="009A188C">
            <w:pPr>
              <w:jc w:val="left"/>
              <w:rPr>
                <w:rFonts w:ascii="Arial Narrow" w:eastAsiaTheme="majorEastAsia" w:hAnsi="Arial Narrow" w:cs="Calibri"/>
                <w:bCs/>
                <w:iCs/>
                <w:snapToGrid w:val="0"/>
                <w:sz w:val="20"/>
              </w:rPr>
            </w:pPr>
            <w:r w:rsidRPr="008E7C4C">
              <w:rPr>
                <w:rFonts w:ascii="Arial Narrow" w:eastAsiaTheme="majorEastAsia" w:hAnsi="Arial Narrow" w:cs="Calibri"/>
                <w:bCs/>
                <w:iCs/>
                <w:snapToGrid w:val="0"/>
                <w:sz w:val="20"/>
              </w:rPr>
              <w:t xml:space="preserve">The resubmission did not consider the potential impact of displacement of other treatments, including Cd, to further lines in therapy. The PBAC has previously stated that </w:t>
            </w:r>
            <w:proofErr w:type="spellStart"/>
            <w:r w:rsidRPr="008E7C4C">
              <w:rPr>
                <w:rFonts w:ascii="Arial Narrow" w:eastAsiaTheme="majorEastAsia" w:hAnsi="Arial Narrow" w:cs="Calibri"/>
                <w:bCs/>
                <w:iCs/>
                <w:snapToGrid w:val="0"/>
                <w:sz w:val="20"/>
              </w:rPr>
              <w:t>ILd</w:t>
            </w:r>
            <w:proofErr w:type="spellEnd"/>
            <w:r w:rsidRPr="008E7C4C">
              <w:rPr>
                <w:rFonts w:ascii="Arial Narrow" w:eastAsiaTheme="majorEastAsia" w:hAnsi="Arial Narrow" w:cs="Calibri"/>
                <w:bCs/>
                <w:iCs/>
                <w:snapToGrid w:val="0"/>
                <w:sz w:val="20"/>
              </w:rPr>
              <w:t xml:space="preserve"> would potentially replace/displace Cd in the third-line setting (paragraph 6.4, </w:t>
            </w:r>
            <w:proofErr w:type="spellStart"/>
            <w:r w:rsidRPr="008E7C4C">
              <w:rPr>
                <w:rFonts w:ascii="Arial Narrow" w:eastAsiaTheme="majorEastAsia" w:hAnsi="Arial Narrow" w:cs="Calibri"/>
                <w:bCs/>
                <w:iCs/>
                <w:snapToGrid w:val="0"/>
                <w:sz w:val="20"/>
              </w:rPr>
              <w:t>ixazomib</w:t>
            </w:r>
            <w:proofErr w:type="spellEnd"/>
            <w:r w:rsidRPr="008E7C4C">
              <w:rPr>
                <w:rFonts w:ascii="Arial Narrow" w:eastAsiaTheme="majorEastAsia" w:hAnsi="Arial Narrow" w:cs="Calibri"/>
                <w:bCs/>
                <w:iCs/>
                <w:snapToGrid w:val="0"/>
                <w:sz w:val="20"/>
              </w:rPr>
              <w:t xml:space="preserve"> PSD, November 2020).</w:t>
            </w:r>
          </w:p>
        </w:tc>
      </w:tr>
    </w:tbl>
    <w:p w14:paraId="68E8BC9F" w14:textId="77777777" w:rsidR="00CC25DE"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 xml:space="preserve">Source: Compiled during evaluation from </w:t>
      </w:r>
      <w:proofErr w:type="spellStart"/>
      <w:r w:rsidRPr="008E7C4C">
        <w:rPr>
          <w:rFonts w:ascii="Arial Narrow" w:hAnsi="Arial Narrow"/>
          <w:snapToGrid w:val="0"/>
          <w:sz w:val="18"/>
          <w:szCs w:val="22"/>
        </w:rPr>
        <w:t>ixazomib</w:t>
      </w:r>
      <w:proofErr w:type="spellEnd"/>
      <w:r w:rsidRPr="008E7C4C">
        <w:rPr>
          <w:rFonts w:ascii="Arial Narrow" w:hAnsi="Arial Narrow"/>
          <w:snapToGrid w:val="0"/>
          <w:sz w:val="18"/>
          <w:szCs w:val="22"/>
        </w:rPr>
        <w:t xml:space="preserve"> PSD, November 2020 PBAC Meetings</w:t>
      </w:r>
    </w:p>
    <w:p w14:paraId="439911CD" w14:textId="6E63CD0D" w:rsidR="00CC25DE"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 xml:space="preserve">Bd = bortezomib </w:t>
      </w:r>
      <w:r w:rsidR="001C06DC" w:rsidRPr="008E7C4C">
        <w:rPr>
          <w:rFonts w:ascii="Arial Narrow" w:hAnsi="Arial Narrow"/>
          <w:snapToGrid w:val="0"/>
          <w:sz w:val="18"/>
          <w:szCs w:val="22"/>
        </w:rPr>
        <w:t>+</w:t>
      </w:r>
      <w:r w:rsidRPr="008E7C4C">
        <w:rPr>
          <w:rFonts w:ascii="Arial Narrow" w:hAnsi="Arial Narrow"/>
          <w:snapToGrid w:val="0"/>
          <w:sz w:val="18"/>
          <w:szCs w:val="22"/>
        </w:rPr>
        <w:t xml:space="preserve"> dexamethasone; </w:t>
      </w:r>
      <w:proofErr w:type="spellStart"/>
      <w:r w:rsidRPr="008E7C4C">
        <w:rPr>
          <w:rFonts w:ascii="Arial Narrow" w:hAnsi="Arial Narrow"/>
          <w:snapToGrid w:val="0"/>
          <w:sz w:val="18"/>
          <w:szCs w:val="22"/>
        </w:rPr>
        <w:t>DBd</w:t>
      </w:r>
      <w:proofErr w:type="spellEnd"/>
      <w:r w:rsidRPr="008E7C4C">
        <w:rPr>
          <w:rFonts w:ascii="Arial Narrow" w:hAnsi="Arial Narrow"/>
          <w:snapToGrid w:val="0"/>
          <w:sz w:val="18"/>
          <w:szCs w:val="22"/>
        </w:rPr>
        <w:t xml:space="preserve"> = daratumumab</w:t>
      </w:r>
      <w:r w:rsidR="001C06DC" w:rsidRPr="008E7C4C">
        <w:rPr>
          <w:rFonts w:ascii="Arial Narrow" w:hAnsi="Arial Narrow"/>
          <w:snapToGrid w:val="0"/>
          <w:sz w:val="18"/>
          <w:szCs w:val="22"/>
        </w:rPr>
        <w:t xml:space="preserve"> +</w:t>
      </w:r>
      <w:r w:rsidRPr="008E7C4C">
        <w:rPr>
          <w:rFonts w:ascii="Arial Narrow" w:hAnsi="Arial Narrow"/>
          <w:snapToGrid w:val="0"/>
          <w:sz w:val="18"/>
          <w:szCs w:val="22"/>
        </w:rPr>
        <w:t xml:space="preserve"> bortezomib </w:t>
      </w:r>
      <w:r w:rsidR="001C06DC" w:rsidRPr="008E7C4C">
        <w:rPr>
          <w:rFonts w:ascii="Arial Narrow" w:hAnsi="Arial Narrow"/>
          <w:snapToGrid w:val="0"/>
          <w:sz w:val="18"/>
          <w:szCs w:val="22"/>
        </w:rPr>
        <w:t>+</w:t>
      </w:r>
      <w:r w:rsidRPr="008E7C4C">
        <w:rPr>
          <w:rFonts w:ascii="Arial Narrow" w:hAnsi="Arial Narrow"/>
          <w:snapToGrid w:val="0"/>
          <w:sz w:val="18"/>
          <w:szCs w:val="22"/>
        </w:rPr>
        <w:t xml:space="preserve"> dexamethasone; Cd = carfilzomib </w:t>
      </w:r>
      <w:r w:rsidR="001C06DC" w:rsidRPr="008E7C4C">
        <w:rPr>
          <w:rFonts w:ascii="Arial Narrow" w:hAnsi="Arial Narrow"/>
          <w:snapToGrid w:val="0"/>
          <w:sz w:val="18"/>
          <w:szCs w:val="22"/>
        </w:rPr>
        <w:t>+</w:t>
      </w:r>
      <w:r w:rsidRPr="008E7C4C">
        <w:rPr>
          <w:rFonts w:ascii="Arial Narrow" w:hAnsi="Arial Narrow"/>
          <w:snapToGrid w:val="0"/>
          <w:sz w:val="18"/>
          <w:szCs w:val="22"/>
        </w:rPr>
        <w:t xml:space="preserve"> dexamethasone; CUA = cost utility analysis; </w:t>
      </w:r>
      <w:proofErr w:type="spellStart"/>
      <w:r w:rsidRPr="008E7C4C">
        <w:rPr>
          <w:rFonts w:ascii="Arial Narrow" w:hAnsi="Arial Narrow"/>
          <w:snapToGrid w:val="0"/>
          <w:sz w:val="18"/>
          <w:szCs w:val="22"/>
        </w:rPr>
        <w:t>ILd</w:t>
      </w:r>
      <w:proofErr w:type="spellEnd"/>
      <w:r w:rsidRPr="008E7C4C">
        <w:rPr>
          <w:rFonts w:ascii="Arial Narrow" w:hAnsi="Arial Narrow"/>
          <w:snapToGrid w:val="0"/>
          <w:sz w:val="18"/>
          <w:szCs w:val="22"/>
        </w:rPr>
        <w:t xml:space="preserve"> = </w:t>
      </w:r>
      <w:proofErr w:type="spellStart"/>
      <w:r w:rsidRPr="008E7C4C">
        <w:rPr>
          <w:rFonts w:ascii="Arial Narrow" w:hAnsi="Arial Narrow"/>
          <w:snapToGrid w:val="0"/>
          <w:sz w:val="18"/>
          <w:szCs w:val="22"/>
        </w:rPr>
        <w:t>ixazomib</w:t>
      </w:r>
      <w:proofErr w:type="spellEnd"/>
      <w:r w:rsidRPr="008E7C4C">
        <w:rPr>
          <w:rFonts w:ascii="Arial Narrow" w:hAnsi="Arial Narrow"/>
          <w:snapToGrid w:val="0"/>
          <w:sz w:val="18"/>
          <w:szCs w:val="22"/>
        </w:rPr>
        <w:t xml:space="preserve"> + lenalidomide + dexamethasone; ITC = indirect treatment comparison; </w:t>
      </w:r>
      <w:proofErr w:type="spellStart"/>
      <w:r w:rsidRPr="008E7C4C">
        <w:rPr>
          <w:rFonts w:ascii="Arial Narrow" w:hAnsi="Arial Narrow"/>
          <w:snapToGrid w:val="0"/>
          <w:sz w:val="18"/>
          <w:szCs w:val="22"/>
        </w:rPr>
        <w:t>Ld</w:t>
      </w:r>
      <w:proofErr w:type="spellEnd"/>
      <w:r w:rsidRPr="008E7C4C">
        <w:rPr>
          <w:rFonts w:ascii="Arial Narrow" w:hAnsi="Arial Narrow"/>
          <w:snapToGrid w:val="0"/>
          <w:sz w:val="18"/>
          <w:szCs w:val="22"/>
        </w:rPr>
        <w:t xml:space="preserve"> = lenalidomide + dexamethasone; PICO = population, intervention, </w:t>
      </w:r>
      <w:proofErr w:type="gramStart"/>
      <w:r w:rsidRPr="008E7C4C">
        <w:rPr>
          <w:rFonts w:ascii="Arial Narrow" w:hAnsi="Arial Narrow"/>
          <w:snapToGrid w:val="0"/>
          <w:sz w:val="18"/>
          <w:szCs w:val="22"/>
        </w:rPr>
        <w:t>comparator</w:t>
      </w:r>
      <w:proofErr w:type="gramEnd"/>
      <w:r w:rsidRPr="008E7C4C">
        <w:rPr>
          <w:rFonts w:ascii="Arial Narrow" w:hAnsi="Arial Narrow"/>
          <w:snapToGrid w:val="0"/>
          <w:sz w:val="18"/>
          <w:szCs w:val="22"/>
        </w:rPr>
        <w:t xml:space="preserve"> and outcomes table; PSD = public summary document; RRMM = relapsed and/or refractory multiple myeloma.</w:t>
      </w:r>
    </w:p>
    <w:p w14:paraId="05BE50A8" w14:textId="7128E3EB" w:rsidR="003F4E26" w:rsidRPr="008E7C4C" w:rsidRDefault="003F4E26" w:rsidP="003F4E26">
      <w:pPr>
        <w:rPr>
          <w:snapToGrid w:val="0"/>
        </w:rPr>
      </w:pPr>
    </w:p>
    <w:p w14:paraId="2EBACD7B" w14:textId="77777777" w:rsidR="003F4E26" w:rsidRPr="008E7C4C" w:rsidRDefault="003F4E26" w:rsidP="003F4E26">
      <w:pPr>
        <w:ind w:firstLine="709"/>
        <w:rPr>
          <w:rFonts w:asciiTheme="minorHAnsi" w:hAnsiTheme="minorHAnsi"/>
          <w:i/>
        </w:rPr>
      </w:pPr>
      <w:r w:rsidRPr="008E7C4C">
        <w:rPr>
          <w:snapToGrid w:val="0"/>
        </w:rPr>
        <w:tab/>
      </w:r>
      <w:bookmarkStart w:id="5" w:name="_Hlk76375324"/>
      <w:r w:rsidRPr="008E7C4C">
        <w:rPr>
          <w:rFonts w:asciiTheme="minorHAnsi" w:hAnsiTheme="minorHAnsi"/>
          <w:i/>
        </w:rPr>
        <w:t>For more detail on PBAC’s view, see section 7 PBAC outcome.</w:t>
      </w:r>
    </w:p>
    <w:p w14:paraId="624CD0D8" w14:textId="12786C77" w:rsidR="00CC25DE" w:rsidRPr="008E7C4C" w:rsidRDefault="00CC25DE" w:rsidP="003A3E40">
      <w:pPr>
        <w:pStyle w:val="2-SectionHeading"/>
      </w:pPr>
      <w:bookmarkStart w:id="6" w:name="_Toc93487433"/>
      <w:bookmarkEnd w:id="5"/>
      <w:r w:rsidRPr="008E7C4C">
        <w:t>Requested listing</w:t>
      </w:r>
      <w:bookmarkEnd w:id="6"/>
    </w:p>
    <w:p w14:paraId="4ED7FADD" w14:textId="39DCE984" w:rsidR="0012410C" w:rsidRPr="008E7C4C" w:rsidRDefault="0012410C" w:rsidP="0012410C">
      <w:pPr>
        <w:pStyle w:val="ListParagraph"/>
        <w:numPr>
          <w:ilvl w:val="1"/>
          <w:numId w:val="1"/>
        </w:numPr>
        <w:rPr>
          <w:rFonts w:cs="Calibri"/>
          <w:bCs/>
        </w:rPr>
      </w:pPr>
      <w:r w:rsidRPr="008E7C4C">
        <w:rPr>
          <w:rFonts w:cs="Calibri"/>
          <w:bCs/>
        </w:rPr>
        <w:t xml:space="preserve">The proposed restriction is presented below. Secretariat </w:t>
      </w:r>
      <w:r w:rsidR="00593A3A" w:rsidRPr="008E7C4C">
        <w:rPr>
          <w:rFonts w:cs="Calibri"/>
          <w:bCs/>
        </w:rPr>
        <w:t xml:space="preserve">and PBAC </w:t>
      </w:r>
      <w:r w:rsidRPr="008E7C4C">
        <w:rPr>
          <w:rFonts w:cs="Calibri"/>
          <w:bCs/>
        </w:rPr>
        <w:t>additions are in italics and deletions in strikethrough.</w:t>
      </w:r>
    </w:p>
    <w:p w14:paraId="286C8D0A" w14:textId="14619138" w:rsidR="00CC25DE" w:rsidRPr="008E7C4C" w:rsidRDefault="00CC25DE" w:rsidP="001C06DC"/>
    <w:tbl>
      <w:tblPr>
        <w:tblStyle w:val="TableHTAsimple"/>
        <w:tblW w:w="0" w:type="auto"/>
        <w:tblLook w:val="04A0" w:firstRow="1" w:lastRow="0" w:firstColumn="1" w:lastColumn="0" w:noHBand="0" w:noVBand="1"/>
      </w:tblPr>
      <w:tblGrid>
        <w:gridCol w:w="2835"/>
        <w:gridCol w:w="993"/>
        <w:gridCol w:w="992"/>
        <w:gridCol w:w="992"/>
        <w:gridCol w:w="1418"/>
        <w:gridCol w:w="1796"/>
      </w:tblGrid>
      <w:tr w:rsidR="0012410C" w:rsidRPr="008E7C4C" w14:paraId="211EBFBE" w14:textId="77777777" w:rsidTr="00B17FC5">
        <w:trPr>
          <w:cnfStyle w:val="100000000000" w:firstRow="1" w:lastRow="0" w:firstColumn="0" w:lastColumn="0" w:oddVBand="0" w:evenVBand="0" w:oddHBand="0" w:evenHBand="0" w:firstRowFirstColumn="0" w:firstRowLastColumn="0" w:lastRowFirstColumn="0" w:lastRowLastColumn="0"/>
          <w:trHeight w:val="211"/>
        </w:trPr>
        <w:tc>
          <w:tcPr>
            <w:tcW w:w="2835" w:type="dxa"/>
            <w:tcBorders>
              <w:top w:val="single" w:sz="4" w:space="0" w:color="auto"/>
              <w:bottom w:val="single" w:sz="6" w:space="0" w:color="auto"/>
              <w:right w:val="nil"/>
            </w:tcBorders>
          </w:tcPr>
          <w:p w14:paraId="044C5798" w14:textId="77777777" w:rsidR="0012410C" w:rsidRPr="008E7C4C" w:rsidRDefault="0012410C" w:rsidP="00B17FC5">
            <w:pPr>
              <w:pStyle w:val="TableHeadingleft"/>
              <w:keepNext/>
              <w:rPr>
                <w:rFonts w:ascii="Arial Narrow" w:hAnsi="Arial Narrow"/>
                <w:sz w:val="20"/>
                <w:szCs w:val="20"/>
                <w:lang w:val="en-AU"/>
              </w:rPr>
            </w:pPr>
            <w:r w:rsidRPr="008E7C4C">
              <w:rPr>
                <w:rFonts w:ascii="Arial Narrow" w:hAnsi="Arial Narrow"/>
                <w:sz w:val="20"/>
                <w:szCs w:val="20"/>
                <w:lang w:val="en-AU"/>
              </w:rPr>
              <w:lastRenderedPageBreak/>
              <w:t>MEDICINAL PRODUCT, medicinal product pack</w:t>
            </w:r>
          </w:p>
        </w:tc>
        <w:tc>
          <w:tcPr>
            <w:tcW w:w="993" w:type="dxa"/>
            <w:tcBorders>
              <w:top w:val="single" w:sz="4" w:space="0" w:color="auto"/>
              <w:left w:val="nil"/>
              <w:bottom w:val="single" w:sz="6" w:space="0" w:color="auto"/>
              <w:right w:val="nil"/>
            </w:tcBorders>
          </w:tcPr>
          <w:p w14:paraId="7FC92547" w14:textId="77777777" w:rsidR="0012410C" w:rsidRPr="008E7C4C" w:rsidRDefault="0012410C" w:rsidP="00B17FC5">
            <w:pPr>
              <w:pStyle w:val="Tableheadingcent"/>
              <w:keepNext/>
              <w:rPr>
                <w:rFonts w:ascii="Arial Narrow" w:hAnsi="Arial Narrow"/>
                <w:sz w:val="20"/>
                <w:szCs w:val="20"/>
                <w:lang w:val="en-AU"/>
              </w:rPr>
            </w:pPr>
            <w:r w:rsidRPr="008E7C4C">
              <w:rPr>
                <w:rFonts w:ascii="Arial Narrow" w:hAnsi="Arial Narrow"/>
                <w:sz w:val="20"/>
                <w:szCs w:val="20"/>
                <w:lang w:val="en-AU"/>
              </w:rPr>
              <w:t xml:space="preserve">Max Qty </w:t>
            </w:r>
            <w:r w:rsidRPr="008E7C4C">
              <w:rPr>
                <w:rFonts w:ascii="Arial Narrow" w:hAnsi="Arial Narrow"/>
                <w:sz w:val="20"/>
                <w:szCs w:val="20"/>
                <w:lang w:val="en-AU"/>
              </w:rPr>
              <w:br/>
              <w:t>(packs)</w:t>
            </w:r>
          </w:p>
        </w:tc>
        <w:tc>
          <w:tcPr>
            <w:tcW w:w="992" w:type="dxa"/>
            <w:tcBorders>
              <w:top w:val="single" w:sz="4" w:space="0" w:color="auto"/>
              <w:left w:val="nil"/>
              <w:bottom w:val="single" w:sz="6" w:space="0" w:color="auto"/>
              <w:right w:val="nil"/>
            </w:tcBorders>
          </w:tcPr>
          <w:p w14:paraId="62A8046F" w14:textId="77777777" w:rsidR="0012410C" w:rsidRPr="008E7C4C" w:rsidRDefault="0012410C" w:rsidP="00B17FC5">
            <w:pPr>
              <w:pStyle w:val="Tableheadingcent"/>
              <w:keepNext/>
              <w:rPr>
                <w:rFonts w:ascii="Arial Narrow" w:hAnsi="Arial Narrow"/>
                <w:sz w:val="20"/>
                <w:szCs w:val="20"/>
                <w:lang w:val="en-AU"/>
              </w:rPr>
            </w:pPr>
            <w:r w:rsidRPr="008E7C4C">
              <w:rPr>
                <w:rFonts w:ascii="Arial Narrow" w:hAnsi="Arial Narrow"/>
                <w:sz w:val="20"/>
                <w:szCs w:val="20"/>
                <w:lang w:val="en-AU"/>
              </w:rPr>
              <w:t>Max Qty</w:t>
            </w:r>
            <w:r w:rsidRPr="008E7C4C">
              <w:rPr>
                <w:rFonts w:ascii="Arial Narrow" w:hAnsi="Arial Narrow"/>
                <w:sz w:val="20"/>
                <w:szCs w:val="20"/>
                <w:lang w:val="en-AU"/>
              </w:rPr>
              <w:br/>
              <w:t xml:space="preserve"> (units)</w:t>
            </w:r>
          </w:p>
        </w:tc>
        <w:tc>
          <w:tcPr>
            <w:tcW w:w="992" w:type="dxa"/>
            <w:tcBorders>
              <w:top w:val="single" w:sz="4" w:space="0" w:color="auto"/>
              <w:left w:val="nil"/>
              <w:bottom w:val="single" w:sz="6" w:space="0" w:color="auto"/>
              <w:right w:val="nil"/>
            </w:tcBorders>
          </w:tcPr>
          <w:p w14:paraId="62BF090A" w14:textId="77777777" w:rsidR="0012410C" w:rsidRPr="008E7C4C" w:rsidRDefault="0012410C" w:rsidP="00B17FC5">
            <w:pPr>
              <w:pStyle w:val="Tableheadingcent"/>
              <w:keepNext/>
              <w:rPr>
                <w:rFonts w:ascii="Arial Narrow" w:hAnsi="Arial Narrow"/>
                <w:sz w:val="20"/>
                <w:szCs w:val="20"/>
                <w:lang w:val="en-AU"/>
              </w:rPr>
            </w:pPr>
            <w:r w:rsidRPr="008E7C4C">
              <w:rPr>
                <w:rFonts w:ascii="Arial Narrow" w:hAnsi="Arial Narrow"/>
                <w:sz w:val="20"/>
                <w:szCs w:val="20"/>
                <w:lang w:val="en-AU"/>
              </w:rPr>
              <w:t>No. of repeats</w:t>
            </w:r>
          </w:p>
        </w:tc>
        <w:tc>
          <w:tcPr>
            <w:tcW w:w="1418" w:type="dxa"/>
            <w:tcBorders>
              <w:top w:val="single" w:sz="4" w:space="0" w:color="auto"/>
              <w:left w:val="nil"/>
              <w:bottom w:val="single" w:sz="6" w:space="0" w:color="auto"/>
              <w:right w:val="nil"/>
            </w:tcBorders>
          </w:tcPr>
          <w:p w14:paraId="55CAA1FE" w14:textId="77777777" w:rsidR="0012410C" w:rsidRPr="008E7C4C" w:rsidRDefault="0012410C" w:rsidP="00B17FC5">
            <w:pPr>
              <w:pStyle w:val="Tableheadingcent"/>
              <w:keepNext/>
              <w:rPr>
                <w:rFonts w:ascii="Arial Narrow" w:hAnsi="Arial Narrow"/>
                <w:sz w:val="20"/>
                <w:szCs w:val="20"/>
                <w:lang w:val="en-AU"/>
              </w:rPr>
            </w:pPr>
            <w:r w:rsidRPr="008E7C4C">
              <w:rPr>
                <w:rFonts w:ascii="Arial Narrow" w:hAnsi="Arial Narrow"/>
                <w:sz w:val="20"/>
                <w:szCs w:val="20"/>
                <w:lang w:val="en-AU"/>
              </w:rPr>
              <w:t>DPMQ</w:t>
            </w:r>
          </w:p>
        </w:tc>
        <w:tc>
          <w:tcPr>
            <w:tcW w:w="1796" w:type="dxa"/>
            <w:tcBorders>
              <w:top w:val="single" w:sz="4" w:space="0" w:color="auto"/>
              <w:left w:val="nil"/>
              <w:bottom w:val="single" w:sz="6" w:space="0" w:color="auto"/>
            </w:tcBorders>
          </w:tcPr>
          <w:p w14:paraId="59B5738D" w14:textId="77777777" w:rsidR="0012410C" w:rsidRPr="008E7C4C" w:rsidRDefault="0012410C" w:rsidP="00B17FC5">
            <w:pPr>
              <w:pStyle w:val="TableHeadingleft"/>
              <w:keepNext/>
              <w:rPr>
                <w:rFonts w:ascii="Arial Narrow" w:hAnsi="Arial Narrow"/>
                <w:sz w:val="20"/>
                <w:szCs w:val="20"/>
                <w:lang w:val="en-AU"/>
              </w:rPr>
            </w:pPr>
            <w:r w:rsidRPr="008E7C4C">
              <w:rPr>
                <w:rFonts w:ascii="Arial Narrow" w:hAnsi="Arial Narrow"/>
                <w:sz w:val="20"/>
                <w:szCs w:val="20"/>
                <w:lang w:val="en-AU"/>
              </w:rPr>
              <w:t>Available brands</w:t>
            </w:r>
          </w:p>
        </w:tc>
      </w:tr>
      <w:tr w:rsidR="0012410C" w:rsidRPr="008E7C4C" w14:paraId="1073181B" w14:textId="77777777" w:rsidTr="00B17FC5">
        <w:trPr>
          <w:cnfStyle w:val="000000100000" w:firstRow="0" w:lastRow="0" w:firstColumn="0" w:lastColumn="0" w:oddVBand="0" w:evenVBand="0" w:oddHBand="1" w:evenHBand="0" w:firstRowFirstColumn="0" w:firstRowLastColumn="0" w:lastRowFirstColumn="0" w:lastRowLastColumn="0"/>
        </w:trPr>
        <w:tc>
          <w:tcPr>
            <w:tcW w:w="2835" w:type="dxa"/>
            <w:tcBorders>
              <w:top w:val="single" w:sz="6" w:space="0" w:color="auto"/>
              <w:bottom w:val="nil"/>
              <w:right w:val="nil"/>
            </w:tcBorders>
          </w:tcPr>
          <w:p w14:paraId="33AE957F" w14:textId="77777777" w:rsidR="0012410C" w:rsidRPr="008E7C4C" w:rsidRDefault="0012410C" w:rsidP="00B17FC5">
            <w:pPr>
              <w:pStyle w:val="Tabletextleft"/>
              <w:keepNext/>
              <w:rPr>
                <w:rFonts w:ascii="Arial Narrow" w:hAnsi="Arial Narrow"/>
                <w:sz w:val="20"/>
                <w:lang w:val="en-AU"/>
              </w:rPr>
            </w:pPr>
            <w:r w:rsidRPr="008E7C4C">
              <w:rPr>
                <w:rFonts w:ascii="Arial Narrow" w:hAnsi="Arial Narrow"/>
                <w:sz w:val="20"/>
                <w:lang w:val="en-AU"/>
              </w:rPr>
              <w:t>IXAZOMIB</w:t>
            </w:r>
          </w:p>
        </w:tc>
        <w:tc>
          <w:tcPr>
            <w:tcW w:w="993" w:type="dxa"/>
            <w:tcBorders>
              <w:top w:val="single" w:sz="6" w:space="0" w:color="auto"/>
              <w:left w:val="nil"/>
              <w:bottom w:val="nil"/>
              <w:right w:val="nil"/>
            </w:tcBorders>
          </w:tcPr>
          <w:p w14:paraId="4BA9E8D3" w14:textId="77777777" w:rsidR="0012410C" w:rsidRPr="008E7C4C" w:rsidRDefault="0012410C" w:rsidP="00B17FC5">
            <w:pPr>
              <w:pStyle w:val="Tabletextcent"/>
              <w:keepNext/>
              <w:rPr>
                <w:rFonts w:ascii="Arial Narrow" w:hAnsi="Arial Narrow"/>
                <w:sz w:val="20"/>
                <w:lang w:val="en-AU"/>
              </w:rPr>
            </w:pPr>
          </w:p>
        </w:tc>
        <w:tc>
          <w:tcPr>
            <w:tcW w:w="992" w:type="dxa"/>
            <w:tcBorders>
              <w:top w:val="single" w:sz="6" w:space="0" w:color="auto"/>
              <w:left w:val="nil"/>
              <w:bottom w:val="nil"/>
              <w:right w:val="nil"/>
            </w:tcBorders>
          </w:tcPr>
          <w:p w14:paraId="5055CFA0" w14:textId="77777777" w:rsidR="0012410C" w:rsidRPr="008E7C4C" w:rsidRDefault="0012410C" w:rsidP="00B17FC5">
            <w:pPr>
              <w:pStyle w:val="Tabletextcent"/>
              <w:keepNext/>
              <w:rPr>
                <w:rFonts w:ascii="Arial Narrow" w:hAnsi="Arial Narrow"/>
                <w:sz w:val="20"/>
                <w:lang w:val="en-AU"/>
              </w:rPr>
            </w:pPr>
          </w:p>
        </w:tc>
        <w:tc>
          <w:tcPr>
            <w:tcW w:w="992" w:type="dxa"/>
            <w:tcBorders>
              <w:top w:val="single" w:sz="6" w:space="0" w:color="auto"/>
              <w:left w:val="nil"/>
              <w:bottom w:val="nil"/>
              <w:right w:val="nil"/>
            </w:tcBorders>
          </w:tcPr>
          <w:p w14:paraId="070B1953" w14:textId="77777777" w:rsidR="0012410C" w:rsidRPr="008E7C4C" w:rsidRDefault="0012410C" w:rsidP="00B17FC5">
            <w:pPr>
              <w:pStyle w:val="Tabletextcent"/>
              <w:keepNext/>
              <w:rPr>
                <w:rFonts w:ascii="Arial Narrow" w:hAnsi="Arial Narrow"/>
                <w:strike/>
                <w:sz w:val="20"/>
                <w:lang w:val="en-AU"/>
              </w:rPr>
            </w:pPr>
          </w:p>
        </w:tc>
        <w:tc>
          <w:tcPr>
            <w:tcW w:w="1418" w:type="dxa"/>
            <w:tcBorders>
              <w:top w:val="single" w:sz="6" w:space="0" w:color="auto"/>
              <w:left w:val="nil"/>
              <w:bottom w:val="nil"/>
              <w:right w:val="nil"/>
            </w:tcBorders>
          </w:tcPr>
          <w:p w14:paraId="4FD743B8" w14:textId="77777777" w:rsidR="0012410C" w:rsidRPr="008E7C4C" w:rsidRDefault="0012410C" w:rsidP="00B17FC5">
            <w:pPr>
              <w:pStyle w:val="Tabletextcent"/>
              <w:keepNext/>
              <w:rPr>
                <w:rFonts w:ascii="Arial Narrow" w:hAnsi="Arial Narrow"/>
                <w:sz w:val="20"/>
                <w:lang w:val="en-AU"/>
              </w:rPr>
            </w:pPr>
          </w:p>
        </w:tc>
        <w:tc>
          <w:tcPr>
            <w:tcW w:w="1796" w:type="dxa"/>
            <w:tcBorders>
              <w:top w:val="single" w:sz="6" w:space="0" w:color="auto"/>
              <w:left w:val="nil"/>
              <w:bottom w:val="nil"/>
            </w:tcBorders>
          </w:tcPr>
          <w:p w14:paraId="104DB706" w14:textId="77777777" w:rsidR="0012410C" w:rsidRPr="008E7C4C" w:rsidRDefault="0012410C" w:rsidP="00B17FC5">
            <w:pPr>
              <w:pStyle w:val="Tabletextleft"/>
              <w:keepNext/>
              <w:rPr>
                <w:rFonts w:ascii="Arial Narrow" w:hAnsi="Arial Narrow"/>
                <w:sz w:val="20"/>
                <w:lang w:val="en-AU"/>
              </w:rPr>
            </w:pPr>
          </w:p>
        </w:tc>
      </w:tr>
      <w:tr w:rsidR="0012410C" w:rsidRPr="008E7C4C" w14:paraId="6F91C9A6" w14:textId="77777777" w:rsidTr="00B17FC5">
        <w:trPr>
          <w:cnfStyle w:val="000000010000" w:firstRow="0" w:lastRow="0" w:firstColumn="0" w:lastColumn="0" w:oddVBand="0" w:evenVBand="0" w:oddHBand="0" w:evenHBand="1" w:firstRowFirstColumn="0" w:firstRowLastColumn="0" w:lastRowFirstColumn="0" w:lastRowLastColumn="0"/>
        </w:trPr>
        <w:tc>
          <w:tcPr>
            <w:tcW w:w="2835" w:type="dxa"/>
            <w:tcBorders>
              <w:top w:val="single" w:sz="6" w:space="0" w:color="auto"/>
              <w:bottom w:val="nil"/>
              <w:right w:val="nil"/>
            </w:tcBorders>
          </w:tcPr>
          <w:p w14:paraId="2A707CC1" w14:textId="77777777" w:rsidR="0012410C" w:rsidRPr="008E7C4C" w:rsidRDefault="0012410C" w:rsidP="00B17FC5">
            <w:pPr>
              <w:pStyle w:val="Tabletextleft"/>
              <w:keepNext/>
              <w:rPr>
                <w:rFonts w:ascii="Arial Narrow" w:hAnsi="Arial Narrow"/>
                <w:sz w:val="20"/>
                <w:lang w:val="en-AU"/>
              </w:rPr>
            </w:pPr>
            <w:proofErr w:type="spellStart"/>
            <w:r w:rsidRPr="008E7C4C">
              <w:rPr>
                <w:rFonts w:ascii="Arial Narrow" w:hAnsi="Arial Narrow"/>
                <w:sz w:val="20"/>
                <w:lang w:val="en-AU"/>
              </w:rPr>
              <w:t>ixazomib</w:t>
            </w:r>
            <w:proofErr w:type="spellEnd"/>
            <w:r w:rsidRPr="008E7C4C">
              <w:rPr>
                <w:rFonts w:ascii="Arial Narrow" w:hAnsi="Arial Narrow"/>
                <w:sz w:val="20"/>
                <w:lang w:val="en-AU"/>
              </w:rPr>
              <w:t xml:space="preserve"> 4 mg capsule, 3 </w:t>
            </w:r>
          </w:p>
        </w:tc>
        <w:tc>
          <w:tcPr>
            <w:tcW w:w="993" w:type="dxa"/>
            <w:tcBorders>
              <w:top w:val="single" w:sz="6" w:space="0" w:color="auto"/>
              <w:left w:val="nil"/>
              <w:bottom w:val="nil"/>
              <w:right w:val="nil"/>
            </w:tcBorders>
          </w:tcPr>
          <w:p w14:paraId="386ED3C0" w14:textId="77777777" w:rsidR="0012410C" w:rsidRPr="008E7C4C" w:rsidRDefault="0012410C" w:rsidP="00B17FC5">
            <w:pPr>
              <w:pStyle w:val="Tabletextcent"/>
              <w:keepNext/>
              <w:rPr>
                <w:rFonts w:ascii="Arial Narrow" w:hAnsi="Arial Narrow"/>
                <w:sz w:val="20"/>
                <w:lang w:val="en-AU"/>
              </w:rPr>
            </w:pPr>
            <w:r w:rsidRPr="008E7C4C">
              <w:rPr>
                <w:rFonts w:ascii="Arial Narrow" w:hAnsi="Arial Narrow"/>
                <w:sz w:val="20"/>
                <w:lang w:val="en-AU"/>
              </w:rPr>
              <w:t>1</w:t>
            </w:r>
          </w:p>
        </w:tc>
        <w:tc>
          <w:tcPr>
            <w:tcW w:w="992" w:type="dxa"/>
            <w:tcBorders>
              <w:top w:val="single" w:sz="6" w:space="0" w:color="auto"/>
              <w:left w:val="nil"/>
              <w:bottom w:val="nil"/>
              <w:right w:val="nil"/>
            </w:tcBorders>
          </w:tcPr>
          <w:p w14:paraId="0EBE4C36" w14:textId="77777777" w:rsidR="0012410C" w:rsidRPr="008E7C4C" w:rsidRDefault="0012410C" w:rsidP="00B17FC5">
            <w:pPr>
              <w:pStyle w:val="Tabletextcent"/>
              <w:keepNext/>
              <w:rPr>
                <w:rFonts w:ascii="Arial Narrow" w:hAnsi="Arial Narrow"/>
                <w:sz w:val="20"/>
                <w:lang w:val="en-AU"/>
              </w:rPr>
            </w:pPr>
            <w:r w:rsidRPr="008E7C4C">
              <w:rPr>
                <w:rFonts w:ascii="Arial Narrow" w:hAnsi="Arial Narrow"/>
                <w:sz w:val="20"/>
                <w:lang w:val="en-AU"/>
              </w:rPr>
              <w:t>3</w:t>
            </w:r>
          </w:p>
        </w:tc>
        <w:tc>
          <w:tcPr>
            <w:tcW w:w="992" w:type="dxa"/>
            <w:tcBorders>
              <w:top w:val="single" w:sz="6" w:space="0" w:color="auto"/>
              <w:left w:val="nil"/>
              <w:bottom w:val="nil"/>
              <w:right w:val="nil"/>
            </w:tcBorders>
          </w:tcPr>
          <w:p w14:paraId="357E76D4" w14:textId="77777777" w:rsidR="0012410C" w:rsidRPr="008E7C4C" w:rsidRDefault="0012410C" w:rsidP="00B17FC5">
            <w:pPr>
              <w:pStyle w:val="Tabletextcent"/>
              <w:keepNext/>
              <w:rPr>
                <w:rFonts w:ascii="Arial Narrow" w:hAnsi="Arial Narrow"/>
                <w:sz w:val="20"/>
                <w:lang w:val="en-AU"/>
              </w:rPr>
            </w:pPr>
            <w:r w:rsidRPr="008E7C4C">
              <w:rPr>
                <w:rFonts w:ascii="Arial Narrow" w:hAnsi="Arial Narrow"/>
                <w:sz w:val="20"/>
                <w:lang w:val="en-AU"/>
              </w:rPr>
              <w:t xml:space="preserve">2 </w:t>
            </w:r>
          </w:p>
        </w:tc>
        <w:tc>
          <w:tcPr>
            <w:tcW w:w="1418" w:type="dxa"/>
            <w:vMerge w:val="restart"/>
            <w:tcBorders>
              <w:top w:val="single" w:sz="6" w:space="0" w:color="auto"/>
              <w:left w:val="nil"/>
              <w:bottom w:val="nil"/>
              <w:right w:val="nil"/>
            </w:tcBorders>
          </w:tcPr>
          <w:p w14:paraId="4FA17A3B" w14:textId="2E6B087D" w:rsidR="0012410C" w:rsidRPr="008E7C4C" w:rsidRDefault="0012410C" w:rsidP="00B17FC5">
            <w:pPr>
              <w:pStyle w:val="Tabletextcent"/>
              <w:keepNext/>
              <w:rPr>
                <w:rFonts w:ascii="Arial Narrow" w:hAnsi="Arial Narrow"/>
                <w:sz w:val="20"/>
                <w:lang w:val="en-AU"/>
              </w:rPr>
            </w:pPr>
            <w:r w:rsidRPr="008E7C4C">
              <w:rPr>
                <w:rFonts w:ascii="Arial Narrow" w:hAnsi="Arial Narrow"/>
                <w:sz w:val="20"/>
                <w:lang w:val="en-AU"/>
              </w:rPr>
              <w:t>$</w:t>
            </w:r>
            <w:r w:rsidR="00951174" w:rsidRPr="00951174">
              <w:rPr>
                <w:rFonts w:ascii="Arial Narrow" w:hAnsi="Arial Narrow"/>
                <w:color w:val="000000"/>
                <w:sz w:val="20"/>
                <w:shd w:val="solid" w:color="000000" w:fill="000000"/>
                <w:lang w:val="en-AU"/>
                <w14:textFill>
                  <w14:solidFill>
                    <w14:srgbClr w14:val="000000">
                      <w14:alpha w14:val="100000"/>
                    </w14:srgbClr>
                  </w14:solidFill>
                </w14:textFill>
              </w:rPr>
              <w:t>|</w:t>
            </w:r>
            <w:r w:rsidRPr="008E7C4C">
              <w:rPr>
                <w:rFonts w:ascii="Arial Narrow" w:hAnsi="Arial Narrow"/>
                <w:sz w:val="20"/>
                <w:lang w:val="en-AU"/>
              </w:rPr>
              <w:br/>
              <w:t>[$SPA TBD]</w:t>
            </w:r>
          </w:p>
        </w:tc>
        <w:tc>
          <w:tcPr>
            <w:tcW w:w="1796" w:type="dxa"/>
            <w:vMerge w:val="restart"/>
            <w:tcBorders>
              <w:top w:val="single" w:sz="6" w:space="0" w:color="auto"/>
              <w:left w:val="nil"/>
              <w:bottom w:val="nil"/>
            </w:tcBorders>
          </w:tcPr>
          <w:p w14:paraId="00DB13C3" w14:textId="77777777" w:rsidR="0012410C" w:rsidRPr="008E7C4C" w:rsidRDefault="0012410C" w:rsidP="00B17FC5">
            <w:pPr>
              <w:pStyle w:val="Tabletextleft"/>
              <w:keepNext/>
              <w:rPr>
                <w:rFonts w:ascii="Arial Narrow" w:hAnsi="Arial Narrow"/>
                <w:sz w:val="20"/>
                <w:lang w:val="en-AU"/>
              </w:rPr>
            </w:pPr>
            <w:proofErr w:type="spellStart"/>
            <w:r w:rsidRPr="008E7C4C">
              <w:rPr>
                <w:rFonts w:ascii="Arial Narrow" w:hAnsi="Arial Narrow"/>
                <w:sz w:val="20"/>
                <w:lang w:val="en-AU"/>
              </w:rPr>
              <w:t>Ninlaro</w:t>
            </w:r>
            <w:proofErr w:type="spellEnd"/>
          </w:p>
        </w:tc>
      </w:tr>
      <w:tr w:rsidR="0012410C" w:rsidRPr="008E7C4C" w14:paraId="25A0E18C" w14:textId="77777777" w:rsidTr="00B17FC5">
        <w:trPr>
          <w:cnfStyle w:val="000000100000" w:firstRow="0" w:lastRow="0" w:firstColumn="0" w:lastColumn="0" w:oddVBand="0" w:evenVBand="0" w:oddHBand="1" w:evenHBand="0" w:firstRowFirstColumn="0" w:firstRowLastColumn="0" w:lastRowFirstColumn="0" w:lastRowLastColumn="0"/>
        </w:trPr>
        <w:tc>
          <w:tcPr>
            <w:tcW w:w="2835" w:type="dxa"/>
            <w:tcBorders>
              <w:top w:val="nil"/>
              <w:bottom w:val="nil"/>
            </w:tcBorders>
          </w:tcPr>
          <w:p w14:paraId="46F1CCC8" w14:textId="77777777" w:rsidR="0012410C" w:rsidRPr="008E7C4C" w:rsidRDefault="0012410C" w:rsidP="00B17FC5">
            <w:pPr>
              <w:pStyle w:val="Tabletextleft"/>
              <w:rPr>
                <w:rFonts w:ascii="Arial Narrow" w:hAnsi="Arial Narrow"/>
                <w:sz w:val="20"/>
                <w:lang w:val="en-AU"/>
              </w:rPr>
            </w:pPr>
            <w:proofErr w:type="spellStart"/>
            <w:r w:rsidRPr="008E7C4C">
              <w:rPr>
                <w:rFonts w:ascii="Arial Narrow" w:hAnsi="Arial Narrow"/>
                <w:sz w:val="20"/>
                <w:lang w:val="en-AU"/>
              </w:rPr>
              <w:t>ixazomib</w:t>
            </w:r>
            <w:proofErr w:type="spellEnd"/>
            <w:r w:rsidRPr="008E7C4C">
              <w:rPr>
                <w:rFonts w:ascii="Arial Narrow" w:hAnsi="Arial Narrow"/>
                <w:sz w:val="20"/>
                <w:lang w:val="en-AU"/>
              </w:rPr>
              <w:t xml:space="preserve"> 3 </w:t>
            </w:r>
            <w:proofErr w:type="gramStart"/>
            <w:r w:rsidRPr="008E7C4C">
              <w:rPr>
                <w:rFonts w:ascii="Arial Narrow" w:hAnsi="Arial Narrow"/>
                <w:sz w:val="20"/>
                <w:lang w:val="en-AU"/>
              </w:rPr>
              <w:t>mg  capsule</w:t>
            </w:r>
            <w:proofErr w:type="gramEnd"/>
            <w:r w:rsidRPr="008E7C4C">
              <w:rPr>
                <w:rFonts w:ascii="Arial Narrow" w:hAnsi="Arial Narrow"/>
                <w:sz w:val="20"/>
                <w:lang w:val="en-AU"/>
              </w:rPr>
              <w:t>, 3</w:t>
            </w:r>
          </w:p>
        </w:tc>
        <w:tc>
          <w:tcPr>
            <w:tcW w:w="993" w:type="dxa"/>
            <w:tcBorders>
              <w:top w:val="nil"/>
              <w:bottom w:val="nil"/>
            </w:tcBorders>
          </w:tcPr>
          <w:p w14:paraId="4549F431" w14:textId="77777777" w:rsidR="0012410C" w:rsidRPr="008E7C4C" w:rsidRDefault="0012410C" w:rsidP="00B17FC5">
            <w:pPr>
              <w:pStyle w:val="Tabletextcent"/>
              <w:rPr>
                <w:rFonts w:ascii="Arial Narrow" w:hAnsi="Arial Narrow"/>
                <w:sz w:val="20"/>
                <w:lang w:val="en-AU"/>
              </w:rPr>
            </w:pPr>
            <w:r w:rsidRPr="008E7C4C">
              <w:rPr>
                <w:rFonts w:ascii="Arial Narrow" w:hAnsi="Arial Narrow"/>
                <w:sz w:val="20"/>
                <w:lang w:val="en-AU"/>
              </w:rPr>
              <w:t>1</w:t>
            </w:r>
          </w:p>
        </w:tc>
        <w:tc>
          <w:tcPr>
            <w:tcW w:w="992" w:type="dxa"/>
            <w:tcBorders>
              <w:top w:val="nil"/>
              <w:bottom w:val="nil"/>
            </w:tcBorders>
          </w:tcPr>
          <w:p w14:paraId="4129C5FB" w14:textId="77777777" w:rsidR="0012410C" w:rsidRPr="008E7C4C" w:rsidRDefault="0012410C" w:rsidP="00B17FC5">
            <w:pPr>
              <w:pStyle w:val="Tabletextcent"/>
              <w:rPr>
                <w:rFonts w:ascii="Arial Narrow" w:hAnsi="Arial Narrow"/>
                <w:sz w:val="20"/>
                <w:lang w:val="en-AU"/>
              </w:rPr>
            </w:pPr>
            <w:r w:rsidRPr="008E7C4C">
              <w:rPr>
                <w:rFonts w:ascii="Arial Narrow" w:hAnsi="Arial Narrow"/>
                <w:sz w:val="20"/>
                <w:lang w:val="en-AU"/>
              </w:rPr>
              <w:t>3</w:t>
            </w:r>
          </w:p>
        </w:tc>
        <w:tc>
          <w:tcPr>
            <w:tcW w:w="992" w:type="dxa"/>
            <w:tcBorders>
              <w:top w:val="nil"/>
              <w:bottom w:val="nil"/>
            </w:tcBorders>
          </w:tcPr>
          <w:p w14:paraId="7A9D0147" w14:textId="77777777" w:rsidR="0012410C" w:rsidRPr="008E7C4C" w:rsidRDefault="0012410C" w:rsidP="00B17FC5">
            <w:pPr>
              <w:pStyle w:val="Tabletextcent"/>
              <w:rPr>
                <w:rFonts w:ascii="Arial Narrow" w:hAnsi="Arial Narrow"/>
                <w:sz w:val="20"/>
                <w:lang w:val="en-AU"/>
              </w:rPr>
            </w:pPr>
            <w:r w:rsidRPr="008E7C4C">
              <w:rPr>
                <w:rFonts w:ascii="Arial Narrow" w:hAnsi="Arial Narrow"/>
                <w:sz w:val="20"/>
                <w:lang w:val="en-AU"/>
              </w:rPr>
              <w:t>2</w:t>
            </w:r>
          </w:p>
        </w:tc>
        <w:tc>
          <w:tcPr>
            <w:tcW w:w="1418" w:type="dxa"/>
            <w:vMerge/>
            <w:tcBorders>
              <w:top w:val="nil"/>
              <w:bottom w:val="nil"/>
            </w:tcBorders>
          </w:tcPr>
          <w:p w14:paraId="7446EB7D" w14:textId="77777777" w:rsidR="0012410C" w:rsidRPr="008E7C4C" w:rsidRDefault="0012410C" w:rsidP="00B17FC5">
            <w:pPr>
              <w:pStyle w:val="Tabletextcent"/>
              <w:rPr>
                <w:rFonts w:ascii="Arial Narrow" w:hAnsi="Arial Narrow"/>
                <w:sz w:val="20"/>
                <w:lang w:val="en-AU"/>
              </w:rPr>
            </w:pPr>
          </w:p>
        </w:tc>
        <w:tc>
          <w:tcPr>
            <w:tcW w:w="1796" w:type="dxa"/>
            <w:vMerge/>
            <w:tcBorders>
              <w:top w:val="nil"/>
              <w:bottom w:val="nil"/>
            </w:tcBorders>
          </w:tcPr>
          <w:p w14:paraId="5FC50D6C" w14:textId="77777777" w:rsidR="0012410C" w:rsidRPr="008E7C4C" w:rsidRDefault="0012410C" w:rsidP="00B17FC5">
            <w:pPr>
              <w:pStyle w:val="Tabletextleft"/>
              <w:rPr>
                <w:rFonts w:ascii="Arial Narrow" w:hAnsi="Arial Narrow"/>
                <w:sz w:val="20"/>
                <w:lang w:val="en-AU"/>
              </w:rPr>
            </w:pPr>
          </w:p>
        </w:tc>
      </w:tr>
      <w:tr w:rsidR="0012410C" w:rsidRPr="008E7C4C" w14:paraId="3484F36E" w14:textId="77777777" w:rsidTr="00B17FC5">
        <w:trPr>
          <w:cnfStyle w:val="000000010000" w:firstRow="0" w:lastRow="0" w:firstColumn="0" w:lastColumn="0" w:oddVBand="0" w:evenVBand="0" w:oddHBand="0" w:evenHBand="1" w:firstRowFirstColumn="0" w:firstRowLastColumn="0" w:lastRowFirstColumn="0" w:lastRowLastColumn="0"/>
        </w:trPr>
        <w:tc>
          <w:tcPr>
            <w:tcW w:w="2835" w:type="dxa"/>
            <w:tcBorders>
              <w:top w:val="nil"/>
              <w:bottom w:val="single" w:sz="4" w:space="0" w:color="auto"/>
            </w:tcBorders>
          </w:tcPr>
          <w:p w14:paraId="27F96E42" w14:textId="77777777" w:rsidR="0012410C" w:rsidRPr="008E7C4C" w:rsidRDefault="0012410C" w:rsidP="00B17FC5">
            <w:pPr>
              <w:pStyle w:val="Tabletextleft"/>
              <w:rPr>
                <w:rFonts w:ascii="Arial Narrow" w:hAnsi="Arial Narrow"/>
                <w:sz w:val="20"/>
                <w:lang w:val="en-AU"/>
              </w:rPr>
            </w:pPr>
            <w:proofErr w:type="spellStart"/>
            <w:r w:rsidRPr="008E7C4C">
              <w:rPr>
                <w:rFonts w:ascii="Arial Narrow" w:hAnsi="Arial Narrow"/>
                <w:sz w:val="20"/>
                <w:lang w:val="en-AU"/>
              </w:rPr>
              <w:t>ixazomib</w:t>
            </w:r>
            <w:proofErr w:type="spellEnd"/>
            <w:r w:rsidRPr="008E7C4C">
              <w:rPr>
                <w:rFonts w:ascii="Arial Narrow" w:hAnsi="Arial Narrow"/>
                <w:sz w:val="20"/>
                <w:lang w:val="en-AU"/>
              </w:rPr>
              <w:t xml:space="preserve"> 2.3 mg capsule, 3</w:t>
            </w:r>
          </w:p>
        </w:tc>
        <w:tc>
          <w:tcPr>
            <w:tcW w:w="993" w:type="dxa"/>
            <w:tcBorders>
              <w:top w:val="nil"/>
              <w:bottom w:val="single" w:sz="4" w:space="0" w:color="auto"/>
            </w:tcBorders>
          </w:tcPr>
          <w:p w14:paraId="2707AEDF" w14:textId="77777777" w:rsidR="0012410C" w:rsidRPr="008E7C4C" w:rsidRDefault="0012410C" w:rsidP="00B17FC5">
            <w:pPr>
              <w:pStyle w:val="Tabletextcent"/>
              <w:rPr>
                <w:rFonts w:ascii="Arial Narrow" w:hAnsi="Arial Narrow"/>
                <w:sz w:val="20"/>
                <w:lang w:val="en-AU"/>
              </w:rPr>
            </w:pPr>
            <w:r w:rsidRPr="008E7C4C">
              <w:rPr>
                <w:rFonts w:ascii="Arial Narrow" w:hAnsi="Arial Narrow"/>
                <w:sz w:val="20"/>
                <w:lang w:val="en-AU"/>
              </w:rPr>
              <w:t>1</w:t>
            </w:r>
          </w:p>
        </w:tc>
        <w:tc>
          <w:tcPr>
            <w:tcW w:w="992" w:type="dxa"/>
            <w:tcBorders>
              <w:top w:val="nil"/>
              <w:bottom w:val="single" w:sz="4" w:space="0" w:color="auto"/>
            </w:tcBorders>
          </w:tcPr>
          <w:p w14:paraId="6CCC7321" w14:textId="77777777" w:rsidR="0012410C" w:rsidRPr="008E7C4C" w:rsidRDefault="0012410C" w:rsidP="00B17FC5">
            <w:pPr>
              <w:pStyle w:val="Tabletextcent"/>
              <w:rPr>
                <w:rFonts w:ascii="Arial Narrow" w:hAnsi="Arial Narrow"/>
                <w:sz w:val="20"/>
                <w:lang w:val="en-AU"/>
              </w:rPr>
            </w:pPr>
            <w:r w:rsidRPr="008E7C4C">
              <w:rPr>
                <w:rFonts w:ascii="Arial Narrow" w:hAnsi="Arial Narrow"/>
                <w:sz w:val="20"/>
                <w:lang w:val="en-AU"/>
              </w:rPr>
              <w:t>3</w:t>
            </w:r>
          </w:p>
        </w:tc>
        <w:tc>
          <w:tcPr>
            <w:tcW w:w="992" w:type="dxa"/>
            <w:tcBorders>
              <w:top w:val="nil"/>
              <w:bottom w:val="single" w:sz="4" w:space="0" w:color="auto"/>
            </w:tcBorders>
          </w:tcPr>
          <w:p w14:paraId="7A69BC2F" w14:textId="77777777" w:rsidR="0012410C" w:rsidRPr="008E7C4C" w:rsidRDefault="0012410C" w:rsidP="00B17FC5">
            <w:pPr>
              <w:pStyle w:val="Tabletextcent"/>
              <w:rPr>
                <w:rFonts w:ascii="Arial Narrow" w:hAnsi="Arial Narrow"/>
                <w:sz w:val="20"/>
                <w:lang w:val="en-AU"/>
              </w:rPr>
            </w:pPr>
            <w:r w:rsidRPr="008E7C4C">
              <w:rPr>
                <w:rFonts w:ascii="Arial Narrow" w:hAnsi="Arial Narrow"/>
                <w:sz w:val="20"/>
                <w:lang w:val="en-AU"/>
              </w:rPr>
              <w:t>2</w:t>
            </w:r>
          </w:p>
        </w:tc>
        <w:tc>
          <w:tcPr>
            <w:tcW w:w="1418" w:type="dxa"/>
            <w:vMerge/>
            <w:tcBorders>
              <w:top w:val="nil"/>
              <w:bottom w:val="single" w:sz="4" w:space="0" w:color="auto"/>
            </w:tcBorders>
          </w:tcPr>
          <w:p w14:paraId="45655960" w14:textId="77777777" w:rsidR="0012410C" w:rsidRPr="008E7C4C" w:rsidRDefault="0012410C" w:rsidP="00B17FC5">
            <w:pPr>
              <w:pStyle w:val="Tabletextcent"/>
              <w:rPr>
                <w:rFonts w:ascii="Arial Narrow" w:hAnsi="Arial Narrow"/>
                <w:sz w:val="20"/>
                <w:lang w:val="en-AU"/>
              </w:rPr>
            </w:pPr>
          </w:p>
        </w:tc>
        <w:tc>
          <w:tcPr>
            <w:tcW w:w="1796" w:type="dxa"/>
            <w:vMerge/>
            <w:tcBorders>
              <w:top w:val="nil"/>
              <w:bottom w:val="single" w:sz="4" w:space="0" w:color="auto"/>
            </w:tcBorders>
          </w:tcPr>
          <w:p w14:paraId="5C228CEB" w14:textId="77777777" w:rsidR="0012410C" w:rsidRPr="008E7C4C" w:rsidRDefault="0012410C" w:rsidP="00B17FC5">
            <w:pPr>
              <w:pStyle w:val="Tabletextleft"/>
              <w:rPr>
                <w:rFonts w:ascii="Arial Narrow" w:hAnsi="Arial Narrow"/>
                <w:sz w:val="20"/>
                <w:lang w:val="en-AU"/>
              </w:rPr>
            </w:pPr>
          </w:p>
        </w:tc>
      </w:tr>
    </w:tbl>
    <w:p w14:paraId="6B7B978D" w14:textId="77777777" w:rsidR="0012410C" w:rsidRPr="008E7C4C" w:rsidRDefault="0012410C" w:rsidP="0012410C"/>
    <w:tbl>
      <w:tblPr>
        <w:tblW w:w="5000"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12410C" w:rsidRPr="008E7C4C" w14:paraId="6898C961" w14:textId="77777777" w:rsidTr="0012410C">
        <w:tc>
          <w:tcPr>
            <w:tcW w:w="5000" w:type="pct"/>
            <w:shd w:val="clear" w:color="auto" w:fill="FFFFFF" w:themeFill="background1"/>
            <w:tcMar>
              <w:left w:w="28" w:type="dxa"/>
              <w:right w:w="28" w:type="dxa"/>
            </w:tcMar>
          </w:tcPr>
          <w:p w14:paraId="047DC91B" w14:textId="77777777" w:rsidR="0012410C" w:rsidRPr="008E7C4C" w:rsidRDefault="0012410C" w:rsidP="00B17FC5">
            <w:pPr>
              <w:rPr>
                <w:rFonts w:ascii="Arial Narrow" w:hAnsi="Arial Narrow"/>
                <w:b/>
                <w:sz w:val="20"/>
                <w:szCs w:val="20"/>
                <w:highlight w:val="yellow"/>
              </w:rPr>
            </w:pPr>
            <w:r w:rsidRPr="008E7C4C">
              <w:rPr>
                <w:rFonts w:ascii="Arial Narrow" w:hAnsi="Arial Narrow"/>
                <w:b/>
                <w:bCs/>
                <w:sz w:val="20"/>
                <w:szCs w:val="20"/>
              </w:rPr>
              <w:t xml:space="preserve">Category/Program: </w:t>
            </w:r>
            <w:r w:rsidRPr="008E7C4C">
              <w:rPr>
                <w:rFonts w:ascii="Arial Narrow" w:hAnsi="Arial Narrow"/>
                <w:bCs/>
                <w:sz w:val="20"/>
                <w:szCs w:val="20"/>
              </w:rPr>
              <w:t>Section 100 (Highly Specialised Drugs Program - Public/Private)</w:t>
            </w:r>
          </w:p>
        </w:tc>
      </w:tr>
      <w:tr w:rsidR="0012410C" w:rsidRPr="008E7C4C" w14:paraId="4EF266D0" w14:textId="77777777" w:rsidTr="0012410C">
        <w:tc>
          <w:tcPr>
            <w:tcW w:w="5000" w:type="pct"/>
            <w:shd w:val="clear" w:color="auto" w:fill="FFFFFF" w:themeFill="background1"/>
            <w:tcMar>
              <w:left w:w="28" w:type="dxa"/>
              <w:right w:w="28" w:type="dxa"/>
            </w:tcMar>
          </w:tcPr>
          <w:p w14:paraId="68DBAFC1" w14:textId="77777777" w:rsidR="0012410C" w:rsidRPr="008E7C4C" w:rsidRDefault="0012410C" w:rsidP="00B17FC5">
            <w:pPr>
              <w:rPr>
                <w:rFonts w:ascii="Arial Narrow" w:hAnsi="Arial Narrow"/>
                <w:bCs/>
                <w:sz w:val="20"/>
                <w:szCs w:val="20"/>
                <w:highlight w:val="yellow"/>
              </w:rPr>
            </w:pPr>
            <w:r w:rsidRPr="008E7C4C">
              <w:rPr>
                <w:rFonts w:ascii="Arial Narrow" w:hAnsi="Arial Narrow"/>
                <w:b/>
                <w:bCs/>
                <w:sz w:val="20"/>
                <w:szCs w:val="20"/>
              </w:rPr>
              <w:t xml:space="preserve">Prescriber type: </w:t>
            </w:r>
            <w:r w:rsidRPr="008E7C4C">
              <w:rPr>
                <w:rFonts w:ascii="Arial Narrow" w:hAnsi="Arial Narrow"/>
                <w:bCs/>
                <w:sz w:val="20"/>
                <w:szCs w:val="20"/>
              </w:rPr>
              <w:fldChar w:fldCharType="begin">
                <w:ffData>
                  <w:name w:val=""/>
                  <w:enabled/>
                  <w:calcOnExit w:val="0"/>
                  <w:checkBox>
                    <w:sizeAuto/>
                    <w:default w:val="1"/>
                  </w:checkBox>
                </w:ffData>
              </w:fldChar>
            </w:r>
            <w:r w:rsidRPr="008E7C4C">
              <w:rPr>
                <w:rFonts w:ascii="Arial Narrow" w:hAnsi="Arial Narrow"/>
                <w:bCs/>
                <w:sz w:val="20"/>
                <w:szCs w:val="20"/>
              </w:rPr>
              <w:instrText xml:space="preserve"> FORMCHECKBOX </w:instrText>
            </w:r>
            <w:r w:rsidR="002D249B">
              <w:rPr>
                <w:rFonts w:ascii="Arial Narrow" w:hAnsi="Arial Narrow"/>
                <w:bCs/>
                <w:sz w:val="20"/>
                <w:szCs w:val="20"/>
              </w:rPr>
            </w:r>
            <w:r w:rsidR="002D249B">
              <w:rPr>
                <w:rFonts w:ascii="Arial Narrow" w:hAnsi="Arial Narrow"/>
                <w:bCs/>
                <w:sz w:val="20"/>
                <w:szCs w:val="20"/>
              </w:rPr>
              <w:fldChar w:fldCharType="separate"/>
            </w:r>
            <w:r w:rsidRPr="008E7C4C">
              <w:rPr>
                <w:rFonts w:ascii="Arial Narrow" w:hAnsi="Arial Narrow"/>
                <w:bCs/>
                <w:sz w:val="20"/>
                <w:szCs w:val="20"/>
              </w:rPr>
              <w:fldChar w:fldCharType="end"/>
            </w:r>
            <w:r w:rsidRPr="008E7C4C">
              <w:rPr>
                <w:rFonts w:ascii="Arial Narrow" w:hAnsi="Arial Narrow"/>
                <w:bCs/>
                <w:sz w:val="20"/>
                <w:szCs w:val="20"/>
              </w:rPr>
              <w:t xml:space="preserve">Medical Practitioners </w:t>
            </w:r>
          </w:p>
        </w:tc>
      </w:tr>
      <w:tr w:rsidR="0012410C" w:rsidRPr="008E7C4C" w14:paraId="59A98DE0" w14:textId="77777777" w:rsidTr="0012410C">
        <w:tc>
          <w:tcPr>
            <w:tcW w:w="5000" w:type="pct"/>
            <w:tcMar>
              <w:left w:w="28" w:type="dxa"/>
              <w:right w:w="28" w:type="dxa"/>
            </w:tcMar>
          </w:tcPr>
          <w:p w14:paraId="10B70E3A" w14:textId="77777777" w:rsidR="0012410C" w:rsidRPr="008E7C4C" w:rsidRDefault="0012410C" w:rsidP="00B17FC5">
            <w:pPr>
              <w:rPr>
                <w:rFonts w:ascii="Arial Narrow" w:hAnsi="Arial Narrow"/>
                <w:b/>
                <w:bCs/>
                <w:sz w:val="20"/>
                <w:szCs w:val="20"/>
              </w:rPr>
            </w:pPr>
            <w:r w:rsidRPr="008E7C4C">
              <w:rPr>
                <w:rFonts w:ascii="Arial Narrow" w:hAnsi="Arial Narrow"/>
                <w:b/>
                <w:bCs/>
                <w:sz w:val="20"/>
                <w:szCs w:val="20"/>
              </w:rPr>
              <w:t xml:space="preserve">Restriction type / Method: </w:t>
            </w:r>
            <w:r w:rsidRPr="008E7C4C">
              <w:rPr>
                <w:rFonts w:ascii="Arial Narrow" w:hAnsi="Arial Narrow"/>
                <w:bCs/>
                <w:sz w:val="20"/>
                <w:szCs w:val="20"/>
              </w:rPr>
              <w:fldChar w:fldCharType="begin">
                <w:ffData>
                  <w:name w:val="Check3"/>
                  <w:enabled/>
                  <w:calcOnExit w:val="0"/>
                  <w:checkBox>
                    <w:sizeAuto/>
                    <w:default w:val="1"/>
                  </w:checkBox>
                </w:ffData>
              </w:fldChar>
            </w:r>
            <w:r w:rsidRPr="008E7C4C">
              <w:rPr>
                <w:rFonts w:ascii="Arial Narrow" w:hAnsi="Arial Narrow"/>
                <w:bCs/>
                <w:sz w:val="20"/>
                <w:szCs w:val="20"/>
              </w:rPr>
              <w:instrText xml:space="preserve"> FORMCHECKBOX </w:instrText>
            </w:r>
            <w:r w:rsidR="002D249B">
              <w:rPr>
                <w:rFonts w:ascii="Arial Narrow" w:hAnsi="Arial Narrow"/>
                <w:bCs/>
                <w:sz w:val="20"/>
                <w:szCs w:val="20"/>
              </w:rPr>
            </w:r>
            <w:r w:rsidR="002D249B">
              <w:rPr>
                <w:rFonts w:ascii="Arial Narrow" w:hAnsi="Arial Narrow"/>
                <w:bCs/>
                <w:sz w:val="20"/>
                <w:szCs w:val="20"/>
              </w:rPr>
              <w:fldChar w:fldCharType="separate"/>
            </w:r>
            <w:r w:rsidRPr="008E7C4C">
              <w:rPr>
                <w:rFonts w:ascii="Arial Narrow" w:hAnsi="Arial Narrow"/>
                <w:bCs/>
                <w:sz w:val="20"/>
                <w:szCs w:val="20"/>
              </w:rPr>
              <w:fldChar w:fldCharType="end"/>
            </w:r>
            <w:r w:rsidRPr="008E7C4C">
              <w:rPr>
                <w:rFonts w:ascii="Arial Narrow" w:hAnsi="Arial Narrow"/>
                <w:bCs/>
                <w:sz w:val="20"/>
                <w:szCs w:val="20"/>
              </w:rPr>
              <w:t>Authority Required – immediate/real-time assessment by Services Australia (telephone/online)</w:t>
            </w:r>
          </w:p>
        </w:tc>
      </w:tr>
      <w:tr w:rsidR="0012410C" w:rsidRPr="008E7C4C" w14:paraId="6286D4A5" w14:textId="77777777" w:rsidTr="0012410C">
        <w:tc>
          <w:tcPr>
            <w:tcW w:w="5000" w:type="pct"/>
            <w:tcMar>
              <w:left w:w="28" w:type="dxa"/>
              <w:right w:w="28" w:type="dxa"/>
            </w:tcMar>
          </w:tcPr>
          <w:p w14:paraId="28C9D897" w14:textId="77777777" w:rsidR="0012410C" w:rsidRPr="008E7C4C" w:rsidRDefault="0012410C" w:rsidP="00B17FC5">
            <w:pPr>
              <w:rPr>
                <w:rFonts w:ascii="Arial Narrow" w:hAnsi="Arial Narrow"/>
                <w:bCs/>
                <w:i/>
                <w:sz w:val="20"/>
                <w:szCs w:val="20"/>
              </w:rPr>
            </w:pPr>
            <w:proofErr w:type="spellStart"/>
            <w:r w:rsidRPr="008E7C4C">
              <w:rPr>
                <w:rFonts w:ascii="Arial Narrow" w:hAnsi="Arial Narrow"/>
                <w:b/>
                <w:bCs/>
                <w:sz w:val="20"/>
                <w:szCs w:val="20"/>
              </w:rPr>
              <w:t>Episodicity</w:t>
            </w:r>
            <w:proofErr w:type="spellEnd"/>
            <w:r w:rsidRPr="008E7C4C">
              <w:rPr>
                <w:rFonts w:ascii="Arial Narrow" w:hAnsi="Arial Narrow"/>
                <w:b/>
                <w:bCs/>
                <w:sz w:val="20"/>
                <w:szCs w:val="20"/>
              </w:rPr>
              <w:t xml:space="preserve">: </w:t>
            </w:r>
            <w:r w:rsidRPr="008E7C4C">
              <w:rPr>
                <w:rFonts w:ascii="Arial Narrow" w:hAnsi="Arial Narrow"/>
                <w:bCs/>
                <w:strike/>
                <w:sz w:val="20"/>
                <w:szCs w:val="20"/>
              </w:rPr>
              <w:t xml:space="preserve">N/A </w:t>
            </w:r>
            <w:r w:rsidRPr="008E7C4C">
              <w:rPr>
                <w:rFonts w:ascii="Arial Narrow" w:hAnsi="Arial Narrow"/>
                <w:bCs/>
                <w:i/>
                <w:sz w:val="20"/>
                <w:szCs w:val="20"/>
              </w:rPr>
              <w:t>Relapsed and/or refractory</w:t>
            </w:r>
          </w:p>
        </w:tc>
      </w:tr>
      <w:tr w:rsidR="0012410C" w:rsidRPr="008E7C4C" w14:paraId="669767C4" w14:textId="77777777" w:rsidTr="0012410C">
        <w:tc>
          <w:tcPr>
            <w:tcW w:w="5000" w:type="pct"/>
            <w:tcMar>
              <w:left w:w="28" w:type="dxa"/>
              <w:right w:w="28" w:type="dxa"/>
            </w:tcMar>
          </w:tcPr>
          <w:p w14:paraId="2378A67A" w14:textId="77777777" w:rsidR="0012410C" w:rsidRPr="008E7C4C" w:rsidRDefault="0012410C" w:rsidP="00B17FC5">
            <w:pPr>
              <w:rPr>
                <w:rFonts w:ascii="Arial Narrow" w:hAnsi="Arial Narrow"/>
                <w:sz w:val="20"/>
                <w:szCs w:val="20"/>
              </w:rPr>
            </w:pPr>
            <w:r w:rsidRPr="008E7C4C">
              <w:rPr>
                <w:rFonts w:ascii="Arial Narrow" w:hAnsi="Arial Narrow"/>
                <w:b/>
                <w:bCs/>
                <w:sz w:val="20"/>
                <w:szCs w:val="20"/>
              </w:rPr>
              <w:t xml:space="preserve">Condition: </w:t>
            </w:r>
            <w:r w:rsidRPr="008E7C4C">
              <w:rPr>
                <w:rFonts w:ascii="Arial Narrow" w:hAnsi="Arial Narrow"/>
                <w:bCs/>
                <w:sz w:val="20"/>
                <w:szCs w:val="20"/>
              </w:rPr>
              <w:t xml:space="preserve">Multiple myeloma </w:t>
            </w:r>
          </w:p>
        </w:tc>
      </w:tr>
      <w:tr w:rsidR="0012410C" w:rsidRPr="008E7C4C" w14:paraId="132A5DB2"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6D528E4F" w14:textId="77777777" w:rsidR="0012410C" w:rsidRPr="008E7C4C" w:rsidRDefault="0012410C" w:rsidP="00B17FC5">
            <w:pPr>
              <w:pStyle w:val="TableText0"/>
              <w:keepNext w:val="0"/>
              <w:rPr>
                <w:szCs w:val="20"/>
              </w:rPr>
            </w:pPr>
            <w:r w:rsidRPr="008E7C4C">
              <w:rPr>
                <w:b/>
                <w:szCs w:val="20"/>
              </w:rPr>
              <w:t xml:space="preserve">PBS Indication: </w:t>
            </w:r>
            <w:r w:rsidRPr="008E7C4C">
              <w:rPr>
                <w:i/>
                <w:szCs w:val="20"/>
              </w:rPr>
              <w:t xml:space="preserve">Relapsed and/or refractory </w:t>
            </w:r>
            <w:r w:rsidRPr="008E7C4C">
              <w:rPr>
                <w:szCs w:val="20"/>
              </w:rPr>
              <w:t>multiple myeloma</w:t>
            </w:r>
          </w:p>
        </w:tc>
      </w:tr>
      <w:tr w:rsidR="0012410C" w:rsidRPr="008E7C4C" w14:paraId="53F73AF3"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060DA172" w14:textId="77777777" w:rsidR="0012410C" w:rsidRPr="008E7C4C" w:rsidRDefault="0012410C" w:rsidP="00B17FC5">
            <w:pPr>
              <w:pStyle w:val="TableText0"/>
              <w:keepNext w:val="0"/>
              <w:rPr>
                <w:szCs w:val="20"/>
              </w:rPr>
            </w:pPr>
            <w:r w:rsidRPr="008E7C4C">
              <w:rPr>
                <w:b/>
                <w:szCs w:val="20"/>
              </w:rPr>
              <w:t xml:space="preserve">Treatment phase: </w:t>
            </w:r>
            <w:r w:rsidRPr="008E7C4C">
              <w:rPr>
                <w:szCs w:val="20"/>
              </w:rPr>
              <w:t xml:space="preserve">Initial treatment </w:t>
            </w:r>
          </w:p>
        </w:tc>
      </w:tr>
      <w:tr w:rsidR="0012410C" w:rsidRPr="008E7C4C" w14:paraId="1201FB74"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06875CDB" w14:textId="77777777" w:rsidR="0012410C" w:rsidRPr="008E7C4C" w:rsidRDefault="0012410C" w:rsidP="00B17FC5">
            <w:pPr>
              <w:pStyle w:val="TableText0"/>
              <w:keepNext w:val="0"/>
              <w:rPr>
                <w:szCs w:val="20"/>
              </w:rPr>
            </w:pPr>
            <w:r w:rsidRPr="008E7C4C">
              <w:rPr>
                <w:b/>
                <w:szCs w:val="20"/>
              </w:rPr>
              <w:t>Clinical criteria:</w:t>
            </w:r>
          </w:p>
        </w:tc>
      </w:tr>
      <w:tr w:rsidR="0012410C" w:rsidRPr="008E7C4C" w14:paraId="156084F7"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4B40F0BE" w14:textId="77777777" w:rsidR="0012410C" w:rsidRPr="008E7C4C" w:rsidRDefault="0012410C" w:rsidP="00B17FC5">
            <w:pPr>
              <w:pStyle w:val="TableText0"/>
              <w:keepNext w:val="0"/>
              <w:rPr>
                <w:szCs w:val="20"/>
              </w:rPr>
            </w:pPr>
            <w:r w:rsidRPr="008E7C4C">
              <w:rPr>
                <w:szCs w:val="20"/>
              </w:rPr>
              <w:t>The condition must be confirmed by a histological diagnosis,</w:t>
            </w:r>
          </w:p>
        </w:tc>
      </w:tr>
      <w:tr w:rsidR="0012410C" w:rsidRPr="008E7C4C" w14:paraId="3BCC3798"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62CF0A55" w14:textId="77777777" w:rsidR="0012410C" w:rsidRPr="008E7C4C" w:rsidRDefault="0012410C" w:rsidP="00B17FC5">
            <w:pPr>
              <w:pStyle w:val="TableText0"/>
              <w:keepNext w:val="0"/>
              <w:rPr>
                <w:b/>
                <w:szCs w:val="20"/>
              </w:rPr>
            </w:pPr>
            <w:r w:rsidRPr="008E7C4C">
              <w:rPr>
                <w:b/>
                <w:szCs w:val="20"/>
              </w:rPr>
              <w:t>AND</w:t>
            </w:r>
          </w:p>
        </w:tc>
      </w:tr>
      <w:tr w:rsidR="0012410C" w:rsidRPr="008E7C4C" w14:paraId="3BA96427"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0234B8FD" w14:textId="77777777" w:rsidR="0012410C" w:rsidRPr="008E7C4C" w:rsidRDefault="0012410C" w:rsidP="00B17FC5">
            <w:pPr>
              <w:pStyle w:val="TableText0"/>
              <w:keepNext w:val="0"/>
              <w:rPr>
                <w:szCs w:val="20"/>
              </w:rPr>
            </w:pPr>
            <w:r w:rsidRPr="008E7C4C">
              <w:rPr>
                <w:b/>
                <w:szCs w:val="20"/>
              </w:rPr>
              <w:t>Clinical criteria:</w:t>
            </w:r>
          </w:p>
        </w:tc>
      </w:tr>
      <w:tr w:rsidR="0012410C" w:rsidRPr="008E7C4C" w14:paraId="55AD4858"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3A25C2C1" w14:textId="77777777" w:rsidR="0012410C" w:rsidRPr="008E7C4C" w:rsidRDefault="0012410C" w:rsidP="00B17FC5">
            <w:pPr>
              <w:pStyle w:val="TableText0"/>
              <w:keepNext w:val="0"/>
              <w:rPr>
                <w:szCs w:val="20"/>
              </w:rPr>
            </w:pPr>
            <w:r w:rsidRPr="008E7C4C">
              <w:rPr>
                <w:szCs w:val="20"/>
              </w:rPr>
              <w:t>The treatment must be in combination with lenalidomide and dexamethasone,</w:t>
            </w:r>
          </w:p>
        </w:tc>
      </w:tr>
      <w:tr w:rsidR="0012410C" w:rsidRPr="008E7C4C" w14:paraId="74053226"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3CED3B35" w14:textId="77777777" w:rsidR="0012410C" w:rsidRPr="008E7C4C" w:rsidRDefault="0012410C" w:rsidP="00B17FC5">
            <w:pPr>
              <w:pStyle w:val="TableText0"/>
              <w:keepNext w:val="0"/>
              <w:rPr>
                <w:b/>
                <w:szCs w:val="20"/>
              </w:rPr>
            </w:pPr>
            <w:r w:rsidRPr="008E7C4C">
              <w:rPr>
                <w:b/>
                <w:szCs w:val="20"/>
              </w:rPr>
              <w:t>AND</w:t>
            </w:r>
          </w:p>
        </w:tc>
      </w:tr>
      <w:tr w:rsidR="0012410C" w:rsidRPr="008E7C4C" w14:paraId="53D8E893"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7093094E" w14:textId="77777777" w:rsidR="0012410C" w:rsidRPr="008E7C4C" w:rsidRDefault="0012410C" w:rsidP="00B17FC5">
            <w:pPr>
              <w:pStyle w:val="TableText0"/>
              <w:keepNext w:val="0"/>
              <w:rPr>
                <w:szCs w:val="20"/>
              </w:rPr>
            </w:pPr>
            <w:r w:rsidRPr="008E7C4C">
              <w:rPr>
                <w:b/>
                <w:szCs w:val="20"/>
              </w:rPr>
              <w:t>Clinical criteria:</w:t>
            </w:r>
          </w:p>
        </w:tc>
      </w:tr>
      <w:tr w:rsidR="0012410C" w:rsidRPr="008E7C4C" w14:paraId="73F677FF"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36DA68E2" w14:textId="77777777" w:rsidR="0012410C" w:rsidRPr="008E7C4C" w:rsidRDefault="0012410C" w:rsidP="00B17FC5">
            <w:pPr>
              <w:pStyle w:val="TableText0"/>
              <w:keepNext w:val="0"/>
              <w:rPr>
                <w:szCs w:val="20"/>
              </w:rPr>
            </w:pPr>
            <w:r w:rsidRPr="008E7C4C">
              <w:rPr>
                <w:szCs w:val="20"/>
              </w:rPr>
              <w:t>Patient must have progressive disease after at least two prior therapies,</w:t>
            </w:r>
          </w:p>
        </w:tc>
      </w:tr>
      <w:tr w:rsidR="0012410C" w:rsidRPr="008E7C4C" w14:paraId="30B8443C"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52876EF3" w14:textId="77777777" w:rsidR="0012410C" w:rsidRPr="008E7C4C" w:rsidRDefault="0012410C" w:rsidP="00B17FC5">
            <w:pPr>
              <w:pStyle w:val="TableText0"/>
              <w:keepNext w:val="0"/>
              <w:rPr>
                <w:b/>
                <w:szCs w:val="20"/>
              </w:rPr>
            </w:pPr>
            <w:r w:rsidRPr="008E7C4C">
              <w:rPr>
                <w:b/>
                <w:szCs w:val="20"/>
              </w:rPr>
              <w:t>AND</w:t>
            </w:r>
          </w:p>
        </w:tc>
      </w:tr>
      <w:tr w:rsidR="0012410C" w:rsidRPr="008E7C4C" w14:paraId="4326198F"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32E62BAB" w14:textId="77777777" w:rsidR="0012410C" w:rsidRPr="008E7C4C" w:rsidRDefault="0012410C" w:rsidP="00B17FC5">
            <w:pPr>
              <w:pStyle w:val="TableText0"/>
              <w:keepNext w:val="0"/>
              <w:rPr>
                <w:szCs w:val="20"/>
              </w:rPr>
            </w:pPr>
            <w:r w:rsidRPr="008E7C4C">
              <w:rPr>
                <w:b/>
                <w:szCs w:val="20"/>
              </w:rPr>
              <w:t>Clinical criteria:</w:t>
            </w:r>
          </w:p>
        </w:tc>
      </w:tr>
      <w:tr w:rsidR="0012410C" w:rsidRPr="008E7C4C" w14:paraId="1E906A08"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0EE91327" w14:textId="77777777" w:rsidR="0012410C" w:rsidRPr="008E7C4C" w:rsidRDefault="0012410C" w:rsidP="00B17FC5">
            <w:pPr>
              <w:pStyle w:val="TableText0"/>
              <w:keepNext w:val="0"/>
              <w:rPr>
                <w:szCs w:val="20"/>
              </w:rPr>
            </w:pPr>
            <w:r w:rsidRPr="008E7C4C">
              <w:rPr>
                <w:szCs w:val="20"/>
              </w:rPr>
              <w:t>Patient must not have previously received this drug for this condition</w:t>
            </w:r>
          </w:p>
        </w:tc>
      </w:tr>
      <w:tr w:rsidR="0012410C" w:rsidRPr="008E7C4C" w14:paraId="1EC45DC1"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6C3FDB71" w14:textId="77777777" w:rsidR="0012410C" w:rsidRPr="008E7C4C" w:rsidRDefault="0012410C" w:rsidP="00B17FC5">
            <w:pPr>
              <w:pStyle w:val="TableText0"/>
              <w:keepNext w:val="0"/>
              <w:rPr>
                <w:b/>
                <w:strike/>
                <w:szCs w:val="20"/>
              </w:rPr>
            </w:pPr>
            <w:r w:rsidRPr="008E7C4C">
              <w:rPr>
                <w:b/>
                <w:strike/>
                <w:szCs w:val="20"/>
              </w:rPr>
              <w:t>Prescriber Instructions:</w:t>
            </w:r>
          </w:p>
          <w:p w14:paraId="68D26C91" w14:textId="77777777" w:rsidR="0012410C" w:rsidRPr="008E7C4C" w:rsidRDefault="0012410C" w:rsidP="00B17FC5">
            <w:pPr>
              <w:pStyle w:val="TableText0"/>
              <w:keepNext w:val="0"/>
              <w:rPr>
                <w:strike/>
                <w:szCs w:val="20"/>
              </w:rPr>
            </w:pPr>
            <w:r w:rsidRPr="008E7C4C">
              <w:rPr>
                <w:strike/>
                <w:szCs w:val="20"/>
              </w:rPr>
              <w:t>Progressive disease is defined as at least 1 of the following:</w:t>
            </w:r>
          </w:p>
          <w:p w14:paraId="6B9BF3E1" w14:textId="77777777" w:rsidR="0012410C" w:rsidRPr="008E7C4C" w:rsidRDefault="0012410C" w:rsidP="00B17FC5">
            <w:pPr>
              <w:pStyle w:val="TableText0"/>
              <w:keepNext w:val="0"/>
              <w:rPr>
                <w:strike/>
                <w:szCs w:val="20"/>
              </w:rPr>
            </w:pPr>
            <w:r w:rsidRPr="008E7C4C">
              <w:rPr>
                <w:strike/>
                <w:szCs w:val="20"/>
              </w:rPr>
              <w:t>(a) at least a 25% increase and an absolute increase of at least 5 g per L in serum M protein (monoclonal protein); or</w:t>
            </w:r>
          </w:p>
          <w:p w14:paraId="58E7EC95" w14:textId="77777777" w:rsidR="0012410C" w:rsidRPr="008E7C4C" w:rsidRDefault="0012410C" w:rsidP="00B17FC5">
            <w:pPr>
              <w:pStyle w:val="TableText0"/>
              <w:keepNext w:val="0"/>
              <w:rPr>
                <w:strike/>
                <w:szCs w:val="20"/>
              </w:rPr>
            </w:pPr>
            <w:r w:rsidRPr="008E7C4C">
              <w:rPr>
                <w:strike/>
                <w:szCs w:val="20"/>
              </w:rPr>
              <w:t>(b) at least a 25% increase in 24-hour urinary light chain M protein excretion, and an absolute increase of at least 200 mg per 24 hours; or</w:t>
            </w:r>
          </w:p>
          <w:p w14:paraId="546BF50E" w14:textId="77777777" w:rsidR="0012410C" w:rsidRPr="008E7C4C" w:rsidRDefault="0012410C" w:rsidP="00B17FC5">
            <w:pPr>
              <w:pStyle w:val="TableText0"/>
              <w:keepNext w:val="0"/>
              <w:rPr>
                <w:strike/>
                <w:szCs w:val="20"/>
              </w:rPr>
            </w:pPr>
            <w:r w:rsidRPr="008E7C4C">
              <w:rPr>
                <w:strike/>
                <w:szCs w:val="20"/>
              </w:rPr>
              <w:t xml:space="preserve">(c) in oligo-secretory and non-secretory myeloma patients only, at least a 50% increase of the difference between involved free light chain and uninvolved free light </w:t>
            </w:r>
            <w:proofErr w:type="gramStart"/>
            <w:r w:rsidRPr="008E7C4C">
              <w:rPr>
                <w:strike/>
                <w:szCs w:val="20"/>
              </w:rPr>
              <w:t>chain;</w:t>
            </w:r>
            <w:proofErr w:type="gramEnd"/>
            <w:r w:rsidRPr="008E7C4C">
              <w:rPr>
                <w:strike/>
                <w:szCs w:val="20"/>
              </w:rPr>
              <w:t xml:space="preserve"> or</w:t>
            </w:r>
          </w:p>
          <w:p w14:paraId="4CA50DA0" w14:textId="77777777" w:rsidR="0012410C" w:rsidRPr="008E7C4C" w:rsidRDefault="0012410C" w:rsidP="00B17FC5">
            <w:pPr>
              <w:pStyle w:val="TableText0"/>
              <w:keepNext w:val="0"/>
              <w:rPr>
                <w:strike/>
                <w:szCs w:val="20"/>
              </w:rPr>
            </w:pPr>
            <w:r w:rsidRPr="008E7C4C">
              <w:rPr>
                <w:strike/>
                <w:szCs w:val="20"/>
              </w:rPr>
              <w:t>(d) at least a 25% relative increase and at least a 10% absolute increase in plasma cells in a bone marrow aspirate or on biopsy; or</w:t>
            </w:r>
          </w:p>
          <w:p w14:paraId="73089068" w14:textId="77777777" w:rsidR="0012410C" w:rsidRPr="008E7C4C" w:rsidRDefault="0012410C" w:rsidP="00B17FC5">
            <w:pPr>
              <w:pStyle w:val="TableText0"/>
              <w:keepNext w:val="0"/>
              <w:rPr>
                <w:strike/>
                <w:szCs w:val="20"/>
              </w:rPr>
            </w:pPr>
            <w:r w:rsidRPr="008E7C4C">
              <w:rPr>
                <w:strike/>
                <w:szCs w:val="20"/>
              </w:rPr>
              <w:t>(e) an increase in the size or number of lytic bone lesions (not including compression fractures); or</w:t>
            </w:r>
          </w:p>
          <w:p w14:paraId="2A98EB74" w14:textId="77777777" w:rsidR="0012410C" w:rsidRPr="008E7C4C" w:rsidRDefault="0012410C" w:rsidP="00B17FC5">
            <w:pPr>
              <w:pStyle w:val="TableText0"/>
              <w:keepNext w:val="0"/>
              <w:rPr>
                <w:strike/>
                <w:szCs w:val="20"/>
              </w:rPr>
            </w:pPr>
            <w:r w:rsidRPr="008E7C4C">
              <w:rPr>
                <w:strike/>
                <w:szCs w:val="20"/>
              </w:rPr>
              <w:t>(f) at least a 25% increase in the size of an existing or the development of a new soft tissue plasmacytoma (determined by clinical examination or diagnostic imaging); or</w:t>
            </w:r>
          </w:p>
          <w:p w14:paraId="478D9CC7" w14:textId="77777777" w:rsidR="0012410C" w:rsidRPr="008E7C4C" w:rsidRDefault="0012410C" w:rsidP="00B17FC5">
            <w:pPr>
              <w:pStyle w:val="TableText0"/>
              <w:keepNext w:val="0"/>
              <w:rPr>
                <w:strike/>
                <w:szCs w:val="20"/>
              </w:rPr>
            </w:pPr>
            <w:r w:rsidRPr="008E7C4C">
              <w:rPr>
                <w:strike/>
                <w:szCs w:val="20"/>
              </w:rPr>
              <w:t>(g) development of hypercalcaemia (corrected serum calcium greater than 2.65 mmol per L not attributable to any other cause).</w:t>
            </w:r>
          </w:p>
        </w:tc>
      </w:tr>
      <w:tr w:rsidR="0012410C" w:rsidRPr="008E7C4C" w14:paraId="48EC1E77"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083F037A" w14:textId="77777777" w:rsidR="0012410C" w:rsidRPr="008E7C4C" w:rsidRDefault="0012410C" w:rsidP="00B17FC5">
            <w:pPr>
              <w:pStyle w:val="TableText0"/>
              <w:keepNext w:val="0"/>
              <w:rPr>
                <w:b/>
                <w:strike/>
                <w:szCs w:val="20"/>
              </w:rPr>
            </w:pPr>
            <w:r w:rsidRPr="008E7C4C">
              <w:rPr>
                <w:b/>
                <w:strike/>
                <w:szCs w:val="20"/>
              </w:rPr>
              <w:t>Prescriber Instructions</w:t>
            </w:r>
          </w:p>
          <w:p w14:paraId="74750921" w14:textId="77777777" w:rsidR="0012410C" w:rsidRPr="008E7C4C" w:rsidRDefault="0012410C" w:rsidP="00B17FC5">
            <w:pPr>
              <w:pStyle w:val="TableText0"/>
              <w:keepNext w:val="0"/>
              <w:rPr>
                <w:b/>
                <w:strike/>
                <w:szCs w:val="20"/>
              </w:rPr>
            </w:pPr>
            <w:r w:rsidRPr="008E7C4C">
              <w:rPr>
                <w:strike/>
                <w:szCs w:val="20"/>
              </w:rPr>
              <w:t>Oligo-secretory and non-secretory patients are defined as having active disease with less than 10 g per L serum M protein.</w:t>
            </w:r>
          </w:p>
        </w:tc>
      </w:tr>
      <w:tr w:rsidR="0012410C" w:rsidRPr="008E7C4C" w14:paraId="41F8C536" w14:textId="77777777" w:rsidTr="00124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D86F4C" w14:textId="77777777" w:rsidR="0012410C" w:rsidRPr="008E7C4C" w:rsidRDefault="0012410C" w:rsidP="00B17FC5">
            <w:pPr>
              <w:rPr>
                <w:rFonts w:ascii="Arial Narrow" w:hAnsi="Arial Narrow"/>
                <w:b/>
                <w:bCs/>
                <w:i/>
                <w:sz w:val="20"/>
                <w:szCs w:val="20"/>
              </w:rPr>
            </w:pPr>
            <w:r w:rsidRPr="008E7C4C">
              <w:rPr>
                <w:rFonts w:ascii="Arial Narrow" w:hAnsi="Arial Narrow"/>
                <w:b/>
                <w:bCs/>
                <w:i/>
                <w:sz w:val="20"/>
                <w:szCs w:val="20"/>
              </w:rPr>
              <w:t>Prescribing Instructions:</w:t>
            </w:r>
          </w:p>
          <w:p w14:paraId="45329E89" w14:textId="77777777" w:rsidR="0012410C" w:rsidRPr="008E7C4C" w:rsidRDefault="0012410C" w:rsidP="00B17FC5">
            <w:pPr>
              <w:rPr>
                <w:rFonts w:ascii="Arial Narrow" w:hAnsi="Arial Narrow"/>
                <w:bCs/>
                <w:i/>
                <w:sz w:val="20"/>
                <w:szCs w:val="20"/>
              </w:rPr>
            </w:pPr>
            <w:r w:rsidRPr="008E7C4C">
              <w:rPr>
                <w:rFonts w:ascii="Arial Narrow" w:hAnsi="Arial Narrow"/>
                <w:bCs/>
                <w:i/>
                <w:sz w:val="20"/>
                <w:szCs w:val="20"/>
              </w:rPr>
              <w:t>Provide 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once only through the Authority application for lenalidomide.</w:t>
            </w:r>
          </w:p>
        </w:tc>
      </w:tr>
      <w:tr w:rsidR="0012410C" w:rsidRPr="008E7C4C" w14:paraId="4CCC3D2E" w14:textId="77777777" w:rsidTr="00124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tcMar>
              <w:left w:w="28" w:type="dxa"/>
              <w:right w:w="28" w:type="dxa"/>
            </w:tcMar>
          </w:tcPr>
          <w:p w14:paraId="6804FB3B" w14:textId="77777777" w:rsidR="0012410C" w:rsidRPr="008E7C4C" w:rsidRDefault="0012410C" w:rsidP="00B17FC5">
            <w:pPr>
              <w:autoSpaceDE w:val="0"/>
              <w:autoSpaceDN w:val="0"/>
              <w:adjustRightInd w:val="0"/>
              <w:rPr>
                <w:rFonts w:ascii="Arial Narrow" w:hAnsi="Arial Narrow"/>
                <w:i/>
                <w:sz w:val="20"/>
                <w:szCs w:val="20"/>
              </w:rPr>
            </w:pPr>
            <w:r w:rsidRPr="008E7C4C">
              <w:rPr>
                <w:rFonts w:ascii="Arial Narrow" w:hAnsi="Arial Narrow"/>
                <w:b/>
                <w:bCs/>
                <w:i/>
                <w:sz w:val="20"/>
                <w:szCs w:val="20"/>
              </w:rPr>
              <w:t>Administrative Advice:</w:t>
            </w:r>
          </w:p>
          <w:p w14:paraId="2226FD32" w14:textId="77777777" w:rsidR="0012410C" w:rsidRPr="008E7C4C" w:rsidRDefault="0012410C" w:rsidP="00B17FC5">
            <w:pPr>
              <w:autoSpaceDE w:val="0"/>
              <w:autoSpaceDN w:val="0"/>
              <w:adjustRightInd w:val="0"/>
              <w:rPr>
                <w:rFonts w:ascii="Arial Narrow" w:hAnsi="Arial Narrow"/>
                <w:i/>
                <w:sz w:val="20"/>
                <w:szCs w:val="20"/>
              </w:rPr>
            </w:pPr>
            <w:r w:rsidRPr="008E7C4C">
              <w:rPr>
                <w:rFonts w:ascii="Arial Narrow" w:hAnsi="Arial Narrow"/>
                <w:i/>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12410C" w:rsidRPr="008E7C4C" w14:paraId="60924E47" w14:textId="77777777" w:rsidTr="00124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tcMar>
              <w:left w:w="28" w:type="dxa"/>
              <w:right w:w="28" w:type="dxa"/>
            </w:tcMar>
          </w:tcPr>
          <w:p w14:paraId="7AE93B3B" w14:textId="77777777" w:rsidR="0012410C" w:rsidRPr="008E7C4C" w:rsidRDefault="0012410C" w:rsidP="00B17FC5">
            <w:pPr>
              <w:autoSpaceDE w:val="0"/>
              <w:autoSpaceDN w:val="0"/>
              <w:adjustRightInd w:val="0"/>
              <w:rPr>
                <w:rFonts w:ascii="Arial Narrow" w:hAnsi="Arial Narrow"/>
                <w:b/>
                <w:bCs/>
                <w:i/>
                <w:sz w:val="20"/>
                <w:szCs w:val="20"/>
              </w:rPr>
            </w:pPr>
            <w:r w:rsidRPr="008E7C4C">
              <w:rPr>
                <w:rFonts w:ascii="Arial Narrow" w:hAnsi="Arial Narrow"/>
                <w:b/>
                <w:bCs/>
                <w:i/>
                <w:sz w:val="20"/>
                <w:szCs w:val="20"/>
              </w:rPr>
              <w:t xml:space="preserve">Administrative Advice: </w:t>
            </w:r>
            <w:r w:rsidRPr="008E7C4C">
              <w:rPr>
                <w:rFonts w:ascii="Arial Narrow" w:hAnsi="Arial Narrow"/>
                <w:bCs/>
                <w:i/>
                <w:sz w:val="20"/>
                <w:szCs w:val="20"/>
              </w:rPr>
              <w:t>No increase in the maximum quantity or number of units may be authorised.</w:t>
            </w:r>
          </w:p>
        </w:tc>
      </w:tr>
      <w:tr w:rsidR="0012410C" w:rsidRPr="008E7C4C" w14:paraId="1B3F535C" w14:textId="77777777" w:rsidTr="00124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tcMar>
              <w:left w:w="28" w:type="dxa"/>
              <w:right w:w="28" w:type="dxa"/>
            </w:tcMar>
            <w:vAlign w:val="center"/>
          </w:tcPr>
          <w:p w14:paraId="79826A92" w14:textId="77777777" w:rsidR="0012410C" w:rsidRPr="008E7C4C" w:rsidRDefault="0012410C" w:rsidP="00B17FC5">
            <w:pPr>
              <w:rPr>
                <w:rFonts w:ascii="Arial Narrow" w:hAnsi="Arial Narrow"/>
                <w:b/>
                <w:bCs/>
                <w:i/>
                <w:sz w:val="20"/>
                <w:szCs w:val="20"/>
              </w:rPr>
            </w:pPr>
            <w:r w:rsidRPr="008E7C4C">
              <w:rPr>
                <w:rFonts w:ascii="Arial Narrow" w:hAnsi="Arial Narrow"/>
                <w:b/>
                <w:bCs/>
                <w:i/>
                <w:sz w:val="20"/>
                <w:szCs w:val="20"/>
              </w:rPr>
              <w:lastRenderedPageBreak/>
              <w:t>Administrative Advice:</w:t>
            </w:r>
            <w:r w:rsidRPr="008E7C4C">
              <w:rPr>
                <w:rFonts w:ascii="Arial Narrow" w:hAnsi="Arial Narrow"/>
                <w:i/>
                <w:sz w:val="20"/>
                <w:szCs w:val="20"/>
              </w:rPr>
              <w:t xml:space="preserve"> No increase in the maximum number of repeats may be authorised.</w:t>
            </w:r>
          </w:p>
        </w:tc>
      </w:tr>
      <w:tr w:rsidR="0012410C" w:rsidRPr="008E7C4C" w14:paraId="4B209AB7" w14:textId="77777777" w:rsidTr="00124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tcMar>
              <w:left w:w="28" w:type="dxa"/>
              <w:right w:w="28" w:type="dxa"/>
            </w:tcMar>
            <w:vAlign w:val="center"/>
          </w:tcPr>
          <w:p w14:paraId="75D36D9A" w14:textId="77777777" w:rsidR="0012410C" w:rsidRPr="008E7C4C" w:rsidRDefault="0012410C" w:rsidP="00B17FC5">
            <w:pPr>
              <w:rPr>
                <w:rFonts w:ascii="Arial Narrow" w:hAnsi="Arial Narrow"/>
                <w:b/>
                <w:bCs/>
                <w:sz w:val="20"/>
                <w:szCs w:val="20"/>
              </w:rPr>
            </w:pPr>
            <w:r w:rsidRPr="008E7C4C">
              <w:rPr>
                <w:rFonts w:ascii="Arial Narrow" w:hAnsi="Arial Narrow"/>
                <w:b/>
                <w:bCs/>
                <w:i/>
                <w:sz w:val="20"/>
                <w:szCs w:val="20"/>
              </w:rPr>
              <w:t>Administrative Advice:</w:t>
            </w:r>
            <w:r w:rsidRPr="008E7C4C">
              <w:rPr>
                <w:rFonts w:ascii="Arial Narrow" w:hAnsi="Arial Narrow"/>
                <w:b/>
                <w:bCs/>
                <w:sz w:val="20"/>
                <w:szCs w:val="20"/>
              </w:rPr>
              <w:t xml:space="preserve"> </w:t>
            </w:r>
            <w:r w:rsidRPr="008E7C4C">
              <w:rPr>
                <w:rFonts w:ascii="Arial Narrow" w:hAnsi="Arial Narrow"/>
                <w:i/>
                <w:sz w:val="20"/>
                <w:szCs w:val="20"/>
              </w:rPr>
              <w:t>Special Pricing Arrangements apply</w:t>
            </w:r>
          </w:p>
        </w:tc>
      </w:tr>
    </w:tbl>
    <w:p w14:paraId="3CDC3C5E" w14:textId="77777777" w:rsidR="0012410C" w:rsidRPr="008E7C4C" w:rsidRDefault="0012410C" w:rsidP="0012410C"/>
    <w:tbl>
      <w:tblPr>
        <w:tblW w:w="5000"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12410C" w:rsidRPr="008E7C4C" w14:paraId="4DE66DDE" w14:textId="77777777" w:rsidTr="0012410C">
        <w:tc>
          <w:tcPr>
            <w:tcW w:w="5000" w:type="pct"/>
            <w:shd w:val="clear" w:color="auto" w:fill="FFFFFF" w:themeFill="background1"/>
            <w:tcMar>
              <w:left w:w="28" w:type="dxa"/>
              <w:right w:w="28" w:type="dxa"/>
            </w:tcMar>
          </w:tcPr>
          <w:p w14:paraId="33F4B592" w14:textId="77777777" w:rsidR="0012410C" w:rsidRPr="008E7C4C" w:rsidRDefault="0012410C" w:rsidP="00B17FC5">
            <w:pPr>
              <w:rPr>
                <w:rFonts w:ascii="Arial Narrow" w:hAnsi="Arial Narrow"/>
                <w:b/>
                <w:color w:val="000000"/>
                <w:sz w:val="20"/>
                <w:szCs w:val="20"/>
                <w:highlight w:val="yellow"/>
              </w:rPr>
            </w:pPr>
            <w:r w:rsidRPr="008E7C4C">
              <w:rPr>
                <w:rFonts w:ascii="Arial Narrow" w:hAnsi="Arial Narrow"/>
                <w:b/>
                <w:bCs/>
                <w:color w:val="000000"/>
                <w:sz w:val="20"/>
                <w:szCs w:val="20"/>
              </w:rPr>
              <w:t xml:space="preserve">Category/Program: </w:t>
            </w:r>
            <w:r w:rsidRPr="008E7C4C">
              <w:rPr>
                <w:rFonts w:ascii="Arial Narrow" w:hAnsi="Arial Narrow"/>
                <w:bCs/>
                <w:color w:val="000000"/>
                <w:sz w:val="20"/>
                <w:szCs w:val="20"/>
              </w:rPr>
              <w:t>Section 100 (Highly Specialised Drugs Program - Public/Private)</w:t>
            </w:r>
          </w:p>
        </w:tc>
      </w:tr>
      <w:tr w:rsidR="0012410C" w:rsidRPr="008E7C4C" w14:paraId="2A29D914" w14:textId="77777777" w:rsidTr="0012410C">
        <w:tc>
          <w:tcPr>
            <w:tcW w:w="5000" w:type="pct"/>
            <w:shd w:val="clear" w:color="auto" w:fill="FFFFFF" w:themeFill="background1"/>
            <w:tcMar>
              <w:left w:w="28" w:type="dxa"/>
              <w:right w:w="28" w:type="dxa"/>
            </w:tcMar>
          </w:tcPr>
          <w:p w14:paraId="6DB093FA" w14:textId="77777777" w:rsidR="0012410C" w:rsidRPr="008E7C4C" w:rsidRDefault="0012410C" w:rsidP="00B17FC5">
            <w:pPr>
              <w:rPr>
                <w:rFonts w:ascii="Arial Narrow" w:hAnsi="Arial Narrow"/>
                <w:bCs/>
                <w:color w:val="000000"/>
                <w:sz w:val="20"/>
                <w:szCs w:val="20"/>
                <w:highlight w:val="yellow"/>
              </w:rPr>
            </w:pPr>
            <w:r w:rsidRPr="008E7C4C">
              <w:rPr>
                <w:rFonts w:ascii="Arial Narrow" w:hAnsi="Arial Narrow"/>
                <w:b/>
                <w:bCs/>
                <w:color w:val="000000"/>
                <w:sz w:val="20"/>
                <w:szCs w:val="20"/>
              </w:rPr>
              <w:t xml:space="preserve">Prescriber type: </w:t>
            </w:r>
            <w:r w:rsidRPr="008E7C4C">
              <w:rPr>
                <w:rFonts w:ascii="Arial Narrow" w:hAnsi="Arial Narrow"/>
                <w:bCs/>
                <w:color w:val="000000"/>
                <w:sz w:val="20"/>
                <w:szCs w:val="20"/>
              </w:rPr>
              <w:fldChar w:fldCharType="begin">
                <w:ffData>
                  <w:name w:val=""/>
                  <w:enabled/>
                  <w:calcOnExit w:val="0"/>
                  <w:checkBox>
                    <w:sizeAuto/>
                    <w:default w:val="1"/>
                  </w:checkBox>
                </w:ffData>
              </w:fldChar>
            </w:r>
            <w:r w:rsidRPr="008E7C4C">
              <w:rPr>
                <w:rFonts w:ascii="Arial Narrow" w:hAnsi="Arial Narrow"/>
                <w:bCs/>
                <w:color w:val="000000"/>
                <w:sz w:val="20"/>
                <w:szCs w:val="20"/>
              </w:rPr>
              <w:instrText xml:space="preserve"> FORMCHECKBOX </w:instrText>
            </w:r>
            <w:r w:rsidR="002D249B">
              <w:rPr>
                <w:rFonts w:ascii="Arial Narrow" w:hAnsi="Arial Narrow"/>
                <w:bCs/>
                <w:color w:val="000000"/>
                <w:sz w:val="20"/>
                <w:szCs w:val="20"/>
              </w:rPr>
            </w:r>
            <w:r w:rsidR="002D249B">
              <w:rPr>
                <w:rFonts w:ascii="Arial Narrow" w:hAnsi="Arial Narrow"/>
                <w:bCs/>
                <w:color w:val="000000"/>
                <w:sz w:val="20"/>
                <w:szCs w:val="20"/>
              </w:rPr>
              <w:fldChar w:fldCharType="separate"/>
            </w:r>
            <w:r w:rsidRPr="008E7C4C">
              <w:rPr>
                <w:rFonts w:ascii="Arial Narrow" w:hAnsi="Arial Narrow"/>
                <w:bCs/>
                <w:color w:val="000000"/>
                <w:sz w:val="20"/>
                <w:szCs w:val="20"/>
              </w:rPr>
              <w:fldChar w:fldCharType="end"/>
            </w:r>
            <w:r w:rsidRPr="008E7C4C">
              <w:rPr>
                <w:rFonts w:ascii="Arial Narrow" w:hAnsi="Arial Narrow"/>
                <w:bCs/>
                <w:color w:val="000000"/>
                <w:sz w:val="20"/>
                <w:szCs w:val="20"/>
              </w:rPr>
              <w:t xml:space="preserve">Medical Practitioners </w:t>
            </w:r>
          </w:p>
        </w:tc>
      </w:tr>
      <w:tr w:rsidR="0012410C" w:rsidRPr="008E7C4C" w14:paraId="39FEFE3A" w14:textId="77777777" w:rsidTr="0012410C">
        <w:tc>
          <w:tcPr>
            <w:tcW w:w="5000" w:type="pct"/>
            <w:tcMar>
              <w:left w:w="28" w:type="dxa"/>
              <w:right w:w="28" w:type="dxa"/>
            </w:tcMar>
          </w:tcPr>
          <w:p w14:paraId="2FF3E0AC" w14:textId="77777777" w:rsidR="0012410C" w:rsidRPr="008E7C4C" w:rsidRDefault="0012410C" w:rsidP="00B17FC5">
            <w:pPr>
              <w:rPr>
                <w:rFonts w:ascii="Arial Narrow" w:hAnsi="Arial Narrow"/>
                <w:b/>
                <w:bCs/>
                <w:color w:val="000000"/>
                <w:sz w:val="20"/>
                <w:szCs w:val="20"/>
              </w:rPr>
            </w:pPr>
            <w:r w:rsidRPr="008E7C4C">
              <w:rPr>
                <w:rFonts w:ascii="Arial Narrow" w:hAnsi="Arial Narrow"/>
                <w:b/>
                <w:bCs/>
                <w:color w:val="000000"/>
                <w:sz w:val="20"/>
                <w:szCs w:val="20"/>
              </w:rPr>
              <w:t xml:space="preserve">Restriction type / Method: </w:t>
            </w:r>
            <w:r w:rsidRPr="008E7C4C">
              <w:rPr>
                <w:rFonts w:ascii="Arial Narrow" w:hAnsi="Arial Narrow"/>
                <w:bCs/>
                <w:color w:val="000000"/>
                <w:sz w:val="20"/>
                <w:szCs w:val="20"/>
              </w:rPr>
              <w:fldChar w:fldCharType="begin">
                <w:ffData>
                  <w:name w:val="Check3"/>
                  <w:enabled/>
                  <w:calcOnExit w:val="0"/>
                  <w:checkBox>
                    <w:sizeAuto/>
                    <w:default w:val="1"/>
                  </w:checkBox>
                </w:ffData>
              </w:fldChar>
            </w:r>
            <w:r w:rsidRPr="008E7C4C">
              <w:rPr>
                <w:rFonts w:ascii="Arial Narrow" w:hAnsi="Arial Narrow"/>
                <w:bCs/>
                <w:color w:val="000000"/>
                <w:sz w:val="20"/>
                <w:szCs w:val="20"/>
              </w:rPr>
              <w:instrText xml:space="preserve"> FORMCHECKBOX </w:instrText>
            </w:r>
            <w:r w:rsidR="002D249B">
              <w:rPr>
                <w:rFonts w:ascii="Arial Narrow" w:hAnsi="Arial Narrow"/>
                <w:bCs/>
                <w:color w:val="000000"/>
                <w:sz w:val="20"/>
                <w:szCs w:val="20"/>
              </w:rPr>
            </w:r>
            <w:r w:rsidR="002D249B">
              <w:rPr>
                <w:rFonts w:ascii="Arial Narrow" w:hAnsi="Arial Narrow"/>
                <w:bCs/>
                <w:color w:val="000000"/>
                <w:sz w:val="20"/>
                <w:szCs w:val="20"/>
              </w:rPr>
              <w:fldChar w:fldCharType="separate"/>
            </w:r>
            <w:r w:rsidRPr="008E7C4C">
              <w:rPr>
                <w:rFonts w:ascii="Arial Narrow" w:hAnsi="Arial Narrow"/>
                <w:bCs/>
                <w:color w:val="000000"/>
                <w:sz w:val="20"/>
                <w:szCs w:val="20"/>
              </w:rPr>
              <w:fldChar w:fldCharType="end"/>
            </w:r>
            <w:r w:rsidRPr="008E7C4C">
              <w:rPr>
                <w:rFonts w:ascii="Arial Narrow" w:hAnsi="Arial Narrow"/>
                <w:bCs/>
                <w:color w:val="000000"/>
                <w:sz w:val="20"/>
                <w:szCs w:val="20"/>
              </w:rPr>
              <w:t>Authority Required – immediate/real-time assessment by Services Australia (telephone/online)</w:t>
            </w:r>
          </w:p>
        </w:tc>
      </w:tr>
      <w:tr w:rsidR="0012410C" w:rsidRPr="008E7C4C" w14:paraId="7C794F8A" w14:textId="77777777" w:rsidTr="0012410C">
        <w:tc>
          <w:tcPr>
            <w:tcW w:w="5000" w:type="pct"/>
            <w:tcMar>
              <w:left w:w="28" w:type="dxa"/>
              <w:right w:w="28" w:type="dxa"/>
            </w:tcMar>
          </w:tcPr>
          <w:p w14:paraId="6F82801A" w14:textId="77777777" w:rsidR="0012410C" w:rsidRPr="008E7C4C" w:rsidRDefault="0012410C" w:rsidP="00B17FC5">
            <w:pPr>
              <w:rPr>
                <w:rFonts w:ascii="Arial Narrow" w:hAnsi="Arial Narrow"/>
                <w:bCs/>
                <w:i/>
                <w:color w:val="000000"/>
                <w:sz w:val="20"/>
                <w:szCs w:val="20"/>
              </w:rPr>
            </w:pPr>
            <w:proofErr w:type="spellStart"/>
            <w:r w:rsidRPr="008E7C4C">
              <w:rPr>
                <w:rFonts w:ascii="Arial Narrow" w:hAnsi="Arial Narrow"/>
                <w:b/>
                <w:bCs/>
                <w:color w:val="000000"/>
                <w:sz w:val="20"/>
                <w:szCs w:val="20"/>
              </w:rPr>
              <w:t>Episodicity</w:t>
            </w:r>
            <w:proofErr w:type="spellEnd"/>
            <w:r w:rsidRPr="008E7C4C">
              <w:rPr>
                <w:rFonts w:ascii="Arial Narrow" w:hAnsi="Arial Narrow"/>
                <w:b/>
                <w:bCs/>
                <w:color w:val="000000"/>
                <w:sz w:val="20"/>
                <w:szCs w:val="20"/>
              </w:rPr>
              <w:t xml:space="preserve">: </w:t>
            </w:r>
            <w:r w:rsidRPr="008E7C4C">
              <w:rPr>
                <w:rFonts w:ascii="Arial Narrow" w:hAnsi="Arial Narrow"/>
                <w:bCs/>
                <w:strike/>
                <w:color w:val="000000"/>
                <w:sz w:val="20"/>
                <w:szCs w:val="20"/>
              </w:rPr>
              <w:t xml:space="preserve">N/A </w:t>
            </w:r>
            <w:r w:rsidRPr="008E7C4C">
              <w:rPr>
                <w:rFonts w:ascii="Arial Narrow" w:hAnsi="Arial Narrow"/>
                <w:bCs/>
                <w:i/>
                <w:color w:val="000000"/>
                <w:sz w:val="20"/>
                <w:szCs w:val="20"/>
              </w:rPr>
              <w:t>Relapsed and/or refractory</w:t>
            </w:r>
          </w:p>
        </w:tc>
      </w:tr>
      <w:tr w:rsidR="0012410C" w:rsidRPr="008E7C4C" w14:paraId="5EDA5BE5" w14:textId="77777777" w:rsidTr="0012410C">
        <w:tc>
          <w:tcPr>
            <w:tcW w:w="5000" w:type="pct"/>
            <w:tcMar>
              <w:left w:w="28" w:type="dxa"/>
              <w:right w:w="28" w:type="dxa"/>
            </w:tcMar>
          </w:tcPr>
          <w:p w14:paraId="32E6E48A" w14:textId="77777777" w:rsidR="0012410C" w:rsidRPr="008E7C4C" w:rsidRDefault="0012410C" w:rsidP="00B17FC5">
            <w:pPr>
              <w:rPr>
                <w:rFonts w:ascii="Arial Narrow" w:hAnsi="Arial Narrow"/>
                <w:color w:val="000000"/>
                <w:sz w:val="20"/>
                <w:szCs w:val="20"/>
              </w:rPr>
            </w:pPr>
            <w:r w:rsidRPr="008E7C4C">
              <w:rPr>
                <w:rFonts w:ascii="Arial Narrow" w:hAnsi="Arial Narrow"/>
                <w:b/>
                <w:bCs/>
                <w:color w:val="000000"/>
                <w:sz w:val="20"/>
                <w:szCs w:val="20"/>
              </w:rPr>
              <w:t xml:space="preserve">Condition: </w:t>
            </w:r>
            <w:r w:rsidRPr="008E7C4C">
              <w:rPr>
                <w:rFonts w:ascii="Arial Narrow" w:hAnsi="Arial Narrow"/>
                <w:bCs/>
                <w:color w:val="000000"/>
                <w:sz w:val="20"/>
                <w:szCs w:val="20"/>
              </w:rPr>
              <w:t xml:space="preserve">Multiple myeloma </w:t>
            </w:r>
          </w:p>
        </w:tc>
      </w:tr>
      <w:tr w:rsidR="0012410C" w:rsidRPr="008E7C4C" w14:paraId="3F3A3F43"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12AE2E7D" w14:textId="77777777" w:rsidR="0012410C" w:rsidRPr="008E7C4C" w:rsidRDefault="0012410C" w:rsidP="00B17FC5">
            <w:pPr>
              <w:pStyle w:val="TableText0"/>
              <w:rPr>
                <w:szCs w:val="20"/>
              </w:rPr>
            </w:pPr>
            <w:r w:rsidRPr="008E7C4C">
              <w:rPr>
                <w:b/>
                <w:szCs w:val="20"/>
              </w:rPr>
              <w:t xml:space="preserve">PBS Indication: </w:t>
            </w:r>
            <w:r w:rsidRPr="008E7C4C">
              <w:rPr>
                <w:i/>
                <w:szCs w:val="20"/>
              </w:rPr>
              <w:t xml:space="preserve">Relapsed and/or refractory </w:t>
            </w:r>
            <w:r w:rsidRPr="008E7C4C">
              <w:rPr>
                <w:szCs w:val="20"/>
              </w:rPr>
              <w:t>multiple myeloma</w:t>
            </w:r>
          </w:p>
        </w:tc>
      </w:tr>
      <w:tr w:rsidR="0012410C" w:rsidRPr="008E7C4C" w14:paraId="13289369"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7CE5B39D" w14:textId="77777777" w:rsidR="0012410C" w:rsidRPr="008E7C4C" w:rsidRDefault="0012410C" w:rsidP="00B17FC5">
            <w:pPr>
              <w:pStyle w:val="TableText0"/>
              <w:rPr>
                <w:szCs w:val="20"/>
              </w:rPr>
            </w:pPr>
            <w:r w:rsidRPr="008E7C4C">
              <w:rPr>
                <w:b/>
                <w:szCs w:val="20"/>
              </w:rPr>
              <w:t xml:space="preserve">Treatment phase: </w:t>
            </w:r>
            <w:r w:rsidRPr="008E7C4C">
              <w:rPr>
                <w:szCs w:val="20"/>
              </w:rPr>
              <w:t xml:space="preserve">Continuing treatment </w:t>
            </w:r>
          </w:p>
        </w:tc>
      </w:tr>
      <w:tr w:rsidR="0012410C" w:rsidRPr="008E7C4C" w14:paraId="60F048C8"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5B2CCE39" w14:textId="77777777" w:rsidR="0012410C" w:rsidRPr="008E7C4C" w:rsidRDefault="0012410C" w:rsidP="00B17FC5">
            <w:pPr>
              <w:pStyle w:val="TableText0"/>
              <w:rPr>
                <w:b/>
                <w:szCs w:val="20"/>
              </w:rPr>
            </w:pPr>
            <w:r w:rsidRPr="008E7C4C">
              <w:rPr>
                <w:b/>
                <w:szCs w:val="20"/>
              </w:rPr>
              <w:t>Clinical criteria:</w:t>
            </w:r>
          </w:p>
        </w:tc>
      </w:tr>
      <w:tr w:rsidR="0012410C" w:rsidRPr="008E7C4C" w14:paraId="2CA346F0"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10627806" w14:textId="77777777" w:rsidR="0012410C" w:rsidRPr="008E7C4C" w:rsidRDefault="0012410C" w:rsidP="00B17FC5">
            <w:pPr>
              <w:pStyle w:val="TableText0"/>
              <w:rPr>
                <w:szCs w:val="20"/>
              </w:rPr>
            </w:pPr>
            <w:r w:rsidRPr="008E7C4C">
              <w:rPr>
                <w:szCs w:val="20"/>
              </w:rPr>
              <w:t>Patient must have previously received PBS-subsidised treatment with this drug for this condition,</w:t>
            </w:r>
          </w:p>
        </w:tc>
      </w:tr>
      <w:tr w:rsidR="0012410C" w:rsidRPr="008E7C4C" w14:paraId="2A496D78"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08150ABB" w14:textId="77777777" w:rsidR="0012410C" w:rsidRPr="008E7C4C" w:rsidRDefault="0012410C" w:rsidP="00B17FC5">
            <w:pPr>
              <w:pStyle w:val="TableText0"/>
              <w:rPr>
                <w:b/>
                <w:szCs w:val="20"/>
              </w:rPr>
            </w:pPr>
            <w:r w:rsidRPr="008E7C4C">
              <w:rPr>
                <w:b/>
                <w:szCs w:val="20"/>
              </w:rPr>
              <w:t>AND</w:t>
            </w:r>
          </w:p>
        </w:tc>
      </w:tr>
      <w:tr w:rsidR="0012410C" w:rsidRPr="008E7C4C" w14:paraId="57688D84"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428A86F7" w14:textId="77777777" w:rsidR="0012410C" w:rsidRPr="008E7C4C" w:rsidRDefault="0012410C" w:rsidP="00B17FC5">
            <w:pPr>
              <w:pStyle w:val="TableText0"/>
              <w:rPr>
                <w:b/>
                <w:szCs w:val="20"/>
              </w:rPr>
            </w:pPr>
            <w:r w:rsidRPr="008E7C4C">
              <w:rPr>
                <w:b/>
                <w:szCs w:val="20"/>
              </w:rPr>
              <w:t>Clinical criteria:</w:t>
            </w:r>
          </w:p>
        </w:tc>
      </w:tr>
      <w:tr w:rsidR="0012410C" w:rsidRPr="008E7C4C" w14:paraId="6F582AB9"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5509ADAA" w14:textId="77777777" w:rsidR="0012410C" w:rsidRPr="008E7C4C" w:rsidRDefault="0012410C" w:rsidP="00B17FC5">
            <w:pPr>
              <w:pStyle w:val="TableText0"/>
              <w:rPr>
                <w:szCs w:val="20"/>
              </w:rPr>
            </w:pPr>
            <w:r w:rsidRPr="008E7C4C">
              <w:rPr>
                <w:szCs w:val="20"/>
              </w:rPr>
              <w:t>The treatment must be in combination with lenalidomide and dexamethasone,</w:t>
            </w:r>
          </w:p>
        </w:tc>
      </w:tr>
      <w:tr w:rsidR="0012410C" w:rsidRPr="008E7C4C" w14:paraId="0167AD65"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59432ECF" w14:textId="77777777" w:rsidR="0012410C" w:rsidRPr="008E7C4C" w:rsidRDefault="0012410C" w:rsidP="00B17FC5">
            <w:pPr>
              <w:pStyle w:val="TableText0"/>
              <w:rPr>
                <w:b/>
                <w:szCs w:val="20"/>
              </w:rPr>
            </w:pPr>
            <w:r w:rsidRPr="008E7C4C">
              <w:rPr>
                <w:b/>
                <w:szCs w:val="20"/>
              </w:rPr>
              <w:t>AND</w:t>
            </w:r>
          </w:p>
        </w:tc>
      </w:tr>
      <w:tr w:rsidR="0012410C" w:rsidRPr="008E7C4C" w14:paraId="48C2D232"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4D0B6231" w14:textId="77777777" w:rsidR="0012410C" w:rsidRPr="008E7C4C" w:rsidRDefault="0012410C" w:rsidP="00B17FC5">
            <w:pPr>
              <w:pStyle w:val="TableText0"/>
              <w:rPr>
                <w:b/>
                <w:szCs w:val="20"/>
              </w:rPr>
            </w:pPr>
            <w:r w:rsidRPr="008E7C4C">
              <w:rPr>
                <w:b/>
                <w:szCs w:val="20"/>
              </w:rPr>
              <w:t>Clinical criteria:</w:t>
            </w:r>
          </w:p>
        </w:tc>
      </w:tr>
      <w:tr w:rsidR="0012410C" w:rsidRPr="008E7C4C" w14:paraId="5286F80E"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181AADB7" w14:textId="77777777" w:rsidR="0012410C" w:rsidRPr="008E7C4C" w:rsidRDefault="0012410C" w:rsidP="00B17FC5">
            <w:pPr>
              <w:pStyle w:val="TableText0"/>
              <w:rPr>
                <w:szCs w:val="20"/>
              </w:rPr>
            </w:pPr>
            <w:r w:rsidRPr="008E7C4C">
              <w:rPr>
                <w:szCs w:val="20"/>
              </w:rPr>
              <w:t xml:space="preserve">Patient must not </w:t>
            </w:r>
            <w:r w:rsidRPr="008E7C4C">
              <w:rPr>
                <w:i/>
                <w:szCs w:val="20"/>
              </w:rPr>
              <w:t xml:space="preserve">have </w:t>
            </w:r>
            <w:r w:rsidRPr="008E7C4C">
              <w:rPr>
                <w:szCs w:val="20"/>
              </w:rPr>
              <w:t>develop</w:t>
            </w:r>
            <w:r w:rsidRPr="008E7C4C">
              <w:rPr>
                <w:i/>
                <w:szCs w:val="20"/>
              </w:rPr>
              <w:t>ed</w:t>
            </w:r>
            <w:r w:rsidRPr="008E7C4C">
              <w:rPr>
                <w:szCs w:val="20"/>
              </w:rPr>
              <w:t xml:space="preserve"> disease progression while receiving treatment with this drug for this condition,</w:t>
            </w:r>
          </w:p>
        </w:tc>
      </w:tr>
      <w:tr w:rsidR="0012410C" w:rsidRPr="008E7C4C" w14:paraId="6BAABDF3"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2418EF8D" w14:textId="77777777" w:rsidR="0012410C" w:rsidRPr="008E7C4C" w:rsidRDefault="0012410C" w:rsidP="00B17FC5">
            <w:pPr>
              <w:pStyle w:val="TableText0"/>
              <w:rPr>
                <w:b/>
                <w:strike/>
                <w:szCs w:val="20"/>
              </w:rPr>
            </w:pPr>
            <w:r w:rsidRPr="008E7C4C">
              <w:rPr>
                <w:b/>
                <w:strike/>
                <w:szCs w:val="20"/>
              </w:rPr>
              <w:t>AND</w:t>
            </w:r>
          </w:p>
        </w:tc>
      </w:tr>
      <w:tr w:rsidR="0012410C" w:rsidRPr="008E7C4C" w14:paraId="66E08351"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339B4631" w14:textId="77777777" w:rsidR="0012410C" w:rsidRPr="008E7C4C" w:rsidRDefault="0012410C" w:rsidP="00B17FC5">
            <w:pPr>
              <w:pStyle w:val="TableText0"/>
              <w:rPr>
                <w:strike/>
                <w:szCs w:val="20"/>
              </w:rPr>
            </w:pPr>
            <w:r w:rsidRPr="008E7C4C">
              <w:rPr>
                <w:b/>
                <w:strike/>
                <w:szCs w:val="20"/>
              </w:rPr>
              <w:t>Clinical criteria:</w:t>
            </w:r>
          </w:p>
        </w:tc>
      </w:tr>
      <w:tr w:rsidR="0012410C" w:rsidRPr="008E7C4C" w14:paraId="3AC60D29"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6D719DF7" w14:textId="77777777" w:rsidR="0012410C" w:rsidRPr="008E7C4C" w:rsidRDefault="0012410C" w:rsidP="00B17FC5">
            <w:pPr>
              <w:pStyle w:val="TableText0"/>
              <w:rPr>
                <w:strike/>
                <w:szCs w:val="20"/>
              </w:rPr>
            </w:pPr>
            <w:r w:rsidRPr="008E7C4C">
              <w:rPr>
                <w:strike/>
                <w:szCs w:val="20"/>
              </w:rPr>
              <w:t xml:space="preserve">Patient must not be receiving concomitant PBS-subsidised </w:t>
            </w:r>
            <w:r w:rsidRPr="008E7C4C">
              <w:rPr>
                <w:i/>
                <w:strike/>
                <w:szCs w:val="20"/>
              </w:rPr>
              <w:t>treatment with each of: (</w:t>
            </w:r>
            <w:proofErr w:type="spellStart"/>
            <w:r w:rsidRPr="008E7C4C">
              <w:rPr>
                <w:i/>
                <w:strike/>
                <w:szCs w:val="20"/>
              </w:rPr>
              <w:t>i</w:t>
            </w:r>
            <w:proofErr w:type="spellEnd"/>
            <w:r w:rsidRPr="008E7C4C">
              <w:rPr>
                <w:i/>
                <w:strike/>
                <w:szCs w:val="20"/>
              </w:rPr>
              <w:t xml:space="preserve">) </w:t>
            </w:r>
            <w:r w:rsidRPr="008E7C4C">
              <w:rPr>
                <w:strike/>
                <w:szCs w:val="20"/>
              </w:rPr>
              <w:t xml:space="preserve">carfilzomib, </w:t>
            </w:r>
            <w:r w:rsidRPr="008E7C4C">
              <w:rPr>
                <w:i/>
                <w:strike/>
                <w:szCs w:val="20"/>
              </w:rPr>
              <w:t>(ii)</w:t>
            </w:r>
            <w:r w:rsidRPr="008E7C4C">
              <w:rPr>
                <w:strike/>
                <w:szCs w:val="20"/>
              </w:rPr>
              <w:t xml:space="preserve"> bortezomib, </w:t>
            </w:r>
            <w:r w:rsidRPr="008E7C4C">
              <w:rPr>
                <w:i/>
                <w:strike/>
                <w:szCs w:val="20"/>
              </w:rPr>
              <w:t>(iii)</w:t>
            </w:r>
            <w:r w:rsidRPr="008E7C4C">
              <w:rPr>
                <w:strike/>
                <w:szCs w:val="20"/>
              </w:rPr>
              <w:t xml:space="preserve"> </w:t>
            </w:r>
            <w:proofErr w:type="gramStart"/>
            <w:r w:rsidRPr="008E7C4C">
              <w:rPr>
                <w:strike/>
                <w:szCs w:val="20"/>
              </w:rPr>
              <w:t>pomalidomide,  or</w:t>
            </w:r>
            <w:proofErr w:type="gramEnd"/>
            <w:r w:rsidRPr="008E7C4C">
              <w:rPr>
                <w:strike/>
                <w:szCs w:val="20"/>
              </w:rPr>
              <w:t xml:space="preserve"> </w:t>
            </w:r>
            <w:r w:rsidRPr="008E7C4C">
              <w:rPr>
                <w:i/>
                <w:strike/>
                <w:szCs w:val="20"/>
              </w:rPr>
              <w:t>(iv)</w:t>
            </w:r>
            <w:r w:rsidRPr="008E7C4C">
              <w:rPr>
                <w:strike/>
                <w:szCs w:val="20"/>
              </w:rPr>
              <w:t xml:space="preserve"> thalidomide, (v) </w:t>
            </w:r>
            <w:proofErr w:type="spellStart"/>
            <w:r w:rsidRPr="008E7C4C">
              <w:rPr>
                <w:i/>
                <w:strike/>
                <w:szCs w:val="20"/>
              </w:rPr>
              <w:t>elotuzumab</w:t>
            </w:r>
            <w:proofErr w:type="spellEnd"/>
          </w:p>
        </w:tc>
      </w:tr>
      <w:tr w:rsidR="0012410C" w:rsidRPr="008E7C4C" w14:paraId="68F601A7"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60058517" w14:textId="77777777" w:rsidR="0012410C" w:rsidRPr="008E7C4C" w:rsidRDefault="0012410C" w:rsidP="00B17FC5">
            <w:pPr>
              <w:pStyle w:val="TableText0"/>
              <w:rPr>
                <w:b/>
                <w:szCs w:val="20"/>
              </w:rPr>
            </w:pPr>
            <w:r w:rsidRPr="008E7C4C">
              <w:rPr>
                <w:b/>
                <w:szCs w:val="20"/>
              </w:rPr>
              <w:t>Prescriber Instructions:</w:t>
            </w:r>
          </w:p>
          <w:p w14:paraId="4ECF99F9" w14:textId="77777777" w:rsidR="0012410C" w:rsidRPr="008E7C4C" w:rsidRDefault="0012410C" w:rsidP="00B17FC5">
            <w:pPr>
              <w:pStyle w:val="TableText0"/>
              <w:rPr>
                <w:strike/>
                <w:szCs w:val="20"/>
              </w:rPr>
            </w:pPr>
            <w:r w:rsidRPr="008E7C4C">
              <w:rPr>
                <w:strike/>
                <w:szCs w:val="20"/>
              </w:rPr>
              <w:t>Progressive disease is defined as at least 1 of the following:</w:t>
            </w:r>
          </w:p>
          <w:p w14:paraId="0D52D567" w14:textId="77777777" w:rsidR="0012410C" w:rsidRPr="008E7C4C" w:rsidRDefault="0012410C" w:rsidP="00B17FC5">
            <w:pPr>
              <w:pStyle w:val="TableText0"/>
              <w:rPr>
                <w:strike/>
                <w:szCs w:val="20"/>
              </w:rPr>
            </w:pPr>
            <w:r w:rsidRPr="008E7C4C">
              <w:rPr>
                <w:strike/>
                <w:szCs w:val="20"/>
              </w:rPr>
              <w:t>(a) at least a 25% increase and an absolute increase of at least 5 g per L in serum M protein (monoclonal protein); or</w:t>
            </w:r>
          </w:p>
          <w:p w14:paraId="3DD19221" w14:textId="77777777" w:rsidR="0012410C" w:rsidRPr="008E7C4C" w:rsidRDefault="0012410C" w:rsidP="00B17FC5">
            <w:pPr>
              <w:pStyle w:val="TableText0"/>
              <w:rPr>
                <w:strike/>
                <w:szCs w:val="20"/>
              </w:rPr>
            </w:pPr>
            <w:r w:rsidRPr="008E7C4C">
              <w:rPr>
                <w:strike/>
                <w:szCs w:val="20"/>
              </w:rPr>
              <w:t>(b) at least a 25% increase in 24-hour urinary light chain M protein excretion, and an absolute increase of at least 200 mg per 24 hours; or</w:t>
            </w:r>
          </w:p>
          <w:p w14:paraId="2BDFE14B" w14:textId="77777777" w:rsidR="0012410C" w:rsidRPr="008E7C4C" w:rsidRDefault="0012410C" w:rsidP="00B17FC5">
            <w:pPr>
              <w:pStyle w:val="TableText0"/>
              <w:rPr>
                <w:strike/>
                <w:szCs w:val="20"/>
              </w:rPr>
            </w:pPr>
            <w:r w:rsidRPr="008E7C4C">
              <w:rPr>
                <w:strike/>
                <w:szCs w:val="20"/>
              </w:rPr>
              <w:t>(c) in oligo-secretory and non-secretory myeloma patients only, at least a 50%</w:t>
            </w:r>
          </w:p>
          <w:p w14:paraId="46D2C3E7" w14:textId="77777777" w:rsidR="0012410C" w:rsidRPr="008E7C4C" w:rsidRDefault="0012410C" w:rsidP="00B17FC5">
            <w:pPr>
              <w:pStyle w:val="TableText0"/>
              <w:rPr>
                <w:strike/>
                <w:szCs w:val="20"/>
              </w:rPr>
            </w:pPr>
            <w:r w:rsidRPr="008E7C4C">
              <w:rPr>
                <w:strike/>
                <w:szCs w:val="20"/>
              </w:rPr>
              <w:t>increase of the difference between involved free light chain and uninvolved free light chain; or</w:t>
            </w:r>
          </w:p>
          <w:p w14:paraId="1EB23D9A" w14:textId="77777777" w:rsidR="0012410C" w:rsidRPr="008E7C4C" w:rsidRDefault="0012410C" w:rsidP="00B17FC5">
            <w:pPr>
              <w:pStyle w:val="TableText0"/>
              <w:rPr>
                <w:strike/>
                <w:szCs w:val="20"/>
              </w:rPr>
            </w:pPr>
            <w:r w:rsidRPr="008E7C4C">
              <w:rPr>
                <w:strike/>
                <w:szCs w:val="20"/>
              </w:rPr>
              <w:t>(d) at least a 25% relative increase and at least a 10% absolute increase in plasma cells in a bone marrow aspirate or on biopsy; or</w:t>
            </w:r>
          </w:p>
          <w:p w14:paraId="36F1F7C4" w14:textId="77777777" w:rsidR="0012410C" w:rsidRPr="008E7C4C" w:rsidRDefault="0012410C" w:rsidP="00B17FC5">
            <w:pPr>
              <w:pStyle w:val="TableText0"/>
              <w:rPr>
                <w:strike/>
                <w:szCs w:val="20"/>
              </w:rPr>
            </w:pPr>
            <w:r w:rsidRPr="008E7C4C">
              <w:rPr>
                <w:strike/>
                <w:szCs w:val="20"/>
              </w:rPr>
              <w:t>(e) an increase in the size or number of lytic bone lesions (not including compression fractures); or</w:t>
            </w:r>
          </w:p>
          <w:p w14:paraId="7BBAE43B" w14:textId="77777777" w:rsidR="0012410C" w:rsidRPr="008E7C4C" w:rsidRDefault="0012410C" w:rsidP="00B17FC5">
            <w:pPr>
              <w:pStyle w:val="TableText0"/>
              <w:rPr>
                <w:strike/>
                <w:szCs w:val="20"/>
              </w:rPr>
            </w:pPr>
            <w:r w:rsidRPr="008E7C4C">
              <w:rPr>
                <w:strike/>
                <w:szCs w:val="20"/>
              </w:rPr>
              <w:t>(f) at least a 25% increase in the size of an existing or the development of a new soft tissue plasmacytoma (determined by clinical examination or diagnostic imaging); or</w:t>
            </w:r>
          </w:p>
          <w:p w14:paraId="4BD296F5" w14:textId="77777777" w:rsidR="0012410C" w:rsidRPr="008E7C4C" w:rsidRDefault="0012410C" w:rsidP="00B17FC5">
            <w:pPr>
              <w:pStyle w:val="TableText0"/>
              <w:rPr>
                <w:szCs w:val="20"/>
              </w:rPr>
            </w:pPr>
            <w:r w:rsidRPr="008E7C4C">
              <w:rPr>
                <w:strike/>
                <w:szCs w:val="20"/>
              </w:rPr>
              <w:t>(g) development of hypercalcaemia (corrected serum calcium greater than 2.65 mmol per L not attributable to any other cause).</w:t>
            </w:r>
          </w:p>
        </w:tc>
      </w:tr>
      <w:tr w:rsidR="0012410C" w:rsidRPr="008E7C4C" w14:paraId="499B4419" w14:textId="77777777" w:rsidTr="0012410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62BADFB6" w14:textId="77777777" w:rsidR="0012410C" w:rsidRPr="008E7C4C" w:rsidRDefault="0012410C" w:rsidP="00B17FC5">
            <w:pPr>
              <w:rPr>
                <w:rFonts w:ascii="Arial Narrow" w:hAnsi="Arial Narrow"/>
                <w:b/>
                <w:i/>
                <w:strike/>
                <w:sz w:val="20"/>
                <w:szCs w:val="20"/>
              </w:rPr>
            </w:pPr>
            <w:r w:rsidRPr="008E7C4C">
              <w:rPr>
                <w:rFonts w:ascii="Arial Narrow" w:hAnsi="Arial Narrow"/>
                <w:b/>
                <w:i/>
                <w:strike/>
                <w:sz w:val="20"/>
                <w:szCs w:val="20"/>
              </w:rPr>
              <w:t>Prescriber Instructions:</w:t>
            </w:r>
          </w:p>
          <w:p w14:paraId="36252222" w14:textId="77777777" w:rsidR="0012410C" w:rsidRPr="008E7C4C" w:rsidRDefault="0012410C" w:rsidP="00B17FC5">
            <w:pPr>
              <w:rPr>
                <w:rFonts w:ascii="Arial Narrow" w:hAnsi="Arial Narrow"/>
                <w:i/>
                <w:sz w:val="20"/>
                <w:szCs w:val="20"/>
              </w:rPr>
            </w:pPr>
            <w:r w:rsidRPr="008E7C4C">
              <w:rPr>
                <w:rFonts w:ascii="Arial Narrow" w:hAnsi="Arial Narrow"/>
                <w:i/>
                <w:strike/>
                <w:sz w:val="20"/>
                <w:szCs w:val="20"/>
              </w:rPr>
              <w:t>Oligo-secretory and non-secretory patients are defined as having active disease with less than 10 g per L serum M protein.</w:t>
            </w:r>
          </w:p>
        </w:tc>
      </w:tr>
      <w:tr w:rsidR="0012410C" w:rsidRPr="008E7C4C" w14:paraId="3D3F4079" w14:textId="77777777" w:rsidTr="0012410C">
        <w:tc>
          <w:tcPr>
            <w:tcW w:w="5000" w:type="pct"/>
            <w:tcMar>
              <w:left w:w="28" w:type="dxa"/>
              <w:right w:w="28" w:type="dxa"/>
            </w:tcMar>
          </w:tcPr>
          <w:p w14:paraId="4DED2AA8" w14:textId="77777777" w:rsidR="0012410C" w:rsidRPr="008E7C4C" w:rsidRDefault="0012410C" w:rsidP="00B17FC5">
            <w:pPr>
              <w:rPr>
                <w:rFonts w:ascii="Arial Narrow" w:hAnsi="Arial Narrow"/>
                <w:b/>
                <w:bCs/>
                <w:i/>
                <w:color w:val="000000"/>
                <w:sz w:val="20"/>
                <w:szCs w:val="20"/>
              </w:rPr>
            </w:pPr>
            <w:r w:rsidRPr="008E7C4C">
              <w:rPr>
                <w:rFonts w:ascii="Arial Narrow" w:hAnsi="Arial Narrow"/>
                <w:b/>
                <w:bCs/>
                <w:i/>
                <w:color w:val="000000"/>
                <w:sz w:val="20"/>
                <w:szCs w:val="20"/>
              </w:rPr>
              <w:t>Prescriber instructions:</w:t>
            </w:r>
          </w:p>
          <w:p w14:paraId="1E8A5DDA" w14:textId="77777777" w:rsidR="0012410C" w:rsidRPr="008E7C4C" w:rsidRDefault="0012410C" w:rsidP="00B17FC5">
            <w:pPr>
              <w:rPr>
                <w:rFonts w:ascii="Arial Narrow" w:hAnsi="Arial Narrow"/>
                <w:b/>
                <w:i/>
                <w:strike/>
                <w:sz w:val="20"/>
                <w:szCs w:val="20"/>
              </w:rPr>
            </w:pPr>
            <w:r w:rsidRPr="008E7C4C">
              <w:rPr>
                <w:rFonts w:ascii="Arial Narrow" w:hAnsi="Arial Narrow"/>
                <w:bCs/>
                <w:i/>
                <w:color w:val="000000"/>
                <w:sz w:val="20"/>
                <w:szCs w:val="20"/>
              </w:rPr>
              <w:t>Determine if disease progression has occurred according to the definition in the relevant lenalidomide restriction and the nominated disease activity parameters.</w:t>
            </w:r>
          </w:p>
        </w:tc>
      </w:tr>
      <w:tr w:rsidR="0012410C" w:rsidRPr="008E7C4C" w14:paraId="31168146" w14:textId="77777777" w:rsidTr="0012410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65D71513" w14:textId="77777777" w:rsidR="0012410C" w:rsidRPr="008E7C4C" w:rsidRDefault="0012410C" w:rsidP="00B17FC5">
            <w:pPr>
              <w:rPr>
                <w:rFonts w:ascii="Arial Narrow" w:hAnsi="Arial Narrow"/>
                <w:b/>
                <w:i/>
                <w:sz w:val="20"/>
                <w:szCs w:val="20"/>
              </w:rPr>
            </w:pPr>
            <w:r w:rsidRPr="008E7C4C">
              <w:rPr>
                <w:rFonts w:ascii="Arial Narrow" w:hAnsi="Arial Narrow"/>
                <w:b/>
                <w:i/>
                <w:sz w:val="20"/>
                <w:szCs w:val="20"/>
              </w:rPr>
              <w:t>Administrative Advice:</w:t>
            </w:r>
          </w:p>
          <w:p w14:paraId="07505D43" w14:textId="77777777" w:rsidR="0012410C" w:rsidRPr="008E7C4C" w:rsidRDefault="0012410C" w:rsidP="00B17FC5">
            <w:pPr>
              <w:rPr>
                <w:rFonts w:ascii="Arial Narrow" w:hAnsi="Arial Narrow"/>
                <w:i/>
                <w:sz w:val="20"/>
                <w:szCs w:val="20"/>
              </w:rPr>
            </w:pPr>
            <w:r w:rsidRPr="008E7C4C">
              <w:rPr>
                <w:rFonts w:ascii="Arial Narrow" w:hAnsi="Arial Narrow"/>
                <w:i/>
                <w:sz w:val="20"/>
                <w:szCs w:val="20"/>
              </w:rPr>
              <w:t xml:space="preserve">Applications for authorisation under this restriction may be made in real time using the Online PBS Authorities system (see </w:t>
            </w:r>
            <w:proofErr w:type="gramStart"/>
            <w:r w:rsidRPr="008E7C4C">
              <w:rPr>
                <w:rFonts w:ascii="Arial Narrow" w:hAnsi="Arial Narrow"/>
                <w:i/>
                <w:sz w:val="20"/>
                <w:szCs w:val="20"/>
              </w:rPr>
              <w:t>www.servicesaustralia.gov.au/HPOS)  or</w:t>
            </w:r>
            <w:proofErr w:type="gramEnd"/>
            <w:r w:rsidRPr="008E7C4C">
              <w:rPr>
                <w:rFonts w:ascii="Arial Narrow" w:hAnsi="Arial Narrow"/>
                <w:i/>
                <w:sz w:val="20"/>
                <w:szCs w:val="20"/>
              </w:rPr>
              <w:t xml:space="preserve"> by telephone by contacting the Services Australia on 1800 700 270 (hours of operation 8 a.m. to 5 p.m. EST Monday to Friday)</w:t>
            </w:r>
          </w:p>
        </w:tc>
      </w:tr>
      <w:tr w:rsidR="0012410C" w:rsidRPr="008E7C4C" w14:paraId="5B24F6AD" w14:textId="77777777" w:rsidTr="0012410C">
        <w:tc>
          <w:tcPr>
            <w:tcW w:w="5000" w:type="pct"/>
            <w:tcMar>
              <w:left w:w="28" w:type="dxa"/>
              <w:right w:w="28" w:type="dxa"/>
            </w:tcMar>
          </w:tcPr>
          <w:p w14:paraId="4CA11810" w14:textId="77777777" w:rsidR="0012410C" w:rsidRPr="008E7C4C" w:rsidRDefault="0012410C" w:rsidP="00B17FC5">
            <w:pPr>
              <w:rPr>
                <w:rFonts w:ascii="Arial Narrow" w:hAnsi="Arial Narrow"/>
                <w:b/>
                <w:i/>
                <w:sz w:val="20"/>
                <w:szCs w:val="20"/>
              </w:rPr>
            </w:pPr>
            <w:r w:rsidRPr="008E7C4C">
              <w:rPr>
                <w:rFonts w:ascii="Arial Narrow" w:hAnsi="Arial Narrow"/>
                <w:b/>
                <w:bCs/>
                <w:i/>
                <w:color w:val="333333"/>
                <w:sz w:val="20"/>
                <w:szCs w:val="20"/>
              </w:rPr>
              <w:t xml:space="preserve">Administrative Advice: </w:t>
            </w:r>
            <w:r w:rsidRPr="008E7C4C">
              <w:rPr>
                <w:rFonts w:ascii="Arial Narrow" w:hAnsi="Arial Narrow"/>
                <w:bCs/>
                <w:i/>
                <w:color w:val="333333"/>
                <w:sz w:val="20"/>
                <w:szCs w:val="20"/>
              </w:rPr>
              <w:t>No increase in the maximum quantity or number of units may be authorised.</w:t>
            </w:r>
          </w:p>
        </w:tc>
      </w:tr>
      <w:tr w:rsidR="0012410C" w:rsidRPr="008E7C4C" w14:paraId="4725773A" w14:textId="77777777" w:rsidTr="0012410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FB6E96B" w14:textId="77777777" w:rsidR="0012410C" w:rsidRPr="008E7C4C" w:rsidRDefault="0012410C" w:rsidP="00B17FC5">
            <w:pPr>
              <w:rPr>
                <w:rFonts w:ascii="Arial Narrow" w:hAnsi="Arial Narrow"/>
                <w:i/>
                <w:sz w:val="20"/>
                <w:szCs w:val="20"/>
              </w:rPr>
            </w:pPr>
            <w:r w:rsidRPr="008E7C4C">
              <w:rPr>
                <w:rFonts w:ascii="Arial Narrow" w:hAnsi="Arial Narrow"/>
                <w:b/>
                <w:i/>
                <w:sz w:val="20"/>
                <w:szCs w:val="20"/>
              </w:rPr>
              <w:t>Administrative Advice:</w:t>
            </w:r>
            <w:r w:rsidRPr="008E7C4C">
              <w:rPr>
                <w:rFonts w:ascii="Arial Narrow" w:hAnsi="Arial Narrow"/>
                <w:i/>
                <w:sz w:val="20"/>
                <w:szCs w:val="20"/>
              </w:rPr>
              <w:t xml:space="preserve"> No increase in the maximum number of repeats may be authorised.</w:t>
            </w:r>
          </w:p>
        </w:tc>
      </w:tr>
      <w:tr w:rsidR="0012410C" w:rsidRPr="008E7C4C" w14:paraId="195C258D" w14:textId="77777777" w:rsidTr="0012410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71C478D3" w14:textId="77777777" w:rsidR="0012410C" w:rsidRPr="008E7C4C" w:rsidRDefault="0012410C" w:rsidP="00B17FC5">
            <w:pPr>
              <w:rPr>
                <w:rFonts w:ascii="Arial Narrow" w:hAnsi="Arial Narrow"/>
                <w:i/>
                <w:sz w:val="20"/>
                <w:szCs w:val="20"/>
              </w:rPr>
            </w:pPr>
            <w:r w:rsidRPr="008E7C4C">
              <w:rPr>
                <w:rFonts w:ascii="Arial Narrow" w:hAnsi="Arial Narrow"/>
                <w:b/>
                <w:i/>
                <w:sz w:val="20"/>
                <w:szCs w:val="20"/>
              </w:rPr>
              <w:t>Administrative Advice:</w:t>
            </w:r>
            <w:r w:rsidRPr="008E7C4C">
              <w:rPr>
                <w:rFonts w:ascii="Arial Narrow" w:hAnsi="Arial Narrow"/>
                <w:i/>
                <w:sz w:val="20"/>
                <w:szCs w:val="20"/>
              </w:rPr>
              <w:t xml:space="preserve"> Special Pricing Arrangements apply</w:t>
            </w:r>
          </w:p>
        </w:tc>
      </w:tr>
    </w:tbl>
    <w:p w14:paraId="7F193F1A" w14:textId="77777777" w:rsidR="0012410C" w:rsidRPr="008E7C4C" w:rsidRDefault="0012410C" w:rsidP="0012410C"/>
    <w:tbl>
      <w:tblPr>
        <w:tblW w:w="5000"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12410C" w:rsidRPr="008E7C4C" w14:paraId="0D0C905D" w14:textId="77777777" w:rsidTr="0012410C">
        <w:tc>
          <w:tcPr>
            <w:tcW w:w="5000" w:type="pct"/>
            <w:shd w:val="clear" w:color="auto" w:fill="FFFFFF" w:themeFill="background1"/>
            <w:tcMar>
              <w:left w:w="28" w:type="dxa"/>
              <w:right w:w="28" w:type="dxa"/>
            </w:tcMar>
          </w:tcPr>
          <w:p w14:paraId="7C240624" w14:textId="77777777" w:rsidR="0012410C" w:rsidRPr="008E7C4C" w:rsidRDefault="0012410C" w:rsidP="00B17FC5">
            <w:pPr>
              <w:rPr>
                <w:rFonts w:ascii="Arial Narrow" w:hAnsi="Arial Narrow"/>
                <w:b/>
                <w:color w:val="000000"/>
                <w:sz w:val="20"/>
                <w:szCs w:val="20"/>
                <w:highlight w:val="yellow"/>
              </w:rPr>
            </w:pPr>
            <w:r w:rsidRPr="008E7C4C">
              <w:rPr>
                <w:rFonts w:ascii="Arial Narrow" w:hAnsi="Arial Narrow"/>
                <w:b/>
                <w:bCs/>
                <w:color w:val="000000"/>
                <w:sz w:val="20"/>
                <w:szCs w:val="20"/>
              </w:rPr>
              <w:t xml:space="preserve">Category/Program: </w:t>
            </w:r>
            <w:r w:rsidRPr="008E7C4C">
              <w:rPr>
                <w:rFonts w:ascii="Arial Narrow" w:hAnsi="Arial Narrow"/>
                <w:bCs/>
                <w:color w:val="000000"/>
                <w:sz w:val="20"/>
                <w:szCs w:val="20"/>
              </w:rPr>
              <w:t>Section 100 (Highly Specialised Drugs Program - Public/Private)</w:t>
            </w:r>
          </w:p>
        </w:tc>
      </w:tr>
      <w:tr w:rsidR="0012410C" w:rsidRPr="008E7C4C" w14:paraId="2E34241A" w14:textId="77777777" w:rsidTr="0012410C">
        <w:tc>
          <w:tcPr>
            <w:tcW w:w="5000" w:type="pct"/>
            <w:shd w:val="clear" w:color="auto" w:fill="FFFFFF" w:themeFill="background1"/>
            <w:tcMar>
              <w:left w:w="28" w:type="dxa"/>
              <w:right w:w="28" w:type="dxa"/>
            </w:tcMar>
          </w:tcPr>
          <w:p w14:paraId="5B6E36AB" w14:textId="77777777" w:rsidR="0012410C" w:rsidRPr="008E7C4C" w:rsidRDefault="0012410C" w:rsidP="00B17FC5">
            <w:pPr>
              <w:rPr>
                <w:rFonts w:ascii="Arial Narrow" w:hAnsi="Arial Narrow"/>
                <w:bCs/>
                <w:color w:val="000000"/>
                <w:sz w:val="20"/>
                <w:szCs w:val="20"/>
                <w:highlight w:val="yellow"/>
              </w:rPr>
            </w:pPr>
            <w:r w:rsidRPr="008E7C4C">
              <w:rPr>
                <w:rFonts w:ascii="Arial Narrow" w:hAnsi="Arial Narrow"/>
                <w:b/>
                <w:bCs/>
                <w:color w:val="000000"/>
                <w:sz w:val="20"/>
                <w:szCs w:val="20"/>
              </w:rPr>
              <w:t xml:space="preserve">Prescriber type: </w:t>
            </w:r>
            <w:r w:rsidRPr="008E7C4C">
              <w:rPr>
                <w:rFonts w:ascii="Arial Narrow" w:hAnsi="Arial Narrow"/>
                <w:bCs/>
                <w:color w:val="000000"/>
                <w:sz w:val="20"/>
                <w:szCs w:val="20"/>
              </w:rPr>
              <w:fldChar w:fldCharType="begin">
                <w:ffData>
                  <w:name w:val=""/>
                  <w:enabled/>
                  <w:calcOnExit w:val="0"/>
                  <w:checkBox>
                    <w:sizeAuto/>
                    <w:default w:val="1"/>
                  </w:checkBox>
                </w:ffData>
              </w:fldChar>
            </w:r>
            <w:r w:rsidRPr="008E7C4C">
              <w:rPr>
                <w:rFonts w:ascii="Arial Narrow" w:hAnsi="Arial Narrow"/>
                <w:bCs/>
                <w:color w:val="000000"/>
                <w:sz w:val="20"/>
                <w:szCs w:val="20"/>
              </w:rPr>
              <w:instrText xml:space="preserve"> FORMCHECKBOX </w:instrText>
            </w:r>
            <w:r w:rsidR="002D249B">
              <w:rPr>
                <w:rFonts w:ascii="Arial Narrow" w:hAnsi="Arial Narrow"/>
                <w:bCs/>
                <w:color w:val="000000"/>
                <w:sz w:val="20"/>
                <w:szCs w:val="20"/>
              </w:rPr>
            </w:r>
            <w:r w:rsidR="002D249B">
              <w:rPr>
                <w:rFonts w:ascii="Arial Narrow" w:hAnsi="Arial Narrow"/>
                <w:bCs/>
                <w:color w:val="000000"/>
                <w:sz w:val="20"/>
                <w:szCs w:val="20"/>
              </w:rPr>
              <w:fldChar w:fldCharType="separate"/>
            </w:r>
            <w:r w:rsidRPr="008E7C4C">
              <w:rPr>
                <w:rFonts w:ascii="Arial Narrow" w:hAnsi="Arial Narrow"/>
                <w:bCs/>
                <w:color w:val="000000"/>
                <w:sz w:val="20"/>
                <w:szCs w:val="20"/>
              </w:rPr>
              <w:fldChar w:fldCharType="end"/>
            </w:r>
            <w:r w:rsidRPr="008E7C4C">
              <w:rPr>
                <w:rFonts w:ascii="Arial Narrow" w:hAnsi="Arial Narrow"/>
                <w:bCs/>
                <w:color w:val="000000"/>
                <w:sz w:val="20"/>
                <w:szCs w:val="20"/>
              </w:rPr>
              <w:t xml:space="preserve">Medical Practitioners </w:t>
            </w:r>
          </w:p>
        </w:tc>
      </w:tr>
      <w:tr w:rsidR="0012410C" w:rsidRPr="008E7C4C" w14:paraId="4DF6A441" w14:textId="77777777" w:rsidTr="0012410C">
        <w:tc>
          <w:tcPr>
            <w:tcW w:w="5000" w:type="pct"/>
            <w:tcMar>
              <w:left w:w="28" w:type="dxa"/>
              <w:right w:w="28" w:type="dxa"/>
            </w:tcMar>
          </w:tcPr>
          <w:p w14:paraId="0984FD50" w14:textId="77777777" w:rsidR="0012410C" w:rsidRPr="008E7C4C" w:rsidRDefault="0012410C" w:rsidP="00B17FC5">
            <w:pPr>
              <w:rPr>
                <w:rFonts w:ascii="Arial Narrow" w:hAnsi="Arial Narrow"/>
                <w:b/>
                <w:bCs/>
                <w:color w:val="000000"/>
                <w:sz w:val="20"/>
                <w:szCs w:val="20"/>
              </w:rPr>
            </w:pPr>
            <w:r w:rsidRPr="008E7C4C">
              <w:rPr>
                <w:rFonts w:ascii="Arial Narrow" w:hAnsi="Arial Narrow"/>
                <w:b/>
                <w:bCs/>
                <w:color w:val="000000"/>
                <w:sz w:val="20"/>
                <w:szCs w:val="20"/>
              </w:rPr>
              <w:lastRenderedPageBreak/>
              <w:t xml:space="preserve">Restriction type / Method: </w:t>
            </w:r>
            <w:r w:rsidRPr="008E7C4C">
              <w:rPr>
                <w:rFonts w:ascii="Arial Narrow" w:hAnsi="Arial Narrow"/>
                <w:bCs/>
                <w:color w:val="000000"/>
                <w:sz w:val="20"/>
                <w:szCs w:val="20"/>
              </w:rPr>
              <w:fldChar w:fldCharType="begin">
                <w:ffData>
                  <w:name w:val="Check3"/>
                  <w:enabled/>
                  <w:calcOnExit w:val="0"/>
                  <w:checkBox>
                    <w:sizeAuto/>
                    <w:default w:val="1"/>
                  </w:checkBox>
                </w:ffData>
              </w:fldChar>
            </w:r>
            <w:r w:rsidRPr="008E7C4C">
              <w:rPr>
                <w:rFonts w:ascii="Arial Narrow" w:hAnsi="Arial Narrow"/>
                <w:bCs/>
                <w:color w:val="000000"/>
                <w:sz w:val="20"/>
                <w:szCs w:val="20"/>
              </w:rPr>
              <w:instrText xml:space="preserve"> FORMCHECKBOX </w:instrText>
            </w:r>
            <w:r w:rsidR="002D249B">
              <w:rPr>
                <w:rFonts w:ascii="Arial Narrow" w:hAnsi="Arial Narrow"/>
                <w:bCs/>
                <w:color w:val="000000"/>
                <w:sz w:val="20"/>
                <w:szCs w:val="20"/>
              </w:rPr>
            </w:r>
            <w:r w:rsidR="002D249B">
              <w:rPr>
                <w:rFonts w:ascii="Arial Narrow" w:hAnsi="Arial Narrow"/>
                <w:bCs/>
                <w:color w:val="000000"/>
                <w:sz w:val="20"/>
                <w:szCs w:val="20"/>
              </w:rPr>
              <w:fldChar w:fldCharType="separate"/>
            </w:r>
            <w:r w:rsidRPr="008E7C4C">
              <w:rPr>
                <w:rFonts w:ascii="Arial Narrow" w:hAnsi="Arial Narrow"/>
                <w:bCs/>
                <w:color w:val="000000"/>
                <w:sz w:val="20"/>
                <w:szCs w:val="20"/>
              </w:rPr>
              <w:fldChar w:fldCharType="end"/>
            </w:r>
            <w:r w:rsidRPr="008E7C4C">
              <w:rPr>
                <w:rFonts w:ascii="Arial Narrow" w:hAnsi="Arial Narrow"/>
                <w:bCs/>
                <w:color w:val="000000"/>
                <w:sz w:val="20"/>
                <w:szCs w:val="20"/>
              </w:rPr>
              <w:t>Authority Required – immediate/real-time assessment by Services Australia (telephone/online)</w:t>
            </w:r>
          </w:p>
        </w:tc>
      </w:tr>
      <w:tr w:rsidR="0012410C" w:rsidRPr="008E7C4C" w14:paraId="6050D84A" w14:textId="77777777" w:rsidTr="0012410C">
        <w:tc>
          <w:tcPr>
            <w:tcW w:w="5000" w:type="pct"/>
            <w:tcMar>
              <w:left w:w="28" w:type="dxa"/>
              <w:right w:w="28" w:type="dxa"/>
            </w:tcMar>
          </w:tcPr>
          <w:p w14:paraId="75192296" w14:textId="77777777" w:rsidR="0012410C" w:rsidRPr="008E7C4C" w:rsidRDefault="0012410C" w:rsidP="00B17FC5">
            <w:pPr>
              <w:rPr>
                <w:rFonts w:ascii="Arial Narrow" w:hAnsi="Arial Narrow"/>
                <w:bCs/>
                <w:i/>
                <w:color w:val="000000"/>
                <w:sz w:val="20"/>
                <w:szCs w:val="20"/>
              </w:rPr>
            </w:pPr>
            <w:proofErr w:type="spellStart"/>
            <w:r w:rsidRPr="008E7C4C">
              <w:rPr>
                <w:rFonts w:ascii="Arial Narrow" w:hAnsi="Arial Narrow"/>
                <w:b/>
                <w:bCs/>
                <w:color w:val="000000"/>
                <w:sz w:val="20"/>
                <w:szCs w:val="20"/>
              </w:rPr>
              <w:t>Episodicity</w:t>
            </w:r>
            <w:proofErr w:type="spellEnd"/>
            <w:r w:rsidRPr="008E7C4C">
              <w:rPr>
                <w:rFonts w:ascii="Arial Narrow" w:hAnsi="Arial Narrow"/>
                <w:b/>
                <w:bCs/>
                <w:color w:val="000000"/>
                <w:sz w:val="20"/>
                <w:szCs w:val="20"/>
              </w:rPr>
              <w:t xml:space="preserve">: </w:t>
            </w:r>
            <w:r w:rsidRPr="008E7C4C">
              <w:rPr>
                <w:rFonts w:ascii="Arial Narrow" w:hAnsi="Arial Narrow"/>
                <w:bCs/>
                <w:strike/>
                <w:color w:val="000000"/>
                <w:sz w:val="20"/>
                <w:szCs w:val="20"/>
              </w:rPr>
              <w:t xml:space="preserve">N/A </w:t>
            </w:r>
            <w:r w:rsidRPr="008E7C4C">
              <w:rPr>
                <w:rFonts w:ascii="Arial Narrow" w:hAnsi="Arial Narrow"/>
                <w:bCs/>
                <w:i/>
                <w:color w:val="000000"/>
                <w:sz w:val="20"/>
                <w:szCs w:val="20"/>
              </w:rPr>
              <w:t>Relapsed and/or refractory</w:t>
            </w:r>
          </w:p>
        </w:tc>
      </w:tr>
      <w:tr w:rsidR="0012410C" w:rsidRPr="008E7C4C" w14:paraId="1137E6B4" w14:textId="77777777" w:rsidTr="0012410C">
        <w:tc>
          <w:tcPr>
            <w:tcW w:w="5000" w:type="pct"/>
            <w:tcMar>
              <w:left w:w="28" w:type="dxa"/>
              <w:right w:w="28" w:type="dxa"/>
            </w:tcMar>
          </w:tcPr>
          <w:p w14:paraId="7A57B140" w14:textId="77777777" w:rsidR="0012410C" w:rsidRPr="008E7C4C" w:rsidRDefault="0012410C" w:rsidP="00B17FC5">
            <w:pPr>
              <w:rPr>
                <w:rFonts w:ascii="Arial Narrow" w:hAnsi="Arial Narrow"/>
                <w:color w:val="000000"/>
                <w:sz w:val="20"/>
                <w:szCs w:val="20"/>
              </w:rPr>
            </w:pPr>
            <w:r w:rsidRPr="008E7C4C">
              <w:rPr>
                <w:rFonts w:ascii="Arial Narrow" w:hAnsi="Arial Narrow"/>
                <w:b/>
                <w:bCs/>
                <w:color w:val="000000"/>
                <w:sz w:val="20"/>
                <w:szCs w:val="20"/>
              </w:rPr>
              <w:t xml:space="preserve">Condition: </w:t>
            </w:r>
            <w:r w:rsidRPr="008E7C4C">
              <w:rPr>
                <w:rFonts w:ascii="Arial Narrow" w:hAnsi="Arial Narrow"/>
                <w:bCs/>
                <w:color w:val="000000"/>
                <w:sz w:val="20"/>
                <w:szCs w:val="20"/>
              </w:rPr>
              <w:t xml:space="preserve">Multiple myeloma </w:t>
            </w:r>
          </w:p>
        </w:tc>
      </w:tr>
      <w:tr w:rsidR="0012410C" w:rsidRPr="008E7C4C" w14:paraId="639321D6"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412FD88B" w14:textId="77777777" w:rsidR="0012410C" w:rsidRPr="008E7C4C" w:rsidRDefault="0012410C" w:rsidP="00B17FC5">
            <w:pPr>
              <w:pStyle w:val="TableText0"/>
              <w:keepNext w:val="0"/>
              <w:rPr>
                <w:szCs w:val="20"/>
              </w:rPr>
            </w:pPr>
            <w:r w:rsidRPr="008E7C4C">
              <w:rPr>
                <w:b/>
                <w:szCs w:val="20"/>
              </w:rPr>
              <w:t xml:space="preserve">PBS Indication: </w:t>
            </w:r>
            <w:r w:rsidRPr="008E7C4C">
              <w:rPr>
                <w:i/>
                <w:szCs w:val="20"/>
              </w:rPr>
              <w:t xml:space="preserve">Relapsed and/or refractory </w:t>
            </w:r>
            <w:r w:rsidRPr="008E7C4C">
              <w:rPr>
                <w:szCs w:val="20"/>
              </w:rPr>
              <w:t>multiple myeloma</w:t>
            </w:r>
          </w:p>
        </w:tc>
      </w:tr>
      <w:tr w:rsidR="0012410C" w:rsidRPr="008E7C4C" w14:paraId="18FF5F1E"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175452F6" w14:textId="77777777" w:rsidR="0012410C" w:rsidRPr="008E7C4C" w:rsidRDefault="0012410C" w:rsidP="00B17FC5">
            <w:pPr>
              <w:pStyle w:val="TableText0"/>
              <w:keepNext w:val="0"/>
              <w:rPr>
                <w:szCs w:val="20"/>
              </w:rPr>
            </w:pPr>
            <w:r w:rsidRPr="008E7C4C">
              <w:rPr>
                <w:b/>
                <w:szCs w:val="20"/>
              </w:rPr>
              <w:t xml:space="preserve">Treatment phase: </w:t>
            </w:r>
            <w:r w:rsidRPr="008E7C4C">
              <w:rPr>
                <w:i/>
                <w:szCs w:val="20"/>
              </w:rPr>
              <w:t>Transitioning from non-PBS to PBS-subsidised treatment – ‘</w:t>
            </w:r>
            <w:r w:rsidRPr="008E7C4C">
              <w:rPr>
                <w:szCs w:val="20"/>
              </w:rPr>
              <w:t>Grandfather</w:t>
            </w:r>
            <w:r w:rsidRPr="008E7C4C">
              <w:rPr>
                <w:strike/>
                <w:szCs w:val="20"/>
              </w:rPr>
              <w:t>ing</w:t>
            </w:r>
            <w:r w:rsidRPr="008E7C4C">
              <w:rPr>
                <w:i/>
                <w:strike/>
                <w:szCs w:val="20"/>
              </w:rPr>
              <w:t>’</w:t>
            </w:r>
            <w:r w:rsidRPr="008E7C4C">
              <w:rPr>
                <w:i/>
                <w:szCs w:val="20"/>
              </w:rPr>
              <w:t xml:space="preserve"> treatment</w:t>
            </w:r>
            <w:r w:rsidRPr="008E7C4C">
              <w:rPr>
                <w:szCs w:val="20"/>
              </w:rPr>
              <w:t xml:space="preserve"> </w:t>
            </w:r>
          </w:p>
        </w:tc>
      </w:tr>
      <w:tr w:rsidR="0012410C" w:rsidRPr="008E7C4C" w14:paraId="472A5513"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0E289D61" w14:textId="77777777" w:rsidR="0012410C" w:rsidRPr="008E7C4C" w:rsidRDefault="0012410C" w:rsidP="00B17FC5">
            <w:pPr>
              <w:pStyle w:val="TableText0"/>
              <w:keepNext w:val="0"/>
              <w:rPr>
                <w:b/>
                <w:szCs w:val="20"/>
              </w:rPr>
            </w:pPr>
            <w:r w:rsidRPr="008E7C4C">
              <w:rPr>
                <w:b/>
                <w:szCs w:val="20"/>
              </w:rPr>
              <w:t>Clinical criteria:</w:t>
            </w:r>
          </w:p>
        </w:tc>
      </w:tr>
      <w:tr w:rsidR="0012410C" w:rsidRPr="008E7C4C" w14:paraId="6E68C9BD"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50693025" w14:textId="77777777" w:rsidR="0012410C" w:rsidRPr="008E7C4C" w:rsidRDefault="0012410C" w:rsidP="00B17FC5">
            <w:pPr>
              <w:pStyle w:val="TableText0"/>
              <w:keepNext w:val="0"/>
              <w:rPr>
                <w:szCs w:val="20"/>
              </w:rPr>
            </w:pPr>
            <w:r w:rsidRPr="008E7C4C">
              <w:rPr>
                <w:szCs w:val="20"/>
              </w:rPr>
              <w:t xml:space="preserve">Patient must have previously received treatment with this drug for this </w:t>
            </w:r>
            <w:r w:rsidRPr="008E7C4C">
              <w:rPr>
                <w:strike/>
                <w:szCs w:val="20"/>
              </w:rPr>
              <w:t>condition</w:t>
            </w:r>
            <w:r w:rsidRPr="008E7C4C">
              <w:rPr>
                <w:szCs w:val="20"/>
              </w:rPr>
              <w:t xml:space="preserve"> </w:t>
            </w:r>
            <w:r w:rsidRPr="008E7C4C">
              <w:rPr>
                <w:i/>
                <w:szCs w:val="20"/>
              </w:rPr>
              <w:t xml:space="preserve">PBS indication </w:t>
            </w:r>
            <w:r w:rsidRPr="008E7C4C">
              <w:rPr>
                <w:szCs w:val="20"/>
              </w:rPr>
              <w:t>prior to [the date of PBS listing],</w:t>
            </w:r>
          </w:p>
        </w:tc>
      </w:tr>
      <w:tr w:rsidR="0012410C" w:rsidRPr="008E7C4C" w14:paraId="134966C9"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1DF6773F" w14:textId="77777777" w:rsidR="0012410C" w:rsidRPr="008E7C4C" w:rsidRDefault="0012410C" w:rsidP="00B17FC5">
            <w:pPr>
              <w:pStyle w:val="TableText0"/>
              <w:keepNext w:val="0"/>
              <w:rPr>
                <w:b/>
                <w:i/>
                <w:szCs w:val="20"/>
              </w:rPr>
            </w:pPr>
            <w:r w:rsidRPr="008E7C4C">
              <w:rPr>
                <w:b/>
                <w:i/>
                <w:szCs w:val="20"/>
              </w:rPr>
              <w:t>AND</w:t>
            </w:r>
          </w:p>
        </w:tc>
      </w:tr>
      <w:tr w:rsidR="0012410C" w:rsidRPr="008E7C4C" w14:paraId="4546C47E"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42760912" w14:textId="77777777" w:rsidR="0012410C" w:rsidRPr="008E7C4C" w:rsidRDefault="0012410C" w:rsidP="00B17FC5">
            <w:pPr>
              <w:pStyle w:val="TableText0"/>
              <w:keepNext w:val="0"/>
              <w:rPr>
                <w:i/>
                <w:szCs w:val="20"/>
              </w:rPr>
            </w:pPr>
            <w:r w:rsidRPr="008E7C4C">
              <w:rPr>
                <w:b/>
                <w:i/>
                <w:szCs w:val="20"/>
              </w:rPr>
              <w:t>Clinical criteria:</w:t>
            </w:r>
          </w:p>
        </w:tc>
      </w:tr>
      <w:tr w:rsidR="0012410C" w:rsidRPr="008E7C4C" w14:paraId="2A41340E"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0B85E224" w14:textId="77777777" w:rsidR="0012410C" w:rsidRPr="008E7C4C" w:rsidRDefault="0012410C" w:rsidP="00B17FC5">
            <w:pPr>
              <w:pStyle w:val="TableText0"/>
              <w:keepNext w:val="0"/>
              <w:rPr>
                <w:i/>
                <w:szCs w:val="20"/>
              </w:rPr>
            </w:pPr>
            <w:r w:rsidRPr="008E7C4C">
              <w:rPr>
                <w:i/>
                <w:szCs w:val="20"/>
              </w:rPr>
              <w:t>Patient must have a documented histological diagnosis</w:t>
            </w:r>
          </w:p>
        </w:tc>
      </w:tr>
      <w:tr w:rsidR="0012410C" w:rsidRPr="008E7C4C" w14:paraId="2DF26C6E"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40CA5A2E" w14:textId="77777777" w:rsidR="0012410C" w:rsidRPr="008E7C4C" w:rsidRDefault="0012410C" w:rsidP="00B17FC5">
            <w:pPr>
              <w:pStyle w:val="TableText0"/>
              <w:keepNext w:val="0"/>
              <w:rPr>
                <w:b/>
                <w:szCs w:val="20"/>
              </w:rPr>
            </w:pPr>
            <w:r w:rsidRPr="008E7C4C">
              <w:rPr>
                <w:b/>
                <w:szCs w:val="20"/>
              </w:rPr>
              <w:t>AND</w:t>
            </w:r>
          </w:p>
        </w:tc>
      </w:tr>
      <w:tr w:rsidR="0012410C" w:rsidRPr="008E7C4C" w14:paraId="4EA95B34"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6F594498" w14:textId="77777777" w:rsidR="0012410C" w:rsidRPr="008E7C4C" w:rsidRDefault="0012410C" w:rsidP="00B17FC5">
            <w:pPr>
              <w:pStyle w:val="TableText0"/>
              <w:keepNext w:val="0"/>
              <w:rPr>
                <w:b/>
                <w:szCs w:val="20"/>
              </w:rPr>
            </w:pPr>
            <w:r w:rsidRPr="008E7C4C">
              <w:rPr>
                <w:b/>
                <w:szCs w:val="20"/>
              </w:rPr>
              <w:t>Clinical criteria:</w:t>
            </w:r>
          </w:p>
        </w:tc>
      </w:tr>
      <w:tr w:rsidR="0012410C" w:rsidRPr="008E7C4C" w14:paraId="7604B768"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3056338F" w14:textId="77777777" w:rsidR="0012410C" w:rsidRPr="008E7C4C" w:rsidRDefault="0012410C" w:rsidP="00B17FC5">
            <w:pPr>
              <w:pStyle w:val="TableText0"/>
              <w:keepNext w:val="0"/>
              <w:rPr>
                <w:szCs w:val="20"/>
              </w:rPr>
            </w:pPr>
            <w:r w:rsidRPr="008E7C4C">
              <w:rPr>
                <w:szCs w:val="20"/>
              </w:rPr>
              <w:t>The treatment must be in combination with lenalidomide and dexamethasone,</w:t>
            </w:r>
          </w:p>
        </w:tc>
      </w:tr>
      <w:tr w:rsidR="0012410C" w:rsidRPr="008E7C4C" w14:paraId="49551606"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612AFDBD" w14:textId="77777777" w:rsidR="0012410C" w:rsidRPr="008E7C4C" w:rsidRDefault="0012410C" w:rsidP="00B17FC5">
            <w:pPr>
              <w:pStyle w:val="TableText0"/>
              <w:keepNext w:val="0"/>
              <w:rPr>
                <w:b/>
                <w:i/>
                <w:szCs w:val="20"/>
              </w:rPr>
            </w:pPr>
            <w:r w:rsidRPr="008E7C4C">
              <w:rPr>
                <w:b/>
                <w:i/>
                <w:szCs w:val="20"/>
              </w:rPr>
              <w:t>AND</w:t>
            </w:r>
          </w:p>
        </w:tc>
      </w:tr>
      <w:tr w:rsidR="0012410C" w:rsidRPr="008E7C4C" w14:paraId="0D38D886"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48EED39C" w14:textId="77777777" w:rsidR="0012410C" w:rsidRPr="008E7C4C" w:rsidRDefault="0012410C" w:rsidP="00B17FC5">
            <w:pPr>
              <w:pStyle w:val="TableText0"/>
              <w:keepNext w:val="0"/>
              <w:rPr>
                <w:i/>
                <w:szCs w:val="20"/>
              </w:rPr>
            </w:pPr>
            <w:r w:rsidRPr="008E7C4C">
              <w:rPr>
                <w:b/>
                <w:i/>
                <w:szCs w:val="20"/>
              </w:rPr>
              <w:t>Clinical criteria:</w:t>
            </w:r>
          </w:p>
        </w:tc>
      </w:tr>
      <w:tr w:rsidR="0012410C" w:rsidRPr="008E7C4C" w14:paraId="7FAB62D3"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54B6B0D9" w14:textId="77777777" w:rsidR="0012410C" w:rsidRPr="008E7C4C" w:rsidRDefault="0012410C" w:rsidP="00B17FC5">
            <w:pPr>
              <w:pStyle w:val="TableText0"/>
              <w:keepNext w:val="0"/>
              <w:rPr>
                <w:i/>
                <w:szCs w:val="20"/>
              </w:rPr>
            </w:pPr>
            <w:r w:rsidRPr="008E7C4C">
              <w:rPr>
                <w:i/>
                <w:szCs w:val="20"/>
              </w:rPr>
              <w:t>Patient must have had documented progressive disease after at least one prior therapy prior to commencing non-PBS subsidised treatment with this drug for this condition.</w:t>
            </w:r>
          </w:p>
        </w:tc>
      </w:tr>
      <w:tr w:rsidR="0012410C" w:rsidRPr="008E7C4C" w14:paraId="08F34B74"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7ABB9295" w14:textId="77777777" w:rsidR="0012410C" w:rsidRPr="008E7C4C" w:rsidRDefault="0012410C" w:rsidP="00B17FC5">
            <w:pPr>
              <w:pStyle w:val="TableText0"/>
              <w:keepNext w:val="0"/>
              <w:rPr>
                <w:b/>
                <w:szCs w:val="20"/>
              </w:rPr>
            </w:pPr>
            <w:r w:rsidRPr="008E7C4C">
              <w:rPr>
                <w:b/>
                <w:szCs w:val="20"/>
              </w:rPr>
              <w:t>AND</w:t>
            </w:r>
          </w:p>
        </w:tc>
      </w:tr>
      <w:tr w:rsidR="0012410C" w:rsidRPr="008E7C4C" w14:paraId="0FD6F235"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06AC020A" w14:textId="77777777" w:rsidR="0012410C" w:rsidRPr="008E7C4C" w:rsidRDefault="0012410C" w:rsidP="00B17FC5">
            <w:pPr>
              <w:pStyle w:val="TableText0"/>
              <w:keepNext w:val="0"/>
              <w:rPr>
                <w:b/>
                <w:szCs w:val="20"/>
              </w:rPr>
            </w:pPr>
            <w:r w:rsidRPr="008E7C4C">
              <w:rPr>
                <w:b/>
                <w:szCs w:val="20"/>
              </w:rPr>
              <w:t>Clinical criteria:</w:t>
            </w:r>
          </w:p>
        </w:tc>
      </w:tr>
      <w:tr w:rsidR="0012410C" w:rsidRPr="008E7C4C" w14:paraId="2CF70AF0"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313A846D" w14:textId="77777777" w:rsidR="0012410C" w:rsidRPr="008E7C4C" w:rsidRDefault="0012410C" w:rsidP="00B17FC5">
            <w:pPr>
              <w:pStyle w:val="TableText0"/>
              <w:keepNext w:val="0"/>
              <w:rPr>
                <w:szCs w:val="20"/>
              </w:rPr>
            </w:pPr>
            <w:r w:rsidRPr="008E7C4C">
              <w:rPr>
                <w:szCs w:val="20"/>
              </w:rPr>
              <w:t xml:space="preserve">Patient must not </w:t>
            </w:r>
            <w:r w:rsidRPr="008E7C4C">
              <w:rPr>
                <w:i/>
                <w:szCs w:val="20"/>
              </w:rPr>
              <w:t xml:space="preserve">have </w:t>
            </w:r>
            <w:r w:rsidRPr="008E7C4C">
              <w:rPr>
                <w:szCs w:val="20"/>
              </w:rPr>
              <w:t>develop</w:t>
            </w:r>
            <w:r w:rsidRPr="008E7C4C">
              <w:rPr>
                <w:i/>
                <w:szCs w:val="20"/>
              </w:rPr>
              <w:t>ed</w:t>
            </w:r>
            <w:r w:rsidRPr="008E7C4C">
              <w:rPr>
                <w:szCs w:val="20"/>
              </w:rPr>
              <w:t xml:space="preserve"> disease progression while receiving treatment with this drug for this condition,</w:t>
            </w:r>
          </w:p>
        </w:tc>
      </w:tr>
      <w:tr w:rsidR="0012410C" w:rsidRPr="008E7C4C" w14:paraId="0985FA7D"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5DA7CD90" w14:textId="77777777" w:rsidR="0012410C" w:rsidRPr="008E7C4C" w:rsidRDefault="0012410C" w:rsidP="00B17FC5">
            <w:pPr>
              <w:pStyle w:val="TableText0"/>
              <w:keepNext w:val="0"/>
              <w:rPr>
                <w:b/>
                <w:strike/>
                <w:szCs w:val="20"/>
              </w:rPr>
            </w:pPr>
            <w:r w:rsidRPr="008E7C4C">
              <w:rPr>
                <w:b/>
                <w:strike/>
                <w:szCs w:val="20"/>
              </w:rPr>
              <w:t>AND</w:t>
            </w:r>
          </w:p>
        </w:tc>
      </w:tr>
      <w:tr w:rsidR="0012410C" w:rsidRPr="008E7C4C" w14:paraId="1522A39D"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4E6F0BC0" w14:textId="77777777" w:rsidR="0012410C" w:rsidRPr="008E7C4C" w:rsidRDefault="0012410C" w:rsidP="00B17FC5">
            <w:pPr>
              <w:pStyle w:val="TableText0"/>
              <w:keepNext w:val="0"/>
              <w:rPr>
                <w:strike/>
                <w:szCs w:val="20"/>
              </w:rPr>
            </w:pPr>
            <w:r w:rsidRPr="008E7C4C">
              <w:rPr>
                <w:b/>
                <w:strike/>
                <w:szCs w:val="20"/>
              </w:rPr>
              <w:t>Clinical criteria:</w:t>
            </w:r>
          </w:p>
        </w:tc>
      </w:tr>
      <w:tr w:rsidR="0012410C" w:rsidRPr="008E7C4C" w14:paraId="732E4A22"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1F2F431C" w14:textId="77777777" w:rsidR="0012410C" w:rsidRPr="008E7C4C" w:rsidRDefault="0012410C" w:rsidP="00B17FC5">
            <w:pPr>
              <w:pStyle w:val="TableText0"/>
              <w:keepNext w:val="0"/>
              <w:rPr>
                <w:strike/>
                <w:szCs w:val="20"/>
              </w:rPr>
            </w:pPr>
            <w:r w:rsidRPr="008E7C4C">
              <w:rPr>
                <w:strike/>
                <w:szCs w:val="20"/>
              </w:rPr>
              <w:t xml:space="preserve">Patient must not be receiving concomitant PBS-subsidised </w:t>
            </w:r>
            <w:r w:rsidRPr="008E7C4C">
              <w:rPr>
                <w:i/>
                <w:strike/>
                <w:szCs w:val="20"/>
              </w:rPr>
              <w:t>treatment with each of: (</w:t>
            </w:r>
            <w:proofErr w:type="spellStart"/>
            <w:r w:rsidRPr="008E7C4C">
              <w:rPr>
                <w:i/>
                <w:strike/>
                <w:szCs w:val="20"/>
              </w:rPr>
              <w:t>i</w:t>
            </w:r>
            <w:proofErr w:type="spellEnd"/>
            <w:r w:rsidRPr="008E7C4C">
              <w:rPr>
                <w:i/>
                <w:strike/>
                <w:szCs w:val="20"/>
              </w:rPr>
              <w:t xml:space="preserve">) </w:t>
            </w:r>
            <w:r w:rsidRPr="008E7C4C">
              <w:rPr>
                <w:strike/>
                <w:szCs w:val="20"/>
              </w:rPr>
              <w:t xml:space="preserve">carfilzomib, </w:t>
            </w:r>
            <w:r w:rsidRPr="008E7C4C">
              <w:rPr>
                <w:i/>
                <w:strike/>
                <w:szCs w:val="20"/>
              </w:rPr>
              <w:t>(ii)</w:t>
            </w:r>
            <w:r w:rsidRPr="008E7C4C">
              <w:rPr>
                <w:strike/>
                <w:szCs w:val="20"/>
              </w:rPr>
              <w:t xml:space="preserve"> bortezomib, </w:t>
            </w:r>
            <w:r w:rsidRPr="008E7C4C">
              <w:rPr>
                <w:i/>
                <w:strike/>
                <w:szCs w:val="20"/>
              </w:rPr>
              <w:t>(iii)</w:t>
            </w:r>
            <w:r w:rsidRPr="008E7C4C">
              <w:rPr>
                <w:strike/>
                <w:szCs w:val="20"/>
              </w:rPr>
              <w:t xml:space="preserve"> </w:t>
            </w:r>
            <w:proofErr w:type="gramStart"/>
            <w:r w:rsidRPr="008E7C4C">
              <w:rPr>
                <w:strike/>
                <w:szCs w:val="20"/>
              </w:rPr>
              <w:t>pomalidomide,  or</w:t>
            </w:r>
            <w:proofErr w:type="gramEnd"/>
            <w:r w:rsidRPr="008E7C4C">
              <w:rPr>
                <w:strike/>
                <w:szCs w:val="20"/>
              </w:rPr>
              <w:t xml:space="preserve"> </w:t>
            </w:r>
            <w:r w:rsidRPr="008E7C4C">
              <w:rPr>
                <w:i/>
                <w:strike/>
                <w:szCs w:val="20"/>
              </w:rPr>
              <w:t>(iv)</w:t>
            </w:r>
            <w:r w:rsidRPr="008E7C4C">
              <w:rPr>
                <w:strike/>
                <w:szCs w:val="20"/>
              </w:rPr>
              <w:t xml:space="preserve"> thalidomide, (v) </w:t>
            </w:r>
            <w:proofErr w:type="spellStart"/>
            <w:r w:rsidRPr="008E7C4C">
              <w:rPr>
                <w:i/>
                <w:strike/>
                <w:szCs w:val="20"/>
              </w:rPr>
              <w:t>elotuzumab</w:t>
            </w:r>
            <w:proofErr w:type="spellEnd"/>
          </w:p>
        </w:tc>
      </w:tr>
      <w:tr w:rsidR="0012410C" w:rsidRPr="008E7C4C" w14:paraId="77F85E60" w14:textId="77777777" w:rsidTr="00124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Mar>
              <w:left w:w="28" w:type="dxa"/>
              <w:right w:w="28" w:type="dxa"/>
            </w:tcMar>
          </w:tcPr>
          <w:p w14:paraId="58DD1D66" w14:textId="77777777" w:rsidR="0012410C" w:rsidRPr="008E7C4C" w:rsidRDefault="0012410C" w:rsidP="00B17FC5">
            <w:pPr>
              <w:pStyle w:val="TableText0"/>
              <w:keepNext w:val="0"/>
              <w:rPr>
                <w:b/>
                <w:szCs w:val="20"/>
              </w:rPr>
            </w:pPr>
            <w:r w:rsidRPr="008E7C4C">
              <w:rPr>
                <w:b/>
                <w:szCs w:val="20"/>
              </w:rPr>
              <w:t>Prescriber Instructions:</w:t>
            </w:r>
          </w:p>
          <w:p w14:paraId="35BDBB7B" w14:textId="77777777" w:rsidR="0012410C" w:rsidRPr="008E7C4C" w:rsidRDefault="0012410C" w:rsidP="00B17FC5">
            <w:pPr>
              <w:pStyle w:val="TableText0"/>
              <w:keepNext w:val="0"/>
              <w:rPr>
                <w:strike/>
                <w:szCs w:val="20"/>
              </w:rPr>
            </w:pPr>
            <w:r w:rsidRPr="008E7C4C">
              <w:rPr>
                <w:strike/>
                <w:szCs w:val="20"/>
              </w:rPr>
              <w:t>Progressive disease is defined as at least 1 of the following:</w:t>
            </w:r>
          </w:p>
          <w:p w14:paraId="4ACE26F7" w14:textId="77777777" w:rsidR="0012410C" w:rsidRPr="008E7C4C" w:rsidRDefault="0012410C" w:rsidP="00B17FC5">
            <w:pPr>
              <w:pStyle w:val="TableText0"/>
              <w:keepNext w:val="0"/>
              <w:rPr>
                <w:strike/>
                <w:szCs w:val="20"/>
              </w:rPr>
            </w:pPr>
            <w:r w:rsidRPr="008E7C4C">
              <w:rPr>
                <w:strike/>
                <w:szCs w:val="20"/>
              </w:rPr>
              <w:t>(a) at least a 25% increase and an absolute increase of at least 5 g per L in serum M protein (monoclonal protein); or</w:t>
            </w:r>
          </w:p>
          <w:p w14:paraId="61B99DEE" w14:textId="77777777" w:rsidR="0012410C" w:rsidRPr="008E7C4C" w:rsidRDefault="0012410C" w:rsidP="00B17FC5">
            <w:pPr>
              <w:pStyle w:val="TableText0"/>
              <w:keepNext w:val="0"/>
              <w:rPr>
                <w:strike/>
                <w:szCs w:val="20"/>
              </w:rPr>
            </w:pPr>
            <w:r w:rsidRPr="008E7C4C">
              <w:rPr>
                <w:strike/>
                <w:szCs w:val="20"/>
              </w:rPr>
              <w:t>(b) at least a 25% increase in 24-hour urinary light chain M protein excretion, and an absolute increase of at least 200 mg per 24 hours; or</w:t>
            </w:r>
          </w:p>
          <w:p w14:paraId="28ECA940" w14:textId="77777777" w:rsidR="0012410C" w:rsidRPr="008E7C4C" w:rsidRDefault="0012410C" w:rsidP="00B17FC5">
            <w:pPr>
              <w:pStyle w:val="TableText0"/>
              <w:keepNext w:val="0"/>
              <w:rPr>
                <w:strike/>
                <w:szCs w:val="20"/>
              </w:rPr>
            </w:pPr>
            <w:r w:rsidRPr="008E7C4C">
              <w:rPr>
                <w:strike/>
                <w:szCs w:val="20"/>
              </w:rPr>
              <w:t>(c) in oligo-secretory and non-secretory myeloma patients only, at least a 50%</w:t>
            </w:r>
          </w:p>
          <w:p w14:paraId="1A25C469" w14:textId="77777777" w:rsidR="0012410C" w:rsidRPr="008E7C4C" w:rsidRDefault="0012410C" w:rsidP="00B17FC5">
            <w:pPr>
              <w:pStyle w:val="TableText0"/>
              <w:keepNext w:val="0"/>
              <w:rPr>
                <w:strike/>
                <w:szCs w:val="20"/>
              </w:rPr>
            </w:pPr>
            <w:r w:rsidRPr="008E7C4C">
              <w:rPr>
                <w:strike/>
                <w:szCs w:val="20"/>
              </w:rPr>
              <w:t>increase of the difference between involved free light chain and uninvolved free light chain; or</w:t>
            </w:r>
          </w:p>
          <w:p w14:paraId="35ECA08D" w14:textId="77777777" w:rsidR="0012410C" w:rsidRPr="008E7C4C" w:rsidRDefault="0012410C" w:rsidP="00B17FC5">
            <w:pPr>
              <w:pStyle w:val="TableText0"/>
              <w:keepNext w:val="0"/>
              <w:rPr>
                <w:strike/>
                <w:szCs w:val="20"/>
              </w:rPr>
            </w:pPr>
            <w:r w:rsidRPr="008E7C4C">
              <w:rPr>
                <w:strike/>
                <w:szCs w:val="20"/>
              </w:rPr>
              <w:t>(d) at least a 25% relative increase and at least a 10% absolute increase in plasma cells in a bone marrow aspirate or on biopsy; or</w:t>
            </w:r>
          </w:p>
          <w:p w14:paraId="51D801BC" w14:textId="77777777" w:rsidR="0012410C" w:rsidRPr="008E7C4C" w:rsidRDefault="0012410C" w:rsidP="00B17FC5">
            <w:pPr>
              <w:pStyle w:val="TableText0"/>
              <w:keepNext w:val="0"/>
              <w:rPr>
                <w:strike/>
                <w:szCs w:val="20"/>
              </w:rPr>
            </w:pPr>
            <w:r w:rsidRPr="008E7C4C">
              <w:rPr>
                <w:strike/>
                <w:szCs w:val="20"/>
              </w:rPr>
              <w:t>(e) an increase in the size or number of lytic bone lesions (not including compression fractures); or</w:t>
            </w:r>
          </w:p>
          <w:p w14:paraId="66C77232" w14:textId="77777777" w:rsidR="0012410C" w:rsidRPr="008E7C4C" w:rsidRDefault="0012410C" w:rsidP="00B17FC5">
            <w:pPr>
              <w:pStyle w:val="TableText0"/>
              <w:keepNext w:val="0"/>
              <w:rPr>
                <w:strike/>
                <w:szCs w:val="20"/>
              </w:rPr>
            </w:pPr>
            <w:r w:rsidRPr="008E7C4C">
              <w:rPr>
                <w:strike/>
                <w:szCs w:val="20"/>
              </w:rPr>
              <w:t>(f) at least a 25% increase in the size of an existing or the development of a new soft tissue plasmacytoma (determined by clinical examination or diagnostic imaging); or</w:t>
            </w:r>
          </w:p>
          <w:p w14:paraId="0C74CD65" w14:textId="77777777" w:rsidR="0012410C" w:rsidRPr="008E7C4C" w:rsidRDefault="0012410C" w:rsidP="00B17FC5">
            <w:pPr>
              <w:pStyle w:val="TableText0"/>
              <w:keepNext w:val="0"/>
              <w:rPr>
                <w:strike/>
                <w:szCs w:val="20"/>
              </w:rPr>
            </w:pPr>
            <w:r w:rsidRPr="008E7C4C">
              <w:rPr>
                <w:strike/>
                <w:szCs w:val="20"/>
              </w:rPr>
              <w:t>(g) development of hypercalcaemia (corrected serum calcium greater than 2.65 mmol per L not attributable to any other cause).</w:t>
            </w:r>
          </w:p>
        </w:tc>
      </w:tr>
      <w:tr w:rsidR="0012410C" w:rsidRPr="008E7C4C" w14:paraId="2C986F9A" w14:textId="77777777" w:rsidTr="0012410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4286C84" w14:textId="77777777" w:rsidR="0012410C" w:rsidRPr="008E7C4C" w:rsidRDefault="0012410C" w:rsidP="00B17FC5">
            <w:pPr>
              <w:rPr>
                <w:rFonts w:ascii="Arial Narrow" w:hAnsi="Arial Narrow"/>
                <w:b/>
                <w:bCs/>
                <w:i/>
                <w:color w:val="333333"/>
                <w:sz w:val="20"/>
                <w:szCs w:val="20"/>
              </w:rPr>
            </w:pPr>
            <w:r w:rsidRPr="008E7C4C">
              <w:rPr>
                <w:rFonts w:ascii="Arial Narrow" w:hAnsi="Arial Narrow"/>
                <w:b/>
                <w:bCs/>
                <w:i/>
                <w:color w:val="333333"/>
                <w:sz w:val="20"/>
                <w:szCs w:val="20"/>
              </w:rPr>
              <w:t>Prescribing Instructions:</w:t>
            </w:r>
          </w:p>
          <w:p w14:paraId="0DD7D87A" w14:textId="77777777" w:rsidR="0012410C" w:rsidRPr="008E7C4C" w:rsidRDefault="0012410C" w:rsidP="00B17FC5">
            <w:pPr>
              <w:rPr>
                <w:rFonts w:ascii="Arial Narrow" w:hAnsi="Arial Narrow"/>
                <w:b/>
                <w:i/>
                <w:sz w:val="20"/>
                <w:szCs w:val="20"/>
              </w:rPr>
            </w:pPr>
            <w:r w:rsidRPr="008E7C4C">
              <w:rPr>
                <w:rFonts w:ascii="Arial Narrow" w:hAnsi="Arial Narrow"/>
                <w:bCs/>
                <w:i/>
                <w:color w:val="333333"/>
                <w:sz w:val="20"/>
                <w:szCs w:val="20"/>
              </w:rPr>
              <w:t>Provide details of the histological diagnosis of multiple myeloma, prior treatments including name(s) of drug(s) and date of most recent treatment cycle prior to having commenced non-PBS subsidised treatment; the basis of the diagnosis of progressive disease or failure to respond; and which disease activity parameters will be used to assess response once only through the Authority application for lenalidomide.</w:t>
            </w:r>
          </w:p>
        </w:tc>
      </w:tr>
      <w:tr w:rsidR="0012410C" w:rsidRPr="008E7C4C" w14:paraId="3418BFFF" w14:textId="77777777" w:rsidTr="0012410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811534F" w14:textId="77777777" w:rsidR="0012410C" w:rsidRPr="008E7C4C" w:rsidRDefault="0012410C" w:rsidP="00B17FC5">
            <w:pPr>
              <w:rPr>
                <w:rFonts w:ascii="Arial Narrow" w:hAnsi="Arial Narrow"/>
                <w:b/>
                <w:i/>
                <w:sz w:val="20"/>
                <w:szCs w:val="20"/>
              </w:rPr>
            </w:pPr>
            <w:r w:rsidRPr="008E7C4C">
              <w:rPr>
                <w:rFonts w:ascii="Arial Narrow" w:hAnsi="Arial Narrow"/>
                <w:b/>
                <w:i/>
                <w:sz w:val="20"/>
                <w:szCs w:val="20"/>
              </w:rPr>
              <w:t>Administrative Advice:</w:t>
            </w:r>
          </w:p>
          <w:p w14:paraId="6BB5AF73" w14:textId="77777777" w:rsidR="0012410C" w:rsidRPr="008E7C4C" w:rsidRDefault="0012410C" w:rsidP="00B17FC5">
            <w:pPr>
              <w:rPr>
                <w:rFonts w:ascii="Arial Narrow" w:hAnsi="Arial Narrow"/>
                <w:i/>
                <w:sz w:val="20"/>
                <w:szCs w:val="20"/>
              </w:rPr>
            </w:pPr>
            <w:r w:rsidRPr="008E7C4C">
              <w:rPr>
                <w:rFonts w:ascii="Arial Narrow" w:hAnsi="Arial Narrow"/>
                <w:i/>
                <w:sz w:val="20"/>
                <w:szCs w:val="20"/>
              </w:rPr>
              <w:t xml:space="preserve">Applications for authorisation under this restriction may be made in real time using the Online PBS Authorities system (see </w:t>
            </w:r>
            <w:proofErr w:type="gramStart"/>
            <w:r w:rsidRPr="008E7C4C">
              <w:rPr>
                <w:rFonts w:ascii="Arial Narrow" w:hAnsi="Arial Narrow"/>
                <w:i/>
                <w:sz w:val="20"/>
                <w:szCs w:val="20"/>
              </w:rPr>
              <w:t>www.servicesaustralia.gov.au/HPOS)  or</w:t>
            </w:r>
            <w:proofErr w:type="gramEnd"/>
            <w:r w:rsidRPr="008E7C4C">
              <w:rPr>
                <w:rFonts w:ascii="Arial Narrow" w:hAnsi="Arial Narrow"/>
                <w:i/>
                <w:sz w:val="20"/>
                <w:szCs w:val="20"/>
              </w:rPr>
              <w:t xml:space="preserve"> by telephone by contacting the Services Australia on 1800 700 270 (hours of operation 8 a.m. to 5 p.m. EST Monday to Friday)</w:t>
            </w:r>
          </w:p>
        </w:tc>
      </w:tr>
      <w:tr w:rsidR="0012410C" w:rsidRPr="008E7C4C" w14:paraId="73E61FD6" w14:textId="77777777" w:rsidTr="0012410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B6384B0" w14:textId="77777777" w:rsidR="0012410C" w:rsidRPr="008E7C4C" w:rsidRDefault="0012410C" w:rsidP="00B17FC5">
            <w:pPr>
              <w:rPr>
                <w:rFonts w:ascii="Arial Narrow" w:hAnsi="Arial Narrow"/>
                <w:b/>
                <w:i/>
                <w:sz w:val="20"/>
                <w:szCs w:val="20"/>
              </w:rPr>
            </w:pPr>
            <w:r w:rsidRPr="008E7C4C">
              <w:rPr>
                <w:rFonts w:ascii="Arial Narrow" w:hAnsi="Arial Narrow"/>
                <w:b/>
                <w:bCs/>
                <w:i/>
                <w:sz w:val="20"/>
                <w:szCs w:val="20"/>
              </w:rPr>
              <w:t xml:space="preserve">Administrative Advice: </w:t>
            </w:r>
            <w:r w:rsidRPr="008E7C4C">
              <w:rPr>
                <w:rFonts w:ascii="Arial Narrow" w:hAnsi="Arial Narrow"/>
                <w:bCs/>
                <w:i/>
                <w:sz w:val="20"/>
                <w:szCs w:val="20"/>
              </w:rPr>
              <w:t>No increase in the maximum quantity or number of units may be authorised.</w:t>
            </w:r>
          </w:p>
        </w:tc>
      </w:tr>
      <w:tr w:rsidR="0012410C" w:rsidRPr="008E7C4C" w14:paraId="170252C6" w14:textId="77777777" w:rsidTr="0012410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0AA7975" w14:textId="77777777" w:rsidR="0012410C" w:rsidRPr="008E7C4C" w:rsidRDefault="0012410C" w:rsidP="00B17FC5">
            <w:pPr>
              <w:rPr>
                <w:rFonts w:ascii="Arial Narrow" w:hAnsi="Arial Narrow"/>
                <w:i/>
                <w:sz w:val="20"/>
                <w:szCs w:val="20"/>
              </w:rPr>
            </w:pPr>
            <w:r w:rsidRPr="008E7C4C">
              <w:rPr>
                <w:rFonts w:ascii="Arial Narrow" w:hAnsi="Arial Narrow"/>
                <w:b/>
                <w:i/>
                <w:sz w:val="20"/>
                <w:szCs w:val="20"/>
              </w:rPr>
              <w:t>Administrative Advice:</w:t>
            </w:r>
            <w:r w:rsidRPr="008E7C4C">
              <w:rPr>
                <w:rFonts w:ascii="Arial Narrow" w:hAnsi="Arial Narrow"/>
                <w:i/>
                <w:sz w:val="20"/>
                <w:szCs w:val="20"/>
              </w:rPr>
              <w:t xml:space="preserve"> No increase in the maximum number of repeats may be authorised.</w:t>
            </w:r>
          </w:p>
        </w:tc>
      </w:tr>
      <w:tr w:rsidR="0012410C" w:rsidRPr="008E7C4C" w14:paraId="71CE93F3" w14:textId="77777777" w:rsidTr="0012410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D07DDA3" w14:textId="77777777" w:rsidR="0012410C" w:rsidRPr="008E7C4C" w:rsidRDefault="0012410C" w:rsidP="00B17FC5">
            <w:pPr>
              <w:rPr>
                <w:rFonts w:ascii="Arial Narrow" w:hAnsi="Arial Narrow"/>
                <w:i/>
                <w:sz w:val="20"/>
                <w:szCs w:val="20"/>
              </w:rPr>
            </w:pPr>
            <w:r w:rsidRPr="008E7C4C">
              <w:rPr>
                <w:rFonts w:ascii="Arial Narrow" w:hAnsi="Arial Narrow"/>
                <w:b/>
                <w:i/>
                <w:sz w:val="20"/>
                <w:szCs w:val="20"/>
              </w:rPr>
              <w:t>Administrative Advice:</w:t>
            </w:r>
            <w:r w:rsidRPr="008E7C4C">
              <w:rPr>
                <w:rFonts w:ascii="Arial Narrow" w:hAnsi="Arial Narrow"/>
                <w:i/>
                <w:sz w:val="20"/>
                <w:szCs w:val="20"/>
              </w:rPr>
              <w:t xml:space="preserve"> Special Pricing Arrangements apply</w:t>
            </w:r>
          </w:p>
        </w:tc>
      </w:tr>
    </w:tbl>
    <w:p w14:paraId="5A0170AC" w14:textId="77777777" w:rsidR="0012410C" w:rsidRPr="008E7C4C" w:rsidRDefault="0012410C" w:rsidP="001C06DC"/>
    <w:p w14:paraId="2158663D" w14:textId="11A8B927" w:rsidR="00CC25DE" w:rsidRPr="008E7C4C" w:rsidRDefault="009C3314" w:rsidP="00CC25DE">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The same</w:t>
      </w:r>
      <w:r w:rsidR="00CC25DE" w:rsidRPr="008E7C4C">
        <w:rPr>
          <w:rFonts w:asciiTheme="minorHAnsi" w:hAnsiTheme="minorHAnsi"/>
          <w:snapToGrid w:val="0"/>
          <w:color w:val="000000" w:themeColor="text1"/>
        </w:rPr>
        <w:t xml:space="preserve"> dispensed price for maximum quantity (DPMQ) was proposed for the listing of the three presentations of </w:t>
      </w:r>
      <w:proofErr w:type="spellStart"/>
      <w:r w:rsidR="00CC25DE" w:rsidRPr="008E7C4C">
        <w:rPr>
          <w:rFonts w:asciiTheme="minorHAnsi" w:hAnsiTheme="minorHAnsi"/>
          <w:snapToGrid w:val="0"/>
          <w:color w:val="000000" w:themeColor="text1"/>
        </w:rPr>
        <w:t>ixazomib</w:t>
      </w:r>
      <w:proofErr w:type="spellEnd"/>
      <w:r w:rsidR="00CC25DE" w:rsidRPr="008E7C4C">
        <w:rPr>
          <w:rFonts w:asciiTheme="minorHAnsi" w:hAnsiTheme="minorHAnsi"/>
          <w:snapToGrid w:val="0"/>
          <w:color w:val="000000" w:themeColor="text1"/>
        </w:rPr>
        <w:t>.</w:t>
      </w:r>
      <w:r w:rsidR="00D67295" w:rsidRPr="008E7C4C">
        <w:rPr>
          <w:rFonts w:asciiTheme="minorHAnsi" w:hAnsiTheme="minorHAnsi"/>
          <w:snapToGrid w:val="0"/>
          <w:color w:val="000000" w:themeColor="text1"/>
        </w:rPr>
        <w:t xml:space="preserve"> It should be noted that 25% of patients who received </w:t>
      </w:r>
      <w:proofErr w:type="spellStart"/>
      <w:r w:rsidR="00D67295" w:rsidRPr="008E7C4C">
        <w:rPr>
          <w:rFonts w:asciiTheme="minorHAnsi" w:hAnsiTheme="minorHAnsi"/>
          <w:snapToGrid w:val="0"/>
          <w:color w:val="000000" w:themeColor="text1"/>
        </w:rPr>
        <w:t>ILd</w:t>
      </w:r>
      <w:proofErr w:type="spellEnd"/>
      <w:r w:rsidR="00D67295" w:rsidRPr="008E7C4C">
        <w:rPr>
          <w:rFonts w:asciiTheme="minorHAnsi" w:hAnsiTheme="minorHAnsi"/>
          <w:snapToGrid w:val="0"/>
          <w:color w:val="000000" w:themeColor="text1"/>
        </w:rPr>
        <w:t xml:space="preserve"> required at least one dose reduction, of which 7% required at least two dose reductions.</w:t>
      </w:r>
      <w:r w:rsidR="00CC25DE" w:rsidRPr="008E7C4C">
        <w:rPr>
          <w:rFonts w:asciiTheme="minorHAnsi" w:hAnsiTheme="minorHAnsi"/>
          <w:snapToGrid w:val="0"/>
          <w:color w:val="000000" w:themeColor="text1"/>
        </w:rPr>
        <w:t xml:space="preserve"> </w:t>
      </w:r>
    </w:p>
    <w:p w14:paraId="57570135" w14:textId="4B8A92AA" w:rsidR="00CC25DE" w:rsidRPr="008E7C4C" w:rsidRDefault="00CC25DE" w:rsidP="00CC25DE">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The resubmission noted that an SPA appl</w:t>
      </w:r>
      <w:r w:rsidR="00016340" w:rsidRPr="008E7C4C">
        <w:rPr>
          <w:rFonts w:asciiTheme="minorHAnsi" w:hAnsiTheme="minorHAnsi"/>
          <w:snapToGrid w:val="0"/>
          <w:color w:val="000000" w:themeColor="text1"/>
        </w:rPr>
        <w:t>ies</w:t>
      </w:r>
      <w:r w:rsidRPr="008E7C4C">
        <w:rPr>
          <w:rFonts w:asciiTheme="minorHAnsi" w:hAnsiTheme="minorHAnsi"/>
          <w:snapToGrid w:val="0"/>
          <w:color w:val="000000" w:themeColor="text1"/>
        </w:rPr>
        <w:t xml:space="preserve"> to both carfilzomib and lenalidomide and requested a similar arrangement for </w:t>
      </w:r>
      <w:proofErr w:type="spellStart"/>
      <w:r w:rsidRPr="008E7C4C">
        <w:rPr>
          <w:rFonts w:asciiTheme="minorHAnsi" w:hAnsiTheme="minorHAnsi"/>
          <w:snapToGrid w:val="0"/>
          <w:color w:val="000000" w:themeColor="text1"/>
        </w:rPr>
        <w:t>ixazomib</w:t>
      </w:r>
      <w:proofErr w:type="spellEnd"/>
      <w:r w:rsidRPr="008E7C4C">
        <w:rPr>
          <w:rFonts w:asciiTheme="minorHAnsi" w:hAnsiTheme="minorHAnsi"/>
          <w:snapToGrid w:val="0"/>
          <w:color w:val="000000" w:themeColor="text1"/>
        </w:rPr>
        <w:t xml:space="preserve">. No effective price was proposed at the time of the resubmission given that effective prices of the comparators were unknown to the sponsor. </w:t>
      </w:r>
    </w:p>
    <w:p w14:paraId="3FD6404C" w14:textId="1487367D" w:rsidR="00CC25DE" w:rsidRPr="008E7C4C" w:rsidRDefault="00D57219" w:rsidP="00130AE3">
      <w:pPr>
        <w:pStyle w:val="3-BodyText"/>
        <w:rPr>
          <w:color w:val="000000" w:themeColor="text1"/>
        </w:rPr>
      </w:pPr>
      <w:r w:rsidRPr="008E7C4C">
        <w:rPr>
          <w:color w:val="000000" w:themeColor="text1"/>
        </w:rPr>
        <w:t xml:space="preserve">The resubmission proposed listing for patients with </w:t>
      </w:r>
      <w:proofErr w:type="gramStart"/>
      <w:r w:rsidRPr="008E7C4C">
        <w:rPr>
          <w:color w:val="000000" w:themeColor="text1"/>
        </w:rPr>
        <w:t>histologically-confirmed</w:t>
      </w:r>
      <w:proofErr w:type="gramEnd"/>
      <w:r w:rsidRPr="008E7C4C">
        <w:rPr>
          <w:color w:val="000000" w:themeColor="text1"/>
        </w:rPr>
        <w:t xml:space="preserve"> multiple myeloma who have received at least two prior therapies.  </w:t>
      </w:r>
      <w:r w:rsidR="00CC25DE" w:rsidRPr="008E7C4C">
        <w:rPr>
          <w:color w:val="000000" w:themeColor="text1"/>
        </w:rPr>
        <w:t xml:space="preserve">The </w:t>
      </w:r>
      <w:r w:rsidR="00763A10" w:rsidRPr="008E7C4C">
        <w:rPr>
          <w:color w:val="000000" w:themeColor="text1"/>
        </w:rPr>
        <w:t xml:space="preserve">ESC noted that the </w:t>
      </w:r>
      <w:r w:rsidR="00CC25DE" w:rsidRPr="008E7C4C">
        <w:rPr>
          <w:color w:val="000000" w:themeColor="text1"/>
        </w:rPr>
        <w:t>proposed restriction w</w:t>
      </w:r>
      <w:r w:rsidR="00016340" w:rsidRPr="008E7C4C">
        <w:rPr>
          <w:color w:val="000000" w:themeColor="text1"/>
        </w:rPr>
        <w:t>as</w:t>
      </w:r>
      <w:r w:rsidR="000C2D35" w:rsidRPr="008E7C4C">
        <w:rPr>
          <w:color w:val="000000" w:themeColor="text1"/>
        </w:rPr>
        <w:t xml:space="preserve"> </w:t>
      </w:r>
      <w:r w:rsidR="00016340" w:rsidRPr="008E7C4C">
        <w:rPr>
          <w:color w:val="000000" w:themeColor="text1"/>
        </w:rPr>
        <w:t xml:space="preserve">narrower than the </w:t>
      </w:r>
      <w:r w:rsidR="00CC25DE" w:rsidRPr="008E7C4C">
        <w:rPr>
          <w:color w:val="000000" w:themeColor="text1"/>
        </w:rPr>
        <w:t>TGA indication</w:t>
      </w:r>
      <w:r w:rsidR="009058E7" w:rsidRPr="008E7C4C">
        <w:rPr>
          <w:color w:val="000000" w:themeColor="text1"/>
        </w:rPr>
        <w:t xml:space="preserve"> where the use is for RRMM patients who had received at least one prior </w:t>
      </w:r>
      <w:proofErr w:type="gramStart"/>
      <w:r w:rsidR="009058E7" w:rsidRPr="008E7C4C">
        <w:rPr>
          <w:color w:val="000000" w:themeColor="text1"/>
        </w:rPr>
        <w:t>therapy</w:t>
      </w:r>
      <w:r w:rsidR="00CC25DE" w:rsidRPr="008E7C4C">
        <w:rPr>
          <w:color w:val="000000" w:themeColor="text1"/>
        </w:rPr>
        <w:t xml:space="preserve">, </w:t>
      </w:r>
      <w:r w:rsidR="00763A10" w:rsidRPr="008E7C4C">
        <w:rPr>
          <w:color w:val="000000" w:themeColor="text1"/>
        </w:rPr>
        <w:t>and</w:t>
      </w:r>
      <w:proofErr w:type="gramEnd"/>
      <w:r w:rsidR="00763A10" w:rsidRPr="008E7C4C">
        <w:rPr>
          <w:color w:val="000000" w:themeColor="text1"/>
        </w:rPr>
        <w:t xml:space="preserve"> considered that this more accurately reflected how </w:t>
      </w:r>
      <w:proofErr w:type="spellStart"/>
      <w:r w:rsidR="00763A10" w:rsidRPr="008E7C4C">
        <w:rPr>
          <w:color w:val="000000" w:themeColor="text1"/>
        </w:rPr>
        <w:t>ILd</w:t>
      </w:r>
      <w:proofErr w:type="spellEnd"/>
      <w:r w:rsidR="00763A10" w:rsidRPr="008E7C4C">
        <w:rPr>
          <w:color w:val="000000" w:themeColor="text1"/>
        </w:rPr>
        <w:t xml:space="preserve"> would be used in clinical practice. The proposed </w:t>
      </w:r>
      <w:r w:rsidR="00083A36" w:rsidRPr="008E7C4C">
        <w:rPr>
          <w:color w:val="000000" w:themeColor="text1"/>
        </w:rPr>
        <w:t>restriction</w:t>
      </w:r>
      <w:r w:rsidR="00763A10" w:rsidRPr="008E7C4C">
        <w:rPr>
          <w:color w:val="000000" w:themeColor="text1"/>
        </w:rPr>
        <w:t xml:space="preserve"> also </w:t>
      </w:r>
      <w:r w:rsidR="00CC25DE" w:rsidRPr="008E7C4C">
        <w:rPr>
          <w:color w:val="000000" w:themeColor="text1"/>
        </w:rPr>
        <w:t>reflected the clinical evidence (efficacy) presented, the economic model and the estimation of use in clinical practice.</w:t>
      </w:r>
    </w:p>
    <w:p w14:paraId="1A7BDBAB" w14:textId="22CB2BBA" w:rsidR="003F4E26" w:rsidRPr="008E7C4C" w:rsidRDefault="00CC25DE" w:rsidP="003F4E26">
      <w:pPr>
        <w:numPr>
          <w:ilvl w:val="1"/>
          <w:numId w:val="1"/>
        </w:numPr>
        <w:spacing w:after="120"/>
        <w:rPr>
          <w:rFonts w:asciiTheme="minorHAnsi" w:hAnsiTheme="minorHAnsi"/>
          <w:snapToGrid w:val="0"/>
        </w:rPr>
      </w:pPr>
      <w:r w:rsidRPr="008E7C4C">
        <w:rPr>
          <w:snapToGrid w:val="0"/>
        </w:rPr>
        <w:t xml:space="preserve">The proposed Section 100 (Highly Specialised Drugs Program) restriction for </w:t>
      </w:r>
      <w:proofErr w:type="spellStart"/>
      <w:r w:rsidRPr="008E7C4C">
        <w:rPr>
          <w:snapToGrid w:val="0"/>
        </w:rPr>
        <w:t>ixazomib</w:t>
      </w:r>
      <w:proofErr w:type="spellEnd"/>
      <w:r w:rsidRPr="008E7C4C">
        <w:rPr>
          <w:snapToGrid w:val="0"/>
        </w:rPr>
        <w:t xml:space="preserve"> aligned with the </w:t>
      </w:r>
      <w:r w:rsidR="00016340" w:rsidRPr="008E7C4C">
        <w:rPr>
          <w:snapToGrid w:val="0"/>
        </w:rPr>
        <w:t xml:space="preserve">current </w:t>
      </w:r>
      <w:r w:rsidRPr="008E7C4C">
        <w:rPr>
          <w:snapToGrid w:val="0"/>
        </w:rPr>
        <w:t>restrictions for lenalidomide</w:t>
      </w:r>
      <w:r w:rsidRPr="008E7C4C">
        <w:rPr>
          <w:rFonts w:asciiTheme="minorHAnsi" w:hAnsiTheme="minorHAnsi"/>
          <w:snapToGrid w:val="0"/>
          <w:color w:val="000000" w:themeColor="text1"/>
        </w:rPr>
        <w:t>.</w:t>
      </w:r>
      <w:r w:rsidR="00895531" w:rsidRPr="008E7C4C">
        <w:rPr>
          <w:rFonts w:asciiTheme="minorHAnsi" w:hAnsiTheme="minorHAnsi"/>
          <w:snapToGrid w:val="0"/>
          <w:color w:val="000000" w:themeColor="text1"/>
        </w:rPr>
        <w:t xml:space="preserve"> The PBAC considered that this was appropriate.</w:t>
      </w:r>
      <w:r w:rsidRPr="008E7C4C">
        <w:rPr>
          <w:rFonts w:asciiTheme="minorHAnsi" w:hAnsiTheme="minorHAnsi"/>
          <w:snapToGrid w:val="0"/>
          <w:color w:val="000000" w:themeColor="text1"/>
        </w:rPr>
        <w:t xml:space="preserve"> </w:t>
      </w:r>
    </w:p>
    <w:p w14:paraId="00412909" w14:textId="2F6D9863" w:rsidR="003F4E26" w:rsidRPr="008E7C4C" w:rsidRDefault="003F4E26" w:rsidP="003F4E26">
      <w:pPr>
        <w:spacing w:after="120"/>
        <w:ind w:left="720"/>
        <w:rPr>
          <w:rFonts w:asciiTheme="minorHAnsi" w:hAnsiTheme="minorHAnsi"/>
          <w:i/>
          <w:iCs/>
          <w:snapToGrid w:val="0"/>
        </w:rPr>
      </w:pPr>
      <w:r w:rsidRPr="008E7C4C">
        <w:rPr>
          <w:i/>
          <w:iCs/>
        </w:rPr>
        <w:t>For more detail on PBAC’s view, see section 7 PBAC outcome.</w:t>
      </w:r>
    </w:p>
    <w:p w14:paraId="15535A68" w14:textId="77777777" w:rsidR="00CC25DE" w:rsidRPr="008E7C4C" w:rsidRDefault="00CC25DE" w:rsidP="003A3E40">
      <w:pPr>
        <w:pStyle w:val="2-SectionHeading"/>
      </w:pPr>
      <w:bookmarkStart w:id="7" w:name="_Toc93487434"/>
      <w:r w:rsidRPr="008E7C4C">
        <w:t>Population and disease</w:t>
      </w:r>
      <w:bookmarkEnd w:id="7"/>
    </w:p>
    <w:p w14:paraId="39BFF590" w14:textId="77777777" w:rsidR="00CC25DE" w:rsidRPr="008E7C4C" w:rsidRDefault="00CC25DE" w:rsidP="00CC25DE">
      <w:pPr>
        <w:numPr>
          <w:ilvl w:val="1"/>
          <w:numId w:val="1"/>
        </w:numPr>
        <w:spacing w:after="120"/>
        <w:rPr>
          <w:rFonts w:asciiTheme="minorHAnsi" w:hAnsiTheme="minorHAnsi"/>
          <w:snapToGrid w:val="0"/>
          <w:color w:val="0066FF"/>
        </w:rPr>
      </w:pPr>
      <w:r w:rsidRPr="008E7C4C">
        <w:rPr>
          <w:rFonts w:asciiTheme="minorHAnsi" w:hAnsiTheme="minorHAnsi"/>
          <w:snapToGrid w:val="0"/>
          <w:color w:val="000000" w:themeColor="text1"/>
        </w:rPr>
        <w:t xml:space="preserve">MM is a haematological malignancy characterised by a clonal population of plasma cells in the bone marrow derived from post-germinal-centre B cells. Classification of symptomatic MM is defined by the presence of myeloma-defining events including the presence of myeloma related organ or tissue dysfunction, such as hypercalcaemia, renal insufficiency, </w:t>
      </w:r>
      <w:proofErr w:type="gramStart"/>
      <w:r w:rsidRPr="008E7C4C">
        <w:rPr>
          <w:rFonts w:asciiTheme="minorHAnsi" w:hAnsiTheme="minorHAnsi"/>
          <w:snapToGrid w:val="0"/>
          <w:color w:val="000000" w:themeColor="text1"/>
        </w:rPr>
        <w:t>anaemia</w:t>
      </w:r>
      <w:proofErr w:type="gramEnd"/>
      <w:r w:rsidRPr="008E7C4C">
        <w:rPr>
          <w:rFonts w:asciiTheme="minorHAnsi" w:hAnsiTheme="minorHAnsi"/>
          <w:snapToGrid w:val="0"/>
          <w:color w:val="000000" w:themeColor="text1"/>
        </w:rPr>
        <w:t xml:space="preserve"> and bone disease (also known as CRAB features). Although long term disease control is possible, MM is an incurable, progressive disease particularly challenging for patients who are considered biologically frail or difficult to treat. </w:t>
      </w:r>
    </w:p>
    <w:p w14:paraId="143C6E7B" w14:textId="3C04B637" w:rsidR="00CC25DE" w:rsidRPr="008E7C4C" w:rsidRDefault="00CC25DE" w:rsidP="00CC25DE">
      <w:pPr>
        <w:numPr>
          <w:ilvl w:val="1"/>
          <w:numId w:val="1"/>
        </w:numPr>
        <w:spacing w:after="120"/>
        <w:rPr>
          <w:rFonts w:asciiTheme="minorHAnsi" w:hAnsiTheme="minorHAnsi"/>
          <w:snapToGrid w:val="0"/>
          <w:color w:val="0066FF"/>
        </w:rPr>
      </w:pPr>
      <w:r w:rsidRPr="008E7C4C">
        <w:rPr>
          <w:rFonts w:asciiTheme="minorHAnsi" w:hAnsiTheme="minorHAnsi"/>
          <w:snapToGrid w:val="0"/>
          <w:color w:val="000000" w:themeColor="text1"/>
        </w:rPr>
        <w:t>The clinical management algorithm presented in the resubmission (Figure 1) w</w:t>
      </w:r>
      <w:r w:rsidR="00F0497D" w:rsidRPr="008E7C4C">
        <w:rPr>
          <w:rFonts w:asciiTheme="minorHAnsi" w:hAnsiTheme="minorHAnsi"/>
          <w:snapToGrid w:val="0"/>
          <w:color w:val="000000" w:themeColor="text1"/>
        </w:rPr>
        <w:t>as</w:t>
      </w:r>
      <w:r w:rsidRPr="008E7C4C">
        <w:rPr>
          <w:rFonts w:asciiTheme="minorHAnsi" w:hAnsiTheme="minorHAnsi"/>
          <w:snapToGrid w:val="0"/>
          <w:color w:val="000000" w:themeColor="text1"/>
        </w:rPr>
        <w:t xml:space="preserve"> primarily based on recommendations by the </w:t>
      </w:r>
      <w:r w:rsidRPr="008E7C4C">
        <w:rPr>
          <w:rFonts w:asciiTheme="minorHAnsi" w:hAnsiTheme="minorHAnsi"/>
          <w:snapToGrid w:val="0"/>
        </w:rPr>
        <w:t>Myeloma Australia Medical Scientific Advisory Group (</w:t>
      </w:r>
      <w:r w:rsidRPr="008E7C4C">
        <w:rPr>
          <w:rFonts w:asciiTheme="minorHAnsi" w:hAnsiTheme="minorHAnsi"/>
          <w:snapToGrid w:val="0"/>
          <w:color w:val="000000" w:themeColor="text1"/>
        </w:rPr>
        <w:t xml:space="preserve">MSAG) </w:t>
      </w:r>
      <w:r w:rsidRPr="008E7C4C">
        <w:rPr>
          <w:rFonts w:asciiTheme="minorHAnsi" w:hAnsiTheme="minorHAnsi"/>
          <w:snapToGrid w:val="0"/>
        </w:rPr>
        <w:t>MM clinical practice guidelines,</w:t>
      </w:r>
      <w:r w:rsidRPr="008E7C4C">
        <w:rPr>
          <w:rFonts w:asciiTheme="minorHAnsi" w:hAnsiTheme="minorHAnsi"/>
          <w:snapToGrid w:val="0"/>
          <w:color w:val="000000" w:themeColor="text1"/>
        </w:rPr>
        <w:t xml:space="preserve"> which were updated in October 2019.</w:t>
      </w:r>
      <w:r w:rsidRPr="008E7C4C">
        <w:rPr>
          <w:rFonts w:asciiTheme="minorHAnsi" w:hAnsiTheme="minorHAnsi"/>
          <w:snapToGrid w:val="0"/>
          <w:color w:val="0066FF"/>
        </w:rPr>
        <w:t xml:space="preserve"> </w:t>
      </w:r>
      <w:r w:rsidRPr="008E7C4C">
        <w:rPr>
          <w:rFonts w:asciiTheme="minorHAnsi" w:hAnsiTheme="minorHAnsi"/>
          <w:snapToGrid w:val="0"/>
          <w:color w:val="000000" w:themeColor="text1"/>
        </w:rPr>
        <w:t xml:space="preserve">The clinical algorithm appeared reasonable and reflected the Australian treatment context. </w:t>
      </w:r>
    </w:p>
    <w:p w14:paraId="6D671E00" w14:textId="77777777" w:rsidR="00CC25DE" w:rsidRPr="008E7C4C" w:rsidRDefault="00CC25DE" w:rsidP="00CC25DE">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lastRenderedPageBreak/>
        <w:t>Figure 1: Proposed clinical management algorithm for RRMM in Australia.</w:t>
      </w:r>
    </w:p>
    <w:p w14:paraId="27F6E47B" w14:textId="77777777" w:rsidR="00CC25DE" w:rsidRPr="008E7C4C" w:rsidRDefault="00CC25DE" w:rsidP="00CC25DE">
      <w:pPr>
        <w:spacing w:after="120"/>
        <w:ind w:left="720"/>
        <w:rPr>
          <w:rFonts w:asciiTheme="minorHAnsi" w:hAnsiTheme="minorHAnsi"/>
          <w:snapToGrid w:val="0"/>
          <w:color w:val="0066FF"/>
        </w:rPr>
      </w:pPr>
      <w:r w:rsidRPr="008E7C4C">
        <w:rPr>
          <w:rFonts w:ascii="Arial Narrow" w:eastAsiaTheme="majorEastAsia" w:hAnsi="Arial Narrow" w:cstheme="majorBidi"/>
          <w:b/>
          <w:bCs/>
          <w:noProof/>
          <w:snapToGrid w:val="0"/>
          <w:sz w:val="18"/>
        </w:rPr>
        <w:drawing>
          <wp:inline distT="0" distB="0" distL="0" distR="0" wp14:anchorId="00381EDC" wp14:editId="5FE0BC7B">
            <wp:extent cx="5460224" cy="1745672"/>
            <wp:effectExtent l="0" t="0" r="7620" b="6985"/>
            <wp:docPr id="2" name="Picture 2" descr="Figure 1: Proposed clinical management algorithm for RRMM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Proposed clinical management algorithm for RRMM in Australia."/>
                    <pic:cNvPicPr/>
                  </pic:nvPicPr>
                  <pic:blipFill>
                    <a:blip r:embed="rId8"/>
                    <a:stretch>
                      <a:fillRect/>
                    </a:stretch>
                  </pic:blipFill>
                  <pic:spPr>
                    <a:xfrm>
                      <a:off x="0" y="0"/>
                      <a:ext cx="5502004" cy="1759029"/>
                    </a:xfrm>
                    <a:prstGeom prst="rect">
                      <a:avLst/>
                    </a:prstGeom>
                  </pic:spPr>
                </pic:pic>
              </a:graphicData>
            </a:graphic>
          </wp:inline>
        </w:drawing>
      </w:r>
    </w:p>
    <w:p w14:paraId="45A80D89" w14:textId="37490FB1" w:rsidR="00CC25DE" w:rsidRPr="008E7C4C" w:rsidRDefault="00CC25DE" w:rsidP="00136562">
      <w:pPr>
        <w:pStyle w:val="PBACTableSource"/>
      </w:pPr>
      <w:r w:rsidRPr="008E7C4C">
        <w:t>Source: Figure 1-11, p35 of the resubmission.</w:t>
      </w:r>
    </w:p>
    <w:p w14:paraId="08EBC668" w14:textId="75AC8C8B" w:rsidR="001C06DC" w:rsidRPr="008E7C4C" w:rsidRDefault="001C06DC" w:rsidP="00136562">
      <w:pPr>
        <w:pStyle w:val="PBACTableSource"/>
      </w:pPr>
      <w:r w:rsidRPr="008E7C4C">
        <w:t xml:space="preserve">RRMM = relapsed and/or </w:t>
      </w:r>
      <w:r w:rsidR="00083A36" w:rsidRPr="008E7C4C">
        <w:t>refractory</w:t>
      </w:r>
      <w:r w:rsidRPr="008E7C4C">
        <w:t xml:space="preserve"> multiple myeloma</w:t>
      </w:r>
    </w:p>
    <w:p w14:paraId="5B1C2C37" w14:textId="42439F74" w:rsidR="00CC25DE" w:rsidRPr="008E7C4C" w:rsidRDefault="00CC25DE" w:rsidP="00136562">
      <w:pPr>
        <w:pStyle w:val="PBACTableSource"/>
      </w:pPr>
      <w:r w:rsidRPr="008E7C4C">
        <w:t>1</w:t>
      </w:r>
      <w:r w:rsidR="001C06DC" w:rsidRPr="008E7C4C">
        <w:t>.</w:t>
      </w:r>
      <w:r w:rsidRPr="008E7C4C">
        <w:t xml:space="preserve"> For patients who have progressive disease after one prior treatment only (</w:t>
      </w:r>
      <w:proofErr w:type="gramStart"/>
      <w:r w:rsidRPr="008E7C4C">
        <w:t>i.e.</w:t>
      </w:r>
      <w:proofErr w:type="gramEnd"/>
      <w:r w:rsidRPr="008E7C4C">
        <w:t xml:space="preserve"> 2L only).</w:t>
      </w:r>
    </w:p>
    <w:p w14:paraId="62D925F3" w14:textId="77777777" w:rsidR="00CC25DE" w:rsidRPr="008E7C4C" w:rsidRDefault="00CC25DE" w:rsidP="00136562">
      <w:pPr>
        <w:pStyle w:val="PBACTableSource"/>
      </w:pPr>
      <w:r w:rsidRPr="008E7C4C">
        <w:t>2. Recommended at the July 2021 PBAC meeting for patients who have experienced disease progression with at least one prior treatment. Not PBS listed at time of resubmission.</w:t>
      </w:r>
    </w:p>
    <w:p w14:paraId="3F91D1AA" w14:textId="77777777" w:rsidR="00CC25DE" w:rsidRPr="008E7C4C" w:rsidRDefault="00CC25DE" w:rsidP="00136562">
      <w:pPr>
        <w:pStyle w:val="PBACTableSource"/>
      </w:pPr>
      <w:r w:rsidRPr="008E7C4C">
        <w:t>3. Prior treatment must include lenalidomide, as monotherapy, or as part of a combination</w:t>
      </w:r>
    </w:p>
    <w:p w14:paraId="5825404C" w14:textId="77777777" w:rsidR="00CC25DE" w:rsidRPr="008E7C4C" w:rsidRDefault="00CC25DE" w:rsidP="00136562">
      <w:pPr>
        <w:pStyle w:val="PBACTableSource"/>
      </w:pPr>
      <w:r w:rsidRPr="008E7C4C">
        <w:t>4. Experienced treatment failure with lenalidomide and bortezomib, unless contraindicated or not tolerated. Pomalidomide must be used in combination with dexamethasone.</w:t>
      </w:r>
    </w:p>
    <w:p w14:paraId="28207FC6" w14:textId="77777777" w:rsidR="00CC25DE" w:rsidRPr="008E7C4C" w:rsidRDefault="00CC25DE" w:rsidP="00136562">
      <w:pPr>
        <w:pStyle w:val="PBACTableSource"/>
      </w:pPr>
      <w:r w:rsidRPr="008E7C4C">
        <w:t xml:space="preserve">5 The regimen and place in therapy requested in this resubmission, </w:t>
      </w:r>
      <w:proofErr w:type="spellStart"/>
      <w:r w:rsidRPr="008E7C4C">
        <w:t>ixazomib</w:t>
      </w:r>
      <w:proofErr w:type="spellEnd"/>
      <w:r w:rsidRPr="008E7C4C">
        <w:t xml:space="preserve"> in combination with lenalidomide and dexamethasone for RRMM patients who have received at least two prior therapies, is highlighted in red.</w:t>
      </w:r>
    </w:p>
    <w:p w14:paraId="01D29272" w14:textId="77777777" w:rsidR="009D3002" w:rsidRPr="008E7C4C" w:rsidRDefault="009D3002" w:rsidP="00CC25DE">
      <w:pPr>
        <w:keepLines/>
        <w:suppressLineNumbers/>
        <w:spacing w:after="120"/>
        <w:contextualSpacing/>
        <w:rPr>
          <w:rFonts w:ascii="Arial Narrow" w:hAnsi="Arial Narrow"/>
          <w:iCs/>
          <w:sz w:val="16"/>
        </w:rPr>
      </w:pPr>
    </w:p>
    <w:p w14:paraId="27A0A43D" w14:textId="1265C3A9" w:rsidR="003F4E26" w:rsidRPr="008E7C4C" w:rsidRDefault="00CC25DE" w:rsidP="003F4E26">
      <w:pPr>
        <w:numPr>
          <w:ilvl w:val="1"/>
          <w:numId w:val="1"/>
        </w:numPr>
        <w:spacing w:after="120"/>
        <w:rPr>
          <w:rFonts w:asciiTheme="minorHAnsi" w:hAnsiTheme="minorHAnsi"/>
          <w:snapToGrid w:val="0"/>
          <w:color w:val="0066FF"/>
        </w:rPr>
      </w:pPr>
      <w:proofErr w:type="spellStart"/>
      <w:r w:rsidRPr="008E7C4C">
        <w:rPr>
          <w:rFonts w:asciiTheme="minorHAnsi" w:hAnsiTheme="minorHAnsi"/>
          <w:snapToGrid w:val="0"/>
          <w:color w:val="000000" w:themeColor="text1"/>
        </w:rPr>
        <w:t>Ixazomib</w:t>
      </w:r>
      <w:proofErr w:type="spellEnd"/>
      <w:r w:rsidRPr="008E7C4C">
        <w:rPr>
          <w:rFonts w:asciiTheme="minorHAnsi" w:hAnsiTheme="minorHAnsi"/>
          <w:snapToGrid w:val="0"/>
          <w:color w:val="000000" w:themeColor="text1"/>
        </w:rPr>
        <w:t xml:space="preserve"> is an oral, </w:t>
      </w:r>
      <w:proofErr w:type="gramStart"/>
      <w:r w:rsidRPr="008E7C4C">
        <w:rPr>
          <w:rFonts w:asciiTheme="minorHAnsi" w:hAnsiTheme="minorHAnsi"/>
          <w:snapToGrid w:val="0"/>
          <w:color w:val="000000" w:themeColor="text1"/>
        </w:rPr>
        <w:t>selective</w:t>
      </w:r>
      <w:proofErr w:type="gramEnd"/>
      <w:r w:rsidRPr="008E7C4C">
        <w:rPr>
          <w:rFonts w:asciiTheme="minorHAnsi" w:hAnsiTheme="minorHAnsi"/>
          <w:snapToGrid w:val="0"/>
          <w:color w:val="000000" w:themeColor="text1"/>
        </w:rPr>
        <w:t xml:space="preserve"> and reversible proteasome inhibitor. The combination of </w:t>
      </w:r>
      <w:proofErr w:type="spellStart"/>
      <w:r w:rsidRPr="008E7C4C">
        <w:rPr>
          <w:rFonts w:asciiTheme="minorHAnsi" w:hAnsiTheme="minorHAnsi"/>
          <w:snapToGrid w:val="0"/>
          <w:color w:val="000000" w:themeColor="text1"/>
        </w:rPr>
        <w:t>ixazomib</w:t>
      </w:r>
      <w:proofErr w:type="spellEnd"/>
      <w:r w:rsidRPr="008E7C4C">
        <w:rPr>
          <w:rFonts w:asciiTheme="minorHAnsi" w:hAnsiTheme="minorHAnsi"/>
          <w:snapToGrid w:val="0"/>
          <w:color w:val="000000" w:themeColor="text1"/>
        </w:rPr>
        <w:t xml:space="preserve"> and lenalidomide demonstrated synergistic cytotoxic effects in MM cell lines. </w:t>
      </w:r>
      <w:proofErr w:type="spellStart"/>
      <w:r w:rsidRPr="008E7C4C">
        <w:rPr>
          <w:rFonts w:asciiTheme="minorHAnsi" w:hAnsiTheme="minorHAnsi"/>
          <w:snapToGrid w:val="0"/>
          <w:color w:val="000000" w:themeColor="text1"/>
        </w:rPr>
        <w:t>Ixazomib</w:t>
      </w:r>
      <w:proofErr w:type="spellEnd"/>
      <w:r w:rsidRPr="008E7C4C">
        <w:rPr>
          <w:rFonts w:asciiTheme="minorHAnsi" w:hAnsiTheme="minorHAnsi"/>
          <w:snapToGrid w:val="0"/>
          <w:color w:val="000000" w:themeColor="text1"/>
        </w:rPr>
        <w:t xml:space="preserve"> is the only oral proteasome inhibitor available in Australian clinical practice.</w:t>
      </w:r>
      <w:r w:rsidR="00B115E1" w:rsidRPr="008E7C4C">
        <w:rPr>
          <w:rFonts w:asciiTheme="minorHAnsi" w:hAnsiTheme="minorHAnsi"/>
          <w:snapToGrid w:val="0"/>
          <w:color w:val="000000" w:themeColor="text1"/>
        </w:rPr>
        <w:t xml:space="preserve"> </w:t>
      </w:r>
      <w:r w:rsidR="008928A6" w:rsidRPr="008E7C4C">
        <w:rPr>
          <w:rFonts w:asciiTheme="minorHAnsi" w:hAnsiTheme="minorHAnsi"/>
          <w:snapToGrid w:val="0"/>
          <w:color w:val="000000" w:themeColor="text1"/>
        </w:rPr>
        <w:t xml:space="preserve">The </w:t>
      </w:r>
      <w:r w:rsidR="00340557" w:rsidRPr="008E7C4C">
        <w:rPr>
          <w:rFonts w:asciiTheme="minorHAnsi" w:hAnsiTheme="minorHAnsi"/>
          <w:snapToGrid w:val="0"/>
        </w:rPr>
        <w:t>pre-Sub-Committee response (</w:t>
      </w:r>
      <w:r w:rsidR="008928A6" w:rsidRPr="008E7C4C">
        <w:rPr>
          <w:rFonts w:asciiTheme="minorHAnsi" w:hAnsiTheme="minorHAnsi"/>
          <w:snapToGrid w:val="0"/>
          <w:color w:val="000000" w:themeColor="text1"/>
        </w:rPr>
        <w:t>PSCR</w:t>
      </w:r>
      <w:r w:rsidR="00340557" w:rsidRPr="008E7C4C">
        <w:rPr>
          <w:rFonts w:asciiTheme="minorHAnsi" w:hAnsiTheme="minorHAnsi"/>
          <w:snapToGrid w:val="0"/>
          <w:color w:val="000000" w:themeColor="text1"/>
        </w:rPr>
        <w:t xml:space="preserve">; </w:t>
      </w:r>
      <w:r w:rsidR="008928A6" w:rsidRPr="008E7C4C">
        <w:rPr>
          <w:rFonts w:asciiTheme="minorHAnsi" w:hAnsiTheme="minorHAnsi"/>
          <w:snapToGrid w:val="0"/>
          <w:color w:val="000000" w:themeColor="text1"/>
        </w:rPr>
        <w:t xml:space="preserve">p1) </w:t>
      </w:r>
      <w:r w:rsidR="0017484E" w:rsidRPr="008E7C4C">
        <w:rPr>
          <w:rFonts w:asciiTheme="minorHAnsi" w:hAnsiTheme="minorHAnsi"/>
          <w:snapToGrid w:val="0"/>
          <w:color w:val="000000" w:themeColor="text1"/>
        </w:rPr>
        <w:t>noted</w:t>
      </w:r>
      <w:r w:rsidR="008928A6" w:rsidRPr="008E7C4C">
        <w:rPr>
          <w:rFonts w:asciiTheme="minorHAnsi" w:hAnsiTheme="minorHAnsi"/>
          <w:snapToGrid w:val="0"/>
          <w:color w:val="000000" w:themeColor="text1"/>
        </w:rPr>
        <w:t xml:space="preserve"> that </w:t>
      </w:r>
      <w:proofErr w:type="spellStart"/>
      <w:r w:rsidR="008928A6" w:rsidRPr="008E7C4C">
        <w:rPr>
          <w:rFonts w:asciiTheme="minorHAnsi" w:hAnsiTheme="minorHAnsi"/>
          <w:snapToGrid w:val="0"/>
          <w:color w:val="000000" w:themeColor="text1"/>
        </w:rPr>
        <w:t>ILd</w:t>
      </w:r>
      <w:proofErr w:type="spellEnd"/>
      <w:r w:rsidR="008928A6" w:rsidRPr="008E7C4C">
        <w:rPr>
          <w:rFonts w:asciiTheme="minorHAnsi" w:hAnsiTheme="minorHAnsi"/>
          <w:snapToGrid w:val="0"/>
          <w:color w:val="000000" w:themeColor="text1"/>
        </w:rPr>
        <w:t xml:space="preserve"> is the only all-oral three drug combination for RRMM that contains both a proteasome inhibitor and immunomodulating agent.</w:t>
      </w:r>
    </w:p>
    <w:p w14:paraId="6B9A7FDF" w14:textId="75CF2A8F" w:rsidR="003F4E26" w:rsidRPr="008E7C4C" w:rsidRDefault="003F4E26" w:rsidP="003F4E26">
      <w:pPr>
        <w:spacing w:after="120"/>
        <w:ind w:left="720"/>
        <w:rPr>
          <w:rFonts w:asciiTheme="minorHAnsi" w:hAnsiTheme="minorHAnsi"/>
          <w:i/>
          <w:iCs/>
          <w:snapToGrid w:val="0"/>
          <w:color w:val="0066FF"/>
        </w:rPr>
      </w:pPr>
      <w:r w:rsidRPr="008E7C4C">
        <w:rPr>
          <w:i/>
          <w:iCs/>
        </w:rPr>
        <w:t>For more detail on PBAC’s view, see section 7 PBAC outcome.</w:t>
      </w:r>
    </w:p>
    <w:p w14:paraId="30D83D23" w14:textId="77777777" w:rsidR="00CC25DE" w:rsidRPr="008E7C4C" w:rsidRDefault="00CC25DE" w:rsidP="003A3E40">
      <w:pPr>
        <w:pStyle w:val="2-SectionHeading"/>
      </w:pPr>
      <w:bookmarkStart w:id="8" w:name="_Toc93487435"/>
      <w:r w:rsidRPr="008E7C4C">
        <w:t>Comparator</w:t>
      </w:r>
      <w:bookmarkEnd w:id="8"/>
    </w:p>
    <w:p w14:paraId="72AE2A04" w14:textId="7264608E" w:rsidR="00152170" w:rsidRPr="008E7C4C" w:rsidRDefault="00CC25DE" w:rsidP="00CC25DE">
      <w:pPr>
        <w:numPr>
          <w:ilvl w:val="1"/>
          <w:numId w:val="1"/>
        </w:numPr>
        <w:spacing w:after="120"/>
        <w:rPr>
          <w:rFonts w:asciiTheme="minorHAnsi" w:hAnsiTheme="minorHAnsi"/>
        </w:rPr>
      </w:pPr>
      <w:r w:rsidRPr="008E7C4C">
        <w:rPr>
          <w:rFonts w:asciiTheme="minorHAnsi" w:hAnsiTheme="minorHAnsi"/>
        </w:rPr>
        <w:t xml:space="preserve">The resubmission nominated </w:t>
      </w:r>
      <w:proofErr w:type="spellStart"/>
      <w:r w:rsidRPr="008E7C4C">
        <w:rPr>
          <w:rFonts w:asciiTheme="minorHAnsi" w:hAnsiTheme="minorHAnsi"/>
        </w:rPr>
        <w:t>Ld</w:t>
      </w:r>
      <w:proofErr w:type="spellEnd"/>
      <w:r w:rsidRPr="008E7C4C">
        <w:rPr>
          <w:rFonts w:asciiTheme="minorHAnsi" w:hAnsiTheme="minorHAnsi"/>
        </w:rPr>
        <w:t xml:space="preserve"> as the main comparator, Cd as a secondary comparator and </w:t>
      </w:r>
      <w:proofErr w:type="spellStart"/>
      <w:r w:rsidR="00F0497D" w:rsidRPr="008E7C4C">
        <w:rPr>
          <w:rFonts w:asciiTheme="minorHAnsi" w:hAnsiTheme="minorHAnsi"/>
        </w:rPr>
        <w:t>ELd</w:t>
      </w:r>
      <w:proofErr w:type="spellEnd"/>
      <w:r w:rsidR="00F0497D" w:rsidRPr="008E7C4C">
        <w:rPr>
          <w:rFonts w:asciiTheme="minorHAnsi" w:hAnsiTheme="minorHAnsi"/>
        </w:rPr>
        <w:t xml:space="preserve"> </w:t>
      </w:r>
      <w:r w:rsidRPr="008E7C4C">
        <w:rPr>
          <w:rFonts w:asciiTheme="minorHAnsi" w:hAnsiTheme="minorHAnsi"/>
        </w:rPr>
        <w:t xml:space="preserve">as a near market comparator. </w:t>
      </w:r>
      <w:r w:rsidR="00152170" w:rsidRPr="008E7C4C">
        <w:rPr>
          <w:rFonts w:asciiTheme="minorHAnsi" w:hAnsiTheme="minorHAnsi"/>
        </w:rPr>
        <w:t xml:space="preserve">This differed to the November 2020 submission in which Cd was nominated as the main comparator, </w:t>
      </w:r>
      <w:proofErr w:type="spellStart"/>
      <w:r w:rsidR="00152170" w:rsidRPr="008E7C4C">
        <w:rPr>
          <w:rFonts w:asciiTheme="minorHAnsi" w:hAnsiTheme="minorHAnsi"/>
        </w:rPr>
        <w:t>Ld</w:t>
      </w:r>
      <w:proofErr w:type="spellEnd"/>
      <w:r w:rsidR="00152170" w:rsidRPr="008E7C4C">
        <w:rPr>
          <w:rFonts w:asciiTheme="minorHAnsi" w:hAnsiTheme="minorHAnsi"/>
        </w:rPr>
        <w:t xml:space="preserve"> was a secondary comparator and </w:t>
      </w:r>
      <w:proofErr w:type="spellStart"/>
      <w:r w:rsidR="00152170" w:rsidRPr="008E7C4C">
        <w:rPr>
          <w:rFonts w:asciiTheme="minorHAnsi" w:hAnsiTheme="minorHAnsi"/>
        </w:rPr>
        <w:t>DBd</w:t>
      </w:r>
      <w:proofErr w:type="spellEnd"/>
      <w:r w:rsidR="00152170" w:rsidRPr="008E7C4C">
        <w:rPr>
          <w:rFonts w:asciiTheme="minorHAnsi" w:hAnsiTheme="minorHAnsi"/>
        </w:rPr>
        <w:t xml:space="preserve"> was a near market comparator.</w:t>
      </w:r>
    </w:p>
    <w:p w14:paraId="65D7888E" w14:textId="74ED6C85" w:rsidR="002512AB" w:rsidRPr="008E7C4C" w:rsidRDefault="00CC25DE" w:rsidP="00CC25DE">
      <w:pPr>
        <w:numPr>
          <w:ilvl w:val="1"/>
          <w:numId w:val="1"/>
        </w:numPr>
        <w:spacing w:after="120"/>
        <w:rPr>
          <w:rFonts w:asciiTheme="minorHAnsi" w:hAnsiTheme="minorHAnsi"/>
        </w:rPr>
      </w:pPr>
      <w:r w:rsidRPr="008E7C4C">
        <w:rPr>
          <w:rFonts w:asciiTheme="minorHAnsi" w:hAnsiTheme="minorHAnsi"/>
        </w:rPr>
        <w:t xml:space="preserve">The resubmission </w:t>
      </w:r>
      <w:r w:rsidR="002512AB" w:rsidRPr="008E7C4C">
        <w:rPr>
          <w:rFonts w:asciiTheme="minorHAnsi" w:hAnsiTheme="minorHAnsi"/>
        </w:rPr>
        <w:t>not</w:t>
      </w:r>
      <w:r w:rsidR="00152170" w:rsidRPr="008E7C4C">
        <w:rPr>
          <w:rFonts w:asciiTheme="minorHAnsi" w:hAnsiTheme="minorHAnsi"/>
        </w:rPr>
        <w:t>ed</w:t>
      </w:r>
      <w:r w:rsidR="002512AB" w:rsidRPr="008E7C4C">
        <w:rPr>
          <w:rFonts w:asciiTheme="minorHAnsi" w:hAnsiTheme="minorHAnsi"/>
        </w:rPr>
        <w:t xml:space="preserve"> the November 2020 PBAC </w:t>
      </w:r>
      <w:r w:rsidR="003B1F7E">
        <w:rPr>
          <w:rFonts w:asciiTheme="minorHAnsi" w:hAnsiTheme="minorHAnsi"/>
        </w:rPr>
        <w:t>PSD</w:t>
      </w:r>
      <w:r w:rsidR="002512AB" w:rsidRPr="008E7C4C">
        <w:rPr>
          <w:rFonts w:asciiTheme="minorHAnsi" w:hAnsiTheme="minorHAnsi"/>
        </w:rPr>
        <w:t>s</w:t>
      </w:r>
      <w:r w:rsidR="00152170" w:rsidRPr="008E7C4C">
        <w:rPr>
          <w:rFonts w:asciiTheme="minorHAnsi" w:hAnsiTheme="minorHAnsi"/>
        </w:rPr>
        <w:t xml:space="preserve"> which </w:t>
      </w:r>
      <w:r w:rsidRPr="008E7C4C">
        <w:rPr>
          <w:rFonts w:asciiTheme="minorHAnsi" w:hAnsiTheme="minorHAnsi"/>
        </w:rPr>
        <w:t xml:space="preserve">stated that given lenalidomide </w:t>
      </w:r>
      <w:r w:rsidR="002512AB" w:rsidRPr="008E7C4C">
        <w:rPr>
          <w:rFonts w:asciiTheme="minorHAnsi" w:hAnsiTheme="minorHAnsi"/>
        </w:rPr>
        <w:t xml:space="preserve">was </w:t>
      </w:r>
      <w:r w:rsidRPr="008E7C4C">
        <w:rPr>
          <w:rFonts w:asciiTheme="minorHAnsi" w:hAnsiTheme="minorHAnsi"/>
        </w:rPr>
        <w:t xml:space="preserve">the backbone of </w:t>
      </w:r>
      <w:proofErr w:type="spellStart"/>
      <w:r w:rsidRPr="008E7C4C">
        <w:rPr>
          <w:rFonts w:asciiTheme="minorHAnsi" w:hAnsiTheme="minorHAnsi"/>
        </w:rPr>
        <w:t>ILd</w:t>
      </w:r>
      <w:proofErr w:type="spellEnd"/>
      <w:r w:rsidRPr="008E7C4C">
        <w:rPr>
          <w:rFonts w:asciiTheme="minorHAnsi" w:hAnsiTheme="minorHAnsi"/>
        </w:rPr>
        <w:t xml:space="preserve">, a patient considered eligible for </w:t>
      </w:r>
      <w:proofErr w:type="spellStart"/>
      <w:r w:rsidRPr="008E7C4C">
        <w:rPr>
          <w:rFonts w:asciiTheme="minorHAnsi" w:hAnsiTheme="minorHAnsi"/>
        </w:rPr>
        <w:t>ILd</w:t>
      </w:r>
      <w:proofErr w:type="spellEnd"/>
      <w:r w:rsidRPr="008E7C4C">
        <w:rPr>
          <w:rFonts w:asciiTheme="minorHAnsi" w:hAnsiTheme="minorHAnsi"/>
        </w:rPr>
        <w:t xml:space="preserve"> would likely also be considered eligible for Ld. Cd would be mostly displaced by </w:t>
      </w:r>
      <w:proofErr w:type="spellStart"/>
      <w:r w:rsidRPr="008E7C4C">
        <w:rPr>
          <w:rFonts w:asciiTheme="minorHAnsi" w:hAnsiTheme="minorHAnsi"/>
        </w:rPr>
        <w:t>ILd</w:t>
      </w:r>
      <w:proofErr w:type="spellEnd"/>
      <w:r w:rsidRPr="008E7C4C">
        <w:rPr>
          <w:rFonts w:asciiTheme="minorHAnsi" w:hAnsiTheme="minorHAnsi"/>
        </w:rPr>
        <w:t xml:space="preserve">, whereas </w:t>
      </w:r>
      <w:proofErr w:type="spellStart"/>
      <w:r w:rsidRPr="008E7C4C">
        <w:rPr>
          <w:rFonts w:asciiTheme="minorHAnsi" w:hAnsiTheme="minorHAnsi"/>
        </w:rPr>
        <w:t>Ld</w:t>
      </w:r>
      <w:proofErr w:type="spellEnd"/>
      <w:r w:rsidRPr="008E7C4C">
        <w:rPr>
          <w:rFonts w:asciiTheme="minorHAnsi" w:hAnsiTheme="minorHAnsi"/>
        </w:rPr>
        <w:t xml:space="preserve"> would be replaced; thus, </w:t>
      </w:r>
      <w:proofErr w:type="spellStart"/>
      <w:r w:rsidRPr="008E7C4C">
        <w:rPr>
          <w:rFonts w:asciiTheme="minorHAnsi" w:hAnsiTheme="minorHAnsi"/>
        </w:rPr>
        <w:t>Ld</w:t>
      </w:r>
      <w:proofErr w:type="spellEnd"/>
      <w:r w:rsidRPr="008E7C4C">
        <w:rPr>
          <w:rFonts w:asciiTheme="minorHAnsi" w:hAnsiTheme="minorHAnsi"/>
        </w:rPr>
        <w:t xml:space="preserve"> may be the most relevant comparator (paragraph</w:t>
      </w:r>
      <w:r w:rsidR="002512AB" w:rsidRPr="008E7C4C">
        <w:rPr>
          <w:rFonts w:asciiTheme="minorHAnsi" w:hAnsiTheme="minorHAnsi"/>
        </w:rPr>
        <w:t>s 5.2 and</w:t>
      </w:r>
      <w:r w:rsidRPr="008E7C4C">
        <w:rPr>
          <w:rFonts w:asciiTheme="minorHAnsi" w:hAnsiTheme="minorHAnsi"/>
        </w:rPr>
        <w:t xml:space="preserve"> 5.3, </w:t>
      </w:r>
      <w:proofErr w:type="spellStart"/>
      <w:r w:rsidRPr="008E7C4C">
        <w:rPr>
          <w:rFonts w:asciiTheme="minorHAnsi" w:hAnsiTheme="minorHAnsi"/>
        </w:rPr>
        <w:t>Ixazomib</w:t>
      </w:r>
      <w:proofErr w:type="spellEnd"/>
      <w:r w:rsidRPr="008E7C4C">
        <w:rPr>
          <w:rFonts w:asciiTheme="minorHAnsi" w:hAnsiTheme="minorHAnsi"/>
        </w:rPr>
        <w:t xml:space="preserve">, November 2020). </w:t>
      </w:r>
      <w:r w:rsidR="00152170" w:rsidRPr="008E7C4C">
        <w:rPr>
          <w:rFonts w:asciiTheme="minorHAnsi" w:hAnsiTheme="minorHAnsi"/>
        </w:rPr>
        <w:t xml:space="preserve">The </w:t>
      </w:r>
      <w:r w:rsidR="00FA22AF" w:rsidRPr="008E7C4C">
        <w:rPr>
          <w:rFonts w:asciiTheme="minorHAnsi" w:hAnsiTheme="minorHAnsi"/>
        </w:rPr>
        <w:t xml:space="preserve">ESC considered that the </w:t>
      </w:r>
      <w:r w:rsidR="00152170" w:rsidRPr="008E7C4C">
        <w:rPr>
          <w:rFonts w:asciiTheme="minorHAnsi" w:hAnsiTheme="minorHAnsi"/>
        </w:rPr>
        <w:t xml:space="preserve">nomination of </w:t>
      </w:r>
      <w:proofErr w:type="spellStart"/>
      <w:r w:rsidR="00152170" w:rsidRPr="008E7C4C">
        <w:rPr>
          <w:rFonts w:asciiTheme="minorHAnsi" w:hAnsiTheme="minorHAnsi"/>
        </w:rPr>
        <w:t>Ld</w:t>
      </w:r>
      <w:proofErr w:type="spellEnd"/>
      <w:r w:rsidR="00152170" w:rsidRPr="008E7C4C">
        <w:rPr>
          <w:rFonts w:asciiTheme="minorHAnsi" w:hAnsiTheme="minorHAnsi"/>
        </w:rPr>
        <w:t xml:space="preserve"> as the main comparator was reasonable.</w:t>
      </w:r>
    </w:p>
    <w:p w14:paraId="189EA6BA" w14:textId="196A8200" w:rsidR="00152170" w:rsidRPr="008E7C4C" w:rsidRDefault="00152170" w:rsidP="00CC25DE">
      <w:pPr>
        <w:numPr>
          <w:ilvl w:val="1"/>
          <w:numId w:val="1"/>
        </w:numPr>
        <w:spacing w:after="120"/>
        <w:rPr>
          <w:rFonts w:asciiTheme="minorHAnsi" w:hAnsiTheme="minorHAnsi"/>
        </w:rPr>
      </w:pPr>
      <w:r w:rsidRPr="008E7C4C">
        <w:rPr>
          <w:rFonts w:asciiTheme="minorHAnsi" w:hAnsiTheme="minorHAnsi"/>
        </w:rPr>
        <w:t xml:space="preserve">No further clinical data were presented in the resubmission </w:t>
      </w:r>
      <w:r w:rsidR="001C5D8A" w:rsidRPr="008E7C4C">
        <w:rPr>
          <w:rFonts w:asciiTheme="minorHAnsi" w:hAnsiTheme="minorHAnsi"/>
        </w:rPr>
        <w:t xml:space="preserve">to support the November 2020 non-inferiority claims in terms of efficacy and safety between </w:t>
      </w:r>
      <w:proofErr w:type="spellStart"/>
      <w:r w:rsidR="001C5D8A" w:rsidRPr="008E7C4C">
        <w:rPr>
          <w:rFonts w:asciiTheme="minorHAnsi" w:hAnsiTheme="minorHAnsi"/>
        </w:rPr>
        <w:t>ILd</w:t>
      </w:r>
      <w:proofErr w:type="spellEnd"/>
      <w:r w:rsidR="001C5D8A" w:rsidRPr="008E7C4C">
        <w:rPr>
          <w:rFonts w:asciiTheme="minorHAnsi" w:hAnsiTheme="minorHAnsi"/>
        </w:rPr>
        <w:t xml:space="preserve"> and </w:t>
      </w:r>
      <w:r w:rsidRPr="008E7C4C">
        <w:rPr>
          <w:rFonts w:asciiTheme="minorHAnsi" w:hAnsiTheme="minorHAnsi"/>
        </w:rPr>
        <w:t>Cd</w:t>
      </w:r>
      <w:r w:rsidR="001C5D8A" w:rsidRPr="008E7C4C">
        <w:rPr>
          <w:rFonts w:asciiTheme="minorHAnsi" w:hAnsiTheme="minorHAnsi"/>
        </w:rPr>
        <w:t xml:space="preserve">; hence, </w:t>
      </w:r>
      <w:r w:rsidR="001C5D8A" w:rsidRPr="008E7C4C">
        <w:rPr>
          <w:rFonts w:asciiTheme="minorHAnsi" w:hAnsiTheme="minorHAnsi"/>
        </w:rPr>
        <w:lastRenderedPageBreak/>
        <w:t xml:space="preserve">the issues previously identified </w:t>
      </w:r>
      <w:proofErr w:type="gramStart"/>
      <w:r w:rsidR="001C5D8A" w:rsidRPr="008E7C4C">
        <w:rPr>
          <w:rFonts w:asciiTheme="minorHAnsi" w:hAnsiTheme="minorHAnsi"/>
        </w:rPr>
        <w:t>remain</w:t>
      </w:r>
      <w:r w:rsidR="007E5787" w:rsidRPr="008E7C4C">
        <w:rPr>
          <w:rFonts w:asciiTheme="minorHAnsi" w:hAnsiTheme="minorHAnsi"/>
        </w:rPr>
        <w:t>ed</w:t>
      </w:r>
      <w:proofErr w:type="gramEnd"/>
      <w:r w:rsidR="001C5D8A" w:rsidRPr="008E7C4C">
        <w:rPr>
          <w:rFonts w:asciiTheme="minorHAnsi" w:hAnsiTheme="minorHAnsi"/>
        </w:rPr>
        <w:t xml:space="preserve"> and the claims remain</w:t>
      </w:r>
      <w:r w:rsidR="007E5787" w:rsidRPr="008E7C4C">
        <w:rPr>
          <w:rFonts w:asciiTheme="minorHAnsi" w:hAnsiTheme="minorHAnsi"/>
        </w:rPr>
        <w:t>ed</w:t>
      </w:r>
      <w:r w:rsidR="001C5D8A" w:rsidRPr="008E7C4C">
        <w:rPr>
          <w:rFonts w:asciiTheme="minorHAnsi" w:hAnsiTheme="minorHAnsi"/>
        </w:rPr>
        <w:t xml:space="preserve"> unsupported by the evidence. </w:t>
      </w:r>
    </w:p>
    <w:p w14:paraId="196ED9B5" w14:textId="395ED6AA" w:rsidR="001C5D8A" w:rsidRPr="008E7C4C" w:rsidRDefault="001C5D8A" w:rsidP="00CC25DE">
      <w:pPr>
        <w:numPr>
          <w:ilvl w:val="1"/>
          <w:numId w:val="1"/>
        </w:numPr>
        <w:spacing w:after="120"/>
        <w:rPr>
          <w:rFonts w:asciiTheme="minorHAnsi" w:hAnsiTheme="minorHAnsi"/>
        </w:rPr>
      </w:pPr>
      <w:proofErr w:type="spellStart"/>
      <w:r w:rsidRPr="008E7C4C">
        <w:rPr>
          <w:rFonts w:asciiTheme="minorHAnsi" w:hAnsiTheme="minorHAnsi"/>
        </w:rPr>
        <w:t>Ld</w:t>
      </w:r>
      <w:proofErr w:type="spellEnd"/>
      <w:r w:rsidRPr="008E7C4C">
        <w:rPr>
          <w:rFonts w:asciiTheme="minorHAnsi" w:hAnsiTheme="minorHAnsi"/>
        </w:rPr>
        <w:t xml:space="preserve"> </w:t>
      </w:r>
      <w:r w:rsidR="00BE69C2" w:rsidRPr="008E7C4C">
        <w:rPr>
          <w:rFonts w:asciiTheme="minorHAnsi" w:hAnsiTheme="minorHAnsi"/>
        </w:rPr>
        <w:t>was</w:t>
      </w:r>
      <w:r w:rsidRPr="008E7C4C">
        <w:rPr>
          <w:rFonts w:asciiTheme="minorHAnsi" w:hAnsiTheme="minorHAnsi"/>
        </w:rPr>
        <w:t xml:space="preserve"> included as </w:t>
      </w:r>
      <w:r w:rsidR="00BE69C2" w:rsidRPr="008E7C4C">
        <w:rPr>
          <w:rFonts w:asciiTheme="minorHAnsi" w:hAnsiTheme="minorHAnsi"/>
        </w:rPr>
        <w:t>a comparator</w:t>
      </w:r>
      <w:r w:rsidRPr="008E7C4C">
        <w:rPr>
          <w:rFonts w:asciiTheme="minorHAnsi" w:hAnsiTheme="minorHAnsi"/>
        </w:rPr>
        <w:t xml:space="preserve"> in the economic model</w:t>
      </w:r>
      <w:r w:rsidR="009A188C" w:rsidRPr="008E7C4C">
        <w:rPr>
          <w:rFonts w:asciiTheme="minorHAnsi" w:hAnsiTheme="minorHAnsi"/>
        </w:rPr>
        <w:t xml:space="preserve">, while </w:t>
      </w:r>
      <w:proofErr w:type="spellStart"/>
      <w:r w:rsidR="009A188C" w:rsidRPr="008E7C4C">
        <w:rPr>
          <w:rFonts w:asciiTheme="minorHAnsi" w:hAnsiTheme="minorHAnsi"/>
        </w:rPr>
        <w:t>Ld</w:t>
      </w:r>
      <w:proofErr w:type="spellEnd"/>
      <w:r w:rsidRPr="008E7C4C">
        <w:rPr>
          <w:rFonts w:asciiTheme="minorHAnsi" w:hAnsiTheme="minorHAnsi"/>
        </w:rPr>
        <w:t xml:space="preserve"> and</w:t>
      </w:r>
      <w:r w:rsidR="00BE69C2" w:rsidRPr="008E7C4C">
        <w:rPr>
          <w:rFonts w:asciiTheme="minorHAnsi" w:hAnsiTheme="minorHAnsi"/>
        </w:rPr>
        <w:t xml:space="preserve"> Cd w</w:t>
      </w:r>
      <w:r w:rsidR="009A188C" w:rsidRPr="008E7C4C">
        <w:rPr>
          <w:rFonts w:asciiTheme="minorHAnsi" w:hAnsiTheme="minorHAnsi"/>
        </w:rPr>
        <w:t>ere</w:t>
      </w:r>
      <w:r w:rsidR="00BE69C2" w:rsidRPr="008E7C4C">
        <w:rPr>
          <w:rFonts w:asciiTheme="minorHAnsi" w:hAnsiTheme="minorHAnsi"/>
        </w:rPr>
        <w:t xml:space="preserve"> included</w:t>
      </w:r>
      <w:r w:rsidR="009A188C" w:rsidRPr="008E7C4C">
        <w:rPr>
          <w:rFonts w:asciiTheme="minorHAnsi" w:hAnsiTheme="minorHAnsi"/>
        </w:rPr>
        <w:t xml:space="preserve"> as comparators</w:t>
      </w:r>
      <w:r w:rsidRPr="008E7C4C">
        <w:rPr>
          <w:rFonts w:asciiTheme="minorHAnsi" w:hAnsiTheme="minorHAnsi"/>
        </w:rPr>
        <w:t xml:space="preserve"> in the financial estimat</w:t>
      </w:r>
      <w:r w:rsidR="007A2CE3" w:rsidRPr="008E7C4C">
        <w:rPr>
          <w:rFonts w:asciiTheme="minorHAnsi" w:hAnsiTheme="minorHAnsi"/>
        </w:rPr>
        <w:t>es</w:t>
      </w:r>
      <w:r w:rsidRPr="008E7C4C">
        <w:rPr>
          <w:rFonts w:asciiTheme="minorHAnsi" w:hAnsiTheme="minorHAnsi"/>
        </w:rPr>
        <w:t>.</w:t>
      </w:r>
    </w:p>
    <w:p w14:paraId="4CA2A7B4" w14:textId="52D30C85" w:rsidR="00CC25DE" w:rsidRPr="008E7C4C" w:rsidRDefault="00CF485B" w:rsidP="00CC25DE">
      <w:pPr>
        <w:numPr>
          <w:ilvl w:val="1"/>
          <w:numId w:val="1"/>
        </w:numPr>
        <w:spacing w:after="120"/>
        <w:rPr>
          <w:rFonts w:asciiTheme="minorHAnsi" w:hAnsiTheme="minorHAnsi"/>
        </w:rPr>
      </w:pPr>
      <w:r w:rsidRPr="008E7C4C">
        <w:rPr>
          <w:rFonts w:asciiTheme="minorHAnsi" w:hAnsiTheme="minorHAnsi"/>
        </w:rPr>
        <w:t xml:space="preserve">Although the resubmission took the advice of ESC from October 2020 and nominated </w:t>
      </w:r>
      <w:proofErr w:type="spellStart"/>
      <w:r w:rsidRPr="008E7C4C">
        <w:rPr>
          <w:rFonts w:asciiTheme="minorHAnsi" w:hAnsiTheme="minorHAnsi"/>
        </w:rPr>
        <w:t>ELd</w:t>
      </w:r>
      <w:proofErr w:type="spellEnd"/>
      <w:r w:rsidRPr="008E7C4C">
        <w:rPr>
          <w:rFonts w:asciiTheme="minorHAnsi" w:hAnsiTheme="minorHAnsi"/>
        </w:rPr>
        <w:t xml:space="preserve"> as a near market </w:t>
      </w:r>
      <w:proofErr w:type="gramStart"/>
      <w:r w:rsidRPr="008E7C4C">
        <w:rPr>
          <w:rFonts w:asciiTheme="minorHAnsi" w:hAnsiTheme="minorHAnsi"/>
        </w:rPr>
        <w:t>comparator(</w:t>
      </w:r>
      <w:proofErr w:type="gramEnd"/>
      <w:r w:rsidRPr="008E7C4C">
        <w:rPr>
          <w:rFonts w:asciiTheme="minorHAnsi" w:hAnsiTheme="minorHAnsi"/>
        </w:rPr>
        <w:t xml:space="preserve">paragraph 5.5, </w:t>
      </w:r>
      <w:proofErr w:type="spellStart"/>
      <w:r w:rsidRPr="008E7C4C">
        <w:rPr>
          <w:rFonts w:asciiTheme="minorHAnsi" w:hAnsiTheme="minorHAnsi"/>
        </w:rPr>
        <w:t>ixazomib</w:t>
      </w:r>
      <w:proofErr w:type="spellEnd"/>
      <w:r w:rsidRPr="008E7C4C">
        <w:rPr>
          <w:rFonts w:asciiTheme="minorHAnsi" w:hAnsiTheme="minorHAnsi"/>
        </w:rPr>
        <w:t xml:space="preserve"> </w:t>
      </w:r>
      <w:r w:rsidR="003B1F7E">
        <w:rPr>
          <w:rFonts w:asciiTheme="minorHAnsi" w:hAnsiTheme="minorHAnsi"/>
        </w:rPr>
        <w:t>Public Summary Document [</w:t>
      </w:r>
      <w:r w:rsidRPr="008E7C4C">
        <w:rPr>
          <w:rFonts w:asciiTheme="minorHAnsi" w:hAnsiTheme="minorHAnsi"/>
        </w:rPr>
        <w:t>PSD</w:t>
      </w:r>
      <w:r w:rsidR="003B1F7E">
        <w:rPr>
          <w:rFonts w:asciiTheme="minorHAnsi" w:hAnsiTheme="minorHAnsi"/>
        </w:rPr>
        <w:t>]</w:t>
      </w:r>
      <w:r w:rsidRPr="008E7C4C">
        <w:rPr>
          <w:rFonts w:asciiTheme="minorHAnsi" w:hAnsiTheme="minorHAnsi"/>
        </w:rPr>
        <w:t>, November 2020), t</w:t>
      </w:r>
      <w:r w:rsidR="00CC25DE" w:rsidRPr="008E7C4C">
        <w:rPr>
          <w:rFonts w:asciiTheme="minorHAnsi" w:hAnsiTheme="minorHAnsi"/>
        </w:rPr>
        <w:t xml:space="preserve">he resubmission </w:t>
      </w:r>
      <w:r w:rsidR="002512AB" w:rsidRPr="008E7C4C">
        <w:rPr>
          <w:rFonts w:asciiTheme="minorHAnsi" w:hAnsiTheme="minorHAnsi"/>
        </w:rPr>
        <w:t xml:space="preserve">stated </w:t>
      </w:r>
      <w:r w:rsidR="00CC25DE" w:rsidRPr="008E7C4C">
        <w:rPr>
          <w:rFonts w:asciiTheme="minorHAnsi" w:hAnsiTheme="minorHAnsi"/>
        </w:rPr>
        <w:t xml:space="preserve">that the target patient population of </w:t>
      </w:r>
      <w:proofErr w:type="spellStart"/>
      <w:r w:rsidR="00CC25DE" w:rsidRPr="008E7C4C">
        <w:rPr>
          <w:rFonts w:asciiTheme="minorHAnsi" w:hAnsiTheme="minorHAnsi"/>
        </w:rPr>
        <w:t>ELd</w:t>
      </w:r>
      <w:proofErr w:type="spellEnd"/>
      <w:r w:rsidR="00CC25DE" w:rsidRPr="008E7C4C">
        <w:rPr>
          <w:rFonts w:asciiTheme="minorHAnsi" w:hAnsiTheme="minorHAnsi"/>
        </w:rPr>
        <w:t xml:space="preserve"> w</w:t>
      </w:r>
      <w:r w:rsidR="002512AB" w:rsidRPr="008E7C4C">
        <w:rPr>
          <w:rFonts w:asciiTheme="minorHAnsi" w:hAnsiTheme="minorHAnsi"/>
        </w:rPr>
        <w:t>ou</w:t>
      </w:r>
      <w:r w:rsidR="00CC25DE" w:rsidRPr="008E7C4C">
        <w:rPr>
          <w:rFonts w:asciiTheme="minorHAnsi" w:hAnsiTheme="minorHAnsi"/>
        </w:rPr>
        <w:t>l</w:t>
      </w:r>
      <w:r w:rsidR="002512AB" w:rsidRPr="008E7C4C">
        <w:rPr>
          <w:rFonts w:asciiTheme="minorHAnsi" w:hAnsiTheme="minorHAnsi"/>
        </w:rPr>
        <w:t>d</w:t>
      </w:r>
      <w:r w:rsidR="00CC25DE" w:rsidRPr="008E7C4C">
        <w:rPr>
          <w:rFonts w:asciiTheme="minorHAnsi" w:hAnsiTheme="minorHAnsi"/>
        </w:rPr>
        <w:t xml:space="preserve"> differ to the </w:t>
      </w:r>
      <w:proofErr w:type="spellStart"/>
      <w:r w:rsidR="00CC25DE" w:rsidRPr="008E7C4C">
        <w:rPr>
          <w:rFonts w:asciiTheme="minorHAnsi" w:hAnsiTheme="minorHAnsi"/>
        </w:rPr>
        <w:t>ILd</w:t>
      </w:r>
      <w:proofErr w:type="spellEnd"/>
      <w:r w:rsidR="00CC25DE" w:rsidRPr="008E7C4C">
        <w:rPr>
          <w:rFonts w:asciiTheme="minorHAnsi" w:hAnsiTheme="minorHAnsi"/>
        </w:rPr>
        <w:t xml:space="preserve"> population in clinical practice due to differences in the route of administration (oral versus intravenous), mechanism of action and the tolerability of </w:t>
      </w:r>
      <w:proofErr w:type="spellStart"/>
      <w:r w:rsidR="00CC25DE" w:rsidRPr="008E7C4C">
        <w:rPr>
          <w:rFonts w:asciiTheme="minorHAnsi" w:hAnsiTheme="minorHAnsi"/>
        </w:rPr>
        <w:t>ILd</w:t>
      </w:r>
      <w:proofErr w:type="spellEnd"/>
      <w:r w:rsidR="00CC25DE" w:rsidRPr="008E7C4C">
        <w:rPr>
          <w:rFonts w:asciiTheme="minorHAnsi" w:hAnsiTheme="minorHAnsi"/>
        </w:rPr>
        <w:t>, particularly in patients with limiting fitness or frail</w:t>
      </w:r>
      <w:r w:rsidR="00ED0904" w:rsidRPr="008E7C4C">
        <w:rPr>
          <w:rFonts w:asciiTheme="minorHAnsi" w:hAnsiTheme="minorHAnsi"/>
        </w:rPr>
        <w:t>ty</w:t>
      </w:r>
      <w:r w:rsidR="00CC25DE" w:rsidRPr="008E7C4C">
        <w:rPr>
          <w:rFonts w:asciiTheme="minorHAnsi" w:hAnsiTheme="minorHAnsi"/>
        </w:rPr>
        <w:t xml:space="preserve">. </w:t>
      </w:r>
      <w:proofErr w:type="spellStart"/>
      <w:r w:rsidR="001C5D8A" w:rsidRPr="008E7C4C">
        <w:rPr>
          <w:rFonts w:asciiTheme="minorHAnsi" w:hAnsiTheme="minorHAnsi"/>
        </w:rPr>
        <w:t>ELd</w:t>
      </w:r>
      <w:proofErr w:type="spellEnd"/>
      <w:r w:rsidR="001C5D8A" w:rsidRPr="008E7C4C">
        <w:rPr>
          <w:rFonts w:asciiTheme="minorHAnsi" w:hAnsiTheme="minorHAnsi"/>
        </w:rPr>
        <w:t xml:space="preserve"> was recommended by the PBAC in July 2021, </w:t>
      </w:r>
      <w:r w:rsidR="009C3314" w:rsidRPr="008E7C4C">
        <w:rPr>
          <w:rFonts w:asciiTheme="minorHAnsi" w:hAnsiTheme="minorHAnsi"/>
        </w:rPr>
        <w:t xml:space="preserve">but </w:t>
      </w:r>
      <w:r w:rsidR="001C5D8A" w:rsidRPr="008E7C4C">
        <w:rPr>
          <w:rFonts w:asciiTheme="minorHAnsi" w:hAnsiTheme="minorHAnsi"/>
        </w:rPr>
        <w:t xml:space="preserve">it was not listed on the PBS at the time of </w:t>
      </w:r>
      <w:r w:rsidR="009058E7" w:rsidRPr="008E7C4C">
        <w:rPr>
          <w:rFonts w:asciiTheme="minorHAnsi" w:hAnsiTheme="minorHAnsi"/>
        </w:rPr>
        <w:t>the re</w:t>
      </w:r>
      <w:r w:rsidR="001C5D8A" w:rsidRPr="008E7C4C">
        <w:rPr>
          <w:rFonts w:asciiTheme="minorHAnsi" w:hAnsiTheme="minorHAnsi"/>
        </w:rPr>
        <w:t xml:space="preserve">submission. </w:t>
      </w:r>
    </w:p>
    <w:p w14:paraId="17089203" w14:textId="150B13E6" w:rsidR="00CC25DE" w:rsidRPr="008E7C4C" w:rsidRDefault="00CC25DE" w:rsidP="00CC25DE">
      <w:pPr>
        <w:numPr>
          <w:ilvl w:val="1"/>
          <w:numId w:val="1"/>
        </w:numPr>
        <w:spacing w:after="120"/>
        <w:rPr>
          <w:rFonts w:asciiTheme="minorHAnsi" w:hAnsiTheme="minorHAnsi"/>
        </w:rPr>
      </w:pPr>
      <w:proofErr w:type="spellStart"/>
      <w:r w:rsidRPr="008E7C4C">
        <w:rPr>
          <w:rFonts w:asciiTheme="minorHAnsi" w:hAnsiTheme="minorHAnsi"/>
        </w:rPr>
        <w:t>DBd</w:t>
      </w:r>
      <w:proofErr w:type="spellEnd"/>
      <w:r w:rsidRPr="008E7C4C">
        <w:rPr>
          <w:rFonts w:asciiTheme="minorHAnsi" w:hAnsiTheme="minorHAnsi"/>
        </w:rPr>
        <w:t xml:space="preserve"> was identified as a near-market comparator in the November 2020 submission. However, the listing of </w:t>
      </w:r>
      <w:proofErr w:type="spellStart"/>
      <w:r w:rsidRPr="008E7C4C">
        <w:rPr>
          <w:rFonts w:asciiTheme="minorHAnsi" w:hAnsiTheme="minorHAnsi"/>
        </w:rPr>
        <w:t>DBd</w:t>
      </w:r>
      <w:proofErr w:type="spellEnd"/>
      <w:r w:rsidRPr="008E7C4C">
        <w:rPr>
          <w:rFonts w:asciiTheme="minorHAnsi" w:hAnsiTheme="minorHAnsi"/>
        </w:rPr>
        <w:t xml:space="preserve"> in second line </w:t>
      </w:r>
      <w:r w:rsidR="002512AB" w:rsidRPr="008E7C4C">
        <w:rPr>
          <w:rFonts w:asciiTheme="minorHAnsi" w:hAnsiTheme="minorHAnsi"/>
        </w:rPr>
        <w:t xml:space="preserve">setting </w:t>
      </w:r>
      <w:r w:rsidRPr="008E7C4C">
        <w:rPr>
          <w:rFonts w:asciiTheme="minorHAnsi" w:hAnsiTheme="minorHAnsi"/>
        </w:rPr>
        <w:t xml:space="preserve">only </w:t>
      </w:r>
      <w:r w:rsidR="002512AB" w:rsidRPr="008E7C4C">
        <w:rPr>
          <w:rFonts w:asciiTheme="minorHAnsi" w:hAnsiTheme="minorHAnsi"/>
        </w:rPr>
        <w:t xml:space="preserve">and the revised proposed restriction for </w:t>
      </w:r>
      <w:proofErr w:type="spellStart"/>
      <w:r w:rsidRPr="008E7C4C">
        <w:rPr>
          <w:rFonts w:asciiTheme="minorHAnsi" w:hAnsiTheme="minorHAnsi"/>
        </w:rPr>
        <w:t>ixazomib</w:t>
      </w:r>
      <w:proofErr w:type="spellEnd"/>
      <w:r w:rsidRPr="008E7C4C">
        <w:rPr>
          <w:rFonts w:asciiTheme="minorHAnsi" w:hAnsiTheme="minorHAnsi"/>
        </w:rPr>
        <w:t xml:space="preserve"> </w:t>
      </w:r>
      <w:r w:rsidR="002512AB" w:rsidRPr="008E7C4C">
        <w:rPr>
          <w:rFonts w:asciiTheme="minorHAnsi" w:hAnsiTheme="minorHAnsi"/>
        </w:rPr>
        <w:t xml:space="preserve">placing it </w:t>
      </w:r>
      <w:r w:rsidRPr="008E7C4C">
        <w:rPr>
          <w:rFonts w:asciiTheme="minorHAnsi" w:hAnsiTheme="minorHAnsi"/>
        </w:rPr>
        <w:t xml:space="preserve">after </w:t>
      </w:r>
      <w:proofErr w:type="spellStart"/>
      <w:r w:rsidRPr="008E7C4C">
        <w:rPr>
          <w:rFonts w:asciiTheme="minorHAnsi" w:hAnsiTheme="minorHAnsi"/>
        </w:rPr>
        <w:t>DBd</w:t>
      </w:r>
      <w:proofErr w:type="spellEnd"/>
      <w:r w:rsidRPr="008E7C4C">
        <w:rPr>
          <w:rFonts w:asciiTheme="minorHAnsi" w:hAnsiTheme="minorHAnsi"/>
        </w:rPr>
        <w:t xml:space="preserve"> in the treatment algorithm for RRMM</w:t>
      </w:r>
      <w:r w:rsidR="002512AB" w:rsidRPr="008E7C4C">
        <w:rPr>
          <w:rFonts w:asciiTheme="minorHAnsi" w:hAnsiTheme="minorHAnsi"/>
        </w:rPr>
        <w:t xml:space="preserve"> meant that </w:t>
      </w:r>
      <w:proofErr w:type="spellStart"/>
      <w:r w:rsidRPr="008E7C4C">
        <w:rPr>
          <w:rFonts w:asciiTheme="minorHAnsi" w:hAnsiTheme="minorHAnsi"/>
        </w:rPr>
        <w:t>DBd</w:t>
      </w:r>
      <w:proofErr w:type="spellEnd"/>
      <w:r w:rsidRPr="008E7C4C">
        <w:rPr>
          <w:rFonts w:asciiTheme="minorHAnsi" w:hAnsiTheme="minorHAnsi"/>
        </w:rPr>
        <w:t xml:space="preserve"> </w:t>
      </w:r>
      <w:r w:rsidR="002512AB" w:rsidRPr="008E7C4C">
        <w:rPr>
          <w:rFonts w:asciiTheme="minorHAnsi" w:hAnsiTheme="minorHAnsi"/>
        </w:rPr>
        <w:t>wa</w:t>
      </w:r>
      <w:r w:rsidRPr="008E7C4C">
        <w:rPr>
          <w:rFonts w:asciiTheme="minorHAnsi" w:hAnsiTheme="minorHAnsi"/>
        </w:rPr>
        <w:t xml:space="preserve">s no longer considered a relevant comparator. </w:t>
      </w:r>
    </w:p>
    <w:p w14:paraId="3ED64CF7" w14:textId="15CF7DB9" w:rsidR="00CC25DE" w:rsidRPr="008E7C4C" w:rsidRDefault="00152170" w:rsidP="00CC25DE">
      <w:pPr>
        <w:numPr>
          <w:ilvl w:val="1"/>
          <w:numId w:val="1"/>
        </w:numPr>
        <w:spacing w:after="120"/>
        <w:rPr>
          <w:rFonts w:asciiTheme="minorHAnsi" w:hAnsiTheme="minorHAnsi"/>
        </w:rPr>
      </w:pPr>
      <w:r w:rsidRPr="008E7C4C">
        <w:rPr>
          <w:rFonts w:asciiTheme="minorHAnsi" w:hAnsiTheme="minorHAnsi"/>
        </w:rPr>
        <w:t xml:space="preserve">Noting the advice provided by the ESC in October 2020 which stated that </w:t>
      </w:r>
      <w:proofErr w:type="spellStart"/>
      <w:r w:rsidRPr="008E7C4C">
        <w:rPr>
          <w:rFonts w:asciiTheme="minorHAnsi" w:hAnsiTheme="minorHAnsi"/>
        </w:rPr>
        <w:t>ILd</w:t>
      </w:r>
      <w:proofErr w:type="spellEnd"/>
      <w:r w:rsidRPr="008E7C4C">
        <w:rPr>
          <w:rFonts w:asciiTheme="minorHAnsi" w:hAnsiTheme="minorHAnsi"/>
        </w:rPr>
        <w:t xml:space="preserve"> would most likely be used in the third-line setting, making Pd another relevant comparator (paragraph 5.5, </w:t>
      </w:r>
      <w:proofErr w:type="spellStart"/>
      <w:r w:rsidR="007E5787" w:rsidRPr="008E7C4C">
        <w:rPr>
          <w:rFonts w:asciiTheme="minorHAnsi" w:hAnsiTheme="minorHAnsi"/>
        </w:rPr>
        <w:t>i</w:t>
      </w:r>
      <w:r w:rsidRPr="008E7C4C">
        <w:rPr>
          <w:rFonts w:asciiTheme="minorHAnsi" w:hAnsiTheme="minorHAnsi"/>
        </w:rPr>
        <w:t>xazomib</w:t>
      </w:r>
      <w:proofErr w:type="spellEnd"/>
      <w:r w:rsidR="007E5787" w:rsidRPr="008E7C4C">
        <w:rPr>
          <w:rFonts w:asciiTheme="minorHAnsi" w:hAnsiTheme="minorHAnsi"/>
        </w:rPr>
        <w:t xml:space="preserve"> PSD</w:t>
      </w:r>
      <w:r w:rsidRPr="008E7C4C">
        <w:rPr>
          <w:rFonts w:asciiTheme="minorHAnsi" w:hAnsiTheme="minorHAnsi"/>
        </w:rPr>
        <w:t>, November 2020), t</w:t>
      </w:r>
      <w:r w:rsidR="00CC25DE" w:rsidRPr="008E7C4C">
        <w:rPr>
          <w:rFonts w:asciiTheme="minorHAnsi" w:hAnsiTheme="minorHAnsi"/>
        </w:rPr>
        <w:t xml:space="preserve">he resubmission stated that the target population for </w:t>
      </w:r>
      <w:proofErr w:type="spellStart"/>
      <w:r w:rsidR="00CC25DE" w:rsidRPr="008E7C4C">
        <w:rPr>
          <w:rFonts w:asciiTheme="minorHAnsi" w:hAnsiTheme="minorHAnsi"/>
        </w:rPr>
        <w:t>ILd</w:t>
      </w:r>
      <w:proofErr w:type="spellEnd"/>
      <w:r w:rsidR="00CC25DE" w:rsidRPr="008E7C4C">
        <w:rPr>
          <w:rFonts w:asciiTheme="minorHAnsi" w:hAnsiTheme="minorHAnsi"/>
        </w:rPr>
        <w:t xml:space="preserve"> would not significantly overlap with the target population</w:t>
      </w:r>
      <w:r w:rsidR="001C5D8A" w:rsidRPr="008E7C4C">
        <w:rPr>
          <w:rFonts w:asciiTheme="minorHAnsi" w:hAnsiTheme="minorHAnsi"/>
        </w:rPr>
        <w:t>s</w:t>
      </w:r>
      <w:r w:rsidR="00CC25DE" w:rsidRPr="008E7C4C">
        <w:rPr>
          <w:rFonts w:asciiTheme="minorHAnsi" w:hAnsiTheme="minorHAnsi"/>
        </w:rPr>
        <w:t xml:space="preserve"> for Pd or </w:t>
      </w:r>
      <w:proofErr w:type="spellStart"/>
      <w:r w:rsidR="00CC25DE" w:rsidRPr="008E7C4C">
        <w:rPr>
          <w:rFonts w:asciiTheme="minorHAnsi" w:hAnsiTheme="minorHAnsi"/>
        </w:rPr>
        <w:t>PBd</w:t>
      </w:r>
      <w:proofErr w:type="spellEnd"/>
      <w:r w:rsidR="00CC25DE" w:rsidRPr="008E7C4C">
        <w:rPr>
          <w:rFonts w:asciiTheme="minorHAnsi" w:hAnsiTheme="minorHAnsi"/>
        </w:rPr>
        <w:t xml:space="preserve">. The arguments provided were that in patients who are refractory or who have experienced significant prior toxicity with lenalidomide, combination </w:t>
      </w:r>
      <w:r w:rsidR="002512AB" w:rsidRPr="008E7C4C">
        <w:rPr>
          <w:rFonts w:asciiTheme="minorHAnsi" w:hAnsiTheme="minorHAnsi"/>
        </w:rPr>
        <w:t xml:space="preserve">treatment with </w:t>
      </w:r>
      <w:r w:rsidR="00CC25DE" w:rsidRPr="008E7C4C">
        <w:rPr>
          <w:rFonts w:asciiTheme="minorHAnsi" w:hAnsiTheme="minorHAnsi"/>
        </w:rPr>
        <w:t xml:space="preserve">Pd and </w:t>
      </w:r>
      <w:proofErr w:type="spellStart"/>
      <w:r w:rsidR="00CC25DE" w:rsidRPr="008E7C4C">
        <w:rPr>
          <w:rFonts w:asciiTheme="minorHAnsi" w:hAnsiTheme="minorHAnsi"/>
        </w:rPr>
        <w:t>PBd</w:t>
      </w:r>
      <w:proofErr w:type="spellEnd"/>
      <w:r w:rsidR="00CC25DE" w:rsidRPr="008E7C4C">
        <w:rPr>
          <w:rFonts w:asciiTheme="minorHAnsi" w:hAnsiTheme="minorHAnsi"/>
        </w:rPr>
        <w:t xml:space="preserve"> are preferred</w:t>
      </w:r>
      <w:r w:rsidR="002512AB" w:rsidRPr="008E7C4C">
        <w:rPr>
          <w:rFonts w:asciiTheme="minorHAnsi" w:hAnsiTheme="minorHAnsi"/>
        </w:rPr>
        <w:t>, w</w:t>
      </w:r>
      <w:r w:rsidR="00CC25DE" w:rsidRPr="008E7C4C">
        <w:rPr>
          <w:rFonts w:asciiTheme="minorHAnsi" w:hAnsiTheme="minorHAnsi"/>
        </w:rPr>
        <w:t xml:space="preserve">hereas patients considered for </w:t>
      </w:r>
      <w:proofErr w:type="spellStart"/>
      <w:r w:rsidR="00CC25DE" w:rsidRPr="008E7C4C">
        <w:rPr>
          <w:rFonts w:asciiTheme="minorHAnsi" w:hAnsiTheme="minorHAnsi"/>
        </w:rPr>
        <w:t>ILd</w:t>
      </w:r>
      <w:proofErr w:type="spellEnd"/>
      <w:r w:rsidR="00CC25DE" w:rsidRPr="008E7C4C">
        <w:rPr>
          <w:rFonts w:asciiTheme="minorHAnsi" w:hAnsiTheme="minorHAnsi"/>
        </w:rPr>
        <w:t xml:space="preserve"> should be sensitive to lenalidomide. This </w:t>
      </w:r>
      <w:r w:rsidR="00FA22AF" w:rsidRPr="008E7C4C">
        <w:rPr>
          <w:rFonts w:asciiTheme="minorHAnsi" w:hAnsiTheme="minorHAnsi"/>
        </w:rPr>
        <w:t>wa</w:t>
      </w:r>
      <w:r w:rsidR="00CC25DE" w:rsidRPr="008E7C4C">
        <w:rPr>
          <w:rFonts w:asciiTheme="minorHAnsi" w:hAnsiTheme="minorHAnsi"/>
        </w:rPr>
        <w:t>s consistent with the recommendations from the MSAG guideline (MSAG 2019) wh</w:t>
      </w:r>
      <w:r w:rsidR="002512AB" w:rsidRPr="008E7C4C">
        <w:rPr>
          <w:rFonts w:asciiTheme="minorHAnsi" w:hAnsiTheme="minorHAnsi"/>
        </w:rPr>
        <w:t xml:space="preserve">ich state that </w:t>
      </w:r>
      <w:r w:rsidR="00CC25DE" w:rsidRPr="008E7C4C">
        <w:rPr>
          <w:rFonts w:asciiTheme="minorHAnsi" w:hAnsiTheme="minorHAnsi"/>
        </w:rPr>
        <w:t xml:space="preserve">pomalidomide should be used in patients who have failed lenalidomide and bortezomib (MSAG 2019, Fig 4.). </w:t>
      </w:r>
    </w:p>
    <w:p w14:paraId="387A1EFD" w14:textId="58862F2D" w:rsidR="003F4E26" w:rsidRPr="008E7C4C" w:rsidRDefault="003F4E26" w:rsidP="003F4E26">
      <w:pPr>
        <w:spacing w:after="120"/>
        <w:ind w:left="720"/>
        <w:rPr>
          <w:rFonts w:asciiTheme="minorHAnsi" w:hAnsiTheme="minorHAnsi"/>
          <w:i/>
          <w:iCs/>
        </w:rPr>
      </w:pPr>
      <w:r w:rsidRPr="008E7C4C">
        <w:rPr>
          <w:i/>
          <w:iCs/>
        </w:rPr>
        <w:t>For more detail on PBAC’s view, see section 7 PBAC outcome.</w:t>
      </w:r>
    </w:p>
    <w:p w14:paraId="21498049" w14:textId="478BEC38" w:rsidR="00CC25DE" w:rsidRPr="008E7C4C" w:rsidRDefault="00CC25DE" w:rsidP="003A3E40">
      <w:pPr>
        <w:pStyle w:val="2-SectionHeading"/>
      </w:pPr>
      <w:bookmarkStart w:id="9" w:name="_Toc93487436"/>
      <w:bookmarkStart w:id="10" w:name="_Toc22897640"/>
      <w:r w:rsidRPr="008E7C4C">
        <w:t>Consideration of the evidence</w:t>
      </w:r>
      <w:bookmarkEnd w:id="9"/>
    </w:p>
    <w:p w14:paraId="7C0F23DB" w14:textId="77777777" w:rsidR="003F4E26" w:rsidRPr="008E7C4C" w:rsidRDefault="003F4E26" w:rsidP="003F4E26">
      <w:pPr>
        <w:pStyle w:val="4-SubsectionHeading"/>
      </w:pPr>
      <w:bookmarkStart w:id="11" w:name="_Hlk76375935"/>
      <w:bookmarkStart w:id="12" w:name="_Toc93487437"/>
      <w:r w:rsidRPr="008E7C4C">
        <w:t>Sponsor hearing</w:t>
      </w:r>
    </w:p>
    <w:p w14:paraId="789CFD72" w14:textId="17F2CA7C" w:rsidR="003F4E26" w:rsidRPr="008E7C4C" w:rsidRDefault="003F4E26" w:rsidP="003F4E26">
      <w:pPr>
        <w:widowControl w:val="0"/>
        <w:numPr>
          <w:ilvl w:val="1"/>
          <w:numId w:val="1"/>
        </w:numPr>
        <w:spacing w:after="120"/>
        <w:rPr>
          <w:rFonts w:cs="Calibri"/>
          <w:bCs/>
          <w:snapToGrid w:val="0"/>
        </w:rPr>
      </w:pPr>
      <w:r w:rsidRPr="008E7C4C">
        <w:rPr>
          <w:rFonts w:cs="Calibri"/>
          <w:bCs/>
          <w:snapToGrid w:val="0"/>
        </w:rPr>
        <w:t>There was no hearing for this item.</w:t>
      </w:r>
    </w:p>
    <w:p w14:paraId="4A5B3836" w14:textId="77777777" w:rsidR="003F4E26" w:rsidRPr="008E7C4C" w:rsidRDefault="003F4E26" w:rsidP="003F4E26">
      <w:pPr>
        <w:pStyle w:val="4-SubsectionHeading"/>
      </w:pPr>
      <w:r w:rsidRPr="008E7C4C">
        <w:t>Consumer comments</w:t>
      </w:r>
    </w:p>
    <w:p w14:paraId="288859DE" w14:textId="13032C02" w:rsidR="003F4E26" w:rsidRPr="008E7C4C" w:rsidRDefault="003F4E26" w:rsidP="003F4E26">
      <w:pPr>
        <w:widowControl w:val="0"/>
        <w:numPr>
          <w:ilvl w:val="1"/>
          <w:numId w:val="1"/>
        </w:numPr>
        <w:spacing w:after="120"/>
        <w:rPr>
          <w:rFonts w:asciiTheme="minorHAnsi" w:hAnsiTheme="minorHAnsi"/>
          <w:bCs/>
          <w:snapToGrid w:val="0"/>
        </w:rPr>
      </w:pPr>
      <w:bookmarkStart w:id="13" w:name="_Hlk76382618"/>
      <w:r w:rsidRPr="008E7C4C">
        <w:rPr>
          <w:rFonts w:asciiTheme="minorHAnsi" w:hAnsiTheme="minorHAnsi"/>
          <w:bCs/>
          <w:snapToGrid w:val="0"/>
        </w:rPr>
        <w:t>The PBAC noted and welcomed the input from individuals (</w:t>
      </w:r>
      <w:r w:rsidR="00934D6B" w:rsidRPr="008E7C4C">
        <w:rPr>
          <w:rFonts w:asciiTheme="minorHAnsi" w:hAnsiTheme="minorHAnsi"/>
          <w:bCs/>
          <w:snapToGrid w:val="0"/>
        </w:rPr>
        <w:t>10</w:t>
      </w:r>
      <w:r w:rsidRPr="008E7C4C">
        <w:rPr>
          <w:rFonts w:asciiTheme="minorHAnsi" w:hAnsiTheme="minorHAnsi"/>
          <w:bCs/>
          <w:snapToGrid w:val="0"/>
        </w:rPr>
        <w:t>) and organisations (</w:t>
      </w:r>
      <w:r w:rsidR="00934D6B" w:rsidRPr="008E7C4C">
        <w:rPr>
          <w:rFonts w:asciiTheme="minorHAnsi" w:hAnsiTheme="minorHAnsi"/>
          <w:bCs/>
          <w:snapToGrid w:val="0"/>
        </w:rPr>
        <w:t>3</w:t>
      </w:r>
      <w:r w:rsidRPr="008E7C4C">
        <w:rPr>
          <w:rFonts w:asciiTheme="minorHAnsi" w:hAnsiTheme="minorHAnsi"/>
          <w:bCs/>
          <w:snapToGrid w:val="0"/>
        </w:rPr>
        <w:t xml:space="preserve">) via the Consumer Comments facility on the PBS website.  The comments </w:t>
      </w:r>
      <w:r w:rsidR="00934D6B" w:rsidRPr="008E7C4C">
        <w:rPr>
          <w:rFonts w:asciiTheme="minorHAnsi" w:hAnsiTheme="minorHAnsi"/>
          <w:bCs/>
          <w:snapToGrid w:val="0"/>
        </w:rPr>
        <w:t>fr</w:t>
      </w:r>
      <w:r w:rsidR="007E5257">
        <w:rPr>
          <w:rFonts w:asciiTheme="minorHAnsi" w:hAnsiTheme="minorHAnsi"/>
          <w:bCs/>
          <w:snapToGrid w:val="0"/>
        </w:rPr>
        <w:t>o</w:t>
      </w:r>
      <w:r w:rsidR="00934D6B" w:rsidRPr="008E7C4C">
        <w:rPr>
          <w:rFonts w:asciiTheme="minorHAnsi" w:hAnsiTheme="minorHAnsi"/>
          <w:bCs/>
          <w:snapToGrid w:val="0"/>
        </w:rPr>
        <w:t xml:space="preserve">m individuals </w:t>
      </w:r>
      <w:r w:rsidRPr="008E7C4C">
        <w:rPr>
          <w:rFonts w:asciiTheme="minorHAnsi" w:hAnsiTheme="minorHAnsi"/>
          <w:bCs/>
          <w:snapToGrid w:val="0"/>
        </w:rPr>
        <w:t xml:space="preserve">described </w:t>
      </w:r>
      <w:r w:rsidR="00934D6B" w:rsidRPr="008E7C4C">
        <w:rPr>
          <w:rFonts w:asciiTheme="minorHAnsi" w:hAnsiTheme="minorHAnsi"/>
          <w:bCs/>
          <w:snapToGrid w:val="0"/>
        </w:rPr>
        <w:t xml:space="preserve">the impact of multiple myeloma, the desire for access to additional treatments and the benefits associated with </w:t>
      </w:r>
      <w:proofErr w:type="spellStart"/>
      <w:r w:rsidR="00934D6B" w:rsidRPr="008E7C4C">
        <w:rPr>
          <w:rFonts w:asciiTheme="minorHAnsi" w:hAnsiTheme="minorHAnsi"/>
          <w:bCs/>
          <w:snapToGrid w:val="0"/>
        </w:rPr>
        <w:t>ILd</w:t>
      </w:r>
      <w:proofErr w:type="spellEnd"/>
      <w:r w:rsidR="00934D6B" w:rsidRPr="008E7C4C">
        <w:rPr>
          <w:rFonts w:asciiTheme="minorHAnsi" w:hAnsiTheme="minorHAnsi"/>
          <w:bCs/>
          <w:snapToGrid w:val="0"/>
        </w:rPr>
        <w:t xml:space="preserve"> as it is an oral triplet regimen.</w:t>
      </w:r>
      <w:r w:rsidRPr="008E7C4C">
        <w:rPr>
          <w:rFonts w:asciiTheme="minorHAnsi" w:hAnsiTheme="minorHAnsi"/>
          <w:bCs/>
          <w:snapToGrid w:val="0"/>
        </w:rPr>
        <w:t xml:space="preserve">  </w:t>
      </w:r>
    </w:p>
    <w:p w14:paraId="6B5845A8" w14:textId="33B79F98" w:rsidR="003F4E26" w:rsidRPr="008E7C4C" w:rsidRDefault="00CD2AC0" w:rsidP="00FA7DF8">
      <w:pPr>
        <w:widowControl w:val="0"/>
        <w:numPr>
          <w:ilvl w:val="1"/>
          <w:numId w:val="1"/>
        </w:numPr>
        <w:spacing w:after="120"/>
        <w:rPr>
          <w:rFonts w:asciiTheme="minorHAnsi" w:hAnsiTheme="minorHAnsi"/>
          <w:bCs/>
          <w:snapToGrid w:val="0"/>
        </w:rPr>
      </w:pPr>
      <w:r w:rsidRPr="008E7C4C">
        <w:rPr>
          <w:rFonts w:asciiTheme="minorHAnsi" w:hAnsiTheme="minorHAnsi"/>
          <w:bCs/>
          <w:snapToGrid w:val="0"/>
        </w:rPr>
        <w:t xml:space="preserve">The PBAC noted the comments from </w:t>
      </w:r>
      <w:r w:rsidRPr="008E7C4C">
        <w:t xml:space="preserve">Myeloma Australia’s Medical and Scientific </w:t>
      </w:r>
      <w:r w:rsidRPr="008E7C4C">
        <w:lastRenderedPageBreak/>
        <w:t xml:space="preserve">Advisory Group (MSAG), which supported the proposed listing of </w:t>
      </w:r>
      <w:proofErr w:type="spellStart"/>
      <w:r w:rsidRPr="008E7C4C">
        <w:t>ILd</w:t>
      </w:r>
      <w:proofErr w:type="spellEnd"/>
      <w:r w:rsidRPr="008E7C4C">
        <w:t xml:space="preserve"> </w:t>
      </w:r>
      <w:proofErr w:type="gramStart"/>
      <w:r w:rsidRPr="008E7C4C">
        <w:t>on the basis of</w:t>
      </w:r>
      <w:proofErr w:type="gramEnd"/>
      <w:r w:rsidRPr="008E7C4C">
        <w:t xml:space="preserve"> the safety and efficacy results from the TMM-1 trial. MSAG also noted that </w:t>
      </w:r>
      <w:proofErr w:type="spellStart"/>
      <w:r w:rsidRPr="008E7C4C">
        <w:t>ILd</w:t>
      </w:r>
      <w:proofErr w:type="spellEnd"/>
      <w:r w:rsidRPr="008E7C4C">
        <w:t xml:space="preserve">, as a triple oral therapy, would minimise hospital attendance requirements for RRMM patients.  The PBAC noted the comments from </w:t>
      </w:r>
      <w:r w:rsidRPr="008E7C4C">
        <w:rPr>
          <w:rFonts w:asciiTheme="minorHAnsi" w:hAnsiTheme="minorHAnsi"/>
          <w:bCs/>
          <w:snapToGrid w:val="0"/>
        </w:rPr>
        <w:t xml:space="preserve">Myeloma Australia, which strongly supported the proposed listing and highlighted the importance of providing patients with the best possible opportunity to achieve and stay in remission and that </w:t>
      </w:r>
      <w:proofErr w:type="gramStart"/>
      <w:r w:rsidRPr="008E7C4C">
        <w:rPr>
          <w:rFonts w:asciiTheme="minorHAnsi" w:hAnsiTheme="minorHAnsi"/>
          <w:bCs/>
          <w:snapToGrid w:val="0"/>
        </w:rPr>
        <w:t>the all</w:t>
      </w:r>
      <w:proofErr w:type="gramEnd"/>
      <w:r w:rsidRPr="008E7C4C">
        <w:rPr>
          <w:rFonts w:asciiTheme="minorHAnsi" w:hAnsiTheme="minorHAnsi"/>
          <w:bCs/>
          <w:snapToGrid w:val="0"/>
        </w:rPr>
        <w:t xml:space="preserve"> oral combination is highly valued by MM patients.  The PBAC noted the comments from the Leukemia Foundation in support of the proposed listing.  </w:t>
      </w:r>
      <w:bookmarkEnd w:id="11"/>
      <w:bookmarkEnd w:id="13"/>
    </w:p>
    <w:p w14:paraId="1BCB3348" w14:textId="77777777" w:rsidR="00CC25DE" w:rsidRPr="008E7C4C" w:rsidRDefault="00CC25DE" w:rsidP="00B46730">
      <w:pPr>
        <w:pStyle w:val="4-SubsectionHeading"/>
      </w:pPr>
      <w:r w:rsidRPr="008E7C4C">
        <w:t xml:space="preserve">Clinical </w:t>
      </w:r>
      <w:bookmarkEnd w:id="10"/>
      <w:r w:rsidRPr="008E7C4C">
        <w:t>trial</w:t>
      </w:r>
      <w:bookmarkEnd w:id="12"/>
    </w:p>
    <w:p w14:paraId="5D7B24ED" w14:textId="15C21BEC" w:rsidR="00CC25DE" w:rsidRPr="008E7C4C" w:rsidRDefault="00CC25DE" w:rsidP="00CC25DE">
      <w:pPr>
        <w:numPr>
          <w:ilvl w:val="1"/>
          <w:numId w:val="1"/>
        </w:numPr>
        <w:spacing w:after="120"/>
        <w:rPr>
          <w:rFonts w:asciiTheme="minorHAnsi" w:hAnsiTheme="minorHAnsi"/>
          <w:snapToGrid w:val="0"/>
          <w:color w:val="0066FF"/>
        </w:rPr>
      </w:pPr>
      <w:r w:rsidRPr="008E7C4C">
        <w:rPr>
          <w:rFonts w:asciiTheme="minorHAnsi" w:hAnsiTheme="minorHAnsi"/>
        </w:rPr>
        <w:t xml:space="preserve">The resubmission was based on one head-to-head trial comparing </w:t>
      </w:r>
      <w:proofErr w:type="spellStart"/>
      <w:r w:rsidRPr="008E7C4C">
        <w:rPr>
          <w:rFonts w:asciiTheme="minorHAnsi" w:hAnsiTheme="minorHAnsi"/>
        </w:rPr>
        <w:t>ILd</w:t>
      </w:r>
      <w:proofErr w:type="spellEnd"/>
      <w:r w:rsidRPr="008E7C4C">
        <w:rPr>
          <w:rFonts w:asciiTheme="minorHAnsi" w:hAnsiTheme="minorHAnsi"/>
        </w:rPr>
        <w:t xml:space="preserve"> to </w:t>
      </w:r>
      <w:proofErr w:type="spellStart"/>
      <w:r w:rsidRPr="008E7C4C">
        <w:rPr>
          <w:rFonts w:asciiTheme="minorHAnsi" w:hAnsiTheme="minorHAnsi"/>
        </w:rPr>
        <w:t>Ld</w:t>
      </w:r>
      <w:proofErr w:type="spellEnd"/>
      <w:r w:rsidRPr="008E7C4C">
        <w:rPr>
          <w:rFonts w:asciiTheme="minorHAnsi" w:hAnsiTheme="minorHAnsi"/>
        </w:rPr>
        <w:t xml:space="preserve"> (n=722)</w:t>
      </w:r>
      <w:r w:rsidR="00BC64DA" w:rsidRPr="008E7C4C">
        <w:rPr>
          <w:rFonts w:asciiTheme="minorHAnsi" w:hAnsiTheme="minorHAnsi"/>
        </w:rPr>
        <w:t>,</w:t>
      </w:r>
      <w:r w:rsidRPr="008E7C4C">
        <w:rPr>
          <w:rFonts w:asciiTheme="minorHAnsi" w:hAnsiTheme="minorHAnsi"/>
        </w:rPr>
        <w:t xml:space="preserve"> TMM-1. </w:t>
      </w:r>
      <w:r w:rsidR="001C5D8A" w:rsidRPr="008E7C4C">
        <w:rPr>
          <w:rFonts w:asciiTheme="minorHAnsi" w:hAnsiTheme="minorHAnsi"/>
        </w:rPr>
        <w:t>This trial was also presented in the November 2020 submission</w:t>
      </w:r>
      <w:r w:rsidR="00BC64DA" w:rsidRPr="008E7C4C">
        <w:rPr>
          <w:rFonts w:asciiTheme="minorHAnsi" w:hAnsiTheme="minorHAnsi"/>
        </w:rPr>
        <w:t>; however, t</w:t>
      </w:r>
      <w:r w:rsidRPr="008E7C4C">
        <w:rPr>
          <w:rFonts w:asciiTheme="minorHAnsi" w:hAnsiTheme="minorHAnsi"/>
        </w:rPr>
        <w:t xml:space="preserve">he data presented in the resubmission included a longer median duration </w:t>
      </w:r>
      <w:r w:rsidR="00A23DC5" w:rsidRPr="008E7C4C">
        <w:rPr>
          <w:rFonts w:asciiTheme="minorHAnsi" w:hAnsiTheme="minorHAnsi"/>
        </w:rPr>
        <w:t>follow-up</w:t>
      </w:r>
      <w:r w:rsidRPr="008E7C4C">
        <w:rPr>
          <w:rFonts w:asciiTheme="minorHAnsi" w:hAnsiTheme="minorHAnsi"/>
        </w:rPr>
        <w:t xml:space="preserve"> (85 months</w:t>
      </w:r>
      <w:r w:rsidR="00BC64DA" w:rsidRPr="008E7C4C">
        <w:rPr>
          <w:rFonts w:asciiTheme="minorHAnsi" w:hAnsiTheme="minorHAnsi"/>
        </w:rPr>
        <w:t xml:space="preserve"> compared to </w:t>
      </w:r>
      <w:r w:rsidR="006D2401" w:rsidRPr="008E7C4C">
        <w:rPr>
          <w:rFonts w:asciiTheme="minorHAnsi" w:hAnsiTheme="minorHAnsi"/>
        </w:rPr>
        <w:t xml:space="preserve">23 </w:t>
      </w:r>
      <w:r w:rsidR="009058E7" w:rsidRPr="008E7C4C">
        <w:rPr>
          <w:rFonts w:asciiTheme="minorHAnsi" w:hAnsiTheme="minorHAnsi"/>
        </w:rPr>
        <w:t>m</w:t>
      </w:r>
      <w:r w:rsidR="006D2401" w:rsidRPr="008E7C4C">
        <w:rPr>
          <w:rFonts w:asciiTheme="minorHAnsi" w:hAnsiTheme="minorHAnsi"/>
        </w:rPr>
        <w:t xml:space="preserve">onths presented in </w:t>
      </w:r>
      <w:r w:rsidR="009058E7" w:rsidRPr="008E7C4C">
        <w:rPr>
          <w:rFonts w:asciiTheme="minorHAnsi" w:hAnsiTheme="minorHAnsi"/>
        </w:rPr>
        <w:t xml:space="preserve">the </w:t>
      </w:r>
      <w:r w:rsidR="006D2401" w:rsidRPr="008E7C4C">
        <w:rPr>
          <w:rFonts w:asciiTheme="minorHAnsi" w:hAnsiTheme="minorHAnsi"/>
        </w:rPr>
        <w:t>November 2020 submission</w:t>
      </w:r>
      <w:r w:rsidRPr="008E7C4C">
        <w:rPr>
          <w:rFonts w:asciiTheme="minorHAnsi" w:hAnsiTheme="minorHAnsi"/>
        </w:rPr>
        <w:t xml:space="preserve">) and the results of the final analysis.  </w:t>
      </w:r>
    </w:p>
    <w:p w14:paraId="584474C8" w14:textId="629ED1B7" w:rsidR="00CC25DE" w:rsidRPr="008E7C4C" w:rsidRDefault="00CC25DE" w:rsidP="00CC25DE">
      <w:pPr>
        <w:numPr>
          <w:ilvl w:val="1"/>
          <w:numId w:val="1"/>
        </w:numPr>
        <w:spacing w:after="120"/>
        <w:rPr>
          <w:rFonts w:asciiTheme="minorHAnsi" w:hAnsiTheme="minorHAnsi"/>
          <w:snapToGrid w:val="0"/>
        </w:rPr>
      </w:pPr>
      <w:r w:rsidRPr="008E7C4C">
        <w:rPr>
          <w:rFonts w:asciiTheme="minorHAnsi" w:hAnsiTheme="minorHAnsi"/>
        </w:rPr>
        <w:t xml:space="preserve">Details of TMM-1 are provided in the table below. </w:t>
      </w:r>
    </w:p>
    <w:p w14:paraId="554110F2" w14:textId="77777777" w:rsidR="00CC25DE" w:rsidRPr="008E7C4C" w:rsidRDefault="00CC25DE" w:rsidP="00CC25DE">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Table 3: TMM-1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458"/>
        <w:gridCol w:w="2122"/>
      </w:tblGrid>
      <w:tr w:rsidR="00CC25DE" w:rsidRPr="008E7C4C" w14:paraId="78B39EA2" w14:textId="77777777" w:rsidTr="006D7D90">
        <w:trPr>
          <w:tblHeader/>
        </w:trPr>
        <w:tc>
          <w:tcPr>
            <w:tcW w:w="796" w:type="pct"/>
            <w:tcBorders>
              <w:bottom w:val="single" w:sz="4" w:space="0" w:color="auto"/>
            </w:tcBorders>
            <w:vAlign w:val="center"/>
          </w:tcPr>
          <w:p w14:paraId="3C33EA28" w14:textId="77777777" w:rsidR="00CC25DE" w:rsidRPr="008E7C4C" w:rsidRDefault="00CC25DE" w:rsidP="00605285">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Trial ID</w:t>
            </w:r>
          </w:p>
        </w:tc>
        <w:tc>
          <w:tcPr>
            <w:tcW w:w="3027" w:type="pct"/>
            <w:tcBorders>
              <w:bottom w:val="single" w:sz="4" w:space="0" w:color="auto"/>
            </w:tcBorders>
            <w:vAlign w:val="center"/>
          </w:tcPr>
          <w:p w14:paraId="2EAADCFF" w14:textId="77777777" w:rsidR="00CC25DE" w:rsidRPr="008E7C4C" w:rsidRDefault="00CC25DE" w:rsidP="00605285">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Protocol title/ Publication title</w:t>
            </w:r>
          </w:p>
        </w:tc>
        <w:tc>
          <w:tcPr>
            <w:tcW w:w="1177" w:type="pct"/>
            <w:tcBorders>
              <w:bottom w:val="single" w:sz="4" w:space="0" w:color="auto"/>
            </w:tcBorders>
            <w:vAlign w:val="center"/>
          </w:tcPr>
          <w:p w14:paraId="6BECDBA8" w14:textId="77777777" w:rsidR="00CC25DE" w:rsidRPr="008E7C4C" w:rsidRDefault="00CC25DE" w:rsidP="00605285">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Publication citation</w:t>
            </w:r>
          </w:p>
        </w:tc>
      </w:tr>
      <w:tr w:rsidR="00CC25DE" w:rsidRPr="008E7C4C" w14:paraId="5744DE5E" w14:textId="77777777" w:rsidTr="00FA22AF">
        <w:tc>
          <w:tcPr>
            <w:tcW w:w="796" w:type="pct"/>
            <w:tcBorders>
              <w:bottom w:val="nil"/>
            </w:tcBorders>
            <w:shd w:val="clear" w:color="auto" w:fill="B8CCE4" w:themeFill="accent1" w:themeFillTint="66"/>
          </w:tcPr>
          <w:p w14:paraId="1DD9AE8E" w14:textId="77777777" w:rsidR="00BC64DA" w:rsidRPr="008E7C4C" w:rsidRDefault="00BC64DA" w:rsidP="00605285">
            <w:pPr>
              <w:keepNext/>
              <w:spacing w:before="20" w:after="20"/>
              <w:jc w:val="left"/>
              <w:rPr>
                <w:rFonts w:ascii="Arial Narrow" w:hAnsi="Arial Narrow" w:cs="Times New Roman"/>
                <w:sz w:val="20"/>
                <w:szCs w:val="20"/>
              </w:rPr>
            </w:pPr>
            <w:r w:rsidRPr="008E7C4C">
              <w:rPr>
                <w:rFonts w:ascii="Arial Narrow" w:hAnsi="Arial Narrow" w:cs="Times New Roman"/>
                <w:sz w:val="20"/>
                <w:szCs w:val="20"/>
              </w:rPr>
              <w:t>TOURMALINE MM-1</w:t>
            </w:r>
            <w:r w:rsidRPr="008E7C4C">
              <w:rPr>
                <w:rFonts w:ascii="Arial Narrow" w:hAnsi="Arial Narrow" w:cs="Times New Roman"/>
                <w:sz w:val="20"/>
                <w:szCs w:val="20"/>
              </w:rPr>
              <w:br/>
              <w:t>NCT01564537</w:t>
            </w:r>
          </w:p>
          <w:p w14:paraId="430A413F" w14:textId="77777777" w:rsidR="00CC25DE" w:rsidRPr="008E7C4C" w:rsidRDefault="00CC25DE" w:rsidP="00605285">
            <w:pPr>
              <w:keepNext/>
              <w:jc w:val="left"/>
              <w:rPr>
                <w:rFonts w:ascii="Arial Narrow" w:eastAsiaTheme="majorEastAsia" w:hAnsi="Arial Narrow" w:cstheme="majorBidi"/>
                <w:bCs/>
                <w:i/>
                <w:iCs/>
                <w:sz w:val="20"/>
                <w:szCs w:val="20"/>
              </w:rPr>
            </w:pPr>
          </w:p>
        </w:tc>
        <w:tc>
          <w:tcPr>
            <w:tcW w:w="3027" w:type="pct"/>
            <w:tcBorders>
              <w:bottom w:val="nil"/>
            </w:tcBorders>
            <w:shd w:val="clear" w:color="auto" w:fill="B8CCE4" w:themeFill="accent1" w:themeFillTint="66"/>
          </w:tcPr>
          <w:p w14:paraId="7B75E88C" w14:textId="77777777" w:rsidR="00CC25DE" w:rsidRPr="008E7C4C" w:rsidRDefault="00CC25DE" w:rsidP="00605285">
            <w:pPr>
              <w:keepNext/>
              <w:widowControl w:val="0"/>
              <w:tabs>
                <w:tab w:val="left" w:pos="464"/>
              </w:tabs>
              <w:jc w:val="left"/>
              <w:rPr>
                <w:rFonts w:ascii="Arial Narrow" w:eastAsia="Calibri" w:hAnsi="Arial Narrow" w:cs="Times New Roman"/>
                <w:sz w:val="20"/>
                <w:szCs w:val="20"/>
              </w:rPr>
            </w:pPr>
            <w:r w:rsidRPr="008E7C4C">
              <w:rPr>
                <w:rFonts w:ascii="Arial Narrow" w:eastAsia="Calibri" w:hAnsi="Arial Narrow" w:cs="Times New Roman"/>
                <w:sz w:val="20"/>
                <w:szCs w:val="20"/>
              </w:rPr>
              <w:t xml:space="preserve">TOURMALINE MM-1 Interim 1 CSR. A Phase 3, Randomised, Double-Blind, </w:t>
            </w:r>
            <w:proofErr w:type="spellStart"/>
            <w:r w:rsidRPr="008E7C4C">
              <w:rPr>
                <w:rFonts w:ascii="Arial Narrow" w:eastAsia="Calibri" w:hAnsi="Arial Narrow" w:cs="Times New Roman"/>
                <w:sz w:val="20"/>
                <w:szCs w:val="20"/>
              </w:rPr>
              <w:t>Multicenter</w:t>
            </w:r>
            <w:proofErr w:type="spellEnd"/>
            <w:r w:rsidRPr="008E7C4C">
              <w:rPr>
                <w:rFonts w:ascii="Arial Narrow" w:eastAsia="Calibri" w:hAnsi="Arial Narrow" w:cs="Times New Roman"/>
                <w:sz w:val="20"/>
                <w:szCs w:val="20"/>
              </w:rPr>
              <w:t xml:space="preserve"> Study Comparing Oral MLN9708 Plus Lenalidomide and Dexamethasone Versus Placebo Plus Lenalidomide and Dexamethasone in Adult Patients </w:t>
            </w:r>
            <w:proofErr w:type="gramStart"/>
            <w:r w:rsidRPr="008E7C4C">
              <w:rPr>
                <w:rFonts w:ascii="Arial Narrow" w:eastAsia="Calibri" w:hAnsi="Arial Narrow" w:cs="Times New Roman"/>
                <w:sz w:val="20"/>
                <w:szCs w:val="20"/>
              </w:rPr>
              <w:t>With</w:t>
            </w:r>
            <w:proofErr w:type="gramEnd"/>
            <w:r w:rsidRPr="008E7C4C">
              <w:rPr>
                <w:rFonts w:ascii="Arial Narrow" w:eastAsia="Calibri" w:hAnsi="Arial Narrow" w:cs="Times New Roman"/>
                <w:sz w:val="20"/>
                <w:szCs w:val="20"/>
              </w:rPr>
              <w:t xml:space="preserve"> Relapsed and/or Refractory Multiple Myeloma. Clinical Study Report C16010. Data cut-off date 30 October 2014</w:t>
            </w:r>
          </w:p>
          <w:p w14:paraId="75673AD1" w14:textId="77777777" w:rsidR="00CC25DE" w:rsidRPr="008E7C4C" w:rsidRDefault="00CC25DE" w:rsidP="00605285">
            <w:pPr>
              <w:keepNext/>
              <w:jc w:val="left"/>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 xml:space="preserve">TOURMALINE MM-1 Interim 1 TFLs. Tables and figures referred to </w:t>
            </w:r>
            <w:r w:rsidRPr="008E7C4C">
              <w:rPr>
                <w:rFonts w:ascii="Arial Narrow" w:eastAsiaTheme="majorEastAsia" w:hAnsi="Arial Narrow" w:cstheme="majorBidi"/>
                <w:bCs/>
                <w:sz w:val="20"/>
                <w:szCs w:val="20"/>
              </w:rPr>
              <w:t>b</w:t>
            </w:r>
            <w:r w:rsidRPr="008E7C4C">
              <w:rPr>
                <w:rFonts w:ascii="Arial Narrow" w:eastAsiaTheme="majorEastAsia" w:hAnsi="Arial Narrow" w:cstheme="majorBidi"/>
                <w:sz w:val="20"/>
                <w:szCs w:val="20"/>
              </w:rPr>
              <w:t>ut not included in the text. Clinical Study Report C16010</w:t>
            </w:r>
          </w:p>
          <w:p w14:paraId="14485CCA" w14:textId="77777777" w:rsidR="00BC64DA" w:rsidRPr="008E7C4C" w:rsidRDefault="00BC64DA" w:rsidP="00605285">
            <w:pPr>
              <w:keepNext/>
              <w:jc w:val="left"/>
              <w:rPr>
                <w:rFonts w:ascii="Arial Narrow" w:eastAsiaTheme="majorEastAsia" w:hAnsi="Arial Narrow" w:cstheme="majorBidi"/>
                <w:bCs/>
                <w:sz w:val="20"/>
                <w:szCs w:val="20"/>
              </w:rPr>
            </w:pPr>
          </w:p>
        </w:tc>
        <w:tc>
          <w:tcPr>
            <w:tcW w:w="1177" w:type="pct"/>
            <w:tcBorders>
              <w:bottom w:val="nil"/>
            </w:tcBorders>
            <w:shd w:val="clear" w:color="auto" w:fill="B8CCE4" w:themeFill="accent1" w:themeFillTint="66"/>
          </w:tcPr>
          <w:p w14:paraId="371C6469" w14:textId="77777777" w:rsidR="00CC25DE" w:rsidRPr="008E7C4C" w:rsidRDefault="00CC25DE" w:rsidP="00605285">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sz w:val="20"/>
                <w:szCs w:val="20"/>
              </w:rPr>
              <w:t>May 2015</w:t>
            </w:r>
          </w:p>
        </w:tc>
      </w:tr>
      <w:tr w:rsidR="00CC25DE" w:rsidRPr="008E7C4C" w14:paraId="784CB3CD" w14:textId="77777777" w:rsidTr="00FA22AF">
        <w:tc>
          <w:tcPr>
            <w:tcW w:w="796" w:type="pct"/>
            <w:tcBorders>
              <w:top w:val="nil"/>
              <w:bottom w:val="nil"/>
            </w:tcBorders>
            <w:shd w:val="clear" w:color="auto" w:fill="B8CCE4" w:themeFill="accent1" w:themeFillTint="66"/>
            <w:vAlign w:val="center"/>
          </w:tcPr>
          <w:p w14:paraId="0813AE45" w14:textId="77777777" w:rsidR="00CC25DE" w:rsidRPr="008E7C4C" w:rsidRDefault="00CC25DE" w:rsidP="00CC25DE">
            <w:pPr>
              <w:keepNext/>
              <w:jc w:val="left"/>
              <w:rPr>
                <w:rFonts w:ascii="Arial Narrow" w:eastAsia="Calibri" w:hAnsi="Arial Narrow" w:cs="Times New Roman"/>
                <w:i/>
                <w:iCs/>
                <w:sz w:val="20"/>
                <w:szCs w:val="20"/>
              </w:rPr>
            </w:pPr>
          </w:p>
        </w:tc>
        <w:tc>
          <w:tcPr>
            <w:tcW w:w="3027" w:type="pct"/>
            <w:tcBorders>
              <w:top w:val="nil"/>
              <w:bottom w:val="nil"/>
            </w:tcBorders>
            <w:shd w:val="clear" w:color="auto" w:fill="B8CCE4" w:themeFill="accent1" w:themeFillTint="66"/>
          </w:tcPr>
          <w:p w14:paraId="761132AD" w14:textId="77777777" w:rsidR="00CC25DE" w:rsidRPr="008E7C4C" w:rsidRDefault="00CC25DE" w:rsidP="00CC25DE">
            <w:pPr>
              <w:widowControl w:val="0"/>
              <w:tabs>
                <w:tab w:val="left" w:pos="464"/>
              </w:tabs>
              <w:jc w:val="left"/>
              <w:rPr>
                <w:rFonts w:ascii="Arial Narrow" w:eastAsia="Calibri" w:hAnsi="Arial Narrow" w:cs="Times New Roman"/>
                <w:sz w:val="20"/>
                <w:szCs w:val="20"/>
              </w:rPr>
            </w:pPr>
            <w:r w:rsidRPr="008E7C4C">
              <w:rPr>
                <w:rFonts w:ascii="Arial Narrow" w:eastAsia="Calibri" w:hAnsi="Arial Narrow" w:cs="Times New Roman"/>
                <w:sz w:val="20"/>
                <w:szCs w:val="20"/>
              </w:rPr>
              <w:t xml:space="preserve">TOURMALINE MM-1 Interim 2 CSR. A Phase 3, Randomised, Double-Blind, </w:t>
            </w:r>
            <w:proofErr w:type="spellStart"/>
            <w:r w:rsidRPr="008E7C4C">
              <w:rPr>
                <w:rFonts w:ascii="Arial Narrow" w:eastAsia="Calibri" w:hAnsi="Arial Narrow" w:cs="Times New Roman"/>
                <w:sz w:val="20"/>
                <w:szCs w:val="20"/>
              </w:rPr>
              <w:t>Multicenter</w:t>
            </w:r>
            <w:proofErr w:type="spellEnd"/>
            <w:r w:rsidRPr="008E7C4C">
              <w:rPr>
                <w:rFonts w:ascii="Arial Narrow" w:eastAsia="Calibri" w:hAnsi="Arial Narrow" w:cs="Times New Roman"/>
                <w:sz w:val="20"/>
                <w:szCs w:val="20"/>
              </w:rPr>
              <w:t xml:space="preserve"> Study Comparing Oral MLN9708 Plus Lenalidomide and Dexamethasone Versus Placebo Plus Lenalidomide and Dexamethasone in Adult Patients </w:t>
            </w:r>
            <w:proofErr w:type="gramStart"/>
            <w:r w:rsidRPr="008E7C4C">
              <w:rPr>
                <w:rFonts w:ascii="Arial Narrow" w:eastAsia="Calibri" w:hAnsi="Arial Narrow" w:cs="Times New Roman"/>
                <w:sz w:val="20"/>
                <w:szCs w:val="20"/>
              </w:rPr>
              <w:t>With</w:t>
            </w:r>
            <w:proofErr w:type="gramEnd"/>
            <w:r w:rsidRPr="008E7C4C">
              <w:rPr>
                <w:rFonts w:ascii="Arial Narrow" w:eastAsia="Calibri" w:hAnsi="Arial Narrow" w:cs="Times New Roman"/>
                <w:sz w:val="20"/>
                <w:szCs w:val="20"/>
              </w:rPr>
              <w:t xml:space="preserve"> Relapsed and/or Refractory Multiple Myeloma. Clinical Study Report C16010. Clinical Study Report C16010 Addendum 1. Data cut-off date 12 July 2015</w:t>
            </w:r>
            <w:r w:rsidR="00A879D8" w:rsidRPr="008E7C4C">
              <w:rPr>
                <w:rFonts w:ascii="Arial Narrow" w:eastAsia="Calibri" w:hAnsi="Arial Narrow" w:cs="Times New Roman"/>
                <w:sz w:val="20"/>
                <w:szCs w:val="20"/>
              </w:rPr>
              <w:t>.</w:t>
            </w:r>
          </w:p>
          <w:p w14:paraId="0CD21E19" w14:textId="7A829531" w:rsidR="00A879D8" w:rsidRPr="008E7C4C" w:rsidRDefault="00A879D8" w:rsidP="00CC25DE">
            <w:pPr>
              <w:widowControl w:val="0"/>
              <w:tabs>
                <w:tab w:val="left" w:pos="464"/>
              </w:tabs>
              <w:jc w:val="left"/>
              <w:rPr>
                <w:rFonts w:ascii="Arial Narrow" w:eastAsia="Calibri" w:hAnsi="Arial Narrow" w:cs="Times New Roman"/>
                <w:sz w:val="20"/>
                <w:szCs w:val="20"/>
              </w:rPr>
            </w:pPr>
            <w:r w:rsidRPr="008E7C4C">
              <w:rPr>
                <w:rFonts w:ascii="Arial Narrow" w:eastAsia="Calibri" w:hAnsi="Arial Narrow" w:cs="Times New Roman"/>
                <w:sz w:val="20"/>
                <w:szCs w:val="20"/>
              </w:rPr>
              <w:t xml:space="preserve">TOURMALINE MM-1 Interim 2 TFLs. </w:t>
            </w:r>
            <w:r w:rsidR="004D1E9C" w:rsidRPr="008E7C4C">
              <w:rPr>
                <w:rFonts w:ascii="Arial Narrow" w:eastAsia="Calibri" w:hAnsi="Arial Narrow" w:cs="Times New Roman"/>
                <w:sz w:val="20"/>
                <w:szCs w:val="20"/>
              </w:rPr>
              <w:t>Tables</w:t>
            </w:r>
            <w:r w:rsidRPr="008E7C4C">
              <w:rPr>
                <w:rFonts w:ascii="Arial Narrow" w:eastAsia="Calibri" w:hAnsi="Arial Narrow" w:cs="Times New Roman"/>
                <w:sz w:val="20"/>
                <w:szCs w:val="20"/>
              </w:rPr>
              <w:t xml:space="preserve"> and figures referred to but not included in the text. </w:t>
            </w:r>
          </w:p>
          <w:p w14:paraId="73D9534F" w14:textId="77777777" w:rsidR="00CC25DE" w:rsidRPr="008E7C4C" w:rsidRDefault="00CC25DE" w:rsidP="00CC25DE">
            <w:pPr>
              <w:widowControl w:val="0"/>
              <w:tabs>
                <w:tab w:val="left" w:pos="464"/>
              </w:tabs>
              <w:jc w:val="left"/>
              <w:rPr>
                <w:rFonts w:ascii="Arial Narrow" w:eastAsia="Calibri" w:hAnsi="Arial Narrow" w:cs="Times New Roman"/>
                <w:sz w:val="20"/>
                <w:szCs w:val="20"/>
              </w:rPr>
            </w:pPr>
          </w:p>
        </w:tc>
        <w:tc>
          <w:tcPr>
            <w:tcW w:w="1177" w:type="pct"/>
            <w:tcBorders>
              <w:top w:val="nil"/>
              <w:bottom w:val="nil"/>
            </w:tcBorders>
            <w:shd w:val="clear" w:color="auto" w:fill="B8CCE4" w:themeFill="accent1" w:themeFillTint="66"/>
          </w:tcPr>
          <w:p w14:paraId="735E00AC" w14:textId="77777777" w:rsidR="00CC25DE" w:rsidRPr="008E7C4C" w:rsidRDefault="00CC25DE" w:rsidP="00CC25DE">
            <w:pPr>
              <w:keepNext/>
              <w:jc w:val="left"/>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January 2016</w:t>
            </w:r>
          </w:p>
        </w:tc>
      </w:tr>
      <w:tr w:rsidR="00CC25DE" w:rsidRPr="008E7C4C" w14:paraId="1F3C7118" w14:textId="77777777" w:rsidTr="00BC64DA">
        <w:tc>
          <w:tcPr>
            <w:tcW w:w="796" w:type="pct"/>
            <w:tcBorders>
              <w:top w:val="nil"/>
              <w:bottom w:val="nil"/>
            </w:tcBorders>
            <w:vAlign w:val="center"/>
          </w:tcPr>
          <w:p w14:paraId="319AC047" w14:textId="77777777" w:rsidR="00CC25DE" w:rsidRPr="008E7C4C" w:rsidRDefault="00CC25DE" w:rsidP="00CC25DE">
            <w:pPr>
              <w:keepNext/>
              <w:jc w:val="left"/>
              <w:rPr>
                <w:rFonts w:ascii="Arial Narrow" w:eastAsiaTheme="majorEastAsia" w:hAnsi="Arial Narrow" w:cstheme="majorBidi"/>
                <w:bCs/>
                <w:sz w:val="20"/>
                <w:szCs w:val="20"/>
              </w:rPr>
            </w:pPr>
          </w:p>
        </w:tc>
        <w:tc>
          <w:tcPr>
            <w:tcW w:w="3027" w:type="pct"/>
            <w:tcBorders>
              <w:top w:val="nil"/>
              <w:bottom w:val="nil"/>
            </w:tcBorders>
            <w:vAlign w:val="center"/>
          </w:tcPr>
          <w:p w14:paraId="18CF2090" w14:textId="77777777" w:rsidR="00CC25DE" w:rsidRPr="008E7C4C" w:rsidRDefault="00CC25DE" w:rsidP="00CC25DE">
            <w:pPr>
              <w:keepNext/>
              <w:widowControl w:val="0"/>
              <w:tabs>
                <w:tab w:val="left" w:pos="108"/>
              </w:tabs>
              <w:jc w:val="left"/>
              <w:rPr>
                <w:rFonts w:ascii="Arial Narrow" w:eastAsia="Calibri" w:hAnsi="Arial Narrow" w:cs="Times New Roman"/>
                <w:sz w:val="20"/>
                <w:szCs w:val="20"/>
              </w:rPr>
            </w:pPr>
            <w:r w:rsidRPr="008E7C4C">
              <w:rPr>
                <w:rFonts w:ascii="Arial Narrow" w:eastAsia="Calibri" w:hAnsi="Arial Narrow" w:cs="Times New Roman"/>
                <w:sz w:val="20"/>
                <w:szCs w:val="20"/>
              </w:rPr>
              <w:t xml:space="preserve">TOURMALINE MM-1 FA CSR April 2021. A Phase 3, Randomized, Double-Blind, </w:t>
            </w:r>
            <w:proofErr w:type="spellStart"/>
            <w:r w:rsidRPr="008E7C4C">
              <w:rPr>
                <w:rFonts w:ascii="Arial Narrow" w:eastAsia="Calibri" w:hAnsi="Arial Narrow" w:cs="Times New Roman"/>
                <w:sz w:val="20"/>
                <w:szCs w:val="20"/>
              </w:rPr>
              <w:t>Multicenter</w:t>
            </w:r>
            <w:proofErr w:type="spellEnd"/>
            <w:r w:rsidRPr="008E7C4C">
              <w:rPr>
                <w:rFonts w:ascii="Arial Narrow" w:eastAsia="Calibri" w:hAnsi="Arial Narrow" w:cs="Times New Roman"/>
                <w:sz w:val="20"/>
                <w:szCs w:val="20"/>
              </w:rPr>
              <w:t xml:space="preserve"> Study Comparing Oral MLN9708 Plus Lenalidomide and Dexamethasone Versus Placebo Plus Lenalidomide and Dexamethasone in Adult Patients </w:t>
            </w:r>
            <w:proofErr w:type="gramStart"/>
            <w:r w:rsidRPr="008E7C4C">
              <w:rPr>
                <w:rFonts w:ascii="Arial Narrow" w:eastAsia="Calibri" w:hAnsi="Arial Narrow" w:cs="Times New Roman"/>
                <w:sz w:val="20"/>
                <w:szCs w:val="20"/>
              </w:rPr>
              <w:t>With</w:t>
            </w:r>
            <w:proofErr w:type="gramEnd"/>
            <w:r w:rsidRPr="008E7C4C">
              <w:rPr>
                <w:rFonts w:ascii="Arial Narrow" w:eastAsia="Calibri" w:hAnsi="Arial Narrow" w:cs="Times New Roman"/>
                <w:sz w:val="20"/>
                <w:szCs w:val="20"/>
              </w:rPr>
              <w:t xml:space="preserve"> Relapsed and/or Refractory Multiple Myeloma.</w:t>
            </w:r>
          </w:p>
          <w:p w14:paraId="5D20F3B3" w14:textId="77777777" w:rsidR="00CC25DE" w:rsidRPr="008E7C4C" w:rsidRDefault="00CC25DE" w:rsidP="00CC25DE">
            <w:pPr>
              <w:keepNext/>
              <w:jc w:val="left"/>
              <w:rPr>
                <w:rFonts w:ascii="Arial Narrow" w:eastAsia="Calibri" w:hAnsi="Arial Narrow" w:cs="Times New Roman"/>
                <w:sz w:val="20"/>
                <w:szCs w:val="20"/>
              </w:rPr>
            </w:pPr>
          </w:p>
        </w:tc>
        <w:tc>
          <w:tcPr>
            <w:tcW w:w="1177" w:type="pct"/>
            <w:tcBorders>
              <w:top w:val="nil"/>
              <w:bottom w:val="nil"/>
            </w:tcBorders>
          </w:tcPr>
          <w:p w14:paraId="54320D7E" w14:textId="77777777" w:rsidR="00CC25DE" w:rsidRPr="008E7C4C" w:rsidRDefault="00CC25DE" w:rsidP="00BC64DA">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Clinical Study Report C16010. Data cut-off date 28 September 2020</w:t>
            </w:r>
          </w:p>
        </w:tc>
      </w:tr>
      <w:tr w:rsidR="00CC25DE" w:rsidRPr="008E7C4C" w14:paraId="5F73C188" w14:textId="77777777" w:rsidTr="00BC64DA">
        <w:tc>
          <w:tcPr>
            <w:tcW w:w="796" w:type="pct"/>
            <w:tcBorders>
              <w:top w:val="nil"/>
              <w:bottom w:val="nil"/>
            </w:tcBorders>
            <w:vAlign w:val="center"/>
          </w:tcPr>
          <w:p w14:paraId="6CCB62C8" w14:textId="77777777" w:rsidR="00CC25DE" w:rsidRPr="008E7C4C" w:rsidRDefault="00CC25DE" w:rsidP="00BC64DA">
            <w:pPr>
              <w:spacing w:before="20" w:after="20"/>
              <w:jc w:val="left"/>
              <w:rPr>
                <w:rFonts w:ascii="Arial Narrow" w:eastAsiaTheme="majorEastAsia" w:hAnsi="Arial Narrow" w:cstheme="majorBidi"/>
                <w:bCs/>
                <w:sz w:val="20"/>
                <w:szCs w:val="20"/>
              </w:rPr>
            </w:pPr>
          </w:p>
        </w:tc>
        <w:tc>
          <w:tcPr>
            <w:tcW w:w="3027" w:type="pct"/>
            <w:tcBorders>
              <w:top w:val="nil"/>
              <w:bottom w:val="nil"/>
            </w:tcBorders>
          </w:tcPr>
          <w:p w14:paraId="51999448" w14:textId="77777777" w:rsidR="00CC25DE" w:rsidRPr="008E7C4C" w:rsidRDefault="00CC25DE" w:rsidP="00BC64DA">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TOURMALINE MM-1 Final Analysis Addendum</w:t>
            </w:r>
          </w:p>
          <w:p w14:paraId="0BDA714A" w14:textId="77777777" w:rsidR="00BC64DA" w:rsidRPr="008E7C4C" w:rsidRDefault="00BC64DA" w:rsidP="00BC64DA">
            <w:pPr>
              <w:keepNext/>
              <w:jc w:val="left"/>
              <w:rPr>
                <w:rFonts w:ascii="Arial Narrow" w:eastAsiaTheme="majorEastAsia" w:hAnsi="Arial Narrow" w:cstheme="majorBidi"/>
                <w:bCs/>
                <w:sz w:val="20"/>
                <w:szCs w:val="20"/>
              </w:rPr>
            </w:pPr>
          </w:p>
        </w:tc>
        <w:tc>
          <w:tcPr>
            <w:tcW w:w="1177" w:type="pct"/>
            <w:tcBorders>
              <w:top w:val="nil"/>
              <w:bottom w:val="nil"/>
            </w:tcBorders>
          </w:tcPr>
          <w:p w14:paraId="5638E345" w14:textId="77777777" w:rsidR="00CC25DE" w:rsidRPr="008E7C4C" w:rsidRDefault="00CC25DE" w:rsidP="00BC64DA">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CSR, TFLs April 2021</w:t>
            </w:r>
          </w:p>
        </w:tc>
      </w:tr>
      <w:tr w:rsidR="00CC25DE" w:rsidRPr="008E7C4C" w14:paraId="2231532C" w14:textId="77777777" w:rsidTr="00BC64DA">
        <w:tc>
          <w:tcPr>
            <w:tcW w:w="796" w:type="pct"/>
            <w:tcBorders>
              <w:top w:val="nil"/>
              <w:bottom w:val="single" w:sz="4" w:space="0" w:color="auto"/>
            </w:tcBorders>
            <w:vAlign w:val="center"/>
          </w:tcPr>
          <w:p w14:paraId="76D454B8" w14:textId="77777777" w:rsidR="00CC25DE" w:rsidRPr="008E7C4C" w:rsidRDefault="00CC25DE" w:rsidP="00CC25DE">
            <w:pPr>
              <w:keepNext/>
              <w:jc w:val="left"/>
              <w:rPr>
                <w:rFonts w:ascii="Arial Narrow" w:eastAsiaTheme="majorEastAsia" w:hAnsi="Arial Narrow" w:cstheme="majorBidi"/>
                <w:bCs/>
                <w:sz w:val="20"/>
                <w:szCs w:val="20"/>
              </w:rPr>
            </w:pPr>
          </w:p>
        </w:tc>
        <w:tc>
          <w:tcPr>
            <w:tcW w:w="3027" w:type="pct"/>
            <w:tcBorders>
              <w:top w:val="nil"/>
              <w:bottom w:val="single" w:sz="4" w:space="0" w:color="auto"/>
            </w:tcBorders>
          </w:tcPr>
          <w:p w14:paraId="4AC320A3" w14:textId="77777777" w:rsidR="00CC25DE" w:rsidRPr="008E7C4C" w:rsidRDefault="00CC25DE" w:rsidP="00BC64DA">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Richardson, P.G., Kumar, S.K., </w:t>
            </w:r>
            <w:proofErr w:type="spellStart"/>
            <w:r w:rsidRPr="008E7C4C">
              <w:rPr>
                <w:rFonts w:ascii="Arial Narrow" w:eastAsiaTheme="majorEastAsia" w:hAnsi="Arial Narrow" w:cstheme="majorBidi"/>
                <w:bCs/>
                <w:sz w:val="20"/>
                <w:szCs w:val="20"/>
              </w:rPr>
              <w:t>Masszi</w:t>
            </w:r>
            <w:proofErr w:type="spellEnd"/>
            <w:r w:rsidRPr="008E7C4C">
              <w:rPr>
                <w:rFonts w:ascii="Arial Narrow" w:eastAsiaTheme="majorEastAsia" w:hAnsi="Arial Narrow" w:cstheme="majorBidi"/>
                <w:bCs/>
                <w:sz w:val="20"/>
                <w:szCs w:val="20"/>
              </w:rPr>
              <w:t xml:space="preserve">, T., </w:t>
            </w:r>
            <w:proofErr w:type="spellStart"/>
            <w:r w:rsidRPr="008E7C4C">
              <w:rPr>
                <w:rFonts w:ascii="Arial Narrow" w:eastAsiaTheme="majorEastAsia" w:hAnsi="Arial Narrow" w:cstheme="majorBidi"/>
                <w:bCs/>
                <w:sz w:val="20"/>
                <w:szCs w:val="20"/>
              </w:rPr>
              <w:t>Grzasko</w:t>
            </w:r>
            <w:proofErr w:type="spellEnd"/>
            <w:r w:rsidRPr="008E7C4C">
              <w:rPr>
                <w:rFonts w:ascii="Arial Narrow" w:eastAsiaTheme="majorEastAsia" w:hAnsi="Arial Narrow" w:cstheme="majorBidi"/>
                <w:bCs/>
                <w:sz w:val="20"/>
                <w:szCs w:val="20"/>
              </w:rPr>
              <w:t xml:space="preserve">, N., </w:t>
            </w:r>
            <w:proofErr w:type="spellStart"/>
            <w:r w:rsidRPr="008E7C4C">
              <w:rPr>
                <w:rFonts w:ascii="Arial Narrow" w:eastAsiaTheme="majorEastAsia" w:hAnsi="Arial Narrow" w:cstheme="majorBidi"/>
                <w:bCs/>
                <w:sz w:val="20"/>
                <w:szCs w:val="20"/>
              </w:rPr>
              <w:t>Bahlis</w:t>
            </w:r>
            <w:proofErr w:type="spellEnd"/>
            <w:r w:rsidRPr="008E7C4C">
              <w:rPr>
                <w:rFonts w:ascii="Arial Narrow" w:eastAsiaTheme="majorEastAsia" w:hAnsi="Arial Narrow" w:cstheme="majorBidi"/>
                <w:bCs/>
                <w:sz w:val="20"/>
                <w:szCs w:val="20"/>
              </w:rPr>
              <w:t xml:space="preserve">, N.J., Hansson, M., Pour, L., Sandhu, I., </w:t>
            </w:r>
            <w:proofErr w:type="spellStart"/>
            <w:r w:rsidRPr="008E7C4C">
              <w:rPr>
                <w:rFonts w:ascii="Arial Narrow" w:eastAsiaTheme="majorEastAsia" w:hAnsi="Arial Narrow" w:cstheme="majorBidi"/>
                <w:bCs/>
                <w:sz w:val="20"/>
                <w:szCs w:val="20"/>
              </w:rPr>
              <w:t>Ganly</w:t>
            </w:r>
            <w:proofErr w:type="spellEnd"/>
            <w:r w:rsidRPr="008E7C4C">
              <w:rPr>
                <w:rFonts w:ascii="Arial Narrow" w:eastAsiaTheme="majorEastAsia" w:hAnsi="Arial Narrow" w:cstheme="majorBidi"/>
                <w:bCs/>
                <w:sz w:val="20"/>
                <w:szCs w:val="20"/>
              </w:rPr>
              <w:t xml:space="preserve">, P., Baker, B.W. and Jackson, S.R., (2021). "Final Overall Survival Analysis of the TOURMALINE MM-1 Phase III Trial of </w:t>
            </w:r>
            <w:proofErr w:type="spellStart"/>
            <w:r w:rsidRPr="008E7C4C">
              <w:rPr>
                <w:rFonts w:ascii="Arial Narrow" w:eastAsiaTheme="majorEastAsia" w:hAnsi="Arial Narrow" w:cstheme="majorBidi"/>
                <w:bCs/>
                <w:sz w:val="20"/>
                <w:szCs w:val="20"/>
              </w:rPr>
              <w:t>Ixazomib</w:t>
            </w:r>
            <w:proofErr w:type="spellEnd"/>
            <w:r w:rsidRPr="008E7C4C">
              <w:rPr>
                <w:rFonts w:ascii="Arial Narrow" w:eastAsiaTheme="majorEastAsia" w:hAnsi="Arial Narrow" w:cstheme="majorBidi"/>
                <w:bCs/>
                <w:sz w:val="20"/>
                <w:szCs w:val="20"/>
              </w:rPr>
              <w:t xml:space="preserve">, Lenalidomide, and Dexamethasone in Patients </w:t>
            </w:r>
            <w:proofErr w:type="gramStart"/>
            <w:r w:rsidRPr="008E7C4C">
              <w:rPr>
                <w:rFonts w:ascii="Arial Narrow" w:eastAsiaTheme="majorEastAsia" w:hAnsi="Arial Narrow" w:cstheme="majorBidi"/>
                <w:bCs/>
                <w:sz w:val="20"/>
                <w:szCs w:val="20"/>
              </w:rPr>
              <w:t>With</w:t>
            </w:r>
            <w:proofErr w:type="gramEnd"/>
            <w:r w:rsidRPr="008E7C4C">
              <w:rPr>
                <w:rFonts w:ascii="Arial Narrow" w:eastAsiaTheme="majorEastAsia" w:hAnsi="Arial Narrow" w:cstheme="majorBidi"/>
                <w:bCs/>
                <w:sz w:val="20"/>
                <w:szCs w:val="20"/>
              </w:rPr>
              <w:t xml:space="preserve"> Relapsed or Refractory Multiple Myeloma.".</w:t>
            </w:r>
          </w:p>
        </w:tc>
        <w:tc>
          <w:tcPr>
            <w:tcW w:w="1177" w:type="pct"/>
            <w:tcBorders>
              <w:top w:val="nil"/>
              <w:bottom w:val="single" w:sz="4" w:space="0" w:color="auto"/>
            </w:tcBorders>
          </w:tcPr>
          <w:p w14:paraId="3AC7E88E" w14:textId="77777777" w:rsidR="00CC25DE" w:rsidRPr="008E7C4C" w:rsidRDefault="00CC25DE" w:rsidP="00BC64DA">
            <w:pPr>
              <w:keepNext/>
              <w:jc w:val="left"/>
              <w:rPr>
                <w:rFonts w:ascii="Arial Narrow" w:eastAsiaTheme="majorEastAsia" w:hAnsi="Arial Narrow" w:cstheme="majorBidi"/>
                <w:bCs/>
                <w:i/>
                <w:sz w:val="20"/>
                <w:szCs w:val="20"/>
              </w:rPr>
            </w:pPr>
            <w:r w:rsidRPr="008E7C4C">
              <w:rPr>
                <w:rFonts w:ascii="Arial Narrow" w:eastAsiaTheme="majorEastAsia" w:hAnsi="Arial Narrow" w:cstheme="majorBidi"/>
                <w:bCs/>
                <w:sz w:val="20"/>
                <w:szCs w:val="20"/>
              </w:rPr>
              <w:t>Journal of Clinical Oncology 39(22): 2430-2442</w:t>
            </w:r>
          </w:p>
        </w:tc>
      </w:tr>
    </w:tbl>
    <w:p w14:paraId="390B3B3C" w14:textId="77777777" w:rsidR="007E5787"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Source: Table 2-4, p.49 of the resubmission.</w:t>
      </w:r>
      <w:r w:rsidR="007B5B8B" w:rsidRPr="008E7C4C">
        <w:rPr>
          <w:rFonts w:ascii="Arial Narrow" w:hAnsi="Arial Narrow"/>
          <w:snapToGrid w:val="0"/>
          <w:sz w:val="18"/>
          <w:szCs w:val="22"/>
        </w:rPr>
        <w:t xml:space="preserve"> </w:t>
      </w:r>
    </w:p>
    <w:p w14:paraId="595092AE" w14:textId="6C5CA3F7" w:rsidR="00CC25DE" w:rsidRPr="008E7C4C" w:rsidRDefault="00BC64DA" w:rsidP="00CC25DE">
      <w:pPr>
        <w:spacing w:after="120"/>
        <w:contextualSpacing/>
        <w:rPr>
          <w:rFonts w:ascii="Arial Narrow" w:hAnsi="Arial Narrow"/>
          <w:snapToGrid w:val="0"/>
          <w:sz w:val="18"/>
          <w:szCs w:val="22"/>
        </w:rPr>
      </w:pPr>
      <w:r w:rsidRPr="008E7C4C">
        <w:rPr>
          <w:rFonts w:ascii="Arial Narrow" w:hAnsi="Arial Narrow"/>
          <w:snapToGrid w:val="0"/>
          <w:sz w:val="18"/>
          <w:szCs w:val="22"/>
          <w:shd w:val="clear" w:color="auto" w:fill="B8CCE4" w:themeFill="accent1" w:themeFillTint="66"/>
        </w:rPr>
        <w:t>Blue</w:t>
      </w:r>
      <w:r w:rsidR="007B5B8B" w:rsidRPr="008E7C4C">
        <w:rPr>
          <w:rFonts w:ascii="Arial Narrow" w:hAnsi="Arial Narrow"/>
          <w:snapToGrid w:val="0"/>
          <w:sz w:val="18"/>
          <w:szCs w:val="22"/>
        </w:rPr>
        <w:t xml:space="preserve"> refers to the TMM-1 reports presented in the </w:t>
      </w:r>
      <w:r w:rsidR="00033DCF" w:rsidRPr="008E7C4C">
        <w:rPr>
          <w:rFonts w:ascii="Arial Narrow" w:hAnsi="Arial Narrow"/>
          <w:snapToGrid w:val="0"/>
          <w:sz w:val="18"/>
          <w:szCs w:val="22"/>
        </w:rPr>
        <w:t>November</w:t>
      </w:r>
      <w:r w:rsidR="007B5B8B" w:rsidRPr="008E7C4C">
        <w:rPr>
          <w:rFonts w:ascii="Arial Narrow" w:hAnsi="Arial Narrow"/>
          <w:snapToGrid w:val="0"/>
          <w:sz w:val="18"/>
          <w:szCs w:val="22"/>
        </w:rPr>
        <w:t xml:space="preserve"> 2020 </w:t>
      </w:r>
      <w:r w:rsidR="001A0D4F" w:rsidRPr="008E7C4C">
        <w:rPr>
          <w:rFonts w:ascii="Arial Narrow" w:hAnsi="Arial Narrow"/>
          <w:snapToGrid w:val="0"/>
          <w:sz w:val="18"/>
          <w:szCs w:val="22"/>
        </w:rPr>
        <w:t>submission</w:t>
      </w:r>
      <w:r w:rsidR="007B5B8B" w:rsidRPr="008E7C4C">
        <w:rPr>
          <w:rFonts w:ascii="Arial Narrow" w:hAnsi="Arial Narrow"/>
          <w:snapToGrid w:val="0"/>
          <w:sz w:val="18"/>
          <w:szCs w:val="22"/>
        </w:rPr>
        <w:t xml:space="preserve"> from </w:t>
      </w:r>
      <w:r w:rsidR="001A0D4F" w:rsidRPr="008E7C4C">
        <w:rPr>
          <w:rFonts w:ascii="Arial Narrow" w:hAnsi="Arial Narrow"/>
          <w:snapToGrid w:val="0"/>
          <w:sz w:val="18"/>
          <w:szCs w:val="22"/>
        </w:rPr>
        <w:t>which</w:t>
      </w:r>
      <w:r w:rsidR="007B5B8B" w:rsidRPr="008E7C4C">
        <w:rPr>
          <w:rFonts w:ascii="Arial Narrow" w:hAnsi="Arial Narrow"/>
          <w:snapToGrid w:val="0"/>
          <w:sz w:val="18"/>
          <w:szCs w:val="22"/>
        </w:rPr>
        <w:t xml:space="preserve"> some of the data was also presented in this resubmission.</w:t>
      </w:r>
    </w:p>
    <w:p w14:paraId="0317F2EF" w14:textId="77777777" w:rsidR="009D3002" w:rsidRPr="008E7C4C" w:rsidRDefault="009D3002" w:rsidP="00CC25DE">
      <w:pPr>
        <w:spacing w:after="120"/>
        <w:contextualSpacing/>
        <w:rPr>
          <w:rFonts w:ascii="Arial Narrow" w:hAnsi="Arial Narrow"/>
          <w:snapToGrid w:val="0"/>
          <w:sz w:val="20"/>
          <w:szCs w:val="22"/>
        </w:rPr>
      </w:pPr>
    </w:p>
    <w:p w14:paraId="48CF6682" w14:textId="77777777" w:rsidR="00CC25DE" w:rsidRPr="008E7C4C" w:rsidRDefault="00CC25DE" w:rsidP="00CC25DE">
      <w:pPr>
        <w:numPr>
          <w:ilvl w:val="1"/>
          <w:numId w:val="1"/>
        </w:numPr>
        <w:spacing w:after="120"/>
        <w:rPr>
          <w:rFonts w:asciiTheme="minorHAnsi" w:hAnsiTheme="minorHAnsi"/>
          <w:snapToGrid w:val="0"/>
          <w:color w:val="0066FF"/>
        </w:rPr>
      </w:pPr>
      <w:r w:rsidRPr="008E7C4C">
        <w:rPr>
          <w:rFonts w:asciiTheme="minorHAnsi" w:hAnsiTheme="minorHAnsi"/>
          <w:snapToGrid w:val="0"/>
        </w:rPr>
        <w:t xml:space="preserve">The key features of TMM-1 are summarised in the table below. </w:t>
      </w:r>
    </w:p>
    <w:p w14:paraId="579C5F18" w14:textId="77777777" w:rsidR="00CC25DE" w:rsidRPr="008E7C4C" w:rsidRDefault="00CC25DE" w:rsidP="00CC25DE">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Table 4: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694"/>
        <w:gridCol w:w="1843"/>
        <w:gridCol w:w="833"/>
        <w:gridCol w:w="1545"/>
        <w:gridCol w:w="1450"/>
        <w:gridCol w:w="1365"/>
      </w:tblGrid>
      <w:tr w:rsidR="00CC25DE" w:rsidRPr="008E7C4C" w14:paraId="67FF2436" w14:textId="77777777" w:rsidTr="00764910">
        <w:trPr>
          <w:cantSplit/>
          <w:tblHeader/>
        </w:trPr>
        <w:tc>
          <w:tcPr>
            <w:tcW w:w="713" w:type="pct"/>
            <w:shd w:val="clear" w:color="auto" w:fill="auto"/>
            <w:vAlign w:val="center"/>
          </w:tcPr>
          <w:p w14:paraId="24F912B5" w14:textId="77777777" w:rsidR="00CC25DE" w:rsidRPr="008E7C4C" w:rsidRDefault="00CC25DE" w:rsidP="00CC25DE">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Trial</w:t>
            </w:r>
          </w:p>
        </w:tc>
        <w:tc>
          <w:tcPr>
            <w:tcW w:w="385" w:type="pct"/>
            <w:shd w:val="clear" w:color="auto" w:fill="auto"/>
            <w:vAlign w:val="center"/>
          </w:tcPr>
          <w:p w14:paraId="024F6E51" w14:textId="77777777"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N</w:t>
            </w:r>
          </w:p>
        </w:tc>
        <w:tc>
          <w:tcPr>
            <w:tcW w:w="1022" w:type="pct"/>
            <w:shd w:val="clear" w:color="auto" w:fill="auto"/>
            <w:vAlign w:val="center"/>
          </w:tcPr>
          <w:p w14:paraId="3C47D49F" w14:textId="77777777"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Design/ duration</w:t>
            </w:r>
          </w:p>
        </w:tc>
        <w:tc>
          <w:tcPr>
            <w:tcW w:w="462" w:type="pct"/>
            <w:shd w:val="clear" w:color="auto" w:fill="auto"/>
            <w:vAlign w:val="center"/>
          </w:tcPr>
          <w:p w14:paraId="2AB49E46" w14:textId="77777777"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Risk of bias</w:t>
            </w:r>
          </w:p>
        </w:tc>
        <w:tc>
          <w:tcPr>
            <w:tcW w:w="857" w:type="pct"/>
            <w:shd w:val="clear" w:color="auto" w:fill="auto"/>
            <w:vAlign w:val="center"/>
          </w:tcPr>
          <w:p w14:paraId="6E28AAFC" w14:textId="77777777"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Patient population</w:t>
            </w:r>
          </w:p>
        </w:tc>
        <w:tc>
          <w:tcPr>
            <w:tcW w:w="804" w:type="pct"/>
            <w:shd w:val="clear" w:color="auto" w:fill="auto"/>
            <w:vAlign w:val="center"/>
          </w:tcPr>
          <w:p w14:paraId="2934714C" w14:textId="77777777"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Outcomes</w:t>
            </w:r>
          </w:p>
        </w:tc>
        <w:tc>
          <w:tcPr>
            <w:tcW w:w="758" w:type="pct"/>
            <w:shd w:val="clear" w:color="auto" w:fill="auto"/>
            <w:vAlign w:val="center"/>
          </w:tcPr>
          <w:p w14:paraId="5BEB2BE0" w14:textId="517B250C"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Use</w:t>
            </w:r>
            <w:r w:rsidR="00764910" w:rsidRPr="008E7C4C">
              <w:rPr>
                <w:rFonts w:ascii="Arial Narrow" w:eastAsiaTheme="majorEastAsia" w:hAnsi="Arial Narrow" w:cs="Times New Roman"/>
                <w:b/>
                <w:sz w:val="20"/>
              </w:rPr>
              <w:t>d</w:t>
            </w:r>
            <w:r w:rsidRPr="008E7C4C">
              <w:rPr>
                <w:rFonts w:ascii="Arial Narrow" w:eastAsiaTheme="majorEastAsia" w:hAnsi="Arial Narrow" w:cs="Times New Roman"/>
                <w:b/>
                <w:sz w:val="20"/>
              </w:rPr>
              <w:t xml:space="preserve"> in modelled evaluation</w:t>
            </w:r>
          </w:p>
        </w:tc>
      </w:tr>
      <w:tr w:rsidR="00CC25DE" w:rsidRPr="008E7C4C" w14:paraId="7318B51D" w14:textId="77777777" w:rsidTr="006D7D90">
        <w:trPr>
          <w:cantSplit/>
        </w:trPr>
        <w:tc>
          <w:tcPr>
            <w:tcW w:w="5000" w:type="pct"/>
            <w:gridSpan w:val="7"/>
            <w:shd w:val="clear" w:color="auto" w:fill="auto"/>
            <w:vAlign w:val="center"/>
          </w:tcPr>
          <w:p w14:paraId="421D24C7" w14:textId="77777777" w:rsidR="00CC25DE" w:rsidRPr="008E7C4C" w:rsidRDefault="00CC25DE" w:rsidP="00CC25DE">
            <w:pPr>
              <w:keepNext/>
              <w:jc w:val="left"/>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ILd</w:t>
            </w:r>
            <w:proofErr w:type="spellEnd"/>
            <w:r w:rsidRPr="008E7C4C">
              <w:rPr>
                <w:rFonts w:ascii="Arial Narrow" w:eastAsiaTheme="majorEastAsia" w:hAnsi="Arial Narrow" w:cs="Times New Roman"/>
                <w:b/>
                <w:sz w:val="20"/>
              </w:rPr>
              <w:t xml:space="preserve"> vs </w:t>
            </w:r>
            <w:proofErr w:type="spellStart"/>
            <w:r w:rsidRPr="008E7C4C">
              <w:rPr>
                <w:rFonts w:ascii="Arial Narrow" w:eastAsiaTheme="majorEastAsia" w:hAnsi="Arial Narrow" w:cs="Times New Roman"/>
                <w:b/>
                <w:sz w:val="20"/>
              </w:rPr>
              <w:t>Ld</w:t>
            </w:r>
            <w:proofErr w:type="spellEnd"/>
          </w:p>
        </w:tc>
      </w:tr>
      <w:tr w:rsidR="00CC25DE" w:rsidRPr="008E7C4C" w14:paraId="0C36200C" w14:textId="77777777" w:rsidTr="00764910">
        <w:trPr>
          <w:cantSplit/>
        </w:trPr>
        <w:tc>
          <w:tcPr>
            <w:tcW w:w="713" w:type="pct"/>
            <w:shd w:val="clear" w:color="auto" w:fill="auto"/>
            <w:vAlign w:val="center"/>
          </w:tcPr>
          <w:p w14:paraId="15E91D0A"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TOURMALINE</w:t>
            </w:r>
          </w:p>
        </w:tc>
        <w:tc>
          <w:tcPr>
            <w:tcW w:w="385" w:type="pct"/>
            <w:shd w:val="clear" w:color="auto" w:fill="auto"/>
            <w:vAlign w:val="center"/>
          </w:tcPr>
          <w:p w14:paraId="2B0BB3B8" w14:textId="77777777"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722</w:t>
            </w:r>
          </w:p>
        </w:tc>
        <w:tc>
          <w:tcPr>
            <w:tcW w:w="1022" w:type="pct"/>
            <w:shd w:val="clear" w:color="auto" w:fill="auto"/>
            <w:vAlign w:val="center"/>
          </w:tcPr>
          <w:p w14:paraId="7AFA5E53" w14:textId="77777777" w:rsidR="00CC25DE" w:rsidRPr="008E7C4C" w:rsidRDefault="00CC25DE" w:rsidP="00764910">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Phase III, R, DB, MC</w:t>
            </w:r>
          </w:p>
          <w:p w14:paraId="7201971A" w14:textId="77777777" w:rsidR="00CC25DE" w:rsidRPr="008E7C4C" w:rsidRDefault="00CC25DE" w:rsidP="00764910">
            <w:pPr>
              <w:keepNext/>
              <w:jc w:val="center"/>
              <w:rPr>
                <w:rFonts w:ascii="Arial Narrow" w:eastAsiaTheme="majorEastAsia" w:hAnsi="Arial Narrow" w:cstheme="majorBidi"/>
                <w:bCs/>
                <w:sz w:val="20"/>
              </w:rPr>
            </w:pPr>
          </w:p>
          <w:p w14:paraId="420EB183" w14:textId="77777777" w:rsidR="00CC25DE" w:rsidRPr="008E7C4C" w:rsidRDefault="00CC25DE" w:rsidP="00764910">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ITT</w:t>
            </w:r>
          </w:p>
          <w:p w14:paraId="48BCCC2D" w14:textId="281FCF53" w:rsidR="00CC25DE" w:rsidRPr="008E7C4C" w:rsidRDefault="00CC25DE" w:rsidP="00764910">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OS (FA)</w:t>
            </w:r>
            <w:r w:rsidRPr="008E7C4C">
              <w:rPr>
                <w:rFonts w:ascii="Arial Narrow" w:eastAsiaTheme="majorEastAsia" w:hAnsi="Arial Narrow" w:cstheme="majorBidi"/>
                <w:bCs/>
                <w:sz w:val="20"/>
                <w:vertAlign w:val="superscript"/>
              </w:rPr>
              <w:t>a</w:t>
            </w:r>
            <w:r w:rsidRPr="008E7C4C">
              <w:rPr>
                <w:rFonts w:ascii="Arial Narrow" w:eastAsiaTheme="majorEastAsia" w:hAnsi="Arial Narrow" w:cstheme="majorBidi"/>
                <w:bCs/>
                <w:sz w:val="20"/>
              </w:rPr>
              <w:t xml:space="preserve">, median </w:t>
            </w:r>
            <w:r w:rsidR="00A23DC5" w:rsidRPr="008E7C4C">
              <w:rPr>
                <w:rFonts w:ascii="Arial Narrow" w:eastAsiaTheme="majorEastAsia" w:hAnsi="Arial Narrow" w:cstheme="majorBidi"/>
                <w:bCs/>
                <w:sz w:val="20"/>
              </w:rPr>
              <w:t>follow-up</w:t>
            </w:r>
            <w:r w:rsidRPr="008E7C4C">
              <w:rPr>
                <w:rFonts w:ascii="Arial Narrow" w:eastAsiaTheme="majorEastAsia" w:hAnsi="Arial Narrow" w:cstheme="majorBidi"/>
                <w:bCs/>
                <w:sz w:val="20"/>
              </w:rPr>
              <w:t xml:space="preserve"> 85 months.</w:t>
            </w:r>
          </w:p>
          <w:p w14:paraId="0DF1AF2B" w14:textId="1BC0E90E" w:rsidR="00CC25DE" w:rsidRPr="008E7C4C" w:rsidRDefault="00CC25DE" w:rsidP="00764910">
            <w:pPr>
              <w:keepNext/>
              <w:jc w:val="center"/>
              <w:rPr>
                <w:rFonts w:ascii="Arial Narrow" w:eastAsiaTheme="majorEastAsia" w:hAnsi="Arial Narrow" w:cstheme="majorBidi"/>
                <w:bCs/>
                <w:sz w:val="20"/>
              </w:rPr>
            </w:pPr>
          </w:p>
          <w:p w14:paraId="0BD9CFC7" w14:textId="167DA6D1" w:rsidR="00CC25DE" w:rsidRPr="008E7C4C" w:rsidRDefault="00CC25DE" w:rsidP="00764910">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PFS (IA</w:t>
            </w:r>
            <w:proofErr w:type="gramStart"/>
            <w:r w:rsidRPr="008E7C4C">
              <w:rPr>
                <w:rFonts w:ascii="Arial Narrow" w:eastAsiaTheme="majorEastAsia" w:hAnsi="Arial Narrow" w:cstheme="majorBidi"/>
                <w:bCs/>
                <w:sz w:val="20"/>
              </w:rPr>
              <w:t>1)</w:t>
            </w:r>
            <w:r w:rsidRPr="008E7C4C">
              <w:rPr>
                <w:rFonts w:ascii="Arial Narrow" w:eastAsiaTheme="majorEastAsia" w:hAnsi="Arial Narrow" w:cstheme="majorBidi"/>
                <w:bCs/>
                <w:sz w:val="20"/>
                <w:vertAlign w:val="superscript"/>
              </w:rPr>
              <w:t>b</w:t>
            </w:r>
            <w:proofErr w:type="gramEnd"/>
            <w:r w:rsidR="00BC64DA" w:rsidRPr="008E7C4C">
              <w:rPr>
                <w:rFonts w:ascii="Arial Narrow" w:eastAsiaTheme="majorEastAsia" w:hAnsi="Arial Narrow" w:cstheme="majorBidi"/>
                <w:bCs/>
                <w:sz w:val="20"/>
              </w:rPr>
              <w:t xml:space="preserve">, </w:t>
            </w:r>
            <w:r w:rsidRPr="008E7C4C">
              <w:rPr>
                <w:rFonts w:ascii="Arial Narrow" w:eastAsiaTheme="majorEastAsia" w:hAnsi="Arial Narrow" w:cstheme="majorBidi"/>
                <w:bCs/>
                <w:sz w:val="20"/>
              </w:rPr>
              <w:t xml:space="preserve">median </w:t>
            </w:r>
            <w:r w:rsidR="00A23DC5" w:rsidRPr="008E7C4C">
              <w:rPr>
                <w:rFonts w:ascii="Arial Narrow" w:eastAsiaTheme="majorEastAsia" w:hAnsi="Arial Narrow" w:cstheme="majorBidi"/>
                <w:bCs/>
                <w:sz w:val="20"/>
              </w:rPr>
              <w:t>follow-up</w:t>
            </w:r>
            <w:r w:rsidRPr="008E7C4C">
              <w:rPr>
                <w:rFonts w:ascii="Arial Narrow" w:eastAsiaTheme="majorEastAsia" w:hAnsi="Arial Narrow" w:cstheme="majorBidi"/>
                <w:bCs/>
                <w:sz w:val="20"/>
              </w:rPr>
              <w:t xml:space="preserve"> 15 months</w:t>
            </w:r>
            <w:r w:rsidR="00E10BBE" w:rsidRPr="008E7C4C">
              <w:rPr>
                <w:rFonts w:ascii="Arial Narrow" w:eastAsiaTheme="majorEastAsia" w:hAnsi="Arial Narrow" w:cstheme="majorBidi"/>
                <w:bCs/>
                <w:sz w:val="20"/>
              </w:rPr>
              <w:t>.</w:t>
            </w:r>
          </w:p>
          <w:p w14:paraId="3E04BFE3" w14:textId="77777777" w:rsidR="00E10BBE" w:rsidRPr="008E7C4C" w:rsidRDefault="00E10BBE" w:rsidP="00764910">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PFS (IA</w:t>
            </w:r>
            <w:proofErr w:type="gramStart"/>
            <w:r w:rsidRPr="008E7C4C">
              <w:rPr>
                <w:rFonts w:ascii="Arial Narrow" w:eastAsiaTheme="majorEastAsia" w:hAnsi="Arial Narrow" w:cstheme="majorBidi"/>
                <w:bCs/>
                <w:sz w:val="20"/>
              </w:rPr>
              <w:t>2)</w:t>
            </w:r>
            <w:r w:rsidRPr="008E7C4C">
              <w:rPr>
                <w:rFonts w:ascii="Arial Narrow" w:eastAsiaTheme="majorEastAsia" w:hAnsi="Arial Narrow" w:cstheme="majorBidi"/>
                <w:bCs/>
                <w:sz w:val="20"/>
                <w:vertAlign w:val="superscript"/>
              </w:rPr>
              <w:t>c</w:t>
            </w:r>
            <w:proofErr w:type="gramEnd"/>
            <w:r w:rsidRPr="008E7C4C">
              <w:rPr>
                <w:rFonts w:ascii="Arial Narrow" w:eastAsiaTheme="majorEastAsia" w:hAnsi="Arial Narrow" w:cstheme="majorBidi"/>
                <w:bCs/>
                <w:sz w:val="20"/>
              </w:rPr>
              <w:t xml:space="preserve"> median follow-up 23 months</w:t>
            </w:r>
          </w:p>
        </w:tc>
        <w:tc>
          <w:tcPr>
            <w:tcW w:w="462" w:type="pct"/>
            <w:shd w:val="clear" w:color="auto" w:fill="auto"/>
            <w:vAlign w:val="center"/>
          </w:tcPr>
          <w:p w14:paraId="574242F4" w14:textId="77777777" w:rsidR="00CC25DE" w:rsidRPr="008E7C4C" w:rsidRDefault="00CC25DE" w:rsidP="00B115E1">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Low</w:t>
            </w:r>
          </w:p>
        </w:tc>
        <w:tc>
          <w:tcPr>
            <w:tcW w:w="857" w:type="pct"/>
            <w:shd w:val="clear" w:color="auto" w:fill="auto"/>
            <w:vAlign w:val="center"/>
          </w:tcPr>
          <w:p w14:paraId="240F5C2A" w14:textId="7C491BEA" w:rsidR="00CC25DE" w:rsidRPr="008E7C4C" w:rsidRDefault="00CC25DE" w:rsidP="00764910">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szCs w:val="20"/>
              </w:rPr>
              <w:t xml:space="preserve">Patients with RRMM who had received </w:t>
            </w:r>
            <w:r w:rsidR="00764910" w:rsidRPr="008E7C4C">
              <w:rPr>
                <w:rFonts w:ascii="Arial Narrow" w:eastAsiaTheme="majorEastAsia" w:hAnsi="Arial Narrow" w:cstheme="majorBidi"/>
                <w:bCs/>
                <w:sz w:val="20"/>
                <w:szCs w:val="20"/>
              </w:rPr>
              <w:t>1-3</w:t>
            </w:r>
            <w:r w:rsidRPr="008E7C4C">
              <w:rPr>
                <w:rFonts w:ascii="Arial Narrow" w:eastAsiaTheme="majorEastAsia" w:hAnsi="Arial Narrow" w:cstheme="majorBidi"/>
                <w:bCs/>
                <w:sz w:val="20"/>
                <w:szCs w:val="20"/>
              </w:rPr>
              <w:t xml:space="preserve"> prior lines of therapy.</w:t>
            </w:r>
          </w:p>
        </w:tc>
        <w:tc>
          <w:tcPr>
            <w:tcW w:w="804" w:type="pct"/>
            <w:shd w:val="clear" w:color="auto" w:fill="auto"/>
            <w:vAlign w:val="center"/>
          </w:tcPr>
          <w:p w14:paraId="7C4F82B5" w14:textId="77777777" w:rsidR="00CC25DE" w:rsidRPr="008E7C4C" w:rsidRDefault="00CC25DE" w:rsidP="00764910">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Primary: PFS</w:t>
            </w:r>
          </w:p>
          <w:p w14:paraId="11565696" w14:textId="77777777" w:rsidR="00CC25DE" w:rsidRPr="008E7C4C" w:rsidRDefault="00CC25DE" w:rsidP="00764910">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Key secondary: OS</w:t>
            </w:r>
          </w:p>
          <w:p w14:paraId="384483A5" w14:textId="77777777" w:rsidR="00CC25DE" w:rsidRPr="008E7C4C" w:rsidRDefault="00CC25DE" w:rsidP="00764910">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szCs w:val="20"/>
              </w:rPr>
              <w:t xml:space="preserve">Other secondary: </w:t>
            </w:r>
            <w:proofErr w:type="spellStart"/>
            <w:r w:rsidRPr="008E7C4C">
              <w:rPr>
                <w:rFonts w:ascii="Arial Narrow" w:eastAsiaTheme="majorEastAsia" w:hAnsi="Arial Narrow" w:cstheme="majorBidi"/>
                <w:bCs/>
                <w:sz w:val="20"/>
                <w:szCs w:val="20"/>
              </w:rPr>
              <w:t>ORR</w:t>
            </w:r>
            <w:r w:rsidRPr="008E7C4C">
              <w:rPr>
                <w:rFonts w:ascii="Arial Narrow" w:eastAsiaTheme="majorEastAsia" w:hAnsi="Arial Narrow" w:cstheme="majorBidi"/>
                <w:bCs/>
                <w:sz w:val="20"/>
                <w:szCs w:val="20"/>
                <w:vertAlign w:val="superscript"/>
              </w:rPr>
              <w:t>c</w:t>
            </w:r>
            <w:proofErr w:type="spellEnd"/>
            <w:r w:rsidRPr="008E7C4C">
              <w:rPr>
                <w:rFonts w:ascii="Arial Narrow" w:eastAsiaTheme="majorEastAsia" w:hAnsi="Arial Narrow" w:cstheme="majorBidi"/>
                <w:bCs/>
                <w:sz w:val="20"/>
                <w:szCs w:val="20"/>
              </w:rPr>
              <w:t xml:space="preserve">, </w:t>
            </w:r>
            <w:proofErr w:type="spellStart"/>
            <w:r w:rsidRPr="008E7C4C">
              <w:rPr>
                <w:rFonts w:ascii="Arial Narrow" w:eastAsiaTheme="majorEastAsia" w:hAnsi="Arial Narrow" w:cstheme="majorBidi"/>
                <w:bCs/>
                <w:sz w:val="20"/>
                <w:szCs w:val="20"/>
              </w:rPr>
              <w:t>QoL</w:t>
            </w:r>
            <w:r w:rsidRPr="008E7C4C">
              <w:rPr>
                <w:rFonts w:ascii="Arial Narrow" w:eastAsiaTheme="majorEastAsia" w:hAnsi="Arial Narrow" w:cstheme="majorBidi"/>
                <w:bCs/>
                <w:sz w:val="20"/>
                <w:szCs w:val="20"/>
                <w:vertAlign w:val="superscript"/>
              </w:rPr>
              <w:t>a</w:t>
            </w:r>
            <w:proofErr w:type="spellEnd"/>
            <w:r w:rsidRPr="008E7C4C">
              <w:rPr>
                <w:rFonts w:ascii="Arial Narrow" w:eastAsiaTheme="majorEastAsia" w:hAnsi="Arial Narrow" w:cstheme="majorBidi"/>
                <w:bCs/>
                <w:sz w:val="20"/>
                <w:szCs w:val="20"/>
              </w:rPr>
              <w:t xml:space="preserve">, </w:t>
            </w:r>
            <w:proofErr w:type="spellStart"/>
            <w:r w:rsidRPr="008E7C4C">
              <w:rPr>
                <w:rFonts w:ascii="Arial Narrow" w:eastAsiaTheme="majorEastAsia" w:hAnsi="Arial Narrow" w:cstheme="majorBidi"/>
                <w:bCs/>
                <w:sz w:val="20"/>
                <w:szCs w:val="20"/>
              </w:rPr>
              <w:t>Safety</w:t>
            </w:r>
            <w:r w:rsidRPr="008E7C4C">
              <w:rPr>
                <w:rFonts w:ascii="Arial Narrow" w:eastAsiaTheme="majorEastAsia" w:hAnsi="Arial Narrow" w:cstheme="majorBidi"/>
                <w:bCs/>
                <w:sz w:val="20"/>
                <w:szCs w:val="20"/>
                <w:vertAlign w:val="superscript"/>
              </w:rPr>
              <w:t>a</w:t>
            </w:r>
            <w:proofErr w:type="spellEnd"/>
          </w:p>
        </w:tc>
        <w:tc>
          <w:tcPr>
            <w:tcW w:w="758" w:type="pct"/>
            <w:shd w:val="clear" w:color="auto" w:fill="auto"/>
            <w:vAlign w:val="center"/>
          </w:tcPr>
          <w:p w14:paraId="377B31E6" w14:textId="77777777" w:rsidR="00CC25DE" w:rsidRPr="008E7C4C" w:rsidRDefault="00CC25DE" w:rsidP="00764910">
            <w:pPr>
              <w:keepNext/>
              <w:jc w:val="center"/>
              <w:rPr>
                <w:rFonts w:ascii="Arial Narrow" w:eastAsiaTheme="majorEastAsia" w:hAnsi="Arial Narrow" w:cstheme="majorBidi"/>
                <w:bCs/>
                <w:sz w:val="20"/>
                <w:vertAlign w:val="superscript"/>
              </w:rPr>
            </w:pPr>
            <w:proofErr w:type="spellStart"/>
            <w:r w:rsidRPr="008E7C4C">
              <w:rPr>
                <w:rFonts w:ascii="Arial Narrow" w:eastAsiaTheme="majorEastAsia" w:hAnsi="Arial Narrow" w:cstheme="majorBidi"/>
                <w:bCs/>
                <w:sz w:val="20"/>
              </w:rPr>
              <w:t>PFS</w:t>
            </w:r>
            <w:r w:rsidRPr="008E7C4C">
              <w:rPr>
                <w:rFonts w:ascii="Arial Narrow" w:eastAsiaTheme="majorEastAsia" w:hAnsi="Arial Narrow" w:cstheme="majorBidi"/>
                <w:bCs/>
                <w:sz w:val="20"/>
                <w:vertAlign w:val="superscript"/>
              </w:rPr>
              <w:t>b</w:t>
            </w:r>
            <w:proofErr w:type="spellEnd"/>
            <w:r w:rsidRPr="008E7C4C">
              <w:rPr>
                <w:rFonts w:ascii="Arial Narrow" w:eastAsiaTheme="majorEastAsia" w:hAnsi="Arial Narrow" w:cstheme="majorBidi"/>
                <w:bCs/>
                <w:sz w:val="20"/>
              </w:rPr>
              <w:t xml:space="preserve">, </w:t>
            </w:r>
            <w:proofErr w:type="spellStart"/>
            <w:r w:rsidRPr="008E7C4C">
              <w:rPr>
                <w:rFonts w:ascii="Arial Narrow" w:eastAsiaTheme="majorEastAsia" w:hAnsi="Arial Narrow" w:cstheme="majorBidi"/>
                <w:bCs/>
                <w:sz w:val="20"/>
              </w:rPr>
              <w:t>OS</w:t>
            </w:r>
            <w:r w:rsidRPr="008E7C4C">
              <w:rPr>
                <w:rFonts w:ascii="Arial Narrow" w:eastAsiaTheme="majorEastAsia" w:hAnsi="Arial Narrow" w:cstheme="majorBidi"/>
                <w:bCs/>
                <w:sz w:val="20"/>
                <w:vertAlign w:val="superscript"/>
              </w:rPr>
              <w:t>a</w:t>
            </w:r>
            <w:proofErr w:type="spellEnd"/>
            <w:r w:rsidRPr="008E7C4C">
              <w:rPr>
                <w:rFonts w:ascii="Arial Narrow" w:eastAsiaTheme="majorEastAsia" w:hAnsi="Arial Narrow" w:cstheme="majorBidi"/>
                <w:bCs/>
                <w:sz w:val="20"/>
              </w:rPr>
              <w:t xml:space="preserve"> and </w:t>
            </w:r>
            <w:proofErr w:type="spellStart"/>
            <w:r w:rsidRPr="008E7C4C">
              <w:rPr>
                <w:rFonts w:ascii="Arial Narrow" w:eastAsiaTheme="majorEastAsia" w:hAnsi="Arial Narrow" w:cstheme="majorBidi"/>
                <w:bCs/>
                <w:sz w:val="20"/>
              </w:rPr>
              <w:t>safety</w:t>
            </w:r>
            <w:r w:rsidRPr="008E7C4C">
              <w:rPr>
                <w:rFonts w:ascii="Arial Narrow" w:eastAsiaTheme="majorEastAsia" w:hAnsi="Arial Narrow" w:cstheme="majorBidi"/>
                <w:bCs/>
                <w:sz w:val="20"/>
                <w:vertAlign w:val="superscript"/>
              </w:rPr>
              <w:t>a</w:t>
            </w:r>
            <w:proofErr w:type="spellEnd"/>
          </w:p>
        </w:tc>
      </w:tr>
    </w:tbl>
    <w:p w14:paraId="13781785" w14:textId="77777777" w:rsidR="00CC25DE"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Source: Compiled during evaluation from Main body of the resubmission.</w:t>
      </w:r>
    </w:p>
    <w:p w14:paraId="012B14C6" w14:textId="7BE4C51E" w:rsidR="00CC25DE"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 xml:space="preserve">DB = double blind; FA = final analysis; IA = interim analysis; </w:t>
      </w:r>
      <w:proofErr w:type="spellStart"/>
      <w:r w:rsidRPr="008E7C4C">
        <w:rPr>
          <w:rFonts w:ascii="Arial Narrow" w:hAnsi="Arial Narrow"/>
          <w:snapToGrid w:val="0"/>
          <w:sz w:val="18"/>
          <w:szCs w:val="22"/>
        </w:rPr>
        <w:t>ILd</w:t>
      </w:r>
      <w:proofErr w:type="spellEnd"/>
      <w:r w:rsidRPr="008E7C4C">
        <w:rPr>
          <w:rFonts w:ascii="Arial Narrow" w:hAnsi="Arial Narrow"/>
          <w:snapToGrid w:val="0"/>
          <w:sz w:val="18"/>
          <w:szCs w:val="22"/>
        </w:rPr>
        <w:t xml:space="preserve"> = </w:t>
      </w:r>
      <w:proofErr w:type="spellStart"/>
      <w:r w:rsidRPr="008E7C4C">
        <w:rPr>
          <w:rFonts w:ascii="Arial Narrow" w:hAnsi="Arial Narrow"/>
          <w:snapToGrid w:val="0"/>
          <w:sz w:val="18"/>
          <w:szCs w:val="22"/>
        </w:rPr>
        <w:t>ixazomib</w:t>
      </w:r>
      <w:proofErr w:type="spellEnd"/>
      <w:r w:rsidRPr="008E7C4C">
        <w:rPr>
          <w:rFonts w:ascii="Arial Narrow" w:hAnsi="Arial Narrow"/>
          <w:snapToGrid w:val="0"/>
          <w:sz w:val="18"/>
          <w:szCs w:val="22"/>
        </w:rPr>
        <w:t xml:space="preserve"> + lenalidomide + dexamethasone; ITT</w:t>
      </w:r>
      <w:r w:rsidR="007E5787" w:rsidRPr="008E7C4C">
        <w:rPr>
          <w:rFonts w:ascii="Arial Narrow" w:hAnsi="Arial Narrow"/>
          <w:snapToGrid w:val="0"/>
          <w:sz w:val="18"/>
          <w:szCs w:val="22"/>
        </w:rPr>
        <w:t xml:space="preserve"> </w:t>
      </w:r>
      <w:r w:rsidRPr="008E7C4C">
        <w:rPr>
          <w:rFonts w:ascii="Arial Narrow" w:hAnsi="Arial Narrow"/>
          <w:snapToGrid w:val="0"/>
          <w:sz w:val="18"/>
          <w:szCs w:val="22"/>
        </w:rPr>
        <w:t xml:space="preserve">= intention to treat; </w:t>
      </w:r>
      <w:proofErr w:type="spellStart"/>
      <w:r w:rsidRPr="008E7C4C">
        <w:rPr>
          <w:rFonts w:ascii="Arial Narrow" w:hAnsi="Arial Narrow"/>
          <w:snapToGrid w:val="0"/>
          <w:sz w:val="18"/>
          <w:szCs w:val="22"/>
        </w:rPr>
        <w:t>Ld</w:t>
      </w:r>
      <w:proofErr w:type="spellEnd"/>
      <w:r w:rsidRPr="008E7C4C">
        <w:rPr>
          <w:rFonts w:ascii="Arial Narrow" w:hAnsi="Arial Narrow"/>
          <w:snapToGrid w:val="0"/>
          <w:sz w:val="18"/>
          <w:szCs w:val="22"/>
        </w:rPr>
        <w:t xml:space="preserve"> = lenalidomide + dexamethasone; MC = multi-centre; ORR = overall response rate; OS = overall survival; PFS = progression-free survival; R = randomised; RRMM = relapsed and/or refractory multiple myeloma; QoL = quality of life; TTP = time to progression</w:t>
      </w:r>
    </w:p>
    <w:p w14:paraId="2B509D42" w14:textId="77777777" w:rsidR="007E5787"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 xml:space="preserve">a= FA data </w:t>
      </w:r>
      <w:r w:rsidR="00A23DC5" w:rsidRPr="008E7C4C">
        <w:rPr>
          <w:rFonts w:ascii="Arial Narrow" w:hAnsi="Arial Narrow"/>
          <w:snapToGrid w:val="0"/>
          <w:sz w:val="18"/>
          <w:szCs w:val="22"/>
        </w:rPr>
        <w:t>cut-off</w:t>
      </w:r>
      <w:r w:rsidRPr="008E7C4C">
        <w:rPr>
          <w:rFonts w:ascii="Arial Narrow" w:hAnsi="Arial Narrow"/>
          <w:snapToGrid w:val="0"/>
          <w:sz w:val="18"/>
          <w:szCs w:val="22"/>
        </w:rPr>
        <w:t xml:space="preserve"> 28 September 2020, median </w:t>
      </w:r>
      <w:r w:rsidR="00A23DC5" w:rsidRPr="008E7C4C">
        <w:rPr>
          <w:rFonts w:ascii="Arial Narrow" w:hAnsi="Arial Narrow"/>
          <w:snapToGrid w:val="0"/>
          <w:sz w:val="18"/>
          <w:szCs w:val="22"/>
        </w:rPr>
        <w:t>follow-up</w:t>
      </w:r>
      <w:r w:rsidRPr="008E7C4C">
        <w:rPr>
          <w:rFonts w:ascii="Arial Narrow" w:hAnsi="Arial Narrow"/>
          <w:snapToGrid w:val="0"/>
          <w:sz w:val="18"/>
          <w:szCs w:val="22"/>
        </w:rPr>
        <w:t xml:space="preserve"> 85 </w:t>
      </w:r>
      <w:proofErr w:type="gramStart"/>
      <w:r w:rsidRPr="008E7C4C">
        <w:rPr>
          <w:rFonts w:ascii="Arial Narrow" w:hAnsi="Arial Narrow"/>
          <w:snapToGrid w:val="0"/>
          <w:sz w:val="18"/>
          <w:szCs w:val="22"/>
        </w:rPr>
        <w:t>months;</w:t>
      </w:r>
      <w:proofErr w:type="gramEnd"/>
      <w:r w:rsidRPr="008E7C4C">
        <w:rPr>
          <w:rFonts w:ascii="Arial Narrow" w:hAnsi="Arial Narrow"/>
          <w:snapToGrid w:val="0"/>
          <w:sz w:val="18"/>
          <w:szCs w:val="22"/>
        </w:rPr>
        <w:t xml:space="preserve"> </w:t>
      </w:r>
    </w:p>
    <w:p w14:paraId="79D3E710" w14:textId="77777777" w:rsidR="007E5787"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 xml:space="preserve">b = IA1 data cut-off 30 October 2014, median follow-up 15 </w:t>
      </w:r>
      <w:proofErr w:type="gramStart"/>
      <w:r w:rsidRPr="008E7C4C">
        <w:rPr>
          <w:rFonts w:ascii="Arial Narrow" w:hAnsi="Arial Narrow"/>
          <w:snapToGrid w:val="0"/>
          <w:sz w:val="18"/>
          <w:szCs w:val="22"/>
        </w:rPr>
        <w:t>months;</w:t>
      </w:r>
      <w:proofErr w:type="gramEnd"/>
      <w:r w:rsidRPr="008E7C4C">
        <w:rPr>
          <w:rFonts w:ascii="Arial Narrow" w:hAnsi="Arial Narrow"/>
          <w:snapToGrid w:val="0"/>
          <w:sz w:val="18"/>
          <w:szCs w:val="22"/>
        </w:rPr>
        <w:t xml:space="preserve"> </w:t>
      </w:r>
    </w:p>
    <w:p w14:paraId="6CC8A008" w14:textId="4EADBA60" w:rsidR="00CC25DE"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c = IA2 data cut-off 12 July 2015, median follow-up 23 months.</w:t>
      </w:r>
    </w:p>
    <w:p w14:paraId="67B04446" w14:textId="77777777" w:rsidR="009D3002" w:rsidRPr="008E7C4C" w:rsidRDefault="009D3002" w:rsidP="00CC25DE">
      <w:pPr>
        <w:spacing w:after="120"/>
        <w:contextualSpacing/>
        <w:rPr>
          <w:rFonts w:ascii="Arial Narrow" w:hAnsi="Arial Narrow"/>
          <w:snapToGrid w:val="0"/>
          <w:sz w:val="20"/>
          <w:szCs w:val="22"/>
        </w:rPr>
      </w:pPr>
    </w:p>
    <w:p w14:paraId="29AC6419" w14:textId="77777777" w:rsidR="007E5787" w:rsidRPr="008E7C4C" w:rsidRDefault="00CC25DE" w:rsidP="007E51A8">
      <w:pPr>
        <w:numPr>
          <w:ilvl w:val="1"/>
          <w:numId w:val="1"/>
        </w:numPr>
        <w:spacing w:after="120"/>
        <w:rPr>
          <w:rFonts w:asciiTheme="minorHAnsi" w:hAnsiTheme="minorHAnsi"/>
          <w:iCs/>
          <w:snapToGrid w:val="0"/>
          <w:color w:val="000000" w:themeColor="text1"/>
        </w:rPr>
      </w:pPr>
      <w:r w:rsidRPr="008E7C4C">
        <w:rPr>
          <w:rFonts w:asciiTheme="minorHAnsi" w:hAnsiTheme="minorHAnsi"/>
          <w:iCs/>
          <w:snapToGrid w:val="0"/>
          <w:color w:val="000000" w:themeColor="text1"/>
        </w:rPr>
        <w:t xml:space="preserve">The overall risk of bias for TMM-1 </w:t>
      </w:r>
      <w:proofErr w:type="gramStart"/>
      <w:r w:rsidRPr="008E7C4C">
        <w:rPr>
          <w:rFonts w:asciiTheme="minorHAnsi" w:hAnsiTheme="minorHAnsi"/>
          <w:iCs/>
          <w:snapToGrid w:val="0"/>
          <w:color w:val="000000" w:themeColor="text1"/>
        </w:rPr>
        <w:t>was considered to be</w:t>
      </w:r>
      <w:proofErr w:type="gramEnd"/>
      <w:r w:rsidRPr="008E7C4C">
        <w:rPr>
          <w:rFonts w:asciiTheme="minorHAnsi" w:hAnsiTheme="minorHAnsi"/>
          <w:iCs/>
          <w:snapToGrid w:val="0"/>
          <w:color w:val="000000" w:themeColor="text1"/>
        </w:rPr>
        <w:t xml:space="preserve"> low. </w:t>
      </w:r>
    </w:p>
    <w:p w14:paraId="31CD1F76" w14:textId="51544A1F" w:rsidR="00E10BBE" w:rsidRPr="008E7C4C" w:rsidRDefault="00CC25DE" w:rsidP="007E51A8">
      <w:pPr>
        <w:numPr>
          <w:ilvl w:val="1"/>
          <w:numId w:val="1"/>
        </w:numPr>
        <w:spacing w:after="120"/>
        <w:rPr>
          <w:rFonts w:asciiTheme="minorHAnsi" w:hAnsiTheme="minorHAnsi"/>
          <w:iCs/>
          <w:snapToGrid w:val="0"/>
          <w:color w:val="000000" w:themeColor="text1"/>
        </w:rPr>
      </w:pPr>
      <w:r w:rsidRPr="008E7C4C">
        <w:rPr>
          <w:rFonts w:asciiTheme="minorHAnsi" w:hAnsiTheme="minorHAnsi"/>
          <w:iCs/>
          <w:snapToGrid w:val="0"/>
          <w:color w:val="000000" w:themeColor="text1"/>
        </w:rPr>
        <w:t xml:space="preserve">The resubmission presented the updated results from TMM-1 (final analysis) for OS in the ITT population and the subgroup analysis of </w:t>
      </w:r>
      <w:r w:rsidR="00A23DC5" w:rsidRPr="008E7C4C">
        <w:rPr>
          <w:rFonts w:asciiTheme="minorHAnsi" w:hAnsiTheme="minorHAnsi"/>
          <w:iCs/>
          <w:snapToGrid w:val="0"/>
          <w:color w:val="000000" w:themeColor="text1"/>
        </w:rPr>
        <w:t>2-3</w:t>
      </w:r>
      <w:r w:rsidRPr="008E7C4C">
        <w:rPr>
          <w:rFonts w:asciiTheme="minorHAnsi" w:hAnsiTheme="minorHAnsi"/>
          <w:iCs/>
          <w:snapToGrid w:val="0"/>
          <w:color w:val="000000" w:themeColor="text1"/>
        </w:rPr>
        <w:t xml:space="preserve"> prior therapies. This was reasonable and reflected the proposed PBS restriction.</w:t>
      </w:r>
    </w:p>
    <w:p w14:paraId="253CD034" w14:textId="77777777" w:rsidR="00CC25DE" w:rsidRPr="008E7C4C" w:rsidRDefault="00CC25DE" w:rsidP="00B46730">
      <w:pPr>
        <w:pStyle w:val="4-SubsectionHeading"/>
      </w:pPr>
      <w:bookmarkStart w:id="14" w:name="_Toc22897641"/>
      <w:bookmarkStart w:id="15" w:name="_Toc93487438"/>
      <w:r w:rsidRPr="008E7C4C">
        <w:t>Comparative effectiveness</w:t>
      </w:r>
      <w:bookmarkEnd w:id="14"/>
      <w:bookmarkEnd w:id="15"/>
    </w:p>
    <w:p w14:paraId="32B95787" w14:textId="77777777" w:rsidR="007D169B" w:rsidRPr="008E7C4C" w:rsidRDefault="006C6378" w:rsidP="007D169B">
      <w:pPr>
        <w:numPr>
          <w:ilvl w:val="1"/>
          <w:numId w:val="1"/>
        </w:numPr>
        <w:spacing w:after="120"/>
        <w:rPr>
          <w:rFonts w:asciiTheme="minorHAnsi" w:hAnsiTheme="minorHAnsi"/>
          <w:snapToGrid w:val="0"/>
        </w:rPr>
      </w:pPr>
      <w:r w:rsidRPr="008E7C4C">
        <w:rPr>
          <w:rFonts w:asciiTheme="minorHAnsi" w:hAnsiTheme="minorHAnsi"/>
          <w:snapToGrid w:val="0"/>
        </w:rPr>
        <w:t xml:space="preserve">The </w:t>
      </w:r>
      <w:r w:rsidR="007E51A8" w:rsidRPr="008E7C4C">
        <w:rPr>
          <w:rFonts w:asciiTheme="minorHAnsi" w:hAnsiTheme="minorHAnsi"/>
          <w:snapToGrid w:val="0"/>
        </w:rPr>
        <w:t>resubmission</w:t>
      </w:r>
      <w:r w:rsidRPr="008E7C4C">
        <w:rPr>
          <w:rFonts w:asciiTheme="minorHAnsi" w:hAnsiTheme="minorHAnsi"/>
          <w:snapToGrid w:val="0"/>
        </w:rPr>
        <w:t xml:space="preserve"> presented the updated OS results for </w:t>
      </w:r>
      <w:r w:rsidR="009058E7" w:rsidRPr="008E7C4C">
        <w:rPr>
          <w:rFonts w:asciiTheme="minorHAnsi" w:hAnsiTheme="minorHAnsi"/>
          <w:snapToGrid w:val="0"/>
        </w:rPr>
        <w:t xml:space="preserve">the </w:t>
      </w:r>
      <w:r w:rsidRPr="008E7C4C">
        <w:rPr>
          <w:rFonts w:asciiTheme="minorHAnsi" w:hAnsiTheme="minorHAnsi"/>
          <w:snapToGrid w:val="0"/>
        </w:rPr>
        <w:t xml:space="preserve">ITT population, prior lines </w:t>
      </w:r>
      <w:r w:rsidR="009058E7" w:rsidRPr="008E7C4C">
        <w:rPr>
          <w:rFonts w:asciiTheme="minorHAnsi" w:hAnsiTheme="minorHAnsi"/>
          <w:snapToGrid w:val="0"/>
        </w:rPr>
        <w:t>of</w:t>
      </w:r>
      <w:r w:rsidRPr="008E7C4C">
        <w:rPr>
          <w:rFonts w:asciiTheme="minorHAnsi" w:hAnsiTheme="minorHAnsi"/>
          <w:snapToGrid w:val="0"/>
        </w:rPr>
        <w:t xml:space="preserve"> </w:t>
      </w:r>
      <w:r w:rsidR="009058E7" w:rsidRPr="008E7C4C">
        <w:rPr>
          <w:rFonts w:asciiTheme="minorHAnsi" w:hAnsiTheme="minorHAnsi"/>
          <w:snapToGrid w:val="0"/>
        </w:rPr>
        <w:t>treatment</w:t>
      </w:r>
      <w:r w:rsidRPr="008E7C4C">
        <w:rPr>
          <w:rFonts w:asciiTheme="minorHAnsi" w:hAnsiTheme="minorHAnsi"/>
          <w:snapToGrid w:val="0"/>
        </w:rPr>
        <w:t xml:space="preserve"> </w:t>
      </w:r>
      <w:r w:rsidR="009058E7" w:rsidRPr="008E7C4C">
        <w:rPr>
          <w:rFonts w:asciiTheme="minorHAnsi" w:hAnsiTheme="minorHAnsi"/>
          <w:snapToGrid w:val="0"/>
        </w:rPr>
        <w:t xml:space="preserve">for the </w:t>
      </w:r>
      <w:r w:rsidRPr="008E7C4C">
        <w:rPr>
          <w:rFonts w:asciiTheme="minorHAnsi" w:hAnsiTheme="minorHAnsi"/>
          <w:snapToGrid w:val="0"/>
        </w:rPr>
        <w:t>subgroup (1 prio</w:t>
      </w:r>
      <w:r w:rsidR="009058E7" w:rsidRPr="008E7C4C">
        <w:rPr>
          <w:rFonts w:asciiTheme="minorHAnsi" w:hAnsiTheme="minorHAnsi"/>
          <w:snapToGrid w:val="0"/>
        </w:rPr>
        <w:t>r</w:t>
      </w:r>
      <w:r w:rsidRPr="008E7C4C">
        <w:rPr>
          <w:rFonts w:asciiTheme="minorHAnsi" w:hAnsiTheme="minorHAnsi"/>
          <w:snapToGrid w:val="0"/>
        </w:rPr>
        <w:t xml:space="preserve"> vs 2-3 prior lines), and adjusted OS </w:t>
      </w:r>
      <w:r w:rsidR="00884BC8" w:rsidRPr="008E7C4C">
        <w:rPr>
          <w:rFonts w:asciiTheme="minorHAnsi" w:hAnsiTheme="minorHAnsi"/>
          <w:snapToGrid w:val="0"/>
        </w:rPr>
        <w:t>for subsequent treatment</w:t>
      </w:r>
      <w:r w:rsidR="009058E7" w:rsidRPr="008E7C4C">
        <w:rPr>
          <w:rFonts w:asciiTheme="minorHAnsi" w:hAnsiTheme="minorHAnsi"/>
          <w:snapToGrid w:val="0"/>
        </w:rPr>
        <w:t xml:space="preserve">s </w:t>
      </w:r>
      <w:r w:rsidRPr="008E7C4C">
        <w:rPr>
          <w:rFonts w:asciiTheme="minorHAnsi" w:hAnsiTheme="minorHAnsi"/>
          <w:snapToGrid w:val="0"/>
        </w:rPr>
        <w:t xml:space="preserve">(2-3 prior lines </w:t>
      </w:r>
      <w:r w:rsidR="009058E7" w:rsidRPr="008E7C4C">
        <w:rPr>
          <w:rFonts w:asciiTheme="minorHAnsi" w:hAnsiTheme="minorHAnsi"/>
          <w:snapToGrid w:val="0"/>
        </w:rPr>
        <w:t>o</w:t>
      </w:r>
      <w:r w:rsidRPr="008E7C4C">
        <w:rPr>
          <w:rFonts w:asciiTheme="minorHAnsi" w:hAnsiTheme="minorHAnsi"/>
          <w:snapToGrid w:val="0"/>
        </w:rPr>
        <w:t>f therapy subgroup). The adjusted OS was used in the economic model.</w:t>
      </w:r>
    </w:p>
    <w:p w14:paraId="18DB3381" w14:textId="7C2857B3" w:rsidR="00333A34" w:rsidRPr="008E7C4C" w:rsidRDefault="00CC25DE" w:rsidP="007D169B">
      <w:pPr>
        <w:numPr>
          <w:ilvl w:val="1"/>
          <w:numId w:val="1"/>
        </w:numPr>
        <w:spacing w:after="120"/>
        <w:rPr>
          <w:rFonts w:asciiTheme="minorHAnsi" w:hAnsiTheme="minorHAnsi"/>
          <w:snapToGrid w:val="0"/>
        </w:rPr>
      </w:pPr>
      <w:r w:rsidRPr="008E7C4C">
        <w:rPr>
          <w:rFonts w:asciiTheme="minorHAnsi" w:hAnsiTheme="minorHAnsi"/>
          <w:color w:val="000000" w:themeColor="text1"/>
        </w:rPr>
        <w:t xml:space="preserve">The summary of survival outcomes in TMM-1 is presented in Table 5, with the corresponding OS Kaplan-Meier (KM) plots reported in Figure 2. </w:t>
      </w:r>
    </w:p>
    <w:p w14:paraId="37946A4D" w14:textId="6CE7EF7B" w:rsidR="00CC25DE" w:rsidRPr="008E7C4C" w:rsidRDefault="00CC25DE" w:rsidP="007E5787">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lastRenderedPageBreak/>
        <w:t>Table 5: Summary of survival outcomes in TMM-1, ITT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60"/>
        <w:gridCol w:w="1560"/>
        <w:gridCol w:w="1134"/>
        <w:gridCol w:w="1648"/>
      </w:tblGrid>
      <w:tr w:rsidR="00CC25DE" w:rsidRPr="008E7C4C" w14:paraId="32CC3095" w14:textId="77777777" w:rsidTr="00C658A7">
        <w:trPr>
          <w:cantSplit/>
          <w:tblHeader/>
        </w:trPr>
        <w:tc>
          <w:tcPr>
            <w:tcW w:w="1727" w:type="pct"/>
            <w:tcMar>
              <w:left w:w="28" w:type="dxa"/>
              <w:right w:w="28" w:type="dxa"/>
            </w:tcMar>
            <w:vAlign w:val="center"/>
          </w:tcPr>
          <w:p w14:paraId="53BEEA9B" w14:textId="77777777" w:rsidR="00CC25DE" w:rsidRPr="008E7C4C" w:rsidRDefault="00CC25DE" w:rsidP="00CC25DE">
            <w:pPr>
              <w:keepNext/>
              <w:jc w:val="center"/>
              <w:rPr>
                <w:rFonts w:ascii="Arial Narrow" w:eastAsiaTheme="majorEastAsia" w:hAnsi="Arial Narrow" w:cs="Times New Roman"/>
                <w:b/>
                <w:sz w:val="20"/>
                <w:szCs w:val="20"/>
              </w:rPr>
            </w:pPr>
          </w:p>
        </w:tc>
        <w:tc>
          <w:tcPr>
            <w:tcW w:w="865" w:type="pct"/>
            <w:tcMar>
              <w:left w:w="28" w:type="dxa"/>
              <w:right w:w="28" w:type="dxa"/>
            </w:tcMar>
            <w:vAlign w:val="center"/>
          </w:tcPr>
          <w:p w14:paraId="5E3B25F5" w14:textId="77777777" w:rsidR="00CC25DE" w:rsidRPr="008E7C4C" w:rsidRDefault="00CC25DE" w:rsidP="00CC25DE">
            <w:pPr>
              <w:keepNext/>
              <w:jc w:val="center"/>
              <w:rPr>
                <w:rFonts w:ascii="Arial Narrow" w:eastAsiaTheme="majorEastAsia" w:hAnsi="Arial Narrow" w:cs="Times New Roman"/>
                <w:b/>
                <w:sz w:val="20"/>
                <w:szCs w:val="20"/>
              </w:rPr>
            </w:pPr>
            <w:proofErr w:type="spellStart"/>
            <w:r w:rsidRPr="008E7C4C">
              <w:rPr>
                <w:rFonts w:ascii="Arial Narrow" w:eastAsiaTheme="majorEastAsia" w:hAnsi="Arial Narrow" w:cs="Times New Roman"/>
                <w:b/>
                <w:sz w:val="20"/>
                <w:szCs w:val="20"/>
              </w:rPr>
              <w:t>ILd</w:t>
            </w:r>
            <w:proofErr w:type="spellEnd"/>
          </w:p>
        </w:tc>
        <w:tc>
          <w:tcPr>
            <w:tcW w:w="865" w:type="pct"/>
            <w:tcMar>
              <w:left w:w="28" w:type="dxa"/>
              <w:right w:w="28" w:type="dxa"/>
            </w:tcMar>
            <w:vAlign w:val="center"/>
          </w:tcPr>
          <w:p w14:paraId="1E2C0631" w14:textId="77777777" w:rsidR="00CC25DE" w:rsidRPr="008E7C4C" w:rsidRDefault="00CC25DE" w:rsidP="00CC25DE">
            <w:pPr>
              <w:keepNext/>
              <w:jc w:val="center"/>
              <w:rPr>
                <w:rFonts w:ascii="Arial Narrow" w:eastAsiaTheme="majorEastAsia" w:hAnsi="Arial Narrow" w:cs="Times New Roman"/>
                <w:b/>
                <w:sz w:val="20"/>
                <w:szCs w:val="20"/>
              </w:rPr>
            </w:pPr>
            <w:proofErr w:type="spellStart"/>
            <w:r w:rsidRPr="008E7C4C">
              <w:rPr>
                <w:rFonts w:ascii="Arial Narrow" w:eastAsiaTheme="majorEastAsia" w:hAnsi="Arial Narrow" w:cs="Times New Roman"/>
                <w:b/>
                <w:sz w:val="20"/>
                <w:szCs w:val="20"/>
              </w:rPr>
              <w:t>Ld</w:t>
            </w:r>
            <w:proofErr w:type="spellEnd"/>
          </w:p>
        </w:tc>
        <w:tc>
          <w:tcPr>
            <w:tcW w:w="629" w:type="pct"/>
            <w:tcMar>
              <w:left w:w="28" w:type="dxa"/>
              <w:right w:w="28" w:type="dxa"/>
            </w:tcMar>
            <w:vAlign w:val="center"/>
          </w:tcPr>
          <w:p w14:paraId="19F645A4" w14:textId="77777777" w:rsidR="00CC25DE" w:rsidRPr="008E7C4C" w:rsidRDefault="00CC25DE" w:rsidP="00CC25DE">
            <w:pPr>
              <w:keepNext/>
              <w:jc w:val="center"/>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Absolute difference</w:t>
            </w:r>
          </w:p>
        </w:tc>
        <w:tc>
          <w:tcPr>
            <w:tcW w:w="914" w:type="pct"/>
            <w:tcMar>
              <w:left w:w="28" w:type="dxa"/>
              <w:right w:w="28" w:type="dxa"/>
            </w:tcMar>
            <w:vAlign w:val="center"/>
          </w:tcPr>
          <w:p w14:paraId="17DA7521" w14:textId="7D3E25FA" w:rsidR="00C658A7" w:rsidRPr="008E7C4C" w:rsidRDefault="00CC25DE" w:rsidP="00C658A7">
            <w:pPr>
              <w:keepNext/>
              <w:jc w:val="center"/>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HR</w:t>
            </w:r>
            <w:r w:rsidR="00C658A7" w:rsidRPr="008E7C4C">
              <w:rPr>
                <w:rFonts w:ascii="Arial Narrow" w:eastAsiaTheme="majorEastAsia" w:hAnsi="Arial Narrow" w:cs="Times New Roman"/>
                <w:b/>
                <w:sz w:val="20"/>
                <w:szCs w:val="20"/>
              </w:rPr>
              <w:t xml:space="preserve"> (95% CI); </w:t>
            </w:r>
            <w:r w:rsidR="00C658A7" w:rsidRPr="008E7C4C">
              <w:rPr>
                <w:rFonts w:ascii="Arial Narrow" w:eastAsiaTheme="majorEastAsia" w:hAnsi="Arial Narrow" w:cs="Times New Roman"/>
                <w:b/>
                <w:sz w:val="20"/>
                <w:szCs w:val="20"/>
              </w:rPr>
              <w:br/>
              <w:t>p-value</w:t>
            </w:r>
          </w:p>
        </w:tc>
      </w:tr>
      <w:tr w:rsidR="00CC25DE" w:rsidRPr="008E7C4C" w14:paraId="1D6F728D" w14:textId="77777777" w:rsidTr="007E5787">
        <w:trPr>
          <w:cantSplit/>
        </w:trPr>
        <w:tc>
          <w:tcPr>
            <w:tcW w:w="5000" w:type="pct"/>
            <w:gridSpan w:val="5"/>
            <w:shd w:val="clear" w:color="auto" w:fill="B8CCE4" w:themeFill="accent1" w:themeFillTint="66"/>
            <w:tcMar>
              <w:left w:w="28" w:type="dxa"/>
              <w:right w:w="28" w:type="dxa"/>
            </w:tcMar>
            <w:vAlign w:val="center"/>
          </w:tcPr>
          <w:p w14:paraId="5E708371" w14:textId="77777777" w:rsidR="00CC25DE" w:rsidRPr="008E7C4C" w:rsidRDefault="00CC25DE" w:rsidP="00CC25DE">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Progression-free survival (15 months follow-up - IA1)</w:t>
            </w:r>
          </w:p>
        </w:tc>
      </w:tr>
      <w:tr w:rsidR="00FA22AF" w:rsidRPr="008E7C4C" w14:paraId="3085F5DD" w14:textId="77777777" w:rsidTr="00C658A7">
        <w:trPr>
          <w:cantSplit/>
        </w:trPr>
        <w:tc>
          <w:tcPr>
            <w:tcW w:w="1727" w:type="pct"/>
            <w:shd w:val="clear" w:color="auto" w:fill="B8CCE4" w:themeFill="accent1" w:themeFillTint="66"/>
            <w:tcMar>
              <w:left w:w="28" w:type="dxa"/>
              <w:right w:w="28" w:type="dxa"/>
            </w:tcMar>
            <w:vAlign w:val="center"/>
          </w:tcPr>
          <w:p w14:paraId="578A3F4C" w14:textId="791D33A8" w:rsidR="00FA22AF" w:rsidRPr="008E7C4C" w:rsidRDefault="00FA22AF" w:rsidP="00CC25DE">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Progressed, n</w:t>
            </w:r>
            <w:r w:rsidR="00C658A7" w:rsidRPr="008E7C4C">
              <w:rPr>
                <w:rFonts w:ascii="Arial Narrow" w:eastAsiaTheme="majorEastAsia" w:hAnsi="Arial Narrow" w:cstheme="majorBidi"/>
                <w:bCs/>
                <w:sz w:val="20"/>
                <w:szCs w:val="20"/>
              </w:rPr>
              <w:t>/N</w:t>
            </w:r>
            <w:r w:rsidRPr="008E7C4C">
              <w:rPr>
                <w:rFonts w:ascii="Arial Narrow" w:eastAsiaTheme="majorEastAsia" w:hAnsi="Arial Narrow" w:cstheme="majorBidi"/>
                <w:bCs/>
                <w:sz w:val="20"/>
                <w:szCs w:val="20"/>
              </w:rPr>
              <w:t xml:space="preserve"> (%)</w:t>
            </w:r>
          </w:p>
        </w:tc>
        <w:tc>
          <w:tcPr>
            <w:tcW w:w="865" w:type="pct"/>
            <w:shd w:val="clear" w:color="auto" w:fill="B8CCE4" w:themeFill="accent1" w:themeFillTint="66"/>
            <w:tcMar>
              <w:left w:w="28" w:type="dxa"/>
              <w:right w:w="28" w:type="dxa"/>
            </w:tcMar>
            <w:vAlign w:val="center"/>
          </w:tcPr>
          <w:p w14:paraId="6DAB29AA" w14:textId="77777777" w:rsidR="00FA22AF" w:rsidRPr="008E7C4C" w:rsidRDefault="00FA22AF" w:rsidP="00CC25DE">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129/360 (35.8)</w:t>
            </w:r>
          </w:p>
        </w:tc>
        <w:tc>
          <w:tcPr>
            <w:tcW w:w="865" w:type="pct"/>
            <w:shd w:val="clear" w:color="auto" w:fill="B8CCE4" w:themeFill="accent1" w:themeFillTint="66"/>
            <w:tcMar>
              <w:left w:w="28" w:type="dxa"/>
              <w:right w:w="28" w:type="dxa"/>
            </w:tcMar>
            <w:vAlign w:val="center"/>
          </w:tcPr>
          <w:p w14:paraId="5A6A3D8A" w14:textId="77777777" w:rsidR="00FA22AF" w:rsidRPr="008E7C4C" w:rsidRDefault="00FA22AF" w:rsidP="00CC25DE">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157/362 (43.4)</w:t>
            </w:r>
          </w:p>
        </w:tc>
        <w:tc>
          <w:tcPr>
            <w:tcW w:w="629" w:type="pct"/>
            <w:shd w:val="clear" w:color="auto" w:fill="B8CCE4" w:themeFill="accent1" w:themeFillTint="66"/>
            <w:tcMar>
              <w:left w:w="28" w:type="dxa"/>
              <w:right w:w="28" w:type="dxa"/>
            </w:tcMar>
            <w:vAlign w:val="center"/>
          </w:tcPr>
          <w:p w14:paraId="38C7CECB" w14:textId="7270452E" w:rsidR="00FA22AF" w:rsidRPr="008E7C4C" w:rsidRDefault="00FA22AF" w:rsidP="00CC25DE">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7.6</w:t>
            </w:r>
          </w:p>
        </w:tc>
        <w:tc>
          <w:tcPr>
            <w:tcW w:w="914" w:type="pct"/>
            <w:vMerge w:val="restart"/>
            <w:shd w:val="clear" w:color="auto" w:fill="B8CCE4" w:themeFill="accent1" w:themeFillTint="66"/>
            <w:tcMar>
              <w:left w:w="28" w:type="dxa"/>
              <w:right w:w="28" w:type="dxa"/>
            </w:tcMar>
            <w:vAlign w:val="center"/>
          </w:tcPr>
          <w:p w14:paraId="3B067285" w14:textId="3AE1237D" w:rsidR="00FA22AF" w:rsidRPr="008E7C4C" w:rsidRDefault="00FA22AF" w:rsidP="00CC25DE">
            <w:pPr>
              <w:keepNext/>
              <w:jc w:val="center"/>
              <w:rPr>
                <w:rFonts w:ascii="Arial Narrow" w:eastAsiaTheme="majorEastAsia" w:hAnsi="Arial Narrow" w:cstheme="majorBidi"/>
                <w:b/>
                <w:bCs/>
                <w:sz w:val="20"/>
                <w:szCs w:val="20"/>
              </w:rPr>
            </w:pPr>
            <w:r w:rsidRPr="008E7C4C">
              <w:rPr>
                <w:rFonts w:ascii="Arial Narrow" w:eastAsiaTheme="majorEastAsia" w:hAnsi="Arial Narrow" w:cstheme="majorBidi"/>
                <w:b/>
                <w:sz w:val="20"/>
                <w:szCs w:val="20"/>
              </w:rPr>
              <w:t>0.74</w:t>
            </w:r>
            <w:r w:rsidRPr="008E7C4C">
              <w:rPr>
                <w:rFonts w:ascii="Arial Narrow" w:eastAsiaTheme="majorEastAsia" w:hAnsi="Arial Narrow" w:cstheme="majorBidi"/>
                <w:b/>
                <w:bCs/>
                <w:sz w:val="20"/>
                <w:szCs w:val="20"/>
              </w:rPr>
              <w:t xml:space="preserve"> (0.59, 0.94</w:t>
            </w:r>
            <w:proofErr w:type="gramStart"/>
            <w:r w:rsidRPr="008E7C4C">
              <w:rPr>
                <w:rFonts w:ascii="Arial Narrow" w:eastAsiaTheme="majorEastAsia" w:hAnsi="Arial Narrow" w:cstheme="majorBidi"/>
                <w:b/>
                <w:bCs/>
                <w:sz w:val="20"/>
                <w:szCs w:val="20"/>
              </w:rPr>
              <w:t>)</w:t>
            </w:r>
            <w:r w:rsidR="007E5787" w:rsidRPr="008E7C4C">
              <w:rPr>
                <w:rFonts w:ascii="Arial Narrow" w:eastAsiaTheme="majorEastAsia" w:hAnsi="Arial Narrow" w:cstheme="majorBidi"/>
                <w:b/>
                <w:bCs/>
                <w:sz w:val="20"/>
                <w:szCs w:val="20"/>
              </w:rPr>
              <w:t>;</w:t>
            </w:r>
            <w:proofErr w:type="gramEnd"/>
            <w:r w:rsidRPr="008E7C4C">
              <w:rPr>
                <w:rFonts w:ascii="Arial Narrow" w:eastAsiaTheme="majorEastAsia" w:hAnsi="Arial Narrow" w:cstheme="majorBidi"/>
                <w:b/>
                <w:bCs/>
                <w:sz w:val="20"/>
                <w:szCs w:val="20"/>
              </w:rPr>
              <w:t xml:space="preserve"> </w:t>
            </w:r>
          </w:p>
          <w:p w14:paraId="64551EA8" w14:textId="0164225A" w:rsidR="00FA22AF" w:rsidRPr="008E7C4C" w:rsidRDefault="00FA22AF" w:rsidP="00CC25DE">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
                <w:bCs/>
                <w:sz w:val="20"/>
                <w:szCs w:val="20"/>
              </w:rPr>
              <w:t>p = 0.012</w:t>
            </w:r>
          </w:p>
        </w:tc>
      </w:tr>
      <w:tr w:rsidR="00FA22AF" w:rsidRPr="008E7C4C" w14:paraId="7EDE7B78" w14:textId="77777777" w:rsidTr="00C658A7">
        <w:trPr>
          <w:cantSplit/>
        </w:trPr>
        <w:tc>
          <w:tcPr>
            <w:tcW w:w="1727" w:type="pct"/>
            <w:shd w:val="clear" w:color="auto" w:fill="B8CCE4" w:themeFill="accent1" w:themeFillTint="66"/>
            <w:tcMar>
              <w:left w:w="28" w:type="dxa"/>
              <w:right w:w="28" w:type="dxa"/>
            </w:tcMar>
            <w:vAlign w:val="center"/>
          </w:tcPr>
          <w:p w14:paraId="1E35E92B" w14:textId="5188AFEC" w:rsidR="00FA22AF" w:rsidRPr="008E7C4C" w:rsidRDefault="00FA22AF" w:rsidP="00CC25DE">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Median PFS, months (95% CI</w:t>
            </w:r>
            <w:r w:rsidR="007E5787" w:rsidRPr="008E7C4C">
              <w:rPr>
                <w:rFonts w:ascii="Arial Narrow" w:eastAsiaTheme="majorEastAsia" w:hAnsi="Arial Narrow" w:cstheme="majorBidi"/>
                <w:bCs/>
                <w:sz w:val="20"/>
                <w:szCs w:val="20"/>
              </w:rPr>
              <w:t>)</w:t>
            </w:r>
          </w:p>
        </w:tc>
        <w:tc>
          <w:tcPr>
            <w:tcW w:w="865" w:type="pct"/>
            <w:shd w:val="clear" w:color="auto" w:fill="B8CCE4" w:themeFill="accent1" w:themeFillTint="66"/>
            <w:tcMar>
              <w:left w:w="28" w:type="dxa"/>
              <w:right w:w="28" w:type="dxa"/>
            </w:tcMar>
            <w:vAlign w:val="center"/>
          </w:tcPr>
          <w:p w14:paraId="153ECDD9" w14:textId="77777777" w:rsidR="00FA22AF" w:rsidRPr="008E7C4C" w:rsidRDefault="00FA22AF" w:rsidP="00CC25DE">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20.6 (17.02, NE)</w:t>
            </w:r>
          </w:p>
        </w:tc>
        <w:tc>
          <w:tcPr>
            <w:tcW w:w="865" w:type="pct"/>
            <w:shd w:val="clear" w:color="auto" w:fill="B8CCE4" w:themeFill="accent1" w:themeFillTint="66"/>
            <w:tcMar>
              <w:left w:w="28" w:type="dxa"/>
              <w:right w:w="28" w:type="dxa"/>
            </w:tcMar>
            <w:vAlign w:val="center"/>
          </w:tcPr>
          <w:p w14:paraId="256BAC4A" w14:textId="77777777" w:rsidR="00FA22AF" w:rsidRPr="008E7C4C" w:rsidRDefault="00FA22AF" w:rsidP="00CC25DE">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14.7 (12.9, 17.58)</w:t>
            </w:r>
          </w:p>
        </w:tc>
        <w:tc>
          <w:tcPr>
            <w:tcW w:w="629" w:type="pct"/>
            <w:shd w:val="clear" w:color="auto" w:fill="B8CCE4" w:themeFill="accent1" w:themeFillTint="66"/>
            <w:tcMar>
              <w:left w:w="28" w:type="dxa"/>
              <w:right w:w="28" w:type="dxa"/>
            </w:tcMar>
            <w:vAlign w:val="center"/>
          </w:tcPr>
          <w:p w14:paraId="2EBD5E0A" w14:textId="77777777" w:rsidR="00FA22AF" w:rsidRPr="008E7C4C" w:rsidRDefault="00FA22AF" w:rsidP="00CC25DE">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iCs/>
                <w:sz w:val="20"/>
                <w:szCs w:val="20"/>
              </w:rPr>
              <w:t>5.9</w:t>
            </w:r>
          </w:p>
        </w:tc>
        <w:tc>
          <w:tcPr>
            <w:tcW w:w="914" w:type="pct"/>
            <w:vMerge/>
            <w:shd w:val="clear" w:color="auto" w:fill="B8CCE4" w:themeFill="accent1" w:themeFillTint="66"/>
            <w:tcMar>
              <w:left w:w="28" w:type="dxa"/>
              <w:right w:w="28" w:type="dxa"/>
            </w:tcMar>
            <w:vAlign w:val="center"/>
          </w:tcPr>
          <w:p w14:paraId="2EF16C8F" w14:textId="2AE5554F" w:rsidR="00FA22AF" w:rsidRPr="008E7C4C" w:rsidRDefault="00FA22AF" w:rsidP="00CC25DE">
            <w:pPr>
              <w:keepNext/>
              <w:jc w:val="center"/>
              <w:rPr>
                <w:rFonts w:ascii="Arial Narrow" w:eastAsiaTheme="majorEastAsia" w:hAnsi="Arial Narrow" w:cstheme="majorBidi"/>
                <w:bCs/>
                <w:sz w:val="20"/>
                <w:szCs w:val="20"/>
              </w:rPr>
            </w:pPr>
          </w:p>
        </w:tc>
      </w:tr>
      <w:tr w:rsidR="007E51A8" w:rsidRPr="008E7C4C" w14:paraId="0B739F0D" w14:textId="77777777" w:rsidTr="007E5787">
        <w:trPr>
          <w:cantSplit/>
        </w:trPr>
        <w:tc>
          <w:tcPr>
            <w:tcW w:w="5000" w:type="pct"/>
            <w:gridSpan w:val="5"/>
            <w:shd w:val="clear" w:color="auto" w:fill="B8CCE4" w:themeFill="accent1" w:themeFillTint="66"/>
            <w:tcMar>
              <w:left w:w="28" w:type="dxa"/>
              <w:right w:w="28" w:type="dxa"/>
            </w:tcMar>
            <w:vAlign w:val="center"/>
          </w:tcPr>
          <w:p w14:paraId="75AD110A" w14:textId="7BF26B09" w:rsidR="007E51A8" w:rsidRPr="008E7C4C" w:rsidDel="00E10BBE" w:rsidRDefault="007E51A8" w:rsidP="007E51A8">
            <w:pPr>
              <w:keepNext/>
              <w:jc w:val="left"/>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PFS (23 months follow-up – IA</w:t>
            </w:r>
            <w:proofErr w:type="gramStart"/>
            <w:r w:rsidRPr="008E7C4C">
              <w:rPr>
                <w:rFonts w:ascii="Arial Narrow" w:eastAsiaTheme="majorEastAsia" w:hAnsi="Arial Narrow" w:cstheme="majorBidi"/>
                <w:b/>
                <w:sz w:val="20"/>
                <w:szCs w:val="20"/>
              </w:rPr>
              <w:t>2)</w:t>
            </w:r>
            <w:r w:rsidRPr="008E7C4C">
              <w:rPr>
                <w:rFonts w:ascii="Arial Narrow" w:eastAsiaTheme="majorEastAsia" w:hAnsi="Arial Narrow" w:cstheme="majorBidi"/>
                <w:b/>
                <w:sz w:val="20"/>
                <w:szCs w:val="20"/>
                <w:vertAlign w:val="superscript"/>
              </w:rPr>
              <w:t>b</w:t>
            </w:r>
            <w:proofErr w:type="gramEnd"/>
          </w:p>
        </w:tc>
      </w:tr>
      <w:tr w:rsidR="00FA22AF" w:rsidRPr="008E7C4C" w14:paraId="7F755735" w14:textId="77777777" w:rsidTr="00C658A7">
        <w:trPr>
          <w:cantSplit/>
        </w:trPr>
        <w:tc>
          <w:tcPr>
            <w:tcW w:w="1727" w:type="pct"/>
            <w:shd w:val="clear" w:color="auto" w:fill="B8CCE4" w:themeFill="accent1" w:themeFillTint="66"/>
            <w:tcMar>
              <w:left w:w="28" w:type="dxa"/>
              <w:right w:w="28" w:type="dxa"/>
            </w:tcMar>
            <w:vAlign w:val="center"/>
          </w:tcPr>
          <w:p w14:paraId="2A149F8F" w14:textId="576405E3" w:rsidR="00FA22AF" w:rsidRPr="008E7C4C" w:rsidDel="00E10BBE" w:rsidRDefault="00FA22AF" w:rsidP="007E51A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Progressed, n</w:t>
            </w:r>
            <w:r w:rsidR="00C658A7" w:rsidRPr="008E7C4C">
              <w:rPr>
                <w:rFonts w:ascii="Arial Narrow" w:eastAsiaTheme="majorEastAsia" w:hAnsi="Arial Narrow" w:cstheme="majorBidi"/>
                <w:bCs/>
                <w:sz w:val="20"/>
                <w:szCs w:val="20"/>
              </w:rPr>
              <w:t>/N</w:t>
            </w:r>
            <w:r w:rsidRPr="008E7C4C">
              <w:rPr>
                <w:rFonts w:ascii="Arial Narrow" w:eastAsiaTheme="majorEastAsia" w:hAnsi="Arial Narrow" w:cstheme="majorBidi"/>
                <w:bCs/>
                <w:sz w:val="20"/>
                <w:szCs w:val="20"/>
              </w:rPr>
              <w:t xml:space="preserve"> (%)</w:t>
            </w:r>
          </w:p>
        </w:tc>
        <w:tc>
          <w:tcPr>
            <w:tcW w:w="865" w:type="pct"/>
            <w:shd w:val="clear" w:color="auto" w:fill="B8CCE4" w:themeFill="accent1" w:themeFillTint="66"/>
            <w:tcMar>
              <w:left w:w="28" w:type="dxa"/>
              <w:right w:w="28" w:type="dxa"/>
            </w:tcMar>
            <w:vAlign w:val="center"/>
          </w:tcPr>
          <w:p w14:paraId="7439F97A" w14:textId="588B90A1" w:rsidR="00FA22AF" w:rsidRPr="008E7C4C" w:rsidDel="00E10BBE" w:rsidRDefault="00FA22AF" w:rsidP="007E51A8">
            <w:pPr>
              <w:keepNext/>
              <w:jc w:val="center"/>
              <w:rPr>
                <w:rFonts w:ascii="Arial Narrow" w:eastAsiaTheme="majorEastAsia" w:hAnsi="Arial Narrow"/>
                <w:bCs/>
                <w:sz w:val="20"/>
                <w:szCs w:val="20"/>
              </w:rPr>
            </w:pPr>
            <w:r w:rsidRPr="008E7C4C">
              <w:rPr>
                <w:rFonts w:ascii="Arial Narrow" w:hAnsi="Arial Narrow"/>
                <w:sz w:val="20"/>
                <w:szCs w:val="20"/>
              </w:rPr>
              <w:t>177/360 (49.2)</w:t>
            </w:r>
          </w:p>
        </w:tc>
        <w:tc>
          <w:tcPr>
            <w:tcW w:w="865" w:type="pct"/>
            <w:shd w:val="clear" w:color="auto" w:fill="B8CCE4" w:themeFill="accent1" w:themeFillTint="66"/>
            <w:tcMar>
              <w:left w:w="28" w:type="dxa"/>
              <w:right w:w="28" w:type="dxa"/>
            </w:tcMar>
            <w:vAlign w:val="center"/>
          </w:tcPr>
          <w:p w14:paraId="6F24B6ED" w14:textId="7BDDC617" w:rsidR="00FA22AF" w:rsidRPr="008E7C4C" w:rsidDel="00E10BBE" w:rsidRDefault="00FA22AF" w:rsidP="007E51A8">
            <w:pPr>
              <w:keepNext/>
              <w:jc w:val="center"/>
              <w:rPr>
                <w:rFonts w:ascii="Arial Narrow" w:eastAsiaTheme="majorEastAsia" w:hAnsi="Arial Narrow"/>
                <w:bCs/>
                <w:sz w:val="20"/>
                <w:szCs w:val="20"/>
              </w:rPr>
            </w:pPr>
            <w:r w:rsidRPr="008E7C4C">
              <w:rPr>
                <w:rFonts w:ascii="Arial Narrow" w:hAnsi="Arial Narrow"/>
                <w:sz w:val="20"/>
                <w:szCs w:val="20"/>
              </w:rPr>
              <w:t>195/362 (53.9)</w:t>
            </w:r>
          </w:p>
        </w:tc>
        <w:tc>
          <w:tcPr>
            <w:tcW w:w="629" w:type="pct"/>
            <w:shd w:val="clear" w:color="auto" w:fill="B8CCE4" w:themeFill="accent1" w:themeFillTint="66"/>
            <w:tcMar>
              <w:left w:w="28" w:type="dxa"/>
              <w:right w:w="28" w:type="dxa"/>
            </w:tcMar>
            <w:vAlign w:val="center"/>
          </w:tcPr>
          <w:p w14:paraId="6E8A9ACE" w14:textId="3228E5AA" w:rsidR="00FA22AF" w:rsidRPr="008E7C4C" w:rsidDel="00E10BBE" w:rsidRDefault="00FA22AF" w:rsidP="007E51A8">
            <w:pPr>
              <w:keepNext/>
              <w:jc w:val="center"/>
              <w:rPr>
                <w:rFonts w:ascii="Arial Narrow" w:eastAsiaTheme="majorEastAsia" w:hAnsi="Arial Narrow"/>
                <w:bCs/>
                <w:iCs/>
                <w:sz w:val="20"/>
                <w:szCs w:val="20"/>
              </w:rPr>
            </w:pPr>
            <w:r w:rsidRPr="008E7C4C">
              <w:rPr>
                <w:rFonts w:ascii="Arial Narrow" w:eastAsiaTheme="majorEastAsia" w:hAnsi="Arial Narrow"/>
                <w:bCs/>
                <w:iCs/>
                <w:sz w:val="20"/>
                <w:szCs w:val="20"/>
              </w:rPr>
              <w:t>4.7</w:t>
            </w:r>
          </w:p>
        </w:tc>
        <w:tc>
          <w:tcPr>
            <w:tcW w:w="914" w:type="pct"/>
            <w:vMerge w:val="restart"/>
            <w:shd w:val="clear" w:color="auto" w:fill="B8CCE4" w:themeFill="accent1" w:themeFillTint="66"/>
            <w:tcMar>
              <w:left w:w="28" w:type="dxa"/>
              <w:right w:w="28" w:type="dxa"/>
            </w:tcMar>
            <w:vAlign w:val="center"/>
          </w:tcPr>
          <w:p w14:paraId="193AE7D5" w14:textId="00690562" w:rsidR="00FA22AF" w:rsidRPr="008E7C4C" w:rsidDel="00E10BBE" w:rsidRDefault="00FA22AF" w:rsidP="007E51A8">
            <w:pPr>
              <w:keepNext/>
              <w:jc w:val="center"/>
              <w:rPr>
                <w:rFonts w:ascii="Arial Narrow" w:eastAsiaTheme="majorEastAsia" w:hAnsi="Arial Narrow" w:cstheme="majorBidi"/>
                <w:bCs/>
                <w:sz w:val="20"/>
                <w:szCs w:val="20"/>
              </w:rPr>
            </w:pPr>
            <w:r w:rsidRPr="008E7C4C">
              <w:rPr>
                <w:rFonts w:ascii="Arial Narrow" w:hAnsi="Arial Narrow"/>
                <w:sz w:val="20"/>
                <w:szCs w:val="20"/>
              </w:rPr>
              <w:t>0.8</w:t>
            </w:r>
            <w:r w:rsidR="00764910" w:rsidRPr="008E7C4C">
              <w:rPr>
                <w:rFonts w:ascii="Arial Narrow" w:hAnsi="Arial Narrow"/>
                <w:sz w:val="20"/>
                <w:szCs w:val="20"/>
              </w:rPr>
              <w:t>2</w:t>
            </w:r>
            <w:r w:rsidRPr="008E7C4C">
              <w:rPr>
                <w:rFonts w:ascii="Arial Narrow" w:hAnsi="Arial Narrow"/>
                <w:sz w:val="20"/>
                <w:szCs w:val="20"/>
              </w:rPr>
              <w:t xml:space="preserve"> (0.6</w:t>
            </w:r>
            <w:r w:rsidR="00764910" w:rsidRPr="008E7C4C">
              <w:rPr>
                <w:rFonts w:ascii="Arial Narrow" w:hAnsi="Arial Narrow"/>
                <w:sz w:val="20"/>
                <w:szCs w:val="20"/>
              </w:rPr>
              <w:t>7</w:t>
            </w:r>
            <w:r w:rsidRPr="008E7C4C">
              <w:rPr>
                <w:rFonts w:ascii="Arial Narrow" w:hAnsi="Arial Narrow"/>
                <w:sz w:val="20"/>
                <w:szCs w:val="20"/>
              </w:rPr>
              <w:t>, 1.00</w:t>
            </w:r>
            <w:proofErr w:type="gramStart"/>
            <w:r w:rsidRPr="008E7C4C">
              <w:rPr>
                <w:rFonts w:ascii="Arial Narrow" w:hAnsi="Arial Narrow"/>
                <w:sz w:val="20"/>
                <w:szCs w:val="20"/>
              </w:rPr>
              <w:t>)</w:t>
            </w:r>
            <w:r w:rsidR="007E5787" w:rsidRPr="008E7C4C">
              <w:rPr>
                <w:rFonts w:ascii="Arial Narrow" w:hAnsi="Arial Narrow"/>
                <w:sz w:val="20"/>
                <w:szCs w:val="20"/>
              </w:rPr>
              <w:t>;</w:t>
            </w:r>
            <w:proofErr w:type="gramEnd"/>
          </w:p>
          <w:p w14:paraId="5661C2A7" w14:textId="03DCA1D6" w:rsidR="00FA22AF" w:rsidRPr="008E7C4C" w:rsidDel="00E10BBE" w:rsidRDefault="00FA22AF"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p = NA</w:t>
            </w:r>
          </w:p>
        </w:tc>
      </w:tr>
      <w:tr w:rsidR="00FA22AF" w:rsidRPr="008E7C4C" w14:paraId="61A77DF8" w14:textId="77777777" w:rsidTr="00C658A7">
        <w:trPr>
          <w:cantSplit/>
        </w:trPr>
        <w:tc>
          <w:tcPr>
            <w:tcW w:w="1727" w:type="pct"/>
            <w:shd w:val="clear" w:color="auto" w:fill="B8CCE4" w:themeFill="accent1" w:themeFillTint="66"/>
            <w:tcMar>
              <w:left w:w="28" w:type="dxa"/>
              <w:right w:w="28" w:type="dxa"/>
            </w:tcMar>
            <w:vAlign w:val="center"/>
          </w:tcPr>
          <w:p w14:paraId="23830032" w14:textId="304D4A70" w:rsidR="00FA22AF" w:rsidRPr="008E7C4C" w:rsidDel="00E10BBE" w:rsidRDefault="00FA22AF" w:rsidP="007E51A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Median PFS, months </w:t>
            </w:r>
          </w:p>
        </w:tc>
        <w:tc>
          <w:tcPr>
            <w:tcW w:w="865" w:type="pct"/>
            <w:shd w:val="clear" w:color="auto" w:fill="B8CCE4" w:themeFill="accent1" w:themeFillTint="66"/>
            <w:tcMar>
              <w:left w:w="28" w:type="dxa"/>
              <w:right w:w="28" w:type="dxa"/>
            </w:tcMar>
            <w:vAlign w:val="center"/>
          </w:tcPr>
          <w:p w14:paraId="73AB4950" w14:textId="3DBD6CD4" w:rsidR="00FA22AF" w:rsidRPr="008E7C4C" w:rsidDel="00E10BBE" w:rsidRDefault="00FA22AF" w:rsidP="007E51A8">
            <w:pPr>
              <w:keepNext/>
              <w:jc w:val="center"/>
              <w:rPr>
                <w:rFonts w:ascii="Arial Narrow" w:eastAsiaTheme="majorEastAsia" w:hAnsi="Arial Narrow"/>
                <w:bCs/>
                <w:sz w:val="20"/>
                <w:szCs w:val="20"/>
              </w:rPr>
            </w:pPr>
            <w:r w:rsidRPr="008E7C4C">
              <w:rPr>
                <w:rFonts w:ascii="Arial Narrow" w:eastAsiaTheme="majorEastAsia" w:hAnsi="Arial Narrow"/>
                <w:bCs/>
                <w:sz w:val="20"/>
                <w:szCs w:val="20"/>
              </w:rPr>
              <w:t>20.0</w:t>
            </w:r>
          </w:p>
        </w:tc>
        <w:tc>
          <w:tcPr>
            <w:tcW w:w="865" w:type="pct"/>
            <w:shd w:val="clear" w:color="auto" w:fill="B8CCE4" w:themeFill="accent1" w:themeFillTint="66"/>
            <w:tcMar>
              <w:left w:w="28" w:type="dxa"/>
              <w:right w:w="28" w:type="dxa"/>
            </w:tcMar>
            <w:vAlign w:val="center"/>
          </w:tcPr>
          <w:p w14:paraId="0D288963" w14:textId="5AEF1C03" w:rsidR="00FA22AF" w:rsidRPr="008E7C4C" w:rsidDel="00E10BBE" w:rsidRDefault="00FA22AF" w:rsidP="007E51A8">
            <w:pPr>
              <w:keepNext/>
              <w:jc w:val="center"/>
              <w:rPr>
                <w:rFonts w:ascii="Arial Narrow" w:eastAsiaTheme="majorEastAsia" w:hAnsi="Arial Narrow"/>
                <w:bCs/>
                <w:sz w:val="20"/>
                <w:szCs w:val="20"/>
              </w:rPr>
            </w:pPr>
            <w:r w:rsidRPr="008E7C4C">
              <w:rPr>
                <w:rFonts w:ascii="Arial Narrow" w:eastAsiaTheme="majorEastAsia" w:hAnsi="Arial Narrow"/>
                <w:bCs/>
                <w:sz w:val="20"/>
                <w:szCs w:val="20"/>
              </w:rPr>
              <w:t>15.9</w:t>
            </w:r>
          </w:p>
        </w:tc>
        <w:tc>
          <w:tcPr>
            <w:tcW w:w="629" w:type="pct"/>
            <w:shd w:val="clear" w:color="auto" w:fill="B8CCE4" w:themeFill="accent1" w:themeFillTint="66"/>
            <w:tcMar>
              <w:left w:w="28" w:type="dxa"/>
              <w:right w:w="28" w:type="dxa"/>
            </w:tcMar>
            <w:vAlign w:val="center"/>
          </w:tcPr>
          <w:p w14:paraId="672B503D" w14:textId="397769A1" w:rsidR="00FA22AF" w:rsidRPr="008E7C4C" w:rsidDel="00E10BBE" w:rsidRDefault="00FA22AF" w:rsidP="007E51A8">
            <w:pPr>
              <w:keepNext/>
              <w:jc w:val="center"/>
              <w:rPr>
                <w:rFonts w:ascii="Arial Narrow" w:eastAsiaTheme="majorEastAsia" w:hAnsi="Arial Narrow"/>
                <w:bCs/>
                <w:iCs/>
                <w:sz w:val="20"/>
                <w:szCs w:val="20"/>
              </w:rPr>
            </w:pPr>
            <w:r w:rsidRPr="008E7C4C">
              <w:rPr>
                <w:rFonts w:ascii="Arial Narrow" w:eastAsiaTheme="majorEastAsia" w:hAnsi="Arial Narrow"/>
                <w:bCs/>
                <w:iCs/>
                <w:sz w:val="20"/>
                <w:szCs w:val="20"/>
              </w:rPr>
              <w:t>4.1</w:t>
            </w:r>
          </w:p>
        </w:tc>
        <w:tc>
          <w:tcPr>
            <w:tcW w:w="914" w:type="pct"/>
            <w:vMerge/>
            <w:shd w:val="clear" w:color="auto" w:fill="B8CCE4" w:themeFill="accent1" w:themeFillTint="66"/>
            <w:tcMar>
              <w:left w:w="28" w:type="dxa"/>
              <w:right w:w="28" w:type="dxa"/>
            </w:tcMar>
            <w:vAlign w:val="center"/>
          </w:tcPr>
          <w:p w14:paraId="03B2139F" w14:textId="7D78AABC" w:rsidR="00FA22AF" w:rsidRPr="008E7C4C" w:rsidDel="00E10BBE" w:rsidRDefault="00FA22AF" w:rsidP="007E51A8">
            <w:pPr>
              <w:keepNext/>
              <w:jc w:val="center"/>
              <w:rPr>
                <w:rFonts w:ascii="Arial Narrow" w:eastAsiaTheme="majorEastAsia" w:hAnsi="Arial Narrow" w:cstheme="majorBidi"/>
                <w:bCs/>
                <w:sz w:val="20"/>
                <w:szCs w:val="20"/>
              </w:rPr>
            </w:pPr>
          </w:p>
        </w:tc>
      </w:tr>
      <w:tr w:rsidR="007E51A8" w:rsidRPr="008E7C4C" w14:paraId="29353336" w14:textId="77777777" w:rsidTr="007E5787">
        <w:trPr>
          <w:cantSplit/>
        </w:trPr>
        <w:tc>
          <w:tcPr>
            <w:tcW w:w="5000" w:type="pct"/>
            <w:gridSpan w:val="5"/>
            <w:shd w:val="clear" w:color="auto" w:fill="B8CCE4" w:themeFill="accent1" w:themeFillTint="66"/>
            <w:tcMar>
              <w:left w:w="28" w:type="dxa"/>
              <w:right w:w="28" w:type="dxa"/>
            </w:tcMar>
            <w:vAlign w:val="center"/>
          </w:tcPr>
          <w:p w14:paraId="68769B6A" w14:textId="7270254D" w:rsidR="007E51A8" w:rsidRPr="008E7C4C" w:rsidRDefault="007E51A8" w:rsidP="007E51A8">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Overall survival (15 months follow-</w:t>
            </w:r>
            <w:proofErr w:type="gramStart"/>
            <w:r w:rsidRPr="008E7C4C">
              <w:rPr>
                <w:rFonts w:ascii="Arial Narrow" w:eastAsiaTheme="majorEastAsia" w:hAnsi="Arial Narrow" w:cs="Times New Roman"/>
                <w:b/>
                <w:sz w:val="20"/>
                <w:szCs w:val="20"/>
              </w:rPr>
              <w:t>up)</w:t>
            </w:r>
            <w:r w:rsidRPr="008E7C4C">
              <w:rPr>
                <w:rFonts w:ascii="Arial Narrow" w:eastAsiaTheme="majorEastAsia" w:hAnsi="Arial Narrow" w:cs="Times New Roman"/>
                <w:b/>
                <w:sz w:val="20"/>
                <w:szCs w:val="20"/>
                <w:vertAlign w:val="superscript"/>
              </w:rPr>
              <w:t>a</w:t>
            </w:r>
            <w:proofErr w:type="gramEnd"/>
          </w:p>
        </w:tc>
      </w:tr>
      <w:tr w:rsidR="007E51A8" w:rsidRPr="008E7C4C" w14:paraId="0A7EC52C" w14:textId="77777777" w:rsidTr="00C658A7">
        <w:trPr>
          <w:cantSplit/>
        </w:trPr>
        <w:tc>
          <w:tcPr>
            <w:tcW w:w="1727" w:type="pct"/>
            <w:shd w:val="clear" w:color="auto" w:fill="B8CCE4" w:themeFill="accent1" w:themeFillTint="66"/>
            <w:tcMar>
              <w:left w:w="28" w:type="dxa"/>
              <w:right w:w="28" w:type="dxa"/>
            </w:tcMar>
            <w:vAlign w:val="center"/>
          </w:tcPr>
          <w:p w14:paraId="78FA6233" w14:textId="292CD5D6" w:rsidR="007E51A8" w:rsidRPr="008E7C4C" w:rsidRDefault="007E51A8" w:rsidP="007E51A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Death</w:t>
            </w:r>
            <w:r w:rsidR="00FA22AF" w:rsidRPr="008E7C4C">
              <w:rPr>
                <w:rFonts w:ascii="Arial Narrow" w:eastAsiaTheme="majorEastAsia" w:hAnsi="Arial Narrow" w:cstheme="majorBidi"/>
                <w:bCs/>
                <w:sz w:val="20"/>
                <w:szCs w:val="20"/>
              </w:rPr>
              <w:t>s</w:t>
            </w:r>
            <w:r w:rsidRPr="008E7C4C">
              <w:rPr>
                <w:rFonts w:ascii="Arial Narrow" w:eastAsiaTheme="majorEastAsia" w:hAnsi="Arial Narrow" w:cstheme="majorBidi"/>
                <w:bCs/>
                <w:sz w:val="20"/>
                <w:szCs w:val="20"/>
              </w:rPr>
              <w:t>, n/N (%)</w:t>
            </w:r>
          </w:p>
        </w:tc>
        <w:tc>
          <w:tcPr>
            <w:tcW w:w="865" w:type="pct"/>
            <w:shd w:val="clear" w:color="auto" w:fill="B8CCE4" w:themeFill="accent1" w:themeFillTint="66"/>
            <w:tcMar>
              <w:left w:w="28" w:type="dxa"/>
              <w:right w:w="28" w:type="dxa"/>
            </w:tcMar>
            <w:vAlign w:val="center"/>
          </w:tcPr>
          <w:p w14:paraId="38963896" w14:textId="77777777"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51/360 (14.2)</w:t>
            </w:r>
          </w:p>
        </w:tc>
        <w:tc>
          <w:tcPr>
            <w:tcW w:w="865" w:type="pct"/>
            <w:shd w:val="clear" w:color="auto" w:fill="B8CCE4" w:themeFill="accent1" w:themeFillTint="66"/>
            <w:tcMar>
              <w:left w:w="28" w:type="dxa"/>
              <w:right w:w="28" w:type="dxa"/>
            </w:tcMar>
            <w:vAlign w:val="center"/>
          </w:tcPr>
          <w:p w14:paraId="7605A848" w14:textId="77777777"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56/362 (15.5)</w:t>
            </w:r>
          </w:p>
        </w:tc>
        <w:tc>
          <w:tcPr>
            <w:tcW w:w="629" w:type="pct"/>
            <w:shd w:val="clear" w:color="auto" w:fill="B8CCE4" w:themeFill="accent1" w:themeFillTint="66"/>
            <w:tcMar>
              <w:left w:w="28" w:type="dxa"/>
              <w:right w:w="28" w:type="dxa"/>
            </w:tcMar>
            <w:vAlign w:val="center"/>
          </w:tcPr>
          <w:p w14:paraId="5215D189" w14:textId="1733430A" w:rsidR="007E51A8" w:rsidRPr="008E7C4C" w:rsidRDefault="00764910" w:rsidP="007E51A8">
            <w:pPr>
              <w:keepNext/>
              <w:jc w:val="center"/>
              <w:rPr>
                <w:rFonts w:ascii="Arial Narrow" w:eastAsiaTheme="majorEastAsia" w:hAnsi="Arial Narrow" w:cstheme="majorBidi"/>
                <w:bCs/>
                <w:iCs/>
                <w:sz w:val="20"/>
                <w:szCs w:val="20"/>
              </w:rPr>
            </w:pPr>
            <w:r w:rsidRPr="008E7C4C">
              <w:rPr>
                <w:rFonts w:ascii="Arial Narrow" w:eastAsiaTheme="majorEastAsia" w:hAnsi="Arial Narrow" w:cstheme="majorBidi"/>
                <w:bCs/>
                <w:iCs/>
                <w:sz w:val="20"/>
                <w:szCs w:val="20"/>
              </w:rPr>
              <w:t>-</w:t>
            </w:r>
          </w:p>
        </w:tc>
        <w:tc>
          <w:tcPr>
            <w:tcW w:w="914" w:type="pct"/>
            <w:shd w:val="clear" w:color="auto" w:fill="B8CCE4" w:themeFill="accent1" w:themeFillTint="66"/>
            <w:tcMar>
              <w:left w:w="28" w:type="dxa"/>
              <w:right w:w="28" w:type="dxa"/>
            </w:tcMar>
            <w:vAlign w:val="center"/>
          </w:tcPr>
          <w:p w14:paraId="2A144685" w14:textId="2630AA88" w:rsidR="007E51A8" w:rsidRPr="008E7C4C" w:rsidRDefault="007E51A8" w:rsidP="007E51A8">
            <w:pPr>
              <w:keepNext/>
              <w:jc w:val="center"/>
              <w:rPr>
                <w:rFonts w:ascii="Arial Narrow" w:hAnsi="Arial Narrow"/>
                <w:sz w:val="20"/>
                <w:szCs w:val="20"/>
              </w:rPr>
            </w:pPr>
            <w:r w:rsidRPr="008E7C4C">
              <w:rPr>
                <w:rFonts w:ascii="Arial Narrow" w:hAnsi="Arial Narrow"/>
                <w:sz w:val="20"/>
                <w:szCs w:val="20"/>
              </w:rPr>
              <w:t>0.90 (0.62, 1.32</w:t>
            </w:r>
            <w:proofErr w:type="gramStart"/>
            <w:r w:rsidRPr="008E7C4C">
              <w:rPr>
                <w:rFonts w:ascii="Arial Narrow" w:hAnsi="Arial Narrow"/>
                <w:sz w:val="20"/>
                <w:szCs w:val="20"/>
              </w:rPr>
              <w:t>)</w:t>
            </w:r>
            <w:r w:rsidR="007E5787" w:rsidRPr="008E7C4C">
              <w:rPr>
                <w:rFonts w:ascii="Arial Narrow" w:hAnsi="Arial Narrow"/>
                <w:sz w:val="20"/>
                <w:szCs w:val="20"/>
              </w:rPr>
              <w:t>;</w:t>
            </w:r>
            <w:proofErr w:type="gramEnd"/>
          </w:p>
          <w:p w14:paraId="66E2164F" w14:textId="4D481A7F"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hAnsi="Arial Narrow"/>
                <w:sz w:val="20"/>
                <w:szCs w:val="20"/>
              </w:rPr>
              <w:t>p=0.582</w:t>
            </w:r>
          </w:p>
        </w:tc>
      </w:tr>
      <w:tr w:rsidR="007E51A8" w:rsidRPr="008E7C4C" w14:paraId="1C2E6435" w14:textId="77777777" w:rsidTr="007E5787">
        <w:trPr>
          <w:cantSplit/>
        </w:trPr>
        <w:tc>
          <w:tcPr>
            <w:tcW w:w="5000" w:type="pct"/>
            <w:gridSpan w:val="5"/>
            <w:shd w:val="clear" w:color="auto" w:fill="B8CCE4" w:themeFill="accent1" w:themeFillTint="66"/>
            <w:tcMar>
              <w:left w:w="28" w:type="dxa"/>
              <w:right w:w="28" w:type="dxa"/>
            </w:tcMar>
            <w:vAlign w:val="center"/>
          </w:tcPr>
          <w:p w14:paraId="3C5ECEC0" w14:textId="77777777" w:rsidR="007E51A8" w:rsidRPr="008E7C4C" w:rsidRDefault="007E51A8" w:rsidP="007E51A8">
            <w:pPr>
              <w:keepNext/>
              <w:jc w:val="left"/>
              <w:rPr>
                <w:rFonts w:ascii="Arial Narrow" w:eastAsiaTheme="majorEastAsia" w:hAnsi="Arial Narrow" w:cstheme="majorBidi"/>
                <w:bCs/>
                <w:sz w:val="20"/>
                <w:szCs w:val="20"/>
              </w:rPr>
            </w:pPr>
            <w:r w:rsidRPr="008E7C4C">
              <w:rPr>
                <w:rFonts w:ascii="Arial Narrow" w:eastAsiaTheme="majorEastAsia" w:hAnsi="Arial Narrow" w:cs="Times New Roman"/>
                <w:b/>
                <w:sz w:val="20"/>
                <w:szCs w:val="20"/>
              </w:rPr>
              <w:t>OS (23 months follow-</w:t>
            </w:r>
            <w:proofErr w:type="gramStart"/>
            <w:r w:rsidRPr="008E7C4C">
              <w:rPr>
                <w:rFonts w:ascii="Arial Narrow" w:eastAsiaTheme="majorEastAsia" w:hAnsi="Arial Narrow" w:cs="Times New Roman"/>
                <w:b/>
                <w:sz w:val="20"/>
                <w:szCs w:val="20"/>
              </w:rPr>
              <w:t>up)</w:t>
            </w:r>
            <w:r w:rsidRPr="008E7C4C">
              <w:rPr>
                <w:rFonts w:ascii="Arial Narrow" w:eastAsiaTheme="majorEastAsia" w:hAnsi="Arial Narrow" w:cs="Times New Roman"/>
                <w:b/>
                <w:sz w:val="20"/>
                <w:szCs w:val="20"/>
                <w:vertAlign w:val="superscript"/>
              </w:rPr>
              <w:t>b</w:t>
            </w:r>
            <w:proofErr w:type="gramEnd"/>
          </w:p>
        </w:tc>
      </w:tr>
      <w:tr w:rsidR="007E51A8" w:rsidRPr="008E7C4C" w14:paraId="0FFE8888" w14:textId="77777777" w:rsidTr="00C658A7">
        <w:trPr>
          <w:cantSplit/>
        </w:trPr>
        <w:tc>
          <w:tcPr>
            <w:tcW w:w="1727" w:type="pct"/>
            <w:shd w:val="clear" w:color="auto" w:fill="B8CCE4" w:themeFill="accent1" w:themeFillTint="66"/>
            <w:tcMar>
              <w:left w:w="28" w:type="dxa"/>
              <w:right w:w="28" w:type="dxa"/>
            </w:tcMar>
            <w:vAlign w:val="center"/>
          </w:tcPr>
          <w:p w14:paraId="3AC71188" w14:textId="381445C3" w:rsidR="007E51A8" w:rsidRPr="008E7C4C" w:rsidRDefault="007E51A8" w:rsidP="007E51A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Death</w:t>
            </w:r>
            <w:r w:rsidR="00FA22AF" w:rsidRPr="008E7C4C">
              <w:rPr>
                <w:rFonts w:ascii="Arial Narrow" w:eastAsiaTheme="majorEastAsia" w:hAnsi="Arial Narrow" w:cstheme="majorBidi"/>
                <w:bCs/>
                <w:sz w:val="20"/>
                <w:szCs w:val="20"/>
              </w:rPr>
              <w:t>s</w:t>
            </w:r>
            <w:r w:rsidRPr="008E7C4C">
              <w:rPr>
                <w:rFonts w:ascii="Arial Narrow" w:eastAsiaTheme="majorEastAsia" w:hAnsi="Arial Narrow" w:cstheme="majorBidi"/>
                <w:bCs/>
                <w:sz w:val="20"/>
                <w:szCs w:val="20"/>
              </w:rPr>
              <w:t>, n/N (%)</w:t>
            </w:r>
          </w:p>
        </w:tc>
        <w:tc>
          <w:tcPr>
            <w:tcW w:w="865" w:type="pct"/>
            <w:shd w:val="clear" w:color="auto" w:fill="B8CCE4" w:themeFill="accent1" w:themeFillTint="66"/>
            <w:tcMar>
              <w:left w:w="28" w:type="dxa"/>
              <w:right w:w="28" w:type="dxa"/>
            </w:tcMar>
            <w:vAlign w:val="center"/>
          </w:tcPr>
          <w:p w14:paraId="01F864CD" w14:textId="77777777"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81/360 (22.5)</w:t>
            </w:r>
          </w:p>
        </w:tc>
        <w:tc>
          <w:tcPr>
            <w:tcW w:w="865" w:type="pct"/>
            <w:shd w:val="clear" w:color="auto" w:fill="B8CCE4" w:themeFill="accent1" w:themeFillTint="66"/>
            <w:tcMar>
              <w:left w:w="28" w:type="dxa"/>
              <w:right w:w="28" w:type="dxa"/>
            </w:tcMar>
            <w:vAlign w:val="center"/>
          </w:tcPr>
          <w:p w14:paraId="313FD082" w14:textId="77777777"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90/362 (24.9)</w:t>
            </w:r>
          </w:p>
        </w:tc>
        <w:tc>
          <w:tcPr>
            <w:tcW w:w="629" w:type="pct"/>
            <w:shd w:val="clear" w:color="auto" w:fill="B8CCE4" w:themeFill="accent1" w:themeFillTint="66"/>
            <w:tcMar>
              <w:left w:w="28" w:type="dxa"/>
              <w:right w:w="28" w:type="dxa"/>
            </w:tcMar>
            <w:vAlign w:val="center"/>
          </w:tcPr>
          <w:p w14:paraId="782EE25E" w14:textId="77777777"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p>
        </w:tc>
        <w:tc>
          <w:tcPr>
            <w:tcW w:w="914" w:type="pct"/>
            <w:vMerge w:val="restart"/>
            <w:shd w:val="clear" w:color="auto" w:fill="B8CCE4" w:themeFill="accent1" w:themeFillTint="66"/>
            <w:tcMar>
              <w:left w:w="28" w:type="dxa"/>
              <w:right w:w="28" w:type="dxa"/>
            </w:tcMar>
            <w:vAlign w:val="center"/>
          </w:tcPr>
          <w:p w14:paraId="39AF2A82" w14:textId="40130426"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0.87 (0.64, 1.75)</w:t>
            </w:r>
            <w:r w:rsidR="007E5787" w:rsidRPr="008E7C4C">
              <w:rPr>
                <w:rFonts w:ascii="Arial Narrow" w:eastAsiaTheme="majorEastAsia" w:hAnsi="Arial Narrow" w:cstheme="majorBidi"/>
                <w:bCs/>
                <w:sz w:val="20"/>
                <w:szCs w:val="20"/>
              </w:rPr>
              <w:t>;</w:t>
            </w:r>
            <w:r w:rsidRPr="008E7C4C">
              <w:rPr>
                <w:rFonts w:ascii="Arial Narrow" w:eastAsiaTheme="majorEastAsia" w:hAnsi="Arial Narrow" w:cstheme="majorBidi"/>
                <w:bCs/>
                <w:sz w:val="20"/>
                <w:szCs w:val="20"/>
              </w:rPr>
              <w:t xml:space="preserve"> </w:t>
            </w:r>
            <w:r w:rsidR="00FA22AF" w:rsidRPr="008E7C4C">
              <w:rPr>
                <w:rFonts w:ascii="Arial Narrow" w:eastAsiaTheme="majorEastAsia" w:hAnsi="Arial Narrow" w:cstheme="majorBidi"/>
                <w:bCs/>
                <w:sz w:val="20"/>
                <w:szCs w:val="20"/>
              </w:rPr>
              <w:br/>
            </w:r>
            <w:r w:rsidRPr="008E7C4C">
              <w:rPr>
                <w:rFonts w:ascii="Arial Narrow" w:eastAsiaTheme="majorEastAsia" w:hAnsi="Arial Narrow" w:cstheme="majorBidi"/>
                <w:bCs/>
                <w:sz w:val="20"/>
                <w:szCs w:val="20"/>
              </w:rPr>
              <w:t>p = 0.359</w:t>
            </w:r>
          </w:p>
        </w:tc>
      </w:tr>
      <w:tr w:rsidR="007E51A8" w:rsidRPr="008E7C4C" w14:paraId="5888FAF1" w14:textId="77777777" w:rsidTr="00C658A7">
        <w:trPr>
          <w:cantSplit/>
        </w:trPr>
        <w:tc>
          <w:tcPr>
            <w:tcW w:w="1727" w:type="pct"/>
            <w:shd w:val="clear" w:color="auto" w:fill="B8CCE4" w:themeFill="accent1" w:themeFillTint="66"/>
            <w:tcMar>
              <w:left w:w="28" w:type="dxa"/>
              <w:right w:w="28" w:type="dxa"/>
            </w:tcMar>
            <w:vAlign w:val="center"/>
          </w:tcPr>
          <w:p w14:paraId="32C891F0" w14:textId="721A01E5" w:rsidR="007E51A8" w:rsidRPr="008E7C4C" w:rsidRDefault="007E51A8" w:rsidP="007E51A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Median OS, months (95%</w:t>
            </w:r>
            <w:r w:rsidR="007E5787" w:rsidRPr="008E7C4C">
              <w:rPr>
                <w:rFonts w:ascii="Arial Narrow" w:eastAsiaTheme="majorEastAsia" w:hAnsi="Arial Narrow" w:cstheme="majorBidi"/>
                <w:bCs/>
                <w:sz w:val="20"/>
                <w:szCs w:val="20"/>
              </w:rPr>
              <w:t xml:space="preserve"> </w:t>
            </w:r>
            <w:r w:rsidRPr="008E7C4C">
              <w:rPr>
                <w:rFonts w:ascii="Arial Narrow" w:eastAsiaTheme="majorEastAsia" w:hAnsi="Arial Narrow" w:cstheme="majorBidi"/>
                <w:bCs/>
                <w:sz w:val="20"/>
                <w:szCs w:val="20"/>
              </w:rPr>
              <w:t>CI)</w:t>
            </w:r>
          </w:p>
        </w:tc>
        <w:tc>
          <w:tcPr>
            <w:tcW w:w="865" w:type="pct"/>
            <w:shd w:val="clear" w:color="auto" w:fill="B8CCE4" w:themeFill="accent1" w:themeFillTint="66"/>
            <w:tcMar>
              <w:left w:w="28" w:type="dxa"/>
              <w:right w:w="28" w:type="dxa"/>
            </w:tcMar>
            <w:vAlign w:val="center"/>
          </w:tcPr>
          <w:p w14:paraId="5393776F" w14:textId="77777777"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NE (NE, NE)</w:t>
            </w:r>
          </w:p>
        </w:tc>
        <w:tc>
          <w:tcPr>
            <w:tcW w:w="865" w:type="pct"/>
            <w:shd w:val="clear" w:color="auto" w:fill="B8CCE4" w:themeFill="accent1" w:themeFillTint="66"/>
            <w:tcMar>
              <w:left w:w="28" w:type="dxa"/>
              <w:right w:w="28" w:type="dxa"/>
            </w:tcMar>
            <w:vAlign w:val="center"/>
          </w:tcPr>
          <w:p w14:paraId="5B59AF98" w14:textId="77777777"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NE (30.92, NE)</w:t>
            </w:r>
          </w:p>
        </w:tc>
        <w:tc>
          <w:tcPr>
            <w:tcW w:w="629" w:type="pct"/>
            <w:shd w:val="clear" w:color="auto" w:fill="B8CCE4" w:themeFill="accent1" w:themeFillTint="66"/>
            <w:tcMar>
              <w:left w:w="28" w:type="dxa"/>
              <w:right w:w="28" w:type="dxa"/>
            </w:tcMar>
            <w:vAlign w:val="center"/>
          </w:tcPr>
          <w:p w14:paraId="1AB244FF" w14:textId="77777777" w:rsidR="007E51A8" w:rsidRPr="008E7C4C" w:rsidRDefault="007E51A8"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p>
        </w:tc>
        <w:tc>
          <w:tcPr>
            <w:tcW w:w="914" w:type="pct"/>
            <w:vMerge/>
            <w:shd w:val="clear" w:color="auto" w:fill="B8CCE4" w:themeFill="accent1" w:themeFillTint="66"/>
            <w:tcMar>
              <w:left w:w="28" w:type="dxa"/>
              <w:right w:w="28" w:type="dxa"/>
            </w:tcMar>
            <w:vAlign w:val="center"/>
          </w:tcPr>
          <w:p w14:paraId="440D97E5" w14:textId="77777777" w:rsidR="007E51A8" w:rsidRPr="008E7C4C" w:rsidRDefault="007E51A8" w:rsidP="007E51A8">
            <w:pPr>
              <w:keepNext/>
              <w:jc w:val="center"/>
              <w:rPr>
                <w:rFonts w:ascii="Arial Narrow" w:eastAsiaTheme="majorEastAsia" w:hAnsi="Arial Narrow" w:cstheme="majorBidi"/>
                <w:bCs/>
                <w:sz w:val="20"/>
                <w:szCs w:val="20"/>
              </w:rPr>
            </w:pPr>
          </w:p>
        </w:tc>
      </w:tr>
      <w:tr w:rsidR="007E51A8" w:rsidRPr="008E7C4C" w14:paraId="6A20F956" w14:textId="77777777" w:rsidTr="007E5787">
        <w:trPr>
          <w:cantSplit/>
        </w:trPr>
        <w:tc>
          <w:tcPr>
            <w:tcW w:w="5000" w:type="pct"/>
            <w:gridSpan w:val="5"/>
            <w:tcMar>
              <w:left w:w="28" w:type="dxa"/>
              <w:right w:w="28" w:type="dxa"/>
            </w:tcMar>
            <w:vAlign w:val="center"/>
          </w:tcPr>
          <w:p w14:paraId="1A0FC5B9" w14:textId="77777777" w:rsidR="007E51A8" w:rsidRPr="008E7C4C" w:rsidRDefault="007E51A8" w:rsidP="007E51A8">
            <w:pPr>
              <w:keepNext/>
              <w:jc w:val="left"/>
              <w:rPr>
                <w:rFonts w:ascii="Arial Narrow" w:eastAsiaTheme="majorEastAsia" w:hAnsi="Arial Narrow" w:cstheme="majorBidi"/>
                <w:bCs/>
                <w:sz w:val="20"/>
                <w:szCs w:val="20"/>
              </w:rPr>
            </w:pPr>
            <w:r w:rsidRPr="008E7C4C">
              <w:rPr>
                <w:rFonts w:ascii="Arial Narrow" w:eastAsiaTheme="majorEastAsia" w:hAnsi="Arial Narrow" w:cs="Times New Roman"/>
                <w:b/>
                <w:sz w:val="20"/>
                <w:szCs w:val="20"/>
              </w:rPr>
              <w:t>OS (85 months follow-</w:t>
            </w:r>
            <w:proofErr w:type="gramStart"/>
            <w:r w:rsidRPr="008E7C4C">
              <w:rPr>
                <w:rFonts w:ascii="Arial Narrow" w:eastAsiaTheme="majorEastAsia" w:hAnsi="Arial Narrow" w:cs="Times New Roman"/>
                <w:b/>
                <w:sz w:val="20"/>
                <w:szCs w:val="20"/>
              </w:rPr>
              <w:t>up)</w:t>
            </w:r>
            <w:r w:rsidRPr="008E7C4C">
              <w:rPr>
                <w:rFonts w:ascii="Arial Narrow" w:eastAsiaTheme="majorEastAsia" w:hAnsi="Arial Narrow" w:cs="Times New Roman"/>
                <w:b/>
                <w:sz w:val="20"/>
                <w:szCs w:val="20"/>
                <w:vertAlign w:val="superscript"/>
              </w:rPr>
              <w:t>c</w:t>
            </w:r>
            <w:proofErr w:type="gramEnd"/>
          </w:p>
        </w:tc>
      </w:tr>
      <w:tr w:rsidR="00FA22AF" w:rsidRPr="008E7C4C" w14:paraId="34617561" w14:textId="77777777" w:rsidTr="00C658A7">
        <w:trPr>
          <w:cantSplit/>
        </w:trPr>
        <w:tc>
          <w:tcPr>
            <w:tcW w:w="1727" w:type="pct"/>
            <w:tcMar>
              <w:left w:w="28" w:type="dxa"/>
              <w:right w:w="28" w:type="dxa"/>
            </w:tcMar>
            <w:vAlign w:val="center"/>
          </w:tcPr>
          <w:p w14:paraId="0E0A3BC0" w14:textId="77777777" w:rsidR="00FA22AF" w:rsidRPr="008E7C4C" w:rsidRDefault="00FA22AF" w:rsidP="007E51A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Deaths, n/N (%)</w:t>
            </w:r>
          </w:p>
        </w:tc>
        <w:tc>
          <w:tcPr>
            <w:tcW w:w="865" w:type="pct"/>
            <w:tcMar>
              <w:left w:w="28" w:type="dxa"/>
              <w:right w:w="28" w:type="dxa"/>
            </w:tcMar>
            <w:vAlign w:val="center"/>
          </w:tcPr>
          <w:p w14:paraId="39A2F09E" w14:textId="77777777" w:rsidR="00FA22AF" w:rsidRPr="008E7C4C" w:rsidRDefault="00FA22AF"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240/360 (67)</w:t>
            </w:r>
          </w:p>
        </w:tc>
        <w:tc>
          <w:tcPr>
            <w:tcW w:w="865" w:type="pct"/>
            <w:tcMar>
              <w:left w:w="28" w:type="dxa"/>
              <w:right w:w="28" w:type="dxa"/>
            </w:tcMar>
            <w:vAlign w:val="center"/>
          </w:tcPr>
          <w:p w14:paraId="3AF5BC42" w14:textId="77777777" w:rsidR="00FA22AF" w:rsidRPr="008E7C4C" w:rsidRDefault="00FA22AF"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244/362 (67)</w:t>
            </w:r>
          </w:p>
        </w:tc>
        <w:tc>
          <w:tcPr>
            <w:tcW w:w="629" w:type="pct"/>
            <w:tcMar>
              <w:left w:w="28" w:type="dxa"/>
              <w:right w:w="28" w:type="dxa"/>
            </w:tcMar>
            <w:vAlign w:val="center"/>
          </w:tcPr>
          <w:p w14:paraId="0044082C" w14:textId="599DB7A3" w:rsidR="00FA22AF" w:rsidRPr="008E7C4C" w:rsidRDefault="00FA22AF"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w:t>
            </w:r>
          </w:p>
        </w:tc>
        <w:tc>
          <w:tcPr>
            <w:tcW w:w="914" w:type="pct"/>
            <w:vMerge w:val="restart"/>
            <w:tcMar>
              <w:left w:w="28" w:type="dxa"/>
              <w:right w:w="28" w:type="dxa"/>
            </w:tcMar>
            <w:vAlign w:val="center"/>
          </w:tcPr>
          <w:p w14:paraId="4CFA2B71" w14:textId="611EC553" w:rsidR="00FA22AF" w:rsidRPr="008E7C4C" w:rsidRDefault="00FA22AF"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0.9</w:t>
            </w:r>
            <w:r w:rsidR="00764910" w:rsidRPr="008E7C4C">
              <w:rPr>
                <w:rFonts w:ascii="Arial Narrow" w:eastAsiaTheme="majorEastAsia" w:hAnsi="Arial Narrow" w:cstheme="majorBidi"/>
                <w:bCs/>
                <w:sz w:val="20"/>
                <w:szCs w:val="20"/>
              </w:rPr>
              <w:t>4</w:t>
            </w:r>
            <w:r w:rsidRPr="008E7C4C">
              <w:rPr>
                <w:rFonts w:ascii="Arial Narrow" w:eastAsiaTheme="majorEastAsia" w:hAnsi="Arial Narrow" w:cstheme="majorBidi"/>
                <w:bCs/>
                <w:sz w:val="20"/>
                <w:szCs w:val="20"/>
              </w:rPr>
              <w:t xml:space="preserve"> (0.78, 1.1</w:t>
            </w:r>
            <w:r w:rsidR="00764910" w:rsidRPr="008E7C4C">
              <w:rPr>
                <w:rFonts w:ascii="Arial Narrow" w:eastAsiaTheme="majorEastAsia" w:hAnsi="Arial Narrow" w:cstheme="majorBidi"/>
                <w:bCs/>
                <w:sz w:val="20"/>
                <w:szCs w:val="20"/>
              </w:rPr>
              <w:t>3</w:t>
            </w:r>
            <w:r w:rsidRPr="008E7C4C">
              <w:rPr>
                <w:rFonts w:ascii="Arial Narrow" w:eastAsiaTheme="majorEastAsia" w:hAnsi="Arial Narrow" w:cstheme="majorBidi"/>
                <w:bCs/>
                <w:sz w:val="20"/>
                <w:szCs w:val="20"/>
              </w:rPr>
              <w:t>)</w:t>
            </w:r>
            <w:r w:rsidR="007E5787" w:rsidRPr="008E7C4C">
              <w:rPr>
                <w:rFonts w:ascii="Arial Narrow" w:eastAsiaTheme="majorEastAsia" w:hAnsi="Arial Narrow" w:cstheme="majorBidi"/>
                <w:bCs/>
                <w:sz w:val="20"/>
                <w:szCs w:val="20"/>
              </w:rPr>
              <w:t>;</w:t>
            </w:r>
            <w:r w:rsidRPr="008E7C4C">
              <w:rPr>
                <w:rFonts w:ascii="Arial Narrow" w:eastAsiaTheme="majorEastAsia" w:hAnsi="Arial Narrow" w:cstheme="majorBidi"/>
                <w:bCs/>
                <w:sz w:val="20"/>
                <w:szCs w:val="20"/>
              </w:rPr>
              <w:t xml:space="preserve"> p=0.495</w:t>
            </w:r>
          </w:p>
        </w:tc>
      </w:tr>
      <w:tr w:rsidR="00FA22AF" w:rsidRPr="008E7C4C" w14:paraId="6E7CB759" w14:textId="77777777" w:rsidTr="00C658A7">
        <w:trPr>
          <w:cantSplit/>
        </w:trPr>
        <w:tc>
          <w:tcPr>
            <w:tcW w:w="1727" w:type="pct"/>
            <w:tcMar>
              <w:left w:w="28" w:type="dxa"/>
              <w:right w:w="28" w:type="dxa"/>
            </w:tcMar>
            <w:vAlign w:val="center"/>
          </w:tcPr>
          <w:p w14:paraId="19E0DE9C" w14:textId="6AC7A4CD" w:rsidR="00FA22AF" w:rsidRPr="008E7C4C" w:rsidRDefault="00FA22AF" w:rsidP="007E51A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Median OS, months (95% CI)</w:t>
            </w:r>
          </w:p>
        </w:tc>
        <w:tc>
          <w:tcPr>
            <w:tcW w:w="865" w:type="pct"/>
            <w:tcMar>
              <w:left w:w="28" w:type="dxa"/>
              <w:right w:w="28" w:type="dxa"/>
            </w:tcMar>
            <w:vAlign w:val="center"/>
          </w:tcPr>
          <w:p w14:paraId="62C8CE60" w14:textId="77777777" w:rsidR="00FA22AF" w:rsidRPr="008E7C4C" w:rsidRDefault="00FA22AF"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53.6 (49.25, 62.95)</w:t>
            </w:r>
          </w:p>
        </w:tc>
        <w:tc>
          <w:tcPr>
            <w:tcW w:w="865" w:type="pct"/>
            <w:tcMar>
              <w:left w:w="28" w:type="dxa"/>
              <w:right w:w="28" w:type="dxa"/>
            </w:tcMar>
            <w:vAlign w:val="center"/>
          </w:tcPr>
          <w:p w14:paraId="4CA2328F" w14:textId="77777777" w:rsidR="00FA22AF" w:rsidRPr="008E7C4C" w:rsidRDefault="00FA22AF"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51.6 (44.78, 59.14)</w:t>
            </w:r>
          </w:p>
        </w:tc>
        <w:tc>
          <w:tcPr>
            <w:tcW w:w="629" w:type="pct"/>
            <w:tcMar>
              <w:left w:w="28" w:type="dxa"/>
              <w:right w:w="28" w:type="dxa"/>
            </w:tcMar>
            <w:vAlign w:val="center"/>
          </w:tcPr>
          <w:p w14:paraId="057A7131" w14:textId="77777777" w:rsidR="00FA22AF" w:rsidRPr="008E7C4C" w:rsidRDefault="00FA22AF" w:rsidP="007E51A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2.0</w:t>
            </w:r>
          </w:p>
        </w:tc>
        <w:tc>
          <w:tcPr>
            <w:tcW w:w="914" w:type="pct"/>
            <w:vMerge/>
            <w:tcMar>
              <w:left w:w="28" w:type="dxa"/>
              <w:right w:w="28" w:type="dxa"/>
            </w:tcMar>
            <w:vAlign w:val="center"/>
          </w:tcPr>
          <w:p w14:paraId="45552517" w14:textId="6FA8E525" w:rsidR="00FA22AF" w:rsidRPr="008E7C4C" w:rsidRDefault="00FA22AF" w:rsidP="007E51A8">
            <w:pPr>
              <w:keepNext/>
              <w:jc w:val="center"/>
              <w:rPr>
                <w:rFonts w:ascii="Arial Narrow" w:eastAsiaTheme="majorEastAsia" w:hAnsi="Arial Narrow" w:cstheme="majorBidi"/>
                <w:bCs/>
                <w:sz w:val="20"/>
                <w:szCs w:val="20"/>
              </w:rPr>
            </w:pPr>
          </w:p>
        </w:tc>
      </w:tr>
    </w:tbl>
    <w:p w14:paraId="40693F2F" w14:textId="76B4DDB1" w:rsidR="007E51A8" w:rsidRPr="008E7C4C" w:rsidRDefault="00CC25DE" w:rsidP="00136562">
      <w:pPr>
        <w:pStyle w:val="PBACTableSource"/>
      </w:pPr>
      <w:r w:rsidRPr="008E7C4C">
        <w:t>Source: Table 2-10, p56 of the resubmission. Table 14.3.1.1A, p 753 of TMM-1 IA1 TFL May 2015</w:t>
      </w:r>
      <w:r w:rsidR="00E10BBE" w:rsidRPr="008E7C4C">
        <w:t>; Table 2.2.b, p25 of TMM-1 IA2 CSR 2016.</w:t>
      </w:r>
      <w:r w:rsidR="007E51A8" w:rsidRPr="008E7C4C">
        <w:t xml:space="preserve"> Figure 14.3.2.6D, p6319 of TMM-1 IA2 TFLs Jan 2016.</w:t>
      </w:r>
    </w:p>
    <w:p w14:paraId="1236CC96" w14:textId="20EF9FB2" w:rsidR="00CC25DE" w:rsidRPr="008E7C4C" w:rsidRDefault="00CC25DE" w:rsidP="00136562">
      <w:pPr>
        <w:pStyle w:val="PBACTableSource"/>
      </w:pPr>
      <w:r w:rsidRPr="008E7C4C">
        <w:t>Values in bold indicate statistical significance.</w:t>
      </w:r>
      <w:r w:rsidR="00A23DC5" w:rsidRPr="008E7C4C">
        <w:t xml:space="preserve"> </w:t>
      </w:r>
      <w:r w:rsidR="007E5787" w:rsidRPr="008E7C4C">
        <w:t>B</w:t>
      </w:r>
      <w:r w:rsidR="00A23DC5" w:rsidRPr="008E7C4C">
        <w:t xml:space="preserve">lue shaded text refers to information previously included in the initial submission of </w:t>
      </w:r>
      <w:proofErr w:type="spellStart"/>
      <w:r w:rsidR="00A23DC5" w:rsidRPr="008E7C4C">
        <w:t>ixazomib</w:t>
      </w:r>
      <w:proofErr w:type="spellEnd"/>
      <w:r w:rsidR="00A23DC5" w:rsidRPr="008E7C4C">
        <w:t xml:space="preserve"> to the PBAC.</w:t>
      </w:r>
    </w:p>
    <w:p w14:paraId="5B5362C5" w14:textId="7AF3609A" w:rsidR="00CC25DE" w:rsidRPr="008E7C4C" w:rsidRDefault="00CC25DE" w:rsidP="00136562">
      <w:pPr>
        <w:pStyle w:val="PBACTableSource"/>
      </w:pPr>
      <w:r w:rsidRPr="008E7C4C">
        <w:t>CI</w:t>
      </w:r>
      <w:r w:rsidR="007E5787" w:rsidRPr="008E7C4C">
        <w:t xml:space="preserve"> </w:t>
      </w:r>
      <w:r w:rsidRPr="008E7C4C">
        <w:t xml:space="preserve">= confidence interval; </w:t>
      </w:r>
      <w:proofErr w:type="spellStart"/>
      <w:r w:rsidRPr="008E7C4C">
        <w:t>ILd</w:t>
      </w:r>
      <w:proofErr w:type="spellEnd"/>
      <w:r w:rsidR="007E5787" w:rsidRPr="008E7C4C">
        <w:t xml:space="preserve"> </w:t>
      </w:r>
      <w:r w:rsidRPr="008E7C4C">
        <w:t xml:space="preserve">= </w:t>
      </w:r>
      <w:proofErr w:type="spellStart"/>
      <w:r w:rsidRPr="008E7C4C">
        <w:t>ixazomib</w:t>
      </w:r>
      <w:proofErr w:type="spellEnd"/>
      <w:r w:rsidRPr="008E7C4C">
        <w:t xml:space="preserve"> </w:t>
      </w:r>
      <w:r w:rsidR="007E5787" w:rsidRPr="008E7C4C">
        <w:t>+</w:t>
      </w:r>
      <w:r w:rsidRPr="008E7C4C">
        <w:t xml:space="preserve"> lenalidomide </w:t>
      </w:r>
      <w:r w:rsidR="007E5787" w:rsidRPr="008E7C4C">
        <w:t>+</w:t>
      </w:r>
      <w:r w:rsidRPr="008E7C4C">
        <w:t xml:space="preserve"> dexamethasone; HR = hazard ratio; ITT= intent to treat; </w:t>
      </w:r>
      <w:proofErr w:type="spellStart"/>
      <w:r w:rsidRPr="008E7C4C">
        <w:t>Ld</w:t>
      </w:r>
      <w:proofErr w:type="spellEnd"/>
      <w:r w:rsidR="007E5787" w:rsidRPr="008E7C4C">
        <w:t xml:space="preserve"> </w:t>
      </w:r>
      <w:r w:rsidRPr="008E7C4C">
        <w:t xml:space="preserve">= lenalidomide </w:t>
      </w:r>
      <w:r w:rsidR="007E5787" w:rsidRPr="008E7C4C">
        <w:t xml:space="preserve">+ </w:t>
      </w:r>
      <w:r w:rsidRPr="008E7C4C">
        <w:t>dexamethasone;</w:t>
      </w:r>
      <w:r w:rsidR="00E10BBE" w:rsidRPr="008E7C4C">
        <w:t xml:space="preserve"> </w:t>
      </w:r>
      <w:r w:rsidR="007E51A8" w:rsidRPr="008E7C4C">
        <w:t xml:space="preserve">NA = not available; </w:t>
      </w:r>
      <w:r w:rsidR="00E10BBE" w:rsidRPr="008E7C4C">
        <w:t>NE = not estimable;</w:t>
      </w:r>
      <w:r w:rsidRPr="008E7C4C">
        <w:t xml:space="preserve"> OS</w:t>
      </w:r>
      <w:r w:rsidR="007E5787" w:rsidRPr="008E7C4C">
        <w:t xml:space="preserve"> </w:t>
      </w:r>
      <w:r w:rsidRPr="008E7C4C">
        <w:t xml:space="preserve">= overall survival; PFS = progression free survival </w:t>
      </w:r>
    </w:p>
    <w:p w14:paraId="2900F5F6" w14:textId="399F1B58" w:rsidR="006D2401" w:rsidRPr="008E7C4C" w:rsidRDefault="007E5787" w:rsidP="00136562">
      <w:pPr>
        <w:pStyle w:val="PBACTableSource"/>
      </w:pPr>
      <w:r w:rsidRPr="008E7C4C">
        <w:t xml:space="preserve">a. </w:t>
      </w:r>
      <w:r w:rsidR="006D2401" w:rsidRPr="008E7C4C">
        <w:t>TMM-1 data cut-off for IA1 was 30</w:t>
      </w:r>
      <w:r w:rsidR="006D2401" w:rsidRPr="008E7C4C">
        <w:rPr>
          <w:vertAlign w:val="superscript"/>
        </w:rPr>
        <w:t>th</w:t>
      </w:r>
      <w:r w:rsidR="006D2401" w:rsidRPr="008E7C4C">
        <w:t xml:space="preserve"> October 2014, median follow-up was 14.8</w:t>
      </w:r>
      <w:r w:rsidR="00E10BBE" w:rsidRPr="008E7C4C">
        <w:t xml:space="preserve"> months</w:t>
      </w:r>
      <w:r w:rsidR="006D2401" w:rsidRPr="008E7C4C">
        <w:t xml:space="preserve"> for </w:t>
      </w:r>
      <w:proofErr w:type="spellStart"/>
      <w:r w:rsidR="006D2401" w:rsidRPr="008E7C4C">
        <w:t>ILd</w:t>
      </w:r>
      <w:proofErr w:type="spellEnd"/>
      <w:r w:rsidR="006D2401" w:rsidRPr="008E7C4C">
        <w:t xml:space="preserve"> vs 14.6 months for the </w:t>
      </w:r>
      <w:proofErr w:type="spellStart"/>
      <w:r w:rsidR="006D2401" w:rsidRPr="008E7C4C">
        <w:t>Ld</w:t>
      </w:r>
      <w:proofErr w:type="spellEnd"/>
      <w:r w:rsidR="006D2401" w:rsidRPr="008E7C4C">
        <w:t xml:space="preserve"> </w:t>
      </w:r>
      <w:proofErr w:type="gramStart"/>
      <w:r w:rsidR="006D2401" w:rsidRPr="008E7C4C">
        <w:t>arm;</w:t>
      </w:r>
      <w:proofErr w:type="gramEnd"/>
      <w:r w:rsidR="006D2401" w:rsidRPr="008E7C4C">
        <w:t xml:space="preserve"> </w:t>
      </w:r>
    </w:p>
    <w:p w14:paraId="24E8A267" w14:textId="44BAB4C8" w:rsidR="006D2401" w:rsidRPr="008E7C4C" w:rsidRDefault="007E5787" w:rsidP="00136562">
      <w:pPr>
        <w:pStyle w:val="PBACTableSource"/>
      </w:pPr>
      <w:r w:rsidRPr="008E7C4C">
        <w:t xml:space="preserve">b. </w:t>
      </w:r>
      <w:r w:rsidR="006D2401" w:rsidRPr="008E7C4C">
        <w:t>TMM-1 data cut-off1 was 12</w:t>
      </w:r>
      <w:r w:rsidR="006D2401" w:rsidRPr="008E7C4C">
        <w:rPr>
          <w:vertAlign w:val="superscript"/>
        </w:rPr>
        <w:t>th</w:t>
      </w:r>
      <w:r w:rsidR="006D2401" w:rsidRPr="008E7C4C">
        <w:t xml:space="preserve"> July 2015, median follow-up was 23.3</w:t>
      </w:r>
      <w:r w:rsidR="00E10BBE" w:rsidRPr="008E7C4C">
        <w:t xml:space="preserve"> months</w:t>
      </w:r>
      <w:r w:rsidR="006D2401" w:rsidRPr="008E7C4C">
        <w:t xml:space="preserve"> for </w:t>
      </w:r>
      <w:proofErr w:type="spellStart"/>
      <w:r w:rsidR="006D2401" w:rsidRPr="008E7C4C">
        <w:t>ILd</w:t>
      </w:r>
      <w:proofErr w:type="spellEnd"/>
      <w:r w:rsidR="006D2401" w:rsidRPr="008E7C4C">
        <w:t xml:space="preserve"> vs 22.9 months for the </w:t>
      </w:r>
      <w:proofErr w:type="spellStart"/>
      <w:r w:rsidR="006D2401" w:rsidRPr="008E7C4C">
        <w:t>Ld</w:t>
      </w:r>
      <w:proofErr w:type="spellEnd"/>
      <w:r w:rsidR="006D2401" w:rsidRPr="008E7C4C">
        <w:t xml:space="preserve"> </w:t>
      </w:r>
      <w:proofErr w:type="gramStart"/>
      <w:r w:rsidR="006D2401" w:rsidRPr="008E7C4C">
        <w:t>arm</w:t>
      </w:r>
      <w:r w:rsidR="00E10BBE" w:rsidRPr="008E7C4C">
        <w:t>;</w:t>
      </w:r>
      <w:proofErr w:type="gramEnd"/>
    </w:p>
    <w:p w14:paraId="0BAB2090" w14:textId="6E834FD7" w:rsidR="00E10BBE" w:rsidRPr="008E7C4C" w:rsidRDefault="007E5787" w:rsidP="00136562">
      <w:pPr>
        <w:pStyle w:val="PBACTableSource"/>
      </w:pPr>
      <w:r w:rsidRPr="008E7C4C">
        <w:t xml:space="preserve">c. </w:t>
      </w:r>
      <w:r w:rsidR="00E10BBE" w:rsidRPr="008E7C4C">
        <w:t xml:space="preserve">TMM-1 data cut-off was 28 September 2020, median follow-up was 85.0 months for </w:t>
      </w:r>
      <w:proofErr w:type="spellStart"/>
      <w:r w:rsidR="00E10BBE" w:rsidRPr="008E7C4C">
        <w:t>ILd</w:t>
      </w:r>
      <w:proofErr w:type="spellEnd"/>
      <w:r w:rsidR="00E10BBE" w:rsidRPr="008E7C4C">
        <w:t xml:space="preserve"> vs 85.1 months for </w:t>
      </w:r>
      <w:proofErr w:type="spellStart"/>
      <w:r w:rsidR="00E10BBE" w:rsidRPr="008E7C4C">
        <w:t>Ld</w:t>
      </w:r>
      <w:proofErr w:type="spellEnd"/>
      <w:r w:rsidR="00E10BBE" w:rsidRPr="008E7C4C">
        <w:t xml:space="preserve"> arm.</w:t>
      </w:r>
    </w:p>
    <w:p w14:paraId="59136AF4" w14:textId="77777777" w:rsidR="00FA22AF" w:rsidRPr="008E7C4C" w:rsidRDefault="00FA22AF" w:rsidP="00FA22AF"/>
    <w:p w14:paraId="75FD03CA" w14:textId="0BB8FD9F" w:rsidR="007E51A8" w:rsidRPr="008E7C4C" w:rsidRDefault="007E51A8" w:rsidP="007E51A8">
      <w:pPr>
        <w:pStyle w:val="3-BodyText"/>
        <w:rPr>
          <w:color w:val="0066FF"/>
        </w:rPr>
      </w:pPr>
      <w:r w:rsidRPr="008E7C4C">
        <w:t xml:space="preserve">The progression free survival (PFS) results have been previously presented to the PBAC. The resubmission stated that since the median PFS was reached at TMM-1 (IA1, data cut-off 30 Oct 2014) there were no PFS data collected in the final analysis. The median PFS </w:t>
      </w:r>
      <w:r w:rsidRPr="008E7C4C">
        <w:rPr>
          <w:bCs/>
        </w:rPr>
        <w:t xml:space="preserve">in TMM-1 was significantly longer in the </w:t>
      </w:r>
      <w:proofErr w:type="spellStart"/>
      <w:r w:rsidRPr="008E7C4C">
        <w:rPr>
          <w:bCs/>
        </w:rPr>
        <w:t>ILd</w:t>
      </w:r>
      <w:proofErr w:type="spellEnd"/>
      <w:r w:rsidRPr="008E7C4C">
        <w:rPr>
          <w:bCs/>
        </w:rPr>
        <w:t xml:space="preserve"> arm (20.6 months) compared to the </w:t>
      </w:r>
      <w:proofErr w:type="spellStart"/>
      <w:r w:rsidRPr="008E7C4C">
        <w:rPr>
          <w:bCs/>
        </w:rPr>
        <w:t>Ld</w:t>
      </w:r>
      <w:proofErr w:type="spellEnd"/>
      <w:r w:rsidRPr="008E7C4C">
        <w:rPr>
          <w:bCs/>
        </w:rPr>
        <w:t xml:space="preserve"> arm (14.7 months; HR = 0.74, 95% CI: 0.59, 0.94). 64% of patients were censored in the </w:t>
      </w:r>
      <w:proofErr w:type="spellStart"/>
      <w:r w:rsidRPr="008E7C4C">
        <w:rPr>
          <w:bCs/>
        </w:rPr>
        <w:t>ILd</w:t>
      </w:r>
      <w:proofErr w:type="spellEnd"/>
      <w:r w:rsidRPr="008E7C4C">
        <w:rPr>
          <w:bCs/>
        </w:rPr>
        <w:t xml:space="preserve"> arm and 57% in the </w:t>
      </w:r>
      <w:proofErr w:type="spellStart"/>
      <w:r w:rsidRPr="008E7C4C">
        <w:rPr>
          <w:bCs/>
        </w:rPr>
        <w:t>Ld</w:t>
      </w:r>
      <w:proofErr w:type="spellEnd"/>
      <w:r w:rsidRPr="008E7C4C">
        <w:rPr>
          <w:bCs/>
        </w:rPr>
        <w:t xml:space="preserve"> arm, predominantly due to </w:t>
      </w:r>
      <w:r w:rsidR="00DB39A6" w:rsidRPr="008E7C4C">
        <w:rPr>
          <w:bCs/>
        </w:rPr>
        <w:t xml:space="preserve">absence </w:t>
      </w:r>
      <w:proofErr w:type="gramStart"/>
      <w:r w:rsidR="00DB39A6" w:rsidRPr="008E7C4C">
        <w:rPr>
          <w:bCs/>
        </w:rPr>
        <w:t xml:space="preserve">of </w:t>
      </w:r>
      <w:r w:rsidRPr="008E7C4C">
        <w:rPr>
          <w:bCs/>
        </w:rPr>
        <w:t xml:space="preserve"> documented</w:t>
      </w:r>
      <w:proofErr w:type="gramEnd"/>
      <w:r w:rsidRPr="008E7C4C">
        <w:rPr>
          <w:bCs/>
        </w:rPr>
        <w:t xml:space="preserve"> </w:t>
      </w:r>
      <w:r w:rsidRPr="008E7C4C">
        <w:t xml:space="preserve">death or progressive disease (54% </w:t>
      </w:r>
      <w:proofErr w:type="spellStart"/>
      <w:r w:rsidRPr="008E7C4C">
        <w:t>ILd</w:t>
      </w:r>
      <w:proofErr w:type="spellEnd"/>
      <w:r w:rsidRPr="008E7C4C">
        <w:t xml:space="preserve"> vs 44% </w:t>
      </w:r>
      <w:proofErr w:type="spellStart"/>
      <w:r w:rsidRPr="008E7C4C">
        <w:t>Ld</w:t>
      </w:r>
      <w:proofErr w:type="spellEnd"/>
      <w:r w:rsidRPr="008E7C4C">
        <w:t>).  The OS results presented in th</w:t>
      </w:r>
      <w:r w:rsidR="00DB39A6" w:rsidRPr="008E7C4C">
        <w:t>e</w:t>
      </w:r>
      <w:r w:rsidRPr="008E7C4C">
        <w:t xml:space="preserve"> resubmission show</w:t>
      </w:r>
      <w:r w:rsidR="00DB39A6" w:rsidRPr="008E7C4C">
        <w:t>ed</w:t>
      </w:r>
      <w:r w:rsidRPr="008E7C4C">
        <w:t xml:space="preserve"> that median OS was reached at the 85 months follow-up</w:t>
      </w:r>
      <w:r w:rsidR="00FA22AF" w:rsidRPr="008E7C4C">
        <w:t>;</w:t>
      </w:r>
      <w:r w:rsidRPr="008E7C4C">
        <w:t xml:space="preserve"> however</w:t>
      </w:r>
      <w:r w:rsidR="00FA22AF" w:rsidRPr="008E7C4C">
        <w:t>,</w:t>
      </w:r>
      <w:r w:rsidRPr="008E7C4C">
        <w:t xml:space="preserve"> the result</w:t>
      </w:r>
      <w:r w:rsidR="00FA22AF" w:rsidRPr="008E7C4C">
        <w:t>s</w:t>
      </w:r>
      <w:r w:rsidRPr="008E7C4C">
        <w:t xml:space="preserve"> show</w:t>
      </w:r>
      <w:r w:rsidR="00DB39A6" w:rsidRPr="008E7C4C">
        <w:t>ed</w:t>
      </w:r>
      <w:r w:rsidRPr="008E7C4C">
        <w:t xml:space="preserve"> no statistical</w:t>
      </w:r>
      <w:r w:rsidR="00B03CF9" w:rsidRPr="008E7C4C">
        <w:t>ly</w:t>
      </w:r>
      <w:r w:rsidRPr="008E7C4C">
        <w:t xml:space="preserve"> </w:t>
      </w:r>
      <w:r w:rsidR="00B03CF9" w:rsidRPr="008E7C4C">
        <w:t xml:space="preserve">significant </w:t>
      </w:r>
      <w:r w:rsidRPr="008E7C4C">
        <w:t xml:space="preserve">difference between the arms, </w:t>
      </w:r>
      <w:proofErr w:type="spellStart"/>
      <w:r w:rsidRPr="008E7C4C">
        <w:t>ILd</w:t>
      </w:r>
      <w:proofErr w:type="spellEnd"/>
      <w:r w:rsidRPr="008E7C4C">
        <w:t xml:space="preserve"> and Ld. </w:t>
      </w:r>
      <w:r w:rsidR="004650A8" w:rsidRPr="008E7C4C">
        <w:t xml:space="preserve">The </w:t>
      </w:r>
      <w:r w:rsidR="003B1F7E">
        <w:t>Pre-Sub-Committee Response</w:t>
      </w:r>
      <w:r w:rsidR="003B1F7E" w:rsidRPr="008E7C4C">
        <w:t xml:space="preserve"> </w:t>
      </w:r>
      <w:r w:rsidR="003B1F7E">
        <w:t>(</w:t>
      </w:r>
      <w:r w:rsidR="004650A8" w:rsidRPr="008E7C4C">
        <w:t>PSCR</w:t>
      </w:r>
      <w:r w:rsidR="003B1F7E">
        <w:t>)</w:t>
      </w:r>
      <w:r w:rsidR="004650A8" w:rsidRPr="008E7C4C">
        <w:t xml:space="preserve"> noted that PFS was the primary outcome of the TMM</w:t>
      </w:r>
      <w:r w:rsidR="00F32453" w:rsidRPr="008E7C4C">
        <w:noBreakHyphen/>
      </w:r>
      <w:r w:rsidR="004650A8" w:rsidRPr="008E7C4C">
        <w:t>1 trial.</w:t>
      </w:r>
    </w:p>
    <w:p w14:paraId="74BB3496" w14:textId="77777777" w:rsidR="00CC25DE" w:rsidRPr="008E7C4C" w:rsidRDefault="00CC25DE" w:rsidP="00BC64DA">
      <w:pPr>
        <w:keepNext/>
        <w:rPr>
          <w:rFonts w:ascii="Arial Narrow" w:hAnsi="Arial Narrow"/>
          <w:b/>
          <w:sz w:val="20"/>
          <w:szCs w:val="16"/>
        </w:rPr>
      </w:pPr>
      <w:r w:rsidRPr="008E7C4C">
        <w:rPr>
          <w:rFonts w:ascii="Arial Narrow" w:hAnsi="Arial Narrow"/>
          <w:b/>
          <w:sz w:val="20"/>
          <w:szCs w:val="16"/>
        </w:rPr>
        <w:lastRenderedPageBreak/>
        <w:t>Figure 2: Kaplan-Meier analysis of OS in TMM-1, ITT</w:t>
      </w:r>
    </w:p>
    <w:p w14:paraId="4CDD5C4C" w14:textId="77777777" w:rsidR="00CC25DE" w:rsidRPr="008E7C4C" w:rsidRDefault="00CC25DE" w:rsidP="00CC25DE">
      <w:pPr>
        <w:ind w:left="360"/>
      </w:pPr>
      <w:r w:rsidRPr="008E7C4C">
        <w:rPr>
          <w:noProof/>
        </w:rPr>
        <w:drawing>
          <wp:inline distT="0" distB="0" distL="0" distR="0" wp14:anchorId="3CCC78EE" wp14:editId="59CFC0C3">
            <wp:extent cx="5644046" cy="3035300"/>
            <wp:effectExtent l="0" t="0" r="0" b="0"/>
            <wp:docPr id="9" name="Picture 9" descr="Figure 2: Kaplan-Meier analysis of OS in TMM-1,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Kaplan-Meier analysis of OS in TMM-1, ITT"/>
                    <pic:cNvPicPr/>
                  </pic:nvPicPr>
                  <pic:blipFill>
                    <a:blip r:embed="rId9"/>
                    <a:stretch>
                      <a:fillRect/>
                    </a:stretch>
                  </pic:blipFill>
                  <pic:spPr>
                    <a:xfrm>
                      <a:off x="0" y="0"/>
                      <a:ext cx="5647640" cy="3037233"/>
                    </a:xfrm>
                    <a:prstGeom prst="rect">
                      <a:avLst/>
                    </a:prstGeom>
                  </pic:spPr>
                </pic:pic>
              </a:graphicData>
            </a:graphic>
          </wp:inline>
        </w:drawing>
      </w:r>
    </w:p>
    <w:p w14:paraId="632AA88C" w14:textId="77777777" w:rsidR="00CC25DE" w:rsidRPr="008E7C4C" w:rsidRDefault="00CC25DE" w:rsidP="00CC25DE">
      <w:pPr>
        <w:keepLines/>
        <w:suppressLineNumbers/>
        <w:spacing w:after="120"/>
        <w:contextualSpacing/>
        <w:rPr>
          <w:rFonts w:ascii="Arial Narrow" w:hAnsi="Arial Narrow"/>
          <w:iCs/>
          <w:sz w:val="18"/>
          <w:szCs w:val="18"/>
        </w:rPr>
      </w:pPr>
      <w:r w:rsidRPr="008E7C4C">
        <w:rPr>
          <w:rFonts w:ascii="Arial Narrow" w:hAnsi="Arial Narrow"/>
          <w:iCs/>
          <w:sz w:val="18"/>
          <w:szCs w:val="18"/>
        </w:rPr>
        <w:t>Source: Figure 2-2, p 55 of the resubmission</w:t>
      </w:r>
    </w:p>
    <w:p w14:paraId="7690F400" w14:textId="5B20AF63" w:rsidR="00CC25DE" w:rsidRPr="008E7C4C" w:rsidRDefault="00CC25DE" w:rsidP="00CC25DE">
      <w:pPr>
        <w:keepLines/>
        <w:suppressLineNumbers/>
        <w:spacing w:after="120"/>
        <w:contextualSpacing/>
        <w:rPr>
          <w:rFonts w:ascii="Arial Narrow" w:eastAsia="Calibri" w:hAnsi="Arial Narrow"/>
          <w:iCs/>
          <w:sz w:val="18"/>
          <w:szCs w:val="18"/>
        </w:rPr>
      </w:pPr>
      <w:r w:rsidRPr="008E7C4C">
        <w:rPr>
          <w:rFonts w:ascii="Arial Narrow" w:eastAsia="Calibri" w:hAnsi="Arial Narrow"/>
          <w:iCs/>
          <w:sz w:val="18"/>
          <w:szCs w:val="18"/>
        </w:rPr>
        <w:t xml:space="preserve">CI = confidence interval; ITT = intention to treat; </w:t>
      </w:r>
      <w:proofErr w:type="spellStart"/>
      <w:r w:rsidRPr="008E7C4C">
        <w:rPr>
          <w:rFonts w:ascii="Arial Narrow" w:eastAsia="Calibri" w:hAnsi="Arial Narrow"/>
          <w:iCs/>
          <w:sz w:val="18"/>
          <w:szCs w:val="18"/>
        </w:rPr>
        <w:t>LenDex</w:t>
      </w:r>
      <w:proofErr w:type="spellEnd"/>
      <w:r w:rsidRPr="008E7C4C">
        <w:rPr>
          <w:rFonts w:ascii="Arial Narrow" w:eastAsia="Calibri" w:hAnsi="Arial Narrow"/>
          <w:iCs/>
          <w:sz w:val="18"/>
          <w:szCs w:val="18"/>
        </w:rPr>
        <w:t xml:space="preserve"> = lenalidomide + dexamethasone; OS = overall survival</w:t>
      </w:r>
    </w:p>
    <w:p w14:paraId="31ED887B" w14:textId="77777777" w:rsidR="00CC25DE" w:rsidRPr="008E7C4C" w:rsidRDefault="00CC25DE" w:rsidP="007E5787"/>
    <w:p w14:paraId="0099A07E" w14:textId="77777777" w:rsidR="00CC25DE" w:rsidRPr="008E7C4C" w:rsidRDefault="00CC25DE" w:rsidP="005B3407">
      <w:pPr>
        <w:spacing w:after="120"/>
        <w:rPr>
          <w:snapToGrid w:val="0"/>
          <w:u w:val="single"/>
        </w:rPr>
      </w:pPr>
      <w:r w:rsidRPr="008E7C4C">
        <w:rPr>
          <w:snapToGrid w:val="0"/>
          <w:u w:val="single"/>
        </w:rPr>
        <w:t>Subgroup analysis</w:t>
      </w:r>
    </w:p>
    <w:p w14:paraId="20AEB208" w14:textId="2609E8FB" w:rsidR="00CC25DE" w:rsidRPr="008E7C4C" w:rsidRDefault="00CC25DE" w:rsidP="00CC25DE">
      <w:pPr>
        <w:numPr>
          <w:ilvl w:val="1"/>
          <w:numId w:val="1"/>
        </w:numPr>
        <w:spacing w:after="120"/>
        <w:rPr>
          <w:rFonts w:asciiTheme="minorHAnsi" w:hAnsiTheme="minorHAnsi"/>
          <w:snapToGrid w:val="0"/>
        </w:rPr>
      </w:pPr>
      <w:r w:rsidRPr="008E7C4C">
        <w:rPr>
          <w:rFonts w:asciiTheme="minorHAnsi" w:hAnsiTheme="minorHAnsi"/>
          <w:snapToGrid w:val="0"/>
        </w:rPr>
        <w:t xml:space="preserve">The resubmission presented subgroup analyses for PFS, overall rate of response (ORR) and OS from the TMM-1 based on </w:t>
      </w:r>
      <w:r w:rsidR="00A23DC5" w:rsidRPr="008E7C4C">
        <w:rPr>
          <w:rFonts w:asciiTheme="minorHAnsi" w:hAnsiTheme="minorHAnsi"/>
          <w:snapToGrid w:val="0"/>
        </w:rPr>
        <w:t xml:space="preserve">2-3 </w:t>
      </w:r>
      <w:r w:rsidRPr="008E7C4C">
        <w:rPr>
          <w:rFonts w:asciiTheme="minorHAnsi" w:hAnsiTheme="minorHAnsi"/>
          <w:snapToGrid w:val="0"/>
        </w:rPr>
        <w:t xml:space="preserve">prior lines of therapy </w:t>
      </w:r>
      <w:r w:rsidR="005C2BC4" w:rsidRPr="008E7C4C">
        <w:rPr>
          <w:rFonts w:asciiTheme="minorHAnsi" w:hAnsiTheme="minorHAnsi"/>
          <w:snapToGrid w:val="0"/>
        </w:rPr>
        <w:t>(</w:t>
      </w:r>
      <w:proofErr w:type="gramStart"/>
      <w:r w:rsidR="005C2BC4" w:rsidRPr="008E7C4C">
        <w:rPr>
          <w:rFonts w:asciiTheme="minorHAnsi" w:hAnsiTheme="minorHAnsi"/>
          <w:snapToGrid w:val="0"/>
        </w:rPr>
        <w:t>i.e.</w:t>
      </w:r>
      <w:proofErr w:type="gramEnd"/>
      <w:r w:rsidR="005C2BC4" w:rsidRPr="008E7C4C">
        <w:rPr>
          <w:rFonts w:asciiTheme="minorHAnsi" w:hAnsiTheme="minorHAnsi"/>
          <w:snapToGrid w:val="0"/>
        </w:rPr>
        <w:t xml:space="preserve"> the proposed PBS population) </w:t>
      </w:r>
      <w:r w:rsidRPr="008E7C4C">
        <w:rPr>
          <w:rFonts w:asciiTheme="minorHAnsi" w:hAnsiTheme="minorHAnsi"/>
          <w:snapToGrid w:val="0"/>
        </w:rPr>
        <w:t>versus 1 prior line of therapy.</w:t>
      </w:r>
      <w:r w:rsidR="007E51A8" w:rsidRPr="008E7C4C">
        <w:rPr>
          <w:rFonts w:asciiTheme="minorHAnsi" w:hAnsiTheme="minorHAnsi"/>
          <w:snapToGrid w:val="0"/>
        </w:rPr>
        <w:t xml:space="preserve"> </w:t>
      </w:r>
      <w:r w:rsidR="007E51A8" w:rsidRPr="008E7C4C">
        <w:t xml:space="preserve">The treatment arms </w:t>
      </w:r>
      <w:r w:rsidR="006E7769" w:rsidRPr="008E7C4C">
        <w:t xml:space="preserve">in </w:t>
      </w:r>
      <w:r w:rsidR="007E51A8" w:rsidRPr="008E7C4C">
        <w:t>the 2-3 prio</w:t>
      </w:r>
      <w:r w:rsidR="00CC2F1C" w:rsidRPr="008E7C4C">
        <w:t>r</w:t>
      </w:r>
      <w:r w:rsidR="007E51A8" w:rsidRPr="008E7C4C">
        <w:t xml:space="preserve"> lines of treatment </w:t>
      </w:r>
      <w:r w:rsidR="006E7769" w:rsidRPr="008E7C4C">
        <w:t xml:space="preserve">subgroup </w:t>
      </w:r>
      <w:r w:rsidR="007E51A8" w:rsidRPr="008E7C4C">
        <w:t>were well balanced</w:t>
      </w:r>
      <w:r w:rsidR="006E7769" w:rsidRPr="008E7C4C">
        <w:t xml:space="preserve"> (</w:t>
      </w:r>
      <w:r w:rsidR="007E51A8" w:rsidRPr="008E7C4C">
        <w:t>N=149</w:t>
      </w:r>
      <w:r w:rsidR="006E7769" w:rsidRPr="008E7C4C">
        <w:t xml:space="preserve"> for </w:t>
      </w:r>
      <w:proofErr w:type="spellStart"/>
      <w:r w:rsidR="006E7769" w:rsidRPr="008E7C4C">
        <w:t>ILd</w:t>
      </w:r>
      <w:proofErr w:type="spellEnd"/>
      <w:r w:rsidR="006E7769" w:rsidRPr="008E7C4C">
        <w:t>;</w:t>
      </w:r>
      <w:r w:rsidR="007E51A8" w:rsidRPr="008E7C4C">
        <w:t xml:space="preserve"> </w:t>
      </w:r>
      <w:r w:rsidR="006E7769" w:rsidRPr="008E7C4C">
        <w:t>N</w:t>
      </w:r>
      <w:r w:rsidR="007E51A8" w:rsidRPr="008E7C4C">
        <w:t>=148</w:t>
      </w:r>
      <w:r w:rsidR="006E7769" w:rsidRPr="008E7C4C">
        <w:t xml:space="preserve"> for </w:t>
      </w:r>
      <w:proofErr w:type="spellStart"/>
      <w:r w:rsidR="006E7769" w:rsidRPr="008E7C4C">
        <w:t>Ld</w:t>
      </w:r>
      <w:proofErr w:type="spellEnd"/>
      <w:r w:rsidR="007E51A8" w:rsidRPr="008E7C4C">
        <w:t xml:space="preserve">). </w:t>
      </w:r>
      <w:r w:rsidRPr="008E7C4C">
        <w:rPr>
          <w:rFonts w:asciiTheme="minorHAnsi" w:hAnsiTheme="minorHAnsi"/>
          <w:snapToGrid w:val="0"/>
        </w:rPr>
        <w:t xml:space="preserve"> </w:t>
      </w:r>
      <w:r w:rsidR="00DE0529" w:rsidRPr="008E7C4C">
        <w:rPr>
          <w:rFonts w:asciiTheme="minorHAnsi" w:hAnsiTheme="minorHAnsi"/>
          <w:snapToGrid w:val="0"/>
        </w:rPr>
        <w:t>However,</w:t>
      </w:r>
      <w:r w:rsidR="00DE0529" w:rsidRPr="008E7C4C">
        <w:t xml:space="preserve"> </w:t>
      </w:r>
      <w:r w:rsidR="00DE0529" w:rsidRPr="008E7C4C">
        <w:rPr>
          <w:rFonts w:asciiTheme="minorHAnsi" w:hAnsiTheme="minorHAnsi"/>
          <w:snapToGrid w:val="0"/>
        </w:rPr>
        <w:t xml:space="preserve">the resubmission did not present </w:t>
      </w:r>
      <w:r w:rsidR="00F43765" w:rsidRPr="008E7C4C">
        <w:rPr>
          <w:rFonts w:asciiTheme="minorHAnsi" w:hAnsiTheme="minorHAnsi"/>
          <w:snapToGrid w:val="0"/>
        </w:rPr>
        <w:t xml:space="preserve">a </w:t>
      </w:r>
      <w:r w:rsidR="00DE0529" w:rsidRPr="008E7C4C">
        <w:rPr>
          <w:rFonts w:asciiTheme="minorHAnsi" w:hAnsiTheme="minorHAnsi"/>
          <w:snapToGrid w:val="0"/>
        </w:rPr>
        <w:t xml:space="preserve">test for interaction between subgroups. </w:t>
      </w:r>
      <w:r w:rsidRPr="008E7C4C">
        <w:rPr>
          <w:rFonts w:asciiTheme="minorHAnsi" w:hAnsiTheme="minorHAnsi"/>
          <w:snapToGrid w:val="0"/>
        </w:rPr>
        <w:t xml:space="preserve">The TMM-1 used the number of prior therapies as </w:t>
      </w:r>
      <w:r w:rsidR="005C2BC4" w:rsidRPr="008E7C4C">
        <w:rPr>
          <w:rFonts w:asciiTheme="minorHAnsi" w:hAnsiTheme="minorHAnsi"/>
          <w:snapToGrid w:val="0"/>
        </w:rPr>
        <w:t xml:space="preserve">a </w:t>
      </w:r>
      <w:r w:rsidRPr="008E7C4C">
        <w:rPr>
          <w:rFonts w:asciiTheme="minorHAnsi" w:hAnsiTheme="minorHAnsi"/>
          <w:snapToGrid w:val="0"/>
        </w:rPr>
        <w:t>(pre-specified) stratification factor at randomisation. This aligns with the proposed population in the requested PBS listing.</w:t>
      </w:r>
    </w:p>
    <w:p w14:paraId="68F08F7B" w14:textId="7484FA02" w:rsidR="00CC25DE" w:rsidRPr="008E7C4C" w:rsidRDefault="00CC25DE" w:rsidP="00CC25DE">
      <w:pPr>
        <w:numPr>
          <w:ilvl w:val="1"/>
          <w:numId w:val="1"/>
        </w:numPr>
        <w:spacing w:after="120"/>
        <w:rPr>
          <w:rFonts w:asciiTheme="minorHAnsi" w:hAnsiTheme="minorHAnsi"/>
          <w:snapToGrid w:val="0"/>
        </w:rPr>
      </w:pPr>
      <w:r w:rsidRPr="008E7C4C">
        <w:rPr>
          <w:rFonts w:asciiTheme="minorHAnsi" w:hAnsiTheme="minorHAnsi"/>
          <w:snapToGrid w:val="0"/>
        </w:rPr>
        <w:t>The resubmission presented the PFS results for the subgroup</w:t>
      </w:r>
      <w:r w:rsidR="00B76696" w:rsidRPr="008E7C4C">
        <w:rPr>
          <w:rFonts w:asciiTheme="minorHAnsi" w:hAnsiTheme="minorHAnsi"/>
          <w:snapToGrid w:val="0"/>
        </w:rPr>
        <w:t>s</w:t>
      </w:r>
      <w:r w:rsidRPr="008E7C4C">
        <w:rPr>
          <w:rFonts w:asciiTheme="minorHAnsi" w:hAnsiTheme="minorHAnsi"/>
          <w:snapToGrid w:val="0"/>
        </w:rPr>
        <w:t xml:space="preserve"> of interest based on the IA1</w:t>
      </w:r>
      <w:r w:rsidR="005C2BC4" w:rsidRPr="008E7C4C">
        <w:rPr>
          <w:rFonts w:asciiTheme="minorHAnsi" w:hAnsiTheme="minorHAnsi"/>
          <w:snapToGrid w:val="0"/>
        </w:rPr>
        <w:t xml:space="preserve"> data</w:t>
      </w:r>
      <w:r w:rsidR="006D2401" w:rsidRPr="008E7C4C">
        <w:rPr>
          <w:rFonts w:asciiTheme="minorHAnsi" w:hAnsiTheme="minorHAnsi"/>
          <w:snapToGrid w:val="0"/>
        </w:rPr>
        <w:t>-</w:t>
      </w:r>
      <w:r w:rsidR="005C2BC4" w:rsidRPr="008E7C4C">
        <w:rPr>
          <w:rFonts w:asciiTheme="minorHAnsi" w:hAnsiTheme="minorHAnsi"/>
          <w:snapToGrid w:val="0"/>
        </w:rPr>
        <w:t>cut</w:t>
      </w:r>
      <w:r w:rsidRPr="008E7C4C">
        <w:rPr>
          <w:rFonts w:asciiTheme="minorHAnsi" w:hAnsiTheme="minorHAnsi"/>
          <w:snapToGrid w:val="0"/>
        </w:rPr>
        <w:t xml:space="preserve"> </w:t>
      </w:r>
      <w:r w:rsidR="00B76696" w:rsidRPr="008E7C4C">
        <w:rPr>
          <w:rFonts w:asciiTheme="minorHAnsi" w:hAnsiTheme="minorHAnsi"/>
          <w:snapToGrid w:val="0"/>
        </w:rPr>
        <w:t>(15 months follow-up)</w:t>
      </w:r>
      <w:r w:rsidR="007E51A8" w:rsidRPr="008E7C4C">
        <w:rPr>
          <w:rFonts w:asciiTheme="minorHAnsi" w:hAnsiTheme="minorHAnsi"/>
          <w:snapToGrid w:val="0"/>
        </w:rPr>
        <w:t>,</w:t>
      </w:r>
      <w:r w:rsidR="00B76696" w:rsidRPr="008E7C4C">
        <w:rPr>
          <w:rFonts w:asciiTheme="minorHAnsi" w:hAnsiTheme="minorHAnsi"/>
          <w:snapToGrid w:val="0"/>
        </w:rPr>
        <w:t xml:space="preserve"> and</w:t>
      </w:r>
      <w:r w:rsidR="007E51A8" w:rsidRPr="008E7C4C">
        <w:rPr>
          <w:rFonts w:asciiTheme="minorHAnsi" w:hAnsiTheme="minorHAnsi"/>
          <w:snapToGrid w:val="0"/>
        </w:rPr>
        <w:t xml:space="preserve"> PFS and</w:t>
      </w:r>
      <w:r w:rsidR="00B76696" w:rsidRPr="008E7C4C">
        <w:rPr>
          <w:rFonts w:asciiTheme="minorHAnsi" w:hAnsiTheme="minorHAnsi"/>
          <w:snapToGrid w:val="0"/>
        </w:rPr>
        <w:t xml:space="preserve"> ORR results based on the IA2 data</w:t>
      </w:r>
      <w:r w:rsidR="006D2401" w:rsidRPr="008E7C4C">
        <w:rPr>
          <w:rFonts w:asciiTheme="minorHAnsi" w:hAnsiTheme="minorHAnsi"/>
          <w:snapToGrid w:val="0"/>
        </w:rPr>
        <w:t>-</w:t>
      </w:r>
      <w:r w:rsidR="00B76696" w:rsidRPr="008E7C4C">
        <w:rPr>
          <w:rFonts w:asciiTheme="minorHAnsi" w:hAnsiTheme="minorHAnsi"/>
          <w:snapToGrid w:val="0"/>
        </w:rPr>
        <w:t>cut (23 months follow-up) as no data were collected for these outcomes at the time of the final analysis</w:t>
      </w:r>
      <w:r w:rsidRPr="008E7C4C">
        <w:rPr>
          <w:rFonts w:asciiTheme="minorHAnsi" w:hAnsiTheme="minorHAnsi"/>
          <w:snapToGrid w:val="0"/>
        </w:rPr>
        <w:t xml:space="preserve"> (Table 6).</w:t>
      </w:r>
      <w:r w:rsidR="00E10BBE" w:rsidRPr="008E7C4C">
        <w:rPr>
          <w:rFonts w:asciiTheme="minorHAnsi" w:hAnsiTheme="minorHAnsi"/>
          <w:snapToGrid w:val="0"/>
        </w:rPr>
        <w:t xml:space="preserve"> </w:t>
      </w:r>
    </w:p>
    <w:p w14:paraId="6FBD5E53" w14:textId="77777777" w:rsidR="00CC25DE" w:rsidRPr="008E7C4C" w:rsidRDefault="00CC25DE" w:rsidP="00CC25DE">
      <w:pPr>
        <w:keepNext/>
        <w:jc w:val="left"/>
        <w:rPr>
          <w:rFonts w:ascii="Arial Narrow" w:eastAsiaTheme="majorEastAsia" w:hAnsi="Arial Narrow" w:cstheme="majorBidi"/>
          <w:b/>
          <w:bCs/>
          <w:sz w:val="20"/>
        </w:rPr>
      </w:pPr>
    </w:p>
    <w:p w14:paraId="4ED8893E" w14:textId="77777777" w:rsidR="00CC25DE" w:rsidRPr="008E7C4C" w:rsidRDefault="00CC25DE" w:rsidP="00605285">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Table 6: PFS and ORR Results of subgroup analysis with whole trial population results and complements.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560"/>
        <w:gridCol w:w="1560"/>
        <w:gridCol w:w="1419"/>
        <w:gridCol w:w="1648"/>
      </w:tblGrid>
      <w:tr w:rsidR="00C658A7" w:rsidRPr="008E7C4C" w14:paraId="18E36255" w14:textId="77777777" w:rsidTr="00C658A7">
        <w:tc>
          <w:tcPr>
            <w:tcW w:w="1569" w:type="pct"/>
            <w:tcMar>
              <w:left w:w="28" w:type="dxa"/>
              <w:right w:w="28" w:type="dxa"/>
            </w:tcMar>
            <w:vAlign w:val="center"/>
          </w:tcPr>
          <w:p w14:paraId="6415E95C" w14:textId="77777777" w:rsidR="00C658A7" w:rsidRPr="008E7C4C" w:rsidRDefault="00C658A7" w:rsidP="006E7769">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Population</w:t>
            </w:r>
          </w:p>
        </w:tc>
        <w:tc>
          <w:tcPr>
            <w:tcW w:w="865" w:type="pct"/>
            <w:tcMar>
              <w:left w:w="28" w:type="dxa"/>
              <w:right w:w="28" w:type="dxa"/>
            </w:tcMar>
            <w:vAlign w:val="center"/>
          </w:tcPr>
          <w:p w14:paraId="37A66675" w14:textId="246265EF" w:rsidR="00C658A7" w:rsidRPr="008E7C4C" w:rsidRDefault="00C658A7" w:rsidP="006E7769">
            <w:pPr>
              <w:keepNext/>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ILd</w:t>
            </w:r>
            <w:proofErr w:type="spellEnd"/>
          </w:p>
        </w:tc>
        <w:tc>
          <w:tcPr>
            <w:tcW w:w="865" w:type="pct"/>
            <w:tcMar>
              <w:left w:w="28" w:type="dxa"/>
              <w:right w:w="28" w:type="dxa"/>
            </w:tcMar>
            <w:vAlign w:val="center"/>
          </w:tcPr>
          <w:p w14:paraId="05B56FE6" w14:textId="3342CA94" w:rsidR="00C658A7" w:rsidRPr="008E7C4C" w:rsidRDefault="00C658A7" w:rsidP="006E7769">
            <w:pPr>
              <w:keepNext/>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Ld</w:t>
            </w:r>
            <w:proofErr w:type="spellEnd"/>
          </w:p>
        </w:tc>
        <w:tc>
          <w:tcPr>
            <w:tcW w:w="787" w:type="pct"/>
            <w:tcMar>
              <w:left w:w="28" w:type="dxa"/>
              <w:right w:w="28" w:type="dxa"/>
            </w:tcMar>
          </w:tcPr>
          <w:p w14:paraId="1C92726B" w14:textId="77777777" w:rsidR="00C658A7" w:rsidRPr="008E7C4C" w:rsidRDefault="00C658A7" w:rsidP="006E7769">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Absolute difference</w:t>
            </w:r>
          </w:p>
        </w:tc>
        <w:tc>
          <w:tcPr>
            <w:tcW w:w="914" w:type="pct"/>
            <w:tcMar>
              <w:left w:w="28" w:type="dxa"/>
              <w:right w:w="28" w:type="dxa"/>
            </w:tcMar>
            <w:vAlign w:val="center"/>
          </w:tcPr>
          <w:p w14:paraId="573B4C1A" w14:textId="61529EC6" w:rsidR="00C658A7" w:rsidRPr="008E7C4C" w:rsidRDefault="00C658A7" w:rsidP="006E7769">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 xml:space="preserve">HR (95% CI); </w:t>
            </w:r>
            <w:r w:rsidRPr="008E7C4C">
              <w:rPr>
                <w:rFonts w:ascii="Arial Narrow" w:eastAsiaTheme="majorEastAsia" w:hAnsi="Arial Narrow" w:cs="Times New Roman"/>
                <w:b/>
                <w:sz w:val="20"/>
              </w:rPr>
              <w:br/>
              <w:t>p-value</w:t>
            </w:r>
          </w:p>
        </w:tc>
      </w:tr>
      <w:tr w:rsidR="00CC25DE" w:rsidRPr="008E7C4C" w14:paraId="410DFFEA" w14:textId="77777777" w:rsidTr="00C658A7">
        <w:tc>
          <w:tcPr>
            <w:tcW w:w="5000" w:type="pct"/>
            <w:gridSpan w:val="5"/>
            <w:tcMar>
              <w:left w:w="28" w:type="dxa"/>
              <w:right w:w="28" w:type="dxa"/>
            </w:tcMar>
            <w:vAlign w:val="center"/>
          </w:tcPr>
          <w:p w14:paraId="66400508" w14:textId="77777777" w:rsidR="00CC25DE" w:rsidRPr="008E7C4C" w:rsidRDefault="00CC25DE" w:rsidP="006E7769">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 xml:space="preserve">PFS (15 months </w:t>
            </w:r>
            <w:r w:rsidR="00A23DC5" w:rsidRPr="008E7C4C">
              <w:rPr>
                <w:rFonts w:ascii="Arial Narrow" w:eastAsiaTheme="majorEastAsia" w:hAnsi="Arial Narrow" w:cs="Times New Roman"/>
                <w:b/>
                <w:sz w:val="20"/>
              </w:rPr>
              <w:t>follow-up</w:t>
            </w:r>
            <w:r w:rsidRPr="008E7C4C">
              <w:rPr>
                <w:rFonts w:ascii="Arial Narrow" w:eastAsiaTheme="majorEastAsia" w:hAnsi="Arial Narrow" w:cs="Times New Roman"/>
                <w:b/>
                <w:sz w:val="20"/>
              </w:rPr>
              <w:t>)</w:t>
            </w:r>
          </w:p>
        </w:tc>
      </w:tr>
      <w:tr w:rsidR="00CC25DE" w:rsidRPr="008E7C4C" w14:paraId="405B48FB" w14:textId="77777777" w:rsidTr="00C658A7">
        <w:tc>
          <w:tcPr>
            <w:tcW w:w="5000" w:type="pct"/>
            <w:gridSpan w:val="5"/>
            <w:tcMar>
              <w:left w:w="28" w:type="dxa"/>
              <w:right w:w="28" w:type="dxa"/>
            </w:tcMar>
            <w:vAlign w:val="center"/>
          </w:tcPr>
          <w:p w14:paraId="511F7F16" w14:textId="77777777" w:rsidR="00CC25DE" w:rsidRPr="008E7C4C" w:rsidRDefault="00CC25DE" w:rsidP="006E7769">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1 prior line therapy (complement of subgroup)</w:t>
            </w:r>
          </w:p>
        </w:tc>
      </w:tr>
      <w:tr w:rsidR="00C658A7" w:rsidRPr="008E7C4C" w14:paraId="58CF857C" w14:textId="77777777" w:rsidTr="00C658A7">
        <w:trPr>
          <w:trHeight w:val="92"/>
        </w:trPr>
        <w:tc>
          <w:tcPr>
            <w:tcW w:w="1569" w:type="pct"/>
            <w:shd w:val="clear" w:color="auto" w:fill="C6D9F1" w:themeFill="text2" w:themeFillTint="33"/>
            <w:tcMar>
              <w:left w:w="28" w:type="dxa"/>
              <w:right w:w="28" w:type="dxa"/>
            </w:tcMar>
            <w:vAlign w:val="center"/>
          </w:tcPr>
          <w:p w14:paraId="090BA4CC" w14:textId="104CA135"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Progressed, n/N (%)</w:t>
            </w:r>
          </w:p>
        </w:tc>
        <w:tc>
          <w:tcPr>
            <w:tcW w:w="865" w:type="pct"/>
            <w:shd w:val="clear" w:color="auto" w:fill="C6D9F1" w:themeFill="text2" w:themeFillTint="33"/>
            <w:tcMar>
              <w:left w:w="28" w:type="dxa"/>
              <w:right w:w="28" w:type="dxa"/>
            </w:tcMar>
            <w:vAlign w:val="center"/>
          </w:tcPr>
          <w:p w14:paraId="1EBDD0E5" w14:textId="60608F1C"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73/212 (34)</w:t>
            </w:r>
          </w:p>
        </w:tc>
        <w:tc>
          <w:tcPr>
            <w:tcW w:w="865" w:type="pct"/>
            <w:shd w:val="clear" w:color="auto" w:fill="C6D9F1" w:themeFill="text2" w:themeFillTint="33"/>
            <w:tcMar>
              <w:left w:w="28" w:type="dxa"/>
              <w:right w:w="28" w:type="dxa"/>
            </w:tcMar>
            <w:vAlign w:val="center"/>
          </w:tcPr>
          <w:p w14:paraId="7303B02A" w14:textId="72529B16"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84/213 (39)</w:t>
            </w:r>
          </w:p>
        </w:tc>
        <w:tc>
          <w:tcPr>
            <w:tcW w:w="787" w:type="pct"/>
            <w:shd w:val="clear" w:color="auto" w:fill="C6D9F1" w:themeFill="text2" w:themeFillTint="33"/>
            <w:tcMar>
              <w:left w:w="28" w:type="dxa"/>
              <w:right w:w="28" w:type="dxa"/>
            </w:tcMar>
            <w:vAlign w:val="center"/>
          </w:tcPr>
          <w:p w14:paraId="6F8A2654"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p>
        </w:tc>
        <w:tc>
          <w:tcPr>
            <w:tcW w:w="914" w:type="pct"/>
            <w:vMerge w:val="restart"/>
            <w:shd w:val="clear" w:color="auto" w:fill="C6D9F1" w:themeFill="text2" w:themeFillTint="33"/>
            <w:tcMar>
              <w:left w:w="28" w:type="dxa"/>
              <w:right w:w="28" w:type="dxa"/>
            </w:tcMar>
            <w:vAlign w:val="center"/>
          </w:tcPr>
          <w:p w14:paraId="28BF954D" w14:textId="40DD076E" w:rsidR="00C658A7" w:rsidRPr="008E7C4C" w:rsidRDefault="00C658A7" w:rsidP="006E7769">
            <w:pPr>
              <w:keepNext/>
              <w:jc w:val="center"/>
              <w:rPr>
                <w:rFonts w:ascii="Arial Narrow" w:eastAsiaTheme="majorEastAsia" w:hAnsi="Arial Narrow" w:cstheme="majorBidi"/>
                <w:b/>
                <w:sz w:val="20"/>
              </w:rPr>
            </w:pPr>
            <w:r w:rsidRPr="008E7C4C">
              <w:rPr>
                <w:rFonts w:ascii="Arial Narrow" w:eastAsiaTheme="majorEastAsia" w:hAnsi="Arial Narrow" w:cstheme="majorBidi"/>
                <w:bCs/>
                <w:sz w:val="20"/>
              </w:rPr>
              <w:t>0.88 (0.65, 1.</w:t>
            </w:r>
            <w:r w:rsidR="00764910" w:rsidRPr="008E7C4C">
              <w:rPr>
                <w:rFonts w:ascii="Arial Narrow" w:eastAsiaTheme="majorEastAsia" w:hAnsi="Arial Narrow" w:cstheme="majorBidi"/>
                <w:bCs/>
                <w:sz w:val="20"/>
              </w:rPr>
              <w:t>20</w:t>
            </w:r>
            <w:r w:rsidRPr="008E7C4C">
              <w:rPr>
                <w:rFonts w:ascii="Arial Narrow" w:eastAsiaTheme="majorEastAsia" w:hAnsi="Arial Narrow" w:cstheme="majorBidi"/>
                <w:bCs/>
                <w:sz w:val="20"/>
              </w:rPr>
              <w:t xml:space="preserve">); </w:t>
            </w:r>
            <w:r w:rsidR="00764910" w:rsidRPr="008E7C4C">
              <w:rPr>
                <w:rFonts w:ascii="Arial Narrow" w:eastAsiaTheme="majorEastAsia" w:hAnsi="Arial Narrow" w:cstheme="majorBidi"/>
                <w:bCs/>
                <w:sz w:val="20"/>
              </w:rPr>
              <w:br/>
            </w:r>
            <w:r w:rsidRPr="008E7C4C">
              <w:rPr>
                <w:rFonts w:ascii="Arial Narrow" w:eastAsiaTheme="majorEastAsia" w:hAnsi="Arial Narrow" w:cstheme="majorBidi"/>
                <w:bCs/>
                <w:sz w:val="20"/>
              </w:rPr>
              <w:t>p = 0.419</w:t>
            </w:r>
          </w:p>
        </w:tc>
      </w:tr>
      <w:tr w:rsidR="00C658A7" w:rsidRPr="008E7C4C" w14:paraId="087F56C8" w14:textId="77777777" w:rsidTr="00C658A7">
        <w:trPr>
          <w:trHeight w:val="92"/>
        </w:trPr>
        <w:tc>
          <w:tcPr>
            <w:tcW w:w="1569" w:type="pct"/>
            <w:shd w:val="clear" w:color="auto" w:fill="C6D9F1" w:themeFill="text2" w:themeFillTint="33"/>
            <w:tcMar>
              <w:left w:w="28" w:type="dxa"/>
              <w:right w:w="28" w:type="dxa"/>
            </w:tcMar>
            <w:vAlign w:val="center"/>
          </w:tcPr>
          <w:p w14:paraId="2C40D012" w14:textId="4960DF3D"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Median PFS, months (95% CI)</w:t>
            </w:r>
          </w:p>
        </w:tc>
        <w:tc>
          <w:tcPr>
            <w:tcW w:w="865" w:type="pct"/>
            <w:shd w:val="clear" w:color="auto" w:fill="C6D9F1" w:themeFill="text2" w:themeFillTint="33"/>
            <w:tcMar>
              <w:left w:w="28" w:type="dxa"/>
              <w:right w:w="28" w:type="dxa"/>
            </w:tcMar>
            <w:vAlign w:val="center"/>
          </w:tcPr>
          <w:p w14:paraId="4D7B1D34"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20.6 (16.82; NE)</w:t>
            </w:r>
          </w:p>
        </w:tc>
        <w:tc>
          <w:tcPr>
            <w:tcW w:w="865" w:type="pct"/>
            <w:shd w:val="clear" w:color="auto" w:fill="C6D9F1" w:themeFill="text2" w:themeFillTint="33"/>
            <w:tcMar>
              <w:left w:w="28" w:type="dxa"/>
              <w:right w:w="28" w:type="dxa"/>
            </w:tcMar>
            <w:vAlign w:val="center"/>
          </w:tcPr>
          <w:p w14:paraId="071C257E"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16.6 (13.24; NE)</w:t>
            </w:r>
          </w:p>
        </w:tc>
        <w:tc>
          <w:tcPr>
            <w:tcW w:w="787" w:type="pct"/>
            <w:shd w:val="clear" w:color="auto" w:fill="C6D9F1" w:themeFill="text2" w:themeFillTint="33"/>
            <w:tcMar>
              <w:left w:w="28" w:type="dxa"/>
              <w:right w:w="28" w:type="dxa"/>
            </w:tcMar>
            <w:vAlign w:val="center"/>
          </w:tcPr>
          <w:p w14:paraId="5DD6FED4"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4</w:t>
            </w:r>
          </w:p>
        </w:tc>
        <w:tc>
          <w:tcPr>
            <w:tcW w:w="914" w:type="pct"/>
            <w:vMerge/>
            <w:shd w:val="clear" w:color="auto" w:fill="C6D9F1" w:themeFill="text2" w:themeFillTint="33"/>
            <w:tcMar>
              <w:left w:w="28" w:type="dxa"/>
              <w:right w:w="28" w:type="dxa"/>
            </w:tcMar>
            <w:vAlign w:val="center"/>
          </w:tcPr>
          <w:p w14:paraId="07CAC1F4" w14:textId="77777777" w:rsidR="00C658A7" w:rsidRPr="008E7C4C" w:rsidRDefault="00C658A7" w:rsidP="006E7769">
            <w:pPr>
              <w:keepNext/>
              <w:jc w:val="center"/>
              <w:rPr>
                <w:rFonts w:ascii="Arial Narrow" w:eastAsiaTheme="majorEastAsia" w:hAnsi="Arial Narrow" w:cstheme="majorBidi"/>
                <w:b/>
                <w:sz w:val="20"/>
              </w:rPr>
            </w:pPr>
          </w:p>
        </w:tc>
      </w:tr>
      <w:tr w:rsidR="00CC25DE" w:rsidRPr="008E7C4C" w14:paraId="52486DB8" w14:textId="77777777" w:rsidTr="00C658A7">
        <w:trPr>
          <w:trHeight w:val="92"/>
        </w:trPr>
        <w:tc>
          <w:tcPr>
            <w:tcW w:w="5000" w:type="pct"/>
            <w:gridSpan w:val="5"/>
            <w:shd w:val="clear" w:color="auto" w:fill="C6D9F1" w:themeFill="text2" w:themeFillTint="33"/>
            <w:tcMar>
              <w:left w:w="28" w:type="dxa"/>
              <w:right w:w="28" w:type="dxa"/>
            </w:tcMar>
            <w:vAlign w:val="center"/>
          </w:tcPr>
          <w:p w14:paraId="03724833" w14:textId="77777777" w:rsidR="00CC25DE" w:rsidRPr="008E7C4C" w:rsidRDefault="00A23DC5" w:rsidP="006E7769">
            <w:pPr>
              <w:keepNext/>
              <w:jc w:val="left"/>
              <w:rPr>
                <w:rFonts w:ascii="Arial Narrow" w:eastAsiaTheme="majorEastAsia" w:hAnsi="Arial Narrow" w:cstheme="majorBidi"/>
                <w:b/>
                <w:sz w:val="20"/>
              </w:rPr>
            </w:pPr>
            <w:r w:rsidRPr="008E7C4C">
              <w:rPr>
                <w:rFonts w:ascii="Arial Narrow" w:eastAsiaTheme="majorEastAsia" w:hAnsi="Arial Narrow" w:cstheme="majorBidi"/>
                <w:b/>
                <w:sz w:val="20"/>
              </w:rPr>
              <w:t xml:space="preserve">2-3 </w:t>
            </w:r>
            <w:r w:rsidR="00CC25DE" w:rsidRPr="008E7C4C">
              <w:rPr>
                <w:rFonts w:ascii="Arial Narrow" w:eastAsiaTheme="majorEastAsia" w:hAnsi="Arial Narrow" w:cstheme="majorBidi"/>
                <w:b/>
                <w:sz w:val="20"/>
              </w:rPr>
              <w:t>prior lines of therapy</w:t>
            </w:r>
          </w:p>
        </w:tc>
      </w:tr>
      <w:tr w:rsidR="00C658A7" w:rsidRPr="008E7C4C" w14:paraId="06389525" w14:textId="77777777" w:rsidTr="00C658A7">
        <w:trPr>
          <w:trHeight w:val="92"/>
        </w:trPr>
        <w:tc>
          <w:tcPr>
            <w:tcW w:w="1569" w:type="pct"/>
            <w:shd w:val="clear" w:color="auto" w:fill="C6D9F1" w:themeFill="text2" w:themeFillTint="33"/>
            <w:tcMar>
              <w:left w:w="28" w:type="dxa"/>
              <w:right w:w="28" w:type="dxa"/>
            </w:tcMar>
            <w:vAlign w:val="center"/>
          </w:tcPr>
          <w:p w14:paraId="3FA61797" w14:textId="36A1637F"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Progressed, n/N (%)</w:t>
            </w:r>
          </w:p>
        </w:tc>
        <w:tc>
          <w:tcPr>
            <w:tcW w:w="865" w:type="pct"/>
            <w:shd w:val="clear" w:color="auto" w:fill="C6D9F1" w:themeFill="text2" w:themeFillTint="33"/>
            <w:tcMar>
              <w:left w:w="28" w:type="dxa"/>
              <w:right w:w="28" w:type="dxa"/>
            </w:tcMar>
            <w:vAlign w:val="center"/>
          </w:tcPr>
          <w:p w14:paraId="61E3DD56" w14:textId="16FBC1A5" w:rsidR="00C658A7" w:rsidRPr="008E7C4C" w:rsidRDefault="00C658A7" w:rsidP="004D4B6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4</w:t>
            </w:r>
            <w:r w:rsidR="004D4B6E" w:rsidRPr="008E7C4C">
              <w:rPr>
                <w:rFonts w:ascii="Arial Narrow" w:eastAsiaTheme="majorEastAsia" w:hAnsi="Arial Narrow" w:cstheme="majorBidi"/>
                <w:bCs/>
                <w:sz w:val="20"/>
              </w:rPr>
              <w:t>1</w:t>
            </w:r>
            <w:r w:rsidRPr="008E7C4C">
              <w:rPr>
                <w:rFonts w:ascii="Arial Narrow" w:eastAsiaTheme="majorEastAsia" w:hAnsi="Arial Narrow" w:cstheme="majorBidi"/>
                <w:bCs/>
                <w:sz w:val="20"/>
              </w:rPr>
              <w:t>/148 (28)</w:t>
            </w:r>
          </w:p>
        </w:tc>
        <w:tc>
          <w:tcPr>
            <w:tcW w:w="865" w:type="pct"/>
            <w:shd w:val="clear" w:color="auto" w:fill="C6D9F1" w:themeFill="text2" w:themeFillTint="33"/>
            <w:tcMar>
              <w:left w:w="28" w:type="dxa"/>
              <w:right w:w="28" w:type="dxa"/>
            </w:tcMar>
            <w:vAlign w:val="center"/>
          </w:tcPr>
          <w:p w14:paraId="7DAF1224" w14:textId="5340A5C4" w:rsidR="00C658A7" w:rsidRPr="008E7C4C" w:rsidRDefault="00C658A7" w:rsidP="004D4B6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6</w:t>
            </w:r>
            <w:r w:rsidR="004D4B6E" w:rsidRPr="008E7C4C">
              <w:rPr>
                <w:rFonts w:ascii="Arial Narrow" w:eastAsiaTheme="majorEastAsia" w:hAnsi="Arial Narrow" w:cstheme="majorBidi"/>
                <w:bCs/>
                <w:sz w:val="20"/>
              </w:rPr>
              <w:t>1</w:t>
            </w:r>
            <w:r w:rsidRPr="008E7C4C">
              <w:rPr>
                <w:rFonts w:ascii="Arial Narrow" w:eastAsiaTheme="majorEastAsia" w:hAnsi="Arial Narrow" w:cstheme="majorBidi"/>
                <w:bCs/>
                <w:sz w:val="20"/>
              </w:rPr>
              <w:t>/14</w:t>
            </w:r>
            <w:r w:rsidR="004D4B6E" w:rsidRPr="008E7C4C">
              <w:rPr>
                <w:rFonts w:ascii="Arial Narrow" w:eastAsiaTheme="majorEastAsia" w:hAnsi="Arial Narrow" w:cstheme="majorBidi"/>
                <w:bCs/>
                <w:sz w:val="20"/>
              </w:rPr>
              <w:t>9</w:t>
            </w:r>
            <w:r w:rsidRPr="008E7C4C">
              <w:rPr>
                <w:rFonts w:ascii="Arial Narrow" w:eastAsiaTheme="majorEastAsia" w:hAnsi="Arial Narrow" w:cstheme="majorBidi"/>
                <w:bCs/>
                <w:sz w:val="20"/>
              </w:rPr>
              <w:t>8 (41)</w:t>
            </w:r>
          </w:p>
        </w:tc>
        <w:tc>
          <w:tcPr>
            <w:tcW w:w="787" w:type="pct"/>
            <w:shd w:val="clear" w:color="auto" w:fill="C6D9F1" w:themeFill="text2" w:themeFillTint="33"/>
            <w:tcMar>
              <w:left w:w="28" w:type="dxa"/>
              <w:right w:w="28" w:type="dxa"/>
            </w:tcMar>
            <w:vAlign w:val="center"/>
          </w:tcPr>
          <w:p w14:paraId="4057F07B"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p>
        </w:tc>
        <w:tc>
          <w:tcPr>
            <w:tcW w:w="914" w:type="pct"/>
            <w:vMerge w:val="restart"/>
            <w:shd w:val="clear" w:color="auto" w:fill="C6D9F1" w:themeFill="text2" w:themeFillTint="33"/>
            <w:tcMar>
              <w:left w:w="28" w:type="dxa"/>
              <w:right w:w="28" w:type="dxa"/>
            </w:tcMar>
            <w:vAlign w:val="center"/>
          </w:tcPr>
          <w:p w14:paraId="19A91287" w14:textId="4DBE0511" w:rsidR="00C658A7" w:rsidRPr="008E7C4C" w:rsidRDefault="00C658A7" w:rsidP="006E7769">
            <w:pPr>
              <w:keepNext/>
              <w:jc w:val="center"/>
              <w:rPr>
                <w:rFonts w:ascii="Arial Narrow" w:eastAsiaTheme="majorEastAsia" w:hAnsi="Arial Narrow" w:cstheme="majorBidi"/>
                <w:b/>
                <w:sz w:val="20"/>
              </w:rPr>
            </w:pPr>
            <w:r w:rsidRPr="008E7C4C">
              <w:rPr>
                <w:rFonts w:ascii="Arial Narrow" w:eastAsiaTheme="majorEastAsia" w:hAnsi="Arial Narrow" w:cstheme="majorBidi"/>
                <w:b/>
                <w:bCs/>
                <w:sz w:val="20"/>
              </w:rPr>
              <w:t>0.58 (0.40, 0.8</w:t>
            </w:r>
            <w:r w:rsidR="00764910" w:rsidRPr="008E7C4C">
              <w:rPr>
                <w:rFonts w:ascii="Arial Narrow" w:eastAsiaTheme="majorEastAsia" w:hAnsi="Arial Narrow" w:cstheme="majorBidi"/>
                <w:b/>
                <w:bCs/>
                <w:sz w:val="20"/>
              </w:rPr>
              <w:t>4</w:t>
            </w:r>
            <w:r w:rsidRPr="008E7C4C">
              <w:rPr>
                <w:rFonts w:ascii="Arial Narrow" w:eastAsiaTheme="majorEastAsia" w:hAnsi="Arial Narrow" w:cstheme="majorBidi"/>
                <w:b/>
                <w:bCs/>
                <w:sz w:val="20"/>
              </w:rPr>
              <w:t xml:space="preserve">); </w:t>
            </w:r>
            <w:r w:rsidR="00764910" w:rsidRPr="008E7C4C">
              <w:rPr>
                <w:rFonts w:ascii="Arial Narrow" w:eastAsiaTheme="majorEastAsia" w:hAnsi="Arial Narrow" w:cstheme="majorBidi"/>
                <w:b/>
                <w:bCs/>
                <w:sz w:val="20"/>
              </w:rPr>
              <w:br/>
            </w:r>
            <w:r w:rsidRPr="008E7C4C">
              <w:rPr>
                <w:rFonts w:ascii="Arial Narrow" w:eastAsiaTheme="majorEastAsia" w:hAnsi="Arial Narrow" w:cstheme="majorBidi"/>
                <w:b/>
                <w:bCs/>
                <w:sz w:val="20"/>
              </w:rPr>
              <w:t>p = 0.003</w:t>
            </w:r>
          </w:p>
        </w:tc>
      </w:tr>
      <w:tr w:rsidR="00C658A7" w:rsidRPr="008E7C4C" w14:paraId="665C5D93" w14:textId="77777777" w:rsidTr="00C658A7">
        <w:trPr>
          <w:trHeight w:val="92"/>
        </w:trPr>
        <w:tc>
          <w:tcPr>
            <w:tcW w:w="1569" w:type="pct"/>
            <w:shd w:val="clear" w:color="auto" w:fill="C6D9F1" w:themeFill="text2" w:themeFillTint="33"/>
            <w:tcMar>
              <w:left w:w="28" w:type="dxa"/>
              <w:right w:w="28" w:type="dxa"/>
            </w:tcMar>
            <w:vAlign w:val="center"/>
          </w:tcPr>
          <w:p w14:paraId="43BE6696" w14:textId="6CE7797D"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Median PFS, months (95% CI)</w:t>
            </w:r>
          </w:p>
        </w:tc>
        <w:tc>
          <w:tcPr>
            <w:tcW w:w="865" w:type="pct"/>
            <w:shd w:val="clear" w:color="auto" w:fill="C6D9F1" w:themeFill="text2" w:themeFillTint="33"/>
            <w:tcMar>
              <w:left w:w="28" w:type="dxa"/>
              <w:right w:w="28" w:type="dxa"/>
            </w:tcMar>
            <w:vAlign w:val="center"/>
          </w:tcPr>
          <w:p w14:paraId="7A726088"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NE (16.59; NE)</w:t>
            </w:r>
          </w:p>
        </w:tc>
        <w:tc>
          <w:tcPr>
            <w:tcW w:w="865" w:type="pct"/>
            <w:shd w:val="clear" w:color="auto" w:fill="C6D9F1" w:themeFill="text2" w:themeFillTint="33"/>
            <w:tcMar>
              <w:left w:w="28" w:type="dxa"/>
              <w:right w:w="28" w:type="dxa"/>
            </w:tcMar>
            <w:vAlign w:val="center"/>
          </w:tcPr>
          <w:p w14:paraId="1C0D9563" w14:textId="3D8BD910"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12.9 (10.12; 15.64)</w:t>
            </w:r>
          </w:p>
        </w:tc>
        <w:tc>
          <w:tcPr>
            <w:tcW w:w="787" w:type="pct"/>
            <w:shd w:val="clear" w:color="auto" w:fill="C6D9F1" w:themeFill="text2" w:themeFillTint="33"/>
            <w:tcMar>
              <w:left w:w="28" w:type="dxa"/>
              <w:right w:w="28" w:type="dxa"/>
            </w:tcMar>
            <w:vAlign w:val="center"/>
          </w:tcPr>
          <w:p w14:paraId="5028CA22"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NE</w:t>
            </w:r>
          </w:p>
        </w:tc>
        <w:tc>
          <w:tcPr>
            <w:tcW w:w="914" w:type="pct"/>
            <w:vMerge/>
            <w:shd w:val="clear" w:color="auto" w:fill="C6D9F1" w:themeFill="text2" w:themeFillTint="33"/>
            <w:tcMar>
              <w:left w:w="28" w:type="dxa"/>
              <w:right w:w="28" w:type="dxa"/>
            </w:tcMar>
            <w:vAlign w:val="center"/>
          </w:tcPr>
          <w:p w14:paraId="613FC458" w14:textId="77777777" w:rsidR="00C658A7" w:rsidRPr="008E7C4C" w:rsidRDefault="00C658A7" w:rsidP="006E7769">
            <w:pPr>
              <w:keepNext/>
              <w:jc w:val="center"/>
              <w:rPr>
                <w:rFonts w:ascii="Arial Narrow" w:eastAsiaTheme="majorEastAsia" w:hAnsi="Arial Narrow" w:cstheme="majorBidi"/>
                <w:b/>
                <w:sz w:val="20"/>
              </w:rPr>
            </w:pPr>
          </w:p>
        </w:tc>
      </w:tr>
      <w:tr w:rsidR="00CC25DE" w:rsidRPr="008E7C4C" w14:paraId="083A389D" w14:textId="77777777" w:rsidTr="00C658A7">
        <w:trPr>
          <w:trHeight w:val="9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C6D085" w14:textId="19EC8621" w:rsidR="00CC25DE" w:rsidRPr="008E7C4C" w:rsidRDefault="00CC25DE" w:rsidP="006E7769">
            <w:pPr>
              <w:keepNext/>
              <w:jc w:val="left"/>
              <w:rPr>
                <w:rFonts w:ascii="Arial Narrow" w:eastAsiaTheme="majorEastAsia" w:hAnsi="Arial Narrow" w:cstheme="majorBidi"/>
                <w:b/>
                <w:sz w:val="20"/>
              </w:rPr>
            </w:pPr>
            <w:r w:rsidRPr="008E7C4C">
              <w:rPr>
                <w:rFonts w:ascii="Arial Narrow" w:eastAsiaTheme="majorEastAsia" w:hAnsi="Arial Narrow" w:cstheme="majorBidi"/>
                <w:b/>
                <w:sz w:val="20"/>
              </w:rPr>
              <w:t>PFS (23 months follow-up, IA</w:t>
            </w:r>
            <w:proofErr w:type="gramStart"/>
            <w:r w:rsidRPr="008E7C4C">
              <w:rPr>
                <w:rFonts w:ascii="Arial Narrow" w:eastAsiaTheme="majorEastAsia" w:hAnsi="Arial Narrow" w:cstheme="majorBidi"/>
                <w:b/>
                <w:sz w:val="20"/>
              </w:rPr>
              <w:t>2)</w:t>
            </w:r>
            <w:r w:rsidR="00E10BBE" w:rsidRPr="008E7C4C">
              <w:rPr>
                <w:rFonts w:ascii="Arial Narrow" w:eastAsiaTheme="majorEastAsia" w:hAnsi="Arial Narrow" w:cstheme="majorBidi"/>
                <w:b/>
                <w:sz w:val="20"/>
                <w:vertAlign w:val="superscript"/>
              </w:rPr>
              <w:t>a</w:t>
            </w:r>
            <w:proofErr w:type="gramEnd"/>
          </w:p>
        </w:tc>
      </w:tr>
      <w:tr w:rsidR="007E51A8" w:rsidRPr="008E7C4C" w14:paraId="6D1E0F59" w14:textId="77777777" w:rsidTr="00C658A7">
        <w:trPr>
          <w:trHeight w:val="9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A6C6B" w14:textId="21E24ED2" w:rsidR="007E51A8" w:rsidRPr="008E7C4C" w:rsidRDefault="007E51A8" w:rsidP="006E7769">
            <w:pPr>
              <w:keepNext/>
              <w:jc w:val="left"/>
              <w:rPr>
                <w:rFonts w:ascii="Arial Narrow" w:eastAsiaTheme="majorEastAsia" w:hAnsi="Arial Narrow" w:cstheme="majorBidi"/>
                <w:b/>
                <w:sz w:val="20"/>
              </w:rPr>
            </w:pPr>
            <w:r w:rsidRPr="008E7C4C">
              <w:rPr>
                <w:rFonts w:ascii="Arial Narrow" w:eastAsiaTheme="majorEastAsia" w:hAnsi="Arial Narrow" w:cstheme="majorBidi"/>
                <w:b/>
                <w:sz w:val="20"/>
              </w:rPr>
              <w:t>1 prior line of therapy</w:t>
            </w:r>
          </w:p>
        </w:tc>
      </w:tr>
      <w:tr w:rsidR="00C658A7" w:rsidRPr="008E7C4C" w14:paraId="13266010" w14:textId="77777777" w:rsidTr="00C658A7">
        <w:trPr>
          <w:trHeight w:val="92"/>
        </w:trPr>
        <w:tc>
          <w:tcPr>
            <w:tcW w:w="15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9A9EA6" w14:textId="33750412"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Progressed, n/N (%)</w:t>
            </w:r>
          </w:p>
        </w:tc>
        <w:tc>
          <w:tcPr>
            <w:tcW w:w="8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C52850" w14:textId="77777777" w:rsidR="00C658A7" w:rsidRPr="008E7C4C" w:rsidRDefault="00C658A7" w:rsidP="006E7769">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100/212 (47)</w:t>
            </w:r>
          </w:p>
        </w:tc>
        <w:tc>
          <w:tcPr>
            <w:tcW w:w="8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A84F05" w14:textId="77777777" w:rsidR="00C658A7" w:rsidRPr="008E7C4C" w:rsidRDefault="00C658A7" w:rsidP="006E7769">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106/213 (50)</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EC3102" w14:textId="7C05EB6F"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3</w:t>
            </w:r>
          </w:p>
        </w:tc>
        <w:tc>
          <w:tcPr>
            <w:tcW w:w="914"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4CE2321" w14:textId="3A5E2769" w:rsidR="00C658A7" w:rsidRPr="008E7C4C" w:rsidRDefault="00C658A7" w:rsidP="006E7769">
            <w:pPr>
              <w:keepNext/>
              <w:jc w:val="center"/>
              <w:rPr>
                <w:rFonts w:ascii="Arial Narrow" w:eastAsiaTheme="majorEastAsia" w:hAnsi="Arial Narrow" w:cstheme="majorBidi"/>
                <w:sz w:val="20"/>
              </w:rPr>
            </w:pPr>
            <w:r w:rsidRPr="008E7C4C">
              <w:rPr>
                <w:rFonts w:ascii="Arial Narrow" w:eastAsiaTheme="majorEastAsia" w:hAnsi="Arial Narrow" w:cstheme="majorBidi"/>
                <w:sz w:val="20"/>
              </w:rPr>
              <w:t>0.9</w:t>
            </w:r>
            <w:r w:rsidR="00764910" w:rsidRPr="008E7C4C">
              <w:rPr>
                <w:rFonts w:ascii="Arial Narrow" w:eastAsiaTheme="majorEastAsia" w:hAnsi="Arial Narrow" w:cstheme="majorBidi"/>
                <w:sz w:val="20"/>
              </w:rPr>
              <w:t>9</w:t>
            </w:r>
            <w:r w:rsidRPr="008E7C4C">
              <w:rPr>
                <w:rFonts w:ascii="Arial Narrow" w:eastAsiaTheme="majorEastAsia" w:hAnsi="Arial Narrow" w:cstheme="majorBidi"/>
                <w:sz w:val="20"/>
              </w:rPr>
              <w:t xml:space="preserve"> (0.7</w:t>
            </w:r>
            <w:r w:rsidR="00764910" w:rsidRPr="008E7C4C">
              <w:rPr>
                <w:rFonts w:ascii="Arial Narrow" w:eastAsiaTheme="majorEastAsia" w:hAnsi="Arial Narrow" w:cstheme="majorBidi"/>
                <w:sz w:val="20"/>
              </w:rPr>
              <w:t>6</w:t>
            </w:r>
            <w:r w:rsidRPr="008E7C4C">
              <w:rPr>
                <w:rFonts w:ascii="Arial Narrow" w:eastAsiaTheme="majorEastAsia" w:hAnsi="Arial Narrow" w:cstheme="majorBidi"/>
                <w:sz w:val="20"/>
              </w:rPr>
              <w:t>, 1.2</w:t>
            </w:r>
            <w:r w:rsidR="00764910" w:rsidRPr="008E7C4C">
              <w:rPr>
                <w:rFonts w:ascii="Arial Narrow" w:eastAsiaTheme="majorEastAsia" w:hAnsi="Arial Narrow" w:cstheme="majorBidi"/>
                <w:sz w:val="20"/>
              </w:rPr>
              <w:t>9</w:t>
            </w:r>
            <w:r w:rsidRPr="008E7C4C">
              <w:rPr>
                <w:rFonts w:ascii="Arial Narrow" w:eastAsiaTheme="majorEastAsia" w:hAnsi="Arial Narrow" w:cstheme="majorBidi"/>
                <w:sz w:val="20"/>
              </w:rPr>
              <w:t xml:space="preserve">); </w:t>
            </w:r>
            <w:r w:rsidR="00764910" w:rsidRPr="008E7C4C">
              <w:rPr>
                <w:rFonts w:ascii="Arial Narrow" w:eastAsiaTheme="majorEastAsia" w:hAnsi="Arial Narrow" w:cstheme="majorBidi"/>
                <w:sz w:val="20"/>
              </w:rPr>
              <w:br/>
            </w:r>
            <w:r w:rsidRPr="008E7C4C">
              <w:rPr>
                <w:rFonts w:ascii="Arial Narrow" w:eastAsiaTheme="majorEastAsia" w:hAnsi="Arial Narrow" w:cstheme="majorBidi"/>
                <w:sz w:val="20"/>
              </w:rPr>
              <w:t>p = NA</w:t>
            </w:r>
          </w:p>
        </w:tc>
      </w:tr>
      <w:tr w:rsidR="00C658A7" w:rsidRPr="008E7C4C" w14:paraId="76F9698F" w14:textId="77777777" w:rsidTr="00C658A7">
        <w:trPr>
          <w:trHeight w:val="190"/>
        </w:trPr>
        <w:tc>
          <w:tcPr>
            <w:tcW w:w="1569"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42400CB2" w14:textId="08A88292"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Median PFS, months (95% CI)</w:t>
            </w:r>
          </w:p>
        </w:tc>
        <w:tc>
          <w:tcPr>
            <w:tcW w:w="865"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2E33DC10" w14:textId="77777777" w:rsidR="00C658A7" w:rsidRPr="008E7C4C" w:rsidRDefault="00C658A7" w:rsidP="006E7769">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18.7 (15.67, 25.82)</w:t>
            </w:r>
          </w:p>
        </w:tc>
        <w:tc>
          <w:tcPr>
            <w:tcW w:w="865"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62620E8F" w14:textId="39132177" w:rsidR="00C658A7" w:rsidRPr="008E7C4C" w:rsidRDefault="00C658A7" w:rsidP="006E7769">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17.6 (14.72, 22.44)</w:t>
            </w:r>
          </w:p>
        </w:tc>
        <w:tc>
          <w:tcPr>
            <w:tcW w:w="787"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66D57EAE"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1.1</w:t>
            </w:r>
          </w:p>
        </w:tc>
        <w:tc>
          <w:tcPr>
            <w:tcW w:w="914" w:type="pct"/>
            <w:vMerge/>
            <w:tcBorders>
              <w:left w:val="single" w:sz="4" w:space="0" w:color="auto"/>
              <w:right w:val="single" w:sz="4" w:space="0" w:color="auto"/>
            </w:tcBorders>
            <w:shd w:val="clear" w:color="auto" w:fill="auto"/>
            <w:tcMar>
              <w:left w:w="28" w:type="dxa"/>
              <w:right w:w="28" w:type="dxa"/>
            </w:tcMar>
            <w:vAlign w:val="center"/>
          </w:tcPr>
          <w:p w14:paraId="200EE87B" w14:textId="77777777" w:rsidR="00C658A7" w:rsidRPr="008E7C4C" w:rsidRDefault="00C658A7" w:rsidP="006E7769">
            <w:pPr>
              <w:keepNext/>
              <w:jc w:val="center"/>
              <w:rPr>
                <w:rFonts w:ascii="Arial Narrow" w:eastAsiaTheme="majorEastAsia" w:hAnsi="Arial Narrow" w:cstheme="majorBidi"/>
                <w:sz w:val="20"/>
              </w:rPr>
            </w:pPr>
          </w:p>
        </w:tc>
      </w:tr>
      <w:tr w:rsidR="009A188C" w:rsidRPr="008E7C4C" w14:paraId="726CDD16" w14:textId="77777777" w:rsidTr="00C658A7">
        <w:trPr>
          <w:trHeight w:val="9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3799A" w14:textId="4D4E0F54" w:rsidR="009A188C" w:rsidRPr="008E7C4C" w:rsidRDefault="009A188C" w:rsidP="006E7769">
            <w:pPr>
              <w:keepNext/>
              <w:jc w:val="left"/>
              <w:rPr>
                <w:rFonts w:ascii="Arial Narrow" w:eastAsiaTheme="majorEastAsia" w:hAnsi="Arial Narrow" w:cstheme="majorBidi"/>
                <w:b/>
                <w:sz w:val="20"/>
              </w:rPr>
            </w:pPr>
            <w:r w:rsidRPr="008E7C4C">
              <w:rPr>
                <w:rFonts w:ascii="Arial Narrow" w:eastAsiaTheme="majorEastAsia" w:hAnsi="Arial Narrow" w:cstheme="majorBidi"/>
                <w:b/>
                <w:sz w:val="20"/>
              </w:rPr>
              <w:t>2-3 prior lines of therapy</w:t>
            </w:r>
            <w:r w:rsidR="009F1A85" w:rsidRPr="008E7C4C">
              <w:rPr>
                <w:rFonts w:ascii="Arial Narrow" w:eastAsiaTheme="majorEastAsia" w:hAnsi="Arial Narrow" w:cstheme="majorBidi"/>
                <w:b/>
                <w:sz w:val="20"/>
              </w:rPr>
              <w:t xml:space="preserve"> </w:t>
            </w:r>
          </w:p>
        </w:tc>
      </w:tr>
      <w:tr w:rsidR="00C658A7" w:rsidRPr="008E7C4C" w14:paraId="22B1FC43" w14:textId="77777777" w:rsidTr="00C658A7">
        <w:trPr>
          <w:trHeight w:val="92"/>
        </w:trPr>
        <w:tc>
          <w:tcPr>
            <w:tcW w:w="15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6A9485" w14:textId="7B78D51A"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Progressed, n/N (%)</w:t>
            </w:r>
          </w:p>
        </w:tc>
        <w:tc>
          <w:tcPr>
            <w:tcW w:w="8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09226" w14:textId="77777777" w:rsidR="00C658A7" w:rsidRPr="008E7C4C" w:rsidRDefault="00C658A7" w:rsidP="006E7769">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58/148 (39)</w:t>
            </w:r>
          </w:p>
        </w:tc>
        <w:tc>
          <w:tcPr>
            <w:tcW w:w="8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83A1DC" w14:textId="77777777" w:rsidR="00C658A7" w:rsidRPr="008E7C4C" w:rsidRDefault="00C658A7" w:rsidP="006E7769">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74/149 (50)</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537AF"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11</w:t>
            </w:r>
          </w:p>
        </w:tc>
        <w:tc>
          <w:tcPr>
            <w:tcW w:w="914"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CD06B52" w14:textId="65E6D332" w:rsidR="00C658A7" w:rsidRPr="008E7C4C" w:rsidRDefault="00C658A7" w:rsidP="006E7769">
            <w:pPr>
              <w:keepNext/>
              <w:jc w:val="center"/>
              <w:rPr>
                <w:rFonts w:ascii="Arial Narrow" w:eastAsiaTheme="majorEastAsia" w:hAnsi="Arial Narrow" w:cstheme="majorBidi"/>
                <w:sz w:val="20"/>
              </w:rPr>
            </w:pPr>
            <w:r w:rsidRPr="008E7C4C">
              <w:rPr>
                <w:rFonts w:ascii="Arial Narrow" w:eastAsiaTheme="majorEastAsia" w:hAnsi="Arial Narrow" w:cstheme="majorBidi"/>
                <w:sz w:val="20"/>
              </w:rPr>
              <w:t>0.6</w:t>
            </w:r>
            <w:r w:rsidR="00764910" w:rsidRPr="008E7C4C">
              <w:rPr>
                <w:rFonts w:ascii="Arial Narrow" w:eastAsiaTheme="majorEastAsia" w:hAnsi="Arial Narrow" w:cstheme="majorBidi"/>
                <w:sz w:val="20"/>
              </w:rPr>
              <w:t>2</w:t>
            </w:r>
            <w:r w:rsidRPr="008E7C4C">
              <w:rPr>
                <w:rFonts w:ascii="Arial Narrow" w:eastAsiaTheme="majorEastAsia" w:hAnsi="Arial Narrow" w:cstheme="majorBidi"/>
                <w:sz w:val="20"/>
              </w:rPr>
              <w:t xml:space="preserve"> (0.45, 0.8</w:t>
            </w:r>
            <w:r w:rsidR="00764910" w:rsidRPr="008E7C4C">
              <w:rPr>
                <w:rFonts w:ascii="Arial Narrow" w:eastAsiaTheme="majorEastAsia" w:hAnsi="Arial Narrow" w:cstheme="majorBidi"/>
                <w:sz w:val="20"/>
              </w:rPr>
              <w:t>6</w:t>
            </w:r>
            <w:r w:rsidRPr="008E7C4C">
              <w:rPr>
                <w:rFonts w:ascii="Arial Narrow" w:eastAsiaTheme="majorEastAsia" w:hAnsi="Arial Narrow" w:cstheme="majorBidi"/>
                <w:sz w:val="20"/>
              </w:rPr>
              <w:t xml:space="preserve">); </w:t>
            </w:r>
            <w:r w:rsidR="00764910" w:rsidRPr="008E7C4C">
              <w:rPr>
                <w:rFonts w:ascii="Arial Narrow" w:eastAsiaTheme="majorEastAsia" w:hAnsi="Arial Narrow" w:cstheme="majorBidi"/>
                <w:sz w:val="20"/>
              </w:rPr>
              <w:br/>
            </w:r>
            <w:r w:rsidRPr="008E7C4C">
              <w:rPr>
                <w:rFonts w:ascii="Arial Narrow" w:eastAsiaTheme="majorEastAsia" w:hAnsi="Arial Narrow" w:cstheme="majorBidi"/>
                <w:sz w:val="20"/>
              </w:rPr>
              <w:t>p = NA</w:t>
            </w:r>
          </w:p>
        </w:tc>
      </w:tr>
      <w:tr w:rsidR="00C658A7" w:rsidRPr="008E7C4C" w14:paraId="51F1F95A" w14:textId="77777777" w:rsidTr="00C658A7">
        <w:trPr>
          <w:trHeight w:val="185"/>
        </w:trPr>
        <w:tc>
          <w:tcPr>
            <w:tcW w:w="1569"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21275728" w14:textId="349F036A"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Median PFS, months (95% CI)</w:t>
            </w:r>
          </w:p>
        </w:tc>
        <w:tc>
          <w:tcPr>
            <w:tcW w:w="865"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7D475193" w14:textId="77777777" w:rsidR="00C658A7" w:rsidRPr="008E7C4C" w:rsidRDefault="00C658A7" w:rsidP="006E7769">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22.0 (18.43, 29.44)</w:t>
            </w:r>
          </w:p>
        </w:tc>
        <w:tc>
          <w:tcPr>
            <w:tcW w:w="865"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34116F83" w14:textId="77777777" w:rsidR="00C658A7" w:rsidRPr="008E7C4C" w:rsidRDefault="00C658A7" w:rsidP="006E7769">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13.0 (10.15, 18.27)</w:t>
            </w:r>
          </w:p>
        </w:tc>
        <w:tc>
          <w:tcPr>
            <w:tcW w:w="787"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1BEFB8DA"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9.0</w:t>
            </w:r>
          </w:p>
        </w:tc>
        <w:tc>
          <w:tcPr>
            <w:tcW w:w="914" w:type="pct"/>
            <w:vMerge/>
            <w:tcBorders>
              <w:left w:val="single" w:sz="4" w:space="0" w:color="auto"/>
              <w:right w:val="single" w:sz="4" w:space="0" w:color="auto"/>
            </w:tcBorders>
            <w:shd w:val="clear" w:color="auto" w:fill="auto"/>
            <w:tcMar>
              <w:left w:w="28" w:type="dxa"/>
              <w:right w:w="28" w:type="dxa"/>
            </w:tcMar>
            <w:vAlign w:val="center"/>
          </w:tcPr>
          <w:p w14:paraId="6B5FB6BA" w14:textId="77777777" w:rsidR="00C658A7" w:rsidRPr="008E7C4C" w:rsidRDefault="00C658A7" w:rsidP="006E7769">
            <w:pPr>
              <w:keepNext/>
              <w:jc w:val="center"/>
              <w:rPr>
                <w:rFonts w:ascii="Arial Narrow" w:eastAsiaTheme="majorEastAsia" w:hAnsi="Arial Narrow" w:cstheme="majorBidi"/>
                <w:sz w:val="20"/>
              </w:rPr>
            </w:pPr>
          </w:p>
        </w:tc>
      </w:tr>
      <w:tr w:rsidR="00C658A7" w:rsidRPr="008E7C4C" w14:paraId="08AD8494" w14:textId="77777777" w:rsidTr="00C658A7">
        <w:trPr>
          <w:trHeight w:val="138"/>
        </w:trPr>
        <w:tc>
          <w:tcPr>
            <w:tcW w:w="4086" w:type="pct"/>
            <w:gridSpan w:val="4"/>
            <w:shd w:val="clear" w:color="auto" w:fill="C6D9F1" w:themeFill="text2" w:themeFillTint="33"/>
            <w:tcMar>
              <w:left w:w="28" w:type="dxa"/>
              <w:right w:w="28" w:type="dxa"/>
            </w:tcMar>
            <w:vAlign w:val="center"/>
          </w:tcPr>
          <w:p w14:paraId="4AF7CE3B" w14:textId="77777777" w:rsidR="00C658A7" w:rsidRPr="008E7C4C" w:rsidRDefault="00C658A7" w:rsidP="006E7769">
            <w:pPr>
              <w:keepNext/>
              <w:jc w:val="left"/>
              <w:rPr>
                <w:rFonts w:ascii="Arial Narrow" w:eastAsiaTheme="majorEastAsia" w:hAnsi="Arial Narrow" w:cstheme="majorBidi"/>
                <w:b/>
                <w:sz w:val="20"/>
              </w:rPr>
            </w:pPr>
            <w:r w:rsidRPr="008E7C4C">
              <w:rPr>
                <w:rFonts w:ascii="Arial Narrow" w:eastAsiaTheme="majorEastAsia" w:hAnsi="Arial Narrow" w:cstheme="majorBidi"/>
                <w:b/>
                <w:sz w:val="20"/>
              </w:rPr>
              <w:t>ORR (23 months follow-up)</w:t>
            </w:r>
          </w:p>
        </w:tc>
        <w:tc>
          <w:tcPr>
            <w:tcW w:w="914" w:type="pct"/>
            <w:shd w:val="clear" w:color="auto" w:fill="C6D9F1" w:themeFill="text2" w:themeFillTint="33"/>
            <w:tcMar>
              <w:left w:w="28" w:type="dxa"/>
              <w:right w:w="28" w:type="dxa"/>
            </w:tcMar>
            <w:vAlign w:val="center"/>
          </w:tcPr>
          <w:p w14:paraId="2DC56481" w14:textId="1B095B68" w:rsidR="00C658A7" w:rsidRPr="008E7C4C" w:rsidRDefault="00C658A7" w:rsidP="006E7769">
            <w:pPr>
              <w:keepNext/>
              <w:jc w:val="center"/>
              <w:rPr>
                <w:rFonts w:ascii="Arial Narrow" w:eastAsiaTheme="majorEastAsia" w:hAnsi="Arial Narrow" w:cstheme="majorBidi"/>
                <w:b/>
                <w:sz w:val="20"/>
              </w:rPr>
            </w:pPr>
            <w:r w:rsidRPr="008E7C4C">
              <w:rPr>
                <w:rFonts w:ascii="Arial Narrow" w:eastAsiaTheme="majorEastAsia" w:hAnsi="Arial Narrow" w:cstheme="majorBidi"/>
                <w:b/>
                <w:sz w:val="20"/>
              </w:rPr>
              <w:t xml:space="preserve">OR (95% CI); </w:t>
            </w:r>
            <w:r w:rsidRPr="008E7C4C">
              <w:rPr>
                <w:rFonts w:ascii="Arial Narrow" w:eastAsiaTheme="majorEastAsia" w:hAnsi="Arial Narrow" w:cstheme="majorBidi"/>
                <w:b/>
                <w:sz w:val="20"/>
              </w:rPr>
              <w:br/>
              <w:t>p-value</w:t>
            </w:r>
          </w:p>
        </w:tc>
      </w:tr>
      <w:tr w:rsidR="00E10BBE" w:rsidRPr="008E7C4C" w14:paraId="0CBB6779" w14:textId="77777777" w:rsidTr="00C658A7">
        <w:trPr>
          <w:trHeight w:val="138"/>
        </w:trPr>
        <w:tc>
          <w:tcPr>
            <w:tcW w:w="5000" w:type="pct"/>
            <w:gridSpan w:val="5"/>
            <w:shd w:val="clear" w:color="auto" w:fill="C6D9F1" w:themeFill="text2" w:themeFillTint="33"/>
            <w:tcMar>
              <w:left w:w="28" w:type="dxa"/>
              <w:right w:w="28" w:type="dxa"/>
            </w:tcMar>
            <w:vAlign w:val="center"/>
          </w:tcPr>
          <w:p w14:paraId="03C3E1D5" w14:textId="77777777" w:rsidR="00E10BBE" w:rsidRPr="008E7C4C" w:rsidRDefault="00E10BBE" w:rsidP="006E7769">
            <w:pPr>
              <w:keepNext/>
              <w:jc w:val="left"/>
              <w:rPr>
                <w:rFonts w:ascii="Arial Narrow" w:eastAsiaTheme="majorEastAsia" w:hAnsi="Arial Narrow" w:cstheme="majorBidi"/>
                <w:b/>
                <w:sz w:val="20"/>
              </w:rPr>
            </w:pPr>
            <w:r w:rsidRPr="008E7C4C">
              <w:rPr>
                <w:rFonts w:ascii="Arial Narrow" w:eastAsiaTheme="majorEastAsia" w:hAnsi="Arial Narrow" w:cstheme="majorBidi"/>
                <w:b/>
                <w:sz w:val="20"/>
              </w:rPr>
              <w:t>1 prior line therapy (complement of subgroup)</w:t>
            </w:r>
          </w:p>
        </w:tc>
      </w:tr>
      <w:tr w:rsidR="00C658A7" w:rsidRPr="008E7C4C" w14:paraId="0631D23D" w14:textId="77777777" w:rsidTr="00C658A7">
        <w:trPr>
          <w:trHeight w:val="138"/>
        </w:trPr>
        <w:tc>
          <w:tcPr>
            <w:tcW w:w="1569" w:type="pct"/>
            <w:shd w:val="clear" w:color="auto" w:fill="C6D9F1" w:themeFill="text2" w:themeFillTint="33"/>
            <w:tcMar>
              <w:left w:w="28" w:type="dxa"/>
              <w:right w:w="28" w:type="dxa"/>
            </w:tcMar>
            <w:vAlign w:val="center"/>
          </w:tcPr>
          <w:p w14:paraId="0C7D3E30" w14:textId="0FC86AEA"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Overall response, n/N</w:t>
            </w:r>
          </w:p>
        </w:tc>
        <w:tc>
          <w:tcPr>
            <w:tcW w:w="865" w:type="pct"/>
            <w:shd w:val="clear" w:color="auto" w:fill="C6D9F1" w:themeFill="text2" w:themeFillTint="33"/>
            <w:tcMar>
              <w:left w:w="28" w:type="dxa"/>
              <w:right w:w="28" w:type="dxa"/>
            </w:tcMar>
          </w:tcPr>
          <w:p w14:paraId="3BC777E0"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164/212</w:t>
            </w:r>
          </w:p>
        </w:tc>
        <w:tc>
          <w:tcPr>
            <w:tcW w:w="865" w:type="pct"/>
            <w:shd w:val="clear" w:color="auto" w:fill="C6D9F1" w:themeFill="text2" w:themeFillTint="33"/>
            <w:tcMar>
              <w:left w:w="28" w:type="dxa"/>
              <w:right w:w="28" w:type="dxa"/>
            </w:tcMar>
          </w:tcPr>
          <w:p w14:paraId="6E4EAE4E"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166/213</w:t>
            </w:r>
          </w:p>
        </w:tc>
        <w:tc>
          <w:tcPr>
            <w:tcW w:w="787" w:type="pct"/>
            <w:shd w:val="clear" w:color="auto" w:fill="C6D9F1" w:themeFill="text2" w:themeFillTint="33"/>
            <w:tcMar>
              <w:left w:w="28" w:type="dxa"/>
              <w:right w:w="28" w:type="dxa"/>
            </w:tcMar>
            <w:vAlign w:val="center"/>
          </w:tcPr>
          <w:p w14:paraId="5B81CFAF"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p>
        </w:tc>
        <w:tc>
          <w:tcPr>
            <w:tcW w:w="914" w:type="pct"/>
            <w:vMerge w:val="restart"/>
            <w:shd w:val="clear" w:color="auto" w:fill="C6D9F1" w:themeFill="text2" w:themeFillTint="33"/>
            <w:tcMar>
              <w:left w:w="28" w:type="dxa"/>
              <w:right w:w="28" w:type="dxa"/>
            </w:tcMar>
            <w:vAlign w:val="center"/>
          </w:tcPr>
          <w:p w14:paraId="671E0850" w14:textId="0F2C5E2E"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0.97 (0.61, 1.53); </w:t>
            </w:r>
            <w:r w:rsidRPr="008E7C4C">
              <w:rPr>
                <w:rFonts w:ascii="Arial Narrow" w:eastAsiaTheme="majorEastAsia" w:hAnsi="Arial Narrow" w:cstheme="majorBidi"/>
                <w:bCs/>
                <w:sz w:val="20"/>
              </w:rPr>
              <w:br/>
              <w:t xml:space="preserve">p = 0.886  </w:t>
            </w:r>
          </w:p>
        </w:tc>
      </w:tr>
      <w:tr w:rsidR="00C658A7" w:rsidRPr="008E7C4C" w14:paraId="364FAECA" w14:textId="77777777" w:rsidTr="00C658A7">
        <w:trPr>
          <w:trHeight w:val="138"/>
        </w:trPr>
        <w:tc>
          <w:tcPr>
            <w:tcW w:w="1569" w:type="pct"/>
            <w:shd w:val="clear" w:color="auto" w:fill="C6D9F1" w:themeFill="text2" w:themeFillTint="33"/>
            <w:tcMar>
              <w:left w:w="28" w:type="dxa"/>
              <w:right w:w="28" w:type="dxa"/>
            </w:tcMar>
            <w:vAlign w:val="center"/>
          </w:tcPr>
          <w:p w14:paraId="405B1439" w14:textId="77777777"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(95% CI)</w:t>
            </w:r>
          </w:p>
        </w:tc>
        <w:tc>
          <w:tcPr>
            <w:tcW w:w="865" w:type="pct"/>
            <w:shd w:val="clear" w:color="auto" w:fill="C6D9F1" w:themeFill="text2" w:themeFillTint="33"/>
            <w:tcMar>
              <w:left w:w="28" w:type="dxa"/>
              <w:right w:w="28" w:type="dxa"/>
            </w:tcMar>
          </w:tcPr>
          <w:p w14:paraId="0123B30A"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77.4 (71.1, 82.8)</w:t>
            </w:r>
          </w:p>
        </w:tc>
        <w:tc>
          <w:tcPr>
            <w:tcW w:w="865" w:type="pct"/>
            <w:shd w:val="clear" w:color="auto" w:fill="C6D9F1" w:themeFill="text2" w:themeFillTint="33"/>
            <w:tcMar>
              <w:left w:w="28" w:type="dxa"/>
              <w:right w:w="28" w:type="dxa"/>
            </w:tcMar>
          </w:tcPr>
          <w:p w14:paraId="5198426D"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77.9 (71.8, 83.3)</w:t>
            </w:r>
          </w:p>
        </w:tc>
        <w:tc>
          <w:tcPr>
            <w:tcW w:w="787" w:type="pct"/>
            <w:shd w:val="clear" w:color="auto" w:fill="C6D9F1" w:themeFill="text2" w:themeFillTint="33"/>
            <w:tcMar>
              <w:left w:w="28" w:type="dxa"/>
              <w:right w:w="28" w:type="dxa"/>
            </w:tcMar>
            <w:vAlign w:val="center"/>
          </w:tcPr>
          <w:p w14:paraId="5939277D"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p>
        </w:tc>
        <w:tc>
          <w:tcPr>
            <w:tcW w:w="914" w:type="pct"/>
            <w:vMerge/>
            <w:shd w:val="clear" w:color="auto" w:fill="C6D9F1" w:themeFill="text2" w:themeFillTint="33"/>
            <w:tcMar>
              <w:left w:w="28" w:type="dxa"/>
              <w:right w:w="28" w:type="dxa"/>
            </w:tcMar>
            <w:vAlign w:val="center"/>
          </w:tcPr>
          <w:p w14:paraId="006ED0DF" w14:textId="77777777" w:rsidR="00C658A7" w:rsidRPr="008E7C4C" w:rsidRDefault="00C658A7" w:rsidP="006E7769">
            <w:pPr>
              <w:keepNext/>
              <w:jc w:val="center"/>
              <w:rPr>
                <w:rFonts w:ascii="Arial Narrow" w:eastAsiaTheme="majorEastAsia" w:hAnsi="Arial Narrow" w:cstheme="majorBidi"/>
                <w:bCs/>
                <w:sz w:val="20"/>
              </w:rPr>
            </w:pPr>
          </w:p>
        </w:tc>
      </w:tr>
      <w:tr w:rsidR="00E10BBE" w:rsidRPr="008E7C4C" w14:paraId="294CA2C4" w14:textId="77777777" w:rsidTr="00C658A7">
        <w:trPr>
          <w:trHeight w:val="138"/>
        </w:trPr>
        <w:tc>
          <w:tcPr>
            <w:tcW w:w="5000" w:type="pct"/>
            <w:gridSpan w:val="5"/>
            <w:shd w:val="clear" w:color="auto" w:fill="C6D9F1" w:themeFill="text2" w:themeFillTint="33"/>
            <w:tcMar>
              <w:left w:w="28" w:type="dxa"/>
              <w:right w:w="28" w:type="dxa"/>
            </w:tcMar>
            <w:vAlign w:val="center"/>
          </w:tcPr>
          <w:p w14:paraId="29F14E11" w14:textId="77777777" w:rsidR="00E10BBE" w:rsidRPr="008E7C4C" w:rsidRDefault="00E10BBE" w:rsidP="006E7769">
            <w:pPr>
              <w:keepNext/>
              <w:jc w:val="left"/>
              <w:rPr>
                <w:rFonts w:ascii="Arial Narrow" w:eastAsiaTheme="majorEastAsia" w:hAnsi="Arial Narrow" w:cstheme="majorBidi"/>
                <w:b/>
                <w:sz w:val="20"/>
              </w:rPr>
            </w:pPr>
            <w:r w:rsidRPr="008E7C4C">
              <w:rPr>
                <w:rFonts w:ascii="Arial Narrow" w:eastAsiaTheme="majorEastAsia" w:hAnsi="Arial Narrow" w:cstheme="majorBidi"/>
                <w:b/>
                <w:sz w:val="20"/>
              </w:rPr>
              <w:t>2-3 prior lines of therapy</w:t>
            </w:r>
          </w:p>
        </w:tc>
      </w:tr>
      <w:tr w:rsidR="00C658A7" w:rsidRPr="008E7C4C" w14:paraId="419E32A6" w14:textId="77777777" w:rsidTr="00C658A7">
        <w:trPr>
          <w:trHeight w:val="138"/>
        </w:trPr>
        <w:tc>
          <w:tcPr>
            <w:tcW w:w="1569" w:type="pct"/>
            <w:shd w:val="clear" w:color="auto" w:fill="C6D9F1" w:themeFill="text2" w:themeFillTint="33"/>
            <w:tcMar>
              <w:left w:w="28" w:type="dxa"/>
              <w:right w:w="28" w:type="dxa"/>
            </w:tcMar>
            <w:vAlign w:val="center"/>
          </w:tcPr>
          <w:p w14:paraId="7C0D02B4" w14:textId="4603ADFA"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Overall response, n/N</w:t>
            </w:r>
          </w:p>
        </w:tc>
        <w:tc>
          <w:tcPr>
            <w:tcW w:w="865" w:type="pct"/>
            <w:shd w:val="clear" w:color="auto" w:fill="C6D9F1" w:themeFill="text2" w:themeFillTint="33"/>
            <w:tcMar>
              <w:left w:w="28" w:type="dxa"/>
              <w:right w:w="28" w:type="dxa"/>
            </w:tcMar>
          </w:tcPr>
          <w:p w14:paraId="1A2DBADD"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119/148</w:t>
            </w:r>
          </w:p>
        </w:tc>
        <w:tc>
          <w:tcPr>
            <w:tcW w:w="865" w:type="pct"/>
            <w:shd w:val="clear" w:color="auto" w:fill="C6D9F1" w:themeFill="text2" w:themeFillTint="33"/>
            <w:tcMar>
              <w:left w:w="28" w:type="dxa"/>
              <w:right w:w="28" w:type="dxa"/>
            </w:tcMar>
          </w:tcPr>
          <w:p w14:paraId="67667358"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99/149</w:t>
            </w:r>
          </w:p>
        </w:tc>
        <w:tc>
          <w:tcPr>
            <w:tcW w:w="787" w:type="pct"/>
            <w:shd w:val="clear" w:color="auto" w:fill="C6D9F1" w:themeFill="text2" w:themeFillTint="33"/>
            <w:tcMar>
              <w:left w:w="28" w:type="dxa"/>
              <w:right w:w="28" w:type="dxa"/>
            </w:tcMar>
            <w:vAlign w:val="center"/>
          </w:tcPr>
          <w:p w14:paraId="6063E69C"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p>
        </w:tc>
        <w:tc>
          <w:tcPr>
            <w:tcW w:w="914" w:type="pct"/>
            <w:vMerge w:val="restart"/>
            <w:shd w:val="clear" w:color="auto" w:fill="C6D9F1" w:themeFill="text2" w:themeFillTint="33"/>
            <w:tcMar>
              <w:left w:w="28" w:type="dxa"/>
              <w:right w:w="28" w:type="dxa"/>
            </w:tcMar>
            <w:vAlign w:val="center"/>
          </w:tcPr>
          <w:p w14:paraId="64D7B095" w14:textId="3425B951"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
                <w:sz w:val="20"/>
              </w:rPr>
              <w:t xml:space="preserve">2.09 (1.23, 3.56); </w:t>
            </w:r>
            <w:r w:rsidRPr="008E7C4C">
              <w:rPr>
                <w:rFonts w:ascii="Arial Narrow" w:eastAsiaTheme="majorEastAsia" w:hAnsi="Arial Narrow" w:cstheme="majorBidi"/>
                <w:b/>
                <w:sz w:val="20"/>
              </w:rPr>
              <w:br/>
              <w:t>p = 0.006</w:t>
            </w:r>
          </w:p>
        </w:tc>
      </w:tr>
      <w:tr w:rsidR="00C658A7" w:rsidRPr="008E7C4C" w14:paraId="2EB250C4" w14:textId="77777777" w:rsidTr="00C658A7">
        <w:trPr>
          <w:trHeight w:val="138"/>
        </w:trPr>
        <w:tc>
          <w:tcPr>
            <w:tcW w:w="1569" w:type="pct"/>
            <w:shd w:val="clear" w:color="auto" w:fill="C6D9F1" w:themeFill="text2" w:themeFillTint="33"/>
            <w:tcMar>
              <w:left w:w="28" w:type="dxa"/>
              <w:right w:w="28" w:type="dxa"/>
            </w:tcMar>
            <w:vAlign w:val="center"/>
          </w:tcPr>
          <w:p w14:paraId="6D09E112" w14:textId="77777777" w:rsidR="00C658A7" w:rsidRPr="008E7C4C" w:rsidRDefault="00C658A7" w:rsidP="006E7769">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(95% CI)</w:t>
            </w:r>
          </w:p>
        </w:tc>
        <w:tc>
          <w:tcPr>
            <w:tcW w:w="865" w:type="pct"/>
            <w:shd w:val="clear" w:color="auto" w:fill="C6D9F1" w:themeFill="text2" w:themeFillTint="33"/>
            <w:tcMar>
              <w:left w:w="28" w:type="dxa"/>
              <w:right w:w="28" w:type="dxa"/>
            </w:tcMar>
          </w:tcPr>
          <w:p w14:paraId="2F0C566B"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80.4 (73.1, 86.5)</w:t>
            </w:r>
          </w:p>
        </w:tc>
        <w:tc>
          <w:tcPr>
            <w:tcW w:w="865" w:type="pct"/>
            <w:shd w:val="clear" w:color="auto" w:fill="C6D9F1" w:themeFill="text2" w:themeFillTint="33"/>
            <w:tcMar>
              <w:left w:w="28" w:type="dxa"/>
              <w:right w:w="28" w:type="dxa"/>
            </w:tcMar>
          </w:tcPr>
          <w:p w14:paraId="075C097C"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66.4 (58.4, 74.0)</w:t>
            </w:r>
          </w:p>
        </w:tc>
        <w:tc>
          <w:tcPr>
            <w:tcW w:w="787" w:type="pct"/>
            <w:shd w:val="clear" w:color="auto" w:fill="C6D9F1" w:themeFill="text2" w:themeFillTint="33"/>
            <w:tcMar>
              <w:left w:w="28" w:type="dxa"/>
              <w:right w:w="28" w:type="dxa"/>
            </w:tcMar>
            <w:vAlign w:val="center"/>
          </w:tcPr>
          <w:p w14:paraId="70E49FE1" w14:textId="77777777" w:rsidR="00C658A7" w:rsidRPr="008E7C4C" w:rsidRDefault="00C658A7" w:rsidP="006E7769">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p>
        </w:tc>
        <w:tc>
          <w:tcPr>
            <w:tcW w:w="914" w:type="pct"/>
            <w:vMerge/>
            <w:shd w:val="clear" w:color="auto" w:fill="C6D9F1" w:themeFill="text2" w:themeFillTint="33"/>
            <w:tcMar>
              <w:left w:w="28" w:type="dxa"/>
              <w:right w:w="28" w:type="dxa"/>
            </w:tcMar>
            <w:vAlign w:val="center"/>
          </w:tcPr>
          <w:p w14:paraId="7420F05F" w14:textId="77777777" w:rsidR="00C658A7" w:rsidRPr="008E7C4C" w:rsidRDefault="00C658A7" w:rsidP="006E7769">
            <w:pPr>
              <w:keepNext/>
              <w:jc w:val="center"/>
              <w:rPr>
                <w:rFonts w:ascii="Arial Narrow" w:eastAsiaTheme="majorEastAsia" w:hAnsi="Arial Narrow" w:cstheme="majorBidi"/>
                <w:bCs/>
                <w:sz w:val="20"/>
              </w:rPr>
            </w:pPr>
          </w:p>
        </w:tc>
      </w:tr>
    </w:tbl>
    <w:p w14:paraId="09D14A8B" w14:textId="698B5A25" w:rsidR="00CC25DE" w:rsidRPr="008E7C4C" w:rsidRDefault="00CC25DE" w:rsidP="00136562">
      <w:pPr>
        <w:pStyle w:val="PBACTableSource"/>
      </w:pPr>
      <w:bookmarkStart w:id="16" w:name="_Hlk92543012"/>
      <w:r w:rsidRPr="008E7C4C">
        <w:t xml:space="preserve">Source: Table 2-15, p64 of the resubmission. Figure 14.3.2.6A, p4455 of TOURMALINE MM-1 IA1 TFL May 2015; </w:t>
      </w:r>
      <w:r w:rsidR="00A879D8" w:rsidRPr="008E7C4C">
        <w:t>Table 14.3.1.14, p</w:t>
      </w:r>
      <w:proofErr w:type="gramStart"/>
      <w:r w:rsidR="00A879D8" w:rsidRPr="008E7C4C">
        <w:t xml:space="preserve">1530 </w:t>
      </w:r>
      <w:r w:rsidR="007E51A8" w:rsidRPr="008E7C4C">
        <w:t xml:space="preserve"> and</w:t>
      </w:r>
      <w:proofErr w:type="gramEnd"/>
      <w:r w:rsidR="007E51A8" w:rsidRPr="008E7C4C">
        <w:t xml:space="preserve"> Figure 14.3.2.6D, p6319 </w:t>
      </w:r>
      <w:r w:rsidR="00A879D8" w:rsidRPr="008E7C4C">
        <w:t>of TMM-1 IA2 TFLs Jan 2016.</w:t>
      </w:r>
    </w:p>
    <w:p w14:paraId="3D257A15" w14:textId="6650B1BE" w:rsidR="00CC25DE" w:rsidRPr="008E7C4C" w:rsidRDefault="00CC25DE" w:rsidP="00136562">
      <w:pPr>
        <w:pStyle w:val="PBACTableSource"/>
        <w:rPr>
          <w:sz w:val="20"/>
        </w:rPr>
      </w:pPr>
      <w:r w:rsidRPr="008E7C4C">
        <w:t>Values in bold indicate statistical significance.</w:t>
      </w:r>
    </w:p>
    <w:p w14:paraId="61C94B52" w14:textId="14550DF9" w:rsidR="00CC25DE" w:rsidRPr="008E7C4C" w:rsidRDefault="00CC25DE" w:rsidP="00136562">
      <w:pPr>
        <w:pStyle w:val="PBACTableSource"/>
      </w:pPr>
      <w:r w:rsidRPr="008E7C4C">
        <w:t xml:space="preserve">CI = confidence interval; </w:t>
      </w:r>
      <w:r w:rsidR="004F7F51" w:rsidRPr="008E7C4C">
        <w:t xml:space="preserve">HR = hazard ratio; </w:t>
      </w:r>
      <w:r w:rsidR="00A23DC5" w:rsidRPr="008E7C4C">
        <w:t>NA = not available</w:t>
      </w:r>
      <w:r w:rsidR="004F7F51" w:rsidRPr="008E7C4C">
        <w:t xml:space="preserve">; NE = not estimable; </w:t>
      </w:r>
      <w:r w:rsidR="00C658A7" w:rsidRPr="008E7C4C">
        <w:t xml:space="preserve">OR = odds ratio; </w:t>
      </w:r>
      <w:r w:rsidR="004F7F51" w:rsidRPr="008E7C4C">
        <w:t xml:space="preserve">ORR = overall rate of response; </w:t>
      </w:r>
      <w:r w:rsidRPr="008E7C4C">
        <w:t>PFS = progression free survival.</w:t>
      </w:r>
    </w:p>
    <w:p w14:paraId="025B84E0" w14:textId="6DA9CC4D" w:rsidR="00E10BBE" w:rsidRPr="008E7C4C" w:rsidRDefault="00CC25DE" w:rsidP="00136562">
      <w:pPr>
        <w:pStyle w:val="PBACTableSource"/>
      </w:pPr>
      <w:r w:rsidRPr="008E7C4C">
        <w:t xml:space="preserve">TOURMALINE data </w:t>
      </w:r>
      <w:r w:rsidR="00A23DC5" w:rsidRPr="008E7C4C">
        <w:t>cut-off</w:t>
      </w:r>
      <w:r w:rsidRPr="008E7C4C">
        <w:t xml:space="preserve"> for IA1 was 30</w:t>
      </w:r>
      <w:r w:rsidRPr="008E7C4C">
        <w:rPr>
          <w:vertAlign w:val="superscript"/>
        </w:rPr>
        <w:t>th</w:t>
      </w:r>
      <w:r w:rsidRPr="008E7C4C">
        <w:t xml:space="preserve"> October 2014</w:t>
      </w:r>
      <w:r w:rsidR="004F7F51" w:rsidRPr="008E7C4C">
        <w:t xml:space="preserve"> median follow-up </w:t>
      </w:r>
      <w:r w:rsidRPr="008E7C4C">
        <w:t xml:space="preserve">15 </w:t>
      </w:r>
      <w:proofErr w:type="gramStart"/>
      <w:r w:rsidRPr="008E7C4C">
        <w:t>months;</w:t>
      </w:r>
      <w:proofErr w:type="gramEnd"/>
      <w:r w:rsidRPr="008E7C4C">
        <w:t xml:space="preserve"> </w:t>
      </w:r>
      <w:r w:rsidR="00A23DC5" w:rsidRPr="008E7C4C">
        <w:t>IA</w:t>
      </w:r>
      <w:r w:rsidRPr="008E7C4C">
        <w:t xml:space="preserve">2 (data </w:t>
      </w:r>
      <w:r w:rsidR="00A23DC5" w:rsidRPr="008E7C4C">
        <w:t>cut-off</w:t>
      </w:r>
      <w:r w:rsidRPr="008E7C4C">
        <w:t xml:space="preserve"> 12 July 2015), 23 mo</w:t>
      </w:r>
      <w:r w:rsidR="00E8349D" w:rsidRPr="008E7C4C">
        <w:t>n</w:t>
      </w:r>
      <w:r w:rsidRPr="008E7C4C">
        <w:t>th follow-up.</w:t>
      </w:r>
    </w:p>
    <w:p w14:paraId="0C053110" w14:textId="6B7C7B65" w:rsidR="00CC25DE" w:rsidRPr="008E7C4C" w:rsidRDefault="00C658A7" w:rsidP="00136562">
      <w:pPr>
        <w:pStyle w:val="PBACTableSource"/>
      </w:pPr>
      <w:r w:rsidRPr="008E7C4C">
        <w:t>a. T</w:t>
      </w:r>
      <w:r w:rsidR="00E10BBE" w:rsidRPr="008E7C4C">
        <w:t>he AI2 PFS analysis was based on non-inferential analysis (as the IA1 was significant at IA1) requested by the Food and Drug Administration (United States of America) and noted in the protocol.</w:t>
      </w:r>
    </w:p>
    <w:p w14:paraId="3E37E252" w14:textId="77777777" w:rsidR="009D3002" w:rsidRPr="008E7C4C" w:rsidRDefault="009D3002" w:rsidP="00130AE3">
      <w:pPr>
        <w:rPr>
          <w:rFonts w:eastAsia="Calibri"/>
        </w:rPr>
      </w:pPr>
    </w:p>
    <w:bookmarkEnd w:id="16"/>
    <w:p w14:paraId="1FB64FE8" w14:textId="167F8068" w:rsidR="0073687F" w:rsidRPr="008E7C4C" w:rsidRDefault="006D2401" w:rsidP="0073687F">
      <w:pPr>
        <w:numPr>
          <w:ilvl w:val="1"/>
          <w:numId w:val="1"/>
        </w:numPr>
        <w:spacing w:after="120"/>
        <w:rPr>
          <w:rFonts w:asciiTheme="minorHAnsi" w:hAnsiTheme="minorHAnsi"/>
          <w:snapToGrid w:val="0"/>
        </w:rPr>
      </w:pPr>
      <w:r w:rsidRPr="008E7C4C">
        <w:rPr>
          <w:rFonts w:asciiTheme="minorHAnsi" w:hAnsiTheme="minorHAnsi"/>
          <w:snapToGrid w:val="0"/>
        </w:rPr>
        <w:t>The median PFS w</w:t>
      </w:r>
      <w:r w:rsidR="009A188C" w:rsidRPr="008E7C4C">
        <w:rPr>
          <w:rFonts w:asciiTheme="minorHAnsi" w:hAnsiTheme="minorHAnsi"/>
          <w:snapToGrid w:val="0"/>
        </w:rPr>
        <w:t>as</w:t>
      </w:r>
      <w:r w:rsidRPr="008E7C4C">
        <w:rPr>
          <w:rFonts w:asciiTheme="minorHAnsi" w:hAnsiTheme="minorHAnsi"/>
          <w:snapToGrid w:val="0"/>
        </w:rPr>
        <w:t xml:space="preserve"> </w:t>
      </w:r>
      <w:r w:rsidR="009A188C" w:rsidRPr="008E7C4C">
        <w:rPr>
          <w:rFonts w:asciiTheme="minorHAnsi" w:hAnsiTheme="minorHAnsi"/>
          <w:snapToGrid w:val="0"/>
        </w:rPr>
        <w:t>significantly</w:t>
      </w:r>
      <w:r w:rsidRPr="008E7C4C">
        <w:rPr>
          <w:rFonts w:asciiTheme="minorHAnsi" w:hAnsiTheme="minorHAnsi"/>
          <w:snapToGrid w:val="0"/>
        </w:rPr>
        <w:t xml:space="preserve"> longer in the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arm compared to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in the 2-3 prior lines subgroup. </w:t>
      </w:r>
      <w:r w:rsidR="00130AE3" w:rsidRPr="008E7C4C">
        <w:rPr>
          <w:rFonts w:asciiTheme="minorHAnsi" w:hAnsiTheme="minorHAnsi"/>
          <w:snapToGrid w:val="0"/>
        </w:rPr>
        <w:t xml:space="preserve">The </w:t>
      </w:r>
      <w:r w:rsidRPr="008E7C4C">
        <w:rPr>
          <w:rFonts w:asciiTheme="minorHAnsi" w:hAnsiTheme="minorHAnsi"/>
          <w:snapToGrid w:val="0"/>
        </w:rPr>
        <w:t xml:space="preserve">PFS showed no statistical significance </w:t>
      </w:r>
      <w:r w:rsidR="009A188C" w:rsidRPr="008E7C4C">
        <w:rPr>
          <w:rFonts w:asciiTheme="minorHAnsi" w:hAnsiTheme="minorHAnsi"/>
          <w:snapToGrid w:val="0"/>
        </w:rPr>
        <w:t>between</w:t>
      </w:r>
      <w:r w:rsidRPr="008E7C4C">
        <w:rPr>
          <w:rFonts w:asciiTheme="minorHAnsi" w:hAnsiTheme="minorHAnsi"/>
          <w:snapToGrid w:val="0"/>
        </w:rPr>
        <w:t xml:space="preserve"> the two arms in the 1 prior line subgroup. </w:t>
      </w:r>
    </w:p>
    <w:p w14:paraId="6352C888" w14:textId="2196D531" w:rsidR="009A188C" w:rsidRPr="008E7C4C" w:rsidRDefault="006D2401" w:rsidP="0073687F">
      <w:pPr>
        <w:numPr>
          <w:ilvl w:val="1"/>
          <w:numId w:val="1"/>
        </w:numPr>
        <w:spacing w:after="120"/>
        <w:rPr>
          <w:rFonts w:asciiTheme="minorHAnsi" w:hAnsiTheme="minorHAnsi"/>
          <w:snapToGrid w:val="0"/>
        </w:rPr>
      </w:pPr>
      <w:r w:rsidRPr="008E7C4C">
        <w:rPr>
          <w:rFonts w:asciiTheme="minorHAnsi" w:hAnsiTheme="minorHAnsi"/>
          <w:snapToGrid w:val="0"/>
        </w:rPr>
        <w:t>The</w:t>
      </w:r>
      <w:r w:rsidR="009F1A85" w:rsidRPr="008E7C4C">
        <w:rPr>
          <w:rFonts w:asciiTheme="minorHAnsi" w:hAnsiTheme="minorHAnsi"/>
          <w:snapToGrid w:val="0"/>
        </w:rPr>
        <w:t xml:space="preserve"> ORR</w:t>
      </w:r>
      <w:r w:rsidR="00E10BBE" w:rsidRPr="008E7C4C">
        <w:rPr>
          <w:rFonts w:asciiTheme="minorHAnsi" w:hAnsiTheme="minorHAnsi"/>
          <w:snapToGrid w:val="0"/>
        </w:rPr>
        <w:t xml:space="preserve"> </w:t>
      </w:r>
      <w:r w:rsidRPr="008E7C4C">
        <w:rPr>
          <w:rFonts w:asciiTheme="minorHAnsi" w:hAnsiTheme="minorHAnsi"/>
          <w:snapToGrid w:val="0"/>
        </w:rPr>
        <w:t>(</w:t>
      </w:r>
      <w:r w:rsidR="0073687F" w:rsidRPr="008E7C4C">
        <w:rPr>
          <w:rFonts w:asciiTheme="minorHAnsi" w:hAnsiTheme="minorHAnsi"/>
          <w:snapToGrid w:val="0"/>
        </w:rPr>
        <w:t xml:space="preserve">at </w:t>
      </w:r>
      <w:r w:rsidRPr="008E7C4C">
        <w:rPr>
          <w:rFonts w:asciiTheme="minorHAnsi" w:hAnsiTheme="minorHAnsi"/>
          <w:snapToGrid w:val="0"/>
        </w:rPr>
        <w:t>23 months follow-up)</w:t>
      </w:r>
      <w:r w:rsidR="00E10BBE" w:rsidRPr="008E7C4C">
        <w:rPr>
          <w:rFonts w:asciiTheme="minorHAnsi" w:hAnsiTheme="minorHAnsi"/>
          <w:snapToGrid w:val="0"/>
        </w:rPr>
        <w:t xml:space="preserve"> was </w:t>
      </w:r>
      <w:r w:rsidR="00B10395" w:rsidRPr="008E7C4C">
        <w:rPr>
          <w:rFonts w:asciiTheme="minorHAnsi" w:hAnsiTheme="minorHAnsi"/>
          <w:snapToGrid w:val="0"/>
        </w:rPr>
        <w:t xml:space="preserve">significantly </w:t>
      </w:r>
      <w:r w:rsidR="00E10BBE" w:rsidRPr="008E7C4C">
        <w:rPr>
          <w:rFonts w:asciiTheme="minorHAnsi" w:hAnsiTheme="minorHAnsi"/>
          <w:snapToGrid w:val="0"/>
        </w:rPr>
        <w:t xml:space="preserve">higher for </w:t>
      </w:r>
      <w:proofErr w:type="spellStart"/>
      <w:r w:rsidR="00E10BBE" w:rsidRPr="008E7C4C">
        <w:rPr>
          <w:rFonts w:asciiTheme="minorHAnsi" w:hAnsiTheme="minorHAnsi"/>
          <w:snapToGrid w:val="0"/>
        </w:rPr>
        <w:t>ILd</w:t>
      </w:r>
      <w:proofErr w:type="spellEnd"/>
      <w:r w:rsidR="00E10BBE" w:rsidRPr="008E7C4C">
        <w:rPr>
          <w:rFonts w:asciiTheme="minorHAnsi" w:hAnsiTheme="minorHAnsi"/>
          <w:snapToGrid w:val="0"/>
        </w:rPr>
        <w:t xml:space="preserve"> compared to </w:t>
      </w:r>
      <w:proofErr w:type="spellStart"/>
      <w:r w:rsidR="00E10BBE" w:rsidRPr="008E7C4C">
        <w:rPr>
          <w:rFonts w:asciiTheme="minorHAnsi" w:hAnsiTheme="minorHAnsi"/>
          <w:snapToGrid w:val="0"/>
        </w:rPr>
        <w:t>Ld</w:t>
      </w:r>
      <w:proofErr w:type="spellEnd"/>
      <w:r w:rsidR="00E10BBE" w:rsidRPr="008E7C4C">
        <w:rPr>
          <w:rFonts w:asciiTheme="minorHAnsi" w:hAnsiTheme="minorHAnsi"/>
          <w:snapToGrid w:val="0"/>
        </w:rPr>
        <w:t xml:space="preserve"> in the 2-3 prior lines of therapy subgroup (80.4% vs 66.4%; </w:t>
      </w:r>
      <w:r w:rsidR="00B10395" w:rsidRPr="008E7C4C">
        <w:rPr>
          <w:rFonts w:asciiTheme="minorHAnsi" w:hAnsiTheme="minorHAnsi"/>
          <w:snapToGrid w:val="0"/>
        </w:rPr>
        <w:t>o</w:t>
      </w:r>
      <w:r w:rsidR="00E10BBE" w:rsidRPr="008E7C4C">
        <w:rPr>
          <w:rFonts w:asciiTheme="minorHAnsi" w:hAnsiTheme="minorHAnsi"/>
          <w:snapToGrid w:val="0"/>
        </w:rPr>
        <w:t>dds ratio = 2.09, 95%</w:t>
      </w:r>
      <w:r w:rsidR="00C658A7" w:rsidRPr="008E7C4C">
        <w:rPr>
          <w:rFonts w:asciiTheme="minorHAnsi" w:hAnsiTheme="minorHAnsi"/>
          <w:snapToGrid w:val="0"/>
        </w:rPr>
        <w:t xml:space="preserve"> </w:t>
      </w:r>
      <w:r w:rsidR="00E10BBE" w:rsidRPr="008E7C4C">
        <w:rPr>
          <w:rFonts w:asciiTheme="minorHAnsi" w:hAnsiTheme="minorHAnsi"/>
          <w:snapToGrid w:val="0"/>
        </w:rPr>
        <w:t>CI: 1.23, 3.56)</w:t>
      </w:r>
      <w:r w:rsidRPr="008E7C4C">
        <w:rPr>
          <w:rFonts w:asciiTheme="minorHAnsi" w:hAnsiTheme="minorHAnsi"/>
          <w:snapToGrid w:val="0"/>
        </w:rPr>
        <w:t>.</w:t>
      </w:r>
      <w:r w:rsidR="00E10BBE" w:rsidRPr="008E7C4C">
        <w:rPr>
          <w:rFonts w:asciiTheme="minorHAnsi" w:hAnsiTheme="minorHAnsi"/>
          <w:snapToGrid w:val="0"/>
        </w:rPr>
        <w:t xml:space="preserve"> </w:t>
      </w:r>
      <w:r w:rsidR="0073687F" w:rsidRPr="008E7C4C">
        <w:rPr>
          <w:rFonts w:asciiTheme="minorHAnsi" w:hAnsiTheme="minorHAnsi"/>
          <w:snapToGrid w:val="0"/>
        </w:rPr>
        <w:t>N</w:t>
      </w:r>
      <w:r w:rsidR="00E10BBE" w:rsidRPr="008E7C4C">
        <w:rPr>
          <w:rFonts w:asciiTheme="minorHAnsi" w:hAnsiTheme="minorHAnsi"/>
          <w:snapToGrid w:val="0"/>
        </w:rPr>
        <w:t xml:space="preserve">o data </w:t>
      </w:r>
      <w:r w:rsidR="00B10395" w:rsidRPr="008E7C4C">
        <w:rPr>
          <w:rFonts w:asciiTheme="minorHAnsi" w:hAnsiTheme="minorHAnsi"/>
          <w:snapToGrid w:val="0"/>
        </w:rPr>
        <w:t xml:space="preserve">was </w:t>
      </w:r>
      <w:r w:rsidR="009F1A85" w:rsidRPr="008E7C4C">
        <w:rPr>
          <w:rFonts w:asciiTheme="minorHAnsi" w:hAnsiTheme="minorHAnsi"/>
          <w:snapToGrid w:val="0"/>
        </w:rPr>
        <w:t>presented</w:t>
      </w:r>
      <w:r w:rsidR="00E10BBE" w:rsidRPr="008E7C4C">
        <w:rPr>
          <w:rFonts w:asciiTheme="minorHAnsi" w:hAnsiTheme="minorHAnsi"/>
          <w:snapToGrid w:val="0"/>
        </w:rPr>
        <w:t xml:space="preserve"> by response type or duration of response.</w:t>
      </w:r>
    </w:p>
    <w:p w14:paraId="79E3FEF8" w14:textId="74C97695" w:rsidR="00CC25DE" w:rsidRPr="008E7C4C" w:rsidRDefault="00CC25DE" w:rsidP="00CC25DE">
      <w:pPr>
        <w:numPr>
          <w:ilvl w:val="1"/>
          <w:numId w:val="1"/>
        </w:numPr>
        <w:spacing w:after="120"/>
        <w:rPr>
          <w:rFonts w:asciiTheme="minorHAnsi" w:hAnsiTheme="minorHAnsi"/>
          <w:snapToGrid w:val="0"/>
        </w:rPr>
      </w:pPr>
      <w:r w:rsidRPr="008E7C4C">
        <w:rPr>
          <w:rFonts w:asciiTheme="minorHAnsi" w:hAnsiTheme="minorHAnsi"/>
          <w:snapToGrid w:val="0"/>
        </w:rPr>
        <w:t xml:space="preserve">The resubmission presented the subgroup analysis by </w:t>
      </w:r>
      <w:r w:rsidR="0073687F" w:rsidRPr="008E7C4C">
        <w:rPr>
          <w:rFonts w:asciiTheme="minorHAnsi" w:hAnsiTheme="minorHAnsi"/>
          <w:snapToGrid w:val="0"/>
        </w:rPr>
        <w:t xml:space="preserve">number of </w:t>
      </w:r>
      <w:r w:rsidRPr="008E7C4C">
        <w:rPr>
          <w:rFonts w:asciiTheme="minorHAnsi" w:hAnsiTheme="minorHAnsi"/>
          <w:snapToGrid w:val="0"/>
        </w:rPr>
        <w:t>prior therap</w:t>
      </w:r>
      <w:r w:rsidR="0073687F" w:rsidRPr="008E7C4C">
        <w:rPr>
          <w:rFonts w:asciiTheme="minorHAnsi" w:hAnsiTheme="minorHAnsi"/>
          <w:snapToGrid w:val="0"/>
        </w:rPr>
        <w:t>ies</w:t>
      </w:r>
      <w:r w:rsidRPr="008E7C4C">
        <w:rPr>
          <w:rFonts w:asciiTheme="minorHAnsi" w:hAnsiTheme="minorHAnsi"/>
          <w:snapToGrid w:val="0"/>
        </w:rPr>
        <w:t xml:space="preserve"> for OS </w:t>
      </w:r>
      <w:r w:rsidR="00B76696" w:rsidRPr="008E7C4C">
        <w:rPr>
          <w:rFonts w:asciiTheme="minorHAnsi" w:hAnsiTheme="minorHAnsi"/>
          <w:snapToGrid w:val="0"/>
        </w:rPr>
        <w:t>based on the final analysis data</w:t>
      </w:r>
      <w:r w:rsidR="006D2401" w:rsidRPr="008E7C4C">
        <w:rPr>
          <w:rFonts w:asciiTheme="minorHAnsi" w:hAnsiTheme="minorHAnsi"/>
          <w:snapToGrid w:val="0"/>
        </w:rPr>
        <w:t>-</w:t>
      </w:r>
      <w:r w:rsidR="00B76696" w:rsidRPr="008E7C4C">
        <w:rPr>
          <w:rFonts w:asciiTheme="minorHAnsi" w:hAnsiTheme="minorHAnsi"/>
          <w:snapToGrid w:val="0"/>
        </w:rPr>
        <w:t xml:space="preserve">cut (median follow-up of 85 months) </w:t>
      </w:r>
      <w:r w:rsidRPr="008E7C4C">
        <w:rPr>
          <w:rFonts w:asciiTheme="minorHAnsi" w:hAnsiTheme="minorHAnsi"/>
          <w:snapToGrid w:val="0"/>
        </w:rPr>
        <w:t xml:space="preserve">(Table 7) with its corresponding KM (Figure 3). </w:t>
      </w:r>
    </w:p>
    <w:p w14:paraId="74C00041" w14:textId="7EB5F861" w:rsidR="00CC25DE" w:rsidRPr="008E7C4C" w:rsidRDefault="00CC25DE" w:rsidP="00CC25DE">
      <w:pPr>
        <w:keepNext/>
        <w:jc w:val="left"/>
        <w:rPr>
          <w:rFonts w:ascii="Arial Narrow" w:eastAsiaTheme="majorEastAsia" w:hAnsi="Arial Narrow" w:cstheme="majorBidi"/>
          <w:b/>
          <w:bCs/>
          <w:sz w:val="20"/>
          <w:lang w:eastAsia="en-US"/>
        </w:rPr>
      </w:pPr>
      <w:r w:rsidRPr="008E7C4C">
        <w:rPr>
          <w:rFonts w:ascii="Arial Narrow" w:eastAsiaTheme="majorEastAsia" w:hAnsi="Arial Narrow" w:cstheme="majorBidi"/>
          <w:b/>
          <w:bCs/>
          <w:sz w:val="20"/>
          <w:lang w:eastAsia="en-US"/>
        </w:rPr>
        <w:lastRenderedPageBreak/>
        <w:t>Table 7: Analysis of OS in TMM-1 (FA) by prior therapies, by subgroup</w:t>
      </w:r>
      <w:r w:rsidR="004D4B6E" w:rsidRPr="008E7C4C">
        <w:rPr>
          <w:rFonts w:ascii="Arial Narrow" w:eastAsiaTheme="majorEastAsia" w:hAnsi="Arial Narrow" w:cstheme="majorBidi"/>
          <w:b/>
          <w:bCs/>
          <w:sz w:val="20"/>
          <w:lang w:eastAsia="en-US"/>
        </w:rPr>
        <w:t xml:space="preserve"> (85 months follow 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0"/>
        <w:gridCol w:w="1700"/>
        <w:gridCol w:w="1443"/>
        <w:gridCol w:w="1767"/>
      </w:tblGrid>
      <w:tr w:rsidR="00CC25DE" w:rsidRPr="008E7C4C" w14:paraId="4267C687" w14:textId="77777777" w:rsidTr="00C658A7">
        <w:trPr>
          <w:cantSplit/>
          <w:tblHeader/>
        </w:trPr>
        <w:tc>
          <w:tcPr>
            <w:tcW w:w="1334" w:type="pct"/>
            <w:shd w:val="clear" w:color="auto" w:fill="FFFFFF" w:themeFill="background1"/>
            <w:vAlign w:val="center"/>
          </w:tcPr>
          <w:p w14:paraId="04D6AB2A" w14:textId="77777777" w:rsidR="00CC25DE" w:rsidRPr="008E7C4C" w:rsidRDefault="00CC25DE" w:rsidP="00CC25DE">
            <w:pPr>
              <w:keepNext/>
              <w:jc w:val="center"/>
              <w:rPr>
                <w:rFonts w:ascii="Arial Narrow" w:eastAsiaTheme="majorEastAsia" w:hAnsi="Arial Narrow" w:cs="Times New Roman"/>
                <w:b/>
                <w:sz w:val="20"/>
              </w:rPr>
            </w:pPr>
          </w:p>
        </w:tc>
        <w:tc>
          <w:tcPr>
            <w:tcW w:w="943" w:type="pct"/>
            <w:shd w:val="clear" w:color="auto" w:fill="FFFFFF" w:themeFill="background1"/>
            <w:vAlign w:val="center"/>
          </w:tcPr>
          <w:p w14:paraId="3A710CF3" w14:textId="327D8A40" w:rsidR="00CC25DE" w:rsidRPr="008E7C4C" w:rsidRDefault="00CC25DE" w:rsidP="00CC25DE">
            <w:pPr>
              <w:keepNext/>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ILd</w:t>
            </w:r>
            <w:proofErr w:type="spellEnd"/>
            <w:r w:rsidRPr="008E7C4C">
              <w:rPr>
                <w:rFonts w:ascii="Arial Narrow" w:eastAsiaTheme="majorEastAsia" w:hAnsi="Arial Narrow" w:cs="Times New Roman"/>
                <w:b/>
                <w:sz w:val="20"/>
              </w:rPr>
              <w:t xml:space="preserve"> </w:t>
            </w:r>
          </w:p>
        </w:tc>
        <w:tc>
          <w:tcPr>
            <w:tcW w:w="943" w:type="pct"/>
            <w:shd w:val="clear" w:color="auto" w:fill="FFFFFF" w:themeFill="background1"/>
            <w:vAlign w:val="center"/>
          </w:tcPr>
          <w:p w14:paraId="1E0AA3F1" w14:textId="152D7DBD" w:rsidR="00CC25DE" w:rsidRPr="008E7C4C" w:rsidRDefault="00CC25DE" w:rsidP="00CC25DE">
            <w:pPr>
              <w:keepNext/>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Ld</w:t>
            </w:r>
            <w:proofErr w:type="spellEnd"/>
            <w:r w:rsidRPr="008E7C4C">
              <w:rPr>
                <w:rFonts w:ascii="Arial Narrow" w:eastAsiaTheme="majorEastAsia" w:hAnsi="Arial Narrow" w:cs="Times New Roman"/>
                <w:b/>
                <w:sz w:val="20"/>
              </w:rPr>
              <w:t xml:space="preserve"> </w:t>
            </w:r>
          </w:p>
        </w:tc>
        <w:tc>
          <w:tcPr>
            <w:tcW w:w="800" w:type="pct"/>
            <w:shd w:val="clear" w:color="auto" w:fill="FFFFFF" w:themeFill="background1"/>
            <w:vAlign w:val="center"/>
          </w:tcPr>
          <w:p w14:paraId="194009FA" w14:textId="77777777"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Absolute difference</w:t>
            </w:r>
          </w:p>
        </w:tc>
        <w:tc>
          <w:tcPr>
            <w:tcW w:w="980" w:type="pct"/>
            <w:shd w:val="clear" w:color="auto" w:fill="FFFFFF" w:themeFill="background1"/>
            <w:vAlign w:val="center"/>
          </w:tcPr>
          <w:p w14:paraId="48CB82DA" w14:textId="7436AAD8" w:rsidR="00CC25DE" w:rsidRPr="008E7C4C" w:rsidRDefault="00CC25DE" w:rsidP="00C658A7">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HR (95% CI)</w:t>
            </w:r>
            <w:r w:rsidR="00C658A7" w:rsidRPr="008E7C4C">
              <w:rPr>
                <w:rFonts w:ascii="Arial Narrow" w:eastAsiaTheme="majorEastAsia" w:hAnsi="Arial Narrow" w:cs="Times New Roman"/>
                <w:b/>
                <w:sz w:val="20"/>
              </w:rPr>
              <w:t xml:space="preserve">; </w:t>
            </w:r>
            <w:r w:rsidR="00C658A7" w:rsidRPr="008E7C4C">
              <w:rPr>
                <w:rFonts w:ascii="Arial Narrow" w:eastAsiaTheme="majorEastAsia" w:hAnsi="Arial Narrow" w:cs="Times New Roman"/>
                <w:b/>
                <w:sz w:val="20"/>
              </w:rPr>
              <w:br/>
              <w:t>p-value</w:t>
            </w:r>
          </w:p>
        </w:tc>
      </w:tr>
      <w:tr w:rsidR="00CC25DE" w:rsidRPr="008E7C4C" w14:paraId="598B8D01" w14:textId="77777777" w:rsidTr="006D7D90">
        <w:trPr>
          <w:cantSplit/>
        </w:trPr>
        <w:tc>
          <w:tcPr>
            <w:tcW w:w="5000" w:type="pct"/>
            <w:gridSpan w:val="5"/>
            <w:shd w:val="clear" w:color="auto" w:fill="FFFFFF" w:themeFill="background1"/>
            <w:vAlign w:val="center"/>
          </w:tcPr>
          <w:p w14:paraId="22380103" w14:textId="77777777" w:rsidR="00CC25DE" w:rsidRPr="008E7C4C" w:rsidRDefault="00CC25DE" w:rsidP="00CC25DE">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OS (1 prior therapy)</w:t>
            </w:r>
          </w:p>
        </w:tc>
      </w:tr>
      <w:tr w:rsidR="00FA22AF" w:rsidRPr="008E7C4C" w14:paraId="3FE724D0" w14:textId="77777777" w:rsidTr="00C658A7">
        <w:trPr>
          <w:cantSplit/>
        </w:trPr>
        <w:tc>
          <w:tcPr>
            <w:tcW w:w="1334" w:type="pct"/>
            <w:shd w:val="clear" w:color="auto" w:fill="FFFFFF" w:themeFill="background1"/>
            <w:vAlign w:val="center"/>
          </w:tcPr>
          <w:p w14:paraId="59AD530D" w14:textId="77777777" w:rsidR="00FA22AF" w:rsidRPr="008E7C4C" w:rsidRDefault="00FA22AF"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Deaths, n/N (%)</w:t>
            </w:r>
          </w:p>
        </w:tc>
        <w:tc>
          <w:tcPr>
            <w:tcW w:w="943" w:type="pct"/>
            <w:shd w:val="clear" w:color="auto" w:fill="FFFFFF" w:themeFill="background1"/>
            <w:vAlign w:val="center"/>
          </w:tcPr>
          <w:p w14:paraId="695804F1"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inorHAnsi"/>
                <w:bCs/>
                <w:sz w:val="20"/>
                <w:szCs w:val="20"/>
                <w:lang w:eastAsia="zh-CN"/>
              </w:rPr>
              <w:t>136/212 (64)</w:t>
            </w:r>
          </w:p>
        </w:tc>
        <w:tc>
          <w:tcPr>
            <w:tcW w:w="943" w:type="pct"/>
            <w:shd w:val="clear" w:color="auto" w:fill="FFFFFF" w:themeFill="background1"/>
            <w:vAlign w:val="center"/>
          </w:tcPr>
          <w:p w14:paraId="70C28EFA"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inorHAnsi"/>
                <w:bCs/>
                <w:sz w:val="20"/>
                <w:szCs w:val="20"/>
                <w:lang w:eastAsia="zh-CN"/>
              </w:rPr>
              <w:t>140/213 (66)</w:t>
            </w:r>
          </w:p>
        </w:tc>
        <w:tc>
          <w:tcPr>
            <w:tcW w:w="800" w:type="pct"/>
            <w:shd w:val="clear" w:color="auto" w:fill="FFFFFF" w:themeFill="background1"/>
            <w:vAlign w:val="center"/>
          </w:tcPr>
          <w:p w14:paraId="72F40F91" w14:textId="6B58296C"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2</w:t>
            </w:r>
          </w:p>
        </w:tc>
        <w:tc>
          <w:tcPr>
            <w:tcW w:w="980" w:type="pct"/>
            <w:vMerge w:val="restart"/>
            <w:shd w:val="clear" w:color="auto" w:fill="FFFFFF" w:themeFill="background1"/>
            <w:vAlign w:val="center"/>
          </w:tcPr>
          <w:p w14:paraId="18062C88" w14:textId="3E297879"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inorHAnsi"/>
                <w:bCs/>
                <w:sz w:val="20"/>
                <w:szCs w:val="20"/>
                <w:lang w:eastAsia="zh-CN"/>
              </w:rPr>
              <w:t>1.0</w:t>
            </w:r>
            <w:r w:rsidR="00764910" w:rsidRPr="008E7C4C">
              <w:rPr>
                <w:rFonts w:ascii="Arial Narrow" w:eastAsiaTheme="majorEastAsia" w:hAnsi="Arial Narrow" w:cstheme="minorHAnsi"/>
                <w:bCs/>
                <w:sz w:val="20"/>
                <w:szCs w:val="20"/>
                <w:lang w:eastAsia="zh-CN"/>
              </w:rPr>
              <w:t>2</w:t>
            </w:r>
            <w:r w:rsidRPr="008E7C4C">
              <w:rPr>
                <w:rFonts w:ascii="Arial Narrow" w:eastAsiaTheme="majorEastAsia" w:hAnsi="Arial Narrow" w:cstheme="minorHAnsi"/>
                <w:bCs/>
                <w:sz w:val="20"/>
                <w:szCs w:val="20"/>
                <w:lang w:eastAsia="zh-CN"/>
              </w:rPr>
              <w:t xml:space="preserve"> (0.80, 1.2</w:t>
            </w:r>
            <w:r w:rsidR="00764910" w:rsidRPr="008E7C4C">
              <w:rPr>
                <w:rFonts w:ascii="Arial Narrow" w:eastAsiaTheme="majorEastAsia" w:hAnsi="Arial Narrow" w:cstheme="minorHAnsi"/>
                <w:bCs/>
                <w:sz w:val="20"/>
                <w:szCs w:val="20"/>
                <w:lang w:eastAsia="zh-CN"/>
              </w:rPr>
              <w:t>9</w:t>
            </w:r>
            <w:r w:rsidRPr="008E7C4C">
              <w:rPr>
                <w:rFonts w:ascii="Arial Narrow" w:eastAsiaTheme="majorEastAsia" w:hAnsi="Arial Narrow" w:cstheme="minorHAnsi"/>
                <w:bCs/>
                <w:sz w:val="20"/>
                <w:szCs w:val="20"/>
                <w:lang w:eastAsia="zh-CN"/>
              </w:rPr>
              <w:t>);</w:t>
            </w:r>
            <w:r w:rsidR="00764910" w:rsidRPr="008E7C4C">
              <w:rPr>
                <w:rFonts w:ascii="Arial Narrow" w:eastAsiaTheme="majorEastAsia" w:hAnsi="Arial Narrow" w:cstheme="minorHAnsi"/>
                <w:bCs/>
                <w:sz w:val="20"/>
                <w:szCs w:val="20"/>
                <w:lang w:eastAsia="zh-CN"/>
              </w:rPr>
              <w:br/>
            </w:r>
            <w:r w:rsidRPr="008E7C4C">
              <w:rPr>
                <w:rFonts w:ascii="Arial Narrow" w:eastAsiaTheme="majorEastAsia" w:hAnsi="Arial Narrow" w:cstheme="minorHAnsi"/>
                <w:bCs/>
                <w:sz w:val="20"/>
                <w:szCs w:val="20"/>
                <w:lang w:eastAsia="zh-CN"/>
              </w:rPr>
              <w:t xml:space="preserve"> p = 0.899</w:t>
            </w:r>
          </w:p>
        </w:tc>
      </w:tr>
      <w:tr w:rsidR="00FA22AF" w:rsidRPr="008E7C4C" w14:paraId="6814F766" w14:textId="77777777" w:rsidTr="00C658A7">
        <w:trPr>
          <w:cantSplit/>
        </w:trPr>
        <w:tc>
          <w:tcPr>
            <w:tcW w:w="1334" w:type="pct"/>
            <w:shd w:val="clear" w:color="auto" w:fill="FFFFFF" w:themeFill="background1"/>
            <w:vAlign w:val="center"/>
          </w:tcPr>
          <w:p w14:paraId="217C1D60" w14:textId="0C18CD94" w:rsidR="00FA22AF" w:rsidRPr="008E7C4C" w:rsidRDefault="00FA22AF"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Median </w:t>
            </w:r>
            <w:r w:rsidR="00C658A7" w:rsidRPr="008E7C4C">
              <w:rPr>
                <w:rFonts w:ascii="Arial Narrow" w:eastAsiaTheme="majorEastAsia" w:hAnsi="Arial Narrow" w:cstheme="majorBidi"/>
                <w:bCs/>
                <w:sz w:val="20"/>
              </w:rPr>
              <w:t xml:space="preserve">OS, </w:t>
            </w:r>
            <w:r w:rsidRPr="008E7C4C">
              <w:rPr>
                <w:rFonts w:ascii="Arial Narrow" w:eastAsiaTheme="majorEastAsia" w:hAnsi="Arial Narrow" w:cstheme="majorBidi"/>
                <w:bCs/>
                <w:sz w:val="20"/>
              </w:rPr>
              <w:t>months</w:t>
            </w:r>
            <w:r w:rsidR="00C658A7" w:rsidRPr="008E7C4C">
              <w:rPr>
                <w:rFonts w:ascii="Arial Narrow" w:eastAsiaTheme="majorEastAsia" w:hAnsi="Arial Narrow" w:cstheme="majorBidi"/>
                <w:bCs/>
                <w:sz w:val="20"/>
              </w:rPr>
              <w:t xml:space="preserve"> </w:t>
            </w:r>
            <w:r w:rsidRPr="008E7C4C">
              <w:rPr>
                <w:rFonts w:ascii="Arial Narrow" w:eastAsiaTheme="majorEastAsia" w:hAnsi="Arial Narrow" w:cstheme="majorBidi"/>
                <w:bCs/>
                <w:sz w:val="20"/>
              </w:rPr>
              <w:t>(95% CI)</w:t>
            </w:r>
          </w:p>
        </w:tc>
        <w:tc>
          <w:tcPr>
            <w:tcW w:w="943" w:type="pct"/>
            <w:shd w:val="clear" w:color="auto" w:fill="FFFFFF" w:themeFill="background1"/>
            <w:vAlign w:val="center"/>
          </w:tcPr>
          <w:p w14:paraId="317FAF3D"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inorHAnsi"/>
                <w:bCs/>
                <w:sz w:val="20"/>
                <w:szCs w:val="20"/>
                <w:lang w:eastAsia="zh-CN"/>
              </w:rPr>
              <w:t>54.3 (42.81, 66.30)</w:t>
            </w:r>
          </w:p>
        </w:tc>
        <w:tc>
          <w:tcPr>
            <w:tcW w:w="943" w:type="pct"/>
            <w:shd w:val="clear" w:color="auto" w:fill="FFFFFF" w:themeFill="background1"/>
            <w:vAlign w:val="center"/>
          </w:tcPr>
          <w:p w14:paraId="0A7275F4"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inorHAnsi"/>
                <w:bCs/>
                <w:sz w:val="20"/>
                <w:szCs w:val="20"/>
                <w:lang w:eastAsia="zh-CN"/>
              </w:rPr>
              <w:t>58.3 (50.30, 65.74)</w:t>
            </w:r>
          </w:p>
        </w:tc>
        <w:tc>
          <w:tcPr>
            <w:tcW w:w="800" w:type="pct"/>
            <w:shd w:val="clear" w:color="auto" w:fill="FFFFFF" w:themeFill="background1"/>
            <w:vAlign w:val="center"/>
          </w:tcPr>
          <w:p w14:paraId="6423CD5B"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4</w:t>
            </w:r>
          </w:p>
        </w:tc>
        <w:tc>
          <w:tcPr>
            <w:tcW w:w="980" w:type="pct"/>
            <w:vMerge/>
            <w:shd w:val="clear" w:color="auto" w:fill="FFFFFF" w:themeFill="background1"/>
            <w:vAlign w:val="center"/>
          </w:tcPr>
          <w:p w14:paraId="4C8A1358" w14:textId="687B0602" w:rsidR="00FA22AF" w:rsidRPr="008E7C4C" w:rsidRDefault="00FA22AF" w:rsidP="00CC25DE">
            <w:pPr>
              <w:keepNext/>
              <w:jc w:val="center"/>
              <w:rPr>
                <w:rFonts w:ascii="Arial Narrow" w:eastAsiaTheme="majorEastAsia" w:hAnsi="Arial Narrow" w:cstheme="majorBidi"/>
                <w:bCs/>
                <w:sz w:val="20"/>
              </w:rPr>
            </w:pPr>
          </w:p>
        </w:tc>
      </w:tr>
      <w:tr w:rsidR="00CC25DE" w:rsidRPr="008E7C4C" w14:paraId="374ADCD1" w14:textId="77777777" w:rsidTr="006D7D90">
        <w:trPr>
          <w:cantSplit/>
        </w:trPr>
        <w:tc>
          <w:tcPr>
            <w:tcW w:w="5000" w:type="pct"/>
            <w:gridSpan w:val="5"/>
            <w:shd w:val="clear" w:color="auto" w:fill="FFFFFF" w:themeFill="background1"/>
            <w:vAlign w:val="center"/>
          </w:tcPr>
          <w:p w14:paraId="35DB409F" w14:textId="77777777" w:rsidR="00CC25DE" w:rsidRPr="008E7C4C" w:rsidRDefault="00CC25DE" w:rsidP="00CC25DE">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OS (</w:t>
            </w:r>
            <w:r w:rsidR="00A23DC5" w:rsidRPr="008E7C4C">
              <w:rPr>
                <w:rFonts w:ascii="Arial Narrow" w:eastAsiaTheme="majorEastAsia" w:hAnsi="Arial Narrow" w:cs="Times New Roman"/>
                <w:b/>
                <w:sz w:val="20"/>
              </w:rPr>
              <w:t>2-3</w:t>
            </w:r>
            <w:r w:rsidRPr="008E7C4C">
              <w:rPr>
                <w:rFonts w:ascii="Arial Narrow" w:eastAsiaTheme="majorEastAsia" w:hAnsi="Arial Narrow" w:cs="Times New Roman"/>
                <w:b/>
                <w:sz w:val="20"/>
              </w:rPr>
              <w:t xml:space="preserve"> prior therapies)</w:t>
            </w:r>
          </w:p>
        </w:tc>
      </w:tr>
      <w:tr w:rsidR="00FA22AF" w:rsidRPr="008E7C4C" w14:paraId="6A0B39AF" w14:textId="77777777" w:rsidTr="00C658A7">
        <w:trPr>
          <w:cantSplit/>
        </w:trPr>
        <w:tc>
          <w:tcPr>
            <w:tcW w:w="1334" w:type="pct"/>
            <w:vAlign w:val="center"/>
          </w:tcPr>
          <w:p w14:paraId="4E061B96" w14:textId="77777777" w:rsidR="00FA22AF" w:rsidRPr="008E7C4C" w:rsidRDefault="00FA22AF"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Deaths, n/N (%)</w:t>
            </w:r>
          </w:p>
        </w:tc>
        <w:tc>
          <w:tcPr>
            <w:tcW w:w="943" w:type="pct"/>
            <w:vAlign w:val="center"/>
          </w:tcPr>
          <w:p w14:paraId="5B5D2547"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inorHAnsi"/>
                <w:bCs/>
                <w:sz w:val="20"/>
                <w:szCs w:val="20"/>
                <w:lang w:eastAsia="zh-CN"/>
              </w:rPr>
              <w:t>104/148 (70)</w:t>
            </w:r>
          </w:p>
        </w:tc>
        <w:tc>
          <w:tcPr>
            <w:tcW w:w="943" w:type="pct"/>
            <w:vAlign w:val="center"/>
          </w:tcPr>
          <w:p w14:paraId="1F6C0231"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inorHAnsi"/>
                <w:bCs/>
                <w:sz w:val="20"/>
                <w:szCs w:val="20"/>
                <w:lang w:eastAsia="zh-CN"/>
              </w:rPr>
              <w:t>104/149 (70)</w:t>
            </w:r>
          </w:p>
        </w:tc>
        <w:tc>
          <w:tcPr>
            <w:tcW w:w="800" w:type="pct"/>
            <w:vAlign w:val="center"/>
          </w:tcPr>
          <w:p w14:paraId="0D9CCCC6" w14:textId="51FBE2E3"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0</w:t>
            </w:r>
          </w:p>
        </w:tc>
        <w:tc>
          <w:tcPr>
            <w:tcW w:w="980" w:type="pct"/>
            <w:vMerge w:val="restart"/>
            <w:vAlign w:val="center"/>
          </w:tcPr>
          <w:p w14:paraId="53687988" w14:textId="27DCAAC3" w:rsidR="00FA22AF" w:rsidRPr="008E7C4C" w:rsidRDefault="00FA22AF" w:rsidP="00C658A7">
            <w:pPr>
              <w:jc w:val="center"/>
              <w:rPr>
                <w:rFonts w:ascii="Arial Narrow" w:eastAsiaTheme="majorEastAsia" w:hAnsi="Arial Narrow" w:cstheme="majorBidi"/>
                <w:bCs/>
                <w:sz w:val="20"/>
              </w:rPr>
            </w:pPr>
            <w:r w:rsidRPr="008E7C4C">
              <w:rPr>
                <w:rFonts w:ascii="Arial Narrow" w:hAnsi="Arial Narrow" w:cstheme="minorHAnsi"/>
                <w:sz w:val="20"/>
                <w:szCs w:val="20"/>
                <w:lang w:eastAsia="zh-CN"/>
              </w:rPr>
              <w:t>0.85</w:t>
            </w:r>
            <w:r w:rsidR="00C658A7" w:rsidRPr="008E7C4C">
              <w:rPr>
                <w:rFonts w:ascii="Arial Narrow" w:hAnsi="Arial Narrow" w:cstheme="minorHAnsi"/>
                <w:sz w:val="20"/>
                <w:szCs w:val="20"/>
                <w:lang w:eastAsia="zh-CN"/>
              </w:rPr>
              <w:t xml:space="preserve"> </w:t>
            </w:r>
            <w:r w:rsidRPr="008E7C4C">
              <w:rPr>
                <w:rFonts w:ascii="Arial Narrow" w:eastAsiaTheme="majorEastAsia" w:hAnsi="Arial Narrow" w:cstheme="minorHAnsi"/>
                <w:bCs/>
                <w:sz w:val="20"/>
                <w:szCs w:val="20"/>
                <w:lang w:eastAsia="zh-CN"/>
              </w:rPr>
              <w:t xml:space="preserve">(0.64, 1.11); </w:t>
            </w:r>
            <w:r w:rsidRPr="008E7C4C">
              <w:rPr>
                <w:rFonts w:ascii="Arial Narrow" w:eastAsiaTheme="majorEastAsia" w:hAnsi="Arial Narrow" w:cstheme="minorHAnsi"/>
                <w:bCs/>
                <w:sz w:val="20"/>
                <w:szCs w:val="20"/>
                <w:lang w:eastAsia="zh-CN"/>
              </w:rPr>
              <w:br/>
              <w:t>p = 0.232</w:t>
            </w:r>
          </w:p>
        </w:tc>
      </w:tr>
      <w:tr w:rsidR="00FA22AF" w:rsidRPr="008E7C4C" w14:paraId="173C19C7" w14:textId="77777777" w:rsidTr="00C658A7">
        <w:trPr>
          <w:cantSplit/>
        </w:trPr>
        <w:tc>
          <w:tcPr>
            <w:tcW w:w="1334" w:type="pct"/>
            <w:vAlign w:val="center"/>
          </w:tcPr>
          <w:p w14:paraId="4BB0E243" w14:textId="00F75E74" w:rsidR="00FA22AF" w:rsidRPr="008E7C4C" w:rsidRDefault="00FA22AF"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Median OS</w:t>
            </w:r>
            <w:r w:rsidR="00C658A7" w:rsidRPr="008E7C4C">
              <w:rPr>
                <w:rFonts w:ascii="Arial Narrow" w:eastAsiaTheme="majorEastAsia" w:hAnsi="Arial Narrow" w:cstheme="majorBidi"/>
                <w:bCs/>
                <w:sz w:val="20"/>
              </w:rPr>
              <w:t>, months</w:t>
            </w:r>
            <w:r w:rsidRPr="008E7C4C">
              <w:rPr>
                <w:rFonts w:ascii="Arial Narrow" w:eastAsiaTheme="majorEastAsia" w:hAnsi="Arial Narrow" w:cstheme="majorBidi"/>
                <w:bCs/>
                <w:sz w:val="20"/>
              </w:rPr>
              <w:t xml:space="preserve"> (95% CI)</w:t>
            </w:r>
          </w:p>
        </w:tc>
        <w:tc>
          <w:tcPr>
            <w:tcW w:w="943" w:type="pct"/>
            <w:vAlign w:val="center"/>
          </w:tcPr>
          <w:p w14:paraId="5BE50F90"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inorHAnsi"/>
                <w:bCs/>
                <w:sz w:val="20"/>
                <w:szCs w:val="20"/>
                <w:lang w:eastAsia="zh-CN"/>
              </w:rPr>
              <w:t>53.0 (49.25, 63.54)</w:t>
            </w:r>
          </w:p>
        </w:tc>
        <w:tc>
          <w:tcPr>
            <w:tcW w:w="943" w:type="pct"/>
            <w:vAlign w:val="center"/>
          </w:tcPr>
          <w:p w14:paraId="7D92DE60"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inorHAnsi"/>
                <w:bCs/>
                <w:sz w:val="20"/>
                <w:szCs w:val="20"/>
                <w:lang w:eastAsia="zh-CN"/>
              </w:rPr>
              <w:t>43.0 (30.85, 52.67)</w:t>
            </w:r>
          </w:p>
        </w:tc>
        <w:tc>
          <w:tcPr>
            <w:tcW w:w="800" w:type="pct"/>
            <w:vAlign w:val="center"/>
          </w:tcPr>
          <w:p w14:paraId="066A0BA1" w14:textId="77777777" w:rsidR="00FA22AF" w:rsidRPr="008E7C4C" w:rsidRDefault="00FA22AF"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10</w:t>
            </w:r>
          </w:p>
        </w:tc>
        <w:tc>
          <w:tcPr>
            <w:tcW w:w="980" w:type="pct"/>
            <w:vMerge/>
            <w:vAlign w:val="center"/>
          </w:tcPr>
          <w:p w14:paraId="771261BA" w14:textId="0C141FBE" w:rsidR="00FA22AF" w:rsidRPr="008E7C4C" w:rsidRDefault="00FA22AF" w:rsidP="00CC25DE">
            <w:pPr>
              <w:keepNext/>
              <w:jc w:val="center"/>
              <w:rPr>
                <w:rFonts w:ascii="Arial Narrow" w:eastAsiaTheme="majorEastAsia" w:hAnsi="Arial Narrow" w:cstheme="majorBidi"/>
                <w:bCs/>
                <w:sz w:val="20"/>
              </w:rPr>
            </w:pPr>
          </w:p>
        </w:tc>
      </w:tr>
    </w:tbl>
    <w:p w14:paraId="35A30D9E" w14:textId="77777777" w:rsidR="00CC25DE" w:rsidRPr="008E7C4C" w:rsidRDefault="00CC25DE" w:rsidP="00CC25DE">
      <w:pPr>
        <w:keepLines/>
        <w:suppressLineNumbers/>
        <w:spacing w:after="120"/>
        <w:contextualSpacing/>
        <w:rPr>
          <w:rFonts w:ascii="Arial Narrow" w:hAnsi="Arial Narrow"/>
          <w:iCs/>
          <w:sz w:val="18"/>
          <w:szCs w:val="18"/>
          <w:lang w:eastAsia="en-US"/>
        </w:rPr>
      </w:pPr>
      <w:r w:rsidRPr="008E7C4C">
        <w:rPr>
          <w:rFonts w:ascii="Arial Narrow" w:hAnsi="Arial Narrow"/>
          <w:iCs/>
          <w:sz w:val="18"/>
          <w:szCs w:val="18"/>
        </w:rPr>
        <w:t>Source: Table 2-16, p65 of the resubmission.</w:t>
      </w:r>
    </w:p>
    <w:p w14:paraId="4B4E37C5" w14:textId="200D6C8B" w:rsidR="00CC25DE" w:rsidRPr="008E7C4C" w:rsidRDefault="00CC25DE" w:rsidP="00CC25DE">
      <w:pPr>
        <w:keepLines/>
        <w:suppressLineNumbers/>
        <w:spacing w:after="120"/>
        <w:contextualSpacing/>
        <w:rPr>
          <w:rFonts w:ascii="Arial Narrow" w:eastAsiaTheme="minorHAnsi" w:hAnsi="Arial Narrow"/>
          <w:iCs/>
          <w:sz w:val="18"/>
          <w:szCs w:val="18"/>
        </w:rPr>
      </w:pPr>
      <w:r w:rsidRPr="008E7C4C">
        <w:rPr>
          <w:rFonts w:ascii="Arial Narrow" w:eastAsiaTheme="minorHAnsi" w:hAnsi="Arial Narrow"/>
          <w:iCs/>
          <w:sz w:val="18"/>
          <w:szCs w:val="18"/>
        </w:rPr>
        <w:t>CI</w:t>
      </w:r>
      <w:r w:rsidR="00C658A7" w:rsidRPr="008E7C4C">
        <w:rPr>
          <w:rFonts w:ascii="Arial Narrow" w:eastAsiaTheme="minorHAnsi" w:hAnsi="Arial Narrow"/>
          <w:iCs/>
          <w:sz w:val="18"/>
          <w:szCs w:val="18"/>
        </w:rPr>
        <w:t xml:space="preserve"> </w:t>
      </w:r>
      <w:r w:rsidRPr="008E7C4C">
        <w:rPr>
          <w:rFonts w:ascii="Arial Narrow" w:eastAsiaTheme="minorHAnsi" w:hAnsi="Arial Narrow"/>
          <w:iCs/>
          <w:sz w:val="18"/>
          <w:szCs w:val="18"/>
        </w:rPr>
        <w:t>= confidence interval; FA = final analysis; HR</w:t>
      </w:r>
      <w:r w:rsidR="00C658A7" w:rsidRPr="008E7C4C">
        <w:rPr>
          <w:rFonts w:ascii="Arial Narrow" w:eastAsiaTheme="minorHAnsi" w:hAnsi="Arial Narrow"/>
          <w:iCs/>
          <w:sz w:val="18"/>
          <w:szCs w:val="18"/>
        </w:rPr>
        <w:t xml:space="preserve"> </w:t>
      </w:r>
      <w:r w:rsidRPr="008E7C4C">
        <w:rPr>
          <w:rFonts w:ascii="Arial Narrow" w:eastAsiaTheme="minorHAnsi" w:hAnsi="Arial Narrow"/>
          <w:iCs/>
          <w:sz w:val="18"/>
          <w:szCs w:val="18"/>
        </w:rPr>
        <w:t xml:space="preserve">= hazard ratio; </w:t>
      </w:r>
      <w:proofErr w:type="spellStart"/>
      <w:r w:rsidRPr="008E7C4C">
        <w:rPr>
          <w:rFonts w:ascii="Arial Narrow" w:eastAsiaTheme="minorHAnsi" w:hAnsi="Arial Narrow"/>
          <w:iCs/>
          <w:sz w:val="18"/>
          <w:szCs w:val="18"/>
        </w:rPr>
        <w:t>ILd</w:t>
      </w:r>
      <w:proofErr w:type="spellEnd"/>
      <w:r w:rsidR="00C658A7" w:rsidRPr="008E7C4C">
        <w:rPr>
          <w:rFonts w:ascii="Arial Narrow" w:eastAsiaTheme="minorHAnsi" w:hAnsi="Arial Narrow"/>
          <w:iCs/>
          <w:sz w:val="18"/>
          <w:szCs w:val="18"/>
        </w:rPr>
        <w:t xml:space="preserve"> </w:t>
      </w:r>
      <w:r w:rsidRPr="008E7C4C">
        <w:rPr>
          <w:rFonts w:ascii="Arial Narrow" w:eastAsiaTheme="minorHAnsi" w:hAnsi="Arial Narrow"/>
          <w:iCs/>
          <w:sz w:val="18"/>
          <w:szCs w:val="18"/>
        </w:rPr>
        <w:t xml:space="preserve">= </w:t>
      </w:r>
      <w:proofErr w:type="spellStart"/>
      <w:r w:rsidRPr="008E7C4C">
        <w:rPr>
          <w:rFonts w:ascii="Arial Narrow" w:eastAsiaTheme="minorHAnsi" w:hAnsi="Arial Narrow"/>
          <w:iCs/>
          <w:sz w:val="18"/>
          <w:szCs w:val="18"/>
        </w:rPr>
        <w:t>ixazomib</w:t>
      </w:r>
      <w:proofErr w:type="spellEnd"/>
      <w:r w:rsidR="00C658A7" w:rsidRPr="008E7C4C">
        <w:rPr>
          <w:rFonts w:ascii="Arial Narrow" w:eastAsiaTheme="minorHAnsi" w:hAnsi="Arial Narrow"/>
          <w:iCs/>
          <w:sz w:val="18"/>
          <w:szCs w:val="18"/>
        </w:rPr>
        <w:t xml:space="preserve"> +</w:t>
      </w:r>
      <w:r w:rsidRPr="008E7C4C">
        <w:rPr>
          <w:rFonts w:ascii="Arial Narrow" w:eastAsiaTheme="minorHAnsi" w:hAnsi="Arial Narrow"/>
          <w:iCs/>
          <w:sz w:val="18"/>
          <w:szCs w:val="18"/>
        </w:rPr>
        <w:t xml:space="preserve"> lenalidomide </w:t>
      </w:r>
      <w:r w:rsidR="00C658A7" w:rsidRPr="008E7C4C">
        <w:rPr>
          <w:rFonts w:ascii="Arial Narrow" w:eastAsiaTheme="minorHAnsi" w:hAnsi="Arial Narrow"/>
          <w:iCs/>
          <w:sz w:val="18"/>
          <w:szCs w:val="18"/>
        </w:rPr>
        <w:t>+</w:t>
      </w:r>
      <w:r w:rsidRPr="008E7C4C">
        <w:rPr>
          <w:rFonts w:ascii="Arial Narrow" w:eastAsiaTheme="minorHAnsi" w:hAnsi="Arial Narrow"/>
          <w:iCs/>
          <w:sz w:val="18"/>
          <w:szCs w:val="18"/>
        </w:rPr>
        <w:t xml:space="preserve"> dexamethasone; ITT</w:t>
      </w:r>
      <w:r w:rsidR="00C658A7" w:rsidRPr="008E7C4C">
        <w:rPr>
          <w:rFonts w:ascii="Arial Narrow" w:eastAsiaTheme="minorHAnsi" w:hAnsi="Arial Narrow"/>
          <w:iCs/>
          <w:sz w:val="18"/>
          <w:szCs w:val="18"/>
        </w:rPr>
        <w:t xml:space="preserve"> </w:t>
      </w:r>
      <w:r w:rsidRPr="008E7C4C">
        <w:rPr>
          <w:rFonts w:ascii="Arial Narrow" w:eastAsiaTheme="minorHAnsi" w:hAnsi="Arial Narrow"/>
          <w:iCs/>
          <w:sz w:val="18"/>
          <w:szCs w:val="18"/>
        </w:rPr>
        <w:t xml:space="preserve">= intent to treat; </w:t>
      </w:r>
      <w:proofErr w:type="spellStart"/>
      <w:r w:rsidRPr="008E7C4C">
        <w:rPr>
          <w:rFonts w:ascii="Arial Narrow" w:eastAsiaTheme="minorHAnsi" w:hAnsi="Arial Narrow"/>
          <w:iCs/>
          <w:sz w:val="18"/>
          <w:szCs w:val="18"/>
        </w:rPr>
        <w:t>Ld</w:t>
      </w:r>
      <w:proofErr w:type="spellEnd"/>
      <w:r w:rsidR="00C658A7" w:rsidRPr="008E7C4C">
        <w:rPr>
          <w:rFonts w:ascii="Arial Narrow" w:eastAsiaTheme="minorHAnsi" w:hAnsi="Arial Narrow"/>
          <w:iCs/>
          <w:sz w:val="18"/>
          <w:szCs w:val="18"/>
        </w:rPr>
        <w:t xml:space="preserve"> </w:t>
      </w:r>
      <w:r w:rsidRPr="008E7C4C">
        <w:rPr>
          <w:rFonts w:ascii="Arial Narrow" w:eastAsiaTheme="minorHAnsi" w:hAnsi="Arial Narrow"/>
          <w:iCs/>
          <w:sz w:val="18"/>
          <w:szCs w:val="18"/>
        </w:rPr>
        <w:t xml:space="preserve">= lenalidomide </w:t>
      </w:r>
      <w:r w:rsidR="00C658A7" w:rsidRPr="008E7C4C">
        <w:rPr>
          <w:rFonts w:ascii="Arial Narrow" w:eastAsiaTheme="minorHAnsi" w:hAnsi="Arial Narrow"/>
          <w:iCs/>
          <w:sz w:val="18"/>
          <w:szCs w:val="18"/>
        </w:rPr>
        <w:t>+</w:t>
      </w:r>
      <w:r w:rsidRPr="008E7C4C">
        <w:rPr>
          <w:rFonts w:ascii="Arial Narrow" w:eastAsiaTheme="minorHAnsi" w:hAnsi="Arial Narrow"/>
          <w:iCs/>
          <w:sz w:val="18"/>
          <w:szCs w:val="18"/>
        </w:rPr>
        <w:t xml:space="preserve"> dexamethasone; OS</w:t>
      </w:r>
      <w:r w:rsidR="00C658A7" w:rsidRPr="008E7C4C">
        <w:rPr>
          <w:rFonts w:ascii="Arial Narrow" w:eastAsiaTheme="minorHAnsi" w:hAnsi="Arial Narrow"/>
          <w:iCs/>
          <w:sz w:val="18"/>
          <w:szCs w:val="18"/>
        </w:rPr>
        <w:t xml:space="preserve"> </w:t>
      </w:r>
      <w:r w:rsidRPr="008E7C4C">
        <w:rPr>
          <w:rFonts w:ascii="Arial Narrow" w:eastAsiaTheme="minorHAnsi" w:hAnsi="Arial Narrow"/>
          <w:iCs/>
          <w:sz w:val="18"/>
          <w:szCs w:val="18"/>
        </w:rPr>
        <w:t>= overall survival.</w:t>
      </w:r>
    </w:p>
    <w:p w14:paraId="12BE6473" w14:textId="055B457C" w:rsidR="006D2401" w:rsidRPr="008E7C4C" w:rsidRDefault="006D2401" w:rsidP="006D2401">
      <w:pPr>
        <w:pStyle w:val="3-BodyText"/>
        <w:rPr>
          <w:lang w:eastAsia="en-US"/>
        </w:rPr>
      </w:pPr>
      <w:r w:rsidRPr="008E7C4C">
        <w:rPr>
          <w:lang w:eastAsia="en-US"/>
        </w:rPr>
        <w:t xml:space="preserve">OS was similar between the </w:t>
      </w:r>
      <w:proofErr w:type="spellStart"/>
      <w:r w:rsidRPr="008E7C4C">
        <w:rPr>
          <w:lang w:eastAsia="en-US"/>
        </w:rPr>
        <w:t>ILd</w:t>
      </w:r>
      <w:proofErr w:type="spellEnd"/>
      <w:r w:rsidRPr="008E7C4C">
        <w:rPr>
          <w:lang w:eastAsia="en-US"/>
        </w:rPr>
        <w:t xml:space="preserve"> and </w:t>
      </w:r>
      <w:proofErr w:type="spellStart"/>
      <w:r w:rsidRPr="008E7C4C">
        <w:rPr>
          <w:lang w:eastAsia="en-US"/>
        </w:rPr>
        <w:t>Ld</w:t>
      </w:r>
      <w:proofErr w:type="spellEnd"/>
      <w:r w:rsidRPr="008E7C4C">
        <w:rPr>
          <w:lang w:eastAsia="en-US"/>
        </w:rPr>
        <w:t xml:space="preserve"> arm</w:t>
      </w:r>
      <w:r w:rsidR="00B10395" w:rsidRPr="008E7C4C">
        <w:rPr>
          <w:lang w:eastAsia="en-US"/>
        </w:rPr>
        <w:t>s</w:t>
      </w:r>
      <w:r w:rsidRPr="008E7C4C">
        <w:rPr>
          <w:lang w:eastAsia="en-US"/>
        </w:rPr>
        <w:t xml:space="preserve"> among patients who had 1 prior therapy (HR</w:t>
      </w:r>
      <w:r w:rsidR="00764910" w:rsidRPr="008E7C4C">
        <w:rPr>
          <w:lang w:eastAsia="en-US"/>
        </w:rPr>
        <w:t xml:space="preserve"> =</w:t>
      </w:r>
      <w:r w:rsidRPr="008E7C4C">
        <w:rPr>
          <w:lang w:eastAsia="en-US"/>
        </w:rPr>
        <w:t xml:space="preserve"> 1.0</w:t>
      </w:r>
      <w:r w:rsidR="00764910" w:rsidRPr="008E7C4C">
        <w:rPr>
          <w:lang w:eastAsia="en-US"/>
        </w:rPr>
        <w:t>2</w:t>
      </w:r>
      <w:r w:rsidRPr="008E7C4C">
        <w:rPr>
          <w:lang w:eastAsia="en-US"/>
        </w:rPr>
        <w:t>; 95% CI: 0.80, 1.2</w:t>
      </w:r>
      <w:r w:rsidR="00764910" w:rsidRPr="008E7C4C">
        <w:rPr>
          <w:lang w:eastAsia="en-US"/>
        </w:rPr>
        <w:t>9</w:t>
      </w:r>
      <w:r w:rsidRPr="008E7C4C">
        <w:rPr>
          <w:lang w:eastAsia="en-US"/>
        </w:rPr>
        <w:t xml:space="preserve">). Although median OS in the </w:t>
      </w:r>
      <w:proofErr w:type="spellStart"/>
      <w:r w:rsidRPr="008E7C4C">
        <w:rPr>
          <w:lang w:eastAsia="en-US"/>
        </w:rPr>
        <w:t>ILd</w:t>
      </w:r>
      <w:proofErr w:type="spellEnd"/>
      <w:r w:rsidRPr="008E7C4C">
        <w:rPr>
          <w:lang w:eastAsia="en-US"/>
        </w:rPr>
        <w:t xml:space="preserve"> arm was prolonged among patients who had 2-3 prior therapies (53.0 months vs 43.0 months, respectively), the results were not statistically significant (HR: 0.85; 95% CI: 0.64, 1.11). </w:t>
      </w:r>
    </w:p>
    <w:p w14:paraId="2D204820" w14:textId="40A366E4" w:rsidR="00E10BBE" w:rsidRPr="008E7C4C" w:rsidRDefault="00E10BBE" w:rsidP="006D2401">
      <w:pPr>
        <w:pStyle w:val="3-BodyText"/>
        <w:rPr>
          <w:lang w:eastAsia="en-US"/>
        </w:rPr>
      </w:pPr>
      <w:r w:rsidRPr="008E7C4C">
        <w:rPr>
          <w:lang w:eastAsia="en-US"/>
        </w:rPr>
        <w:t xml:space="preserve">The KM estimates for OS by subgroup </w:t>
      </w:r>
      <w:r w:rsidR="008E6F57" w:rsidRPr="008E7C4C">
        <w:rPr>
          <w:lang w:eastAsia="en-US"/>
        </w:rPr>
        <w:t xml:space="preserve">(Figure 3) </w:t>
      </w:r>
      <w:r w:rsidRPr="008E7C4C">
        <w:rPr>
          <w:lang w:eastAsia="en-US"/>
        </w:rPr>
        <w:t>shows a separation of the curves (</w:t>
      </w:r>
      <w:proofErr w:type="spellStart"/>
      <w:r w:rsidRPr="008E7C4C">
        <w:rPr>
          <w:lang w:eastAsia="en-US"/>
        </w:rPr>
        <w:t>ILd</w:t>
      </w:r>
      <w:proofErr w:type="spellEnd"/>
      <w:r w:rsidRPr="008E7C4C">
        <w:rPr>
          <w:lang w:eastAsia="en-US"/>
        </w:rPr>
        <w:t xml:space="preserve"> and </w:t>
      </w:r>
      <w:proofErr w:type="spellStart"/>
      <w:r w:rsidRPr="008E7C4C">
        <w:rPr>
          <w:lang w:eastAsia="en-US"/>
        </w:rPr>
        <w:t>Ld</w:t>
      </w:r>
      <w:proofErr w:type="spellEnd"/>
      <w:r w:rsidRPr="008E7C4C">
        <w:rPr>
          <w:lang w:eastAsia="en-US"/>
        </w:rPr>
        <w:t xml:space="preserve">) for the 2-3 prior lines of therapy subgroup for most of the follow-up period, with the curves coming together at around </w:t>
      </w:r>
      <w:r w:rsidR="007B5B11" w:rsidRPr="008E7C4C">
        <w:rPr>
          <w:lang w:eastAsia="en-US"/>
        </w:rPr>
        <w:t xml:space="preserve">85 </w:t>
      </w:r>
      <w:r w:rsidRPr="008E7C4C">
        <w:rPr>
          <w:lang w:eastAsia="en-US"/>
        </w:rPr>
        <w:t xml:space="preserve">months </w:t>
      </w:r>
      <w:r w:rsidR="00A23E0E" w:rsidRPr="008E7C4C">
        <w:rPr>
          <w:lang w:eastAsia="en-US"/>
        </w:rPr>
        <w:t xml:space="preserve">although there </w:t>
      </w:r>
      <w:proofErr w:type="gramStart"/>
      <w:r w:rsidR="00A23E0E" w:rsidRPr="008E7C4C">
        <w:rPr>
          <w:lang w:eastAsia="en-US"/>
        </w:rPr>
        <w:t xml:space="preserve">were </w:t>
      </w:r>
      <w:r w:rsidRPr="008E7C4C">
        <w:rPr>
          <w:lang w:eastAsia="en-US"/>
        </w:rPr>
        <w:t xml:space="preserve"> very</w:t>
      </w:r>
      <w:proofErr w:type="gramEnd"/>
      <w:r w:rsidRPr="008E7C4C">
        <w:rPr>
          <w:lang w:eastAsia="en-US"/>
        </w:rPr>
        <w:t xml:space="preserve"> few pati</w:t>
      </w:r>
      <w:r w:rsidR="008E6F57" w:rsidRPr="008E7C4C">
        <w:rPr>
          <w:lang w:eastAsia="en-US"/>
        </w:rPr>
        <w:t>e</w:t>
      </w:r>
      <w:r w:rsidRPr="008E7C4C">
        <w:rPr>
          <w:lang w:eastAsia="en-US"/>
        </w:rPr>
        <w:t>n</w:t>
      </w:r>
      <w:r w:rsidR="008E6F57" w:rsidRPr="008E7C4C">
        <w:rPr>
          <w:lang w:eastAsia="en-US"/>
        </w:rPr>
        <w:t>t</w:t>
      </w:r>
      <w:r w:rsidRPr="008E7C4C">
        <w:rPr>
          <w:lang w:eastAsia="en-US"/>
        </w:rPr>
        <w:t xml:space="preserve">s remaining </w:t>
      </w:r>
      <w:r w:rsidR="00A23E0E" w:rsidRPr="008E7C4C">
        <w:rPr>
          <w:lang w:eastAsia="en-US"/>
        </w:rPr>
        <w:t>at risk</w:t>
      </w:r>
      <w:r w:rsidRPr="008E7C4C">
        <w:rPr>
          <w:lang w:eastAsia="en-US"/>
        </w:rPr>
        <w:t>.</w:t>
      </w:r>
    </w:p>
    <w:p w14:paraId="4A7BBDE1" w14:textId="77777777" w:rsidR="00CC25DE" w:rsidRPr="008E7C4C" w:rsidRDefault="00CC25DE" w:rsidP="00CC25DE">
      <w:pPr>
        <w:keepLines/>
        <w:suppressLineNumbers/>
        <w:spacing w:after="120"/>
        <w:contextualSpacing/>
        <w:rPr>
          <w:rFonts w:ascii="Arial Narrow" w:eastAsiaTheme="minorHAnsi" w:hAnsi="Arial Narrow"/>
          <w:iCs/>
          <w:sz w:val="16"/>
        </w:rPr>
      </w:pPr>
    </w:p>
    <w:p w14:paraId="08303ACE" w14:textId="77777777" w:rsidR="00CC25DE" w:rsidRPr="008E7C4C" w:rsidRDefault="00CC25DE" w:rsidP="00CC25DE">
      <w:pPr>
        <w:keepNext/>
        <w:keepLines/>
        <w:ind w:left="1778" w:hanging="1778"/>
        <w:jc w:val="left"/>
        <w:rPr>
          <w:rFonts w:ascii="Arial Narrow" w:hAnsi="Arial Narrow" w:cs="Times New Roman"/>
          <w:b/>
          <w:bCs/>
          <w:sz w:val="20"/>
          <w:szCs w:val="18"/>
          <w:lang w:eastAsia="en-US"/>
        </w:rPr>
      </w:pPr>
      <w:r w:rsidRPr="008E7C4C">
        <w:rPr>
          <w:rFonts w:ascii="Arial Narrow" w:hAnsi="Arial Narrow" w:cs="Times New Roman"/>
          <w:b/>
          <w:bCs/>
          <w:sz w:val="20"/>
          <w:szCs w:val="18"/>
          <w:lang w:eastAsia="en-US"/>
        </w:rPr>
        <w:t xml:space="preserve">Figure 3: Kaplan-Meier plots of OS by number of prior therapies in TMM-1, by subgroup, ITT analysis. </w:t>
      </w:r>
    </w:p>
    <w:p w14:paraId="3D4CB10D" w14:textId="77777777" w:rsidR="00CC25DE" w:rsidRPr="008E7C4C" w:rsidRDefault="00CC25DE" w:rsidP="00CC25DE">
      <w:pPr>
        <w:spacing w:before="120" w:after="120" w:line="276" w:lineRule="auto"/>
        <w:rPr>
          <w:rFonts w:asciiTheme="minorHAnsi" w:eastAsiaTheme="minorHAnsi" w:hAnsiTheme="minorHAnsi" w:cs="Tahoma"/>
          <w:sz w:val="22"/>
          <w:szCs w:val="22"/>
          <w:lang w:eastAsia="en-US"/>
        </w:rPr>
      </w:pPr>
      <w:r w:rsidRPr="008E7C4C">
        <w:rPr>
          <w:rFonts w:asciiTheme="minorHAnsi" w:eastAsiaTheme="minorHAnsi" w:hAnsiTheme="minorHAnsi" w:cs="Tahoma"/>
          <w:noProof/>
          <w:sz w:val="22"/>
          <w:szCs w:val="22"/>
        </w:rPr>
        <w:drawing>
          <wp:inline distT="0" distB="0" distL="0" distR="0" wp14:anchorId="666F74D9" wp14:editId="0B3FD3D2">
            <wp:extent cx="5276137" cy="2783037"/>
            <wp:effectExtent l="0" t="0" r="1270" b="0"/>
            <wp:docPr id="12" name="Picture 12" descr="Figure 3: Kaplan-Meier plots of OS by number of prior therapies in TMM-1, by subgroup, ITT analy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3: Kaplan-Meier plots of OS by number of prior therapies in TMM-1, by subgroup, ITT analysis. "/>
                    <pic:cNvPicPr/>
                  </pic:nvPicPr>
                  <pic:blipFill>
                    <a:blip r:embed="rId10"/>
                    <a:stretch>
                      <a:fillRect/>
                    </a:stretch>
                  </pic:blipFill>
                  <pic:spPr>
                    <a:xfrm>
                      <a:off x="0" y="0"/>
                      <a:ext cx="5289308" cy="2789984"/>
                    </a:xfrm>
                    <a:prstGeom prst="rect">
                      <a:avLst/>
                    </a:prstGeom>
                  </pic:spPr>
                </pic:pic>
              </a:graphicData>
            </a:graphic>
          </wp:inline>
        </w:drawing>
      </w:r>
    </w:p>
    <w:p w14:paraId="42310CC0" w14:textId="77777777" w:rsidR="00CC25DE" w:rsidRPr="008E7C4C" w:rsidRDefault="00CC25DE" w:rsidP="00CC25DE">
      <w:pPr>
        <w:suppressLineNumbers/>
        <w:rPr>
          <w:rFonts w:ascii="Arial Narrow" w:hAnsi="Arial Narrow"/>
          <w:sz w:val="18"/>
          <w:szCs w:val="18"/>
        </w:rPr>
      </w:pPr>
      <w:r w:rsidRPr="008E7C4C">
        <w:rPr>
          <w:rFonts w:ascii="Arial Narrow" w:hAnsi="Arial Narrow"/>
          <w:sz w:val="18"/>
          <w:szCs w:val="18"/>
        </w:rPr>
        <w:t>Source: TOURMALINE MM-1 FA CSR April 2021 Figure 2.g p33</w:t>
      </w:r>
    </w:p>
    <w:p w14:paraId="6EC2F119" w14:textId="7957945A" w:rsidR="00CC25DE" w:rsidRPr="008E7C4C" w:rsidRDefault="00CC25DE" w:rsidP="009D3002">
      <w:pPr>
        <w:suppressLineNumbers/>
        <w:rPr>
          <w:rFonts w:ascii="Arial Narrow" w:eastAsiaTheme="minorHAnsi" w:hAnsi="Arial Narrow"/>
          <w:sz w:val="18"/>
          <w:szCs w:val="18"/>
        </w:rPr>
      </w:pPr>
      <w:r w:rsidRPr="008E7C4C">
        <w:rPr>
          <w:rFonts w:ascii="Arial Narrow" w:eastAsiaTheme="minorHAnsi" w:hAnsi="Arial Narrow"/>
          <w:sz w:val="18"/>
          <w:szCs w:val="18"/>
        </w:rPr>
        <w:t xml:space="preserve">ITT= intent to treat; </w:t>
      </w:r>
      <w:proofErr w:type="spellStart"/>
      <w:r w:rsidRPr="008E7C4C">
        <w:rPr>
          <w:rFonts w:ascii="Arial Narrow" w:eastAsiaTheme="minorHAnsi" w:hAnsi="Arial Narrow"/>
          <w:sz w:val="18"/>
          <w:szCs w:val="18"/>
        </w:rPr>
        <w:t>IX+LenDex</w:t>
      </w:r>
      <w:proofErr w:type="spellEnd"/>
      <w:r w:rsidRPr="008E7C4C">
        <w:rPr>
          <w:rFonts w:ascii="Arial Narrow" w:eastAsiaTheme="minorHAnsi" w:hAnsi="Arial Narrow"/>
          <w:sz w:val="18"/>
          <w:szCs w:val="18"/>
        </w:rPr>
        <w:t xml:space="preserve">= </w:t>
      </w:r>
      <w:proofErr w:type="spellStart"/>
      <w:r w:rsidRPr="008E7C4C">
        <w:rPr>
          <w:rFonts w:ascii="Arial Narrow" w:eastAsiaTheme="minorHAnsi" w:hAnsi="Arial Narrow"/>
          <w:sz w:val="18"/>
          <w:szCs w:val="18"/>
        </w:rPr>
        <w:t>ixazomib</w:t>
      </w:r>
      <w:proofErr w:type="spellEnd"/>
      <w:r w:rsidR="008B58A6" w:rsidRPr="008E7C4C">
        <w:rPr>
          <w:rFonts w:ascii="Arial Narrow" w:eastAsiaTheme="minorHAnsi" w:hAnsi="Arial Narrow"/>
          <w:sz w:val="18"/>
          <w:szCs w:val="18"/>
        </w:rPr>
        <w:t xml:space="preserve"> +</w:t>
      </w:r>
      <w:r w:rsidRPr="008E7C4C">
        <w:rPr>
          <w:rFonts w:ascii="Arial Narrow" w:eastAsiaTheme="minorHAnsi" w:hAnsi="Arial Narrow"/>
          <w:sz w:val="18"/>
          <w:szCs w:val="18"/>
        </w:rPr>
        <w:t xml:space="preserve"> lenalidomide </w:t>
      </w:r>
      <w:r w:rsidR="008B58A6" w:rsidRPr="008E7C4C">
        <w:rPr>
          <w:rFonts w:ascii="Arial Narrow" w:eastAsiaTheme="minorHAnsi" w:hAnsi="Arial Narrow"/>
          <w:sz w:val="18"/>
          <w:szCs w:val="18"/>
        </w:rPr>
        <w:t>+</w:t>
      </w:r>
      <w:r w:rsidRPr="008E7C4C">
        <w:rPr>
          <w:rFonts w:ascii="Arial Narrow" w:eastAsiaTheme="minorHAnsi" w:hAnsi="Arial Narrow"/>
          <w:sz w:val="18"/>
          <w:szCs w:val="18"/>
        </w:rPr>
        <w:t xml:space="preserve"> dexamethasone; </w:t>
      </w:r>
      <w:proofErr w:type="spellStart"/>
      <w:r w:rsidRPr="008E7C4C">
        <w:rPr>
          <w:rFonts w:ascii="Arial Narrow" w:eastAsiaTheme="minorHAnsi" w:hAnsi="Arial Narrow"/>
          <w:sz w:val="18"/>
          <w:szCs w:val="18"/>
        </w:rPr>
        <w:t>LenDex</w:t>
      </w:r>
      <w:proofErr w:type="spellEnd"/>
      <w:r w:rsidRPr="008E7C4C">
        <w:rPr>
          <w:rFonts w:ascii="Arial Narrow" w:eastAsiaTheme="minorHAnsi" w:hAnsi="Arial Narrow"/>
          <w:sz w:val="18"/>
          <w:szCs w:val="18"/>
        </w:rPr>
        <w:t xml:space="preserve">= lenalidomide </w:t>
      </w:r>
      <w:r w:rsidR="008B58A6" w:rsidRPr="008E7C4C">
        <w:rPr>
          <w:rFonts w:ascii="Arial Narrow" w:eastAsiaTheme="minorHAnsi" w:hAnsi="Arial Narrow"/>
          <w:sz w:val="18"/>
          <w:szCs w:val="18"/>
        </w:rPr>
        <w:t>+</w:t>
      </w:r>
      <w:r w:rsidRPr="008E7C4C">
        <w:rPr>
          <w:rFonts w:ascii="Arial Narrow" w:eastAsiaTheme="minorHAnsi" w:hAnsi="Arial Narrow"/>
          <w:sz w:val="18"/>
          <w:szCs w:val="18"/>
        </w:rPr>
        <w:t xml:space="preserve"> dexamethasone; OS</w:t>
      </w:r>
      <w:r w:rsidR="008B58A6" w:rsidRPr="008E7C4C">
        <w:rPr>
          <w:rFonts w:ascii="Arial Narrow" w:eastAsiaTheme="minorHAnsi" w:hAnsi="Arial Narrow"/>
          <w:sz w:val="18"/>
          <w:szCs w:val="18"/>
        </w:rPr>
        <w:t xml:space="preserve"> </w:t>
      </w:r>
      <w:r w:rsidRPr="008E7C4C">
        <w:rPr>
          <w:rFonts w:ascii="Arial Narrow" w:eastAsiaTheme="minorHAnsi" w:hAnsi="Arial Narrow"/>
          <w:sz w:val="18"/>
          <w:szCs w:val="18"/>
        </w:rPr>
        <w:t>= overall survival; PT</w:t>
      </w:r>
      <w:r w:rsidR="008B58A6" w:rsidRPr="008E7C4C">
        <w:rPr>
          <w:rFonts w:ascii="Arial Narrow" w:eastAsiaTheme="minorHAnsi" w:hAnsi="Arial Narrow"/>
          <w:sz w:val="18"/>
          <w:szCs w:val="18"/>
        </w:rPr>
        <w:t xml:space="preserve"> </w:t>
      </w:r>
      <w:r w:rsidRPr="008E7C4C">
        <w:rPr>
          <w:rFonts w:ascii="Arial Narrow" w:eastAsiaTheme="minorHAnsi" w:hAnsi="Arial Narrow"/>
          <w:sz w:val="18"/>
          <w:szCs w:val="18"/>
        </w:rPr>
        <w:t>= prior therapy.</w:t>
      </w:r>
    </w:p>
    <w:p w14:paraId="47A833A2" w14:textId="77777777" w:rsidR="009D3002" w:rsidRPr="008E7C4C" w:rsidRDefault="009D3002" w:rsidP="00605285">
      <w:pPr>
        <w:rPr>
          <w:rFonts w:eastAsiaTheme="minorHAnsi"/>
        </w:rPr>
      </w:pPr>
    </w:p>
    <w:p w14:paraId="0892C844" w14:textId="7CF693F5" w:rsidR="00CC25DE" w:rsidRPr="008E7C4C" w:rsidRDefault="00CC25DE" w:rsidP="00605285">
      <w:pPr>
        <w:keepNext/>
        <w:spacing w:after="120"/>
        <w:ind w:left="720" w:hanging="720"/>
        <w:rPr>
          <w:rFonts w:asciiTheme="minorHAnsi" w:hAnsiTheme="minorHAnsi"/>
          <w:snapToGrid w:val="0"/>
          <w:u w:val="single"/>
          <w:lang w:eastAsia="en-US"/>
        </w:rPr>
      </w:pPr>
      <w:r w:rsidRPr="008E7C4C">
        <w:rPr>
          <w:rFonts w:asciiTheme="minorHAnsi" w:hAnsiTheme="minorHAnsi"/>
          <w:snapToGrid w:val="0"/>
          <w:u w:val="single"/>
          <w:lang w:eastAsia="en-US"/>
        </w:rPr>
        <w:t xml:space="preserve">OS adjustment for </w:t>
      </w:r>
      <w:r w:rsidR="00730E97" w:rsidRPr="008E7C4C">
        <w:rPr>
          <w:rFonts w:asciiTheme="minorHAnsi" w:hAnsiTheme="minorHAnsi"/>
          <w:snapToGrid w:val="0"/>
          <w:u w:val="single"/>
          <w:lang w:eastAsia="en-US"/>
        </w:rPr>
        <w:t xml:space="preserve">subsequent treatments received in the </w:t>
      </w:r>
      <w:r w:rsidR="00A23DC5" w:rsidRPr="008E7C4C">
        <w:rPr>
          <w:rFonts w:asciiTheme="minorHAnsi" w:hAnsiTheme="minorHAnsi"/>
          <w:snapToGrid w:val="0"/>
          <w:u w:val="single"/>
          <w:lang w:eastAsia="en-US"/>
        </w:rPr>
        <w:t>2-3</w:t>
      </w:r>
      <w:r w:rsidR="006D2401" w:rsidRPr="008E7C4C">
        <w:rPr>
          <w:rFonts w:asciiTheme="minorHAnsi" w:hAnsiTheme="minorHAnsi"/>
          <w:snapToGrid w:val="0"/>
          <w:u w:val="single"/>
          <w:lang w:eastAsia="en-US"/>
        </w:rPr>
        <w:t xml:space="preserve"> prior lines of therapy</w:t>
      </w:r>
      <w:r w:rsidR="00730E97" w:rsidRPr="008E7C4C">
        <w:rPr>
          <w:rFonts w:asciiTheme="minorHAnsi" w:hAnsiTheme="minorHAnsi"/>
          <w:snapToGrid w:val="0"/>
          <w:u w:val="single"/>
          <w:lang w:eastAsia="en-US"/>
        </w:rPr>
        <w:t xml:space="preserve"> subgroup</w:t>
      </w:r>
      <w:r w:rsidR="00A23DC5" w:rsidRPr="008E7C4C">
        <w:rPr>
          <w:rFonts w:asciiTheme="minorHAnsi" w:hAnsiTheme="minorHAnsi"/>
          <w:snapToGrid w:val="0"/>
          <w:u w:val="single"/>
          <w:lang w:eastAsia="en-US"/>
        </w:rPr>
        <w:t xml:space="preserve"> </w:t>
      </w:r>
    </w:p>
    <w:p w14:paraId="45B9A4A3" w14:textId="046B339A" w:rsidR="006C3DFB" w:rsidRPr="008E7C4C" w:rsidRDefault="00CC25DE" w:rsidP="00152353">
      <w:pPr>
        <w:pStyle w:val="3-BodyText"/>
      </w:pPr>
      <w:r w:rsidRPr="008E7C4C">
        <w:rPr>
          <w:lang w:eastAsia="en-US"/>
        </w:rPr>
        <w:t xml:space="preserve">TMM-1 allowed patients in both treatment arms to receive multiple active novel MM therapies following disease progression. The resubmission stated that </w:t>
      </w:r>
      <w:r w:rsidR="00B303D3" w:rsidRPr="008E7C4C">
        <w:rPr>
          <w:lang w:eastAsia="en-US"/>
        </w:rPr>
        <w:t xml:space="preserve">for </w:t>
      </w:r>
      <w:r w:rsidRPr="008E7C4C">
        <w:rPr>
          <w:lang w:eastAsia="en-US"/>
        </w:rPr>
        <w:t xml:space="preserve">patients in </w:t>
      </w:r>
      <w:r w:rsidRPr="008E7C4C">
        <w:rPr>
          <w:lang w:eastAsia="en-US"/>
        </w:rPr>
        <w:lastRenderedPageBreak/>
        <w:t xml:space="preserve">the </w:t>
      </w:r>
      <w:r w:rsidR="00A23DC5" w:rsidRPr="008E7C4C">
        <w:rPr>
          <w:lang w:eastAsia="en-US"/>
        </w:rPr>
        <w:t xml:space="preserve">2-3 </w:t>
      </w:r>
      <w:r w:rsidRPr="008E7C4C">
        <w:rPr>
          <w:lang w:eastAsia="en-US"/>
        </w:rPr>
        <w:t xml:space="preserve">prior therapies subgroup, 70.9% (105/148) </w:t>
      </w:r>
      <w:r w:rsidR="00B303D3" w:rsidRPr="008E7C4C">
        <w:rPr>
          <w:lang w:eastAsia="en-US"/>
        </w:rPr>
        <w:t xml:space="preserve">in the </w:t>
      </w:r>
      <w:proofErr w:type="spellStart"/>
      <w:r w:rsidRPr="008E7C4C">
        <w:rPr>
          <w:lang w:eastAsia="en-US"/>
        </w:rPr>
        <w:t>ILd</w:t>
      </w:r>
      <w:proofErr w:type="spellEnd"/>
      <w:r w:rsidRPr="008E7C4C">
        <w:rPr>
          <w:lang w:eastAsia="en-US"/>
        </w:rPr>
        <w:t xml:space="preserve"> </w:t>
      </w:r>
      <w:r w:rsidR="00B303D3" w:rsidRPr="008E7C4C">
        <w:rPr>
          <w:lang w:eastAsia="en-US"/>
        </w:rPr>
        <w:t xml:space="preserve">arm </w:t>
      </w:r>
      <w:r w:rsidRPr="008E7C4C">
        <w:rPr>
          <w:lang w:eastAsia="en-US"/>
        </w:rPr>
        <w:t xml:space="preserve">and 62.4% (93/149) </w:t>
      </w:r>
      <w:r w:rsidR="00B303D3" w:rsidRPr="008E7C4C">
        <w:rPr>
          <w:lang w:eastAsia="en-US"/>
        </w:rPr>
        <w:t xml:space="preserve">in the </w:t>
      </w:r>
      <w:proofErr w:type="spellStart"/>
      <w:r w:rsidRPr="008E7C4C">
        <w:rPr>
          <w:lang w:eastAsia="en-US"/>
        </w:rPr>
        <w:t>Ld</w:t>
      </w:r>
      <w:proofErr w:type="spellEnd"/>
      <w:r w:rsidRPr="008E7C4C">
        <w:rPr>
          <w:lang w:eastAsia="en-US"/>
        </w:rPr>
        <w:t xml:space="preserve"> </w:t>
      </w:r>
      <w:r w:rsidR="00B303D3" w:rsidRPr="008E7C4C">
        <w:rPr>
          <w:lang w:eastAsia="en-US"/>
        </w:rPr>
        <w:t xml:space="preserve">arm </w:t>
      </w:r>
      <w:r w:rsidRPr="008E7C4C">
        <w:rPr>
          <w:lang w:eastAsia="en-US"/>
        </w:rPr>
        <w:t>receive</w:t>
      </w:r>
      <w:r w:rsidR="00B303D3" w:rsidRPr="008E7C4C">
        <w:rPr>
          <w:lang w:eastAsia="en-US"/>
        </w:rPr>
        <w:t>d</w:t>
      </w:r>
      <w:r w:rsidRPr="008E7C4C">
        <w:rPr>
          <w:lang w:eastAsia="en-US"/>
        </w:rPr>
        <w:t xml:space="preserve"> at least one subsequent therapy after progressi</w:t>
      </w:r>
      <w:r w:rsidR="00B303D3" w:rsidRPr="008E7C4C">
        <w:rPr>
          <w:lang w:eastAsia="en-US"/>
        </w:rPr>
        <w:t>on</w:t>
      </w:r>
      <w:r w:rsidR="00E970D2" w:rsidRPr="008E7C4C">
        <w:rPr>
          <w:lang w:eastAsia="en-US"/>
        </w:rPr>
        <w:t xml:space="preserve">. </w:t>
      </w:r>
      <w:r w:rsidRPr="008E7C4C">
        <w:rPr>
          <w:lang w:eastAsia="en-US"/>
        </w:rPr>
        <w:t xml:space="preserve">The resubmission also stated that </w:t>
      </w:r>
      <w:r w:rsidR="0020686A" w:rsidRPr="008E7C4C">
        <w:rPr>
          <w:lang w:eastAsia="en-US"/>
        </w:rPr>
        <w:t xml:space="preserve">some of the </w:t>
      </w:r>
      <w:r w:rsidRPr="008E7C4C">
        <w:rPr>
          <w:lang w:eastAsia="en-US"/>
        </w:rPr>
        <w:t>subsequent therapies used in TTM</w:t>
      </w:r>
      <w:r w:rsidR="008B4E40" w:rsidRPr="008E7C4C">
        <w:rPr>
          <w:lang w:eastAsia="en-US"/>
        </w:rPr>
        <w:noBreakHyphen/>
      </w:r>
      <w:r w:rsidRPr="008E7C4C">
        <w:rPr>
          <w:lang w:eastAsia="en-US"/>
        </w:rPr>
        <w:t>1 were not reflective of the Australian clinical pathway (</w:t>
      </w:r>
      <w:proofErr w:type="gramStart"/>
      <w:r w:rsidRPr="008E7C4C">
        <w:rPr>
          <w:lang w:eastAsia="en-US"/>
        </w:rPr>
        <w:t>i.e.</w:t>
      </w:r>
      <w:proofErr w:type="gramEnd"/>
      <w:r w:rsidRPr="008E7C4C">
        <w:rPr>
          <w:lang w:eastAsia="en-US"/>
        </w:rPr>
        <w:t xml:space="preserve"> therapies were not available or reimbursed via the PBS, or were not considered suitable for patients </w:t>
      </w:r>
      <w:r w:rsidR="00B303D3" w:rsidRPr="008E7C4C">
        <w:rPr>
          <w:lang w:eastAsia="en-US"/>
        </w:rPr>
        <w:t>at or beyond the fourth-line setting</w:t>
      </w:r>
      <w:r w:rsidRPr="008E7C4C">
        <w:rPr>
          <w:lang w:eastAsia="en-US"/>
        </w:rPr>
        <w:t xml:space="preserve"> based on local management guidelines). Based on these arguments the</w:t>
      </w:r>
      <w:r w:rsidRPr="008E7C4C">
        <w:t xml:space="preserve"> OS in the 2 to 3 prior lines of treatment subgroup was adjusted for </w:t>
      </w:r>
      <w:r w:rsidR="00730E97" w:rsidRPr="008E7C4C">
        <w:t xml:space="preserve">subsequent </w:t>
      </w:r>
      <w:r w:rsidRPr="008E7C4C">
        <w:t xml:space="preserve">treatment </w:t>
      </w:r>
      <w:r w:rsidR="00730E97" w:rsidRPr="008E7C4C">
        <w:t>received</w:t>
      </w:r>
      <w:r w:rsidR="0020686A" w:rsidRPr="008E7C4C">
        <w:t xml:space="preserve">. </w:t>
      </w:r>
      <w:r w:rsidR="00F46628" w:rsidRPr="008E7C4C">
        <w:t xml:space="preserve">Rather than </w:t>
      </w:r>
      <w:r w:rsidR="0020686A" w:rsidRPr="008E7C4C">
        <w:t xml:space="preserve">adjusting for </w:t>
      </w:r>
      <w:r w:rsidR="00730E97" w:rsidRPr="008E7C4C">
        <w:t xml:space="preserve">subsequent </w:t>
      </w:r>
      <w:r w:rsidR="0020686A" w:rsidRPr="008E7C4C">
        <w:t>treatment</w:t>
      </w:r>
      <w:r w:rsidR="00730E97" w:rsidRPr="008E7C4C">
        <w:t>s</w:t>
      </w:r>
      <w:r w:rsidR="0020686A" w:rsidRPr="008E7C4C">
        <w:t xml:space="preserve"> in all patients who received active MM therapy after disease progression, the resubmission adjusted </w:t>
      </w:r>
      <w:r w:rsidR="00F46628" w:rsidRPr="008E7C4C">
        <w:t>OS</w:t>
      </w:r>
      <w:r w:rsidR="0020686A" w:rsidRPr="008E7C4C">
        <w:t xml:space="preserve"> for a proportion of the p</w:t>
      </w:r>
      <w:r w:rsidR="00F46628" w:rsidRPr="008E7C4C">
        <w:t xml:space="preserve">atients who received subsequent treatments which </w:t>
      </w:r>
      <w:r w:rsidR="008B4E40" w:rsidRPr="008E7C4C">
        <w:t xml:space="preserve">the resubmission defined as </w:t>
      </w:r>
      <w:r w:rsidR="00F46628" w:rsidRPr="008E7C4C">
        <w:t>not available in Australia.</w:t>
      </w:r>
    </w:p>
    <w:p w14:paraId="75615E48" w14:textId="54DEF575" w:rsidR="004926C6" w:rsidRPr="008E7C4C" w:rsidRDefault="004926C6" w:rsidP="004926C6">
      <w:pPr>
        <w:pStyle w:val="3-BodyText"/>
        <w:rPr>
          <w:lang w:eastAsia="en-US"/>
        </w:rPr>
      </w:pPr>
      <w:r w:rsidRPr="008E7C4C">
        <w:rPr>
          <w:lang w:eastAsia="en-US"/>
        </w:rPr>
        <w:t xml:space="preserve">The resubmission </w:t>
      </w:r>
      <w:r w:rsidR="0015062E" w:rsidRPr="008E7C4C">
        <w:rPr>
          <w:lang w:eastAsia="en-US"/>
        </w:rPr>
        <w:t>stated</w:t>
      </w:r>
      <w:r w:rsidRPr="008E7C4C">
        <w:rPr>
          <w:lang w:eastAsia="en-US"/>
        </w:rPr>
        <w:t xml:space="preserve"> the following therapies </w:t>
      </w:r>
      <w:r w:rsidR="0015062E" w:rsidRPr="008E7C4C">
        <w:rPr>
          <w:lang w:eastAsia="en-US"/>
        </w:rPr>
        <w:t>are</w:t>
      </w:r>
      <w:r w:rsidRPr="008E7C4C">
        <w:rPr>
          <w:lang w:eastAsia="en-US"/>
        </w:rPr>
        <w:t xml:space="preserve"> not available in Australia in post </w:t>
      </w:r>
      <w:proofErr w:type="spellStart"/>
      <w:r w:rsidRPr="008E7C4C">
        <w:rPr>
          <w:lang w:eastAsia="en-US"/>
        </w:rPr>
        <w:t>ILd</w:t>
      </w:r>
      <w:proofErr w:type="spellEnd"/>
      <w:r w:rsidRPr="008E7C4C">
        <w:rPr>
          <w:lang w:eastAsia="en-US"/>
        </w:rPr>
        <w:t xml:space="preserve"> settings: daratumumab-based, </w:t>
      </w:r>
      <w:proofErr w:type="spellStart"/>
      <w:r w:rsidRPr="008E7C4C">
        <w:rPr>
          <w:lang w:eastAsia="en-US"/>
        </w:rPr>
        <w:t>elotuzumab</w:t>
      </w:r>
      <w:proofErr w:type="spellEnd"/>
      <w:r w:rsidRPr="008E7C4C">
        <w:rPr>
          <w:lang w:eastAsia="en-US"/>
        </w:rPr>
        <w:t xml:space="preserve">-based, </w:t>
      </w:r>
      <w:proofErr w:type="spellStart"/>
      <w:r w:rsidRPr="008E7C4C">
        <w:rPr>
          <w:lang w:eastAsia="en-US"/>
        </w:rPr>
        <w:t>isatuximab</w:t>
      </w:r>
      <w:proofErr w:type="spellEnd"/>
      <w:r w:rsidRPr="008E7C4C">
        <w:rPr>
          <w:lang w:eastAsia="en-US"/>
        </w:rPr>
        <w:t xml:space="preserve">-based, </w:t>
      </w:r>
      <w:proofErr w:type="spellStart"/>
      <w:r w:rsidRPr="008E7C4C">
        <w:rPr>
          <w:lang w:eastAsia="en-US"/>
        </w:rPr>
        <w:t>ixazomib</w:t>
      </w:r>
      <w:proofErr w:type="spellEnd"/>
      <w:r w:rsidRPr="008E7C4C">
        <w:rPr>
          <w:lang w:eastAsia="en-US"/>
        </w:rPr>
        <w:t xml:space="preserve">-based, </w:t>
      </w:r>
      <w:proofErr w:type="spellStart"/>
      <w:r w:rsidRPr="008E7C4C">
        <w:rPr>
          <w:lang w:eastAsia="en-US"/>
        </w:rPr>
        <w:t>plitidepsin</w:t>
      </w:r>
      <w:proofErr w:type="spellEnd"/>
      <w:r w:rsidRPr="008E7C4C">
        <w:rPr>
          <w:lang w:eastAsia="en-US"/>
        </w:rPr>
        <w:t xml:space="preserve">-based, cetuximab-based, pembrolizumab-based, nivolumab-based or 3 drug combination that are bortezomib or pomalidomide-based. This list was not based on treatments available in Australia, but rather </w:t>
      </w:r>
      <w:r w:rsidR="008B4E40" w:rsidRPr="008E7C4C">
        <w:rPr>
          <w:lang w:eastAsia="en-US"/>
        </w:rPr>
        <w:t xml:space="preserve">those </w:t>
      </w:r>
      <w:r w:rsidRPr="008E7C4C">
        <w:rPr>
          <w:lang w:eastAsia="en-US"/>
        </w:rPr>
        <w:t>available in the UK (not including those therapies funded through the Cancer Fund)</w:t>
      </w:r>
      <w:r w:rsidR="00FA17D9" w:rsidRPr="008E7C4C">
        <w:rPr>
          <w:lang w:eastAsia="en-US"/>
        </w:rPr>
        <w:t xml:space="preserve">, with the PSCR noting that the OS HR analysis presented was originally undertaken to support a reimbursement application for </w:t>
      </w:r>
      <w:proofErr w:type="spellStart"/>
      <w:r w:rsidR="00FA17D9" w:rsidRPr="008E7C4C">
        <w:rPr>
          <w:lang w:eastAsia="en-US"/>
        </w:rPr>
        <w:t>ixazomib</w:t>
      </w:r>
      <w:proofErr w:type="spellEnd"/>
      <w:r w:rsidR="00FA17D9" w:rsidRPr="008E7C4C">
        <w:rPr>
          <w:lang w:eastAsia="en-US"/>
        </w:rPr>
        <w:t xml:space="preserve"> to the UK National Institute for Health and Care Excellence (NICE)</w:t>
      </w:r>
      <w:r w:rsidRPr="008E7C4C">
        <w:rPr>
          <w:lang w:eastAsia="en-US"/>
        </w:rPr>
        <w:t xml:space="preserve">. This </w:t>
      </w:r>
      <w:r w:rsidR="00BF4C4F" w:rsidRPr="008E7C4C">
        <w:rPr>
          <w:lang w:eastAsia="en-US"/>
        </w:rPr>
        <w:t>wa</w:t>
      </w:r>
      <w:r w:rsidRPr="008E7C4C">
        <w:rPr>
          <w:lang w:eastAsia="en-US"/>
        </w:rPr>
        <w:t xml:space="preserve">s inappropriate, </w:t>
      </w:r>
      <w:r w:rsidR="00BF4C4F" w:rsidRPr="008E7C4C">
        <w:rPr>
          <w:lang w:eastAsia="en-US"/>
        </w:rPr>
        <w:t xml:space="preserve">with the ESC noting that </w:t>
      </w:r>
      <w:r w:rsidRPr="008E7C4C">
        <w:rPr>
          <w:lang w:eastAsia="en-US"/>
        </w:rPr>
        <w:t xml:space="preserve">many of the subsequent </w:t>
      </w:r>
      <w:proofErr w:type="gramStart"/>
      <w:r w:rsidRPr="008E7C4C">
        <w:rPr>
          <w:lang w:eastAsia="en-US"/>
        </w:rPr>
        <w:t>therapies  which</w:t>
      </w:r>
      <w:proofErr w:type="gramEnd"/>
      <w:r w:rsidRPr="008E7C4C">
        <w:rPr>
          <w:lang w:eastAsia="en-US"/>
        </w:rPr>
        <w:t xml:space="preserve"> were adjusted for, are currently available in Australia in the setting of interest, as follows:</w:t>
      </w:r>
    </w:p>
    <w:p w14:paraId="336AD89B" w14:textId="5416D4EF" w:rsidR="004926C6" w:rsidRPr="008E7C4C" w:rsidRDefault="004926C6" w:rsidP="003F4E26">
      <w:pPr>
        <w:pStyle w:val="ListParagraph"/>
        <w:numPr>
          <w:ilvl w:val="0"/>
          <w:numId w:val="9"/>
        </w:numPr>
        <w:ind w:left="1077" w:hanging="357"/>
      </w:pPr>
      <w:r w:rsidRPr="008E7C4C">
        <w:t>Pomalidomide in combination with bortezomib and dexamethasone (</w:t>
      </w:r>
      <w:proofErr w:type="spellStart"/>
      <w:r w:rsidRPr="008E7C4C">
        <w:t>PBd</w:t>
      </w:r>
      <w:proofErr w:type="spellEnd"/>
      <w:r w:rsidRPr="008E7C4C">
        <w:t>) is listed for patients with MM who have received prior treatment with lenalidomide-containing regimen (paragraph 7.1, pomalidomide PSD, November 2019).</w:t>
      </w:r>
    </w:p>
    <w:p w14:paraId="2504943E" w14:textId="4155635F" w:rsidR="004926C6" w:rsidRPr="008E7C4C" w:rsidRDefault="004926C6" w:rsidP="003F4E26">
      <w:pPr>
        <w:pStyle w:val="ListParagraph"/>
        <w:numPr>
          <w:ilvl w:val="0"/>
          <w:numId w:val="9"/>
        </w:numPr>
        <w:ind w:left="1077" w:hanging="357"/>
      </w:pPr>
      <w:r w:rsidRPr="008E7C4C">
        <w:t xml:space="preserve">Lenalidomide monotherapy or lenalidomide in combination with dexamethasone is listed for MM patients who must have progressive disease after at least one prior therapy and be ineligible for a primary stem cell transplant (paragraph 12, lenalidomide PSD, November 2008; and paragraph 7.4, lenalidomide PSD, November 2017). </w:t>
      </w:r>
      <w:r w:rsidR="004F1B98" w:rsidRPr="008E7C4C">
        <w:rPr>
          <w:lang w:eastAsia="en-US"/>
        </w:rPr>
        <w:t xml:space="preserve">The PSCR stated that as </w:t>
      </w:r>
      <w:proofErr w:type="spellStart"/>
      <w:r w:rsidR="004F1B98" w:rsidRPr="008E7C4C">
        <w:rPr>
          <w:lang w:eastAsia="en-US"/>
        </w:rPr>
        <w:t>ILd</w:t>
      </w:r>
      <w:proofErr w:type="spellEnd"/>
      <w:r w:rsidR="004F1B98" w:rsidRPr="008E7C4C">
        <w:rPr>
          <w:lang w:eastAsia="en-US"/>
        </w:rPr>
        <w:t xml:space="preserve"> will likely replace, rather than displace, </w:t>
      </w:r>
      <w:proofErr w:type="spellStart"/>
      <w:r w:rsidR="004F1B98" w:rsidRPr="008E7C4C">
        <w:rPr>
          <w:lang w:eastAsia="en-US"/>
        </w:rPr>
        <w:t>Ld</w:t>
      </w:r>
      <w:proofErr w:type="spellEnd"/>
      <w:r w:rsidR="004F1B98" w:rsidRPr="008E7C4C">
        <w:rPr>
          <w:lang w:eastAsia="en-US"/>
        </w:rPr>
        <w:t xml:space="preserve"> in clinical practice it was consistent with the proposed clinical algorithm that subsequent lenalidomide-based therapies be censored in the adjusted OS analysis. The ESC agreed with this statement.</w:t>
      </w:r>
    </w:p>
    <w:p w14:paraId="3BB7D183" w14:textId="03D1FDFF" w:rsidR="004926C6" w:rsidRPr="008E7C4C" w:rsidRDefault="004926C6" w:rsidP="003F4E26">
      <w:pPr>
        <w:pStyle w:val="ListParagraph"/>
        <w:numPr>
          <w:ilvl w:val="0"/>
          <w:numId w:val="9"/>
        </w:numPr>
        <w:ind w:left="1077" w:hanging="357"/>
      </w:pPr>
      <w:r w:rsidRPr="008E7C4C">
        <w:t xml:space="preserve">Carfilzomib in combination with dexamethasone is PBS listed for RRMM patients after at least one prior therapy (paragraph 4, carfilzomib PSD, March 2018). </w:t>
      </w:r>
    </w:p>
    <w:p w14:paraId="74AC3159" w14:textId="6F66BE94" w:rsidR="0028639B" w:rsidRPr="008E7C4C" w:rsidRDefault="0028639B" w:rsidP="003F4E26">
      <w:pPr>
        <w:pStyle w:val="ListParagraph"/>
        <w:numPr>
          <w:ilvl w:val="0"/>
          <w:numId w:val="9"/>
        </w:numPr>
        <w:ind w:left="1077" w:hanging="357"/>
      </w:pPr>
      <w:proofErr w:type="spellStart"/>
      <w:r w:rsidRPr="008E7C4C">
        <w:t>E</w:t>
      </w:r>
      <w:r w:rsidR="006128FA" w:rsidRPr="008E7C4C">
        <w:t>lotuzumab</w:t>
      </w:r>
      <w:proofErr w:type="spellEnd"/>
      <w:r w:rsidR="006128FA" w:rsidRPr="008E7C4C">
        <w:t xml:space="preserve"> (as </w:t>
      </w:r>
      <w:proofErr w:type="spellStart"/>
      <w:r w:rsidR="00C42AEB" w:rsidRPr="008E7C4C">
        <w:t>ELd</w:t>
      </w:r>
      <w:proofErr w:type="spellEnd"/>
      <w:r w:rsidR="006128FA" w:rsidRPr="008E7C4C">
        <w:t xml:space="preserve">) was recommended by the PBAC in RRMM after at least one prior therapy at the July 2021 PBAC meeting (paragraph 7.1, </w:t>
      </w:r>
      <w:proofErr w:type="spellStart"/>
      <w:r w:rsidR="006128FA" w:rsidRPr="008E7C4C">
        <w:t>elotuzumab</w:t>
      </w:r>
      <w:proofErr w:type="spellEnd"/>
      <w:r w:rsidR="006128FA" w:rsidRPr="008E7C4C">
        <w:t xml:space="preserve"> PSD, July 2021). </w:t>
      </w:r>
    </w:p>
    <w:p w14:paraId="746A2E01" w14:textId="53AA2F8C" w:rsidR="004926C6" w:rsidRPr="008E7C4C" w:rsidRDefault="0028639B" w:rsidP="003F4E26">
      <w:pPr>
        <w:pStyle w:val="ListParagraph"/>
        <w:numPr>
          <w:ilvl w:val="0"/>
          <w:numId w:val="9"/>
        </w:numPr>
        <w:ind w:left="1077" w:hanging="357"/>
      </w:pPr>
      <w:r w:rsidRPr="008E7C4C">
        <w:lastRenderedPageBreak/>
        <w:t>D</w:t>
      </w:r>
      <w:r w:rsidR="006128FA" w:rsidRPr="008E7C4C">
        <w:t>espite not being used as subsequent therapy beyond </w:t>
      </w:r>
      <w:r w:rsidR="00D950F6" w:rsidRPr="008E7C4C">
        <w:t>second</w:t>
      </w:r>
      <w:r w:rsidR="006128FA" w:rsidRPr="008E7C4C">
        <w:t xml:space="preserve"> line, daratumumab based therapy is listed as </w:t>
      </w:r>
      <w:r w:rsidR="00D950F6" w:rsidRPr="008E7C4C">
        <w:t xml:space="preserve">a </w:t>
      </w:r>
      <w:r w:rsidR="006128FA" w:rsidRPr="008E7C4C">
        <w:t xml:space="preserve">second line treatment </w:t>
      </w:r>
      <w:r w:rsidR="00D950F6" w:rsidRPr="008E7C4C">
        <w:t xml:space="preserve">option </w:t>
      </w:r>
      <w:r w:rsidR="006128FA" w:rsidRPr="008E7C4C">
        <w:t xml:space="preserve">for all patients that progress </w:t>
      </w:r>
      <w:r w:rsidR="00D950F6" w:rsidRPr="008E7C4C">
        <w:t xml:space="preserve">after </w:t>
      </w:r>
      <w:r w:rsidR="006128FA" w:rsidRPr="008E7C4C">
        <w:t xml:space="preserve">first line </w:t>
      </w:r>
      <w:r w:rsidR="00D950F6" w:rsidRPr="008E7C4C">
        <w:t xml:space="preserve">treatment </w:t>
      </w:r>
      <w:r w:rsidR="006128FA" w:rsidRPr="008E7C4C">
        <w:t xml:space="preserve">in Australia, which may differ from the patient population in TMM-1. </w:t>
      </w:r>
    </w:p>
    <w:p w14:paraId="08D1DA12" w14:textId="046EF98F" w:rsidR="00213A01" w:rsidRPr="008E7C4C" w:rsidRDefault="0015062E" w:rsidP="00152353">
      <w:pPr>
        <w:numPr>
          <w:ilvl w:val="1"/>
          <w:numId w:val="1"/>
        </w:numPr>
        <w:spacing w:after="120"/>
        <w:rPr>
          <w:rFonts w:asciiTheme="minorHAnsi" w:hAnsiTheme="minorHAnsi"/>
          <w:snapToGrid w:val="0"/>
          <w:lang w:eastAsia="en-US"/>
        </w:rPr>
      </w:pPr>
      <w:r w:rsidRPr="008E7C4C">
        <w:rPr>
          <w:rFonts w:asciiTheme="minorHAnsi" w:hAnsiTheme="minorHAnsi"/>
          <w:snapToGrid w:val="0"/>
          <w:lang w:eastAsia="en-US"/>
        </w:rPr>
        <w:t xml:space="preserve">The resubmission stated that </w:t>
      </w:r>
      <w:r w:rsidR="00CC25DE" w:rsidRPr="008E7C4C">
        <w:rPr>
          <w:rFonts w:asciiTheme="minorHAnsi" w:hAnsiTheme="minorHAnsi"/>
          <w:snapToGrid w:val="0"/>
        </w:rPr>
        <w:t xml:space="preserve">59/148 </w:t>
      </w:r>
      <w:r w:rsidR="00213A01" w:rsidRPr="008E7C4C">
        <w:rPr>
          <w:rFonts w:asciiTheme="minorHAnsi" w:hAnsiTheme="minorHAnsi"/>
          <w:snapToGrid w:val="0"/>
        </w:rPr>
        <w:t xml:space="preserve">(40%) </w:t>
      </w:r>
      <w:r w:rsidR="00CC25DE" w:rsidRPr="008E7C4C">
        <w:rPr>
          <w:rFonts w:asciiTheme="minorHAnsi" w:hAnsiTheme="minorHAnsi"/>
          <w:snapToGrid w:val="0"/>
        </w:rPr>
        <w:t xml:space="preserve">patients in the </w:t>
      </w:r>
      <w:proofErr w:type="spellStart"/>
      <w:r w:rsidR="00CC25DE" w:rsidRPr="008E7C4C">
        <w:rPr>
          <w:rFonts w:asciiTheme="minorHAnsi" w:hAnsiTheme="minorHAnsi"/>
          <w:snapToGrid w:val="0"/>
        </w:rPr>
        <w:t>ILd</w:t>
      </w:r>
      <w:proofErr w:type="spellEnd"/>
      <w:r w:rsidR="00CC25DE" w:rsidRPr="008E7C4C">
        <w:rPr>
          <w:rFonts w:asciiTheme="minorHAnsi" w:hAnsiTheme="minorHAnsi"/>
          <w:snapToGrid w:val="0"/>
        </w:rPr>
        <w:t xml:space="preserve"> </w:t>
      </w:r>
      <w:r w:rsidR="00B303D3" w:rsidRPr="008E7C4C">
        <w:rPr>
          <w:rFonts w:asciiTheme="minorHAnsi" w:hAnsiTheme="minorHAnsi"/>
          <w:snapToGrid w:val="0"/>
        </w:rPr>
        <w:t xml:space="preserve">arm </w:t>
      </w:r>
      <w:r w:rsidR="00CC25DE" w:rsidRPr="008E7C4C">
        <w:rPr>
          <w:rFonts w:asciiTheme="minorHAnsi" w:hAnsiTheme="minorHAnsi"/>
          <w:snapToGrid w:val="0"/>
        </w:rPr>
        <w:t>and 52/149</w:t>
      </w:r>
      <w:r w:rsidR="00213A01" w:rsidRPr="008E7C4C">
        <w:rPr>
          <w:rFonts w:asciiTheme="minorHAnsi" w:hAnsiTheme="minorHAnsi"/>
          <w:snapToGrid w:val="0"/>
        </w:rPr>
        <w:t xml:space="preserve"> (35</w:t>
      </w:r>
      <w:proofErr w:type="gramStart"/>
      <w:r w:rsidR="00213A01" w:rsidRPr="008E7C4C">
        <w:rPr>
          <w:rFonts w:asciiTheme="minorHAnsi" w:hAnsiTheme="minorHAnsi"/>
          <w:snapToGrid w:val="0"/>
        </w:rPr>
        <w:t xml:space="preserve">%) </w:t>
      </w:r>
      <w:r w:rsidR="00CC25DE" w:rsidRPr="008E7C4C">
        <w:rPr>
          <w:rFonts w:asciiTheme="minorHAnsi" w:hAnsiTheme="minorHAnsi"/>
          <w:snapToGrid w:val="0"/>
        </w:rPr>
        <w:t xml:space="preserve"> patients</w:t>
      </w:r>
      <w:proofErr w:type="gramEnd"/>
      <w:r w:rsidR="00CC25DE" w:rsidRPr="008E7C4C">
        <w:rPr>
          <w:rFonts w:asciiTheme="minorHAnsi" w:hAnsiTheme="minorHAnsi"/>
          <w:snapToGrid w:val="0"/>
        </w:rPr>
        <w:t xml:space="preserve"> in the </w:t>
      </w:r>
      <w:proofErr w:type="spellStart"/>
      <w:r w:rsidR="00CC25DE" w:rsidRPr="008E7C4C">
        <w:rPr>
          <w:rFonts w:asciiTheme="minorHAnsi" w:hAnsiTheme="minorHAnsi"/>
          <w:snapToGrid w:val="0"/>
        </w:rPr>
        <w:t>Ld</w:t>
      </w:r>
      <w:proofErr w:type="spellEnd"/>
      <w:r w:rsidR="00CC25DE" w:rsidRPr="008E7C4C">
        <w:rPr>
          <w:rFonts w:asciiTheme="minorHAnsi" w:hAnsiTheme="minorHAnsi"/>
          <w:snapToGrid w:val="0"/>
        </w:rPr>
        <w:t xml:space="preserve"> </w:t>
      </w:r>
      <w:r w:rsidR="00B303D3" w:rsidRPr="008E7C4C">
        <w:rPr>
          <w:rFonts w:asciiTheme="minorHAnsi" w:hAnsiTheme="minorHAnsi"/>
          <w:snapToGrid w:val="0"/>
        </w:rPr>
        <w:t xml:space="preserve">arm </w:t>
      </w:r>
      <w:r w:rsidR="00CC25DE" w:rsidRPr="008E7C4C">
        <w:rPr>
          <w:rFonts w:asciiTheme="minorHAnsi" w:hAnsiTheme="minorHAnsi"/>
          <w:snapToGrid w:val="0"/>
        </w:rPr>
        <w:t>required adjustment</w:t>
      </w:r>
      <w:r w:rsidR="008E6F57" w:rsidRPr="008E7C4C">
        <w:rPr>
          <w:rFonts w:asciiTheme="minorHAnsi" w:hAnsiTheme="minorHAnsi"/>
          <w:snapToGrid w:val="0"/>
        </w:rPr>
        <w:t xml:space="preserve"> for receiving therapies </w:t>
      </w:r>
      <w:r w:rsidR="0073687F" w:rsidRPr="008E7C4C">
        <w:rPr>
          <w:rFonts w:asciiTheme="minorHAnsi" w:hAnsiTheme="minorHAnsi"/>
          <w:snapToGrid w:val="0"/>
        </w:rPr>
        <w:t xml:space="preserve">in TMM-1 that are </w:t>
      </w:r>
      <w:r w:rsidR="008E6F57" w:rsidRPr="008E7C4C">
        <w:rPr>
          <w:rFonts w:asciiTheme="minorHAnsi" w:hAnsiTheme="minorHAnsi"/>
          <w:snapToGrid w:val="0"/>
        </w:rPr>
        <w:t>not likely to be used in the Australian setting</w:t>
      </w:r>
      <w:r w:rsidR="00D46995" w:rsidRPr="008E7C4C">
        <w:rPr>
          <w:rFonts w:asciiTheme="minorHAnsi" w:hAnsiTheme="minorHAnsi"/>
          <w:snapToGrid w:val="0"/>
        </w:rPr>
        <w:t xml:space="preserve"> (Table 8)</w:t>
      </w:r>
      <w:r w:rsidR="008E6F57" w:rsidRPr="008E7C4C">
        <w:rPr>
          <w:rFonts w:asciiTheme="minorHAnsi" w:hAnsiTheme="minorHAnsi"/>
          <w:snapToGrid w:val="0"/>
        </w:rPr>
        <w:t xml:space="preserve">. </w:t>
      </w:r>
      <w:r w:rsidR="00BF4C4F" w:rsidRPr="008E7C4C">
        <w:rPr>
          <w:rFonts w:asciiTheme="minorHAnsi" w:hAnsiTheme="minorHAnsi"/>
          <w:snapToGrid w:val="0"/>
        </w:rPr>
        <w:t xml:space="preserve">The ESC noted that </w:t>
      </w:r>
      <w:r w:rsidR="004F1B98" w:rsidRPr="008E7C4C">
        <w:rPr>
          <w:rFonts w:asciiTheme="minorHAnsi" w:hAnsiTheme="minorHAnsi"/>
          <w:snapToGrid w:val="0"/>
        </w:rPr>
        <w:t>36</w:t>
      </w:r>
      <w:r w:rsidR="00BF4C4F" w:rsidRPr="008E7C4C">
        <w:rPr>
          <w:rFonts w:asciiTheme="minorHAnsi" w:hAnsiTheme="minorHAnsi"/>
          <w:snapToGrid w:val="0"/>
        </w:rPr>
        <w:t xml:space="preserve"> of the 111 patients whose results were adjusted </w:t>
      </w:r>
      <w:r w:rsidR="0020686A" w:rsidRPr="008E7C4C">
        <w:rPr>
          <w:rFonts w:asciiTheme="minorHAnsi" w:hAnsiTheme="minorHAnsi"/>
          <w:snapToGrid w:val="0"/>
        </w:rPr>
        <w:t xml:space="preserve">potentially </w:t>
      </w:r>
      <w:r w:rsidR="00BF4C4F" w:rsidRPr="008E7C4C">
        <w:rPr>
          <w:rFonts w:asciiTheme="minorHAnsi" w:hAnsiTheme="minorHAnsi"/>
          <w:snapToGrid w:val="0"/>
        </w:rPr>
        <w:t>receive</w:t>
      </w:r>
      <w:r w:rsidR="0020686A" w:rsidRPr="008E7C4C">
        <w:rPr>
          <w:rFonts w:asciiTheme="minorHAnsi" w:hAnsiTheme="minorHAnsi"/>
          <w:snapToGrid w:val="0"/>
        </w:rPr>
        <w:t>d</w:t>
      </w:r>
      <w:r w:rsidR="00BF4C4F" w:rsidRPr="008E7C4C">
        <w:rPr>
          <w:rFonts w:asciiTheme="minorHAnsi" w:hAnsiTheme="minorHAnsi"/>
          <w:snapToGrid w:val="0"/>
        </w:rPr>
        <w:t xml:space="preserve"> treatments which were available in Australia</w:t>
      </w:r>
      <w:r w:rsidR="0020686A" w:rsidRPr="008E7C4C">
        <w:rPr>
          <w:rFonts w:asciiTheme="minorHAnsi" w:hAnsiTheme="minorHAnsi"/>
          <w:snapToGrid w:val="0"/>
        </w:rPr>
        <w:t xml:space="preserve"> (</w:t>
      </w:r>
      <w:r w:rsidR="00F46628" w:rsidRPr="008E7C4C">
        <w:rPr>
          <w:rFonts w:asciiTheme="minorHAnsi" w:hAnsiTheme="minorHAnsi"/>
          <w:snapToGrid w:val="0"/>
        </w:rPr>
        <w:t>see paragraph 6.</w:t>
      </w:r>
      <w:r w:rsidR="008E7C4C" w:rsidRPr="008E7C4C">
        <w:rPr>
          <w:rFonts w:asciiTheme="minorHAnsi" w:hAnsiTheme="minorHAnsi"/>
          <w:snapToGrid w:val="0"/>
        </w:rPr>
        <w:t>22</w:t>
      </w:r>
      <w:r w:rsidR="00BF4C4F" w:rsidRPr="008E7C4C">
        <w:rPr>
          <w:rFonts w:asciiTheme="minorHAnsi" w:hAnsiTheme="minorHAnsi"/>
          <w:snapToGrid w:val="0"/>
        </w:rPr>
        <w:t>).</w:t>
      </w:r>
    </w:p>
    <w:p w14:paraId="25CDBE63" w14:textId="255D02F5" w:rsidR="008E6F57" w:rsidRPr="008E7C4C" w:rsidRDefault="008E6F57" w:rsidP="008E6F57">
      <w:pPr>
        <w:keepNext/>
        <w:keepLines/>
        <w:ind w:left="1778" w:hanging="1778"/>
        <w:jc w:val="left"/>
        <w:rPr>
          <w:rFonts w:ascii="Arial Narrow" w:hAnsi="Arial Narrow" w:cs="Times New Roman"/>
          <w:b/>
          <w:bCs/>
          <w:sz w:val="20"/>
          <w:szCs w:val="18"/>
          <w:lang w:eastAsia="en-US"/>
        </w:rPr>
      </w:pPr>
      <w:r w:rsidRPr="008E7C4C">
        <w:rPr>
          <w:rFonts w:ascii="Arial Narrow" w:hAnsi="Arial Narrow" w:cs="Times New Roman"/>
          <w:b/>
          <w:bCs/>
          <w:sz w:val="20"/>
          <w:szCs w:val="18"/>
          <w:lang w:eastAsia="en-US"/>
        </w:rPr>
        <w:t xml:space="preserve">Table 8: Patients adjusted for in the </w:t>
      </w:r>
      <w:r w:rsidR="00730E97" w:rsidRPr="008E7C4C">
        <w:rPr>
          <w:rFonts w:ascii="Arial Narrow" w:hAnsi="Arial Narrow" w:cs="Times New Roman"/>
          <w:b/>
          <w:bCs/>
          <w:sz w:val="20"/>
          <w:szCs w:val="18"/>
          <w:lang w:eastAsia="en-US"/>
        </w:rPr>
        <w:t xml:space="preserve">subsequent </w:t>
      </w:r>
      <w:r w:rsidRPr="008E7C4C">
        <w:rPr>
          <w:rFonts w:ascii="Arial Narrow" w:hAnsi="Arial Narrow" w:cs="Times New Roman"/>
          <w:b/>
          <w:bCs/>
          <w:sz w:val="20"/>
          <w:szCs w:val="18"/>
          <w:lang w:eastAsia="en-US"/>
        </w:rPr>
        <w:t>treatment analyses.</w:t>
      </w:r>
    </w:p>
    <w:tbl>
      <w:tblPr>
        <w:tblStyle w:val="HTAsimpletab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2292"/>
        <w:gridCol w:w="2290"/>
      </w:tblGrid>
      <w:tr w:rsidR="00764910" w:rsidRPr="008E7C4C" w14:paraId="229915CE" w14:textId="77777777" w:rsidTr="00605285">
        <w:trPr>
          <w:cnfStyle w:val="100000000000" w:firstRow="1" w:lastRow="0" w:firstColumn="0" w:lastColumn="0" w:oddVBand="0" w:evenVBand="0" w:oddHBand="0" w:evenHBand="0" w:firstRowFirstColumn="0" w:firstRowLastColumn="0" w:lastRowFirstColumn="0" w:lastRowLastColumn="0"/>
          <w:trHeight w:val="20"/>
        </w:trPr>
        <w:tc>
          <w:tcPr>
            <w:tcW w:w="2459" w:type="pct"/>
            <w:vMerge w:val="restart"/>
            <w:hideMark/>
          </w:tcPr>
          <w:p w14:paraId="7AE02E3B" w14:textId="77777777" w:rsidR="00764910" w:rsidRPr="008E7C4C" w:rsidRDefault="00764910" w:rsidP="00605285">
            <w:pPr>
              <w:keepNext/>
              <w:spacing w:before="0" w:after="0"/>
              <w:ind w:left="170"/>
              <w:jc w:val="left"/>
              <w:rPr>
                <w:rFonts w:ascii="Arial Narrow" w:hAnsi="Arial Narrow" w:cstheme="minorHAnsi"/>
                <w:b w:val="0"/>
                <w:bCs/>
                <w:sz w:val="20"/>
                <w:szCs w:val="20"/>
                <w:lang w:val="en-AU" w:eastAsia="zh-CN"/>
              </w:rPr>
            </w:pPr>
            <w:r w:rsidRPr="008E7C4C">
              <w:rPr>
                <w:rFonts w:ascii="Arial Narrow" w:hAnsi="Arial Narrow" w:cstheme="minorHAnsi"/>
                <w:bCs/>
                <w:sz w:val="20"/>
                <w:szCs w:val="20"/>
                <w:lang w:val="en-AU" w:eastAsia="zh-CN"/>
              </w:rPr>
              <w:t> </w:t>
            </w:r>
          </w:p>
          <w:p w14:paraId="10B47B5A" w14:textId="055A9296" w:rsidR="00764910" w:rsidRPr="008E7C4C" w:rsidRDefault="00764910" w:rsidP="00605285">
            <w:pPr>
              <w:keepNext/>
              <w:spacing w:before="0" w:after="0"/>
              <w:ind w:left="170"/>
              <w:jc w:val="left"/>
              <w:rPr>
                <w:rFonts w:ascii="Arial Narrow" w:hAnsi="Arial Narrow" w:cstheme="minorHAnsi"/>
                <w:bCs/>
                <w:sz w:val="20"/>
                <w:szCs w:val="20"/>
                <w:lang w:val="en-AU" w:eastAsia="zh-CN"/>
              </w:rPr>
            </w:pPr>
            <w:r w:rsidRPr="008E7C4C">
              <w:rPr>
                <w:rFonts w:ascii="Arial Narrow" w:hAnsi="Arial Narrow" w:cstheme="minorHAnsi"/>
                <w:bCs/>
                <w:sz w:val="20"/>
                <w:szCs w:val="20"/>
                <w:lang w:val="en-AU" w:eastAsia="zh-CN"/>
              </w:rPr>
              <w:t> </w:t>
            </w:r>
          </w:p>
        </w:tc>
        <w:tc>
          <w:tcPr>
            <w:tcW w:w="2541" w:type="pct"/>
            <w:gridSpan w:val="2"/>
            <w:hideMark/>
          </w:tcPr>
          <w:p w14:paraId="76ECE47D" w14:textId="77777777" w:rsidR="00764910" w:rsidRPr="008E7C4C" w:rsidRDefault="00764910" w:rsidP="00605285">
            <w:pPr>
              <w:spacing w:before="0" w:after="0"/>
              <w:jc w:val="center"/>
              <w:rPr>
                <w:rFonts w:ascii="Arial Narrow" w:hAnsi="Arial Narrow" w:cs="Tahoma"/>
                <w:sz w:val="20"/>
                <w:szCs w:val="20"/>
                <w:lang w:val="en-AU"/>
              </w:rPr>
            </w:pPr>
            <w:r w:rsidRPr="008E7C4C">
              <w:rPr>
                <w:rFonts w:ascii="Arial Narrow" w:hAnsi="Arial Narrow" w:cs="Tahoma"/>
                <w:sz w:val="20"/>
                <w:szCs w:val="20"/>
                <w:lang w:val="en-AU"/>
              </w:rPr>
              <w:t>All subsequent lines</w:t>
            </w:r>
          </w:p>
        </w:tc>
      </w:tr>
      <w:tr w:rsidR="00764910" w:rsidRPr="008E7C4C" w14:paraId="1A2B529B" w14:textId="77777777" w:rsidTr="00764910">
        <w:trPr>
          <w:trHeight w:val="20"/>
        </w:trPr>
        <w:tc>
          <w:tcPr>
            <w:tcW w:w="2459" w:type="pct"/>
            <w:vMerge/>
            <w:hideMark/>
          </w:tcPr>
          <w:p w14:paraId="65E63A94" w14:textId="7761B816" w:rsidR="00764910" w:rsidRPr="008E7C4C" w:rsidRDefault="00764910" w:rsidP="00605285">
            <w:pPr>
              <w:keepNext/>
              <w:ind w:left="170"/>
              <w:jc w:val="left"/>
              <w:rPr>
                <w:rFonts w:ascii="Arial Narrow" w:hAnsi="Arial Narrow" w:cstheme="minorHAnsi"/>
                <w:bCs/>
                <w:sz w:val="20"/>
                <w:szCs w:val="20"/>
                <w:lang w:val="en-AU" w:eastAsia="zh-CN"/>
              </w:rPr>
            </w:pPr>
          </w:p>
        </w:tc>
        <w:tc>
          <w:tcPr>
            <w:tcW w:w="1271" w:type="pct"/>
            <w:hideMark/>
          </w:tcPr>
          <w:p w14:paraId="4C622930" w14:textId="77777777" w:rsidR="00764910" w:rsidRPr="008E7C4C" w:rsidRDefault="00764910" w:rsidP="00605285">
            <w:pPr>
              <w:jc w:val="center"/>
              <w:rPr>
                <w:rFonts w:ascii="Arial Narrow" w:hAnsi="Arial Narrow" w:cs="Tahoma"/>
                <w:b/>
                <w:sz w:val="20"/>
                <w:szCs w:val="20"/>
                <w:lang w:val="en-AU"/>
              </w:rPr>
            </w:pPr>
            <w:proofErr w:type="spellStart"/>
            <w:r w:rsidRPr="008E7C4C">
              <w:rPr>
                <w:rFonts w:ascii="Arial Narrow" w:hAnsi="Arial Narrow" w:cs="Tahoma"/>
                <w:b/>
                <w:sz w:val="20"/>
                <w:szCs w:val="20"/>
                <w:lang w:val="en-AU"/>
              </w:rPr>
              <w:t>ILd</w:t>
            </w:r>
            <w:proofErr w:type="spellEnd"/>
          </w:p>
        </w:tc>
        <w:tc>
          <w:tcPr>
            <w:tcW w:w="1270" w:type="pct"/>
            <w:hideMark/>
          </w:tcPr>
          <w:p w14:paraId="6CD30614" w14:textId="77777777" w:rsidR="00764910" w:rsidRPr="008E7C4C" w:rsidRDefault="00764910" w:rsidP="00605285">
            <w:pPr>
              <w:jc w:val="center"/>
              <w:rPr>
                <w:rFonts w:ascii="Arial Narrow" w:hAnsi="Arial Narrow" w:cs="Tahoma"/>
                <w:b/>
                <w:sz w:val="20"/>
                <w:szCs w:val="20"/>
                <w:lang w:val="en-AU"/>
              </w:rPr>
            </w:pPr>
            <w:proofErr w:type="spellStart"/>
            <w:r w:rsidRPr="008E7C4C">
              <w:rPr>
                <w:rFonts w:ascii="Arial Narrow" w:hAnsi="Arial Narrow" w:cs="Tahoma"/>
                <w:b/>
                <w:sz w:val="20"/>
                <w:szCs w:val="20"/>
                <w:lang w:val="en-AU"/>
              </w:rPr>
              <w:t>Ld</w:t>
            </w:r>
            <w:proofErr w:type="spellEnd"/>
          </w:p>
        </w:tc>
      </w:tr>
      <w:tr w:rsidR="0073687F" w:rsidRPr="008E7C4C" w14:paraId="548168C3" w14:textId="77777777" w:rsidTr="00764910">
        <w:trPr>
          <w:cnfStyle w:val="000000010000" w:firstRow="0" w:lastRow="0" w:firstColumn="0" w:lastColumn="0" w:oddVBand="0" w:evenVBand="0" w:oddHBand="0" w:evenHBand="1" w:firstRowFirstColumn="0" w:firstRowLastColumn="0" w:lastRowFirstColumn="0" w:lastRowLastColumn="0"/>
          <w:trHeight w:val="20"/>
        </w:trPr>
        <w:tc>
          <w:tcPr>
            <w:tcW w:w="2459" w:type="pct"/>
            <w:hideMark/>
          </w:tcPr>
          <w:p w14:paraId="0B0CC3B4" w14:textId="77777777" w:rsidR="0073687F" w:rsidRPr="008E7C4C" w:rsidRDefault="0073687F" w:rsidP="00605285">
            <w:pPr>
              <w:spacing w:before="0" w:after="0"/>
              <w:jc w:val="left"/>
              <w:rPr>
                <w:rFonts w:ascii="Arial Narrow" w:hAnsi="Arial Narrow" w:cs="Times New Roman"/>
                <w:sz w:val="20"/>
                <w:szCs w:val="20"/>
                <w:lang w:val="en-AU"/>
              </w:rPr>
            </w:pPr>
            <w:r w:rsidRPr="008E7C4C">
              <w:rPr>
                <w:rFonts w:ascii="Arial Narrow" w:hAnsi="Arial Narrow" w:cs="Times New Roman"/>
                <w:sz w:val="20"/>
                <w:szCs w:val="20"/>
                <w:lang w:val="en-AU"/>
              </w:rPr>
              <w:t>Daratumumab-based</w:t>
            </w:r>
          </w:p>
        </w:tc>
        <w:tc>
          <w:tcPr>
            <w:tcW w:w="1271" w:type="pct"/>
            <w:hideMark/>
          </w:tcPr>
          <w:p w14:paraId="03BC7722"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11</w:t>
            </w:r>
          </w:p>
        </w:tc>
        <w:tc>
          <w:tcPr>
            <w:tcW w:w="1270" w:type="pct"/>
            <w:hideMark/>
          </w:tcPr>
          <w:p w14:paraId="7033034E"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10</w:t>
            </w:r>
          </w:p>
        </w:tc>
      </w:tr>
      <w:tr w:rsidR="0073687F" w:rsidRPr="008E7C4C" w14:paraId="3B39F04B" w14:textId="77777777" w:rsidTr="00764910">
        <w:trPr>
          <w:trHeight w:val="20"/>
        </w:trPr>
        <w:tc>
          <w:tcPr>
            <w:tcW w:w="2459" w:type="pct"/>
            <w:hideMark/>
          </w:tcPr>
          <w:p w14:paraId="039CD344" w14:textId="77777777" w:rsidR="0073687F" w:rsidRPr="008E7C4C" w:rsidRDefault="0073687F" w:rsidP="00605285">
            <w:pPr>
              <w:jc w:val="left"/>
              <w:rPr>
                <w:rFonts w:ascii="Arial Narrow" w:hAnsi="Arial Narrow" w:cs="Times New Roman"/>
                <w:sz w:val="20"/>
                <w:szCs w:val="20"/>
                <w:lang w:val="en-AU"/>
              </w:rPr>
            </w:pPr>
            <w:r w:rsidRPr="008E7C4C">
              <w:rPr>
                <w:rFonts w:ascii="Arial Narrow" w:hAnsi="Arial Narrow" w:cs="Times New Roman"/>
                <w:sz w:val="20"/>
                <w:szCs w:val="20"/>
                <w:lang w:val="en-AU"/>
              </w:rPr>
              <w:t>Daratumumab + lenalidomide-based</w:t>
            </w:r>
          </w:p>
        </w:tc>
        <w:tc>
          <w:tcPr>
            <w:tcW w:w="1271" w:type="pct"/>
            <w:hideMark/>
          </w:tcPr>
          <w:p w14:paraId="326183B0"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1</w:t>
            </w:r>
          </w:p>
        </w:tc>
        <w:tc>
          <w:tcPr>
            <w:tcW w:w="1270" w:type="pct"/>
            <w:hideMark/>
          </w:tcPr>
          <w:p w14:paraId="6205C250"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0</w:t>
            </w:r>
          </w:p>
        </w:tc>
      </w:tr>
      <w:tr w:rsidR="0073687F" w:rsidRPr="008E7C4C" w14:paraId="1471B6AC" w14:textId="77777777" w:rsidTr="00764910">
        <w:trPr>
          <w:cnfStyle w:val="000000010000" w:firstRow="0" w:lastRow="0" w:firstColumn="0" w:lastColumn="0" w:oddVBand="0" w:evenVBand="0" w:oddHBand="0" w:evenHBand="1" w:firstRowFirstColumn="0" w:firstRowLastColumn="0" w:lastRowFirstColumn="0" w:lastRowLastColumn="0"/>
          <w:trHeight w:val="20"/>
        </w:trPr>
        <w:tc>
          <w:tcPr>
            <w:tcW w:w="2459" w:type="pct"/>
            <w:hideMark/>
          </w:tcPr>
          <w:p w14:paraId="38C43DDF" w14:textId="77777777" w:rsidR="0073687F" w:rsidRPr="008E7C4C" w:rsidRDefault="0073687F" w:rsidP="00605285">
            <w:pPr>
              <w:spacing w:before="0" w:after="0"/>
              <w:jc w:val="left"/>
              <w:rPr>
                <w:rFonts w:ascii="Arial Narrow" w:hAnsi="Arial Narrow" w:cs="Times New Roman"/>
                <w:sz w:val="20"/>
                <w:szCs w:val="20"/>
                <w:lang w:val="en-AU"/>
              </w:rPr>
            </w:pPr>
            <w:r w:rsidRPr="008E7C4C">
              <w:rPr>
                <w:rFonts w:ascii="Arial Narrow" w:hAnsi="Arial Narrow" w:cs="Times New Roman"/>
                <w:sz w:val="20"/>
                <w:szCs w:val="20"/>
                <w:lang w:val="en-AU"/>
              </w:rPr>
              <w:t>Carfilzomib-based</w:t>
            </w:r>
          </w:p>
        </w:tc>
        <w:tc>
          <w:tcPr>
            <w:tcW w:w="1271" w:type="pct"/>
            <w:hideMark/>
          </w:tcPr>
          <w:p w14:paraId="5B865892"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18</w:t>
            </w:r>
          </w:p>
        </w:tc>
        <w:tc>
          <w:tcPr>
            <w:tcW w:w="1270" w:type="pct"/>
            <w:hideMark/>
          </w:tcPr>
          <w:p w14:paraId="4C00BA98"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13</w:t>
            </w:r>
          </w:p>
        </w:tc>
      </w:tr>
      <w:tr w:rsidR="0073687F" w:rsidRPr="008E7C4C" w14:paraId="6ABCDDF1" w14:textId="77777777" w:rsidTr="00764910">
        <w:trPr>
          <w:trHeight w:val="20"/>
        </w:trPr>
        <w:tc>
          <w:tcPr>
            <w:tcW w:w="2459" w:type="pct"/>
            <w:hideMark/>
          </w:tcPr>
          <w:p w14:paraId="6979A020" w14:textId="77777777" w:rsidR="0073687F" w:rsidRPr="008E7C4C" w:rsidRDefault="0073687F" w:rsidP="00605285">
            <w:pPr>
              <w:jc w:val="left"/>
              <w:rPr>
                <w:rFonts w:ascii="Arial Narrow" w:hAnsi="Arial Narrow" w:cs="Times New Roman"/>
                <w:sz w:val="20"/>
                <w:szCs w:val="20"/>
                <w:lang w:val="en-AU"/>
              </w:rPr>
            </w:pPr>
            <w:proofErr w:type="spellStart"/>
            <w:r w:rsidRPr="008E7C4C">
              <w:rPr>
                <w:rFonts w:ascii="Arial Narrow" w:hAnsi="Arial Narrow" w:cs="Times New Roman"/>
                <w:sz w:val="20"/>
                <w:szCs w:val="20"/>
                <w:lang w:val="en-AU"/>
              </w:rPr>
              <w:t>Elotuzumab</w:t>
            </w:r>
            <w:proofErr w:type="spellEnd"/>
            <w:r w:rsidRPr="008E7C4C">
              <w:rPr>
                <w:rFonts w:ascii="Arial Narrow" w:hAnsi="Arial Narrow" w:cs="Times New Roman"/>
                <w:sz w:val="20"/>
                <w:szCs w:val="20"/>
                <w:lang w:val="en-AU"/>
              </w:rPr>
              <w:t>-based</w:t>
            </w:r>
          </w:p>
        </w:tc>
        <w:tc>
          <w:tcPr>
            <w:tcW w:w="1271" w:type="pct"/>
            <w:hideMark/>
          </w:tcPr>
          <w:p w14:paraId="7A00DBF0"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2</w:t>
            </w:r>
          </w:p>
        </w:tc>
        <w:tc>
          <w:tcPr>
            <w:tcW w:w="1270" w:type="pct"/>
            <w:hideMark/>
          </w:tcPr>
          <w:p w14:paraId="0E02911C"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4</w:t>
            </w:r>
          </w:p>
        </w:tc>
      </w:tr>
      <w:tr w:rsidR="0073687F" w:rsidRPr="008E7C4C" w14:paraId="7F6EF0DD" w14:textId="77777777" w:rsidTr="00764910">
        <w:trPr>
          <w:cnfStyle w:val="000000010000" w:firstRow="0" w:lastRow="0" w:firstColumn="0" w:lastColumn="0" w:oddVBand="0" w:evenVBand="0" w:oddHBand="0" w:evenHBand="1" w:firstRowFirstColumn="0" w:firstRowLastColumn="0" w:lastRowFirstColumn="0" w:lastRowLastColumn="0"/>
          <w:trHeight w:val="20"/>
        </w:trPr>
        <w:tc>
          <w:tcPr>
            <w:tcW w:w="2459" w:type="pct"/>
            <w:hideMark/>
          </w:tcPr>
          <w:p w14:paraId="6A9B43E9" w14:textId="77777777" w:rsidR="0073687F" w:rsidRPr="008E7C4C" w:rsidRDefault="0073687F" w:rsidP="00605285">
            <w:pPr>
              <w:spacing w:before="0" w:after="0"/>
              <w:jc w:val="left"/>
              <w:rPr>
                <w:rFonts w:ascii="Arial Narrow" w:hAnsi="Arial Narrow" w:cs="Times New Roman"/>
                <w:sz w:val="20"/>
                <w:szCs w:val="20"/>
                <w:lang w:val="en-AU"/>
              </w:rPr>
            </w:pPr>
            <w:proofErr w:type="spellStart"/>
            <w:r w:rsidRPr="008E7C4C">
              <w:rPr>
                <w:rFonts w:ascii="Arial Narrow" w:hAnsi="Arial Narrow" w:cs="Times New Roman"/>
                <w:sz w:val="20"/>
                <w:szCs w:val="20"/>
                <w:lang w:val="en-AU"/>
              </w:rPr>
              <w:t>Isatuximab</w:t>
            </w:r>
            <w:proofErr w:type="spellEnd"/>
            <w:r w:rsidRPr="008E7C4C">
              <w:rPr>
                <w:rFonts w:ascii="Arial Narrow" w:hAnsi="Arial Narrow" w:cs="Times New Roman"/>
                <w:sz w:val="20"/>
                <w:szCs w:val="20"/>
                <w:lang w:val="en-AU"/>
              </w:rPr>
              <w:t>-based</w:t>
            </w:r>
          </w:p>
        </w:tc>
        <w:tc>
          <w:tcPr>
            <w:tcW w:w="1271" w:type="pct"/>
            <w:hideMark/>
          </w:tcPr>
          <w:p w14:paraId="618927EC"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1</w:t>
            </w:r>
          </w:p>
        </w:tc>
        <w:tc>
          <w:tcPr>
            <w:tcW w:w="1270" w:type="pct"/>
            <w:hideMark/>
          </w:tcPr>
          <w:p w14:paraId="65CD6040"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0</w:t>
            </w:r>
          </w:p>
        </w:tc>
      </w:tr>
      <w:tr w:rsidR="0073687F" w:rsidRPr="008E7C4C" w14:paraId="104681EA" w14:textId="77777777" w:rsidTr="00764910">
        <w:trPr>
          <w:trHeight w:val="20"/>
        </w:trPr>
        <w:tc>
          <w:tcPr>
            <w:tcW w:w="2459" w:type="pct"/>
            <w:hideMark/>
          </w:tcPr>
          <w:p w14:paraId="5E1B3DB4" w14:textId="77777777" w:rsidR="0073687F" w:rsidRPr="008E7C4C" w:rsidRDefault="0073687F" w:rsidP="00605285">
            <w:pPr>
              <w:jc w:val="left"/>
              <w:rPr>
                <w:rFonts w:ascii="Arial Narrow" w:hAnsi="Arial Narrow" w:cs="Times New Roman"/>
                <w:sz w:val="20"/>
                <w:szCs w:val="20"/>
                <w:lang w:val="en-AU"/>
              </w:rPr>
            </w:pPr>
            <w:r w:rsidRPr="008E7C4C">
              <w:rPr>
                <w:rFonts w:ascii="Arial Narrow" w:hAnsi="Arial Narrow" w:cs="Times New Roman"/>
                <w:sz w:val="20"/>
                <w:szCs w:val="20"/>
                <w:lang w:val="en-AU"/>
              </w:rPr>
              <w:t>Lenalidomide-based</w:t>
            </w:r>
          </w:p>
        </w:tc>
        <w:tc>
          <w:tcPr>
            <w:tcW w:w="1271" w:type="pct"/>
            <w:hideMark/>
          </w:tcPr>
          <w:p w14:paraId="561B0020"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14</w:t>
            </w:r>
          </w:p>
        </w:tc>
        <w:tc>
          <w:tcPr>
            <w:tcW w:w="1270" w:type="pct"/>
            <w:hideMark/>
          </w:tcPr>
          <w:p w14:paraId="64E0AE61"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8</w:t>
            </w:r>
          </w:p>
        </w:tc>
      </w:tr>
      <w:tr w:rsidR="0073687F" w:rsidRPr="008E7C4C" w14:paraId="6B68CCCC" w14:textId="77777777" w:rsidTr="00764910">
        <w:trPr>
          <w:cnfStyle w:val="000000010000" w:firstRow="0" w:lastRow="0" w:firstColumn="0" w:lastColumn="0" w:oddVBand="0" w:evenVBand="0" w:oddHBand="0" w:evenHBand="1" w:firstRowFirstColumn="0" w:firstRowLastColumn="0" w:lastRowFirstColumn="0" w:lastRowLastColumn="0"/>
          <w:trHeight w:val="20"/>
        </w:trPr>
        <w:tc>
          <w:tcPr>
            <w:tcW w:w="2459" w:type="pct"/>
            <w:hideMark/>
          </w:tcPr>
          <w:p w14:paraId="7BF29D22" w14:textId="77777777" w:rsidR="0073687F" w:rsidRPr="008E7C4C" w:rsidRDefault="0073687F" w:rsidP="00605285">
            <w:pPr>
              <w:spacing w:before="0" w:after="0"/>
              <w:jc w:val="left"/>
              <w:rPr>
                <w:rFonts w:ascii="Arial Narrow" w:hAnsi="Arial Narrow" w:cs="Times New Roman"/>
                <w:sz w:val="20"/>
                <w:szCs w:val="20"/>
                <w:lang w:val="en-AU"/>
              </w:rPr>
            </w:pPr>
            <w:proofErr w:type="spellStart"/>
            <w:r w:rsidRPr="008E7C4C">
              <w:rPr>
                <w:rFonts w:ascii="Arial Narrow" w:hAnsi="Arial Narrow" w:cs="Times New Roman"/>
                <w:sz w:val="20"/>
                <w:szCs w:val="20"/>
                <w:lang w:val="en-AU"/>
              </w:rPr>
              <w:t>Ixazomib</w:t>
            </w:r>
            <w:proofErr w:type="spellEnd"/>
            <w:r w:rsidRPr="008E7C4C">
              <w:rPr>
                <w:rFonts w:ascii="Arial Narrow" w:hAnsi="Arial Narrow" w:cs="Times New Roman"/>
                <w:sz w:val="20"/>
                <w:szCs w:val="20"/>
                <w:lang w:val="en-AU"/>
              </w:rPr>
              <w:t>-based</w:t>
            </w:r>
          </w:p>
        </w:tc>
        <w:tc>
          <w:tcPr>
            <w:tcW w:w="1271" w:type="pct"/>
            <w:hideMark/>
          </w:tcPr>
          <w:p w14:paraId="25832B39"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3</w:t>
            </w:r>
          </w:p>
        </w:tc>
        <w:tc>
          <w:tcPr>
            <w:tcW w:w="1270" w:type="pct"/>
            <w:hideMark/>
          </w:tcPr>
          <w:p w14:paraId="341DE593"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5</w:t>
            </w:r>
          </w:p>
        </w:tc>
      </w:tr>
      <w:tr w:rsidR="0073687F" w:rsidRPr="008E7C4C" w14:paraId="081D37F0" w14:textId="77777777" w:rsidTr="00764910">
        <w:trPr>
          <w:trHeight w:val="20"/>
        </w:trPr>
        <w:tc>
          <w:tcPr>
            <w:tcW w:w="2459" w:type="pct"/>
            <w:hideMark/>
          </w:tcPr>
          <w:p w14:paraId="2E859D3B" w14:textId="77777777" w:rsidR="0073687F" w:rsidRPr="008E7C4C" w:rsidRDefault="0073687F" w:rsidP="00605285">
            <w:pPr>
              <w:jc w:val="left"/>
              <w:rPr>
                <w:rFonts w:ascii="Arial Narrow" w:hAnsi="Arial Narrow" w:cs="Times New Roman"/>
                <w:sz w:val="20"/>
                <w:szCs w:val="20"/>
                <w:lang w:val="en-AU"/>
              </w:rPr>
            </w:pPr>
            <w:proofErr w:type="spellStart"/>
            <w:r w:rsidRPr="008E7C4C">
              <w:rPr>
                <w:rFonts w:ascii="Arial Narrow" w:hAnsi="Arial Narrow" w:cs="Times New Roman"/>
                <w:sz w:val="20"/>
                <w:szCs w:val="20"/>
                <w:lang w:val="en-AU"/>
              </w:rPr>
              <w:t>Plitidepsin</w:t>
            </w:r>
            <w:proofErr w:type="spellEnd"/>
            <w:r w:rsidRPr="008E7C4C">
              <w:rPr>
                <w:rFonts w:ascii="Arial Narrow" w:hAnsi="Arial Narrow" w:cs="Times New Roman"/>
                <w:sz w:val="20"/>
                <w:szCs w:val="20"/>
                <w:lang w:val="en-AU"/>
              </w:rPr>
              <w:t>-based</w:t>
            </w:r>
          </w:p>
        </w:tc>
        <w:tc>
          <w:tcPr>
            <w:tcW w:w="1271" w:type="pct"/>
            <w:hideMark/>
          </w:tcPr>
          <w:p w14:paraId="56EDA24B"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2</w:t>
            </w:r>
          </w:p>
        </w:tc>
        <w:tc>
          <w:tcPr>
            <w:tcW w:w="1270" w:type="pct"/>
            <w:hideMark/>
          </w:tcPr>
          <w:p w14:paraId="75780A7C"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1</w:t>
            </w:r>
          </w:p>
        </w:tc>
      </w:tr>
      <w:tr w:rsidR="0073687F" w:rsidRPr="008E7C4C" w14:paraId="6FED1C31" w14:textId="77777777" w:rsidTr="00764910">
        <w:trPr>
          <w:cnfStyle w:val="000000010000" w:firstRow="0" w:lastRow="0" w:firstColumn="0" w:lastColumn="0" w:oddVBand="0" w:evenVBand="0" w:oddHBand="0" w:evenHBand="1" w:firstRowFirstColumn="0" w:firstRowLastColumn="0" w:lastRowFirstColumn="0" w:lastRowLastColumn="0"/>
          <w:trHeight w:val="20"/>
        </w:trPr>
        <w:tc>
          <w:tcPr>
            <w:tcW w:w="2459" w:type="pct"/>
            <w:hideMark/>
          </w:tcPr>
          <w:p w14:paraId="63F79EFE" w14:textId="77777777" w:rsidR="0073687F" w:rsidRPr="008E7C4C" w:rsidRDefault="0073687F" w:rsidP="00605285">
            <w:pPr>
              <w:spacing w:before="0" w:after="0"/>
              <w:jc w:val="left"/>
              <w:rPr>
                <w:rFonts w:ascii="Arial Narrow" w:hAnsi="Arial Narrow" w:cs="Times New Roman"/>
                <w:sz w:val="20"/>
                <w:szCs w:val="20"/>
                <w:lang w:val="en-AU"/>
              </w:rPr>
            </w:pPr>
            <w:r w:rsidRPr="008E7C4C">
              <w:rPr>
                <w:rFonts w:ascii="Arial Narrow" w:hAnsi="Arial Narrow" w:cs="Times New Roman"/>
                <w:sz w:val="20"/>
                <w:szCs w:val="20"/>
                <w:lang w:val="en-AU"/>
              </w:rPr>
              <w:t>Cetuximab-based</w:t>
            </w:r>
          </w:p>
        </w:tc>
        <w:tc>
          <w:tcPr>
            <w:tcW w:w="1271" w:type="pct"/>
            <w:hideMark/>
          </w:tcPr>
          <w:p w14:paraId="2D9B67F1"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1</w:t>
            </w:r>
          </w:p>
        </w:tc>
        <w:tc>
          <w:tcPr>
            <w:tcW w:w="1270" w:type="pct"/>
            <w:hideMark/>
          </w:tcPr>
          <w:p w14:paraId="3DEF5115"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0</w:t>
            </w:r>
          </w:p>
        </w:tc>
      </w:tr>
      <w:tr w:rsidR="0073687F" w:rsidRPr="008E7C4C" w14:paraId="1391FA79" w14:textId="77777777" w:rsidTr="00764910">
        <w:trPr>
          <w:trHeight w:val="20"/>
        </w:trPr>
        <w:tc>
          <w:tcPr>
            <w:tcW w:w="2459" w:type="pct"/>
            <w:hideMark/>
          </w:tcPr>
          <w:p w14:paraId="765F8054" w14:textId="77777777" w:rsidR="0073687F" w:rsidRPr="008E7C4C" w:rsidRDefault="0073687F" w:rsidP="00605285">
            <w:pPr>
              <w:jc w:val="left"/>
              <w:rPr>
                <w:rFonts w:ascii="Arial Narrow" w:hAnsi="Arial Narrow" w:cs="Times New Roman"/>
                <w:sz w:val="20"/>
                <w:szCs w:val="20"/>
                <w:lang w:val="en-AU"/>
              </w:rPr>
            </w:pPr>
            <w:r w:rsidRPr="008E7C4C">
              <w:rPr>
                <w:rFonts w:ascii="Arial Narrow" w:hAnsi="Arial Narrow" w:cs="Times New Roman"/>
                <w:sz w:val="20"/>
                <w:szCs w:val="20"/>
                <w:lang w:val="en-AU"/>
              </w:rPr>
              <w:t>Pembrolizumab-based</w:t>
            </w:r>
          </w:p>
        </w:tc>
        <w:tc>
          <w:tcPr>
            <w:tcW w:w="1271" w:type="pct"/>
            <w:hideMark/>
          </w:tcPr>
          <w:p w14:paraId="48CB1286"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2</w:t>
            </w:r>
          </w:p>
        </w:tc>
        <w:tc>
          <w:tcPr>
            <w:tcW w:w="1270" w:type="pct"/>
            <w:hideMark/>
          </w:tcPr>
          <w:p w14:paraId="319269D5"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1</w:t>
            </w:r>
          </w:p>
        </w:tc>
      </w:tr>
      <w:tr w:rsidR="0073687F" w:rsidRPr="008E7C4C" w14:paraId="0ACD445F" w14:textId="77777777" w:rsidTr="00764910">
        <w:trPr>
          <w:cnfStyle w:val="000000010000" w:firstRow="0" w:lastRow="0" w:firstColumn="0" w:lastColumn="0" w:oddVBand="0" w:evenVBand="0" w:oddHBand="0" w:evenHBand="1" w:firstRowFirstColumn="0" w:firstRowLastColumn="0" w:lastRowFirstColumn="0" w:lastRowLastColumn="0"/>
          <w:trHeight w:val="20"/>
        </w:trPr>
        <w:tc>
          <w:tcPr>
            <w:tcW w:w="2459" w:type="pct"/>
            <w:hideMark/>
          </w:tcPr>
          <w:p w14:paraId="6242BEF5" w14:textId="77777777" w:rsidR="0073687F" w:rsidRPr="008E7C4C" w:rsidRDefault="0073687F" w:rsidP="00605285">
            <w:pPr>
              <w:spacing w:before="0" w:after="0"/>
              <w:jc w:val="left"/>
              <w:rPr>
                <w:rFonts w:ascii="Arial Narrow" w:hAnsi="Arial Narrow" w:cs="Times New Roman"/>
                <w:sz w:val="20"/>
                <w:szCs w:val="20"/>
                <w:lang w:val="en-AU"/>
              </w:rPr>
            </w:pPr>
            <w:r w:rsidRPr="008E7C4C">
              <w:rPr>
                <w:rFonts w:ascii="Arial Narrow" w:hAnsi="Arial Narrow" w:cs="Times New Roman"/>
                <w:sz w:val="20"/>
                <w:szCs w:val="20"/>
                <w:lang w:val="en-AU"/>
              </w:rPr>
              <w:t>Stem cell transplant</w:t>
            </w:r>
          </w:p>
        </w:tc>
        <w:tc>
          <w:tcPr>
            <w:tcW w:w="1271" w:type="pct"/>
            <w:hideMark/>
          </w:tcPr>
          <w:p w14:paraId="35A4B664"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0</w:t>
            </w:r>
          </w:p>
        </w:tc>
        <w:tc>
          <w:tcPr>
            <w:tcW w:w="1270" w:type="pct"/>
            <w:hideMark/>
          </w:tcPr>
          <w:p w14:paraId="0AF5D7B3"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5</w:t>
            </w:r>
          </w:p>
        </w:tc>
      </w:tr>
      <w:tr w:rsidR="0073687F" w:rsidRPr="008E7C4C" w14:paraId="518A5CC5" w14:textId="77777777" w:rsidTr="00764910">
        <w:trPr>
          <w:trHeight w:val="20"/>
        </w:trPr>
        <w:tc>
          <w:tcPr>
            <w:tcW w:w="2459" w:type="pct"/>
            <w:hideMark/>
          </w:tcPr>
          <w:p w14:paraId="7FC495BF" w14:textId="77777777" w:rsidR="0073687F" w:rsidRPr="008E7C4C" w:rsidRDefault="0073687F" w:rsidP="00605285">
            <w:pPr>
              <w:jc w:val="left"/>
              <w:rPr>
                <w:rFonts w:ascii="Arial Narrow" w:hAnsi="Arial Narrow" w:cs="Times New Roman"/>
                <w:sz w:val="20"/>
                <w:szCs w:val="20"/>
                <w:lang w:val="en-AU"/>
              </w:rPr>
            </w:pPr>
            <w:r w:rsidRPr="008E7C4C">
              <w:rPr>
                <w:rFonts w:ascii="Arial Narrow" w:hAnsi="Arial Narrow" w:cs="Times New Roman"/>
                <w:sz w:val="20"/>
                <w:szCs w:val="20"/>
                <w:lang w:val="en-AU"/>
              </w:rPr>
              <w:t>Bortezomib + lenalidomide + dexamethasone</w:t>
            </w:r>
          </w:p>
        </w:tc>
        <w:tc>
          <w:tcPr>
            <w:tcW w:w="1271" w:type="pct"/>
            <w:hideMark/>
          </w:tcPr>
          <w:p w14:paraId="33B1CB28"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2</w:t>
            </w:r>
          </w:p>
        </w:tc>
        <w:tc>
          <w:tcPr>
            <w:tcW w:w="1270" w:type="pct"/>
            <w:hideMark/>
          </w:tcPr>
          <w:p w14:paraId="46CB804B"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1</w:t>
            </w:r>
          </w:p>
        </w:tc>
      </w:tr>
      <w:tr w:rsidR="0073687F" w:rsidRPr="008E7C4C" w14:paraId="3806F153" w14:textId="77777777" w:rsidTr="00764910">
        <w:trPr>
          <w:cnfStyle w:val="000000010000" w:firstRow="0" w:lastRow="0" w:firstColumn="0" w:lastColumn="0" w:oddVBand="0" w:evenVBand="0" w:oddHBand="0" w:evenHBand="1" w:firstRowFirstColumn="0" w:firstRowLastColumn="0" w:lastRowFirstColumn="0" w:lastRowLastColumn="0"/>
          <w:trHeight w:val="20"/>
        </w:trPr>
        <w:tc>
          <w:tcPr>
            <w:tcW w:w="2459" w:type="pct"/>
            <w:hideMark/>
          </w:tcPr>
          <w:p w14:paraId="4415D0F3" w14:textId="77777777" w:rsidR="0073687F" w:rsidRPr="008E7C4C" w:rsidRDefault="0073687F" w:rsidP="00605285">
            <w:pPr>
              <w:spacing w:before="0" w:after="0"/>
              <w:jc w:val="left"/>
              <w:rPr>
                <w:rFonts w:ascii="Arial Narrow" w:hAnsi="Arial Narrow" w:cs="Times New Roman"/>
                <w:sz w:val="20"/>
                <w:szCs w:val="20"/>
                <w:lang w:val="en-AU"/>
              </w:rPr>
            </w:pPr>
            <w:r w:rsidRPr="008E7C4C">
              <w:rPr>
                <w:rFonts w:ascii="Arial Narrow" w:hAnsi="Arial Narrow" w:cs="Times New Roman"/>
                <w:sz w:val="20"/>
                <w:szCs w:val="20"/>
                <w:lang w:val="en-AU"/>
              </w:rPr>
              <w:t>Pomalidomide + bortezomib + dexamethasone</w:t>
            </w:r>
          </w:p>
        </w:tc>
        <w:tc>
          <w:tcPr>
            <w:tcW w:w="1271" w:type="pct"/>
            <w:hideMark/>
          </w:tcPr>
          <w:p w14:paraId="13FDDCE3"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2</w:t>
            </w:r>
          </w:p>
        </w:tc>
        <w:tc>
          <w:tcPr>
            <w:tcW w:w="1270" w:type="pct"/>
            <w:hideMark/>
          </w:tcPr>
          <w:p w14:paraId="0D0FA571" w14:textId="77777777" w:rsidR="0073687F" w:rsidRPr="008E7C4C" w:rsidRDefault="0073687F" w:rsidP="00605285">
            <w:pPr>
              <w:spacing w:before="0" w:after="0"/>
              <w:jc w:val="center"/>
              <w:rPr>
                <w:rFonts w:ascii="Arial Narrow" w:hAnsi="Arial Narrow" w:cstheme="minorHAnsi"/>
                <w:sz w:val="20"/>
                <w:szCs w:val="20"/>
                <w:lang w:val="en-AU"/>
              </w:rPr>
            </w:pPr>
            <w:r w:rsidRPr="008E7C4C">
              <w:rPr>
                <w:rFonts w:ascii="Arial Narrow" w:hAnsi="Arial Narrow" w:cstheme="minorHAnsi"/>
                <w:sz w:val="20"/>
                <w:szCs w:val="20"/>
                <w:lang w:val="en-AU"/>
              </w:rPr>
              <w:t>3</w:t>
            </w:r>
          </w:p>
        </w:tc>
      </w:tr>
      <w:tr w:rsidR="0073687F" w:rsidRPr="008E7C4C" w14:paraId="675791CD" w14:textId="77777777" w:rsidTr="00764910">
        <w:trPr>
          <w:trHeight w:val="20"/>
        </w:trPr>
        <w:tc>
          <w:tcPr>
            <w:tcW w:w="2459" w:type="pct"/>
            <w:hideMark/>
          </w:tcPr>
          <w:p w14:paraId="7D64BDBD" w14:textId="77777777" w:rsidR="0073687F" w:rsidRPr="008E7C4C" w:rsidRDefault="0073687F" w:rsidP="00605285">
            <w:pPr>
              <w:jc w:val="left"/>
              <w:rPr>
                <w:rFonts w:ascii="Arial Narrow" w:hAnsi="Arial Narrow" w:cs="Times New Roman"/>
                <w:sz w:val="20"/>
                <w:szCs w:val="20"/>
                <w:lang w:val="en-AU"/>
              </w:rPr>
            </w:pPr>
            <w:r w:rsidRPr="008E7C4C">
              <w:rPr>
                <w:rFonts w:ascii="Arial Narrow" w:hAnsi="Arial Narrow" w:cs="Times New Roman"/>
                <w:sz w:val="20"/>
                <w:szCs w:val="20"/>
                <w:lang w:val="en-AU"/>
              </w:rPr>
              <w:t>Nivolumab-based</w:t>
            </w:r>
          </w:p>
        </w:tc>
        <w:tc>
          <w:tcPr>
            <w:tcW w:w="1271" w:type="pct"/>
            <w:hideMark/>
          </w:tcPr>
          <w:p w14:paraId="1CCFEB88"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0</w:t>
            </w:r>
          </w:p>
        </w:tc>
        <w:tc>
          <w:tcPr>
            <w:tcW w:w="1270" w:type="pct"/>
            <w:hideMark/>
          </w:tcPr>
          <w:p w14:paraId="6F8B7B39" w14:textId="77777777" w:rsidR="0073687F" w:rsidRPr="008E7C4C" w:rsidRDefault="0073687F" w:rsidP="00605285">
            <w:pPr>
              <w:jc w:val="center"/>
              <w:rPr>
                <w:rFonts w:ascii="Arial Narrow" w:hAnsi="Arial Narrow" w:cstheme="minorHAnsi"/>
                <w:sz w:val="20"/>
                <w:szCs w:val="20"/>
                <w:lang w:val="en-AU"/>
              </w:rPr>
            </w:pPr>
            <w:r w:rsidRPr="008E7C4C">
              <w:rPr>
                <w:rFonts w:ascii="Arial Narrow" w:hAnsi="Arial Narrow" w:cstheme="minorHAnsi"/>
                <w:sz w:val="20"/>
                <w:szCs w:val="20"/>
                <w:lang w:val="en-AU"/>
              </w:rPr>
              <w:t>1</w:t>
            </w:r>
          </w:p>
        </w:tc>
      </w:tr>
      <w:tr w:rsidR="0073687F" w:rsidRPr="008E7C4C" w14:paraId="1276FC82" w14:textId="77777777" w:rsidTr="00764910">
        <w:trPr>
          <w:cnfStyle w:val="000000010000" w:firstRow="0" w:lastRow="0" w:firstColumn="0" w:lastColumn="0" w:oddVBand="0" w:evenVBand="0" w:oddHBand="0" w:evenHBand="1" w:firstRowFirstColumn="0" w:firstRowLastColumn="0" w:lastRowFirstColumn="0" w:lastRowLastColumn="0"/>
          <w:trHeight w:val="20"/>
        </w:trPr>
        <w:tc>
          <w:tcPr>
            <w:tcW w:w="2459" w:type="pct"/>
          </w:tcPr>
          <w:p w14:paraId="25815C63" w14:textId="77777777" w:rsidR="0073687F" w:rsidRPr="008E7C4C" w:rsidRDefault="0073687F" w:rsidP="00605285">
            <w:pPr>
              <w:spacing w:before="0" w:after="0"/>
              <w:jc w:val="left"/>
              <w:rPr>
                <w:rFonts w:ascii="Arial Narrow" w:hAnsi="Arial Narrow" w:cs="Times New Roman"/>
                <w:b/>
                <w:bCs/>
                <w:iCs/>
                <w:sz w:val="20"/>
                <w:szCs w:val="20"/>
                <w:lang w:val="en-AU"/>
              </w:rPr>
            </w:pPr>
            <w:r w:rsidRPr="008E7C4C">
              <w:rPr>
                <w:rFonts w:ascii="Arial Narrow" w:hAnsi="Arial Narrow" w:cs="Times New Roman"/>
                <w:b/>
                <w:bCs/>
                <w:iCs/>
                <w:sz w:val="20"/>
                <w:szCs w:val="20"/>
                <w:lang w:val="en-AU"/>
              </w:rPr>
              <w:t>Total</w:t>
            </w:r>
          </w:p>
        </w:tc>
        <w:tc>
          <w:tcPr>
            <w:tcW w:w="1271" w:type="pct"/>
          </w:tcPr>
          <w:p w14:paraId="6EC1FF8E" w14:textId="77777777" w:rsidR="0073687F" w:rsidRPr="008E7C4C" w:rsidRDefault="0073687F" w:rsidP="00605285">
            <w:pPr>
              <w:spacing w:before="0" w:after="0"/>
              <w:jc w:val="center"/>
              <w:rPr>
                <w:rFonts w:ascii="Arial Narrow" w:hAnsi="Arial Narrow" w:cstheme="minorHAnsi"/>
                <w:b/>
                <w:bCs/>
                <w:iCs/>
                <w:sz w:val="20"/>
                <w:szCs w:val="20"/>
                <w:lang w:val="en-AU"/>
              </w:rPr>
            </w:pPr>
            <w:r w:rsidRPr="008E7C4C">
              <w:rPr>
                <w:rFonts w:ascii="Arial Narrow" w:hAnsi="Arial Narrow"/>
                <w:b/>
                <w:bCs/>
                <w:iCs/>
                <w:sz w:val="20"/>
                <w:szCs w:val="20"/>
                <w:lang w:val="en-AU"/>
              </w:rPr>
              <w:t>59</w:t>
            </w:r>
          </w:p>
        </w:tc>
        <w:tc>
          <w:tcPr>
            <w:tcW w:w="1270" w:type="pct"/>
          </w:tcPr>
          <w:p w14:paraId="2375D044" w14:textId="77777777" w:rsidR="0073687F" w:rsidRPr="008E7C4C" w:rsidRDefault="0073687F" w:rsidP="00605285">
            <w:pPr>
              <w:spacing w:before="0" w:after="0"/>
              <w:jc w:val="center"/>
              <w:rPr>
                <w:rFonts w:ascii="Arial Narrow" w:hAnsi="Arial Narrow" w:cstheme="minorHAnsi"/>
                <w:b/>
                <w:bCs/>
                <w:iCs/>
                <w:sz w:val="20"/>
                <w:szCs w:val="20"/>
                <w:lang w:val="en-AU"/>
              </w:rPr>
            </w:pPr>
            <w:r w:rsidRPr="008E7C4C">
              <w:rPr>
                <w:rFonts w:ascii="Arial Narrow" w:hAnsi="Arial Narrow"/>
                <w:b/>
                <w:bCs/>
                <w:iCs/>
                <w:sz w:val="20"/>
                <w:szCs w:val="20"/>
                <w:lang w:val="en-AU"/>
              </w:rPr>
              <w:t>52</w:t>
            </w:r>
          </w:p>
        </w:tc>
      </w:tr>
    </w:tbl>
    <w:p w14:paraId="79C1B931" w14:textId="754C59A1" w:rsidR="008E6F57" w:rsidRPr="008E7C4C" w:rsidRDefault="008E6F57" w:rsidP="00136562">
      <w:pPr>
        <w:pStyle w:val="PBACTableSource"/>
      </w:pPr>
      <w:r w:rsidRPr="008E7C4C">
        <w:t>Source: Table 2-18, pp68-69 of the resubmission.</w:t>
      </w:r>
    </w:p>
    <w:p w14:paraId="435806D5" w14:textId="2BF2C80E" w:rsidR="008E6F57" w:rsidRPr="008E7C4C" w:rsidRDefault="008E6F57" w:rsidP="00136562">
      <w:pPr>
        <w:pStyle w:val="PBACTableSource"/>
      </w:pPr>
      <w:proofErr w:type="spellStart"/>
      <w:r w:rsidRPr="008E7C4C">
        <w:t>ILd</w:t>
      </w:r>
      <w:proofErr w:type="spellEnd"/>
      <w:r w:rsidR="008B58A6" w:rsidRPr="008E7C4C">
        <w:t xml:space="preserve"> </w:t>
      </w:r>
      <w:r w:rsidRPr="008E7C4C">
        <w:t xml:space="preserve">= </w:t>
      </w:r>
      <w:proofErr w:type="spellStart"/>
      <w:r w:rsidRPr="008E7C4C">
        <w:t>ixazomib</w:t>
      </w:r>
      <w:proofErr w:type="spellEnd"/>
      <w:r w:rsidR="008B58A6" w:rsidRPr="008E7C4C">
        <w:t xml:space="preserve"> + </w:t>
      </w:r>
      <w:r w:rsidRPr="008E7C4C">
        <w:t>lenalidomide</w:t>
      </w:r>
      <w:r w:rsidR="008B58A6" w:rsidRPr="008E7C4C">
        <w:t xml:space="preserve"> +</w:t>
      </w:r>
      <w:r w:rsidRPr="008E7C4C">
        <w:t xml:space="preserve">dexamethasone; </w:t>
      </w:r>
      <w:proofErr w:type="spellStart"/>
      <w:r w:rsidRPr="008E7C4C">
        <w:t>Ld</w:t>
      </w:r>
      <w:proofErr w:type="spellEnd"/>
      <w:r w:rsidR="008B58A6" w:rsidRPr="008E7C4C">
        <w:t xml:space="preserve"> </w:t>
      </w:r>
      <w:r w:rsidRPr="008E7C4C">
        <w:t>= lenalidomide</w:t>
      </w:r>
      <w:r w:rsidR="008B58A6" w:rsidRPr="008E7C4C">
        <w:t xml:space="preserve"> + </w:t>
      </w:r>
      <w:r w:rsidRPr="008E7C4C">
        <w:t>dexamethasone</w:t>
      </w:r>
    </w:p>
    <w:p w14:paraId="48D42A7B" w14:textId="77777777" w:rsidR="00D46995" w:rsidRPr="008E7C4C" w:rsidRDefault="00D46995" w:rsidP="00C53258"/>
    <w:p w14:paraId="4A3DC58A" w14:textId="5ABD053A" w:rsidR="009A188C" w:rsidRPr="008E7C4C" w:rsidRDefault="009A188C" w:rsidP="009A188C">
      <w:pPr>
        <w:numPr>
          <w:ilvl w:val="1"/>
          <w:numId w:val="1"/>
        </w:numPr>
        <w:spacing w:after="120"/>
        <w:rPr>
          <w:rFonts w:asciiTheme="minorHAnsi" w:hAnsiTheme="minorHAnsi"/>
          <w:snapToGrid w:val="0"/>
          <w:lang w:eastAsia="en-US"/>
        </w:rPr>
      </w:pPr>
      <w:r w:rsidRPr="008E7C4C">
        <w:rPr>
          <w:rFonts w:asciiTheme="minorHAnsi" w:hAnsiTheme="minorHAnsi"/>
          <w:snapToGrid w:val="0"/>
          <w:lang w:eastAsia="en-US"/>
        </w:rPr>
        <w:t xml:space="preserve">Overall, the resubmission’s rationale for adjustment for </w:t>
      </w:r>
      <w:r w:rsidR="00730E97" w:rsidRPr="008E7C4C">
        <w:rPr>
          <w:rFonts w:asciiTheme="minorHAnsi" w:hAnsiTheme="minorHAnsi"/>
          <w:snapToGrid w:val="0"/>
          <w:lang w:eastAsia="en-US"/>
        </w:rPr>
        <w:t xml:space="preserve">subsequent </w:t>
      </w:r>
      <w:r w:rsidRPr="008E7C4C">
        <w:rPr>
          <w:rFonts w:asciiTheme="minorHAnsi" w:hAnsiTheme="minorHAnsi"/>
          <w:snapToGrid w:val="0"/>
          <w:lang w:eastAsia="en-US"/>
        </w:rPr>
        <w:t>treatment</w:t>
      </w:r>
      <w:r w:rsidR="00730E97" w:rsidRPr="008E7C4C">
        <w:rPr>
          <w:rFonts w:asciiTheme="minorHAnsi" w:hAnsiTheme="minorHAnsi"/>
          <w:snapToGrid w:val="0"/>
          <w:lang w:eastAsia="en-US"/>
        </w:rPr>
        <w:t>s</w:t>
      </w:r>
      <w:r w:rsidRPr="008E7C4C">
        <w:rPr>
          <w:rFonts w:asciiTheme="minorHAnsi" w:hAnsiTheme="minorHAnsi"/>
          <w:snapToGrid w:val="0"/>
          <w:lang w:eastAsia="en-US"/>
        </w:rPr>
        <w:t xml:space="preserve"> was considered inappropriate for the following reasons:</w:t>
      </w:r>
    </w:p>
    <w:p w14:paraId="3ED022DD" w14:textId="7B5813A2" w:rsidR="009A188C" w:rsidRPr="008E7C4C" w:rsidRDefault="009A188C" w:rsidP="003F4E26">
      <w:pPr>
        <w:numPr>
          <w:ilvl w:val="0"/>
          <w:numId w:val="7"/>
        </w:numPr>
        <w:spacing w:after="120"/>
        <w:ind w:left="1077" w:hanging="357"/>
        <w:rPr>
          <w:rFonts w:asciiTheme="minorHAnsi" w:hAnsiTheme="minorHAnsi"/>
          <w:snapToGrid w:val="0"/>
          <w:lang w:eastAsia="en-US"/>
        </w:rPr>
      </w:pPr>
      <w:r w:rsidRPr="008E7C4C">
        <w:rPr>
          <w:rFonts w:asciiTheme="minorHAnsi" w:hAnsiTheme="minorHAnsi"/>
          <w:snapToGrid w:val="0"/>
          <w:lang w:eastAsia="en-US"/>
        </w:rPr>
        <w:t xml:space="preserve">The resubmission did not provide baseline characteristics of </w:t>
      </w:r>
      <w:r w:rsidR="00730E97" w:rsidRPr="008E7C4C">
        <w:rPr>
          <w:rFonts w:asciiTheme="minorHAnsi" w:hAnsiTheme="minorHAnsi"/>
          <w:snapToGrid w:val="0"/>
          <w:lang w:eastAsia="en-US"/>
        </w:rPr>
        <w:t>patients who received and did not receive subsequent treatments</w:t>
      </w:r>
      <w:r w:rsidRPr="008E7C4C">
        <w:rPr>
          <w:rFonts w:asciiTheme="minorHAnsi" w:hAnsiTheme="minorHAnsi"/>
          <w:snapToGrid w:val="0"/>
          <w:lang w:eastAsia="en-US"/>
        </w:rPr>
        <w:t xml:space="preserve">, nor did it provide the characteristics of participants before </w:t>
      </w:r>
      <w:r w:rsidR="00730E97" w:rsidRPr="008E7C4C">
        <w:rPr>
          <w:rFonts w:asciiTheme="minorHAnsi" w:hAnsiTheme="minorHAnsi"/>
          <w:snapToGrid w:val="0"/>
          <w:lang w:eastAsia="en-US"/>
        </w:rPr>
        <w:t xml:space="preserve">subsequent </w:t>
      </w:r>
      <w:proofErr w:type="gramStart"/>
      <w:r w:rsidR="00730E97" w:rsidRPr="008E7C4C">
        <w:rPr>
          <w:rFonts w:asciiTheme="minorHAnsi" w:hAnsiTheme="minorHAnsi"/>
          <w:snapToGrid w:val="0"/>
          <w:lang w:eastAsia="en-US"/>
        </w:rPr>
        <w:t>therapy</w:t>
      </w:r>
      <w:r w:rsidRPr="008E7C4C">
        <w:rPr>
          <w:rFonts w:asciiTheme="minorHAnsi" w:hAnsiTheme="minorHAnsi"/>
          <w:snapToGrid w:val="0"/>
          <w:lang w:eastAsia="en-US"/>
        </w:rPr>
        <w:t>;</w:t>
      </w:r>
      <w:proofErr w:type="gramEnd"/>
    </w:p>
    <w:p w14:paraId="24BD96F2" w14:textId="0D175C12" w:rsidR="009A188C" w:rsidRPr="008E7C4C" w:rsidRDefault="00D950F6" w:rsidP="003F4E26">
      <w:pPr>
        <w:numPr>
          <w:ilvl w:val="0"/>
          <w:numId w:val="7"/>
        </w:numPr>
        <w:spacing w:after="120"/>
        <w:ind w:left="1077" w:hanging="357"/>
        <w:rPr>
          <w:rFonts w:asciiTheme="minorHAnsi" w:hAnsiTheme="minorHAnsi"/>
          <w:snapToGrid w:val="0"/>
          <w:lang w:eastAsia="en-US"/>
        </w:rPr>
      </w:pPr>
      <w:r w:rsidRPr="008E7C4C">
        <w:rPr>
          <w:rFonts w:asciiTheme="minorHAnsi" w:hAnsiTheme="minorHAnsi"/>
          <w:snapToGrid w:val="0"/>
          <w:lang w:eastAsia="en-US"/>
        </w:rPr>
        <w:t xml:space="preserve">The </w:t>
      </w:r>
      <w:r w:rsidR="009A188C" w:rsidRPr="008E7C4C">
        <w:rPr>
          <w:rFonts w:asciiTheme="minorHAnsi" w:hAnsiTheme="minorHAnsi"/>
          <w:snapToGrid w:val="0"/>
          <w:lang w:eastAsia="en-US"/>
        </w:rPr>
        <w:t xml:space="preserve">resubmission presented a KM curve reflecting the adjusted OS compared to the </w:t>
      </w:r>
      <w:r w:rsidR="00D21D03" w:rsidRPr="008E7C4C">
        <w:rPr>
          <w:rFonts w:asciiTheme="minorHAnsi" w:hAnsiTheme="minorHAnsi"/>
          <w:snapToGrid w:val="0"/>
          <w:lang w:eastAsia="en-US"/>
        </w:rPr>
        <w:t xml:space="preserve">unadjusted OS (2-3 prior lines of therapy) </w:t>
      </w:r>
      <w:r w:rsidR="009A188C" w:rsidRPr="008E7C4C">
        <w:rPr>
          <w:rFonts w:asciiTheme="minorHAnsi" w:hAnsiTheme="minorHAnsi"/>
          <w:snapToGrid w:val="0"/>
          <w:lang w:eastAsia="en-US"/>
        </w:rPr>
        <w:t xml:space="preserve">treatment effect, however no “at-risk” table with relevant information regarding censored patients was </w:t>
      </w:r>
      <w:proofErr w:type="gramStart"/>
      <w:r w:rsidR="009A188C" w:rsidRPr="008E7C4C">
        <w:rPr>
          <w:rFonts w:asciiTheme="minorHAnsi" w:hAnsiTheme="minorHAnsi"/>
          <w:snapToGrid w:val="0"/>
          <w:lang w:eastAsia="en-US"/>
        </w:rPr>
        <w:t>included;</w:t>
      </w:r>
      <w:proofErr w:type="gramEnd"/>
    </w:p>
    <w:p w14:paraId="1D397B28" w14:textId="72678E17" w:rsidR="00F46628" w:rsidRPr="008E7C4C" w:rsidRDefault="00F46628" w:rsidP="003F4E26">
      <w:pPr>
        <w:numPr>
          <w:ilvl w:val="0"/>
          <w:numId w:val="7"/>
        </w:numPr>
        <w:spacing w:after="120"/>
        <w:ind w:left="1077" w:hanging="357"/>
        <w:rPr>
          <w:rFonts w:asciiTheme="minorHAnsi" w:hAnsiTheme="minorHAnsi"/>
          <w:snapToGrid w:val="0"/>
          <w:lang w:eastAsia="en-US"/>
        </w:rPr>
      </w:pPr>
      <w:r w:rsidRPr="008E7C4C">
        <w:rPr>
          <w:rFonts w:asciiTheme="minorHAnsi" w:hAnsiTheme="minorHAnsi"/>
          <w:snapToGrid w:val="0"/>
          <w:lang w:eastAsia="en-US"/>
        </w:rPr>
        <w:t xml:space="preserve">The </w:t>
      </w:r>
      <w:r w:rsidR="00730E97" w:rsidRPr="008E7C4C">
        <w:rPr>
          <w:rFonts w:asciiTheme="minorHAnsi" w:hAnsiTheme="minorHAnsi"/>
          <w:snapToGrid w:val="0"/>
          <w:lang w:eastAsia="en-US"/>
        </w:rPr>
        <w:t xml:space="preserve">subsequent </w:t>
      </w:r>
      <w:r w:rsidRPr="008E7C4C">
        <w:rPr>
          <w:rFonts w:asciiTheme="minorHAnsi" w:hAnsiTheme="minorHAnsi"/>
          <w:snapToGrid w:val="0"/>
          <w:lang w:eastAsia="en-US"/>
        </w:rPr>
        <w:t xml:space="preserve">treatment analysis presented in the resubmission used to support the rationale for </w:t>
      </w:r>
      <w:r w:rsidR="00730E97" w:rsidRPr="008E7C4C">
        <w:rPr>
          <w:rFonts w:asciiTheme="minorHAnsi" w:hAnsiTheme="minorHAnsi"/>
          <w:snapToGrid w:val="0"/>
          <w:lang w:eastAsia="en-US"/>
        </w:rPr>
        <w:t>adjustment</w:t>
      </w:r>
      <w:r w:rsidRPr="008E7C4C">
        <w:rPr>
          <w:rFonts w:asciiTheme="minorHAnsi" w:hAnsiTheme="minorHAnsi"/>
          <w:snapToGrid w:val="0"/>
          <w:lang w:eastAsia="en-US"/>
        </w:rPr>
        <w:t xml:space="preserve"> was based on access to therapies in the UK and not Australian practice. The ESC considered that this was </w:t>
      </w:r>
      <w:proofErr w:type="gramStart"/>
      <w:r w:rsidRPr="008E7C4C">
        <w:rPr>
          <w:rFonts w:asciiTheme="minorHAnsi" w:hAnsiTheme="minorHAnsi"/>
          <w:snapToGrid w:val="0"/>
          <w:lang w:eastAsia="en-US"/>
        </w:rPr>
        <w:t>inappropriate;</w:t>
      </w:r>
      <w:proofErr w:type="gramEnd"/>
      <w:r w:rsidRPr="008E7C4C">
        <w:rPr>
          <w:rFonts w:asciiTheme="minorHAnsi" w:hAnsiTheme="minorHAnsi"/>
          <w:snapToGrid w:val="0"/>
          <w:lang w:eastAsia="en-US"/>
        </w:rPr>
        <w:t xml:space="preserve"> </w:t>
      </w:r>
    </w:p>
    <w:p w14:paraId="18549B3B" w14:textId="759A646C" w:rsidR="009A188C" w:rsidRPr="008E7C4C" w:rsidRDefault="00F46628" w:rsidP="003F4E26">
      <w:pPr>
        <w:numPr>
          <w:ilvl w:val="0"/>
          <w:numId w:val="7"/>
        </w:numPr>
        <w:spacing w:after="120"/>
        <w:ind w:left="1077" w:hanging="357"/>
      </w:pPr>
      <w:r w:rsidRPr="008E7C4C">
        <w:rPr>
          <w:rFonts w:asciiTheme="minorHAnsi" w:hAnsiTheme="minorHAnsi"/>
          <w:snapToGrid w:val="0"/>
          <w:lang w:eastAsia="en-US"/>
        </w:rPr>
        <w:t>The ESC noted that a</w:t>
      </w:r>
      <w:r w:rsidR="009A188C" w:rsidRPr="008E7C4C">
        <w:rPr>
          <w:rFonts w:asciiTheme="minorHAnsi" w:hAnsiTheme="minorHAnsi"/>
          <w:snapToGrid w:val="0"/>
          <w:lang w:eastAsia="en-US"/>
        </w:rPr>
        <w:t xml:space="preserve">pproximately </w:t>
      </w:r>
      <w:r w:rsidR="004F1B98" w:rsidRPr="008E7C4C">
        <w:rPr>
          <w:rFonts w:asciiTheme="minorHAnsi" w:hAnsiTheme="minorHAnsi"/>
          <w:snapToGrid w:val="0"/>
          <w:lang w:eastAsia="en-US"/>
        </w:rPr>
        <w:t xml:space="preserve">one third </w:t>
      </w:r>
      <w:r w:rsidR="009A188C" w:rsidRPr="008E7C4C">
        <w:rPr>
          <w:rFonts w:asciiTheme="minorHAnsi" w:hAnsiTheme="minorHAnsi"/>
          <w:snapToGrid w:val="0"/>
          <w:lang w:eastAsia="en-US"/>
        </w:rPr>
        <w:t>of</w:t>
      </w:r>
      <w:r w:rsidR="00D46995" w:rsidRPr="008E7C4C">
        <w:rPr>
          <w:rFonts w:asciiTheme="minorHAnsi" w:hAnsiTheme="minorHAnsi"/>
          <w:snapToGrid w:val="0"/>
          <w:lang w:eastAsia="en-US"/>
        </w:rPr>
        <w:t xml:space="preserve"> the</w:t>
      </w:r>
      <w:r w:rsidR="009A188C" w:rsidRPr="008E7C4C">
        <w:rPr>
          <w:rFonts w:asciiTheme="minorHAnsi" w:hAnsiTheme="minorHAnsi"/>
          <w:snapToGrid w:val="0"/>
          <w:lang w:eastAsia="en-US"/>
        </w:rPr>
        <w:t xml:space="preserve"> patients (</w:t>
      </w:r>
      <w:r w:rsidR="004F1B98" w:rsidRPr="008E7C4C">
        <w:rPr>
          <w:rFonts w:asciiTheme="minorHAnsi" w:hAnsiTheme="minorHAnsi"/>
          <w:snapToGrid w:val="0"/>
          <w:lang w:eastAsia="en-US"/>
        </w:rPr>
        <w:t>36</w:t>
      </w:r>
      <w:r w:rsidR="009A188C" w:rsidRPr="008E7C4C">
        <w:rPr>
          <w:rFonts w:asciiTheme="minorHAnsi" w:hAnsiTheme="minorHAnsi"/>
          <w:snapToGrid w:val="0"/>
          <w:lang w:eastAsia="en-US"/>
        </w:rPr>
        <w:t xml:space="preserve">/111) for whom </w:t>
      </w:r>
      <w:r w:rsidR="00730E97" w:rsidRPr="008E7C4C">
        <w:rPr>
          <w:rFonts w:asciiTheme="minorHAnsi" w:hAnsiTheme="minorHAnsi"/>
          <w:snapToGrid w:val="0"/>
          <w:lang w:eastAsia="en-US"/>
        </w:rPr>
        <w:t xml:space="preserve">subsequent </w:t>
      </w:r>
      <w:r w:rsidR="009A188C" w:rsidRPr="008E7C4C">
        <w:rPr>
          <w:rFonts w:asciiTheme="minorHAnsi" w:hAnsiTheme="minorHAnsi"/>
          <w:snapToGrid w:val="0"/>
          <w:lang w:eastAsia="en-US"/>
        </w:rPr>
        <w:t xml:space="preserve">treatment was adjusted, </w:t>
      </w:r>
      <w:r w:rsidR="004F1B98" w:rsidRPr="008E7C4C">
        <w:rPr>
          <w:rFonts w:asciiTheme="minorHAnsi" w:hAnsiTheme="minorHAnsi"/>
          <w:snapToGrid w:val="0"/>
          <w:lang w:eastAsia="en-US"/>
        </w:rPr>
        <w:t>we</w:t>
      </w:r>
      <w:r w:rsidR="009A188C" w:rsidRPr="008E7C4C">
        <w:rPr>
          <w:rFonts w:asciiTheme="minorHAnsi" w:hAnsiTheme="minorHAnsi"/>
          <w:snapToGrid w:val="0"/>
          <w:lang w:eastAsia="en-US"/>
        </w:rPr>
        <w:t xml:space="preserve">re likely to </w:t>
      </w:r>
      <w:r w:rsidR="00D46995" w:rsidRPr="008E7C4C">
        <w:rPr>
          <w:rFonts w:asciiTheme="minorHAnsi" w:hAnsiTheme="minorHAnsi"/>
          <w:snapToGrid w:val="0"/>
          <w:lang w:eastAsia="en-US"/>
        </w:rPr>
        <w:t xml:space="preserve">have </w:t>
      </w:r>
      <w:r w:rsidR="009A188C" w:rsidRPr="008E7C4C">
        <w:rPr>
          <w:rFonts w:asciiTheme="minorHAnsi" w:hAnsiTheme="minorHAnsi"/>
          <w:snapToGrid w:val="0"/>
          <w:lang w:eastAsia="en-US"/>
        </w:rPr>
        <w:t>receive</w:t>
      </w:r>
      <w:r w:rsidR="00D46995" w:rsidRPr="008E7C4C">
        <w:rPr>
          <w:rFonts w:asciiTheme="minorHAnsi" w:hAnsiTheme="minorHAnsi"/>
          <w:snapToGrid w:val="0"/>
          <w:lang w:eastAsia="en-US"/>
        </w:rPr>
        <w:t>d</w:t>
      </w:r>
      <w:r w:rsidR="009A188C" w:rsidRPr="008E7C4C">
        <w:rPr>
          <w:rFonts w:asciiTheme="minorHAnsi" w:hAnsiTheme="minorHAnsi"/>
          <w:snapToGrid w:val="0"/>
          <w:lang w:eastAsia="en-US"/>
        </w:rPr>
        <w:t xml:space="preserve"> these </w:t>
      </w:r>
      <w:r w:rsidR="009A188C" w:rsidRPr="008E7C4C">
        <w:rPr>
          <w:rFonts w:asciiTheme="minorHAnsi" w:hAnsiTheme="minorHAnsi"/>
          <w:snapToGrid w:val="0"/>
          <w:lang w:eastAsia="en-US"/>
        </w:rPr>
        <w:lastRenderedPageBreak/>
        <w:t>treatments as they are PBS listed in the patient population of interest (carfilzomib-based (</w:t>
      </w:r>
      <w:proofErr w:type="gramStart"/>
      <w:r w:rsidR="009A188C" w:rsidRPr="008E7C4C">
        <w:rPr>
          <w:rFonts w:asciiTheme="minorHAnsi" w:hAnsiTheme="minorHAnsi"/>
          <w:snapToGrid w:val="0"/>
          <w:lang w:eastAsia="en-US"/>
        </w:rPr>
        <w:t>i.e.</w:t>
      </w:r>
      <w:proofErr w:type="gramEnd"/>
      <w:r w:rsidR="009A188C" w:rsidRPr="008E7C4C">
        <w:rPr>
          <w:rFonts w:asciiTheme="minorHAnsi" w:hAnsiTheme="minorHAnsi"/>
          <w:snapToGrid w:val="0"/>
          <w:lang w:eastAsia="en-US"/>
        </w:rPr>
        <w:t xml:space="preserve"> </w:t>
      </w:r>
      <w:r w:rsidR="006D68C7" w:rsidRPr="008E7C4C">
        <w:rPr>
          <w:rFonts w:asciiTheme="minorHAnsi" w:hAnsiTheme="minorHAnsi"/>
          <w:snapToGrid w:val="0"/>
          <w:lang w:eastAsia="en-US"/>
        </w:rPr>
        <w:t>Cd</w:t>
      </w:r>
      <w:r w:rsidR="003603B0" w:rsidRPr="008E7C4C">
        <w:rPr>
          <w:rFonts w:asciiTheme="minorHAnsi" w:hAnsiTheme="minorHAnsi"/>
          <w:snapToGrid w:val="0"/>
          <w:lang w:eastAsia="en-US"/>
        </w:rPr>
        <w:t>)</w:t>
      </w:r>
      <w:r w:rsidR="009A188C" w:rsidRPr="008E7C4C">
        <w:rPr>
          <w:rFonts w:asciiTheme="minorHAnsi" w:hAnsiTheme="minorHAnsi"/>
          <w:snapToGrid w:val="0"/>
          <w:lang w:eastAsia="en-US"/>
        </w:rPr>
        <w:t xml:space="preserve"> and pomalidomide based (i.e. </w:t>
      </w:r>
      <w:proofErr w:type="spellStart"/>
      <w:r w:rsidR="003603B0" w:rsidRPr="008E7C4C">
        <w:rPr>
          <w:rFonts w:asciiTheme="minorHAnsi" w:hAnsiTheme="minorHAnsi"/>
          <w:snapToGrid w:val="0"/>
          <w:lang w:eastAsia="en-US"/>
        </w:rPr>
        <w:t>PBd</w:t>
      </w:r>
      <w:proofErr w:type="spellEnd"/>
      <w:r w:rsidR="009A188C" w:rsidRPr="008E7C4C">
        <w:rPr>
          <w:rFonts w:asciiTheme="minorHAnsi" w:hAnsiTheme="minorHAnsi"/>
          <w:snapToGrid w:val="0"/>
          <w:lang w:eastAsia="en-US"/>
        </w:rPr>
        <w:t xml:space="preserve">). Therefore, the number of patients for whom treatment was </w:t>
      </w:r>
      <w:proofErr w:type="gramStart"/>
      <w:r w:rsidR="009A188C" w:rsidRPr="008E7C4C">
        <w:rPr>
          <w:rFonts w:asciiTheme="minorHAnsi" w:hAnsiTheme="minorHAnsi"/>
          <w:snapToGrid w:val="0"/>
          <w:lang w:eastAsia="en-US"/>
        </w:rPr>
        <w:t xml:space="preserve">adjusted  </w:t>
      </w:r>
      <w:r w:rsidR="00294ACE" w:rsidRPr="008E7C4C">
        <w:rPr>
          <w:rFonts w:asciiTheme="minorHAnsi" w:hAnsiTheme="minorHAnsi"/>
          <w:snapToGrid w:val="0"/>
          <w:lang w:eastAsia="en-US"/>
        </w:rPr>
        <w:t>was</w:t>
      </w:r>
      <w:proofErr w:type="gramEnd"/>
      <w:r w:rsidR="009A188C" w:rsidRPr="008E7C4C">
        <w:rPr>
          <w:rFonts w:asciiTheme="minorHAnsi" w:hAnsiTheme="minorHAnsi"/>
          <w:snapToGrid w:val="0"/>
          <w:lang w:eastAsia="en-US"/>
        </w:rPr>
        <w:t xml:space="preserve"> most likely overestimated in </w:t>
      </w:r>
      <w:r w:rsidR="009A188C" w:rsidRPr="008E7C4C">
        <w:t xml:space="preserve">both, </w:t>
      </w:r>
      <w:proofErr w:type="spellStart"/>
      <w:r w:rsidR="009A188C" w:rsidRPr="008E7C4C">
        <w:t>ILd</w:t>
      </w:r>
      <w:proofErr w:type="spellEnd"/>
      <w:r w:rsidR="009A188C" w:rsidRPr="008E7C4C">
        <w:t xml:space="preserve"> and </w:t>
      </w:r>
      <w:proofErr w:type="spellStart"/>
      <w:r w:rsidR="009A188C" w:rsidRPr="008E7C4C">
        <w:t>Ld</w:t>
      </w:r>
      <w:proofErr w:type="spellEnd"/>
      <w:r w:rsidR="009A188C" w:rsidRPr="008E7C4C">
        <w:t xml:space="preserve"> arms. Th</w:t>
      </w:r>
      <w:r w:rsidRPr="008E7C4C">
        <w:t xml:space="preserve">e ESC noted that this likely led </w:t>
      </w:r>
      <w:r w:rsidR="009A188C" w:rsidRPr="008E7C4C">
        <w:t xml:space="preserve">to an overestimation of the OS HR (favouring </w:t>
      </w:r>
      <w:proofErr w:type="spellStart"/>
      <w:r w:rsidR="009A188C" w:rsidRPr="008E7C4C">
        <w:t>ILd</w:t>
      </w:r>
      <w:proofErr w:type="spellEnd"/>
      <w:r w:rsidR="009A188C" w:rsidRPr="008E7C4C">
        <w:t xml:space="preserve">) which was </w:t>
      </w:r>
      <w:proofErr w:type="gramStart"/>
      <w:r w:rsidR="009A188C" w:rsidRPr="008E7C4C">
        <w:t xml:space="preserve">used </w:t>
      </w:r>
      <w:r w:rsidRPr="008E7C4C">
        <w:t xml:space="preserve"> in</w:t>
      </w:r>
      <w:proofErr w:type="gramEnd"/>
      <w:r w:rsidRPr="008E7C4C">
        <w:t xml:space="preserve"> the economic analysis</w:t>
      </w:r>
      <w:r w:rsidR="009A188C" w:rsidRPr="008E7C4C">
        <w:t xml:space="preserve">. </w:t>
      </w:r>
    </w:p>
    <w:p w14:paraId="1E79900E" w14:textId="733D3057" w:rsidR="00152353" w:rsidRPr="008E7C4C" w:rsidRDefault="009A188C" w:rsidP="00152353">
      <w:pPr>
        <w:numPr>
          <w:ilvl w:val="1"/>
          <w:numId w:val="1"/>
        </w:numPr>
        <w:spacing w:after="120"/>
        <w:rPr>
          <w:rFonts w:asciiTheme="minorHAnsi" w:hAnsiTheme="minorHAnsi"/>
          <w:snapToGrid w:val="0"/>
          <w:lang w:eastAsia="en-US"/>
        </w:rPr>
      </w:pPr>
      <w:bookmarkStart w:id="17" w:name="_Hlk93185911"/>
      <w:r w:rsidRPr="008E7C4C">
        <w:rPr>
          <w:rFonts w:asciiTheme="minorHAnsi" w:hAnsiTheme="minorHAnsi"/>
          <w:snapToGrid w:val="0"/>
          <w:lang w:eastAsia="en-US"/>
        </w:rPr>
        <w:t xml:space="preserve">The resubmission used a two-stage </w:t>
      </w:r>
      <w:r w:rsidR="00441208" w:rsidRPr="008E7C4C">
        <w:rPr>
          <w:rFonts w:asciiTheme="minorHAnsi" w:hAnsiTheme="minorHAnsi"/>
          <w:snapToGrid w:val="0"/>
          <w:lang w:eastAsia="en-US"/>
        </w:rPr>
        <w:t xml:space="preserve">(TSE) </w:t>
      </w:r>
      <w:r w:rsidRPr="008E7C4C">
        <w:rPr>
          <w:rFonts w:asciiTheme="minorHAnsi" w:hAnsiTheme="minorHAnsi"/>
          <w:snapToGrid w:val="0"/>
          <w:lang w:eastAsia="en-US"/>
        </w:rPr>
        <w:t xml:space="preserve">method to adjust </w:t>
      </w:r>
      <w:proofErr w:type="gramStart"/>
      <w:r w:rsidRPr="008E7C4C">
        <w:rPr>
          <w:rFonts w:asciiTheme="minorHAnsi" w:hAnsiTheme="minorHAnsi"/>
          <w:snapToGrid w:val="0"/>
          <w:lang w:eastAsia="en-US"/>
        </w:rPr>
        <w:t>OS</w:t>
      </w:r>
      <w:proofErr w:type="gramEnd"/>
      <w:r w:rsidRPr="008E7C4C">
        <w:rPr>
          <w:rFonts w:asciiTheme="minorHAnsi" w:hAnsiTheme="minorHAnsi"/>
          <w:snapToGrid w:val="0"/>
          <w:lang w:eastAsia="en-US"/>
        </w:rPr>
        <w:t xml:space="preserve"> which was later re-censored, resulting in a HR of 0.713 (95% CI: 0.535, 0.952). This value was applied in the </w:t>
      </w:r>
      <w:r w:rsidR="009731DF" w:rsidRPr="008E7C4C">
        <w:rPr>
          <w:rFonts w:asciiTheme="minorHAnsi" w:hAnsiTheme="minorHAnsi"/>
          <w:snapToGrid w:val="0"/>
          <w:lang w:eastAsia="en-US"/>
        </w:rPr>
        <w:t xml:space="preserve">base case analysis in the </w:t>
      </w:r>
      <w:r w:rsidRPr="008E7C4C">
        <w:rPr>
          <w:rFonts w:asciiTheme="minorHAnsi" w:hAnsiTheme="minorHAnsi"/>
          <w:snapToGrid w:val="0"/>
          <w:lang w:eastAsia="en-US"/>
        </w:rPr>
        <w:t xml:space="preserve">economic model. </w:t>
      </w:r>
    </w:p>
    <w:p w14:paraId="4619070D" w14:textId="59CACC30" w:rsidR="004F1B98" w:rsidRPr="008E7C4C" w:rsidRDefault="004F1B98" w:rsidP="004F1B98">
      <w:pPr>
        <w:numPr>
          <w:ilvl w:val="1"/>
          <w:numId w:val="1"/>
        </w:numPr>
        <w:spacing w:after="120"/>
        <w:rPr>
          <w:rFonts w:asciiTheme="minorHAnsi" w:hAnsiTheme="minorHAnsi"/>
          <w:snapToGrid w:val="0"/>
          <w:lang w:eastAsia="en-US"/>
        </w:rPr>
      </w:pPr>
      <w:r w:rsidRPr="008E7C4C">
        <w:rPr>
          <w:rFonts w:asciiTheme="minorHAnsi" w:hAnsiTheme="minorHAnsi"/>
          <w:snapToGrid w:val="0"/>
          <w:lang w:eastAsia="en-US"/>
        </w:rPr>
        <w:t xml:space="preserve">The results of the adjustment for </w:t>
      </w:r>
      <w:r w:rsidR="00730E97" w:rsidRPr="008E7C4C">
        <w:rPr>
          <w:rFonts w:asciiTheme="minorHAnsi" w:hAnsiTheme="minorHAnsi"/>
          <w:snapToGrid w:val="0"/>
          <w:lang w:eastAsia="en-US"/>
        </w:rPr>
        <w:t xml:space="preserve">subsequent </w:t>
      </w:r>
      <w:r w:rsidRPr="008E7C4C">
        <w:rPr>
          <w:rFonts w:asciiTheme="minorHAnsi" w:hAnsiTheme="minorHAnsi"/>
          <w:snapToGrid w:val="0"/>
          <w:lang w:eastAsia="en-US"/>
        </w:rPr>
        <w:t>treatment</w:t>
      </w:r>
      <w:r w:rsidR="00730E97" w:rsidRPr="008E7C4C">
        <w:rPr>
          <w:rFonts w:asciiTheme="minorHAnsi" w:hAnsiTheme="minorHAnsi"/>
          <w:snapToGrid w:val="0"/>
          <w:lang w:eastAsia="en-US"/>
        </w:rPr>
        <w:t>s</w:t>
      </w:r>
      <w:r w:rsidRPr="008E7C4C">
        <w:rPr>
          <w:rFonts w:asciiTheme="minorHAnsi" w:hAnsiTheme="minorHAnsi"/>
          <w:snapToGrid w:val="0"/>
          <w:lang w:eastAsia="en-US"/>
        </w:rPr>
        <w:t xml:space="preserve"> for OS using different methods are presented in Table 9. </w:t>
      </w:r>
    </w:p>
    <w:p w14:paraId="49304FFE" w14:textId="0F66FCA3" w:rsidR="004F1B98" w:rsidRPr="008E7C4C" w:rsidRDefault="004F1B98" w:rsidP="004F1B98">
      <w:pPr>
        <w:keepNext/>
        <w:jc w:val="left"/>
        <w:rPr>
          <w:rFonts w:ascii="Arial Narrow" w:eastAsiaTheme="majorEastAsia" w:hAnsi="Arial Narrow" w:cstheme="majorBidi"/>
          <w:b/>
          <w:bCs/>
          <w:sz w:val="20"/>
          <w:lang w:eastAsia="en-US"/>
        </w:rPr>
      </w:pPr>
      <w:r w:rsidRPr="008E7C4C">
        <w:rPr>
          <w:rFonts w:ascii="Arial Narrow" w:eastAsiaTheme="majorEastAsia" w:hAnsi="Arial Narrow" w:cstheme="majorBidi"/>
          <w:b/>
          <w:bCs/>
          <w:sz w:val="20"/>
          <w:lang w:eastAsia="en-US"/>
        </w:rPr>
        <w:t xml:space="preserve">Table 9: Unadjusted and adjusted OS hazard ratios for </w:t>
      </w:r>
      <w:proofErr w:type="spellStart"/>
      <w:r w:rsidRPr="008E7C4C">
        <w:rPr>
          <w:rFonts w:ascii="Arial Narrow" w:eastAsiaTheme="majorEastAsia" w:hAnsi="Arial Narrow" w:cstheme="majorBidi"/>
          <w:b/>
          <w:bCs/>
          <w:sz w:val="20"/>
          <w:lang w:eastAsia="en-US"/>
        </w:rPr>
        <w:t>ILd</w:t>
      </w:r>
      <w:proofErr w:type="spellEnd"/>
      <w:r w:rsidRPr="008E7C4C">
        <w:rPr>
          <w:rFonts w:ascii="Arial Narrow" w:eastAsiaTheme="majorEastAsia" w:hAnsi="Arial Narrow" w:cstheme="majorBidi"/>
          <w:b/>
          <w:bCs/>
          <w:sz w:val="20"/>
          <w:lang w:eastAsia="en-US"/>
        </w:rPr>
        <w:t xml:space="preserve"> vs </w:t>
      </w:r>
      <w:proofErr w:type="spellStart"/>
      <w:r w:rsidRPr="008E7C4C">
        <w:rPr>
          <w:rFonts w:ascii="Arial Narrow" w:eastAsiaTheme="majorEastAsia" w:hAnsi="Arial Narrow" w:cstheme="majorBidi"/>
          <w:b/>
          <w:bCs/>
          <w:sz w:val="20"/>
          <w:lang w:eastAsia="en-US"/>
        </w:rPr>
        <w:t>Ld</w:t>
      </w:r>
      <w:proofErr w:type="spellEnd"/>
      <w:r w:rsidRPr="008E7C4C">
        <w:rPr>
          <w:rFonts w:ascii="Arial Narrow" w:eastAsiaTheme="majorEastAsia" w:hAnsi="Arial Narrow" w:cstheme="majorBidi"/>
          <w:b/>
          <w:bCs/>
          <w:sz w:val="20"/>
          <w:lang w:eastAsia="en-US"/>
        </w:rPr>
        <w:t xml:space="preserve"> in </w:t>
      </w:r>
      <w:r w:rsidR="00920E2E" w:rsidRPr="008E7C4C">
        <w:rPr>
          <w:rFonts w:ascii="Arial Narrow" w:eastAsiaTheme="majorEastAsia" w:hAnsi="Arial Narrow" w:cstheme="majorBidi"/>
          <w:b/>
          <w:bCs/>
          <w:sz w:val="20"/>
          <w:lang w:eastAsia="en-US"/>
        </w:rPr>
        <w:t>T</w:t>
      </w:r>
      <w:r w:rsidRPr="008E7C4C">
        <w:rPr>
          <w:rFonts w:ascii="Arial Narrow" w:eastAsiaTheme="majorEastAsia" w:hAnsi="Arial Narrow" w:cstheme="majorBidi"/>
          <w:b/>
          <w:bCs/>
          <w:sz w:val="20"/>
          <w:lang w:eastAsia="en-US"/>
        </w:rPr>
        <w:t xml:space="preserve">MM-1, </w:t>
      </w:r>
      <w:r w:rsidR="00920E2E" w:rsidRPr="008E7C4C">
        <w:rPr>
          <w:rFonts w:ascii="Arial Narrow" w:eastAsiaTheme="majorEastAsia" w:hAnsi="Arial Narrow" w:cstheme="majorBidi"/>
          <w:b/>
          <w:bCs/>
          <w:sz w:val="20"/>
          <w:lang w:eastAsia="en-US"/>
        </w:rPr>
        <w:t xml:space="preserve">in the </w:t>
      </w:r>
      <w:r w:rsidRPr="008E7C4C">
        <w:rPr>
          <w:rFonts w:ascii="Arial Narrow" w:eastAsiaTheme="majorEastAsia" w:hAnsi="Arial Narrow" w:cstheme="majorBidi"/>
          <w:b/>
          <w:bCs/>
          <w:sz w:val="20"/>
          <w:lang w:eastAsia="en-US"/>
        </w:rPr>
        <w:t>2-3 prior therapies subgroup</w:t>
      </w:r>
    </w:p>
    <w:tbl>
      <w:tblPr>
        <w:tblStyle w:val="TableHTAsimp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548"/>
        <w:gridCol w:w="1653"/>
      </w:tblGrid>
      <w:tr w:rsidR="004F1B98" w:rsidRPr="008E7C4C" w14:paraId="7091C2FD" w14:textId="77777777" w:rsidTr="00E9600F">
        <w:trPr>
          <w:cnfStyle w:val="100000000000" w:firstRow="1" w:lastRow="0" w:firstColumn="0" w:lastColumn="0" w:oddVBand="0" w:evenVBand="0" w:oddHBand="0" w:evenHBand="0" w:firstRowFirstColumn="0" w:firstRowLastColumn="0" w:lastRowFirstColumn="0" w:lastRowLastColumn="0"/>
        </w:trPr>
        <w:tc>
          <w:tcPr>
            <w:tcW w:w="4820" w:type="dxa"/>
          </w:tcPr>
          <w:p w14:paraId="5D79AE0B" w14:textId="77777777" w:rsidR="004F1B98" w:rsidRPr="008E7C4C" w:rsidRDefault="004F1B98" w:rsidP="00920E2E">
            <w:pPr>
              <w:keepNext/>
              <w:spacing w:before="0" w:after="0"/>
              <w:jc w:val="left"/>
              <w:rPr>
                <w:rFonts w:ascii="Arial Narrow" w:hAnsi="Arial Narrow" w:cstheme="minorBidi"/>
                <w:b/>
                <w:bCs/>
                <w:sz w:val="20"/>
                <w:szCs w:val="20"/>
                <w:lang w:val="en-AU"/>
              </w:rPr>
            </w:pPr>
          </w:p>
        </w:tc>
        <w:tc>
          <w:tcPr>
            <w:tcW w:w="2551" w:type="dxa"/>
          </w:tcPr>
          <w:p w14:paraId="2016D5FB" w14:textId="77777777" w:rsidR="004F1B98" w:rsidRPr="008E7C4C" w:rsidRDefault="004F1B98" w:rsidP="00920E2E">
            <w:pPr>
              <w:keepNext/>
              <w:spacing w:before="0" w:after="0"/>
              <w:jc w:val="center"/>
              <w:rPr>
                <w:rFonts w:ascii="Arial Narrow" w:hAnsi="Arial Narrow" w:cs="Tahoma"/>
                <w:b/>
                <w:sz w:val="20"/>
                <w:szCs w:val="20"/>
                <w:lang w:val="en-AU"/>
              </w:rPr>
            </w:pPr>
            <w:r w:rsidRPr="008E7C4C">
              <w:rPr>
                <w:rFonts w:ascii="Arial Narrow" w:hAnsi="Arial Narrow" w:cs="Tahoma"/>
                <w:b/>
                <w:sz w:val="20"/>
                <w:szCs w:val="20"/>
                <w:lang w:val="en-AU"/>
              </w:rPr>
              <w:t xml:space="preserve">OS hazard ratio (95% CI) </w:t>
            </w:r>
          </w:p>
        </w:tc>
        <w:tc>
          <w:tcPr>
            <w:tcW w:w="1655" w:type="dxa"/>
          </w:tcPr>
          <w:p w14:paraId="271BCCEF" w14:textId="77777777" w:rsidR="004F1B98" w:rsidRPr="008E7C4C" w:rsidRDefault="004F1B98" w:rsidP="00920E2E">
            <w:pPr>
              <w:keepNext/>
              <w:spacing w:before="0" w:after="0"/>
              <w:jc w:val="center"/>
              <w:rPr>
                <w:rFonts w:ascii="Arial Narrow" w:hAnsi="Arial Narrow" w:cstheme="minorBidi"/>
                <w:b/>
                <w:sz w:val="20"/>
                <w:szCs w:val="20"/>
                <w:lang w:val="en-AU"/>
              </w:rPr>
            </w:pPr>
            <w:r w:rsidRPr="008E7C4C">
              <w:rPr>
                <w:rFonts w:ascii="Arial Narrow" w:hAnsi="Arial Narrow" w:cstheme="minorBidi"/>
                <w:b/>
                <w:sz w:val="20"/>
                <w:szCs w:val="20"/>
                <w:lang w:val="en-AU"/>
              </w:rPr>
              <w:t>p value</w:t>
            </w:r>
          </w:p>
        </w:tc>
      </w:tr>
      <w:tr w:rsidR="004F1B98" w:rsidRPr="008E7C4C" w14:paraId="7203164B" w14:textId="77777777" w:rsidTr="00E9600F">
        <w:trPr>
          <w:cnfStyle w:val="000000100000" w:firstRow="0" w:lastRow="0" w:firstColumn="0" w:lastColumn="0" w:oddVBand="0" w:evenVBand="0" w:oddHBand="1" w:evenHBand="0" w:firstRowFirstColumn="0" w:firstRowLastColumn="0" w:lastRowFirstColumn="0" w:lastRowLastColumn="0"/>
        </w:trPr>
        <w:tc>
          <w:tcPr>
            <w:tcW w:w="4820" w:type="dxa"/>
          </w:tcPr>
          <w:p w14:paraId="22F25FC5" w14:textId="62A30B0B" w:rsidR="004F1B98" w:rsidRPr="008E7C4C" w:rsidRDefault="004F1B98" w:rsidP="00920E2E">
            <w:pPr>
              <w:keepNext/>
              <w:spacing w:before="0" w:after="0"/>
              <w:jc w:val="left"/>
              <w:rPr>
                <w:rFonts w:ascii="Arial Narrow" w:hAnsi="Arial Narrow" w:cs="Times New Roman"/>
                <w:sz w:val="20"/>
                <w:szCs w:val="20"/>
                <w:lang w:val="en-AU"/>
              </w:rPr>
            </w:pPr>
            <w:r w:rsidRPr="008E7C4C">
              <w:rPr>
                <w:rFonts w:ascii="Arial Narrow" w:hAnsi="Arial Narrow" w:cs="Times New Roman"/>
                <w:sz w:val="20"/>
                <w:szCs w:val="20"/>
                <w:lang w:val="en-AU"/>
              </w:rPr>
              <w:t>Unadjusted</w:t>
            </w:r>
          </w:p>
        </w:tc>
        <w:tc>
          <w:tcPr>
            <w:tcW w:w="2551" w:type="dxa"/>
          </w:tcPr>
          <w:p w14:paraId="4750C5C8"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0.845 (0.642, 1.114)</w:t>
            </w:r>
          </w:p>
        </w:tc>
        <w:tc>
          <w:tcPr>
            <w:tcW w:w="1655" w:type="dxa"/>
          </w:tcPr>
          <w:p w14:paraId="00C072DC"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0.2316</w:t>
            </w:r>
          </w:p>
        </w:tc>
      </w:tr>
      <w:tr w:rsidR="004F1B98" w:rsidRPr="008E7C4C" w14:paraId="081D7C70" w14:textId="77777777" w:rsidTr="00E9600F">
        <w:trPr>
          <w:cnfStyle w:val="000000010000" w:firstRow="0" w:lastRow="0" w:firstColumn="0" w:lastColumn="0" w:oddVBand="0" w:evenVBand="0" w:oddHBand="0" w:evenHBand="1" w:firstRowFirstColumn="0" w:firstRowLastColumn="0" w:lastRowFirstColumn="0" w:lastRowLastColumn="0"/>
        </w:trPr>
        <w:tc>
          <w:tcPr>
            <w:tcW w:w="4820" w:type="dxa"/>
          </w:tcPr>
          <w:p w14:paraId="7B7B3A2C" w14:textId="77777777" w:rsidR="004F1B98" w:rsidRPr="008E7C4C" w:rsidRDefault="004F1B98" w:rsidP="00920E2E">
            <w:pPr>
              <w:keepNext/>
              <w:spacing w:before="0" w:after="0"/>
              <w:jc w:val="left"/>
              <w:rPr>
                <w:rFonts w:ascii="Arial Narrow" w:hAnsi="Arial Narrow" w:cs="Times New Roman"/>
                <w:sz w:val="20"/>
                <w:szCs w:val="20"/>
                <w:lang w:val="en-AU"/>
              </w:rPr>
            </w:pPr>
            <w:r w:rsidRPr="008E7C4C">
              <w:rPr>
                <w:rFonts w:ascii="Arial Narrow" w:hAnsi="Arial Narrow" w:cs="Times New Roman"/>
                <w:sz w:val="20"/>
                <w:szCs w:val="20"/>
                <w:lang w:val="en-AU"/>
              </w:rPr>
              <w:t>Naïve – censor at switch</w:t>
            </w:r>
          </w:p>
        </w:tc>
        <w:tc>
          <w:tcPr>
            <w:tcW w:w="2551" w:type="dxa"/>
          </w:tcPr>
          <w:p w14:paraId="4173AA30"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0.712 (0.507, 0.999)</w:t>
            </w:r>
          </w:p>
        </w:tc>
        <w:tc>
          <w:tcPr>
            <w:tcW w:w="1655" w:type="dxa"/>
          </w:tcPr>
          <w:p w14:paraId="0D54C530"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0.0484</w:t>
            </w:r>
          </w:p>
        </w:tc>
      </w:tr>
      <w:tr w:rsidR="004F1B98" w:rsidRPr="008E7C4C" w14:paraId="7DBBE9E9" w14:textId="77777777" w:rsidTr="00E9600F">
        <w:trPr>
          <w:cnfStyle w:val="000000100000" w:firstRow="0" w:lastRow="0" w:firstColumn="0" w:lastColumn="0" w:oddVBand="0" w:evenVBand="0" w:oddHBand="1" w:evenHBand="0" w:firstRowFirstColumn="0" w:firstRowLastColumn="0" w:lastRowFirstColumn="0" w:lastRowLastColumn="0"/>
        </w:trPr>
        <w:tc>
          <w:tcPr>
            <w:tcW w:w="4820" w:type="dxa"/>
          </w:tcPr>
          <w:p w14:paraId="6E3B786D" w14:textId="77777777" w:rsidR="004F1B98" w:rsidRPr="008E7C4C" w:rsidRDefault="004F1B98" w:rsidP="00920E2E">
            <w:pPr>
              <w:keepNext/>
              <w:spacing w:before="0" w:after="0"/>
              <w:jc w:val="left"/>
              <w:rPr>
                <w:rFonts w:ascii="Arial Narrow" w:hAnsi="Arial Narrow" w:cs="Times New Roman"/>
                <w:sz w:val="20"/>
                <w:szCs w:val="20"/>
                <w:vertAlign w:val="superscript"/>
                <w:lang w:val="en-AU"/>
              </w:rPr>
            </w:pPr>
            <w:r w:rsidRPr="008E7C4C">
              <w:rPr>
                <w:rFonts w:ascii="Arial Narrow" w:hAnsi="Arial Narrow" w:cs="Times New Roman"/>
                <w:sz w:val="20"/>
                <w:szCs w:val="20"/>
                <w:lang w:val="en-AU"/>
              </w:rPr>
              <w:t xml:space="preserve">Naïve – per </w:t>
            </w:r>
            <w:proofErr w:type="spellStart"/>
            <w:r w:rsidRPr="008E7C4C">
              <w:rPr>
                <w:rFonts w:ascii="Arial Narrow" w:hAnsi="Arial Narrow" w:cs="Times New Roman"/>
                <w:sz w:val="20"/>
                <w:szCs w:val="20"/>
                <w:lang w:val="en-AU"/>
              </w:rPr>
              <w:t>protocol</w:t>
            </w:r>
            <w:r w:rsidRPr="008E7C4C">
              <w:rPr>
                <w:rFonts w:ascii="Arial Narrow" w:hAnsi="Arial Narrow" w:cs="Times New Roman"/>
                <w:sz w:val="20"/>
                <w:szCs w:val="20"/>
                <w:vertAlign w:val="superscript"/>
                <w:lang w:val="en-AU"/>
              </w:rPr>
              <w:t>a</w:t>
            </w:r>
            <w:proofErr w:type="spellEnd"/>
          </w:p>
        </w:tc>
        <w:tc>
          <w:tcPr>
            <w:tcW w:w="2551" w:type="dxa"/>
          </w:tcPr>
          <w:p w14:paraId="7A87E016"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0.699 (0.493, 0.990)</w:t>
            </w:r>
          </w:p>
        </w:tc>
        <w:tc>
          <w:tcPr>
            <w:tcW w:w="1655" w:type="dxa"/>
          </w:tcPr>
          <w:p w14:paraId="49AC9AD0"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0.0428</w:t>
            </w:r>
          </w:p>
        </w:tc>
      </w:tr>
      <w:tr w:rsidR="004F1B98" w:rsidRPr="008E7C4C" w14:paraId="63292026" w14:textId="77777777" w:rsidTr="00E9600F">
        <w:trPr>
          <w:cnfStyle w:val="000000010000" w:firstRow="0" w:lastRow="0" w:firstColumn="0" w:lastColumn="0" w:oddVBand="0" w:evenVBand="0" w:oddHBand="0" w:evenHBand="1" w:firstRowFirstColumn="0" w:firstRowLastColumn="0" w:lastRowFirstColumn="0" w:lastRowLastColumn="0"/>
        </w:trPr>
        <w:tc>
          <w:tcPr>
            <w:tcW w:w="4820" w:type="dxa"/>
          </w:tcPr>
          <w:p w14:paraId="2D09935F" w14:textId="77777777" w:rsidR="004F1B98" w:rsidRPr="008E7C4C" w:rsidRDefault="004F1B98" w:rsidP="00920E2E">
            <w:pPr>
              <w:keepNext/>
              <w:spacing w:before="0" w:after="0"/>
              <w:jc w:val="left"/>
              <w:rPr>
                <w:rFonts w:ascii="Arial Narrow" w:hAnsi="Arial Narrow" w:cs="Times New Roman"/>
                <w:sz w:val="20"/>
                <w:szCs w:val="20"/>
                <w:lang w:val="en-AU"/>
              </w:rPr>
            </w:pPr>
            <w:r w:rsidRPr="008E7C4C">
              <w:rPr>
                <w:rFonts w:ascii="Arial Narrow" w:hAnsi="Arial Narrow" w:cs="Times New Roman"/>
                <w:sz w:val="20"/>
                <w:szCs w:val="20"/>
                <w:lang w:val="en-AU"/>
              </w:rPr>
              <w:t xml:space="preserve">TSE (no re-censoring + adjust for baseline </w:t>
            </w:r>
            <w:proofErr w:type="spellStart"/>
            <w:r w:rsidRPr="008E7C4C">
              <w:rPr>
                <w:rFonts w:ascii="Arial Narrow" w:hAnsi="Arial Narrow" w:cs="Times New Roman"/>
                <w:sz w:val="20"/>
                <w:szCs w:val="20"/>
                <w:lang w:val="en-AU"/>
              </w:rPr>
              <w:t>characteristics</w:t>
            </w:r>
            <w:r w:rsidRPr="008E7C4C">
              <w:rPr>
                <w:rFonts w:ascii="Arial Narrow" w:hAnsi="Arial Narrow" w:cs="Times New Roman"/>
                <w:sz w:val="20"/>
                <w:szCs w:val="20"/>
                <w:vertAlign w:val="superscript"/>
                <w:lang w:val="en-AU"/>
              </w:rPr>
              <w:t>b</w:t>
            </w:r>
            <w:proofErr w:type="spellEnd"/>
            <w:r w:rsidRPr="008E7C4C">
              <w:rPr>
                <w:rFonts w:ascii="Arial Narrow" w:hAnsi="Arial Narrow" w:cs="Times New Roman"/>
                <w:sz w:val="20"/>
                <w:szCs w:val="20"/>
                <w:lang w:val="en-AU"/>
              </w:rPr>
              <w:t>)</w:t>
            </w:r>
          </w:p>
        </w:tc>
        <w:tc>
          <w:tcPr>
            <w:tcW w:w="2551" w:type="dxa"/>
          </w:tcPr>
          <w:p w14:paraId="63676393"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0.785 (0.596, 1.035)</w:t>
            </w:r>
          </w:p>
        </w:tc>
        <w:tc>
          <w:tcPr>
            <w:tcW w:w="1655" w:type="dxa"/>
          </w:tcPr>
          <w:p w14:paraId="1063E3DC"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0.0857</w:t>
            </w:r>
          </w:p>
        </w:tc>
      </w:tr>
      <w:tr w:rsidR="004F1B98" w:rsidRPr="008E7C4C" w14:paraId="6AA730E6" w14:textId="77777777" w:rsidTr="00E9600F">
        <w:trPr>
          <w:cnfStyle w:val="000000100000" w:firstRow="0" w:lastRow="0" w:firstColumn="0" w:lastColumn="0" w:oddVBand="0" w:evenVBand="0" w:oddHBand="1" w:evenHBand="0" w:firstRowFirstColumn="0" w:firstRowLastColumn="0" w:lastRowFirstColumn="0" w:lastRowLastColumn="0"/>
        </w:trPr>
        <w:tc>
          <w:tcPr>
            <w:tcW w:w="4820" w:type="dxa"/>
          </w:tcPr>
          <w:p w14:paraId="3BC3389B" w14:textId="77777777" w:rsidR="004F1B98" w:rsidRPr="008E7C4C" w:rsidRDefault="004F1B98" w:rsidP="00920E2E">
            <w:pPr>
              <w:keepNext/>
              <w:spacing w:before="0" w:after="0"/>
              <w:jc w:val="left"/>
              <w:rPr>
                <w:rFonts w:ascii="Arial Narrow" w:hAnsi="Arial Narrow" w:cs="Times New Roman"/>
                <w:b/>
                <w:bCs/>
                <w:sz w:val="20"/>
                <w:szCs w:val="20"/>
                <w:lang w:val="en-AU"/>
              </w:rPr>
            </w:pPr>
            <w:r w:rsidRPr="008E7C4C">
              <w:rPr>
                <w:rFonts w:ascii="Arial Narrow" w:hAnsi="Arial Narrow" w:cs="Times New Roman"/>
                <w:b/>
                <w:bCs/>
                <w:sz w:val="20"/>
                <w:szCs w:val="20"/>
                <w:lang w:val="en-AU"/>
              </w:rPr>
              <w:t>TSE (re-</w:t>
            </w:r>
            <w:proofErr w:type="spellStart"/>
            <w:r w:rsidRPr="008E7C4C">
              <w:rPr>
                <w:rFonts w:ascii="Arial Narrow" w:hAnsi="Arial Narrow" w:cs="Times New Roman"/>
                <w:b/>
                <w:bCs/>
                <w:sz w:val="20"/>
                <w:szCs w:val="20"/>
                <w:lang w:val="en-AU"/>
              </w:rPr>
              <w:t>censored</w:t>
            </w:r>
            <w:r w:rsidRPr="008E7C4C">
              <w:rPr>
                <w:rFonts w:ascii="Arial Narrow" w:hAnsi="Arial Narrow" w:cs="Times New Roman"/>
                <w:b/>
                <w:bCs/>
                <w:sz w:val="20"/>
                <w:szCs w:val="20"/>
                <w:vertAlign w:val="superscript"/>
                <w:lang w:val="en-AU"/>
              </w:rPr>
              <w:t>c</w:t>
            </w:r>
            <w:proofErr w:type="spellEnd"/>
            <w:r w:rsidRPr="008E7C4C">
              <w:rPr>
                <w:rFonts w:ascii="Arial Narrow" w:hAnsi="Arial Narrow" w:cs="Times New Roman"/>
                <w:b/>
                <w:bCs/>
                <w:sz w:val="20"/>
                <w:szCs w:val="20"/>
                <w:lang w:val="en-AU"/>
              </w:rPr>
              <w:t xml:space="preserve"> + adjust for baseline </w:t>
            </w:r>
            <w:proofErr w:type="spellStart"/>
            <w:r w:rsidRPr="008E7C4C">
              <w:rPr>
                <w:rFonts w:ascii="Arial Narrow" w:hAnsi="Arial Narrow" w:cs="Times New Roman"/>
                <w:b/>
                <w:bCs/>
                <w:sz w:val="20"/>
                <w:szCs w:val="20"/>
                <w:lang w:val="en-AU"/>
              </w:rPr>
              <w:t>characteristics</w:t>
            </w:r>
            <w:r w:rsidRPr="008E7C4C">
              <w:rPr>
                <w:rFonts w:ascii="Arial Narrow" w:hAnsi="Arial Narrow" w:cs="Times New Roman"/>
                <w:b/>
                <w:bCs/>
                <w:sz w:val="20"/>
                <w:szCs w:val="20"/>
                <w:vertAlign w:val="superscript"/>
                <w:lang w:val="en-AU"/>
              </w:rPr>
              <w:t>b</w:t>
            </w:r>
            <w:proofErr w:type="spellEnd"/>
            <w:r w:rsidRPr="008E7C4C">
              <w:rPr>
                <w:rFonts w:ascii="Arial Narrow" w:hAnsi="Arial Narrow" w:cs="Times New Roman"/>
                <w:b/>
                <w:bCs/>
                <w:sz w:val="20"/>
                <w:szCs w:val="20"/>
                <w:lang w:val="en-AU"/>
              </w:rPr>
              <w:t>)</w:t>
            </w:r>
          </w:p>
        </w:tc>
        <w:tc>
          <w:tcPr>
            <w:tcW w:w="2551" w:type="dxa"/>
          </w:tcPr>
          <w:p w14:paraId="4B5F743D" w14:textId="77777777" w:rsidR="004F1B98" w:rsidRPr="008E7C4C" w:rsidRDefault="004F1B98" w:rsidP="00920E2E">
            <w:pPr>
              <w:keepNext/>
              <w:spacing w:before="0" w:after="0"/>
              <w:jc w:val="center"/>
              <w:rPr>
                <w:rFonts w:ascii="Arial Narrow" w:hAnsi="Arial Narrow" w:cs="Times New Roman"/>
                <w:b/>
                <w:bCs/>
                <w:sz w:val="20"/>
                <w:szCs w:val="20"/>
                <w:lang w:val="en-AU"/>
              </w:rPr>
            </w:pPr>
            <w:r w:rsidRPr="008E7C4C">
              <w:rPr>
                <w:rFonts w:ascii="Arial Narrow" w:hAnsi="Arial Narrow" w:cs="Times New Roman"/>
                <w:b/>
                <w:bCs/>
                <w:sz w:val="20"/>
                <w:szCs w:val="20"/>
                <w:lang w:val="en-AU"/>
              </w:rPr>
              <w:t>0.713 (0.535, 0.952)</w:t>
            </w:r>
          </w:p>
        </w:tc>
        <w:tc>
          <w:tcPr>
            <w:tcW w:w="1655" w:type="dxa"/>
          </w:tcPr>
          <w:p w14:paraId="27FB3183" w14:textId="77777777" w:rsidR="004F1B98" w:rsidRPr="008E7C4C" w:rsidRDefault="004F1B98" w:rsidP="00920E2E">
            <w:pPr>
              <w:keepNext/>
              <w:spacing w:before="0" w:after="0"/>
              <w:jc w:val="center"/>
              <w:rPr>
                <w:rFonts w:ascii="Arial Narrow" w:hAnsi="Arial Narrow" w:cs="Times New Roman"/>
                <w:b/>
                <w:bCs/>
                <w:sz w:val="20"/>
                <w:szCs w:val="20"/>
                <w:lang w:val="en-AU"/>
              </w:rPr>
            </w:pPr>
            <w:r w:rsidRPr="008E7C4C">
              <w:rPr>
                <w:rFonts w:ascii="Arial Narrow" w:hAnsi="Arial Narrow" w:cs="Times New Roman"/>
                <w:b/>
                <w:bCs/>
                <w:sz w:val="20"/>
                <w:szCs w:val="20"/>
                <w:lang w:val="en-AU"/>
              </w:rPr>
              <w:t>0.0216</w:t>
            </w:r>
          </w:p>
        </w:tc>
      </w:tr>
      <w:tr w:rsidR="004F1B98" w:rsidRPr="008E7C4C" w14:paraId="748288A3" w14:textId="77777777" w:rsidTr="00E9600F">
        <w:trPr>
          <w:cnfStyle w:val="000000010000" w:firstRow="0" w:lastRow="0" w:firstColumn="0" w:lastColumn="0" w:oddVBand="0" w:evenVBand="0" w:oddHBand="0" w:evenHBand="1" w:firstRowFirstColumn="0" w:firstRowLastColumn="0" w:lastRowFirstColumn="0" w:lastRowLastColumn="0"/>
        </w:trPr>
        <w:tc>
          <w:tcPr>
            <w:tcW w:w="4820" w:type="dxa"/>
          </w:tcPr>
          <w:p w14:paraId="2B0BDE3E" w14:textId="77777777" w:rsidR="004F1B98" w:rsidRPr="008E7C4C" w:rsidRDefault="004F1B98" w:rsidP="00920E2E">
            <w:pPr>
              <w:keepNext/>
              <w:spacing w:before="0" w:after="0"/>
              <w:jc w:val="left"/>
              <w:rPr>
                <w:rFonts w:ascii="Arial Narrow" w:hAnsi="Arial Narrow" w:cs="Times New Roman"/>
                <w:sz w:val="20"/>
                <w:szCs w:val="20"/>
                <w:lang w:val="en-AU"/>
              </w:rPr>
            </w:pPr>
            <w:r w:rsidRPr="008E7C4C">
              <w:rPr>
                <w:rFonts w:ascii="Arial Narrow" w:hAnsi="Arial Narrow" w:cs="Times New Roman"/>
                <w:sz w:val="20"/>
                <w:szCs w:val="20"/>
                <w:lang w:val="en-AU"/>
              </w:rPr>
              <w:t xml:space="preserve">IPCW (stabilised weights + adjust for baseline </w:t>
            </w:r>
            <w:proofErr w:type="spellStart"/>
            <w:r w:rsidRPr="008E7C4C">
              <w:rPr>
                <w:rFonts w:ascii="Arial Narrow" w:hAnsi="Arial Narrow" w:cs="Times New Roman"/>
                <w:sz w:val="20"/>
                <w:szCs w:val="20"/>
                <w:lang w:val="en-AU"/>
              </w:rPr>
              <w:t>characteristics</w:t>
            </w:r>
            <w:r w:rsidRPr="008E7C4C">
              <w:rPr>
                <w:rFonts w:ascii="Arial Narrow" w:hAnsi="Arial Narrow" w:cs="Times New Roman"/>
                <w:sz w:val="20"/>
                <w:szCs w:val="20"/>
                <w:vertAlign w:val="superscript"/>
                <w:lang w:val="en-AU"/>
              </w:rPr>
              <w:t>b</w:t>
            </w:r>
            <w:proofErr w:type="spellEnd"/>
            <w:r w:rsidRPr="008E7C4C">
              <w:rPr>
                <w:rFonts w:ascii="Arial Narrow" w:hAnsi="Arial Narrow" w:cs="Times New Roman"/>
                <w:sz w:val="20"/>
                <w:szCs w:val="20"/>
                <w:lang w:val="en-AU"/>
              </w:rPr>
              <w:t>)</w:t>
            </w:r>
          </w:p>
        </w:tc>
        <w:tc>
          <w:tcPr>
            <w:tcW w:w="2551" w:type="dxa"/>
          </w:tcPr>
          <w:p w14:paraId="0159BF94"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0.674 (0.465, 0.979)</w:t>
            </w:r>
          </w:p>
        </w:tc>
        <w:tc>
          <w:tcPr>
            <w:tcW w:w="1655" w:type="dxa"/>
          </w:tcPr>
          <w:p w14:paraId="6B173614" w14:textId="77777777" w:rsidR="004F1B98" w:rsidRPr="008E7C4C" w:rsidRDefault="004F1B98" w:rsidP="00920E2E">
            <w:pPr>
              <w:keepNext/>
              <w:spacing w:before="0" w:after="0"/>
              <w:jc w:val="center"/>
              <w:rPr>
                <w:rFonts w:ascii="Arial Narrow" w:hAnsi="Arial Narrow" w:cs="Times New Roman"/>
                <w:sz w:val="20"/>
                <w:szCs w:val="20"/>
                <w:lang w:val="en-AU"/>
              </w:rPr>
            </w:pPr>
            <w:r w:rsidRPr="008E7C4C">
              <w:rPr>
                <w:rFonts w:ascii="Arial Narrow" w:hAnsi="Arial Narrow" w:cs="Times New Roman"/>
                <w:sz w:val="20"/>
                <w:szCs w:val="20"/>
                <w:lang w:val="en-AU"/>
              </w:rPr>
              <w:t>0.0383</w:t>
            </w:r>
          </w:p>
        </w:tc>
      </w:tr>
    </w:tbl>
    <w:p w14:paraId="4EC0C5D5" w14:textId="77777777" w:rsidR="004F1B98" w:rsidRPr="008E7C4C" w:rsidRDefault="004F1B98" w:rsidP="00136562">
      <w:pPr>
        <w:pStyle w:val="PBACTableSource"/>
      </w:pPr>
      <w:r w:rsidRPr="008E7C4C">
        <w:t>Source: Table 2-19, p71 of the resubmission. Values in bold are statistically significant.</w:t>
      </w:r>
    </w:p>
    <w:p w14:paraId="54725684" w14:textId="63BB5259" w:rsidR="004F1B98" w:rsidRPr="008E7C4C" w:rsidRDefault="004F1B98" w:rsidP="00136562">
      <w:pPr>
        <w:pStyle w:val="PBACTableSource"/>
      </w:pPr>
      <w:r w:rsidRPr="008E7C4C">
        <w:t>CI</w:t>
      </w:r>
      <w:r w:rsidR="008B58A6" w:rsidRPr="008E7C4C">
        <w:t xml:space="preserve"> </w:t>
      </w:r>
      <w:r w:rsidRPr="008E7C4C">
        <w:t>= confidence interval; IPCW</w:t>
      </w:r>
      <w:r w:rsidR="008B58A6" w:rsidRPr="008E7C4C">
        <w:t xml:space="preserve"> </w:t>
      </w:r>
      <w:r w:rsidRPr="008E7C4C">
        <w:t xml:space="preserve">= inverse probability of censoring weighting; </w:t>
      </w:r>
      <w:proofErr w:type="spellStart"/>
      <w:r w:rsidRPr="008E7C4C">
        <w:t>ILd</w:t>
      </w:r>
      <w:proofErr w:type="spellEnd"/>
      <w:r w:rsidR="008B58A6" w:rsidRPr="008E7C4C">
        <w:t xml:space="preserve"> </w:t>
      </w:r>
      <w:r w:rsidRPr="008E7C4C">
        <w:t xml:space="preserve">= </w:t>
      </w:r>
      <w:proofErr w:type="spellStart"/>
      <w:r w:rsidRPr="008E7C4C">
        <w:t>ixazomib</w:t>
      </w:r>
      <w:proofErr w:type="spellEnd"/>
      <w:r w:rsidR="008B58A6" w:rsidRPr="008E7C4C">
        <w:t xml:space="preserve"> + </w:t>
      </w:r>
      <w:r w:rsidRPr="008E7C4C">
        <w:t>lenalidomide</w:t>
      </w:r>
      <w:r w:rsidR="008B58A6" w:rsidRPr="008E7C4C">
        <w:t xml:space="preserve"> + </w:t>
      </w:r>
      <w:r w:rsidRPr="008E7C4C">
        <w:t>dexamethasone</w:t>
      </w:r>
      <w:r w:rsidR="00A722DC" w:rsidRPr="008E7C4C">
        <w:rPr>
          <w:rFonts w:eastAsia="Calibri"/>
        </w:rPr>
        <w:t xml:space="preserve">; </w:t>
      </w:r>
      <w:proofErr w:type="spellStart"/>
      <w:r w:rsidRPr="008E7C4C">
        <w:t>Ld</w:t>
      </w:r>
      <w:proofErr w:type="spellEnd"/>
      <w:r w:rsidR="008B58A6" w:rsidRPr="008E7C4C">
        <w:t xml:space="preserve"> </w:t>
      </w:r>
      <w:r w:rsidRPr="008E7C4C">
        <w:t>= lenalidomide</w:t>
      </w:r>
      <w:r w:rsidR="008B58A6" w:rsidRPr="008E7C4C">
        <w:t xml:space="preserve"> + </w:t>
      </w:r>
      <w:r w:rsidRPr="008E7C4C">
        <w:t>dexamethasone; OS</w:t>
      </w:r>
      <w:r w:rsidR="008B58A6" w:rsidRPr="008E7C4C">
        <w:t xml:space="preserve"> </w:t>
      </w:r>
      <w:r w:rsidRPr="008E7C4C">
        <w:t>= overall survival; TSE</w:t>
      </w:r>
      <w:r w:rsidR="008B58A6" w:rsidRPr="008E7C4C">
        <w:t xml:space="preserve"> =</w:t>
      </w:r>
      <w:r w:rsidRPr="008E7C4C">
        <w:t xml:space="preserve"> two-stage estimator</w:t>
      </w:r>
    </w:p>
    <w:p w14:paraId="416DF380" w14:textId="77777777" w:rsidR="004F1B98" w:rsidRPr="008E7C4C" w:rsidRDefault="004F1B98" w:rsidP="00136562">
      <w:pPr>
        <w:pStyle w:val="PBACTableSource"/>
      </w:pPr>
      <w:r w:rsidRPr="008E7C4C">
        <w:t>Note: p-values from stratified log-rank tests for analyses which do not adjust for baseline characteristics. For analyses which adjust for baseline characteristics, p-values are those associated with the coefficient from a Cox regression model including treatment arm and baseline characteristics as covariates.</w:t>
      </w:r>
    </w:p>
    <w:p w14:paraId="32233E68" w14:textId="77777777" w:rsidR="004F1B98" w:rsidRPr="008E7C4C" w:rsidRDefault="004F1B98" w:rsidP="00136562">
      <w:pPr>
        <w:pStyle w:val="PBACTableSource"/>
      </w:pPr>
      <w:r w:rsidRPr="008E7C4C">
        <w:t>a. Excludes all patients who switched from the analysis</w:t>
      </w:r>
      <w:r w:rsidRPr="008E7C4C" w:rsidDel="00397415">
        <w:t xml:space="preserve"> </w:t>
      </w:r>
    </w:p>
    <w:p w14:paraId="0D1DEB82" w14:textId="77777777" w:rsidR="004F1B98" w:rsidRPr="008E7C4C" w:rsidRDefault="004F1B98" w:rsidP="00136562">
      <w:pPr>
        <w:pStyle w:val="PBACTableSource"/>
      </w:pPr>
      <w:r w:rsidRPr="008E7C4C">
        <w:t>b. Adjusts for high-risk, age&gt;65, ISS stage at screening, and history of bone lesions.</w:t>
      </w:r>
    </w:p>
    <w:p w14:paraId="0D746A27" w14:textId="162967DD" w:rsidR="004F1B98" w:rsidRPr="008E7C4C" w:rsidRDefault="004F1B98" w:rsidP="00136562">
      <w:pPr>
        <w:pStyle w:val="PBACTableSource"/>
      </w:pPr>
      <w:r w:rsidRPr="008E7C4C">
        <w:t xml:space="preserve">c Counterfactual survival times are re-censored for all patients at the minimum of the administrative censoring time of the study (28th September 2020; </w:t>
      </w:r>
      <w:r w:rsidRPr="008E7C4C">
        <w:rPr>
          <w:i/>
        </w:rPr>
        <w:t>C</w:t>
      </w:r>
      <w:r w:rsidRPr="008E7C4C">
        <w:rPr>
          <w:i/>
          <w:vertAlign w:val="subscript"/>
        </w:rPr>
        <w:t>i</w:t>
      </w:r>
      <w:r w:rsidRPr="008E7C4C">
        <w:t xml:space="preserve">) and </w:t>
      </w:r>
      <w:r w:rsidRPr="008E7C4C">
        <w:rPr>
          <w:i/>
        </w:rPr>
        <w:t>C</w:t>
      </w:r>
      <w:r w:rsidRPr="008E7C4C">
        <w:rPr>
          <w:i/>
          <w:vertAlign w:val="subscript"/>
        </w:rPr>
        <w:t>iψ2</w:t>
      </w:r>
      <w:r w:rsidRPr="008E7C4C">
        <w:t xml:space="preserve">, where </w:t>
      </w:r>
      <w:r w:rsidRPr="008E7C4C">
        <w:rPr>
          <w:i/>
          <w:vertAlign w:val="subscript"/>
        </w:rPr>
        <w:t>ψ2</w:t>
      </w:r>
      <w:r w:rsidRPr="008E7C4C">
        <w:t xml:space="preserve"> is the adjustment factor associated with group 2 membership. This represents the earliest possible censoring time.</w:t>
      </w:r>
    </w:p>
    <w:p w14:paraId="4D823724" w14:textId="77777777" w:rsidR="003F4E26" w:rsidRPr="008E7C4C" w:rsidRDefault="003F4E26" w:rsidP="00136562">
      <w:pPr>
        <w:pStyle w:val="PBACTableSource"/>
        <w:rPr>
          <w:snapToGrid w:val="0"/>
        </w:rPr>
      </w:pPr>
    </w:p>
    <w:p w14:paraId="00D3EDB2" w14:textId="3CFDA4DE" w:rsidR="009A188C" w:rsidRPr="008E7C4C" w:rsidRDefault="009A188C" w:rsidP="00152353">
      <w:pPr>
        <w:numPr>
          <w:ilvl w:val="1"/>
          <w:numId w:val="1"/>
        </w:numPr>
        <w:spacing w:after="120"/>
        <w:rPr>
          <w:rFonts w:asciiTheme="minorHAnsi" w:hAnsiTheme="minorHAnsi"/>
          <w:snapToGrid w:val="0"/>
          <w:lang w:eastAsia="en-US"/>
        </w:rPr>
      </w:pPr>
      <w:r w:rsidRPr="008E7C4C">
        <w:rPr>
          <w:rFonts w:asciiTheme="minorHAnsi" w:hAnsiTheme="minorHAnsi"/>
          <w:snapToGrid w:val="0"/>
          <w:lang w:eastAsia="en-US"/>
        </w:rPr>
        <w:t>The results indicate</w:t>
      </w:r>
      <w:r w:rsidR="004F1B98" w:rsidRPr="008E7C4C">
        <w:rPr>
          <w:rFonts w:asciiTheme="minorHAnsi" w:hAnsiTheme="minorHAnsi"/>
          <w:snapToGrid w:val="0"/>
          <w:lang w:eastAsia="en-US"/>
        </w:rPr>
        <w:t>d</w:t>
      </w:r>
      <w:r w:rsidRPr="008E7C4C">
        <w:rPr>
          <w:rFonts w:asciiTheme="minorHAnsi" w:hAnsiTheme="minorHAnsi"/>
          <w:snapToGrid w:val="0"/>
          <w:lang w:eastAsia="en-US"/>
        </w:rPr>
        <w:t xml:space="preserve"> that the </w:t>
      </w:r>
      <w:r w:rsidR="004F1B98" w:rsidRPr="008E7C4C">
        <w:rPr>
          <w:rFonts w:asciiTheme="minorHAnsi" w:hAnsiTheme="minorHAnsi"/>
          <w:snapToGrid w:val="0"/>
          <w:lang w:eastAsia="en-US"/>
        </w:rPr>
        <w:t xml:space="preserve">OS </w:t>
      </w:r>
      <w:r w:rsidRPr="008E7C4C">
        <w:rPr>
          <w:rFonts w:asciiTheme="minorHAnsi" w:hAnsiTheme="minorHAnsi"/>
          <w:snapToGrid w:val="0"/>
          <w:lang w:eastAsia="en-US"/>
        </w:rPr>
        <w:t>HR improve</w:t>
      </w:r>
      <w:r w:rsidR="004F1B98" w:rsidRPr="008E7C4C">
        <w:rPr>
          <w:rFonts w:asciiTheme="minorHAnsi" w:hAnsiTheme="minorHAnsi"/>
          <w:snapToGrid w:val="0"/>
          <w:lang w:eastAsia="en-US"/>
        </w:rPr>
        <w:t>d</w:t>
      </w:r>
      <w:r w:rsidRPr="008E7C4C">
        <w:rPr>
          <w:rFonts w:asciiTheme="minorHAnsi" w:hAnsiTheme="minorHAnsi"/>
          <w:snapToGrid w:val="0"/>
          <w:lang w:eastAsia="en-US"/>
        </w:rPr>
        <w:t xml:space="preserve"> compared to the </w:t>
      </w:r>
      <w:r w:rsidR="00D21D03" w:rsidRPr="008E7C4C">
        <w:rPr>
          <w:rFonts w:asciiTheme="minorHAnsi" w:hAnsiTheme="minorHAnsi"/>
          <w:snapToGrid w:val="0"/>
          <w:lang w:eastAsia="en-US"/>
        </w:rPr>
        <w:t>unadjusted</w:t>
      </w:r>
      <w:r w:rsidRPr="008E7C4C">
        <w:rPr>
          <w:rFonts w:asciiTheme="minorHAnsi" w:hAnsiTheme="minorHAnsi"/>
          <w:snapToGrid w:val="0"/>
          <w:lang w:eastAsia="en-US"/>
        </w:rPr>
        <w:t xml:space="preserve"> and bec</w:t>
      </w:r>
      <w:r w:rsidR="004F1B98" w:rsidRPr="008E7C4C">
        <w:rPr>
          <w:rFonts w:asciiTheme="minorHAnsi" w:hAnsiTheme="minorHAnsi"/>
          <w:snapToGrid w:val="0"/>
          <w:lang w:eastAsia="en-US"/>
        </w:rPr>
        <w:t>ame</w:t>
      </w:r>
      <w:r w:rsidRPr="008E7C4C">
        <w:rPr>
          <w:rFonts w:asciiTheme="minorHAnsi" w:hAnsiTheme="minorHAnsi"/>
          <w:snapToGrid w:val="0"/>
          <w:lang w:eastAsia="en-US"/>
        </w:rPr>
        <w:t xml:space="preserve"> statistically significant with all methods except for the TSE without re</w:t>
      </w:r>
      <w:r w:rsidR="00136562" w:rsidRPr="008E7C4C">
        <w:rPr>
          <w:rFonts w:asciiTheme="minorHAnsi" w:hAnsiTheme="minorHAnsi"/>
          <w:snapToGrid w:val="0"/>
          <w:lang w:eastAsia="en-US"/>
        </w:rPr>
        <w:noBreakHyphen/>
      </w:r>
      <w:r w:rsidRPr="008E7C4C">
        <w:rPr>
          <w:rFonts w:asciiTheme="minorHAnsi" w:hAnsiTheme="minorHAnsi"/>
          <w:snapToGrid w:val="0"/>
          <w:lang w:eastAsia="en-US"/>
        </w:rPr>
        <w:t xml:space="preserve">censoring. </w:t>
      </w:r>
      <w:r w:rsidR="004234DD" w:rsidRPr="008E7C4C">
        <w:rPr>
          <w:rFonts w:asciiTheme="minorHAnsi" w:hAnsiTheme="minorHAnsi"/>
          <w:snapToGrid w:val="0"/>
          <w:lang w:eastAsia="en-US"/>
        </w:rPr>
        <w:t>The resubmission stated that the resul</w:t>
      </w:r>
      <w:r w:rsidR="00294ACE" w:rsidRPr="008E7C4C">
        <w:rPr>
          <w:rFonts w:asciiTheme="minorHAnsi" w:hAnsiTheme="minorHAnsi"/>
          <w:snapToGrid w:val="0"/>
          <w:lang w:eastAsia="en-US"/>
        </w:rPr>
        <w:t>t</w:t>
      </w:r>
      <w:r w:rsidR="004234DD" w:rsidRPr="008E7C4C">
        <w:rPr>
          <w:rFonts w:asciiTheme="minorHAnsi" w:hAnsiTheme="minorHAnsi"/>
          <w:snapToGrid w:val="0"/>
          <w:lang w:eastAsia="en-US"/>
        </w:rPr>
        <w:t xml:space="preserve">s of the naïve analysis showed that </w:t>
      </w:r>
      <w:r w:rsidR="00730E97" w:rsidRPr="008E7C4C">
        <w:rPr>
          <w:rFonts w:asciiTheme="minorHAnsi" w:hAnsiTheme="minorHAnsi"/>
          <w:snapToGrid w:val="0"/>
          <w:lang w:eastAsia="en-US"/>
        </w:rPr>
        <w:t>receiving subsequent treatments</w:t>
      </w:r>
      <w:r w:rsidR="004234DD" w:rsidRPr="008E7C4C">
        <w:rPr>
          <w:rFonts w:asciiTheme="minorHAnsi" w:hAnsiTheme="minorHAnsi"/>
          <w:snapToGrid w:val="0"/>
          <w:lang w:eastAsia="en-US"/>
        </w:rPr>
        <w:t xml:space="preserve"> was associated </w:t>
      </w:r>
      <w:r w:rsidR="00A40B21" w:rsidRPr="008E7C4C">
        <w:rPr>
          <w:rFonts w:asciiTheme="minorHAnsi" w:hAnsiTheme="minorHAnsi"/>
          <w:snapToGrid w:val="0"/>
          <w:lang w:eastAsia="en-US"/>
        </w:rPr>
        <w:t xml:space="preserve">with </w:t>
      </w:r>
      <w:r w:rsidR="004234DD" w:rsidRPr="008E7C4C">
        <w:rPr>
          <w:rFonts w:asciiTheme="minorHAnsi" w:hAnsiTheme="minorHAnsi"/>
          <w:snapToGrid w:val="0"/>
          <w:lang w:eastAsia="en-US"/>
        </w:rPr>
        <w:t>improved clinical outcomes, but since more patient</w:t>
      </w:r>
      <w:r w:rsidR="008C42B0" w:rsidRPr="008E7C4C">
        <w:rPr>
          <w:rFonts w:asciiTheme="minorHAnsi" w:hAnsiTheme="minorHAnsi"/>
          <w:snapToGrid w:val="0"/>
          <w:lang w:eastAsia="en-US"/>
        </w:rPr>
        <w:t>s</w:t>
      </w:r>
      <w:r w:rsidR="004234DD" w:rsidRPr="008E7C4C">
        <w:rPr>
          <w:rFonts w:asciiTheme="minorHAnsi" w:hAnsiTheme="minorHAnsi"/>
          <w:snapToGrid w:val="0"/>
          <w:lang w:eastAsia="en-US"/>
        </w:rPr>
        <w:t xml:space="preserve"> were adjusted for in </w:t>
      </w:r>
      <w:r w:rsidR="008C42B0" w:rsidRPr="008E7C4C">
        <w:rPr>
          <w:rFonts w:asciiTheme="minorHAnsi" w:hAnsiTheme="minorHAnsi"/>
          <w:snapToGrid w:val="0"/>
          <w:lang w:eastAsia="en-US"/>
        </w:rPr>
        <w:t xml:space="preserve">the </w:t>
      </w:r>
      <w:proofErr w:type="spellStart"/>
      <w:r w:rsidR="004234DD" w:rsidRPr="008E7C4C">
        <w:rPr>
          <w:rFonts w:asciiTheme="minorHAnsi" w:hAnsiTheme="minorHAnsi"/>
          <w:snapToGrid w:val="0"/>
          <w:lang w:eastAsia="en-US"/>
        </w:rPr>
        <w:t>ILd</w:t>
      </w:r>
      <w:proofErr w:type="spellEnd"/>
      <w:r w:rsidR="004234DD" w:rsidRPr="008E7C4C">
        <w:rPr>
          <w:rFonts w:asciiTheme="minorHAnsi" w:hAnsiTheme="minorHAnsi"/>
          <w:snapToGrid w:val="0"/>
          <w:lang w:eastAsia="en-US"/>
        </w:rPr>
        <w:t xml:space="preserve"> arm 59 vs 52 in </w:t>
      </w:r>
      <w:proofErr w:type="spellStart"/>
      <w:r w:rsidR="004234DD" w:rsidRPr="008E7C4C">
        <w:rPr>
          <w:rFonts w:asciiTheme="minorHAnsi" w:hAnsiTheme="minorHAnsi"/>
          <w:snapToGrid w:val="0"/>
          <w:lang w:eastAsia="en-US"/>
        </w:rPr>
        <w:t>Ld</w:t>
      </w:r>
      <w:proofErr w:type="spellEnd"/>
      <w:r w:rsidR="004234DD" w:rsidRPr="008E7C4C">
        <w:rPr>
          <w:rFonts w:asciiTheme="minorHAnsi" w:hAnsiTheme="minorHAnsi"/>
          <w:snapToGrid w:val="0"/>
          <w:lang w:eastAsia="en-US"/>
        </w:rPr>
        <w:t xml:space="preserve"> arm, the resul</w:t>
      </w:r>
      <w:r w:rsidR="008C42B0" w:rsidRPr="008E7C4C">
        <w:rPr>
          <w:rFonts w:asciiTheme="minorHAnsi" w:hAnsiTheme="minorHAnsi"/>
          <w:snapToGrid w:val="0"/>
          <w:lang w:eastAsia="en-US"/>
        </w:rPr>
        <w:t>t</w:t>
      </w:r>
      <w:r w:rsidR="004234DD" w:rsidRPr="008E7C4C">
        <w:rPr>
          <w:rFonts w:asciiTheme="minorHAnsi" w:hAnsiTheme="minorHAnsi"/>
          <w:snapToGrid w:val="0"/>
          <w:lang w:eastAsia="en-US"/>
        </w:rPr>
        <w:t xml:space="preserve"> was subject to selection bias. </w:t>
      </w:r>
    </w:p>
    <w:p w14:paraId="17ED1EE0" w14:textId="669A2AD0" w:rsidR="004F1B98" w:rsidRPr="008E7C4C" w:rsidRDefault="004234DD" w:rsidP="004234DD">
      <w:pPr>
        <w:pStyle w:val="3-BodyText"/>
        <w:rPr>
          <w:lang w:eastAsia="en-US"/>
        </w:rPr>
      </w:pPr>
      <w:r w:rsidRPr="008E7C4C">
        <w:rPr>
          <w:lang w:eastAsia="en-US"/>
        </w:rPr>
        <w:t xml:space="preserve">The resubmission </w:t>
      </w:r>
      <w:r w:rsidR="009731DF" w:rsidRPr="008E7C4C">
        <w:rPr>
          <w:lang w:eastAsia="en-US"/>
        </w:rPr>
        <w:t>stated that</w:t>
      </w:r>
      <w:r w:rsidRPr="008E7C4C">
        <w:rPr>
          <w:lang w:eastAsia="en-US"/>
        </w:rPr>
        <w:t xml:space="preserve"> </w:t>
      </w:r>
      <w:r w:rsidR="009731DF" w:rsidRPr="008E7C4C">
        <w:rPr>
          <w:lang w:eastAsia="en-US"/>
        </w:rPr>
        <w:t xml:space="preserve">the </w:t>
      </w:r>
      <w:r w:rsidRPr="008E7C4C">
        <w:rPr>
          <w:lang w:eastAsia="en-US"/>
        </w:rPr>
        <w:t xml:space="preserve">TSE (with re-censoring) method </w:t>
      </w:r>
      <w:r w:rsidR="009731DF" w:rsidRPr="008E7C4C">
        <w:rPr>
          <w:lang w:eastAsia="en-US"/>
        </w:rPr>
        <w:t xml:space="preserve">was the most appropriate method </w:t>
      </w:r>
      <w:r w:rsidRPr="008E7C4C">
        <w:rPr>
          <w:lang w:eastAsia="en-US"/>
        </w:rPr>
        <w:t xml:space="preserve">to adjust OS. Additional methods were also tested (TSE with/without re-censoring, naïve analyses, IPCW and rank </w:t>
      </w:r>
      <w:proofErr w:type="gramStart"/>
      <w:r w:rsidRPr="008E7C4C">
        <w:rPr>
          <w:lang w:eastAsia="en-US"/>
        </w:rPr>
        <w:t xml:space="preserve">preserving </w:t>
      </w:r>
      <w:r w:rsidR="00A40B21" w:rsidRPr="008E7C4C">
        <w:rPr>
          <w:lang w:eastAsia="en-US"/>
        </w:rPr>
        <w:t xml:space="preserve"> structural</w:t>
      </w:r>
      <w:proofErr w:type="gramEnd"/>
      <w:r w:rsidR="00A40B21" w:rsidRPr="008E7C4C">
        <w:rPr>
          <w:lang w:eastAsia="en-US"/>
        </w:rPr>
        <w:t xml:space="preserve"> </w:t>
      </w:r>
      <w:r w:rsidRPr="008E7C4C">
        <w:rPr>
          <w:lang w:eastAsia="en-US"/>
        </w:rPr>
        <w:t xml:space="preserve">failure time models (RPSFTM)). </w:t>
      </w:r>
      <w:r w:rsidR="004F1B98" w:rsidRPr="008E7C4C">
        <w:rPr>
          <w:lang w:eastAsia="en-US"/>
        </w:rPr>
        <w:t xml:space="preserve">The resubmission stated that the inverse probability of censoring weights (IPCW) method produced clinically implausible OS as clinical experts suggested that OS should be reduced when adjusting for the effects of efficacious subsequent therapies, while it showed an improvement of OS in both treatment arms. The resubmission also stated that with respect to the IPCW method, the model predicting switching had poor explanatory power.  Despite producing a </w:t>
      </w:r>
      <w:r w:rsidR="004F1B98" w:rsidRPr="008E7C4C">
        <w:rPr>
          <w:lang w:eastAsia="en-US"/>
        </w:rPr>
        <w:lastRenderedPageBreak/>
        <w:t xml:space="preserve">lower HR compared with the TSE method, the IPCW method was associated with a higher ICER (see Table 15). </w:t>
      </w:r>
    </w:p>
    <w:p w14:paraId="0D250C1F" w14:textId="792758AE" w:rsidR="004234DD" w:rsidRPr="008E7C4C" w:rsidRDefault="004234DD" w:rsidP="004234DD">
      <w:pPr>
        <w:pStyle w:val="3-BodyText"/>
        <w:rPr>
          <w:lang w:eastAsia="en-US"/>
        </w:rPr>
      </w:pPr>
      <w:r w:rsidRPr="008E7C4C">
        <w:rPr>
          <w:lang w:eastAsia="en-US"/>
        </w:rPr>
        <w:t xml:space="preserve">Overall, the </w:t>
      </w:r>
      <w:r w:rsidR="00FA17D9" w:rsidRPr="008E7C4C">
        <w:rPr>
          <w:lang w:eastAsia="en-US"/>
        </w:rPr>
        <w:t xml:space="preserve">ESC </w:t>
      </w:r>
      <w:r w:rsidR="00D253FD" w:rsidRPr="008E7C4C">
        <w:rPr>
          <w:lang w:eastAsia="en-US"/>
        </w:rPr>
        <w:t>c</w:t>
      </w:r>
      <w:r w:rsidR="00FA17D9" w:rsidRPr="008E7C4C">
        <w:rPr>
          <w:lang w:eastAsia="en-US"/>
        </w:rPr>
        <w:t xml:space="preserve">onsidered that although the choice of the TSE method of adjustment was technically appropriate, the </w:t>
      </w:r>
      <w:r w:rsidRPr="008E7C4C">
        <w:rPr>
          <w:lang w:eastAsia="en-US"/>
        </w:rPr>
        <w:t xml:space="preserve">adjustment for switching of OS data </w:t>
      </w:r>
      <w:r w:rsidR="004F737D" w:rsidRPr="008E7C4C">
        <w:rPr>
          <w:lang w:eastAsia="en-US"/>
        </w:rPr>
        <w:t>require</w:t>
      </w:r>
      <w:r w:rsidR="00FA17D9" w:rsidRPr="008E7C4C">
        <w:rPr>
          <w:lang w:eastAsia="en-US"/>
        </w:rPr>
        <w:t>d</w:t>
      </w:r>
      <w:r w:rsidRPr="008E7C4C">
        <w:rPr>
          <w:lang w:eastAsia="en-US"/>
        </w:rPr>
        <w:t xml:space="preserve"> the assumption </w:t>
      </w:r>
      <w:r w:rsidR="00FA17D9" w:rsidRPr="008E7C4C">
        <w:rPr>
          <w:lang w:eastAsia="en-US"/>
        </w:rPr>
        <w:t xml:space="preserve">surrounding the </w:t>
      </w:r>
      <w:r w:rsidRPr="008E7C4C">
        <w:rPr>
          <w:lang w:eastAsia="en-US"/>
        </w:rPr>
        <w:t>subsequent therapies not available in Australia to hold</w:t>
      </w:r>
      <w:r w:rsidR="00FA17D9" w:rsidRPr="008E7C4C">
        <w:rPr>
          <w:lang w:eastAsia="en-US"/>
        </w:rPr>
        <w:t>, but that th</w:t>
      </w:r>
      <w:r w:rsidR="00D253FD" w:rsidRPr="008E7C4C">
        <w:rPr>
          <w:lang w:eastAsia="en-US"/>
        </w:rPr>
        <w:t>is was</w:t>
      </w:r>
      <w:r w:rsidRPr="008E7C4C">
        <w:rPr>
          <w:lang w:eastAsia="en-US"/>
        </w:rPr>
        <w:t xml:space="preserve"> incorrectly specified in the resubmission. Therefore, the number of patients adjusted for </w:t>
      </w:r>
      <w:r w:rsidR="00730E97" w:rsidRPr="008E7C4C">
        <w:rPr>
          <w:lang w:eastAsia="en-US"/>
        </w:rPr>
        <w:t xml:space="preserve">receiving subsequent treatment </w:t>
      </w:r>
      <w:r w:rsidR="004F737D" w:rsidRPr="008E7C4C">
        <w:rPr>
          <w:lang w:eastAsia="en-US"/>
        </w:rPr>
        <w:t>was</w:t>
      </w:r>
      <w:r w:rsidRPr="008E7C4C">
        <w:rPr>
          <w:lang w:eastAsia="en-US"/>
        </w:rPr>
        <w:t xml:space="preserve"> overestimated.</w:t>
      </w:r>
      <w:r w:rsidR="00FA17D9" w:rsidRPr="008E7C4C">
        <w:rPr>
          <w:lang w:eastAsia="en-US"/>
        </w:rPr>
        <w:t xml:space="preserve"> </w:t>
      </w:r>
      <w:r w:rsidR="00D253FD" w:rsidRPr="008E7C4C">
        <w:rPr>
          <w:lang w:eastAsia="en-US"/>
        </w:rPr>
        <w:t xml:space="preserve">In addition, the ESC questioned the clinical rationale for an improved OS HR when very similar proportions of patients from both arms of the trial were excluded. The ESC considered that the change in OS HR was most likely a data or methodological </w:t>
      </w:r>
      <w:r w:rsidR="007E5257" w:rsidRPr="008E7C4C">
        <w:rPr>
          <w:lang w:eastAsia="en-US"/>
        </w:rPr>
        <w:t>artefact</w:t>
      </w:r>
      <w:r w:rsidR="00D253FD" w:rsidRPr="008E7C4C">
        <w:rPr>
          <w:lang w:eastAsia="en-US"/>
        </w:rPr>
        <w:t xml:space="preserve">. </w:t>
      </w:r>
      <w:r w:rsidR="00FA17D9" w:rsidRPr="008E7C4C">
        <w:rPr>
          <w:lang w:eastAsia="en-US"/>
        </w:rPr>
        <w:t xml:space="preserve">The ESC advised that the OS HR unadjusted for </w:t>
      </w:r>
      <w:r w:rsidR="00730E97" w:rsidRPr="008E7C4C">
        <w:rPr>
          <w:lang w:eastAsia="en-US"/>
        </w:rPr>
        <w:t xml:space="preserve">subsequent </w:t>
      </w:r>
      <w:r w:rsidR="00FA17D9" w:rsidRPr="008E7C4C">
        <w:rPr>
          <w:lang w:eastAsia="en-US"/>
        </w:rPr>
        <w:t>treatment</w:t>
      </w:r>
      <w:r w:rsidR="00730E97" w:rsidRPr="008E7C4C">
        <w:rPr>
          <w:lang w:eastAsia="en-US"/>
        </w:rPr>
        <w:t>s</w:t>
      </w:r>
      <w:r w:rsidR="00FA17D9" w:rsidRPr="008E7C4C">
        <w:rPr>
          <w:lang w:eastAsia="en-US"/>
        </w:rPr>
        <w:t xml:space="preserve"> should be applied in the economic model.</w:t>
      </w:r>
      <w:r w:rsidRPr="008E7C4C">
        <w:rPr>
          <w:lang w:eastAsia="en-US"/>
        </w:rPr>
        <w:t xml:space="preserve">  </w:t>
      </w:r>
    </w:p>
    <w:p w14:paraId="3E7FDCF4" w14:textId="3B2DD0B5" w:rsidR="00CC25DE" w:rsidRPr="008E7C4C" w:rsidRDefault="00CC25DE" w:rsidP="00B46730">
      <w:pPr>
        <w:pStyle w:val="4-SubsectionHeading"/>
      </w:pPr>
      <w:bookmarkStart w:id="18" w:name="_Toc22897642"/>
      <w:bookmarkStart w:id="19" w:name="_Toc93487439"/>
      <w:bookmarkEnd w:id="17"/>
      <w:r w:rsidRPr="008E7C4C">
        <w:t>Comparative harms</w:t>
      </w:r>
      <w:bookmarkEnd w:id="18"/>
      <w:bookmarkEnd w:id="19"/>
    </w:p>
    <w:p w14:paraId="4A4C4625" w14:textId="53575D3E" w:rsidR="00CC25DE" w:rsidRPr="008E7C4C" w:rsidRDefault="00CC25DE" w:rsidP="00CC25DE">
      <w:pPr>
        <w:numPr>
          <w:ilvl w:val="1"/>
          <w:numId w:val="1"/>
        </w:numPr>
        <w:spacing w:after="120"/>
        <w:rPr>
          <w:rFonts w:asciiTheme="minorHAnsi" w:hAnsiTheme="minorHAnsi"/>
          <w:snapToGrid w:val="0"/>
          <w:color w:val="000000" w:themeColor="text1"/>
        </w:rPr>
      </w:pPr>
      <w:bookmarkStart w:id="20" w:name="_Hlk92268638"/>
      <w:r w:rsidRPr="008E7C4C">
        <w:rPr>
          <w:rFonts w:asciiTheme="minorHAnsi" w:hAnsiTheme="minorHAnsi"/>
          <w:snapToGrid w:val="0"/>
          <w:color w:val="000000" w:themeColor="text1"/>
        </w:rPr>
        <w:t xml:space="preserve">Summary of adverse events (AEs) from TMM-1 (data cut-off: 28 September 2020, media follow-up 85.0 months for </w:t>
      </w:r>
      <w:proofErr w:type="spellStart"/>
      <w:r w:rsidRPr="008E7C4C">
        <w:rPr>
          <w:rFonts w:asciiTheme="minorHAnsi" w:hAnsiTheme="minorHAnsi"/>
          <w:snapToGrid w:val="0"/>
          <w:color w:val="000000" w:themeColor="text1"/>
        </w:rPr>
        <w:t>ILd</w:t>
      </w:r>
      <w:proofErr w:type="spellEnd"/>
      <w:r w:rsidRPr="008E7C4C">
        <w:rPr>
          <w:rFonts w:asciiTheme="minorHAnsi" w:hAnsiTheme="minorHAnsi"/>
          <w:snapToGrid w:val="0"/>
          <w:color w:val="000000" w:themeColor="text1"/>
        </w:rPr>
        <w:t xml:space="preserve"> and 85.1 months for </w:t>
      </w:r>
      <w:proofErr w:type="spellStart"/>
      <w:r w:rsidRPr="008E7C4C">
        <w:rPr>
          <w:rFonts w:asciiTheme="minorHAnsi" w:hAnsiTheme="minorHAnsi"/>
          <w:snapToGrid w:val="0"/>
          <w:color w:val="000000" w:themeColor="text1"/>
        </w:rPr>
        <w:t>Ld</w:t>
      </w:r>
      <w:proofErr w:type="spellEnd"/>
      <w:r w:rsidRPr="008E7C4C">
        <w:rPr>
          <w:rFonts w:asciiTheme="minorHAnsi" w:hAnsiTheme="minorHAnsi"/>
          <w:snapToGrid w:val="0"/>
          <w:color w:val="000000" w:themeColor="text1"/>
        </w:rPr>
        <w:t xml:space="preserve">) is presented in Table </w:t>
      </w:r>
      <w:r w:rsidR="007E51A8" w:rsidRPr="008E7C4C">
        <w:rPr>
          <w:rFonts w:asciiTheme="minorHAnsi" w:hAnsiTheme="minorHAnsi"/>
          <w:snapToGrid w:val="0"/>
          <w:color w:val="000000" w:themeColor="text1"/>
        </w:rPr>
        <w:t>10</w:t>
      </w:r>
      <w:r w:rsidRPr="008E7C4C">
        <w:rPr>
          <w:rFonts w:asciiTheme="minorHAnsi" w:hAnsiTheme="minorHAnsi"/>
          <w:snapToGrid w:val="0"/>
          <w:color w:val="000000" w:themeColor="text1"/>
        </w:rPr>
        <w:t>.</w:t>
      </w:r>
    </w:p>
    <w:p w14:paraId="6B2BDA8C" w14:textId="5433C547" w:rsidR="00CC25DE" w:rsidRPr="008E7C4C" w:rsidRDefault="00CC25DE" w:rsidP="00CC25DE">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 xml:space="preserve">Table </w:t>
      </w:r>
      <w:r w:rsidR="007E51A8" w:rsidRPr="008E7C4C">
        <w:rPr>
          <w:rFonts w:ascii="Arial Narrow" w:eastAsiaTheme="majorEastAsia" w:hAnsi="Arial Narrow" w:cstheme="majorBidi"/>
          <w:b/>
          <w:bCs/>
          <w:sz w:val="20"/>
        </w:rPr>
        <w:t>10</w:t>
      </w:r>
      <w:r w:rsidRPr="008E7C4C">
        <w:rPr>
          <w:rFonts w:ascii="Arial Narrow" w:eastAsiaTheme="majorEastAsia" w:hAnsi="Arial Narrow" w:cstheme="majorBidi"/>
          <w:b/>
          <w:bCs/>
          <w:sz w:val="20"/>
        </w:rPr>
        <w:t>: Summary of key adverse events in the TMM-1 (FA), safety population</w:t>
      </w:r>
    </w:p>
    <w:tbl>
      <w:tblPr>
        <w:tblStyle w:val="TableHTAsimp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7"/>
        <w:gridCol w:w="1285"/>
        <w:gridCol w:w="1529"/>
        <w:gridCol w:w="1529"/>
      </w:tblGrid>
      <w:tr w:rsidR="00CC25DE" w:rsidRPr="008E7C4C" w14:paraId="22C1F158" w14:textId="77777777" w:rsidTr="005B3407">
        <w:trPr>
          <w:cnfStyle w:val="100000000000" w:firstRow="1" w:lastRow="0" w:firstColumn="0" w:lastColumn="0" w:oddVBand="0" w:evenVBand="0" w:oddHBand="0" w:evenHBand="0" w:firstRowFirstColumn="0" w:firstRowLastColumn="0" w:lastRowFirstColumn="0" w:lastRowLastColumn="0"/>
          <w:trHeight w:val="184"/>
        </w:trPr>
        <w:tc>
          <w:tcPr>
            <w:tcW w:w="3256" w:type="dxa"/>
            <w:tcMar>
              <w:left w:w="28" w:type="dxa"/>
              <w:right w:w="28" w:type="dxa"/>
            </w:tcMar>
          </w:tcPr>
          <w:p w14:paraId="0C6C1649" w14:textId="77777777" w:rsidR="00CC25DE" w:rsidRPr="008E7C4C" w:rsidRDefault="00CC25DE" w:rsidP="005B3407">
            <w:pPr>
              <w:keepNext/>
              <w:spacing w:before="0" w:after="0"/>
              <w:rPr>
                <w:rFonts w:ascii="Arial Narrow" w:hAnsi="Arial Narrow"/>
                <w:b/>
                <w:bCs/>
                <w:sz w:val="20"/>
                <w:szCs w:val="20"/>
                <w:lang w:val="en-AU"/>
              </w:rPr>
            </w:pPr>
            <w:r w:rsidRPr="008E7C4C">
              <w:rPr>
                <w:rFonts w:ascii="Arial Narrow" w:hAnsi="Arial Narrow"/>
                <w:b/>
                <w:bCs/>
                <w:sz w:val="20"/>
                <w:szCs w:val="20"/>
                <w:lang w:val="en-AU"/>
              </w:rPr>
              <w:t>n (%)</w:t>
            </w:r>
          </w:p>
        </w:tc>
        <w:tc>
          <w:tcPr>
            <w:tcW w:w="1417" w:type="dxa"/>
            <w:tcMar>
              <w:left w:w="28" w:type="dxa"/>
              <w:right w:w="28" w:type="dxa"/>
            </w:tcMar>
          </w:tcPr>
          <w:p w14:paraId="299FB7E0" w14:textId="77777777" w:rsidR="00CC25DE" w:rsidRPr="008E7C4C" w:rsidRDefault="00CC25DE" w:rsidP="005B3407">
            <w:pPr>
              <w:keepNext/>
              <w:spacing w:before="0" w:after="0"/>
              <w:jc w:val="center"/>
              <w:rPr>
                <w:rFonts w:ascii="Arial Narrow" w:hAnsi="Arial Narrow" w:cs="Tahoma"/>
                <w:b/>
                <w:color w:val="000000" w:themeColor="text1"/>
                <w:sz w:val="20"/>
                <w:szCs w:val="20"/>
                <w:lang w:val="en-AU"/>
              </w:rPr>
            </w:pPr>
            <w:proofErr w:type="spellStart"/>
            <w:r w:rsidRPr="008E7C4C">
              <w:rPr>
                <w:rFonts w:ascii="Arial Narrow" w:hAnsi="Arial Narrow" w:cs="Tahoma"/>
                <w:b/>
                <w:color w:val="000000" w:themeColor="text1"/>
                <w:sz w:val="20"/>
                <w:szCs w:val="20"/>
                <w:lang w:val="en-AU"/>
              </w:rPr>
              <w:t>ILd</w:t>
            </w:r>
            <w:proofErr w:type="spellEnd"/>
          </w:p>
          <w:p w14:paraId="6F5DDF8B" w14:textId="77777777" w:rsidR="00CC25DE" w:rsidRPr="008E7C4C" w:rsidRDefault="00CC25DE" w:rsidP="005B3407">
            <w:pPr>
              <w:keepNext/>
              <w:spacing w:before="0" w:after="0"/>
              <w:jc w:val="center"/>
              <w:rPr>
                <w:rFonts w:ascii="Arial Narrow" w:hAnsi="Arial Narrow" w:cs="Tahoma"/>
                <w:b/>
                <w:color w:val="000000" w:themeColor="text1"/>
                <w:sz w:val="20"/>
                <w:szCs w:val="20"/>
                <w:lang w:val="en-AU"/>
              </w:rPr>
            </w:pPr>
            <w:r w:rsidRPr="008E7C4C">
              <w:rPr>
                <w:rFonts w:ascii="Arial Narrow" w:hAnsi="Arial Narrow" w:cs="Tahoma"/>
                <w:b/>
                <w:color w:val="000000" w:themeColor="text1"/>
                <w:sz w:val="20"/>
                <w:szCs w:val="20"/>
                <w:lang w:val="en-AU"/>
              </w:rPr>
              <w:t>n=361</w:t>
            </w:r>
          </w:p>
        </w:tc>
        <w:tc>
          <w:tcPr>
            <w:tcW w:w="1285" w:type="dxa"/>
            <w:tcMar>
              <w:left w:w="28" w:type="dxa"/>
              <w:right w:w="28" w:type="dxa"/>
            </w:tcMar>
          </w:tcPr>
          <w:p w14:paraId="7F55C929" w14:textId="77777777" w:rsidR="00CC25DE" w:rsidRPr="008E7C4C" w:rsidRDefault="00CC25DE" w:rsidP="005B3407">
            <w:pPr>
              <w:keepNext/>
              <w:spacing w:before="0" w:after="0"/>
              <w:jc w:val="center"/>
              <w:rPr>
                <w:rFonts w:ascii="Arial Narrow" w:hAnsi="Arial Narrow" w:cs="Tahoma"/>
                <w:b/>
                <w:color w:val="000000" w:themeColor="text1"/>
                <w:sz w:val="20"/>
                <w:szCs w:val="20"/>
                <w:lang w:val="en-AU"/>
              </w:rPr>
            </w:pPr>
            <w:proofErr w:type="spellStart"/>
            <w:r w:rsidRPr="008E7C4C">
              <w:rPr>
                <w:rFonts w:ascii="Arial Narrow" w:hAnsi="Arial Narrow" w:cs="Tahoma"/>
                <w:b/>
                <w:color w:val="000000" w:themeColor="text1"/>
                <w:sz w:val="20"/>
                <w:szCs w:val="20"/>
                <w:lang w:val="en-AU"/>
              </w:rPr>
              <w:t>Ld</w:t>
            </w:r>
            <w:proofErr w:type="spellEnd"/>
          </w:p>
          <w:p w14:paraId="191318DE" w14:textId="77777777" w:rsidR="00CC25DE" w:rsidRPr="008E7C4C" w:rsidRDefault="00CC25DE" w:rsidP="005B3407">
            <w:pPr>
              <w:keepNext/>
              <w:spacing w:before="0" w:after="0"/>
              <w:jc w:val="center"/>
              <w:rPr>
                <w:rFonts w:ascii="Arial Narrow" w:hAnsi="Arial Narrow"/>
                <w:b/>
                <w:color w:val="000000" w:themeColor="text1"/>
                <w:sz w:val="20"/>
                <w:szCs w:val="20"/>
                <w:lang w:val="en-AU"/>
              </w:rPr>
            </w:pPr>
            <w:r w:rsidRPr="008E7C4C">
              <w:rPr>
                <w:rFonts w:ascii="Arial Narrow" w:hAnsi="Arial Narrow"/>
                <w:b/>
                <w:color w:val="000000" w:themeColor="text1"/>
                <w:sz w:val="20"/>
                <w:szCs w:val="20"/>
                <w:lang w:val="en-AU"/>
              </w:rPr>
              <w:t>n=359</w:t>
            </w:r>
          </w:p>
        </w:tc>
        <w:tc>
          <w:tcPr>
            <w:tcW w:w="1529" w:type="dxa"/>
            <w:tcMar>
              <w:left w:w="28" w:type="dxa"/>
              <w:right w:w="28" w:type="dxa"/>
            </w:tcMar>
            <w:vAlign w:val="top"/>
          </w:tcPr>
          <w:p w14:paraId="0CADB094" w14:textId="77777777" w:rsidR="00CC25DE" w:rsidRPr="008E7C4C" w:rsidRDefault="00CC25DE" w:rsidP="005B3407">
            <w:pPr>
              <w:keepNext/>
              <w:spacing w:before="0" w:after="0"/>
              <w:jc w:val="center"/>
              <w:rPr>
                <w:rFonts w:ascii="Arial Narrow" w:hAnsi="Arial Narrow" w:cs="Tahoma"/>
                <w:b/>
                <w:color w:val="000000" w:themeColor="text1"/>
                <w:sz w:val="20"/>
                <w:szCs w:val="20"/>
                <w:lang w:val="en-AU"/>
              </w:rPr>
            </w:pPr>
            <w:r w:rsidRPr="008E7C4C">
              <w:rPr>
                <w:rFonts w:ascii="Arial Narrow" w:hAnsi="Arial Narrow" w:cs="Tahoma"/>
                <w:b/>
                <w:color w:val="000000" w:themeColor="text1"/>
                <w:sz w:val="20"/>
                <w:szCs w:val="20"/>
                <w:lang w:val="en-AU"/>
              </w:rPr>
              <w:t>RD (95% CI)</w:t>
            </w:r>
          </w:p>
        </w:tc>
        <w:tc>
          <w:tcPr>
            <w:tcW w:w="1529" w:type="dxa"/>
            <w:tcMar>
              <w:left w:w="28" w:type="dxa"/>
              <w:right w:w="28" w:type="dxa"/>
            </w:tcMar>
            <w:vAlign w:val="top"/>
          </w:tcPr>
          <w:p w14:paraId="7E5BCC84" w14:textId="77777777" w:rsidR="00CC25DE" w:rsidRPr="008E7C4C" w:rsidRDefault="00CC25DE" w:rsidP="005B3407">
            <w:pPr>
              <w:keepNext/>
              <w:spacing w:before="0" w:after="0"/>
              <w:jc w:val="center"/>
              <w:rPr>
                <w:rFonts w:ascii="Arial Narrow" w:hAnsi="Arial Narrow" w:cs="Tahoma"/>
                <w:b/>
                <w:color w:val="000000" w:themeColor="text1"/>
                <w:sz w:val="20"/>
                <w:szCs w:val="20"/>
                <w:lang w:val="en-AU"/>
              </w:rPr>
            </w:pPr>
            <w:r w:rsidRPr="008E7C4C">
              <w:rPr>
                <w:rFonts w:ascii="Arial Narrow" w:hAnsi="Arial Narrow" w:cs="Tahoma"/>
                <w:b/>
                <w:color w:val="000000" w:themeColor="text1"/>
                <w:sz w:val="20"/>
                <w:szCs w:val="20"/>
                <w:lang w:val="en-AU"/>
              </w:rPr>
              <w:t>RR (95% CI)</w:t>
            </w:r>
          </w:p>
        </w:tc>
      </w:tr>
      <w:tr w:rsidR="00CC25DE" w:rsidRPr="008E7C4C" w14:paraId="69952E51" w14:textId="77777777" w:rsidTr="005B3407">
        <w:trPr>
          <w:cnfStyle w:val="000000100000" w:firstRow="0" w:lastRow="0" w:firstColumn="0" w:lastColumn="0" w:oddVBand="0" w:evenVBand="0" w:oddHBand="1" w:evenHBand="0" w:firstRowFirstColumn="0" w:firstRowLastColumn="0" w:lastRowFirstColumn="0" w:lastRowLastColumn="0"/>
        </w:trPr>
        <w:tc>
          <w:tcPr>
            <w:tcW w:w="3256" w:type="dxa"/>
            <w:tcMar>
              <w:left w:w="28" w:type="dxa"/>
              <w:right w:w="28" w:type="dxa"/>
            </w:tcMar>
          </w:tcPr>
          <w:p w14:paraId="05548D85"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Any AE</w:t>
            </w:r>
          </w:p>
        </w:tc>
        <w:tc>
          <w:tcPr>
            <w:tcW w:w="1417" w:type="dxa"/>
            <w:tcMar>
              <w:left w:w="28" w:type="dxa"/>
              <w:right w:w="28" w:type="dxa"/>
            </w:tcMar>
          </w:tcPr>
          <w:p w14:paraId="17C5E4E9"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359 (99)</w:t>
            </w:r>
          </w:p>
        </w:tc>
        <w:tc>
          <w:tcPr>
            <w:tcW w:w="1285" w:type="dxa"/>
            <w:tcMar>
              <w:left w:w="28" w:type="dxa"/>
              <w:right w:w="28" w:type="dxa"/>
            </w:tcMar>
          </w:tcPr>
          <w:p w14:paraId="1DEB7DF6"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357 (99)</w:t>
            </w:r>
          </w:p>
        </w:tc>
        <w:tc>
          <w:tcPr>
            <w:tcW w:w="1529" w:type="dxa"/>
            <w:tcMar>
              <w:left w:w="28" w:type="dxa"/>
              <w:right w:w="28" w:type="dxa"/>
            </w:tcMar>
          </w:tcPr>
          <w:p w14:paraId="6E4C0C7F"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 (-0.01, 0.01)</w:t>
            </w:r>
          </w:p>
        </w:tc>
        <w:tc>
          <w:tcPr>
            <w:tcW w:w="1529" w:type="dxa"/>
            <w:tcMar>
              <w:left w:w="28" w:type="dxa"/>
              <w:right w:w="28" w:type="dxa"/>
            </w:tcMar>
          </w:tcPr>
          <w:p w14:paraId="768864EF" w14:textId="74E25C53" w:rsidR="00CC25DE" w:rsidRPr="008E7C4C" w:rsidRDefault="00CC25DE" w:rsidP="005B3407">
            <w:pPr>
              <w:spacing w:before="0" w:after="0"/>
              <w:jc w:val="center"/>
              <w:rPr>
                <w:rFonts w:ascii="Arial Narrow" w:hAnsi="Arial Narrow" w:cs="Times New Roman"/>
                <w:sz w:val="20"/>
                <w:szCs w:val="20"/>
                <w:lang w:val="en-AU"/>
              </w:rPr>
            </w:pPr>
            <w:r w:rsidRPr="008E7C4C">
              <w:rPr>
                <w:rFonts w:ascii="Arial Narrow" w:hAnsi="Arial Narrow" w:cs="Calibri"/>
                <w:color w:val="000000"/>
                <w:sz w:val="20"/>
                <w:szCs w:val="20"/>
                <w:lang w:val="en-AU"/>
              </w:rPr>
              <w:t>1</w:t>
            </w:r>
            <w:r w:rsidR="00764910" w:rsidRPr="008E7C4C">
              <w:rPr>
                <w:rFonts w:ascii="Arial Narrow" w:hAnsi="Arial Narrow" w:cs="Calibri"/>
                <w:color w:val="000000"/>
                <w:sz w:val="20"/>
                <w:szCs w:val="20"/>
                <w:lang w:val="en-AU"/>
              </w:rPr>
              <w:t>.00</w:t>
            </w:r>
            <w:r w:rsidRPr="008E7C4C">
              <w:rPr>
                <w:rFonts w:ascii="Arial Narrow" w:hAnsi="Arial Narrow" w:cs="Calibri"/>
                <w:color w:val="000000"/>
                <w:sz w:val="20"/>
                <w:szCs w:val="20"/>
                <w:lang w:val="en-AU"/>
              </w:rPr>
              <w:t xml:space="preserve"> (0.99, 1.01)</w:t>
            </w:r>
          </w:p>
        </w:tc>
      </w:tr>
      <w:tr w:rsidR="00CC25DE" w:rsidRPr="008E7C4C" w14:paraId="608FABFD" w14:textId="77777777" w:rsidTr="005B3407">
        <w:trPr>
          <w:cnfStyle w:val="000000010000" w:firstRow="0" w:lastRow="0" w:firstColumn="0" w:lastColumn="0" w:oddVBand="0" w:evenVBand="0" w:oddHBand="0" w:evenHBand="1" w:firstRowFirstColumn="0" w:firstRowLastColumn="0" w:lastRowFirstColumn="0" w:lastRowLastColumn="0"/>
        </w:trPr>
        <w:tc>
          <w:tcPr>
            <w:tcW w:w="3256" w:type="dxa"/>
            <w:tcMar>
              <w:left w:w="28" w:type="dxa"/>
              <w:right w:w="28" w:type="dxa"/>
            </w:tcMar>
          </w:tcPr>
          <w:p w14:paraId="1B1EBF42"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Grade 3 or higher AE</w:t>
            </w:r>
          </w:p>
        </w:tc>
        <w:tc>
          <w:tcPr>
            <w:tcW w:w="1417" w:type="dxa"/>
            <w:tcMar>
              <w:left w:w="28" w:type="dxa"/>
              <w:right w:w="28" w:type="dxa"/>
            </w:tcMar>
          </w:tcPr>
          <w:p w14:paraId="059BF4B0"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289 (80)</w:t>
            </w:r>
          </w:p>
        </w:tc>
        <w:tc>
          <w:tcPr>
            <w:tcW w:w="1285" w:type="dxa"/>
            <w:tcMar>
              <w:left w:w="28" w:type="dxa"/>
              <w:right w:w="28" w:type="dxa"/>
            </w:tcMar>
          </w:tcPr>
          <w:p w14:paraId="4B06AFC5"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266 (74)</w:t>
            </w:r>
          </w:p>
        </w:tc>
        <w:tc>
          <w:tcPr>
            <w:tcW w:w="1529" w:type="dxa"/>
            <w:tcMar>
              <w:left w:w="28" w:type="dxa"/>
              <w:right w:w="28" w:type="dxa"/>
            </w:tcMar>
          </w:tcPr>
          <w:p w14:paraId="5A91FC5F"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0.06 (0, 0.12)</w:t>
            </w:r>
          </w:p>
        </w:tc>
        <w:tc>
          <w:tcPr>
            <w:tcW w:w="1529" w:type="dxa"/>
            <w:tcMar>
              <w:left w:w="28" w:type="dxa"/>
              <w:right w:w="28" w:type="dxa"/>
            </w:tcMar>
          </w:tcPr>
          <w:p w14:paraId="2D8BA041" w14:textId="77777777" w:rsidR="00CC25DE" w:rsidRPr="008E7C4C" w:rsidRDefault="00CC25DE" w:rsidP="005B3407">
            <w:pPr>
              <w:spacing w:before="0" w:after="0"/>
              <w:jc w:val="center"/>
              <w:rPr>
                <w:rFonts w:ascii="Arial Narrow" w:hAnsi="Arial Narrow" w:cs="Times New Roman"/>
                <w:sz w:val="20"/>
                <w:szCs w:val="20"/>
                <w:lang w:val="en-AU"/>
              </w:rPr>
            </w:pPr>
            <w:r w:rsidRPr="008E7C4C">
              <w:rPr>
                <w:rFonts w:ascii="Arial Narrow" w:hAnsi="Arial Narrow" w:cs="Calibri"/>
                <w:color w:val="000000"/>
                <w:sz w:val="20"/>
                <w:szCs w:val="20"/>
                <w:lang w:val="en-AU"/>
              </w:rPr>
              <w:t>1.08 (1, 1.17)</w:t>
            </w:r>
          </w:p>
        </w:tc>
      </w:tr>
      <w:tr w:rsidR="00CC25DE" w:rsidRPr="008E7C4C" w14:paraId="4D385760" w14:textId="77777777" w:rsidTr="005B3407">
        <w:trPr>
          <w:cnfStyle w:val="000000100000" w:firstRow="0" w:lastRow="0" w:firstColumn="0" w:lastColumn="0" w:oddVBand="0" w:evenVBand="0" w:oddHBand="1" w:evenHBand="0" w:firstRowFirstColumn="0" w:firstRowLastColumn="0" w:lastRowFirstColumn="0" w:lastRowLastColumn="0"/>
        </w:trPr>
        <w:tc>
          <w:tcPr>
            <w:tcW w:w="3256" w:type="dxa"/>
            <w:tcMar>
              <w:left w:w="28" w:type="dxa"/>
              <w:right w:w="28" w:type="dxa"/>
            </w:tcMar>
          </w:tcPr>
          <w:p w14:paraId="02C5E29A"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 xml:space="preserve">Treatment-related </w:t>
            </w:r>
            <w:proofErr w:type="spellStart"/>
            <w:r w:rsidRPr="008E7C4C">
              <w:rPr>
                <w:rFonts w:ascii="Arial Narrow" w:eastAsiaTheme="majorEastAsia" w:hAnsi="Arial Narrow" w:cstheme="majorBidi"/>
                <w:bCs/>
                <w:sz w:val="20"/>
                <w:szCs w:val="20"/>
                <w:lang w:val="en-AU"/>
              </w:rPr>
              <w:t>AE</w:t>
            </w:r>
            <w:r w:rsidRPr="008E7C4C">
              <w:rPr>
                <w:rFonts w:ascii="Arial Narrow" w:eastAsiaTheme="majorEastAsia" w:hAnsi="Arial Narrow" w:cstheme="majorBidi"/>
                <w:bCs/>
                <w:sz w:val="20"/>
                <w:szCs w:val="20"/>
                <w:vertAlign w:val="superscript"/>
                <w:lang w:val="en-AU"/>
              </w:rPr>
              <w:t>a</w:t>
            </w:r>
            <w:proofErr w:type="spellEnd"/>
          </w:p>
        </w:tc>
        <w:tc>
          <w:tcPr>
            <w:tcW w:w="1417" w:type="dxa"/>
            <w:tcMar>
              <w:left w:w="28" w:type="dxa"/>
              <w:right w:w="28" w:type="dxa"/>
            </w:tcMar>
          </w:tcPr>
          <w:p w14:paraId="7C92F1AD"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339 (94)</w:t>
            </w:r>
          </w:p>
        </w:tc>
        <w:tc>
          <w:tcPr>
            <w:tcW w:w="1285" w:type="dxa"/>
            <w:tcMar>
              <w:left w:w="28" w:type="dxa"/>
              <w:right w:w="28" w:type="dxa"/>
            </w:tcMar>
          </w:tcPr>
          <w:p w14:paraId="2C4E81D9"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333 (93)</w:t>
            </w:r>
          </w:p>
        </w:tc>
        <w:tc>
          <w:tcPr>
            <w:tcW w:w="1529" w:type="dxa"/>
            <w:tcMar>
              <w:left w:w="28" w:type="dxa"/>
              <w:right w:w="28" w:type="dxa"/>
            </w:tcMar>
          </w:tcPr>
          <w:p w14:paraId="5AD81FF2"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0.01 (-0.02, 0.05)</w:t>
            </w:r>
          </w:p>
        </w:tc>
        <w:tc>
          <w:tcPr>
            <w:tcW w:w="1529" w:type="dxa"/>
            <w:tcMar>
              <w:left w:w="28" w:type="dxa"/>
              <w:right w:w="28" w:type="dxa"/>
            </w:tcMar>
          </w:tcPr>
          <w:p w14:paraId="304E7702" w14:textId="77777777" w:rsidR="00CC25DE" w:rsidRPr="008E7C4C" w:rsidRDefault="00CC25DE" w:rsidP="005B3407">
            <w:pPr>
              <w:spacing w:before="0" w:after="0"/>
              <w:jc w:val="center"/>
              <w:rPr>
                <w:rFonts w:ascii="Arial Narrow" w:hAnsi="Arial Narrow" w:cs="Times New Roman"/>
                <w:sz w:val="20"/>
                <w:szCs w:val="20"/>
                <w:lang w:val="en-AU"/>
              </w:rPr>
            </w:pPr>
            <w:r w:rsidRPr="008E7C4C">
              <w:rPr>
                <w:rFonts w:ascii="Arial Narrow" w:hAnsi="Arial Narrow" w:cs="Calibri"/>
                <w:color w:val="000000"/>
                <w:sz w:val="20"/>
                <w:szCs w:val="20"/>
                <w:lang w:val="en-AU"/>
              </w:rPr>
              <w:t>1.01 (0.97, 1.05)</w:t>
            </w:r>
          </w:p>
        </w:tc>
      </w:tr>
      <w:tr w:rsidR="00CC25DE" w:rsidRPr="008E7C4C" w14:paraId="5EE94A66" w14:textId="77777777" w:rsidTr="005B3407">
        <w:trPr>
          <w:cnfStyle w:val="000000010000" w:firstRow="0" w:lastRow="0" w:firstColumn="0" w:lastColumn="0" w:oddVBand="0" w:evenVBand="0" w:oddHBand="0" w:evenHBand="1" w:firstRowFirstColumn="0" w:firstRowLastColumn="0" w:lastRowFirstColumn="0" w:lastRowLastColumn="0"/>
        </w:trPr>
        <w:tc>
          <w:tcPr>
            <w:tcW w:w="3256" w:type="dxa"/>
            <w:tcMar>
              <w:left w:w="28" w:type="dxa"/>
              <w:right w:w="28" w:type="dxa"/>
            </w:tcMar>
          </w:tcPr>
          <w:p w14:paraId="057CDAF1"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Treatment-related Grade 3 or higher AE</w:t>
            </w:r>
          </w:p>
        </w:tc>
        <w:tc>
          <w:tcPr>
            <w:tcW w:w="1417" w:type="dxa"/>
            <w:tcMar>
              <w:left w:w="28" w:type="dxa"/>
              <w:right w:w="28" w:type="dxa"/>
            </w:tcMar>
          </w:tcPr>
          <w:p w14:paraId="21E7F398"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240 (66)</w:t>
            </w:r>
          </w:p>
        </w:tc>
        <w:tc>
          <w:tcPr>
            <w:tcW w:w="1285" w:type="dxa"/>
            <w:tcMar>
              <w:left w:w="28" w:type="dxa"/>
              <w:right w:w="28" w:type="dxa"/>
            </w:tcMar>
          </w:tcPr>
          <w:p w14:paraId="5A78CFDB"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203 (57)</w:t>
            </w:r>
          </w:p>
        </w:tc>
        <w:tc>
          <w:tcPr>
            <w:tcW w:w="1529" w:type="dxa"/>
            <w:tcMar>
              <w:left w:w="28" w:type="dxa"/>
              <w:right w:w="28" w:type="dxa"/>
            </w:tcMar>
          </w:tcPr>
          <w:p w14:paraId="67CAE2E4"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0.1 (0.03, 0.17)</w:t>
            </w:r>
          </w:p>
        </w:tc>
        <w:tc>
          <w:tcPr>
            <w:tcW w:w="1529" w:type="dxa"/>
            <w:tcMar>
              <w:left w:w="28" w:type="dxa"/>
              <w:right w:w="28" w:type="dxa"/>
            </w:tcMar>
          </w:tcPr>
          <w:p w14:paraId="6D6F38F7" w14:textId="77777777" w:rsidR="00CC25DE" w:rsidRPr="008E7C4C" w:rsidRDefault="00CC25DE" w:rsidP="005B3407">
            <w:pPr>
              <w:spacing w:before="0" w:after="0"/>
              <w:jc w:val="center"/>
              <w:rPr>
                <w:rFonts w:ascii="Arial Narrow" w:hAnsi="Arial Narrow" w:cs="Times New Roman"/>
                <w:b/>
                <w:bCs/>
                <w:sz w:val="20"/>
                <w:szCs w:val="20"/>
                <w:lang w:val="en-AU"/>
              </w:rPr>
            </w:pPr>
            <w:r w:rsidRPr="008E7C4C">
              <w:rPr>
                <w:rFonts w:ascii="Arial Narrow" w:hAnsi="Arial Narrow" w:cs="Calibri"/>
                <w:b/>
                <w:bCs/>
                <w:color w:val="000000"/>
                <w:sz w:val="20"/>
                <w:szCs w:val="20"/>
                <w:lang w:val="en-AU"/>
              </w:rPr>
              <w:t>1.18 (1.05, 1.33)</w:t>
            </w:r>
          </w:p>
        </w:tc>
      </w:tr>
      <w:tr w:rsidR="00CC25DE" w:rsidRPr="008E7C4C" w14:paraId="09E8D15A" w14:textId="77777777" w:rsidTr="005B3407">
        <w:trPr>
          <w:cnfStyle w:val="000000100000" w:firstRow="0" w:lastRow="0" w:firstColumn="0" w:lastColumn="0" w:oddVBand="0" w:evenVBand="0" w:oddHBand="1" w:evenHBand="0" w:firstRowFirstColumn="0" w:firstRowLastColumn="0" w:lastRowFirstColumn="0" w:lastRowLastColumn="0"/>
        </w:trPr>
        <w:tc>
          <w:tcPr>
            <w:tcW w:w="3256" w:type="dxa"/>
            <w:tcMar>
              <w:left w:w="28" w:type="dxa"/>
              <w:right w:w="28" w:type="dxa"/>
            </w:tcMar>
          </w:tcPr>
          <w:p w14:paraId="36D80FD6"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Any SAE</w:t>
            </w:r>
          </w:p>
        </w:tc>
        <w:tc>
          <w:tcPr>
            <w:tcW w:w="1417" w:type="dxa"/>
            <w:tcMar>
              <w:left w:w="28" w:type="dxa"/>
              <w:right w:w="28" w:type="dxa"/>
            </w:tcMar>
          </w:tcPr>
          <w:p w14:paraId="19E443FC"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205 (57)</w:t>
            </w:r>
          </w:p>
        </w:tc>
        <w:tc>
          <w:tcPr>
            <w:tcW w:w="1285" w:type="dxa"/>
            <w:tcMar>
              <w:left w:w="28" w:type="dxa"/>
              <w:right w:w="28" w:type="dxa"/>
            </w:tcMar>
          </w:tcPr>
          <w:p w14:paraId="6510D9B6"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201 (56)</w:t>
            </w:r>
          </w:p>
        </w:tc>
        <w:tc>
          <w:tcPr>
            <w:tcW w:w="1529" w:type="dxa"/>
            <w:tcMar>
              <w:left w:w="28" w:type="dxa"/>
              <w:right w:w="28" w:type="dxa"/>
            </w:tcMar>
          </w:tcPr>
          <w:p w14:paraId="527CF9AD"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0.01 (-0.06, 0.08)</w:t>
            </w:r>
          </w:p>
        </w:tc>
        <w:tc>
          <w:tcPr>
            <w:tcW w:w="1529" w:type="dxa"/>
            <w:tcMar>
              <w:left w:w="28" w:type="dxa"/>
              <w:right w:w="28" w:type="dxa"/>
            </w:tcMar>
          </w:tcPr>
          <w:p w14:paraId="1F834488" w14:textId="77777777" w:rsidR="00CC25DE" w:rsidRPr="008E7C4C" w:rsidRDefault="00CC25DE" w:rsidP="005B3407">
            <w:pPr>
              <w:spacing w:before="0" w:after="0"/>
              <w:jc w:val="center"/>
              <w:rPr>
                <w:rFonts w:ascii="Arial Narrow" w:hAnsi="Arial Narrow" w:cs="Times New Roman"/>
                <w:sz w:val="20"/>
                <w:szCs w:val="20"/>
                <w:lang w:val="en-AU"/>
              </w:rPr>
            </w:pPr>
            <w:r w:rsidRPr="008E7C4C">
              <w:rPr>
                <w:rFonts w:ascii="Arial Narrow" w:hAnsi="Arial Narrow" w:cs="Calibri"/>
                <w:color w:val="000000"/>
                <w:sz w:val="20"/>
                <w:szCs w:val="20"/>
                <w:lang w:val="en-AU"/>
              </w:rPr>
              <w:t>1.01 (0.89, 1.15)</w:t>
            </w:r>
          </w:p>
        </w:tc>
      </w:tr>
      <w:tr w:rsidR="00CC25DE" w:rsidRPr="008E7C4C" w14:paraId="7E9F81A8" w14:textId="77777777" w:rsidTr="005B3407">
        <w:trPr>
          <w:cnfStyle w:val="000000010000" w:firstRow="0" w:lastRow="0" w:firstColumn="0" w:lastColumn="0" w:oddVBand="0" w:evenVBand="0" w:oddHBand="0" w:evenHBand="1" w:firstRowFirstColumn="0" w:firstRowLastColumn="0" w:lastRowFirstColumn="0" w:lastRowLastColumn="0"/>
        </w:trPr>
        <w:tc>
          <w:tcPr>
            <w:tcW w:w="3256" w:type="dxa"/>
            <w:tcMar>
              <w:left w:w="28" w:type="dxa"/>
              <w:right w:w="28" w:type="dxa"/>
            </w:tcMar>
          </w:tcPr>
          <w:p w14:paraId="43B42929"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 xml:space="preserve">Treatment-related </w:t>
            </w:r>
            <w:proofErr w:type="spellStart"/>
            <w:r w:rsidRPr="008E7C4C">
              <w:rPr>
                <w:rFonts w:ascii="Arial Narrow" w:eastAsiaTheme="majorEastAsia" w:hAnsi="Arial Narrow" w:cstheme="majorBidi"/>
                <w:bCs/>
                <w:sz w:val="20"/>
                <w:szCs w:val="20"/>
                <w:lang w:val="en-AU"/>
              </w:rPr>
              <w:t>SAE</w:t>
            </w:r>
            <w:r w:rsidRPr="008E7C4C">
              <w:rPr>
                <w:rFonts w:ascii="Arial Narrow" w:eastAsiaTheme="majorEastAsia" w:hAnsi="Arial Narrow" w:cstheme="majorBidi"/>
                <w:bCs/>
                <w:sz w:val="20"/>
                <w:szCs w:val="20"/>
                <w:vertAlign w:val="superscript"/>
                <w:lang w:val="en-AU"/>
              </w:rPr>
              <w:t>a</w:t>
            </w:r>
            <w:proofErr w:type="spellEnd"/>
          </w:p>
        </w:tc>
        <w:tc>
          <w:tcPr>
            <w:tcW w:w="1417" w:type="dxa"/>
            <w:tcMar>
              <w:left w:w="28" w:type="dxa"/>
              <w:right w:w="28" w:type="dxa"/>
            </w:tcMar>
          </w:tcPr>
          <w:p w14:paraId="719BDDF6"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115 (32)</w:t>
            </w:r>
          </w:p>
        </w:tc>
        <w:tc>
          <w:tcPr>
            <w:tcW w:w="1285" w:type="dxa"/>
            <w:tcMar>
              <w:left w:w="28" w:type="dxa"/>
              <w:right w:w="28" w:type="dxa"/>
            </w:tcMar>
          </w:tcPr>
          <w:p w14:paraId="039F1EEE"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108 (30)</w:t>
            </w:r>
          </w:p>
        </w:tc>
        <w:tc>
          <w:tcPr>
            <w:tcW w:w="1529" w:type="dxa"/>
            <w:tcMar>
              <w:left w:w="28" w:type="dxa"/>
              <w:right w:w="28" w:type="dxa"/>
            </w:tcMar>
          </w:tcPr>
          <w:p w14:paraId="0A724DFB"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0.02 (-0.05, 0.09)</w:t>
            </w:r>
          </w:p>
        </w:tc>
        <w:tc>
          <w:tcPr>
            <w:tcW w:w="1529" w:type="dxa"/>
            <w:tcMar>
              <w:left w:w="28" w:type="dxa"/>
              <w:right w:w="28" w:type="dxa"/>
            </w:tcMar>
          </w:tcPr>
          <w:p w14:paraId="5E264E87" w14:textId="77777777" w:rsidR="00CC25DE" w:rsidRPr="008E7C4C" w:rsidRDefault="00CC25DE" w:rsidP="005B3407">
            <w:pPr>
              <w:spacing w:before="0" w:after="0"/>
              <w:jc w:val="center"/>
              <w:rPr>
                <w:rFonts w:ascii="Arial Narrow" w:hAnsi="Arial Narrow" w:cs="Times New Roman"/>
                <w:sz w:val="20"/>
                <w:szCs w:val="20"/>
                <w:lang w:val="en-AU"/>
              </w:rPr>
            </w:pPr>
            <w:r w:rsidRPr="008E7C4C">
              <w:rPr>
                <w:rFonts w:ascii="Arial Narrow" w:hAnsi="Arial Narrow" w:cs="Calibri"/>
                <w:color w:val="000000"/>
                <w:sz w:val="20"/>
                <w:szCs w:val="20"/>
                <w:lang w:val="en-AU"/>
              </w:rPr>
              <w:t>1.06 (0.85, 1.32)</w:t>
            </w:r>
          </w:p>
        </w:tc>
      </w:tr>
      <w:tr w:rsidR="00CC25DE" w:rsidRPr="008E7C4C" w14:paraId="658ED5E1" w14:textId="77777777" w:rsidTr="005B3407">
        <w:trPr>
          <w:cnfStyle w:val="000000100000" w:firstRow="0" w:lastRow="0" w:firstColumn="0" w:lastColumn="0" w:oddVBand="0" w:evenVBand="0" w:oddHBand="1" w:evenHBand="0" w:firstRowFirstColumn="0" w:firstRowLastColumn="0" w:lastRowFirstColumn="0" w:lastRowLastColumn="0"/>
        </w:trPr>
        <w:tc>
          <w:tcPr>
            <w:tcW w:w="3256" w:type="dxa"/>
            <w:tcMar>
              <w:left w:w="28" w:type="dxa"/>
              <w:right w:w="28" w:type="dxa"/>
            </w:tcMar>
          </w:tcPr>
          <w:p w14:paraId="483E0A75"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 xml:space="preserve">AE resulting in dose modification of 1 or more of the 3 agents in the drug </w:t>
            </w:r>
            <w:proofErr w:type="spellStart"/>
            <w:r w:rsidRPr="008E7C4C">
              <w:rPr>
                <w:rFonts w:ascii="Arial Narrow" w:eastAsiaTheme="majorEastAsia" w:hAnsi="Arial Narrow" w:cstheme="majorBidi"/>
                <w:bCs/>
                <w:sz w:val="20"/>
                <w:szCs w:val="20"/>
                <w:lang w:val="en-AU"/>
              </w:rPr>
              <w:t>regimen</w:t>
            </w:r>
            <w:r w:rsidRPr="008E7C4C">
              <w:rPr>
                <w:rFonts w:ascii="Arial Narrow" w:eastAsiaTheme="majorEastAsia" w:hAnsi="Arial Narrow" w:cstheme="majorBidi"/>
                <w:bCs/>
                <w:sz w:val="20"/>
                <w:szCs w:val="20"/>
                <w:vertAlign w:val="superscript"/>
                <w:lang w:val="en-AU"/>
              </w:rPr>
              <w:t>b</w:t>
            </w:r>
            <w:proofErr w:type="spellEnd"/>
          </w:p>
        </w:tc>
        <w:tc>
          <w:tcPr>
            <w:tcW w:w="1417" w:type="dxa"/>
            <w:tcMar>
              <w:left w:w="28" w:type="dxa"/>
              <w:right w:w="28" w:type="dxa"/>
            </w:tcMar>
          </w:tcPr>
          <w:p w14:paraId="0F24113C"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290 (80)</w:t>
            </w:r>
          </w:p>
        </w:tc>
        <w:tc>
          <w:tcPr>
            <w:tcW w:w="1285" w:type="dxa"/>
            <w:tcMar>
              <w:left w:w="28" w:type="dxa"/>
              <w:right w:w="28" w:type="dxa"/>
            </w:tcMar>
          </w:tcPr>
          <w:p w14:paraId="75B5DF65"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265 (74)</w:t>
            </w:r>
          </w:p>
        </w:tc>
        <w:tc>
          <w:tcPr>
            <w:tcW w:w="1529" w:type="dxa"/>
            <w:tcMar>
              <w:left w:w="28" w:type="dxa"/>
              <w:right w:w="28" w:type="dxa"/>
            </w:tcMar>
          </w:tcPr>
          <w:p w14:paraId="5D481329"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0.07 (0, 0.13)</w:t>
            </w:r>
          </w:p>
        </w:tc>
        <w:tc>
          <w:tcPr>
            <w:tcW w:w="1529" w:type="dxa"/>
            <w:tcMar>
              <w:left w:w="28" w:type="dxa"/>
              <w:right w:w="28" w:type="dxa"/>
            </w:tcMar>
          </w:tcPr>
          <w:p w14:paraId="3113F445" w14:textId="77777777" w:rsidR="00CC25DE" w:rsidRPr="008E7C4C" w:rsidRDefault="00CC25DE" w:rsidP="005B3407">
            <w:pPr>
              <w:spacing w:before="0" w:after="0"/>
              <w:jc w:val="center"/>
              <w:rPr>
                <w:rFonts w:ascii="Arial Narrow" w:hAnsi="Arial Narrow" w:cs="Times New Roman"/>
                <w:b/>
                <w:bCs/>
                <w:sz w:val="20"/>
                <w:szCs w:val="20"/>
                <w:lang w:val="en-AU"/>
              </w:rPr>
            </w:pPr>
            <w:r w:rsidRPr="008E7C4C">
              <w:rPr>
                <w:rFonts w:ascii="Arial Narrow" w:hAnsi="Arial Narrow" w:cs="Calibri"/>
                <w:b/>
                <w:bCs/>
                <w:color w:val="000000"/>
                <w:sz w:val="20"/>
                <w:szCs w:val="20"/>
                <w:lang w:val="en-AU"/>
              </w:rPr>
              <w:t>1.09 (1.01, 1.18)</w:t>
            </w:r>
          </w:p>
        </w:tc>
      </w:tr>
      <w:tr w:rsidR="00CC25DE" w:rsidRPr="008E7C4C" w14:paraId="6212C0FE" w14:textId="77777777" w:rsidTr="005B3407">
        <w:trPr>
          <w:cnfStyle w:val="000000010000" w:firstRow="0" w:lastRow="0" w:firstColumn="0" w:lastColumn="0" w:oddVBand="0" w:evenVBand="0" w:oddHBand="0" w:evenHBand="1" w:firstRowFirstColumn="0" w:firstRowLastColumn="0" w:lastRowFirstColumn="0" w:lastRowLastColumn="0"/>
        </w:trPr>
        <w:tc>
          <w:tcPr>
            <w:tcW w:w="3256" w:type="dxa"/>
            <w:tcMar>
              <w:left w:w="28" w:type="dxa"/>
              <w:right w:w="28" w:type="dxa"/>
            </w:tcMar>
          </w:tcPr>
          <w:p w14:paraId="33AFF846"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AE resulting in dose reduction of any drug</w:t>
            </w:r>
          </w:p>
        </w:tc>
        <w:tc>
          <w:tcPr>
            <w:tcW w:w="1417" w:type="dxa"/>
            <w:tcMar>
              <w:left w:w="28" w:type="dxa"/>
              <w:right w:w="28" w:type="dxa"/>
            </w:tcMar>
          </w:tcPr>
          <w:p w14:paraId="00D45F9D"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218 (60)</w:t>
            </w:r>
          </w:p>
        </w:tc>
        <w:tc>
          <w:tcPr>
            <w:tcW w:w="1285" w:type="dxa"/>
            <w:tcMar>
              <w:left w:w="28" w:type="dxa"/>
              <w:right w:w="28" w:type="dxa"/>
            </w:tcMar>
          </w:tcPr>
          <w:p w14:paraId="6E64B6C4"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195 (54)</w:t>
            </w:r>
          </w:p>
        </w:tc>
        <w:tc>
          <w:tcPr>
            <w:tcW w:w="1529" w:type="dxa"/>
            <w:tcMar>
              <w:left w:w="28" w:type="dxa"/>
              <w:right w:w="28" w:type="dxa"/>
            </w:tcMar>
          </w:tcPr>
          <w:p w14:paraId="28C467E7"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0.06 (-0.01, 0.13)</w:t>
            </w:r>
          </w:p>
        </w:tc>
        <w:tc>
          <w:tcPr>
            <w:tcW w:w="1529" w:type="dxa"/>
            <w:tcMar>
              <w:left w:w="28" w:type="dxa"/>
              <w:right w:w="28" w:type="dxa"/>
            </w:tcMar>
          </w:tcPr>
          <w:p w14:paraId="11D2E11D" w14:textId="77777777" w:rsidR="00CC25DE" w:rsidRPr="008E7C4C" w:rsidRDefault="00CC25DE" w:rsidP="005B3407">
            <w:pPr>
              <w:spacing w:before="0" w:after="0"/>
              <w:jc w:val="center"/>
              <w:rPr>
                <w:rFonts w:ascii="Arial Narrow" w:hAnsi="Arial Narrow" w:cs="Times New Roman"/>
                <w:sz w:val="20"/>
                <w:szCs w:val="20"/>
                <w:lang w:val="en-AU"/>
              </w:rPr>
            </w:pPr>
            <w:r w:rsidRPr="008E7C4C">
              <w:rPr>
                <w:rFonts w:ascii="Arial Narrow" w:hAnsi="Arial Narrow" w:cs="Calibri"/>
                <w:color w:val="000000"/>
                <w:sz w:val="20"/>
                <w:szCs w:val="20"/>
                <w:lang w:val="en-AU"/>
              </w:rPr>
              <w:t>1.11 (0.98, 1.26)</w:t>
            </w:r>
          </w:p>
        </w:tc>
      </w:tr>
      <w:tr w:rsidR="00CC25DE" w:rsidRPr="008E7C4C" w14:paraId="63DDC902" w14:textId="77777777" w:rsidTr="005B3407">
        <w:trPr>
          <w:cnfStyle w:val="000000100000" w:firstRow="0" w:lastRow="0" w:firstColumn="0" w:lastColumn="0" w:oddVBand="0" w:evenVBand="0" w:oddHBand="1" w:evenHBand="0" w:firstRowFirstColumn="0" w:firstRowLastColumn="0" w:lastRowFirstColumn="0" w:lastRowLastColumn="0"/>
        </w:trPr>
        <w:tc>
          <w:tcPr>
            <w:tcW w:w="3256" w:type="dxa"/>
            <w:tcMar>
              <w:left w:w="28" w:type="dxa"/>
              <w:right w:w="28" w:type="dxa"/>
            </w:tcMar>
          </w:tcPr>
          <w:p w14:paraId="0482B79A"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AE resulting in discontinuation of any drug</w:t>
            </w:r>
          </w:p>
        </w:tc>
        <w:tc>
          <w:tcPr>
            <w:tcW w:w="1417" w:type="dxa"/>
            <w:tcMar>
              <w:left w:w="28" w:type="dxa"/>
              <w:right w:w="28" w:type="dxa"/>
            </w:tcMar>
          </w:tcPr>
          <w:p w14:paraId="25CA54EE"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140 (39)</w:t>
            </w:r>
          </w:p>
        </w:tc>
        <w:tc>
          <w:tcPr>
            <w:tcW w:w="1285" w:type="dxa"/>
            <w:tcMar>
              <w:left w:w="28" w:type="dxa"/>
              <w:right w:w="28" w:type="dxa"/>
            </w:tcMar>
          </w:tcPr>
          <w:p w14:paraId="5E28FAF6"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116 (32)</w:t>
            </w:r>
          </w:p>
        </w:tc>
        <w:tc>
          <w:tcPr>
            <w:tcW w:w="1529" w:type="dxa"/>
            <w:tcMar>
              <w:left w:w="28" w:type="dxa"/>
              <w:right w:w="28" w:type="dxa"/>
            </w:tcMar>
          </w:tcPr>
          <w:p w14:paraId="65309AAA"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0.06 (-0.01, 0.13)</w:t>
            </w:r>
          </w:p>
        </w:tc>
        <w:tc>
          <w:tcPr>
            <w:tcW w:w="1529" w:type="dxa"/>
            <w:tcMar>
              <w:left w:w="28" w:type="dxa"/>
              <w:right w:w="28" w:type="dxa"/>
            </w:tcMar>
          </w:tcPr>
          <w:p w14:paraId="14AA49CC" w14:textId="77777777" w:rsidR="00CC25DE" w:rsidRPr="008E7C4C" w:rsidRDefault="00CC25DE" w:rsidP="005B3407">
            <w:pPr>
              <w:spacing w:before="0" w:after="0"/>
              <w:jc w:val="center"/>
              <w:rPr>
                <w:rFonts w:ascii="Arial Narrow" w:hAnsi="Arial Narrow" w:cs="Times New Roman"/>
                <w:sz w:val="20"/>
                <w:szCs w:val="20"/>
                <w:lang w:val="en-AU"/>
              </w:rPr>
            </w:pPr>
            <w:r w:rsidRPr="008E7C4C">
              <w:rPr>
                <w:rFonts w:ascii="Arial Narrow" w:hAnsi="Arial Narrow" w:cs="Calibri"/>
                <w:color w:val="000000"/>
                <w:sz w:val="20"/>
                <w:szCs w:val="20"/>
                <w:lang w:val="en-AU"/>
              </w:rPr>
              <w:t>1.2 (0.98, 1.46)</w:t>
            </w:r>
          </w:p>
        </w:tc>
      </w:tr>
      <w:tr w:rsidR="00CC25DE" w:rsidRPr="008E7C4C" w14:paraId="504FEDA6" w14:textId="77777777" w:rsidTr="005B3407">
        <w:trPr>
          <w:cnfStyle w:val="000000010000" w:firstRow="0" w:lastRow="0" w:firstColumn="0" w:lastColumn="0" w:oddVBand="0" w:evenVBand="0" w:oddHBand="0" w:evenHBand="1" w:firstRowFirstColumn="0" w:firstRowLastColumn="0" w:lastRowFirstColumn="0" w:lastRowLastColumn="0"/>
        </w:trPr>
        <w:tc>
          <w:tcPr>
            <w:tcW w:w="3256" w:type="dxa"/>
            <w:tcMar>
              <w:left w:w="28" w:type="dxa"/>
              <w:right w:w="28" w:type="dxa"/>
            </w:tcMar>
          </w:tcPr>
          <w:p w14:paraId="4E7550E1"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AE resulting in discontinuation of the full drug regimen</w:t>
            </w:r>
          </w:p>
        </w:tc>
        <w:tc>
          <w:tcPr>
            <w:tcW w:w="1417" w:type="dxa"/>
            <w:tcMar>
              <w:left w:w="28" w:type="dxa"/>
              <w:right w:w="28" w:type="dxa"/>
            </w:tcMar>
          </w:tcPr>
          <w:p w14:paraId="05ACAAF2"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91 (25)</w:t>
            </w:r>
          </w:p>
        </w:tc>
        <w:tc>
          <w:tcPr>
            <w:tcW w:w="1285" w:type="dxa"/>
            <w:tcMar>
              <w:left w:w="28" w:type="dxa"/>
              <w:right w:w="28" w:type="dxa"/>
            </w:tcMar>
          </w:tcPr>
          <w:p w14:paraId="4C26CC45"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78 (22)</w:t>
            </w:r>
          </w:p>
        </w:tc>
        <w:tc>
          <w:tcPr>
            <w:tcW w:w="1529" w:type="dxa"/>
            <w:tcMar>
              <w:left w:w="28" w:type="dxa"/>
              <w:right w:w="28" w:type="dxa"/>
            </w:tcMar>
          </w:tcPr>
          <w:p w14:paraId="0777626A"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0.03 (-0.03, 0.1)</w:t>
            </w:r>
          </w:p>
        </w:tc>
        <w:tc>
          <w:tcPr>
            <w:tcW w:w="1529" w:type="dxa"/>
            <w:tcMar>
              <w:left w:w="28" w:type="dxa"/>
              <w:right w:w="28" w:type="dxa"/>
            </w:tcMar>
          </w:tcPr>
          <w:p w14:paraId="0A072CD7" w14:textId="77777777" w:rsidR="00CC25DE" w:rsidRPr="008E7C4C" w:rsidRDefault="00CC25DE" w:rsidP="005B3407">
            <w:pPr>
              <w:spacing w:before="0" w:after="0"/>
              <w:jc w:val="center"/>
              <w:rPr>
                <w:rFonts w:ascii="Arial Narrow" w:hAnsi="Arial Narrow" w:cs="Times New Roman"/>
                <w:sz w:val="20"/>
                <w:szCs w:val="20"/>
                <w:lang w:val="en-AU"/>
              </w:rPr>
            </w:pPr>
            <w:r w:rsidRPr="008E7C4C">
              <w:rPr>
                <w:rFonts w:ascii="Arial Narrow" w:hAnsi="Arial Narrow" w:cs="Calibri"/>
                <w:color w:val="000000"/>
                <w:sz w:val="20"/>
                <w:szCs w:val="20"/>
                <w:lang w:val="en-AU"/>
              </w:rPr>
              <w:t>1.16 (0.89, 1.51)</w:t>
            </w:r>
          </w:p>
        </w:tc>
      </w:tr>
      <w:tr w:rsidR="00CC25DE" w:rsidRPr="008E7C4C" w14:paraId="5C09EC32" w14:textId="77777777" w:rsidTr="005B3407">
        <w:trPr>
          <w:cnfStyle w:val="000000100000" w:firstRow="0" w:lastRow="0" w:firstColumn="0" w:lastColumn="0" w:oddVBand="0" w:evenVBand="0" w:oddHBand="1" w:evenHBand="0" w:firstRowFirstColumn="0" w:firstRowLastColumn="0" w:lastRowFirstColumn="0" w:lastRowLastColumn="0"/>
        </w:trPr>
        <w:tc>
          <w:tcPr>
            <w:tcW w:w="3256" w:type="dxa"/>
            <w:tcMar>
              <w:left w:w="28" w:type="dxa"/>
              <w:right w:w="28" w:type="dxa"/>
            </w:tcMar>
          </w:tcPr>
          <w:p w14:paraId="255CE654" w14:textId="77777777" w:rsidR="00CC25DE" w:rsidRPr="008E7C4C" w:rsidRDefault="00CC25DE" w:rsidP="005B3407">
            <w:pPr>
              <w:keepNext/>
              <w:spacing w:before="0" w:after="0"/>
              <w:jc w:val="left"/>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 xml:space="preserve">On study </w:t>
            </w:r>
            <w:proofErr w:type="spellStart"/>
            <w:r w:rsidRPr="008E7C4C">
              <w:rPr>
                <w:rFonts w:ascii="Arial Narrow" w:eastAsiaTheme="majorEastAsia" w:hAnsi="Arial Narrow" w:cstheme="majorBidi"/>
                <w:bCs/>
                <w:sz w:val="20"/>
                <w:szCs w:val="20"/>
                <w:lang w:val="en-AU"/>
              </w:rPr>
              <w:t>death</w:t>
            </w:r>
            <w:r w:rsidRPr="008E7C4C">
              <w:rPr>
                <w:rFonts w:ascii="Arial Narrow" w:eastAsiaTheme="majorEastAsia" w:hAnsi="Arial Narrow" w:cstheme="majorBidi"/>
                <w:bCs/>
                <w:sz w:val="20"/>
                <w:szCs w:val="20"/>
                <w:vertAlign w:val="superscript"/>
                <w:lang w:val="en-AU"/>
              </w:rPr>
              <w:t>c</w:t>
            </w:r>
            <w:proofErr w:type="spellEnd"/>
          </w:p>
        </w:tc>
        <w:tc>
          <w:tcPr>
            <w:tcW w:w="1417" w:type="dxa"/>
            <w:tcMar>
              <w:left w:w="28" w:type="dxa"/>
              <w:right w:w="28" w:type="dxa"/>
            </w:tcMar>
          </w:tcPr>
          <w:p w14:paraId="77FCE301"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21 (6)</w:t>
            </w:r>
          </w:p>
        </w:tc>
        <w:tc>
          <w:tcPr>
            <w:tcW w:w="1285" w:type="dxa"/>
            <w:tcMar>
              <w:left w:w="28" w:type="dxa"/>
              <w:right w:w="28" w:type="dxa"/>
            </w:tcMar>
          </w:tcPr>
          <w:p w14:paraId="3B9D89EF"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theme="majorBidi"/>
                <w:bCs/>
                <w:sz w:val="20"/>
                <w:szCs w:val="20"/>
                <w:lang w:val="en-AU"/>
              </w:rPr>
              <w:t>30 (8)</w:t>
            </w:r>
          </w:p>
        </w:tc>
        <w:tc>
          <w:tcPr>
            <w:tcW w:w="1529" w:type="dxa"/>
            <w:tcMar>
              <w:left w:w="28" w:type="dxa"/>
              <w:right w:w="28" w:type="dxa"/>
            </w:tcMar>
          </w:tcPr>
          <w:p w14:paraId="25C1774F" w14:textId="77777777" w:rsidR="00CC25DE" w:rsidRPr="008E7C4C" w:rsidRDefault="00CC25DE" w:rsidP="005B3407">
            <w:pPr>
              <w:keepNext/>
              <w:spacing w:before="0" w:after="0"/>
              <w:jc w:val="center"/>
              <w:rPr>
                <w:rFonts w:ascii="Arial Narrow" w:eastAsiaTheme="majorEastAsia" w:hAnsi="Arial Narrow" w:cstheme="majorBidi"/>
                <w:bCs/>
                <w:sz w:val="20"/>
                <w:szCs w:val="20"/>
                <w:lang w:val="en-AU"/>
              </w:rPr>
            </w:pPr>
            <w:r w:rsidRPr="008E7C4C">
              <w:rPr>
                <w:rFonts w:ascii="Arial Narrow" w:eastAsiaTheme="majorEastAsia" w:hAnsi="Arial Narrow" w:cs="Calibri"/>
                <w:bCs/>
                <w:color w:val="000000"/>
                <w:sz w:val="20"/>
                <w:szCs w:val="20"/>
                <w:lang w:val="en-AU"/>
              </w:rPr>
              <w:t>-0.03 (-0.06, 0.01)</w:t>
            </w:r>
          </w:p>
        </w:tc>
        <w:tc>
          <w:tcPr>
            <w:tcW w:w="1529" w:type="dxa"/>
            <w:tcMar>
              <w:left w:w="28" w:type="dxa"/>
              <w:right w:w="28" w:type="dxa"/>
            </w:tcMar>
          </w:tcPr>
          <w:p w14:paraId="0A0AD13E" w14:textId="77777777" w:rsidR="00CC25DE" w:rsidRPr="008E7C4C" w:rsidRDefault="00CC25DE" w:rsidP="005B3407">
            <w:pPr>
              <w:spacing w:before="0" w:after="0"/>
              <w:jc w:val="center"/>
              <w:rPr>
                <w:rFonts w:ascii="Arial Narrow" w:hAnsi="Arial Narrow" w:cs="Times New Roman"/>
                <w:sz w:val="20"/>
                <w:szCs w:val="20"/>
                <w:lang w:val="en-AU"/>
              </w:rPr>
            </w:pPr>
            <w:r w:rsidRPr="008E7C4C">
              <w:rPr>
                <w:rFonts w:ascii="Arial Narrow" w:hAnsi="Arial Narrow" w:cs="Calibri"/>
                <w:color w:val="000000"/>
                <w:sz w:val="20"/>
                <w:szCs w:val="20"/>
                <w:lang w:val="en-AU"/>
              </w:rPr>
              <w:t>0.7 (0.41, 1.2)</w:t>
            </w:r>
          </w:p>
        </w:tc>
      </w:tr>
    </w:tbl>
    <w:p w14:paraId="03B72E9B" w14:textId="77777777" w:rsidR="00CC25DE" w:rsidRPr="008E7C4C" w:rsidRDefault="00CC25DE" w:rsidP="00136562">
      <w:pPr>
        <w:pStyle w:val="PBACTableSource"/>
      </w:pPr>
      <w:r w:rsidRPr="008E7C4C">
        <w:t>Source: Table 2-11, p60 of the resubmission.</w:t>
      </w:r>
    </w:p>
    <w:p w14:paraId="2583AE20" w14:textId="5EC6495C" w:rsidR="00CC25DE" w:rsidRPr="008E7C4C" w:rsidRDefault="00CC25DE" w:rsidP="00136562">
      <w:pPr>
        <w:pStyle w:val="PBACTableSource"/>
      </w:pPr>
      <w:r w:rsidRPr="008E7C4C">
        <w:t>AE</w:t>
      </w:r>
      <w:r w:rsidR="008B58A6" w:rsidRPr="008E7C4C">
        <w:t xml:space="preserve"> </w:t>
      </w:r>
      <w:r w:rsidRPr="008E7C4C">
        <w:t xml:space="preserve">= adverse events; CI = confidence interval; FA = final analysis; </w:t>
      </w:r>
      <w:proofErr w:type="spellStart"/>
      <w:r w:rsidRPr="008E7C4C">
        <w:t>ILd</w:t>
      </w:r>
      <w:proofErr w:type="spellEnd"/>
      <w:r w:rsidR="008B58A6" w:rsidRPr="008E7C4C">
        <w:t xml:space="preserve"> </w:t>
      </w:r>
      <w:r w:rsidRPr="008E7C4C">
        <w:t xml:space="preserve">= </w:t>
      </w:r>
      <w:proofErr w:type="spellStart"/>
      <w:r w:rsidRPr="008E7C4C">
        <w:t>ixazomib</w:t>
      </w:r>
      <w:proofErr w:type="spellEnd"/>
      <w:r w:rsidR="008B58A6" w:rsidRPr="008E7C4C">
        <w:t xml:space="preserve"> </w:t>
      </w:r>
      <w:r w:rsidRPr="008E7C4C">
        <w:t xml:space="preserve">+ lenalidomide </w:t>
      </w:r>
      <w:r w:rsidR="008B58A6" w:rsidRPr="008E7C4C">
        <w:t>+</w:t>
      </w:r>
      <w:r w:rsidRPr="008E7C4C">
        <w:t xml:space="preserve"> dexamethasone; </w:t>
      </w:r>
      <w:proofErr w:type="spellStart"/>
      <w:r w:rsidRPr="008E7C4C">
        <w:t>Ld</w:t>
      </w:r>
      <w:proofErr w:type="spellEnd"/>
      <w:r w:rsidR="008B58A6" w:rsidRPr="008E7C4C">
        <w:t xml:space="preserve"> </w:t>
      </w:r>
      <w:r w:rsidRPr="008E7C4C">
        <w:t xml:space="preserve">= lenalidomide </w:t>
      </w:r>
      <w:r w:rsidR="008B58A6" w:rsidRPr="008E7C4C">
        <w:t>+</w:t>
      </w:r>
      <w:r w:rsidRPr="008E7C4C">
        <w:t xml:space="preserve"> dexamethasone; RD = risk difference; RR = relative risk, SAE</w:t>
      </w:r>
      <w:r w:rsidR="008B58A6" w:rsidRPr="008E7C4C">
        <w:t xml:space="preserve"> </w:t>
      </w:r>
      <w:r w:rsidRPr="008E7C4C">
        <w:t>= serious adverse event</w:t>
      </w:r>
      <w:r w:rsidR="00816F12" w:rsidRPr="008E7C4C">
        <w:t>.</w:t>
      </w:r>
    </w:p>
    <w:p w14:paraId="47BBD5D8" w14:textId="77F92D81" w:rsidR="00CC25DE" w:rsidRPr="008E7C4C" w:rsidRDefault="00CC25DE" w:rsidP="00136562">
      <w:pPr>
        <w:pStyle w:val="PBACTableSource"/>
      </w:pPr>
      <w:r w:rsidRPr="008E7C4C">
        <w:t>a</w:t>
      </w:r>
      <w:r w:rsidR="008B58A6" w:rsidRPr="008E7C4C">
        <w:t>.</w:t>
      </w:r>
      <w:r w:rsidRPr="008E7C4C">
        <w:t xml:space="preserve"> AE assessed by the investigator as that was related to any drug in the drug combination (placebo, </w:t>
      </w:r>
      <w:proofErr w:type="spellStart"/>
      <w:r w:rsidRPr="008E7C4C">
        <w:t>ixazomib</w:t>
      </w:r>
      <w:proofErr w:type="spellEnd"/>
      <w:r w:rsidRPr="008E7C4C">
        <w:t xml:space="preserve">, lenalidomide, or dexamethasone) was </w:t>
      </w:r>
      <w:proofErr w:type="gramStart"/>
      <w:r w:rsidRPr="008E7C4C">
        <w:t>treatment-related</w:t>
      </w:r>
      <w:proofErr w:type="gramEnd"/>
      <w:r w:rsidRPr="008E7C4C">
        <w:t>.</w:t>
      </w:r>
    </w:p>
    <w:p w14:paraId="0C079F9B" w14:textId="2D539AF6" w:rsidR="00CC25DE" w:rsidRPr="008E7C4C" w:rsidRDefault="00CC25DE" w:rsidP="00136562">
      <w:pPr>
        <w:pStyle w:val="PBACTableSource"/>
      </w:pPr>
      <w:r w:rsidRPr="008E7C4C">
        <w:t>b</w:t>
      </w:r>
      <w:r w:rsidR="008B58A6" w:rsidRPr="008E7C4C">
        <w:t>.</w:t>
      </w:r>
      <w:r w:rsidRPr="008E7C4C">
        <w:t xml:space="preserve"> Dose modification included dose reduced, increased, delayed, and discontinued permanently.</w:t>
      </w:r>
    </w:p>
    <w:p w14:paraId="1B82B283" w14:textId="7B6C94D3" w:rsidR="00CC25DE" w:rsidRPr="008E7C4C" w:rsidRDefault="00CC25DE" w:rsidP="00136562">
      <w:pPr>
        <w:pStyle w:val="PBACTableSource"/>
      </w:pPr>
      <w:r w:rsidRPr="008E7C4C">
        <w:t>c</w:t>
      </w:r>
      <w:r w:rsidR="008B58A6" w:rsidRPr="008E7C4C">
        <w:t>.</w:t>
      </w:r>
      <w:r w:rsidRPr="008E7C4C">
        <w:t xml:space="preserve"> On study deaths were defined as deaths that occurred after the first dose through 30 days after the last dose of any agent in the study drug regimen.</w:t>
      </w:r>
    </w:p>
    <w:p w14:paraId="0006FDB9" w14:textId="77777777" w:rsidR="009D3002" w:rsidRPr="008E7C4C" w:rsidRDefault="009D3002" w:rsidP="007F3538"/>
    <w:p w14:paraId="2740432D" w14:textId="24A9D71D" w:rsidR="00CC25DE" w:rsidRPr="008E7C4C" w:rsidRDefault="00CC25DE" w:rsidP="00CC25DE">
      <w:pPr>
        <w:numPr>
          <w:ilvl w:val="1"/>
          <w:numId w:val="1"/>
        </w:numPr>
        <w:spacing w:after="120"/>
        <w:rPr>
          <w:rFonts w:asciiTheme="minorHAnsi" w:hAnsiTheme="minorHAnsi"/>
          <w:snapToGrid w:val="0"/>
          <w:color w:val="0066FF"/>
        </w:rPr>
      </w:pPr>
      <w:r w:rsidRPr="008E7C4C">
        <w:rPr>
          <w:rFonts w:asciiTheme="minorHAnsi" w:hAnsiTheme="minorHAnsi"/>
          <w:bCs/>
          <w:snapToGrid w:val="0"/>
        </w:rPr>
        <w:t xml:space="preserve">The overall rates of any AEs, serious adverse events (SAEs) and treatment related AEs (TRAEs) were similar across both arms of TMM-1. The rates of Grade ≥ 3 AE and TRAEs were slightly higher in the </w:t>
      </w:r>
      <w:proofErr w:type="spellStart"/>
      <w:r w:rsidRPr="008E7C4C">
        <w:rPr>
          <w:rFonts w:asciiTheme="minorHAnsi" w:hAnsiTheme="minorHAnsi"/>
          <w:bCs/>
          <w:snapToGrid w:val="0"/>
        </w:rPr>
        <w:t>ILd</w:t>
      </w:r>
      <w:proofErr w:type="spellEnd"/>
      <w:r w:rsidRPr="008E7C4C">
        <w:rPr>
          <w:rFonts w:asciiTheme="minorHAnsi" w:hAnsiTheme="minorHAnsi"/>
          <w:bCs/>
          <w:snapToGrid w:val="0"/>
        </w:rPr>
        <w:t xml:space="preserve"> arm (80% and 74%) compared to the </w:t>
      </w:r>
      <w:proofErr w:type="spellStart"/>
      <w:r w:rsidRPr="008E7C4C">
        <w:rPr>
          <w:rFonts w:asciiTheme="minorHAnsi" w:hAnsiTheme="minorHAnsi"/>
          <w:bCs/>
          <w:snapToGrid w:val="0"/>
        </w:rPr>
        <w:t>Ld</w:t>
      </w:r>
      <w:proofErr w:type="spellEnd"/>
      <w:r w:rsidRPr="008E7C4C">
        <w:rPr>
          <w:rFonts w:asciiTheme="minorHAnsi" w:hAnsiTheme="minorHAnsi"/>
          <w:bCs/>
          <w:snapToGrid w:val="0"/>
        </w:rPr>
        <w:t xml:space="preserve"> arm (66% and 57% respectively). The aggregated TRAEs Grade 3 o</w:t>
      </w:r>
      <w:r w:rsidR="00912E99" w:rsidRPr="008E7C4C">
        <w:rPr>
          <w:rFonts w:asciiTheme="minorHAnsi" w:hAnsiTheme="minorHAnsi"/>
          <w:bCs/>
          <w:snapToGrid w:val="0"/>
        </w:rPr>
        <w:t>r</w:t>
      </w:r>
      <w:r w:rsidRPr="008E7C4C">
        <w:rPr>
          <w:rFonts w:asciiTheme="minorHAnsi" w:hAnsiTheme="minorHAnsi"/>
          <w:bCs/>
          <w:snapToGrid w:val="0"/>
        </w:rPr>
        <w:t xml:space="preserve"> higher and</w:t>
      </w:r>
      <w:r w:rsidRPr="008E7C4C">
        <w:rPr>
          <w:rFonts w:asciiTheme="minorHAnsi" w:hAnsiTheme="minorHAnsi"/>
          <w:snapToGrid w:val="0"/>
        </w:rPr>
        <w:t xml:space="preserve"> </w:t>
      </w:r>
      <w:r w:rsidRPr="008E7C4C">
        <w:rPr>
          <w:rFonts w:asciiTheme="minorHAnsi" w:hAnsiTheme="minorHAnsi"/>
          <w:bCs/>
          <w:snapToGrid w:val="0"/>
        </w:rPr>
        <w:t xml:space="preserve">AE resulting in dose modification of 1 or more of the agents in the drug regimen were higher in the </w:t>
      </w:r>
      <w:proofErr w:type="spellStart"/>
      <w:r w:rsidRPr="008E7C4C">
        <w:rPr>
          <w:rFonts w:asciiTheme="minorHAnsi" w:hAnsiTheme="minorHAnsi"/>
          <w:bCs/>
          <w:snapToGrid w:val="0"/>
        </w:rPr>
        <w:t>ILd</w:t>
      </w:r>
      <w:proofErr w:type="spellEnd"/>
      <w:r w:rsidRPr="008E7C4C">
        <w:rPr>
          <w:rFonts w:asciiTheme="minorHAnsi" w:hAnsiTheme="minorHAnsi"/>
          <w:bCs/>
          <w:snapToGrid w:val="0"/>
        </w:rPr>
        <w:t xml:space="preserve"> arm compared to the </w:t>
      </w:r>
      <w:proofErr w:type="spellStart"/>
      <w:r w:rsidRPr="008E7C4C">
        <w:rPr>
          <w:rFonts w:asciiTheme="minorHAnsi" w:hAnsiTheme="minorHAnsi"/>
          <w:bCs/>
          <w:snapToGrid w:val="0"/>
        </w:rPr>
        <w:t>Ld</w:t>
      </w:r>
      <w:proofErr w:type="spellEnd"/>
      <w:r w:rsidRPr="008E7C4C">
        <w:rPr>
          <w:rFonts w:asciiTheme="minorHAnsi" w:hAnsiTheme="minorHAnsi"/>
          <w:bCs/>
          <w:snapToGrid w:val="0"/>
        </w:rPr>
        <w:t xml:space="preserve"> arm.</w:t>
      </w:r>
    </w:p>
    <w:p w14:paraId="675DEC30" w14:textId="313CDDB3" w:rsidR="00CC25DE" w:rsidRPr="008E7C4C" w:rsidRDefault="00CC25DE" w:rsidP="00CC25DE">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lastRenderedPageBreak/>
        <w:t xml:space="preserve">Grade ≥ 3 thrombocytopenia occurred more frequently in the </w:t>
      </w:r>
      <w:proofErr w:type="spellStart"/>
      <w:r w:rsidRPr="008E7C4C">
        <w:rPr>
          <w:rFonts w:asciiTheme="minorHAnsi" w:hAnsiTheme="minorHAnsi"/>
          <w:snapToGrid w:val="0"/>
          <w:color w:val="000000" w:themeColor="text1"/>
        </w:rPr>
        <w:t>ILd</w:t>
      </w:r>
      <w:proofErr w:type="spellEnd"/>
      <w:r w:rsidRPr="008E7C4C">
        <w:rPr>
          <w:rFonts w:asciiTheme="minorHAnsi" w:hAnsiTheme="minorHAnsi"/>
          <w:snapToGrid w:val="0"/>
          <w:color w:val="000000" w:themeColor="text1"/>
        </w:rPr>
        <w:t xml:space="preserve"> arm compared to the </w:t>
      </w:r>
      <w:proofErr w:type="spellStart"/>
      <w:r w:rsidRPr="008E7C4C">
        <w:rPr>
          <w:rFonts w:asciiTheme="minorHAnsi" w:hAnsiTheme="minorHAnsi"/>
          <w:snapToGrid w:val="0"/>
          <w:color w:val="000000" w:themeColor="text1"/>
        </w:rPr>
        <w:t>Ld</w:t>
      </w:r>
      <w:proofErr w:type="spellEnd"/>
      <w:r w:rsidRPr="008E7C4C">
        <w:rPr>
          <w:rFonts w:asciiTheme="minorHAnsi" w:hAnsiTheme="minorHAnsi"/>
          <w:snapToGrid w:val="0"/>
          <w:color w:val="000000" w:themeColor="text1"/>
        </w:rPr>
        <w:t xml:space="preserve"> arm (9% vs 4%). Other </w:t>
      </w:r>
      <w:r w:rsidR="00912E99" w:rsidRPr="008E7C4C">
        <w:rPr>
          <w:rFonts w:asciiTheme="minorHAnsi" w:hAnsiTheme="minorHAnsi"/>
          <w:snapToGrid w:val="0"/>
          <w:color w:val="000000" w:themeColor="text1"/>
        </w:rPr>
        <w:t xml:space="preserve">differences in </w:t>
      </w:r>
      <w:r w:rsidRPr="008E7C4C">
        <w:rPr>
          <w:rFonts w:asciiTheme="minorHAnsi" w:hAnsiTheme="minorHAnsi"/>
          <w:snapToGrid w:val="0"/>
          <w:color w:val="000000" w:themeColor="text1"/>
        </w:rPr>
        <w:t xml:space="preserve">Grade ≥ 3 AEs included diarrhoea (10% </w:t>
      </w:r>
      <w:proofErr w:type="spellStart"/>
      <w:r w:rsidR="00912E99" w:rsidRPr="008E7C4C">
        <w:rPr>
          <w:rFonts w:asciiTheme="minorHAnsi" w:hAnsiTheme="minorHAnsi"/>
          <w:snapToGrid w:val="0"/>
          <w:color w:val="000000" w:themeColor="text1"/>
        </w:rPr>
        <w:t>ILd</w:t>
      </w:r>
      <w:proofErr w:type="spellEnd"/>
      <w:r w:rsidR="007E51A8" w:rsidRPr="008E7C4C">
        <w:rPr>
          <w:rFonts w:asciiTheme="minorHAnsi" w:hAnsiTheme="minorHAnsi"/>
          <w:snapToGrid w:val="0"/>
          <w:color w:val="000000" w:themeColor="text1"/>
        </w:rPr>
        <w:t xml:space="preserve"> </w:t>
      </w:r>
      <w:r w:rsidRPr="008E7C4C">
        <w:rPr>
          <w:rFonts w:asciiTheme="minorHAnsi" w:hAnsiTheme="minorHAnsi"/>
          <w:snapToGrid w:val="0"/>
          <w:color w:val="000000" w:themeColor="text1"/>
        </w:rPr>
        <w:t xml:space="preserve">vs 3% </w:t>
      </w:r>
      <w:proofErr w:type="spellStart"/>
      <w:r w:rsidRPr="008E7C4C">
        <w:rPr>
          <w:rFonts w:asciiTheme="minorHAnsi" w:hAnsiTheme="minorHAnsi"/>
          <w:snapToGrid w:val="0"/>
          <w:color w:val="000000" w:themeColor="text1"/>
        </w:rPr>
        <w:t>Ld</w:t>
      </w:r>
      <w:proofErr w:type="spellEnd"/>
      <w:r w:rsidRPr="008E7C4C">
        <w:rPr>
          <w:rFonts w:asciiTheme="minorHAnsi" w:hAnsiTheme="minorHAnsi"/>
          <w:snapToGrid w:val="0"/>
          <w:color w:val="000000" w:themeColor="text1"/>
        </w:rPr>
        <w:t xml:space="preserve">) and hypokalaemia (5% </w:t>
      </w:r>
      <w:proofErr w:type="spellStart"/>
      <w:r w:rsidRPr="008E7C4C">
        <w:rPr>
          <w:rFonts w:asciiTheme="minorHAnsi" w:hAnsiTheme="minorHAnsi"/>
          <w:snapToGrid w:val="0"/>
          <w:color w:val="000000" w:themeColor="text1"/>
        </w:rPr>
        <w:t>ILd</w:t>
      </w:r>
      <w:proofErr w:type="spellEnd"/>
      <w:r w:rsidRPr="008E7C4C">
        <w:rPr>
          <w:rFonts w:asciiTheme="minorHAnsi" w:hAnsiTheme="minorHAnsi"/>
          <w:snapToGrid w:val="0"/>
          <w:color w:val="000000" w:themeColor="text1"/>
        </w:rPr>
        <w:t xml:space="preserve"> vs 2% </w:t>
      </w:r>
      <w:proofErr w:type="spellStart"/>
      <w:r w:rsidRPr="008E7C4C">
        <w:rPr>
          <w:rFonts w:asciiTheme="minorHAnsi" w:hAnsiTheme="minorHAnsi"/>
          <w:snapToGrid w:val="0"/>
          <w:color w:val="000000" w:themeColor="text1"/>
        </w:rPr>
        <w:t>Ld</w:t>
      </w:r>
      <w:proofErr w:type="spellEnd"/>
      <w:r w:rsidRPr="008E7C4C">
        <w:rPr>
          <w:rFonts w:asciiTheme="minorHAnsi" w:hAnsiTheme="minorHAnsi"/>
          <w:snapToGrid w:val="0"/>
          <w:color w:val="000000" w:themeColor="text1"/>
        </w:rPr>
        <w:t>). The rates of SAEs were similar across both arms (32% vs 30%, respectively).</w:t>
      </w:r>
    </w:p>
    <w:p w14:paraId="193AE8EC" w14:textId="73D35B3B" w:rsidR="00CC25DE" w:rsidRPr="008E7C4C" w:rsidRDefault="001B3BD9" w:rsidP="00564EE4">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 xml:space="preserve">The safety analysis was based on the full safety population in TMM-1 (Table 10).  </w:t>
      </w:r>
      <w:r w:rsidR="00CC25DE" w:rsidRPr="008E7C4C">
        <w:rPr>
          <w:rFonts w:asciiTheme="minorHAnsi" w:hAnsiTheme="minorHAnsi"/>
          <w:snapToGrid w:val="0"/>
          <w:color w:val="000000" w:themeColor="text1"/>
        </w:rPr>
        <w:t xml:space="preserve">The resubmission </w:t>
      </w:r>
      <w:r w:rsidR="002E60FC" w:rsidRPr="008E7C4C">
        <w:rPr>
          <w:rFonts w:asciiTheme="minorHAnsi" w:hAnsiTheme="minorHAnsi"/>
          <w:snapToGrid w:val="0"/>
          <w:color w:val="000000" w:themeColor="text1"/>
        </w:rPr>
        <w:t xml:space="preserve">did not present </w:t>
      </w:r>
      <w:r w:rsidR="00CC25DE" w:rsidRPr="008E7C4C">
        <w:rPr>
          <w:rFonts w:asciiTheme="minorHAnsi" w:hAnsiTheme="minorHAnsi"/>
          <w:snapToGrid w:val="0"/>
          <w:color w:val="000000" w:themeColor="text1"/>
        </w:rPr>
        <w:t xml:space="preserve">safety results for </w:t>
      </w:r>
      <w:r w:rsidR="002E60FC" w:rsidRPr="008E7C4C">
        <w:rPr>
          <w:rFonts w:asciiTheme="minorHAnsi" w:hAnsiTheme="minorHAnsi"/>
          <w:snapToGrid w:val="0"/>
          <w:color w:val="000000" w:themeColor="text1"/>
        </w:rPr>
        <w:t>the</w:t>
      </w:r>
      <w:r w:rsidRPr="008E7C4C">
        <w:rPr>
          <w:rFonts w:asciiTheme="minorHAnsi" w:hAnsiTheme="minorHAnsi"/>
          <w:snapToGrid w:val="0"/>
          <w:color w:val="000000" w:themeColor="text1"/>
        </w:rPr>
        <w:t xml:space="preserve"> </w:t>
      </w:r>
      <w:r w:rsidRPr="008E7C4C">
        <w:rPr>
          <w:rFonts w:asciiTheme="minorHAnsi" w:hAnsiTheme="minorHAnsi"/>
          <w:snapToGrid w:val="0"/>
        </w:rPr>
        <w:t>2-3 prior lines of therapy</w:t>
      </w:r>
      <w:r w:rsidRPr="008E7C4C">
        <w:rPr>
          <w:rFonts w:asciiTheme="minorHAnsi" w:hAnsiTheme="minorHAnsi"/>
          <w:snapToGrid w:val="0"/>
          <w:color w:val="000000" w:themeColor="text1"/>
        </w:rPr>
        <w:t xml:space="preserve"> </w:t>
      </w:r>
      <w:r w:rsidR="00CC25DE" w:rsidRPr="008E7C4C">
        <w:rPr>
          <w:rFonts w:asciiTheme="minorHAnsi" w:hAnsiTheme="minorHAnsi"/>
          <w:snapToGrid w:val="0"/>
          <w:color w:val="000000" w:themeColor="text1"/>
        </w:rPr>
        <w:t>subgroup.</w:t>
      </w:r>
    </w:p>
    <w:p w14:paraId="04066667" w14:textId="09F5296F" w:rsidR="00CC25DE" w:rsidRPr="008E7C4C" w:rsidRDefault="00CC25DE" w:rsidP="00564EE4">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 xml:space="preserve">The resubmission presented </w:t>
      </w:r>
      <w:r w:rsidR="003264A1" w:rsidRPr="008E7C4C">
        <w:rPr>
          <w:rFonts w:asciiTheme="minorHAnsi" w:hAnsiTheme="minorHAnsi"/>
          <w:snapToGrid w:val="0"/>
          <w:color w:val="000000" w:themeColor="text1"/>
        </w:rPr>
        <w:t xml:space="preserve">an </w:t>
      </w:r>
      <w:r w:rsidRPr="008E7C4C">
        <w:rPr>
          <w:rFonts w:asciiTheme="minorHAnsi" w:hAnsiTheme="minorHAnsi"/>
          <w:snapToGrid w:val="0"/>
          <w:color w:val="000000" w:themeColor="text1"/>
        </w:rPr>
        <w:t>extended assessment of comparative harms based on the</w:t>
      </w:r>
      <w:r w:rsidRPr="008E7C4C">
        <w:rPr>
          <w:rFonts w:asciiTheme="minorHAnsi" w:hAnsiTheme="minorHAnsi"/>
          <w:snapToGrid w:val="0"/>
        </w:rPr>
        <w:t xml:space="preserve"> </w:t>
      </w:r>
      <w:r w:rsidRPr="008E7C4C">
        <w:rPr>
          <w:rFonts w:asciiTheme="minorHAnsi" w:hAnsiTheme="minorHAnsi"/>
          <w:snapToGrid w:val="0"/>
          <w:color w:val="000000" w:themeColor="text1"/>
        </w:rPr>
        <w:t xml:space="preserve">periodic benefit-risk evaluation report (PBRER) of 19 November 2020. </w:t>
      </w:r>
      <w:r w:rsidR="0024685F" w:rsidRPr="008E7C4C">
        <w:rPr>
          <w:rFonts w:asciiTheme="minorHAnsi" w:hAnsiTheme="minorHAnsi"/>
          <w:snapToGrid w:val="0"/>
          <w:color w:val="000000" w:themeColor="text1"/>
        </w:rPr>
        <w:t>T</w:t>
      </w:r>
      <w:r w:rsidRPr="008E7C4C">
        <w:rPr>
          <w:rFonts w:asciiTheme="minorHAnsi" w:hAnsiTheme="minorHAnsi"/>
          <w:snapToGrid w:val="0"/>
          <w:color w:val="000000" w:themeColor="text1"/>
        </w:rPr>
        <w:t>hrombotic microangiopathy</w:t>
      </w:r>
      <w:r w:rsidR="0024685F" w:rsidRPr="008E7C4C">
        <w:rPr>
          <w:rFonts w:asciiTheme="minorHAnsi" w:hAnsiTheme="minorHAnsi"/>
          <w:snapToGrid w:val="0"/>
          <w:color w:val="000000" w:themeColor="text1"/>
        </w:rPr>
        <w:t xml:space="preserve"> and accidental overdosage were identified as safety concerns.  The PBAC noted that these concerns were described in the TGA approved product information, with thrombotic microangiopathy</w:t>
      </w:r>
      <w:r w:rsidR="003264A1" w:rsidRPr="008E7C4C">
        <w:rPr>
          <w:rFonts w:asciiTheme="minorHAnsi" w:hAnsiTheme="minorHAnsi"/>
          <w:snapToGrid w:val="0"/>
          <w:color w:val="000000" w:themeColor="text1"/>
        </w:rPr>
        <w:t xml:space="preserve"> </w:t>
      </w:r>
      <w:r w:rsidR="0024685F" w:rsidRPr="008E7C4C">
        <w:rPr>
          <w:rFonts w:asciiTheme="minorHAnsi" w:hAnsiTheme="minorHAnsi"/>
          <w:snapToGrid w:val="0"/>
          <w:color w:val="000000" w:themeColor="text1"/>
        </w:rPr>
        <w:t xml:space="preserve">reported </w:t>
      </w:r>
      <w:r w:rsidRPr="008E7C4C">
        <w:rPr>
          <w:rFonts w:asciiTheme="minorHAnsi" w:hAnsiTheme="minorHAnsi"/>
          <w:snapToGrid w:val="0"/>
          <w:color w:val="000000" w:themeColor="text1"/>
        </w:rPr>
        <w:t>as a</w:t>
      </w:r>
      <w:r w:rsidR="00A445C7" w:rsidRPr="008E7C4C">
        <w:rPr>
          <w:rFonts w:asciiTheme="minorHAnsi" w:hAnsiTheme="minorHAnsi"/>
          <w:snapToGrid w:val="0"/>
          <w:color w:val="000000" w:themeColor="text1"/>
        </w:rPr>
        <w:t xml:space="preserve"> clinically significant</w:t>
      </w:r>
      <w:r w:rsidRPr="008E7C4C">
        <w:rPr>
          <w:rFonts w:asciiTheme="minorHAnsi" w:hAnsiTheme="minorHAnsi"/>
          <w:snapToGrid w:val="0"/>
          <w:color w:val="000000" w:themeColor="text1"/>
        </w:rPr>
        <w:t xml:space="preserve"> adverse drug reaction</w:t>
      </w:r>
      <w:r w:rsidR="00A445C7" w:rsidRPr="008E7C4C">
        <w:rPr>
          <w:rFonts w:asciiTheme="minorHAnsi" w:hAnsiTheme="minorHAnsi"/>
          <w:snapToGrid w:val="0"/>
          <w:color w:val="000000" w:themeColor="text1"/>
        </w:rPr>
        <w:t xml:space="preserve"> </w:t>
      </w:r>
      <w:r w:rsidR="0024685F" w:rsidRPr="008E7C4C">
        <w:rPr>
          <w:rFonts w:asciiTheme="minorHAnsi" w:hAnsiTheme="minorHAnsi"/>
          <w:snapToGrid w:val="0"/>
          <w:color w:val="000000" w:themeColor="text1"/>
        </w:rPr>
        <w:t>based on</w:t>
      </w:r>
      <w:r w:rsidR="00A445C7" w:rsidRPr="008E7C4C">
        <w:rPr>
          <w:rFonts w:asciiTheme="minorHAnsi" w:hAnsiTheme="minorHAnsi"/>
          <w:snapToGrid w:val="0"/>
          <w:color w:val="000000" w:themeColor="text1"/>
        </w:rPr>
        <w:t xml:space="preserve"> post</w:t>
      </w:r>
      <w:r w:rsidR="00A445C7" w:rsidRPr="008E7C4C">
        <w:rPr>
          <w:rFonts w:asciiTheme="minorHAnsi" w:hAnsiTheme="minorHAnsi"/>
          <w:snapToGrid w:val="0"/>
          <w:color w:val="000000" w:themeColor="text1"/>
        </w:rPr>
        <w:noBreakHyphen/>
        <w:t>marketing data</w:t>
      </w:r>
      <w:r w:rsidR="0024685F" w:rsidRPr="008E7C4C">
        <w:rPr>
          <w:rFonts w:asciiTheme="minorHAnsi" w:hAnsiTheme="minorHAnsi"/>
          <w:snapToGrid w:val="0"/>
          <w:color w:val="000000" w:themeColor="text1"/>
        </w:rPr>
        <w:t xml:space="preserve">, and </w:t>
      </w:r>
      <w:r w:rsidRPr="008E7C4C">
        <w:rPr>
          <w:rFonts w:asciiTheme="minorHAnsi" w:hAnsiTheme="minorHAnsi"/>
          <w:snapToGrid w:val="0"/>
          <w:color w:val="000000" w:themeColor="text1"/>
        </w:rPr>
        <w:t>accidental overdose</w:t>
      </w:r>
      <w:r w:rsidR="00A445C7" w:rsidRPr="008E7C4C">
        <w:rPr>
          <w:rFonts w:asciiTheme="minorHAnsi" w:hAnsiTheme="minorHAnsi"/>
          <w:snapToGrid w:val="0"/>
          <w:color w:val="000000" w:themeColor="text1"/>
        </w:rPr>
        <w:t xml:space="preserve"> </w:t>
      </w:r>
      <w:r w:rsidR="0024685F" w:rsidRPr="008E7C4C">
        <w:rPr>
          <w:rFonts w:asciiTheme="minorHAnsi" w:hAnsiTheme="minorHAnsi"/>
          <w:snapToGrid w:val="0"/>
          <w:color w:val="000000" w:themeColor="text1"/>
        </w:rPr>
        <w:t>reported to have</w:t>
      </w:r>
      <w:r w:rsidR="00A445C7" w:rsidRPr="008E7C4C">
        <w:t xml:space="preserve"> been associated with </w:t>
      </w:r>
      <w:r w:rsidR="0024685F" w:rsidRPr="008E7C4C">
        <w:t>SAEs</w:t>
      </w:r>
      <w:r w:rsidRPr="008E7C4C">
        <w:rPr>
          <w:rFonts w:asciiTheme="minorHAnsi" w:hAnsiTheme="minorHAnsi"/>
          <w:snapToGrid w:val="0"/>
          <w:color w:val="000000" w:themeColor="text1"/>
        </w:rPr>
        <w:t>.</w:t>
      </w:r>
    </w:p>
    <w:p w14:paraId="04932788" w14:textId="4A76FC27" w:rsidR="00CC25DE" w:rsidRPr="008E7C4C" w:rsidRDefault="00CC25DE" w:rsidP="00B46730">
      <w:pPr>
        <w:pStyle w:val="4-SubsectionHeading"/>
      </w:pPr>
      <w:bookmarkStart w:id="21" w:name="_Toc22897643"/>
      <w:bookmarkStart w:id="22" w:name="_Toc93487440"/>
      <w:bookmarkEnd w:id="20"/>
      <w:r w:rsidRPr="008E7C4C">
        <w:t>Benefits/harms</w:t>
      </w:r>
      <w:bookmarkEnd w:id="21"/>
      <w:bookmarkEnd w:id="22"/>
    </w:p>
    <w:p w14:paraId="1C604308" w14:textId="7F765771" w:rsidR="00CC25DE" w:rsidRPr="008E7C4C" w:rsidRDefault="00CC25DE" w:rsidP="00CC25DE">
      <w:pPr>
        <w:numPr>
          <w:ilvl w:val="1"/>
          <w:numId w:val="1"/>
        </w:numPr>
        <w:spacing w:after="120"/>
        <w:rPr>
          <w:rFonts w:ascii="Arial Narrow" w:hAnsi="Arial Narrow"/>
          <w:b/>
          <w:snapToGrid w:val="0"/>
          <w:color w:val="0066FF"/>
          <w:sz w:val="20"/>
          <w:szCs w:val="16"/>
        </w:rPr>
      </w:pPr>
      <w:r w:rsidRPr="008E7C4C">
        <w:rPr>
          <w:rFonts w:asciiTheme="minorHAnsi" w:hAnsiTheme="minorHAnsi"/>
          <w:snapToGrid w:val="0"/>
        </w:rPr>
        <w:t xml:space="preserve">A summary of the comparative harms for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versus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is presented in the Table </w:t>
      </w:r>
      <w:r w:rsidR="007E51A8" w:rsidRPr="008E7C4C">
        <w:rPr>
          <w:rFonts w:asciiTheme="minorHAnsi" w:hAnsiTheme="minorHAnsi"/>
          <w:snapToGrid w:val="0"/>
        </w:rPr>
        <w:t>11</w:t>
      </w:r>
      <w:r w:rsidRPr="008E7C4C">
        <w:rPr>
          <w:rFonts w:asciiTheme="minorHAnsi" w:hAnsiTheme="minorHAnsi"/>
          <w:snapToGrid w:val="0"/>
        </w:rPr>
        <w:t xml:space="preserve">. </w:t>
      </w:r>
    </w:p>
    <w:p w14:paraId="33F84D58" w14:textId="3327BD22" w:rsidR="004F7F51" w:rsidRPr="008E7C4C" w:rsidRDefault="00CC25DE" w:rsidP="004F7F51">
      <w:pPr>
        <w:keepNext/>
        <w:jc w:val="left"/>
        <w:rPr>
          <w:rStyle w:val="CommentReference"/>
          <w:rFonts w:eastAsiaTheme="majorEastAsia" w:cstheme="majorBidi"/>
          <w:bCs/>
          <w:szCs w:val="24"/>
        </w:rPr>
      </w:pPr>
      <w:r w:rsidRPr="008E7C4C">
        <w:rPr>
          <w:rFonts w:ascii="Arial Narrow" w:eastAsiaTheme="majorEastAsia" w:hAnsi="Arial Narrow" w:cstheme="majorBidi"/>
          <w:b/>
          <w:bCs/>
          <w:sz w:val="20"/>
        </w:rPr>
        <w:lastRenderedPageBreak/>
        <w:t xml:space="preserve">Table </w:t>
      </w:r>
      <w:r w:rsidR="007E51A8" w:rsidRPr="008E7C4C">
        <w:rPr>
          <w:rFonts w:ascii="Arial Narrow" w:eastAsiaTheme="majorEastAsia" w:hAnsi="Arial Narrow" w:cstheme="majorBidi"/>
          <w:b/>
          <w:bCs/>
          <w:sz w:val="20"/>
        </w:rPr>
        <w:t>11</w:t>
      </w:r>
      <w:r w:rsidRPr="008E7C4C">
        <w:rPr>
          <w:rFonts w:ascii="Arial Narrow" w:eastAsiaTheme="majorEastAsia" w:hAnsi="Arial Narrow" w:cstheme="majorBidi"/>
          <w:b/>
          <w:bCs/>
          <w:sz w:val="20"/>
        </w:rPr>
        <w:t xml:space="preserve">: Summary of comparative </w:t>
      </w:r>
      <w:r w:rsidR="00997B10" w:rsidRPr="008E7C4C">
        <w:rPr>
          <w:rFonts w:ascii="Arial Narrow" w:eastAsiaTheme="majorEastAsia" w:hAnsi="Arial Narrow" w:cstheme="majorBidi"/>
          <w:b/>
          <w:bCs/>
          <w:sz w:val="20"/>
        </w:rPr>
        <w:t xml:space="preserve">benefits and </w:t>
      </w:r>
      <w:r w:rsidRPr="008E7C4C">
        <w:rPr>
          <w:rFonts w:ascii="Arial Narrow" w:eastAsiaTheme="majorEastAsia" w:hAnsi="Arial Narrow" w:cstheme="majorBidi"/>
          <w:b/>
          <w:bCs/>
          <w:sz w:val="20"/>
        </w:rPr>
        <w:t xml:space="preserve">harms for </w:t>
      </w:r>
      <w:proofErr w:type="spellStart"/>
      <w:r w:rsidRPr="008E7C4C">
        <w:rPr>
          <w:rFonts w:ascii="Arial Narrow" w:eastAsiaTheme="majorEastAsia" w:hAnsi="Arial Narrow" w:cstheme="majorBidi"/>
          <w:b/>
          <w:bCs/>
          <w:sz w:val="20"/>
        </w:rPr>
        <w:t>ILd</w:t>
      </w:r>
      <w:proofErr w:type="spellEnd"/>
      <w:r w:rsidRPr="008E7C4C">
        <w:rPr>
          <w:rFonts w:ascii="Arial Narrow" w:eastAsiaTheme="majorEastAsia" w:hAnsi="Arial Narrow" w:cstheme="majorBidi"/>
          <w:b/>
          <w:bCs/>
          <w:sz w:val="20"/>
        </w:rPr>
        <w:t xml:space="preserve"> and </w:t>
      </w:r>
      <w:proofErr w:type="spellStart"/>
      <w:r w:rsidRPr="008E7C4C">
        <w:rPr>
          <w:rFonts w:ascii="Arial Narrow" w:eastAsiaTheme="majorEastAsia" w:hAnsi="Arial Narrow" w:cstheme="majorBidi"/>
          <w:b/>
          <w:bCs/>
          <w:sz w:val="20"/>
        </w:rPr>
        <w:t>Ld</w:t>
      </w:r>
      <w:proofErr w:type="spellEnd"/>
      <w:r w:rsidR="00997B10" w:rsidRPr="008E7C4C">
        <w:rPr>
          <w:rFonts w:ascii="Arial Narrow" w:eastAsiaTheme="majorEastAsia" w:hAnsi="Arial Narrow" w:cstheme="majorBidi"/>
          <w:b/>
          <w:bCs/>
          <w:sz w:val="20"/>
        </w:rPr>
        <w:t xml:space="preserve"> from TMM-1</w:t>
      </w:r>
    </w:p>
    <w:tbl>
      <w:tblPr>
        <w:tblW w:w="5000" w:type="pct"/>
        <w:tblLayout w:type="fixed"/>
        <w:tblCellMar>
          <w:left w:w="28" w:type="dxa"/>
          <w:right w:w="28" w:type="dxa"/>
        </w:tblCellMar>
        <w:tblLook w:val="04A0" w:firstRow="1" w:lastRow="0" w:firstColumn="1" w:lastColumn="0" w:noHBand="0" w:noVBand="1"/>
      </w:tblPr>
      <w:tblGrid>
        <w:gridCol w:w="9016"/>
      </w:tblGrid>
      <w:tr w:rsidR="004F7F51" w:rsidRPr="008E7C4C" w14:paraId="279FF230" w14:textId="77777777" w:rsidTr="00997B10">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AAB99F" w14:textId="77777777" w:rsidR="004F7F51" w:rsidRPr="008E7C4C" w:rsidRDefault="004F7F51" w:rsidP="006D7D90">
            <w:pPr>
              <w:pStyle w:val="In-tableHeading"/>
              <w:rPr>
                <w:lang w:val="en-AU"/>
              </w:rPr>
            </w:pPr>
            <w:r w:rsidRPr="008E7C4C">
              <w:rPr>
                <w:lang w:val="en-AU"/>
              </w:rPr>
              <w:t>Benefits</w:t>
            </w:r>
          </w:p>
        </w:tc>
      </w:tr>
    </w:tbl>
    <w:tbl>
      <w:tblPr>
        <w:tblStyle w:val="TableGrid"/>
        <w:tblW w:w="5000" w:type="pct"/>
        <w:tblLayout w:type="fixed"/>
        <w:tblCellMar>
          <w:left w:w="28" w:type="dxa"/>
          <w:right w:w="28" w:type="dxa"/>
        </w:tblCellMar>
        <w:tblLook w:val="04A0" w:firstRow="1" w:lastRow="0" w:firstColumn="1" w:lastColumn="0" w:noHBand="0" w:noVBand="1"/>
      </w:tblPr>
      <w:tblGrid>
        <w:gridCol w:w="2689"/>
        <w:gridCol w:w="1702"/>
        <w:gridCol w:w="1700"/>
        <w:gridCol w:w="1340"/>
        <w:gridCol w:w="1585"/>
      </w:tblGrid>
      <w:tr w:rsidR="004F7F51" w:rsidRPr="008E7C4C" w14:paraId="28C5330C" w14:textId="77777777" w:rsidTr="004F7F51">
        <w:trPr>
          <w:trHeight w:val="20"/>
        </w:trPr>
        <w:tc>
          <w:tcPr>
            <w:tcW w:w="5000" w:type="pct"/>
            <w:gridSpan w:val="5"/>
            <w:shd w:val="clear" w:color="auto" w:fill="C6D9F1" w:themeFill="text2" w:themeFillTint="33"/>
          </w:tcPr>
          <w:p w14:paraId="3E1AE4B8" w14:textId="77777777" w:rsidR="004F7F51" w:rsidRPr="008E7C4C" w:rsidRDefault="004F7F51" w:rsidP="004F7F51">
            <w:pPr>
              <w:pStyle w:val="In-tableHeading"/>
              <w:rPr>
                <w:szCs w:val="20"/>
                <w:lang w:val="en-AU"/>
              </w:rPr>
            </w:pPr>
            <w:r w:rsidRPr="008E7C4C">
              <w:rPr>
                <w:szCs w:val="20"/>
                <w:lang w:val="en-AU"/>
              </w:rPr>
              <w:t>Progression free survival (median duration of follow up 15 months) ITT</w:t>
            </w:r>
            <w:r w:rsidR="00CE5F64" w:rsidRPr="008E7C4C">
              <w:rPr>
                <w:szCs w:val="20"/>
                <w:lang w:val="en-AU"/>
              </w:rPr>
              <w:t>, whole population</w:t>
            </w:r>
          </w:p>
        </w:tc>
      </w:tr>
      <w:tr w:rsidR="00D67295" w:rsidRPr="008E7C4C" w14:paraId="79CEED39" w14:textId="77777777" w:rsidTr="008B58A6">
        <w:trPr>
          <w:trHeight w:val="20"/>
        </w:trPr>
        <w:tc>
          <w:tcPr>
            <w:tcW w:w="1491" w:type="pct"/>
            <w:tcBorders>
              <w:bottom w:val="single" w:sz="4" w:space="0" w:color="auto"/>
            </w:tcBorders>
            <w:shd w:val="clear" w:color="auto" w:fill="C6D9F1" w:themeFill="text2" w:themeFillTint="33"/>
            <w:vAlign w:val="center"/>
          </w:tcPr>
          <w:p w14:paraId="304422C9" w14:textId="77777777" w:rsidR="00D67295" w:rsidRPr="008E7C4C" w:rsidRDefault="00D67295" w:rsidP="008B58A6">
            <w:pPr>
              <w:pStyle w:val="In-tableHeading"/>
              <w:rPr>
                <w:rFonts w:cstheme="majorBidi"/>
                <w:b w:val="0"/>
                <w:szCs w:val="20"/>
                <w:lang w:val="en-AU"/>
              </w:rPr>
            </w:pPr>
            <w:r w:rsidRPr="008E7C4C">
              <w:rPr>
                <w:szCs w:val="20"/>
                <w:lang w:val="en-AU"/>
              </w:rPr>
              <w:t>Event</w:t>
            </w:r>
          </w:p>
        </w:tc>
        <w:tc>
          <w:tcPr>
            <w:tcW w:w="944" w:type="pct"/>
            <w:tcBorders>
              <w:bottom w:val="single" w:sz="4" w:space="0" w:color="auto"/>
            </w:tcBorders>
            <w:shd w:val="clear" w:color="auto" w:fill="C6D9F1" w:themeFill="text2" w:themeFillTint="33"/>
            <w:vAlign w:val="center"/>
          </w:tcPr>
          <w:p w14:paraId="40F7412D" w14:textId="0F964B1B" w:rsidR="00D67295" w:rsidRPr="008E7C4C" w:rsidRDefault="00D67295" w:rsidP="008B58A6">
            <w:pPr>
              <w:pStyle w:val="In-tableHeading"/>
              <w:jc w:val="center"/>
              <w:rPr>
                <w:rFonts w:cstheme="majorBidi"/>
                <w:b w:val="0"/>
                <w:szCs w:val="20"/>
                <w:lang w:val="en-AU"/>
              </w:rPr>
            </w:pPr>
            <w:proofErr w:type="spellStart"/>
            <w:r w:rsidRPr="008E7C4C">
              <w:rPr>
                <w:szCs w:val="20"/>
                <w:lang w:val="en-AU"/>
              </w:rPr>
              <w:t>ILd</w:t>
            </w:r>
            <w:proofErr w:type="spellEnd"/>
          </w:p>
        </w:tc>
        <w:tc>
          <w:tcPr>
            <w:tcW w:w="943" w:type="pct"/>
            <w:tcBorders>
              <w:bottom w:val="single" w:sz="4" w:space="0" w:color="auto"/>
            </w:tcBorders>
            <w:shd w:val="clear" w:color="auto" w:fill="C6D9F1" w:themeFill="text2" w:themeFillTint="33"/>
            <w:vAlign w:val="center"/>
          </w:tcPr>
          <w:p w14:paraId="688C321D" w14:textId="77777777" w:rsidR="00D67295" w:rsidRPr="008E7C4C" w:rsidRDefault="00D67295" w:rsidP="008B58A6">
            <w:pPr>
              <w:pStyle w:val="In-tableHeading"/>
              <w:jc w:val="center"/>
              <w:rPr>
                <w:rFonts w:cstheme="majorBidi"/>
                <w:b w:val="0"/>
                <w:szCs w:val="20"/>
                <w:lang w:val="en-AU"/>
              </w:rPr>
            </w:pPr>
            <w:proofErr w:type="spellStart"/>
            <w:r w:rsidRPr="008E7C4C">
              <w:rPr>
                <w:szCs w:val="20"/>
                <w:lang w:val="en-AU"/>
              </w:rPr>
              <w:t>Ld</w:t>
            </w:r>
            <w:proofErr w:type="spellEnd"/>
          </w:p>
        </w:tc>
        <w:tc>
          <w:tcPr>
            <w:tcW w:w="743" w:type="pct"/>
            <w:tcBorders>
              <w:bottom w:val="single" w:sz="4" w:space="0" w:color="auto"/>
            </w:tcBorders>
            <w:shd w:val="clear" w:color="auto" w:fill="C6D9F1" w:themeFill="text2" w:themeFillTint="33"/>
          </w:tcPr>
          <w:p w14:paraId="656B6969" w14:textId="77777777" w:rsidR="00D67295" w:rsidRPr="008E7C4C" w:rsidRDefault="00D67295" w:rsidP="00D67295">
            <w:pPr>
              <w:pStyle w:val="In-tableHeading"/>
              <w:jc w:val="center"/>
              <w:rPr>
                <w:rFonts w:cstheme="majorBidi"/>
                <w:b w:val="0"/>
                <w:szCs w:val="20"/>
                <w:lang w:val="en-AU"/>
              </w:rPr>
            </w:pPr>
            <w:r w:rsidRPr="008E7C4C">
              <w:rPr>
                <w:szCs w:val="20"/>
                <w:lang w:val="en-AU"/>
              </w:rPr>
              <w:t>Absolute Difference</w:t>
            </w:r>
          </w:p>
        </w:tc>
        <w:tc>
          <w:tcPr>
            <w:tcW w:w="879" w:type="pct"/>
            <w:tcBorders>
              <w:bottom w:val="single" w:sz="4" w:space="0" w:color="auto"/>
            </w:tcBorders>
            <w:shd w:val="clear" w:color="auto" w:fill="C6D9F1" w:themeFill="text2" w:themeFillTint="33"/>
          </w:tcPr>
          <w:p w14:paraId="64B7CA0B" w14:textId="77777777" w:rsidR="00D67295" w:rsidRPr="008E7C4C" w:rsidRDefault="00D67295" w:rsidP="00D67295">
            <w:pPr>
              <w:pStyle w:val="In-tableHeading"/>
              <w:jc w:val="center"/>
              <w:rPr>
                <w:szCs w:val="20"/>
                <w:lang w:val="en-AU"/>
              </w:rPr>
            </w:pPr>
            <w:r w:rsidRPr="008E7C4C">
              <w:rPr>
                <w:szCs w:val="20"/>
                <w:lang w:val="en-AU"/>
              </w:rPr>
              <w:t>HR (95% CI)</w:t>
            </w:r>
            <w:r w:rsidR="00912E99" w:rsidRPr="008E7C4C">
              <w:rPr>
                <w:szCs w:val="20"/>
                <w:lang w:val="en-AU"/>
              </w:rPr>
              <w:t xml:space="preserve">; </w:t>
            </w:r>
            <w:r w:rsidR="00912E99" w:rsidRPr="008E7C4C">
              <w:rPr>
                <w:szCs w:val="20"/>
                <w:lang w:val="en-AU"/>
              </w:rPr>
              <w:br/>
              <w:t>p-value</w:t>
            </w:r>
          </w:p>
        </w:tc>
      </w:tr>
      <w:tr w:rsidR="008B58A6" w:rsidRPr="008E7C4C" w14:paraId="70FB59F9" w14:textId="77777777" w:rsidTr="008B58A6">
        <w:trPr>
          <w:trHeight w:val="20"/>
        </w:trPr>
        <w:tc>
          <w:tcPr>
            <w:tcW w:w="1491" w:type="pct"/>
            <w:tcBorders>
              <w:bottom w:val="single" w:sz="4" w:space="0" w:color="auto"/>
            </w:tcBorders>
            <w:shd w:val="clear" w:color="auto" w:fill="C6D9F1" w:themeFill="text2" w:themeFillTint="33"/>
            <w:vAlign w:val="center"/>
          </w:tcPr>
          <w:p w14:paraId="126F8CC2" w14:textId="77777777" w:rsidR="008B58A6" w:rsidRPr="008E7C4C" w:rsidRDefault="008B58A6" w:rsidP="004F7F51">
            <w:pPr>
              <w:pStyle w:val="In-tableHeading"/>
              <w:rPr>
                <w:b w:val="0"/>
                <w:szCs w:val="20"/>
                <w:lang w:val="en-AU"/>
              </w:rPr>
            </w:pPr>
            <w:r w:rsidRPr="008E7C4C">
              <w:rPr>
                <w:rFonts w:cstheme="majorBidi"/>
                <w:b w:val="0"/>
                <w:szCs w:val="20"/>
                <w:lang w:val="en-AU"/>
              </w:rPr>
              <w:t>Progressed, n/N (%)</w:t>
            </w:r>
          </w:p>
        </w:tc>
        <w:tc>
          <w:tcPr>
            <w:tcW w:w="944" w:type="pct"/>
            <w:tcBorders>
              <w:bottom w:val="single" w:sz="4" w:space="0" w:color="auto"/>
            </w:tcBorders>
            <w:shd w:val="clear" w:color="auto" w:fill="C6D9F1" w:themeFill="text2" w:themeFillTint="33"/>
            <w:vAlign w:val="center"/>
          </w:tcPr>
          <w:p w14:paraId="5C77BB6D" w14:textId="3BFC1841" w:rsidR="008B58A6" w:rsidRPr="008E7C4C" w:rsidRDefault="008B58A6" w:rsidP="004F7F51">
            <w:pPr>
              <w:pStyle w:val="In-tableHeading"/>
              <w:jc w:val="center"/>
              <w:rPr>
                <w:b w:val="0"/>
                <w:szCs w:val="20"/>
                <w:lang w:val="en-AU"/>
              </w:rPr>
            </w:pPr>
            <w:r w:rsidRPr="008E7C4C">
              <w:rPr>
                <w:rFonts w:cstheme="majorBidi"/>
                <w:b w:val="0"/>
                <w:szCs w:val="20"/>
                <w:lang w:val="en-AU"/>
              </w:rPr>
              <w:t>129/360 (35.8)</w:t>
            </w:r>
          </w:p>
        </w:tc>
        <w:tc>
          <w:tcPr>
            <w:tcW w:w="943" w:type="pct"/>
            <w:tcBorders>
              <w:bottom w:val="single" w:sz="4" w:space="0" w:color="auto"/>
            </w:tcBorders>
            <w:shd w:val="clear" w:color="auto" w:fill="C6D9F1" w:themeFill="text2" w:themeFillTint="33"/>
            <w:vAlign w:val="center"/>
          </w:tcPr>
          <w:p w14:paraId="785E3357" w14:textId="6E24E9F2" w:rsidR="008B58A6" w:rsidRPr="008E7C4C" w:rsidRDefault="008B58A6" w:rsidP="004F7F51">
            <w:pPr>
              <w:pStyle w:val="In-tableHeading"/>
              <w:jc w:val="center"/>
              <w:rPr>
                <w:b w:val="0"/>
                <w:szCs w:val="20"/>
                <w:lang w:val="en-AU"/>
              </w:rPr>
            </w:pPr>
            <w:r w:rsidRPr="008E7C4C">
              <w:rPr>
                <w:rFonts w:cstheme="majorBidi"/>
                <w:b w:val="0"/>
                <w:szCs w:val="20"/>
                <w:lang w:val="en-AU"/>
              </w:rPr>
              <w:t>157/362 (43.4)</w:t>
            </w:r>
          </w:p>
        </w:tc>
        <w:tc>
          <w:tcPr>
            <w:tcW w:w="743" w:type="pct"/>
            <w:tcBorders>
              <w:bottom w:val="single" w:sz="4" w:space="0" w:color="auto"/>
            </w:tcBorders>
            <w:shd w:val="clear" w:color="auto" w:fill="C6D9F1" w:themeFill="text2" w:themeFillTint="33"/>
            <w:vAlign w:val="center"/>
          </w:tcPr>
          <w:p w14:paraId="50E47C47" w14:textId="144341C4" w:rsidR="008B58A6" w:rsidRPr="008E7C4C" w:rsidRDefault="008B58A6" w:rsidP="004F7F51">
            <w:pPr>
              <w:pStyle w:val="In-tableHeading"/>
              <w:jc w:val="center"/>
              <w:rPr>
                <w:b w:val="0"/>
                <w:szCs w:val="20"/>
                <w:lang w:val="en-AU"/>
              </w:rPr>
            </w:pPr>
            <w:r w:rsidRPr="008E7C4C">
              <w:rPr>
                <w:rFonts w:cstheme="majorBidi"/>
                <w:b w:val="0"/>
                <w:szCs w:val="20"/>
                <w:lang w:val="en-AU"/>
              </w:rPr>
              <w:t>7.6</w:t>
            </w:r>
          </w:p>
        </w:tc>
        <w:tc>
          <w:tcPr>
            <w:tcW w:w="879" w:type="pct"/>
            <w:vMerge w:val="restart"/>
            <w:shd w:val="clear" w:color="auto" w:fill="C6D9F1" w:themeFill="text2" w:themeFillTint="33"/>
            <w:vAlign w:val="center"/>
          </w:tcPr>
          <w:p w14:paraId="68808A61" w14:textId="6EA92325" w:rsidR="008B58A6" w:rsidRPr="008E7C4C" w:rsidRDefault="008B58A6" w:rsidP="00912E99">
            <w:pPr>
              <w:keepNext/>
              <w:jc w:val="center"/>
              <w:rPr>
                <w:rFonts w:ascii="Arial Narrow" w:eastAsiaTheme="majorEastAsia" w:hAnsi="Arial Narrow" w:cstheme="majorBidi"/>
                <w:b/>
                <w:bCs/>
                <w:sz w:val="20"/>
                <w:szCs w:val="20"/>
              </w:rPr>
            </w:pPr>
            <w:r w:rsidRPr="008E7C4C">
              <w:rPr>
                <w:rFonts w:ascii="Arial Narrow" w:eastAsiaTheme="majorEastAsia" w:hAnsi="Arial Narrow" w:cstheme="majorBidi"/>
                <w:b/>
                <w:sz w:val="20"/>
                <w:szCs w:val="20"/>
              </w:rPr>
              <w:t>0.74</w:t>
            </w:r>
            <w:r w:rsidRPr="008E7C4C">
              <w:rPr>
                <w:rFonts w:ascii="Arial Narrow" w:eastAsiaTheme="majorEastAsia" w:hAnsi="Arial Narrow" w:cstheme="majorBidi"/>
                <w:b/>
                <w:bCs/>
                <w:sz w:val="20"/>
                <w:szCs w:val="20"/>
              </w:rPr>
              <w:t xml:space="preserve"> (0.59, 0.94</w:t>
            </w:r>
            <w:proofErr w:type="gramStart"/>
            <w:r w:rsidRPr="008E7C4C">
              <w:rPr>
                <w:rFonts w:ascii="Arial Narrow" w:eastAsiaTheme="majorEastAsia" w:hAnsi="Arial Narrow" w:cstheme="majorBidi"/>
                <w:b/>
                <w:bCs/>
                <w:sz w:val="20"/>
                <w:szCs w:val="20"/>
              </w:rPr>
              <w:t>);</w:t>
            </w:r>
            <w:proofErr w:type="gramEnd"/>
          </w:p>
          <w:p w14:paraId="26499C3B" w14:textId="77777777" w:rsidR="008B58A6" w:rsidRPr="008E7C4C" w:rsidRDefault="008B58A6" w:rsidP="00912E99">
            <w:pPr>
              <w:keepNext/>
              <w:jc w:val="center"/>
              <w:rPr>
                <w:szCs w:val="20"/>
              </w:rPr>
            </w:pPr>
            <w:r w:rsidRPr="008E7C4C">
              <w:rPr>
                <w:rFonts w:ascii="Arial Narrow" w:eastAsiaTheme="majorEastAsia" w:hAnsi="Arial Narrow" w:cstheme="majorBidi"/>
                <w:b/>
                <w:bCs/>
                <w:sz w:val="20"/>
                <w:szCs w:val="20"/>
              </w:rPr>
              <w:t>p = 0.012</w:t>
            </w:r>
          </w:p>
        </w:tc>
      </w:tr>
      <w:tr w:rsidR="008B58A6" w:rsidRPr="008E7C4C" w14:paraId="1682FC3B" w14:textId="77777777" w:rsidTr="008B58A6">
        <w:trPr>
          <w:trHeight w:val="20"/>
        </w:trPr>
        <w:tc>
          <w:tcPr>
            <w:tcW w:w="1491" w:type="pct"/>
            <w:tcBorders>
              <w:bottom w:val="single" w:sz="4" w:space="0" w:color="auto"/>
            </w:tcBorders>
            <w:shd w:val="clear" w:color="auto" w:fill="C6D9F1" w:themeFill="text2" w:themeFillTint="33"/>
            <w:vAlign w:val="center"/>
          </w:tcPr>
          <w:p w14:paraId="75B79DCA" w14:textId="77777777" w:rsidR="008B58A6" w:rsidRPr="008E7C4C" w:rsidRDefault="008B58A6" w:rsidP="004F7F51">
            <w:pPr>
              <w:pStyle w:val="In-tableHeading"/>
              <w:rPr>
                <w:b w:val="0"/>
                <w:szCs w:val="20"/>
                <w:lang w:val="en-AU"/>
              </w:rPr>
            </w:pPr>
            <w:r w:rsidRPr="008E7C4C">
              <w:rPr>
                <w:rFonts w:cstheme="majorBidi"/>
                <w:b w:val="0"/>
                <w:szCs w:val="20"/>
                <w:lang w:val="en-AU"/>
              </w:rPr>
              <w:t>Median PFS, months (95% CI)</w:t>
            </w:r>
          </w:p>
        </w:tc>
        <w:tc>
          <w:tcPr>
            <w:tcW w:w="944" w:type="pct"/>
            <w:tcBorders>
              <w:bottom w:val="single" w:sz="4" w:space="0" w:color="auto"/>
            </w:tcBorders>
            <w:shd w:val="clear" w:color="auto" w:fill="C6D9F1" w:themeFill="text2" w:themeFillTint="33"/>
            <w:vAlign w:val="center"/>
          </w:tcPr>
          <w:p w14:paraId="202D43CC" w14:textId="77777777" w:rsidR="008B58A6" w:rsidRPr="008E7C4C" w:rsidRDefault="008B58A6" w:rsidP="004F7F51">
            <w:pPr>
              <w:pStyle w:val="In-tableHeading"/>
              <w:jc w:val="center"/>
              <w:rPr>
                <w:b w:val="0"/>
                <w:szCs w:val="20"/>
                <w:lang w:val="en-AU"/>
              </w:rPr>
            </w:pPr>
            <w:r w:rsidRPr="008E7C4C">
              <w:rPr>
                <w:rFonts w:cstheme="majorBidi"/>
                <w:b w:val="0"/>
                <w:szCs w:val="20"/>
                <w:lang w:val="en-AU"/>
              </w:rPr>
              <w:t>20.6 (17.02, NE)</w:t>
            </w:r>
          </w:p>
        </w:tc>
        <w:tc>
          <w:tcPr>
            <w:tcW w:w="943" w:type="pct"/>
            <w:tcBorders>
              <w:bottom w:val="single" w:sz="4" w:space="0" w:color="auto"/>
            </w:tcBorders>
            <w:shd w:val="clear" w:color="auto" w:fill="C6D9F1" w:themeFill="text2" w:themeFillTint="33"/>
            <w:vAlign w:val="center"/>
          </w:tcPr>
          <w:p w14:paraId="038EB4DE" w14:textId="77777777" w:rsidR="008B58A6" w:rsidRPr="008E7C4C" w:rsidRDefault="008B58A6" w:rsidP="004F7F51">
            <w:pPr>
              <w:pStyle w:val="In-tableHeading"/>
              <w:jc w:val="center"/>
              <w:rPr>
                <w:b w:val="0"/>
                <w:szCs w:val="20"/>
                <w:lang w:val="en-AU"/>
              </w:rPr>
            </w:pPr>
            <w:r w:rsidRPr="008E7C4C">
              <w:rPr>
                <w:rFonts w:cstheme="majorBidi"/>
                <w:b w:val="0"/>
                <w:szCs w:val="20"/>
                <w:lang w:val="en-AU"/>
              </w:rPr>
              <w:t>14.7 (12.9, 17.58)</w:t>
            </w:r>
          </w:p>
        </w:tc>
        <w:tc>
          <w:tcPr>
            <w:tcW w:w="743" w:type="pct"/>
            <w:tcBorders>
              <w:bottom w:val="single" w:sz="4" w:space="0" w:color="auto"/>
            </w:tcBorders>
            <w:shd w:val="clear" w:color="auto" w:fill="C6D9F1" w:themeFill="text2" w:themeFillTint="33"/>
            <w:vAlign w:val="center"/>
          </w:tcPr>
          <w:p w14:paraId="14BD4E44" w14:textId="77777777" w:rsidR="008B58A6" w:rsidRPr="008E7C4C" w:rsidRDefault="008B58A6" w:rsidP="004F7F51">
            <w:pPr>
              <w:pStyle w:val="In-tableHeading"/>
              <w:jc w:val="center"/>
              <w:rPr>
                <w:b w:val="0"/>
                <w:szCs w:val="20"/>
                <w:lang w:val="en-AU"/>
              </w:rPr>
            </w:pPr>
            <w:r w:rsidRPr="008E7C4C">
              <w:rPr>
                <w:rFonts w:cstheme="majorBidi"/>
                <w:b w:val="0"/>
                <w:szCs w:val="20"/>
                <w:lang w:val="en-AU"/>
              </w:rPr>
              <w:t>5.9</w:t>
            </w:r>
          </w:p>
        </w:tc>
        <w:tc>
          <w:tcPr>
            <w:tcW w:w="879" w:type="pct"/>
            <w:vMerge/>
            <w:shd w:val="clear" w:color="auto" w:fill="C6D9F1" w:themeFill="text2" w:themeFillTint="33"/>
            <w:vAlign w:val="center"/>
          </w:tcPr>
          <w:p w14:paraId="3D704139" w14:textId="77777777" w:rsidR="008B58A6" w:rsidRPr="008E7C4C" w:rsidRDefault="008B58A6" w:rsidP="00997B10">
            <w:pPr>
              <w:keepNext/>
              <w:jc w:val="center"/>
              <w:rPr>
                <w:rFonts w:ascii="Arial Narrow" w:hAnsi="Arial Narrow"/>
                <w:sz w:val="20"/>
                <w:szCs w:val="20"/>
              </w:rPr>
            </w:pPr>
          </w:p>
        </w:tc>
      </w:tr>
      <w:tr w:rsidR="007E51A8" w:rsidRPr="008E7C4C" w14:paraId="6F51F1E0" w14:textId="77777777" w:rsidTr="007E51A8">
        <w:trPr>
          <w:trHeight w:val="20"/>
        </w:trPr>
        <w:tc>
          <w:tcPr>
            <w:tcW w:w="5000" w:type="pct"/>
            <w:gridSpan w:val="5"/>
            <w:tcBorders>
              <w:bottom w:val="single" w:sz="4" w:space="0" w:color="auto"/>
            </w:tcBorders>
            <w:shd w:val="clear" w:color="auto" w:fill="C6D9F1" w:themeFill="text2" w:themeFillTint="33"/>
            <w:vAlign w:val="center"/>
          </w:tcPr>
          <w:p w14:paraId="6B928700" w14:textId="265DC13E" w:rsidR="007E51A8" w:rsidRPr="008E7C4C" w:rsidRDefault="007E51A8" w:rsidP="007E51A8">
            <w:pPr>
              <w:keepNext/>
              <w:jc w:val="left"/>
              <w:rPr>
                <w:rFonts w:ascii="Arial Narrow" w:hAnsi="Arial Narrow"/>
                <w:sz w:val="20"/>
                <w:szCs w:val="20"/>
              </w:rPr>
            </w:pPr>
            <w:r w:rsidRPr="008E7C4C">
              <w:rPr>
                <w:rFonts w:ascii="Arial Narrow" w:eastAsiaTheme="majorEastAsia" w:hAnsi="Arial Narrow" w:cstheme="majorBidi"/>
                <w:b/>
                <w:sz w:val="20"/>
                <w:szCs w:val="20"/>
              </w:rPr>
              <w:t>PFS (23 months follow-up – IA2)</w:t>
            </w:r>
          </w:p>
        </w:tc>
      </w:tr>
      <w:tr w:rsidR="007E51A8" w:rsidRPr="008E7C4C" w14:paraId="501C4B3C" w14:textId="77777777" w:rsidTr="008B58A6">
        <w:trPr>
          <w:trHeight w:val="20"/>
        </w:trPr>
        <w:tc>
          <w:tcPr>
            <w:tcW w:w="1491" w:type="pct"/>
            <w:shd w:val="clear" w:color="auto" w:fill="C6D9F1" w:themeFill="text2" w:themeFillTint="33"/>
            <w:vAlign w:val="center"/>
          </w:tcPr>
          <w:p w14:paraId="7BBDED53" w14:textId="461593A3" w:rsidR="007E51A8" w:rsidRPr="008E7C4C" w:rsidRDefault="007E51A8" w:rsidP="007E51A8">
            <w:pPr>
              <w:pStyle w:val="In-tableHeading"/>
              <w:rPr>
                <w:rFonts w:cstheme="majorBidi"/>
                <w:b w:val="0"/>
                <w:szCs w:val="20"/>
                <w:lang w:val="en-AU"/>
              </w:rPr>
            </w:pPr>
            <w:r w:rsidRPr="008E7C4C">
              <w:rPr>
                <w:rFonts w:cstheme="majorBidi"/>
                <w:b w:val="0"/>
                <w:szCs w:val="20"/>
                <w:lang w:val="en-AU"/>
              </w:rPr>
              <w:t>Progressed, n (%)</w:t>
            </w:r>
          </w:p>
        </w:tc>
        <w:tc>
          <w:tcPr>
            <w:tcW w:w="944" w:type="pct"/>
            <w:shd w:val="clear" w:color="auto" w:fill="C6D9F1" w:themeFill="text2" w:themeFillTint="33"/>
            <w:vAlign w:val="center"/>
          </w:tcPr>
          <w:p w14:paraId="4046962B" w14:textId="44CD9E18" w:rsidR="007E51A8" w:rsidRPr="008E7C4C" w:rsidRDefault="007E51A8" w:rsidP="007E51A8">
            <w:pPr>
              <w:pStyle w:val="In-tableHeading"/>
              <w:jc w:val="center"/>
              <w:rPr>
                <w:rFonts w:cstheme="majorBidi"/>
                <w:b w:val="0"/>
                <w:szCs w:val="20"/>
                <w:lang w:val="en-AU"/>
              </w:rPr>
            </w:pPr>
            <w:r w:rsidRPr="008E7C4C">
              <w:rPr>
                <w:b w:val="0"/>
                <w:szCs w:val="20"/>
                <w:lang w:val="en-AU"/>
              </w:rPr>
              <w:t>177/360 (49.2)</w:t>
            </w:r>
          </w:p>
        </w:tc>
        <w:tc>
          <w:tcPr>
            <w:tcW w:w="943" w:type="pct"/>
            <w:shd w:val="clear" w:color="auto" w:fill="C6D9F1" w:themeFill="text2" w:themeFillTint="33"/>
            <w:vAlign w:val="center"/>
          </w:tcPr>
          <w:p w14:paraId="6EFBC3C3" w14:textId="1F36DC4E" w:rsidR="007E51A8" w:rsidRPr="008E7C4C" w:rsidRDefault="007E51A8" w:rsidP="007E51A8">
            <w:pPr>
              <w:pStyle w:val="In-tableHeading"/>
              <w:jc w:val="center"/>
              <w:rPr>
                <w:rFonts w:cstheme="majorBidi"/>
                <w:b w:val="0"/>
                <w:szCs w:val="20"/>
                <w:lang w:val="en-AU"/>
              </w:rPr>
            </w:pPr>
            <w:r w:rsidRPr="008E7C4C">
              <w:rPr>
                <w:b w:val="0"/>
                <w:szCs w:val="20"/>
                <w:lang w:val="en-AU"/>
              </w:rPr>
              <w:t>195/362 (53.9)</w:t>
            </w:r>
          </w:p>
        </w:tc>
        <w:tc>
          <w:tcPr>
            <w:tcW w:w="743" w:type="pct"/>
            <w:shd w:val="clear" w:color="auto" w:fill="C6D9F1" w:themeFill="text2" w:themeFillTint="33"/>
            <w:vAlign w:val="center"/>
          </w:tcPr>
          <w:p w14:paraId="4B920F5E" w14:textId="16AE7128" w:rsidR="007E51A8" w:rsidRPr="008E7C4C" w:rsidRDefault="007E51A8" w:rsidP="007E51A8">
            <w:pPr>
              <w:pStyle w:val="In-tableHeading"/>
              <w:jc w:val="center"/>
              <w:rPr>
                <w:rFonts w:cstheme="majorBidi"/>
                <w:b w:val="0"/>
                <w:szCs w:val="20"/>
                <w:lang w:val="en-AU"/>
              </w:rPr>
            </w:pPr>
            <w:r w:rsidRPr="008E7C4C">
              <w:rPr>
                <w:b w:val="0"/>
                <w:szCs w:val="20"/>
                <w:lang w:val="en-AU"/>
              </w:rPr>
              <w:t>4.7</w:t>
            </w:r>
          </w:p>
        </w:tc>
        <w:tc>
          <w:tcPr>
            <w:tcW w:w="879" w:type="pct"/>
            <w:vMerge w:val="restart"/>
            <w:shd w:val="clear" w:color="auto" w:fill="C6D9F1" w:themeFill="text2" w:themeFillTint="33"/>
            <w:vAlign w:val="center"/>
          </w:tcPr>
          <w:p w14:paraId="3D6468FB" w14:textId="509F2C62" w:rsidR="007E51A8" w:rsidRPr="008E7C4C" w:rsidRDefault="007E51A8" w:rsidP="007E51A8">
            <w:pPr>
              <w:keepNext/>
              <w:jc w:val="center"/>
              <w:rPr>
                <w:rFonts w:ascii="Arial Narrow" w:hAnsi="Arial Narrow"/>
                <w:sz w:val="20"/>
                <w:szCs w:val="20"/>
              </w:rPr>
            </w:pPr>
            <w:r w:rsidRPr="008E7C4C">
              <w:rPr>
                <w:rFonts w:ascii="Arial Narrow" w:hAnsi="Arial Narrow"/>
                <w:sz w:val="20"/>
                <w:szCs w:val="20"/>
              </w:rPr>
              <w:t>0.8</w:t>
            </w:r>
            <w:r w:rsidR="00764910" w:rsidRPr="008E7C4C">
              <w:rPr>
                <w:rFonts w:ascii="Arial Narrow" w:hAnsi="Arial Narrow"/>
                <w:sz w:val="20"/>
                <w:szCs w:val="20"/>
              </w:rPr>
              <w:t>2</w:t>
            </w:r>
            <w:r w:rsidRPr="008E7C4C">
              <w:rPr>
                <w:rFonts w:ascii="Arial Narrow" w:hAnsi="Arial Narrow"/>
                <w:sz w:val="20"/>
                <w:szCs w:val="20"/>
              </w:rPr>
              <w:t xml:space="preserve"> (0.6</w:t>
            </w:r>
            <w:r w:rsidR="00764910" w:rsidRPr="008E7C4C">
              <w:rPr>
                <w:rFonts w:ascii="Arial Narrow" w:hAnsi="Arial Narrow"/>
                <w:sz w:val="20"/>
                <w:szCs w:val="20"/>
              </w:rPr>
              <w:t>7</w:t>
            </w:r>
            <w:r w:rsidRPr="008E7C4C">
              <w:rPr>
                <w:rFonts w:ascii="Arial Narrow" w:hAnsi="Arial Narrow"/>
                <w:sz w:val="20"/>
                <w:szCs w:val="20"/>
              </w:rPr>
              <w:t>, 1.00)</w:t>
            </w:r>
            <w:r w:rsidR="008B58A6" w:rsidRPr="008E7C4C">
              <w:rPr>
                <w:rFonts w:ascii="Arial Narrow" w:hAnsi="Arial Narrow"/>
                <w:sz w:val="20"/>
                <w:szCs w:val="20"/>
              </w:rPr>
              <w:t>;</w:t>
            </w:r>
            <w:r w:rsidRPr="008E7C4C">
              <w:rPr>
                <w:rFonts w:ascii="Arial Narrow" w:hAnsi="Arial Narrow"/>
                <w:sz w:val="20"/>
                <w:szCs w:val="20"/>
              </w:rPr>
              <w:t xml:space="preserve"> </w:t>
            </w:r>
            <w:r w:rsidR="00764910" w:rsidRPr="008E7C4C">
              <w:rPr>
                <w:rFonts w:ascii="Arial Narrow" w:hAnsi="Arial Narrow"/>
                <w:sz w:val="20"/>
                <w:szCs w:val="20"/>
              </w:rPr>
              <w:br/>
            </w:r>
            <w:r w:rsidRPr="008E7C4C">
              <w:rPr>
                <w:rFonts w:ascii="Arial Narrow" w:hAnsi="Arial Narrow"/>
                <w:sz w:val="20"/>
                <w:szCs w:val="20"/>
              </w:rPr>
              <w:t>p</w:t>
            </w:r>
            <w:r w:rsidR="008B58A6" w:rsidRPr="008E7C4C">
              <w:rPr>
                <w:rFonts w:ascii="Arial Narrow" w:hAnsi="Arial Narrow"/>
                <w:sz w:val="20"/>
                <w:szCs w:val="20"/>
              </w:rPr>
              <w:t xml:space="preserve"> </w:t>
            </w:r>
            <w:r w:rsidRPr="008E7C4C">
              <w:rPr>
                <w:rFonts w:ascii="Arial Narrow" w:hAnsi="Arial Narrow"/>
                <w:sz w:val="20"/>
                <w:szCs w:val="20"/>
              </w:rPr>
              <w:t>=</w:t>
            </w:r>
            <w:r w:rsidR="008B58A6" w:rsidRPr="008E7C4C">
              <w:rPr>
                <w:rFonts w:ascii="Arial Narrow" w:hAnsi="Arial Narrow"/>
                <w:sz w:val="20"/>
                <w:szCs w:val="20"/>
              </w:rPr>
              <w:t xml:space="preserve"> </w:t>
            </w:r>
            <w:r w:rsidRPr="008E7C4C">
              <w:rPr>
                <w:rFonts w:ascii="Arial Narrow" w:hAnsi="Arial Narrow"/>
                <w:sz w:val="20"/>
                <w:szCs w:val="20"/>
              </w:rPr>
              <w:t>NA</w:t>
            </w:r>
          </w:p>
        </w:tc>
      </w:tr>
      <w:tr w:rsidR="007E51A8" w:rsidRPr="008E7C4C" w14:paraId="22A0D5F8" w14:textId="77777777" w:rsidTr="008B58A6">
        <w:trPr>
          <w:trHeight w:val="20"/>
        </w:trPr>
        <w:tc>
          <w:tcPr>
            <w:tcW w:w="1491" w:type="pct"/>
            <w:shd w:val="clear" w:color="auto" w:fill="C6D9F1" w:themeFill="text2" w:themeFillTint="33"/>
            <w:vAlign w:val="center"/>
          </w:tcPr>
          <w:p w14:paraId="2836479B" w14:textId="202D6655" w:rsidR="007E51A8" w:rsidRPr="008E7C4C" w:rsidRDefault="007E51A8" w:rsidP="007E51A8">
            <w:pPr>
              <w:pStyle w:val="In-tableHeading"/>
              <w:rPr>
                <w:rFonts w:cstheme="majorBidi"/>
                <w:b w:val="0"/>
                <w:szCs w:val="20"/>
                <w:lang w:val="en-AU"/>
              </w:rPr>
            </w:pPr>
            <w:r w:rsidRPr="008E7C4C">
              <w:rPr>
                <w:rFonts w:cstheme="majorBidi"/>
                <w:b w:val="0"/>
                <w:szCs w:val="20"/>
                <w:lang w:val="en-AU"/>
              </w:rPr>
              <w:t xml:space="preserve">Median PFS, months </w:t>
            </w:r>
          </w:p>
        </w:tc>
        <w:tc>
          <w:tcPr>
            <w:tcW w:w="944" w:type="pct"/>
            <w:shd w:val="clear" w:color="auto" w:fill="C6D9F1" w:themeFill="text2" w:themeFillTint="33"/>
            <w:vAlign w:val="center"/>
          </w:tcPr>
          <w:p w14:paraId="4565C49F" w14:textId="2233D889" w:rsidR="007E51A8" w:rsidRPr="008E7C4C" w:rsidRDefault="007E51A8" w:rsidP="007E51A8">
            <w:pPr>
              <w:pStyle w:val="In-tableHeading"/>
              <w:jc w:val="center"/>
              <w:rPr>
                <w:rFonts w:cstheme="majorBidi"/>
                <w:b w:val="0"/>
                <w:szCs w:val="20"/>
                <w:lang w:val="en-AU"/>
              </w:rPr>
            </w:pPr>
            <w:r w:rsidRPr="008E7C4C">
              <w:rPr>
                <w:b w:val="0"/>
                <w:szCs w:val="20"/>
                <w:lang w:val="en-AU"/>
              </w:rPr>
              <w:t>20.0</w:t>
            </w:r>
          </w:p>
        </w:tc>
        <w:tc>
          <w:tcPr>
            <w:tcW w:w="943" w:type="pct"/>
            <w:shd w:val="clear" w:color="auto" w:fill="C6D9F1" w:themeFill="text2" w:themeFillTint="33"/>
            <w:vAlign w:val="center"/>
          </w:tcPr>
          <w:p w14:paraId="6C34F441" w14:textId="3A06B4E5" w:rsidR="007E51A8" w:rsidRPr="008E7C4C" w:rsidRDefault="007E51A8" w:rsidP="007E51A8">
            <w:pPr>
              <w:pStyle w:val="In-tableHeading"/>
              <w:jc w:val="center"/>
              <w:rPr>
                <w:rFonts w:cstheme="majorBidi"/>
                <w:b w:val="0"/>
                <w:szCs w:val="20"/>
                <w:lang w:val="en-AU"/>
              </w:rPr>
            </w:pPr>
            <w:r w:rsidRPr="008E7C4C">
              <w:rPr>
                <w:b w:val="0"/>
                <w:szCs w:val="20"/>
                <w:lang w:val="en-AU"/>
              </w:rPr>
              <w:t>15.9</w:t>
            </w:r>
          </w:p>
        </w:tc>
        <w:tc>
          <w:tcPr>
            <w:tcW w:w="743" w:type="pct"/>
            <w:shd w:val="clear" w:color="auto" w:fill="C6D9F1" w:themeFill="text2" w:themeFillTint="33"/>
            <w:vAlign w:val="center"/>
          </w:tcPr>
          <w:p w14:paraId="468B626A" w14:textId="2E5686B7" w:rsidR="007E51A8" w:rsidRPr="008E7C4C" w:rsidRDefault="007E51A8" w:rsidP="007E51A8">
            <w:pPr>
              <w:pStyle w:val="In-tableHeading"/>
              <w:jc w:val="center"/>
              <w:rPr>
                <w:rFonts w:cstheme="majorBidi"/>
                <w:b w:val="0"/>
                <w:szCs w:val="20"/>
                <w:lang w:val="en-AU"/>
              </w:rPr>
            </w:pPr>
            <w:r w:rsidRPr="008E7C4C">
              <w:rPr>
                <w:b w:val="0"/>
                <w:szCs w:val="20"/>
                <w:lang w:val="en-AU"/>
              </w:rPr>
              <w:t>4.1</w:t>
            </w:r>
          </w:p>
        </w:tc>
        <w:tc>
          <w:tcPr>
            <w:tcW w:w="879" w:type="pct"/>
            <w:vMerge/>
            <w:shd w:val="clear" w:color="auto" w:fill="C6D9F1" w:themeFill="text2" w:themeFillTint="33"/>
            <w:vAlign w:val="center"/>
          </w:tcPr>
          <w:p w14:paraId="6C4B5FA3" w14:textId="77777777" w:rsidR="007E51A8" w:rsidRPr="008E7C4C" w:rsidRDefault="007E51A8" w:rsidP="007E51A8">
            <w:pPr>
              <w:keepNext/>
              <w:jc w:val="center"/>
              <w:rPr>
                <w:rFonts w:ascii="Arial Narrow" w:hAnsi="Arial Narrow"/>
                <w:sz w:val="20"/>
                <w:szCs w:val="20"/>
              </w:rPr>
            </w:pPr>
          </w:p>
        </w:tc>
      </w:tr>
      <w:tr w:rsidR="007E51A8" w:rsidRPr="008E7C4C" w14:paraId="49EE6B96" w14:textId="77777777" w:rsidTr="004F7F51">
        <w:trPr>
          <w:trHeight w:val="20"/>
        </w:trPr>
        <w:tc>
          <w:tcPr>
            <w:tcW w:w="5000" w:type="pct"/>
            <w:gridSpan w:val="5"/>
            <w:tcBorders>
              <w:bottom w:val="single" w:sz="4" w:space="0" w:color="auto"/>
            </w:tcBorders>
            <w:shd w:val="clear" w:color="auto" w:fill="auto"/>
            <w:vAlign w:val="center"/>
          </w:tcPr>
          <w:p w14:paraId="00D36C4D" w14:textId="77777777" w:rsidR="007E51A8" w:rsidRPr="008E7C4C" w:rsidRDefault="007E51A8" w:rsidP="007E51A8">
            <w:pPr>
              <w:pStyle w:val="In-tableHeading"/>
              <w:rPr>
                <w:szCs w:val="20"/>
                <w:lang w:val="en-AU"/>
              </w:rPr>
            </w:pPr>
            <w:r w:rsidRPr="008E7C4C">
              <w:rPr>
                <w:szCs w:val="20"/>
                <w:lang w:val="en-AU"/>
              </w:rPr>
              <w:t>Progression free survival (median duration of follow up 15 months) 2-3 prior lines of therapy</w:t>
            </w:r>
          </w:p>
        </w:tc>
      </w:tr>
      <w:tr w:rsidR="008B58A6" w:rsidRPr="008E7C4C" w14:paraId="67AB2F5B" w14:textId="77777777" w:rsidTr="008B58A6">
        <w:trPr>
          <w:trHeight w:val="20"/>
        </w:trPr>
        <w:tc>
          <w:tcPr>
            <w:tcW w:w="1491" w:type="pct"/>
            <w:tcBorders>
              <w:bottom w:val="single" w:sz="4" w:space="0" w:color="auto"/>
              <w:right w:val="single" w:sz="4" w:space="0" w:color="auto"/>
            </w:tcBorders>
            <w:shd w:val="clear" w:color="auto" w:fill="auto"/>
            <w:vAlign w:val="center"/>
          </w:tcPr>
          <w:p w14:paraId="5AA23A60" w14:textId="77777777" w:rsidR="008B58A6" w:rsidRPr="008E7C4C" w:rsidRDefault="008B58A6" w:rsidP="007E51A8">
            <w:pPr>
              <w:pStyle w:val="TableText0"/>
              <w:keepLines/>
              <w:widowControl w:val="0"/>
              <w:rPr>
                <w:szCs w:val="20"/>
              </w:rPr>
            </w:pPr>
            <w:r w:rsidRPr="008E7C4C">
              <w:rPr>
                <w:szCs w:val="20"/>
              </w:rPr>
              <w:t>Progressed, n/N (%)</w:t>
            </w:r>
          </w:p>
        </w:tc>
        <w:tc>
          <w:tcPr>
            <w:tcW w:w="944" w:type="pct"/>
            <w:tcBorders>
              <w:left w:val="single" w:sz="4" w:space="0" w:color="auto"/>
              <w:bottom w:val="single" w:sz="4" w:space="0" w:color="auto"/>
              <w:right w:val="single" w:sz="4" w:space="0" w:color="auto"/>
            </w:tcBorders>
            <w:shd w:val="clear" w:color="auto" w:fill="auto"/>
            <w:vAlign w:val="center"/>
          </w:tcPr>
          <w:p w14:paraId="1CA654DC" w14:textId="77777777" w:rsidR="008B58A6" w:rsidRPr="008E7C4C" w:rsidRDefault="008B58A6" w:rsidP="007E51A8">
            <w:pPr>
              <w:pStyle w:val="TableText0"/>
              <w:keepLines/>
              <w:widowControl w:val="0"/>
              <w:jc w:val="center"/>
              <w:rPr>
                <w:szCs w:val="20"/>
              </w:rPr>
            </w:pPr>
            <w:r w:rsidRPr="008E7C4C">
              <w:rPr>
                <w:szCs w:val="20"/>
              </w:rPr>
              <w:t>41/148 (28)</w:t>
            </w:r>
          </w:p>
        </w:tc>
        <w:tc>
          <w:tcPr>
            <w:tcW w:w="943" w:type="pct"/>
            <w:tcBorders>
              <w:left w:val="single" w:sz="4" w:space="0" w:color="auto"/>
              <w:bottom w:val="single" w:sz="4" w:space="0" w:color="auto"/>
              <w:right w:val="single" w:sz="4" w:space="0" w:color="auto"/>
            </w:tcBorders>
            <w:shd w:val="clear" w:color="auto" w:fill="auto"/>
            <w:vAlign w:val="center"/>
          </w:tcPr>
          <w:p w14:paraId="3412498C" w14:textId="77777777" w:rsidR="008B58A6" w:rsidRPr="008E7C4C" w:rsidRDefault="008B58A6" w:rsidP="007E51A8">
            <w:pPr>
              <w:pStyle w:val="TableText0"/>
              <w:keepLines/>
              <w:widowControl w:val="0"/>
              <w:jc w:val="center"/>
              <w:rPr>
                <w:szCs w:val="20"/>
              </w:rPr>
            </w:pPr>
            <w:r w:rsidRPr="008E7C4C">
              <w:rPr>
                <w:szCs w:val="20"/>
              </w:rPr>
              <w:t>61/149 (41)</w:t>
            </w:r>
          </w:p>
        </w:tc>
        <w:tc>
          <w:tcPr>
            <w:tcW w:w="743" w:type="pct"/>
            <w:tcBorders>
              <w:left w:val="single" w:sz="4" w:space="0" w:color="auto"/>
              <w:bottom w:val="single" w:sz="4" w:space="0" w:color="auto"/>
              <w:right w:val="single" w:sz="4" w:space="0" w:color="auto"/>
            </w:tcBorders>
            <w:shd w:val="clear" w:color="auto" w:fill="auto"/>
            <w:vAlign w:val="center"/>
          </w:tcPr>
          <w:p w14:paraId="3C9C6098" w14:textId="5E59D1B9" w:rsidR="008B58A6" w:rsidRPr="008E7C4C" w:rsidRDefault="008B58A6" w:rsidP="007E51A8">
            <w:pPr>
              <w:pStyle w:val="TableText0"/>
              <w:keepLines/>
              <w:widowControl w:val="0"/>
              <w:jc w:val="center"/>
              <w:rPr>
                <w:szCs w:val="20"/>
              </w:rPr>
            </w:pPr>
            <w:r w:rsidRPr="008E7C4C">
              <w:rPr>
                <w:szCs w:val="20"/>
              </w:rPr>
              <w:t>13</w:t>
            </w:r>
          </w:p>
        </w:tc>
        <w:tc>
          <w:tcPr>
            <w:tcW w:w="879" w:type="pct"/>
            <w:vMerge w:val="restart"/>
            <w:tcBorders>
              <w:left w:val="single" w:sz="4" w:space="0" w:color="auto"/>
            </w:tcBorders>
            <w:shd w:val="clear" w:color="auto" w:fill="auto"/>
          </w:tcPr>
          <w:p w14:paraId="56326DCD" w14:textId="431EE539" w:rsidR="008B58A6" w:rsidRPr="008E7C4C" w:rsidRDefault="008B58A6" w:rsidP="007E51A8">
            <w:pPr>
              <w:pStyle w:val="TableText0"/>
              <w:keepLines/>
              <w:widowControl w:val="0"/>
              <w:jc w:val="center"/>
              <w:rPr>
                <w:szCs w:val="20"/>
              </w:rPr>
            </w:pPr>
            <w:r w:rsidRPr="008E7C4C">
              <w:rPr>
                <w:b/>
                <w:szCs w:val="20"/>
              </w:rPr>
              <w:t>0.58 (0.40, 0.8</w:t>
            </w:r>
            <w:r w:rsidR="00764910" w:rsidRPr="008E7C4C">
              <w:rPr>
                <w:b/>
                <w:szCs w:val="20"/>
              </w:rPr>
              <w:t>4</w:t>
            </w:r>
            <w:r w:rsidRPr="008E7C4C">
              <w:rPr>
                <w:b/>
                <w:szCs w:val="20"/>
              </w:rPr>
              <w:t>)</w:t>
            </w:r>
            <w:r w:rsidR="00764910" w:rsidRPr="008E7C4C">
              <w:rPr>
                <w:b/>
                <w:szCs w:val="20"/>
              </w:rPr>
              <w:t>;</w:t>
            </w:r>
            <w:r w:rsidRPr="008E7C4C">
              <w:rPr>
                <w:szCs w:val="20"/>
              </w:rPr>
              <w:t xml:space="preserve"> </w:t>
            </w:r>
            <w:r w:rsidR="00764910" w:rsidRPr="008E7C4C">
              <w:rPr>
                <w:szCs w:val="20"/>
              </w:rPr>
              <w:br/>
            </w:r>
            <w:r w:rsidRPr="008E7C4C">
              <w:rPr>
                <w:szCs w:val="20"/>
              </w:rPr>
              <w:t>p = 0.003</w:t>
            </w:r>
          </w:p>
        </w:tc>
      </w:tr>
      <w:tr w:rsidR="008B58A6" w:rsidRPr="008E7C4C" w14:paraId="15ABCB67" w14:textId="77777777" w:rsidTr="008B58A6">
        <w:trPr>
          <w:trHeight w:val="20"/>
        </w:trPr>
        <w:tc>
          <w:tcPr>
            <w:tcW w:w="1491" w:type="pct"/>
            <w:tcBorders>
              <w:bottom w:val="single" w:sz="4" w:space="0" w:color="auto"/>
              <w:right w:val="single" w:sz="4" w:space="0" w:color="auto"/>
            </w:tcBorders>
            <w:shd w:val="clear" w:color="auto" w:fill="auto"/>
            <w:vAlign w:val="center"/>
          </w:tcPr>
          <w:p w14:paraId="2D44A6C1" w14:textId="77777777" w:rsidR="008B58A6" w:rsidRPr="008E7C4C" w:rsidRDefault="008B58A6" w:rsidP="007E51A8">
            <w:pPr>
              <w:pStyle w:val="TableText0"/>
              <w:keepLines/>
              <w:widowControl w:val="0"/>
              <w:rPr>
                <w:szCs w:val="20"/>
              </w:rPr>
            </w:pPr>
            <w:r w:rsidRPr="008E7C4C">
              <w:rPr>
                <w:szCs w:val="20"/>
              </w:rPr>
              <w:t>Median PFS, months (95% CI)</w:t>
            </w:r>
          </w:p>
        </w:tc>
        <w:tc>
          <w:tcPr>
            <w:tcW w:w="944" w:type="pct"/>
            <w:tcBorders>
              <w:left w:val="single" w:sz="4" w:space="0" w:color="auto"/>
              <w:bottom w:val="single" w:sz="4" w:space="0" w:color="auto"/>
              <w:right w:val="single" w:sz="4" w:space="0" w:color="auto"/>
            </w:tcBorders>
            <w:shd w:val="clear" w:color="auto" w:fill="auto"/>
            <w:vAlign w:val="center"/>
          </w:tcPr>
          <w:p w14:paraId="3DBDF4C8" w14:textId="77777777" w:rsidR="008B58A6" w:rsidRPr="008E7C4C" w:rsidRDefault="008B58A6" w:rsidP="007E51A8">
            <w:pPr>
              <w:pStyle w:val="TableText0"/>
              <w:keepLines/>
              <w:widowControl w:val="0"/>
              <w:jc w:val="center"/>
              <w:rPr>
                <w:rFonts w:cs="Times New Roman"/>
                <w:szCs w:val="20"/>
              </w:rPr>
            </w:pPr>
            <w:r w:rsidRPr="008E7C4C">
              <w:rPr>
                <w:szCs w:val="20"/>
              </w:rPr>
              <w:t>NE (16.59; NE)</w:t>
            </w:r>
          </w:p>
        </w:tc>
        <w:tc>
          <w:tcPr>
            <w:tcW w:w="943" w:type="pct"/>
            <w:tcBorders>
              <w:left w:val="single" w:sz="4" w:space="0" w:color="auto"/>
              <w:bottom w:val="single" w:sz="4" w:space="0" w:color="auto"/>
              <w:right w:val="single" w:sz="4" w:space="0" w:color="auto"/>
            </w:tcBorders>
            <w:shd w:val="clear" w:color="auto" w:fill="auto"/>
            <w:vAlign w:val="center"/>
          </w:tcPr>
          <w:p w14:paraId="3B647F1D" w14:textId="77777777" w:rsidR="008B58A6" w:rsidRPr="008E7C4C" w:rsidRDefault="008B58A6" w:rsidP="007E51A8">
            <w:pPr>
              <w:keepNext/>
              <w:jc w:val="center"/>
              <w:rPr>
                <w:rFonts w:ascii="Arial Narrow" w:hAnsi="Arial Narrow" w:cs="Times New Roman"/>
                <w:sz w:val="20"/>
                <w:szCs w:val="20"/>
              </w:rPr>
            </w:pPr>
            <w:r w:rsidRPr="008E7C4C">
              <w:rPr>
                <w:rFonts w:ascii="Arial Narrow" w:eastAsiaTheme="majorEastAsia" w:hAnsi="Arial Narrow" w:cstheme="majorBidi"/>
                <w:bCs/>
                <w:sz w:val="20"/>
                <w:szCs w:val="20"/>
              </w:rPr>
              <w:t xml:space="preserve">12.9 </w:t>
            </w:r>
            <w:r w:rsidRPr="008E7C4C">
              <w:rPr>
                <w:rFonts w:ascii="Arial Narrow" w:hAnsi="Arial Narrow"/>
                <w:sz w:val="20"/>
                <w:szCs w:val="20"/>
              </w:rPr>
              <w:t>(10.12; 15.64)</w:t>
            </w:r>
          </w:p>
        </w:tc>
        <w:tc>
          <w:tcPr>
            <w:tcW w:w="743" w:type="pct"/>
            <w:tcBorders>
              <w:left w:val="single" w:sz="4" w:space="0" w:color="auto"/>
              <w:bottom w:val="single" w:sz="4" w:space="0" w:color="auto"/>
              <w:right w:val="single" w:sz="4" w:space="0" w:color="auto"/>
            </w:tcBorders>
            <w:shd w:val="clear" w:color="auto" w:fill="auto"/>
            <w:vAlign w:val="center"/>
          </w:tcPr>
          <w:p w14:paraId="196D48F0" w14:textId="77777777" w:rsidR="008B58A6" w:rsidRPr="008E7C4C" w:rsidRDefault="008B58A6" w:rsidP="007E51A8">
            <w:pPr>
              <w:pStyle w:val="TableText0"/>
              <w:keepLines/>
              <w:widowControl w:val="0"/>
              <w:jc w:val="center"/>
              <w:rPr>
                <w:szCs w:val="20"/>
              </w:rPr>
            </w:pPr>
            <w:r w:rsidRPr="008E7C4C">
              <w:rPr>
                <w:szCs w:val="20"/>
              </w:rPr>
              <w:t>NE</w:t>
            </w:r>
          </w:p>
        </w:tc>
        <w:tc>
          <w:tcPr>
            <w:tcW w:w="879" w:type="pct"/>
            <w:vMerge/>
            <w:tcBorders>
              <w:left w:val="single" w:sz="4" w:space="0" w:color="auto"/>
              <w:bottom w:val="nil"/>
            </w:tcBorders>
            <w:shd w:val="clear" w:color="auto" w:fill="auto"/>
          </w:tcPr>
          <w:p w14:paraId="1093EB05" w14:textId="786B2B2E" w:rsidR="008B58A6" w:rsidRPr="008E7C4C" w:rsidRDefault="008B58A6" w:rsidP="007E51A8">
            <w:pPr>
              <w:pStyle w:val="TableText0"/>
              <w:keepLines/>
              <w:widowControl w:val="0"/>
              <w:jc w:val="center"/>
              <w:rPr>
                <w:szCs w:val="20"/>
              </w:rPr>
            </w:pPr>
          </w:p>
        </w:tc>
      </w:tr>
      <w:tr w:rsidR="007E51A8" w:rsidRPr="008E7C4C" w:rsidDel="00E10BBE" w14:paraId="4743B257" w14:textId="77777777" w:rsidTr="00E10BBE">
        <w:trPr>
          <w:trHeight w:val="20"/>
        </w:trPr>
        <w:tc>
          <w:tcPr>
            <w:tcW w:w="5000" w:type="pct"/>
            <w:gridSpan w:val="5"/>
            <w:tcBorders>
              <w:top w:val="single" w:sz="4" w:space="0" w:color="auto"/>
              <w:bottom w:val="single" w:sz="4" w:space="0" w:color="auto"/>
            </w:tcBorders>
            <w:shd w:val="clear" w:color="auto" w:fill="auto"/>
            <w:vAlign w:val="center"/>
          </w:tcPr>
          <w:p w14:paraId="5FB89547" w14:textId="3E9BEE38" w:rsidR="007E51A8" w:rsidRPr="008E7C4C" w:rsidDel="00E10BBE" w:rsidRDefault="007E51A8" w:rsidP="00EA1D98">
            <w:pPr>
              <w:pStyle w:val="TableText0"/>
              <w:keepLines/>
              <w:widowControl w:val="0"/>
              <w:rPr>
                <w:b/>
                <w:bCs w:val="0"/>
                <w:szCs w:val="20"/>
              </w:rPr>
            </w:pPr>
            <w:r w:rsidRPr="008E7C4C">
              <w:rPr>
                <w:b/>
                <w:bCs w:val="0"/>
                <w:szCs w:val="20"/>
              </w:rPr>
              <w:t xml:space="preserve">PFS (median duration of follow-up 23 months) 2-3 prior lines </w:t>
            </w:r>
            <w:r w:rsidR="00EA1D98" w:rsidRPr="008E7C4C">
              <w:rPr>
                <w:b/>
                <w:bCs w:val="0"/>
                <w:szCs w:val="20"/>
              </w:rPr>
              <w:t>of</w:t>
            </w:r>
            <w:r w:rsidRPr="008E7C4C">
              <w:rPr>
                <w:b/>
                <w:bCs w:val="0"/>
                <w:szCs w:val="20"/>
              </w:rPr>
              <w:t xml:space="preserve"> therapy</w:t>
            </w:r>
          </w:p>
        </w:tc>
      </w:tr>
      <w:tr w:rsidR="007E51A8" w:rsidRPr="008E7C4C" w:rsidDel="00E10BBE" w14:paraId="06CC8EB1" w14:textId="77777777" w:rsidTr="008B58A6">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0B1D7C84" w14:textId="77777777" w:rsidR="007E51A8" w:rsidRPr="008E7C4C" w:rsidDel="00E10BBE" w:rsidRDefault="007E51A8" w:rsidP="007E51A8">
            <w:pPr>
              <w:pStyle w:val="TableText0"/>
              <w:keepLines/>
              <w:widowControl w:val="0"/>
              <w:rPr>
                <w:szCs w:val="20"/>
              </w:rPr>
            </w:pPr>
            <w:r w:rsidRPr="008E7C4C">
              <w:rPr>
                <w:szCs w:val="20"/>
              </w:rPr>
              <w:t>Progressed, n/N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53E7D51" w14:textId="77777777" w:rsidR="007E51A8" w:rsidRPr="008E7C4C" w:rsidDel="00E10BBE" w:rsidRDefault="007E51A8" w:rsidP="007E51A8">
            <w:pPr>
              <w:pStyle w:val="TableText0"/>
              <w:keepLines/>
              <w:widowControl w:val="0"/>
              <w:jc w:val="center"/>
              <w:rPr>
                <w:szCs w:val="20"/>
              </w:rPr>
            </w:pPr>
            <w:r w:rsidRPr="008E7C4C">
              <w:rPr>
                <w:bCs w:val="0"/>
                <w:szCs w:val="20"/>
              </w:rPr>
              <w:t>58/148 (39)</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495A4A17" w14:textId="77777777" w:rsidR="007E51A8" w:rsidRPr="008E7C4C" w:rsidDel="00E10BBE" w:rsidRDefault="007E51A8" w:rsidP="007E51A8">
            <w:pPr>
              <w:pStyle w:val="TableText0"/>
              <w:keepLines/>
              <w:widowControl w:val="0"/>
              <w:jc w:val="center"/>
              <w:rPr>
                <w:szCs w:val="20"/>
              </w:rPr>
            </w:pPr>
            <w:r w:rsidRPr="008E7C4C">
              <w:rPr>
                <w:bCs w:val="0"/>
                <w:szCs w:val="20"/>
              </w:rPr>
              <w:t>74/149 (50)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7D94101" w14:textId="77777777" w:rsidR="007E51A8" w:rsidRPr="008E7C4C" w:rsidDel="00E10BBE" w:rsidRDefault="007E51A8" w:rsidP="007E51A8">
            <w:pPr>
              <w:pStyle w:val="TableText0"/>
              <w:keepLines/>
              <w:widowControl w:val="0"/>
              <w:jc w:val="center"/>
              <w:rPr>
                <w:szCs w:val="20"/>
              </w:rPr>
            </w:pPr>
            <w:r w:rsidRPr="008E7C4C">
              <w:rPr>
                <w:bCs w:val="0"/>
              </w:rPr>
              <w:t>11</w:t>
            </w:r>
          </w:p>
        </w:tc>
        <w:tc>
          <w:tcPr>
            <w:tcW w:w="879" w:type="pct"/>
            <w:vMerge w:val="restart"/>
            <w:tcBorders>
              <w:top w:val="nil"/>
              <w:left w:val="single" w:sz="4" w:space="0" w:color="auto"/>
            </w:tcBorders>
            <w:shd w:val="clear" w:color="auto" w:fill="auto"/>
          </w:tcPr>
          <w:p w14:paraId="7E3CCC04" w14:textId="2D4D2411" w:rsidR="007E51A8" w:rsidRPr="008E7C4C" w:rsidRDefault="007E51A8" w:rsidP="007E51A8">
            <w:pPr>
              <w:jc w:val="center"/>
              <w:rPr>
                <w:rFonts w:ascii="Arial Narrow" w:eastAsiaTheme="majorEastAsia" w:hAnsi="Arial Narrow" w:cstheme="majorBidi"/>
                <w:sz w:val="20"/>
              </w:rPr>
            </w:pPr>
            <w:r w:rsidRPr="008E7C4C">
              <w:rPr>
                <w:rFonts w:ascii="Arial Narrow" w:eastAsiaTheme="majorEastAsia" w:hAnsi="Arial Narrow" w:cstheme="majorBidi"/>
                <w:sz w:val="20"/>
              </w:rPr>
              <w:t>0.6</w:t>
            </w:r>
            <w:r w:rsidR="00764910" w:rsidRPr="008E7C4C">
              <w:rPr>
                <w:rFonts w:ascii="Arial Narrow" w:eastAsiaTheme="majorEastAsia" w:hAnsi="Arial Narrow" w:cstheme="majorBidi"/>
                <w:sz w:val="20"/>
              </w:rPr>
              <w:t>2</w:t>
            </w:r>
            <w:r w:rsidRPr="008E7C4C">
              <w:rPr>
                <w:rFonts w:ascii="Arial Narrow" w:eastAsiaTheme="majorEastAsia" w:hAnsi="Arial Narrow" w:cstheme="majorBidi"/>
                <w:sz w:val="20"/>
              </w:rPr>
              <w:t xml:space="preserve"> (NA, NA</w:t>
            </w:r>
            <w:proofErr w:type="gramStart"/>
            <w:r w:rsidRPr="008E7C4C">
              <w:rPr>
                <w:rFonts w:ascii="Arial Narrow" w:eastAsiaTheme="majorEastAsia" w:hAnsi="Arial Narrow" w:cstheme="majorBidi"/>
                <w:sz w:val="20"/>
              </w:rPr>
              <w:t>)</w:t>
            </w:r>
            <w:r w:rsidR="008B58A6" w:rsidRPr="008E7C4C">
              <w:rPr>
                <w:rFonts w:ascii="Arial Narrow" w:eastAsiaTheme="majorEastAsia" w:hAnsi="Arial Narrow" w:cstheme="majorBidi"/>
                <w:sz w:val="20"/>
              </w:rPr>
              <w:t>;</w:t>
            </w:r>
            <w:proofErr w:type="gramEnd"/>
          </w:p>
          <w:p w14:paraId="549F8560" w14:textId="17765994" w:rsidR="008B58A6" w:rsidRPr="008E7C4C" w:rsidDel="00E10BBE" w:rsidRDefault="00764910" w:rsidP="007E51A8">
            <w:pPr>
              <w:jc w:val="center"/>
              <w:rPr>
                <w:rFonts w:ascii="Arial Narrow" w:eastAsiaTheme="majorEastAsia" w:hAnsi="Arial Narrow" w:cstheme="majorBidi"/>
                <w:sz w:val="20"/>
              </w:rPr>
            </w:pPr>
            <w:r w:rsidRPr="008E7C4C">
              <w:rPr>
                <w:rFonts w:ascii="Arial Narrow" w:eastAsiaTheme="majorEastAsia" w:hAnsi="Arial Narrow" w:cstheme="majorBidi"/>
                <w:sz w:val="20"/>
              </w:rPr>
              <w:t>p</w:t>
            </w:r>
            <w:r w:rsidR="008B58A6" w:rsidRPr="008E7C4C">
              <w:rPr>
                <w:rFonts w:ascii="Arial Narrow" w:eastAsiaTheme="majorEastAsia" w:hAnsi="Arial Narrow" w:cstheme="majorBidi"/>
                <w:sz w:val="20"/>
              </w:rPr>
              <w:t xml:space="preserve"> = NA</w:t>
            </w:r>
          </w:p>
        </w:tc>
      </w:tr>
      <w:tr w:rsidR="007E51A8" w:rsidRPr="008E7C4C" w:rsidDel="00E10BBE" w14:paraId="43AAF188" w14:textId="77777777" w:rsidTr="008B58A6">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708AD578" w14:textId="77777777" w:rsidR="007E51A8" w:rsidRPr="008E7C4C" w:rsidDel="00E10BBE" w:rsidRDefault="007E51A8" w:rsidP="007E51A8">
            <w:pPr>
              <w:pStyle w:val="TableText0"/>
              <w:keepLines/>
              <w:widowControl w:val="0"/>
              <w:rPr>
                <w:szCs w:val="20"/>
              </w:rPr>
            </w:pPr>
            <w:r w:rsidRPr="008E7C4C">
              <w:rPr>
                <w:szCs w:val="20"/>
              </w:rPr>
              <w:t>Median PFS, months (95% CI)</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92C4D24" w14:textId="77777777" w:rsidR="007E51A8" w:rsidRPr="008E7C4C" w:rsidDel="00E10BBE" w:rsidRDefault="007E51A8" w:rsidP="007E51A8">
            <w:pPr>
              <w:pStyle w:val="TableText0"/>
              <w:keepLines/>
              <w:widowControl w:val="0"/>
              <w:jc w:val="center"/>
              <w:rPr>
                <w:szCs w:val="20"/>
              </w:rPr>
            </w:pPr>
            <w:r w:rsidRPr="008E7C4C">
              <w:rPr>
                <w:bCs w:val="0"/>
                <w:szCs w:val="20"/>
              </w:rPr>
              <w:t>22.0 (18.43, 29.44)</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53980AF6" w14:textId="77777777" w:rsidR="007E51A8" w:rsidRPr="008E7C4C" w:rsidDel="00E10BBE" w:rsidRDefault="007E51A8" w:rsidP="007E51A8">
            <w:pPr>
              <w:pStyle w:val="TableText0"/>
              <w:keepLines/>
              <w:widowControl w:val="0"/>
              <w:jc w:val="center"/>
              <w:rPr>
                <w:szCs w:val="20"/>
              </w:rPr>
            </w:pPr>
            <w:r w:rsidRPr="008E7C4C">
              <w:rPr>
                <w:bCs w:val="0"/>
                <w:szCs w:val="20"/>
              </w:rPr>
              <w:t>13.0 (10.15, 18.27)</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AE951A4" w14:textId="77777777" w:rsidR="007E51A8" w:rsidRPr="008E7C4C" w:rsidDel="00E10BBE" w:rsidRDefault="007E51A8" w:rsidP="007E51A8">
            <w:pPr>
              <w:pStyle w:val="TableText0"/>
              <w:keepLines/>
              <w:widowControl w:val="0"/>
              <w:jc w:val="center"/>
              <w:rPr>
                <w:szCs w:val="20"/>
              </w:rPr>
            </w:pPr>
            <w:r w:rsidRPr="008E7C4C">
              <w:t>9.0</w:t>
            </w:r>
          </w:p>
        </w:tc>
        <w:tc>
          <w:tcPr>
            <w:tcW w:w="879" w:type="pct"/>
            <w:vMerge/>
            <w:tcBorders>
              <w:left w:val="single" w:sz="4" w:space="0" w:color="auto"/>
              <w:bottom w:val="nil"/>
            </w:tcBorders>
            <w:shd w:val="clear" w:color="auto" w:fill="auto"/>
          </w:tcPr>
          <w:p w14:paraId="33EDC4FD" w14:textId="77777777" w:rsidR="007E51A8" w:rsidRPr="008E7C4C" w:rsidDel="00E10BBE" w:rsidRDefault="007E51A8" w:rsidP="007E51A8">
            <w:pPr>
              <w:pStyle w:val="TableText0"/>
              <w:keepLines/>
              <w:widowControl w:val="0"/>
              <w:jc w:val="center"/>
              <w:rPr>
                <w:szCs w:val="20"/>
              </w:rPr>
            </w:pPr>
          </w:p>
        </w:tc>
      </w:tr>
      <w:tr w:rsidR="007E51A8" w:rsidRPr="008E7C4C" w14:paraId="07657DB4" w14:textId="77777777" w:rsidTr="006D7D9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000BD29" w14:textId="77777777" w:rsidR="007E51A8" w:rsidRPr="008E7C4C" w:rsidRDefault="007E51A8" w:rsidP="007E51A8">
            <w:pPr>
              <w:pStyle w:val="In-tableHeading"/>
              <w:rPr>
                <w:szCs w:val="20"/>
                <w:lang w:val="en-AU"/>
              </w:rPr>
            </w:pPr>
            <w:r w:rsidRPr="008E7C4C">
              <w:rPr>
                <w:szCs w:val="20"/>
                <w:lang w:val="en-AU"/>
              </w:rPr>
              <w:t>Overall survival (median duration of follow up 85 months), ITT, whole population</w:t>
            </w:r>
          </w:p>
        </w:tc>
      </w:tr>
      <w:tr w:rsidR="008B58A6" w:rsidRPr="008E7C4C" w14:paraId="50B2E1E9" w14:textId="77777777" w:rsidTr="008B58A6">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5B941185" w14:textId="77777777" w:rsidR="008B58A6" w:rsidRPr="008E7C4C" w:rsidRDefault="008B58A6" w:rsidP="008B58A6">
            <w:pPr>
              <w:pStyle w:val="TableText0"/>
              <w:keepLines/>
              <w:widowControl w:val="0"/>
              <w:rPr>
                <w:szCs w:val="20"/>
              </w:rPr>
            </w:pPr>
            <w:r w:rsidRPr="008E7C4C">
              <w:rPr>
                <w:szCs w:val="20"/>
              </w:rPr>
              <w:t xml:space="preserve">Deaths, n/N (%)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A70FED2" w14:textId="77777777" w:rsidR="008B58A6" w:rsidRPr="008E7C4C" w:rsidRDefault="008B58A6" w:rsidP="007E51A8">
            <w:pPr>
              <w:pStyle w:val="TableText0"/>
              <w:keepLines/>
              <w:widowControl w:val="0"/>
              <w:jc w:val="center"/>
              <w:rPr>
                <w:szCs w:val="20"/>
              </w:rPr>
            </w:pPr>
            <w:r w:rsidRPr="008E7C4C">
              <w:rPr>
                <w:szCs w:val="20"/>
              </w:rPr>
              <w:t>240/360 (67)</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3BECA085" w14:textId="77777777" w:rsidR="008B58A6" w:rsidRPr="008E7C4C" w:rsidRDefault="008B58A6" w:rsidP="007E51A8">
            <w:pPr>
              <w:pStyle w:val="TableText0"/>
              <w:keepLines/>
              <w:widowControl w:val="0"/>
              <w:jc w:val="center"/>
              <w:rPr>
                <w:szCs w:val="20"/>
              </w:rPr>
            </w:pPr>
            <w:r w:rsidRPr="008E7C4C">
              <w:rPr>
                <w:szCs w:val="20"/>
              </w:rPr>
              <w:t>244/362 (67)</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FD6ED2C" w14:textId="77777777" w:rsidR="008B58A6" w:rsidRPr="008E7C4C" w:rsidRDefault="008B58A6" w:rsidP="007E51A8">
            <w:pPr>
              <w:pStyle w:val="TableText0"/>
              <w:keepLines/>
              <w:widowControl w:val="0"/>
              <w:jc w:val="center"/>
              <w:rPr>
                <w:szCs w:val="20"/>
              </w:rPr>
            </w:pPr>
            <w:r w:rsidRPr="008E7C4C">
              <w:rPr>
                <w:szCs w:val="20"/>
              </w:rPr>
              <w:t>0</w:t>
            </w:r>
          </w:p>
        </w:tc>
        <w:tc>
          <w:tcPr>
            <w:tcW w:w="879" w:type="pct"/>
            <w:vMerge w:val="restart"/>
            <w:tcBorders>
              <w:top w:val="single" w:sz="4" w:space="0" w:color="auto"/>
              <w:left w:val="single" w:sz="4" w:space="0" w:color="auto"/>
              <w:right w:val="single" w:sz="4" w:space="0" w:color="auto"/>
            </w:tcBorders>
            <w:shd w:val="clear" w:color="auto" w:fill="auto"/>
            <w:vAlign w:val="center"/>
          </w:tcPr>
          <w:p w14:paraId="7355AF89" w14:textId="6C66656A" w:rsidR="008B58A6" w:rsidRPr="008E7C4C" w:rsidRDefault="008B58A6" w:rsidP="007E51A8">
            <w:pPr>
              <w:pStyle w:val="TableText0"/>
              <w:keepLines/>
              <w:widowControl w:val="0"/>
              <w:jc w:val="center"/>
              <w:rPr>
                <w:szCs w:val="20"/>
              </w:rPr>
            </w:pPr>
            <w:r w:rsidRPr="008E7C4C">
              <w:rPr>
                <w:szCs w:val="20"/>
              </w:rPr>
              <w:t>0.9</w:t>
            </w:r>
            <w:r w:rsidR="00764910" w:rsidRPr="008E7C4C">
              <w:rPr>
                <w:szCs w:val="20"/>
              </w:rPr>
              <w:t>4</w:t>
            </w:r>
            <w:r w:rsidRPr="008E7C4C">
              <w:rPr>
                <w:szCs w:val="20"/>
              </w:rPr>
              <w:t xml:space="preserve"> (0.78, 1.1</w:t>
            </w:r>
            <w:r w:rsidR="00764910" w:rsidRPr="008E7C4C">
              <w:rPr>
                <w:szCs w:val="20"/>
              </w:rPr>
              <w:t>3</w:t>
            </w:r>
            <w:r w:rsidRPr="008E7C4C">
              <w:rPr>
                <w:szCs w:val="20"/>
              </w:rPr>
              <w:t>)</w:t>
            </w:r>
          </w:p>
          <w:p w14:paraId="393C1308" w14:textId="77777777" w:rsidR="008B58A6" w:rsidRPr="008E7C4C" w:rsidRDefault="008B58A6" w:rsidP="007E51A8">
            <w:pPr>
              <w:pStyle w:val="TableText0"/>
              <w:keepLines/>
              <w:widowControl w:val="0"/>
              <w:jc w:val="center"/>
              <w:rPr>
                <w:szCs w:val="20"/>
              </w:rPr>
            </w:pPr>
            <w:r w:rsidRPr="008E7C4C">
              <w:rPr>
                <w:szCs w:val="20"/>
              </w:rPr>
              <w:t>p = 0.495</w:t>
            </w:r>
          </w:p>
        </w:tc>
      </w:tr>
      <w:tr w:rsidR="008B58A6" w:rsidRPr="008E7C4C" w14:paraId="5F94BCD7" w14:textId="77777777" w:rsidTr="008B58A6">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799196D6" w14:textId="77777777" w:rsidR="008B58A6" w:rsidRPr="008E7C4C" w:rsidRDefault="008B58A6" w:rsidP="007E51A8">
            <w:pPr>
              <w:pStyle w:val="TableText0"/>
              <w:keepLines/>
              <w:widowControl w:val="0"/>
              <w:rPr>
                <w:szCs w:val="20"/>
              </w:rPr>
            </w:pPr>
            <w:r w:rsidRPr="008E7C4C">
              <w:rPr>
                <w:szCs w:val="20"/>
              </w:rPr>
              <w:t>Median OS, months (95% CI)</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1547EDC" w14:textId="77777777" w:rsidR="008B58A6" w:rsidRPr="008E7C4C" w:rsidRDefault="008B58A6" w:rsidP="007E51A8">
            <w:pPr>
              <w:pStyle w:val="TableText0"/>
              <w:keepLines/>
              <w:widowControl w:val="0"/>
              <w:jc w:val="center"/>
              <w:rPr>
                <w:rFonts w:cs="Times New Roman"/>
                <w:szCs w:val="20"/>
              </w:rPr>
            </w:pPr>
            <w:r w:rsidRPr="008E7C4C">
              <w:rPr>
                <w:szCs w:val="20"/>
              </w:rPr>
              <w:t>53.6 (49.25, 62.95)</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193A627" w14:textId="77777777" w:rsidR="008B58A6" w:rsidRPr="008E7C4C" w:rsidRDefault="008B58A6" w:rsidP="007E51A8">
            <w:pPr>
              <w:pStyle w:val="TableText0"/>
              <w:keepLines/>
              <w:widowControl w:val="0"/>
              <w:jc w:val="center"/>
              <w:rPr>
                <w:rFonts w:cs="Times New Roman"/>
                <w:szCs w:val="20"/>
              </w:rPr>
            </w:pPr>
            <w:r w:rsidRPr="008E7C4C">
              <w:rPr>
                <w:szCs w:val="20"/>
              </w:rPr>
              <w:t>51.6 (44.78, 59.14)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859CCAF" w14:textId="77777777" w:rsidR="008B58A6" w:rsidRPr="008E7C4C" w:rsidRDefault="008B58A6" w:rsidP="007E51A8">
            <w:pPr>
              <w:pStyle w:val="TableText0"/>
              <w:keepLines/>
              <w:widowControl w:val="0"/>
              <w:jc w:val="center"/>
              <w:rPr>
                <w:szCs w:val="20"/>
              </w:rPr>
            </w:pPr>
            <w:r w:rsidRPr="008E7C4C">
              <w:rPr>
                <w:szCs w:val="20"/>
              </w:rPr>
              <w:t>2.0</w:t>
            </w:r>
          </w:p>
        </w:tc>
        <w:tc>
          <w:tcPr>
            <w:tcW w:w="879" w:type="pct"/>
            <w:vMerge/>
            <w:tcBorders>
              <w:left w:val="single" w:sz="4" w:space="0" w:color="auto"/>
              <w:right w:val="single" w:sz="4" w:space="0" w:color="auto"/>
            </w:tcBorders>
            <w:shd w:val="clear" w:color="auto" w:fill="auto"/>
          </w:tcPr>
          <w:p w14:paraId="480E16FD" w14:textId="77777777" w:rsidR="008B58A6" w:rsidRPr="008E7C4C" w:rsidRDefault="008B58A6" w:rsidP="007E51A8">
            <w:pPr>
              <w:pStyle w:val="TableText0"/>
              <w:keepLines/>
              <w:widowControl w:val="0"/>
              <w:jc w:val="center"/>
              <w:rPr>
                <w:szCs w:val="20"/>
              </w:rPr>
            </w:pPr>
          </w:p>
        </w:tc>
      </w:tr>
      <w:tr w:rsidR="007E51A8" w:rsidRPr="008E7C4C" w14:paraId="0888DBD4" w14:textId="77777777" w:rsidTr="006D7D9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E133B2" w14:textId="77777777" w:rsidR="007E51A8" w:rsidRPr="008E7C4C" w:rsidRDefault="007E51A8" w:rsidP="007E51A8">
            <w:pPr>
              <w:pStyle w:val="TableText0"/>
              <w:keepLines/>
              <w:widowControl w:val="0"/>
              <w:rPr>
                <w:b/>
                <w:bCs w:val="0"/>
                <w:szCs w:val="20"/>
              </w:rPr>
            </w:pPr>
            <w:r w:rsidRPr="008E7C4C">
              <w:rPr>
                <w:b/>
                <w:bCs w:val="0"/>
                <w:szCs w:val="20"/>
              </w:rPr>
              <w:t>Overall survival (median duration of follow up 85 months), 2-3 prior lines of therapy</w:t>
            </w:r>
          </w:p>
        </w:tc>
      </w:tr>
      <w:tr w:rsidR="008B58A6" w:rsidRPr="008E7C4C" w14:paraId="5C403FF8" w14:textId="77777777" w:rsidTr="008B58A6">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05661548" w14:textId="77777777" w:rsidR="008B58A6" w:rsidRPr="008E7C4C" w:rsidRDefault="008B58A6" w:rsidP="007E51A8">
            <w:pPr>
              <w:pStyle w:val="TableText0"/>
              <w:keepLines/>
              <w:widowControl w:val="0"/>
              <w:rPr>
                <w:szCs w:val="20"/>
              </w:rPr>
            </w:pPr>
            <w:r w:rsidRPr="008E7C4C">
              <w:rPr>
                <w:szCs w:val="20"/>
              </w:rPr>
              <w:t>Deaths, n/N (%)</w:t>
            </w:r>
          </w:p>
        </w:tc>
        <w:tc>
          <w:tcPr>
            <w:tcW w:w="944" w:type="pct"/>
            <w:tcBorders>
              <w:top w:val="single" w:sz="4" w:space="0" w:color="auto"/>
              <w:left w:val="single" w:sz="4" w:space="0" w:color="auto"/>
              <w:bottom w:val="single" w:sz="4" w:space="0" w:color="auto"/>
              <w:right w:val="single" w:sz="4" w:space="0" w:color="auto"/>
            </w:tcBorders>
            <w:vAlign w:val="center"/>
          </w:tcPr>
          <w:p w14:paraId="384B26A6" w14:textId="77777777" w:rsidR="008B58A6" w:rsidRPr="008E7C4C" w:rsidRDefault="008B58A6" w:rsidP="007E51A8">
            <w:pPr>
              <w:pStyle w:val="TableText0"/>
              <w:keepLines/>
              <w:widowControl w:val="0"/>
              <w:jc w:val="center"/>
              <w:rPr>
                <w:szCs w:val="20"/>
              </w:rPr>
            </w:pPr>
            <w:r w:rsidRPr="008E7C4C">
              <w:rPr>
                <w:rFonts w:cstheme="minorHAnsi"/>
                <w:szCs w:val="20"/>
                <w:lang w:eastAsia="zh-CN"/>
              </w:rPr>
              <w:t>104/148 (70)</w:t>
            </w:r>
          </w:p>
        </w:tc>
        <w:tc>
          <w:tcPr>
            <w:tcW w:w="943" w:type="pct"/>
            <w:tcBorders>
              <w:top w:val="single" w:sz="4" w:space="0" w:color="auto"/>
              <w:left w:val="single" w:sz="4" w:space="0" w:color="auto"/>
              <w:bottom w:val="single" w:sz="4" w:space="0" w:color="auto"/>
              <w:right w:val="single" w:sz="4" w:space="0" w:color="auto"/>
            </w:tcBorders>
            <w:vAlign w:val="center"/>
          </w:tcPr>
          <w:p w14:paraId="361690B0" w14:textId="77777777" w:rsidR="008B58A6" w:rsidRPr="008E7C4C" w:rsidRDefault="008B58A6" w:rsidP="007E51A8">
            <w:pPr>
              <w:pStyle w:val="TableText0"/>
              <w:keepLines/>
              <w:widowControl w:val="0"/>
              <w:jc w:val="center"/>
              <w:rPr>
                <w:szCs w:val="20"/>
              </w:rPr>
            </w:pPr>
            <w:r w:rsidRPr="008E7C4C">
              <w:rPr>
                <w:rFonts w:cstheme="minorHAnsi"/>
                <w:szCs w:val="20"/>
                <w:lang w:eastAsia="zh-CN"/>
              </w:rPr>
              <w:t>104/149 (70)</w:t>
            </w:r>
          </w:p>
        </w:tc>
        <w:tc>
          <w:tcPr>
            <w:tcW w:w="743" w:type="pct"/>
            <w:tcBorders>
              <w:top w:val="single" w:sz="4" w:space="0" w:color="auto"/>
              <w:left w:val="single" w:sz="4" w:space="0" w:color="auto"/>
              <w:bottom w:val="single" w:sz="4" w:space="0" w:color="auto"/>
              <w:right w:val="single" w:sz="4" w:space="0" w:color="auto"/>
            </w:tcBorders>
            <w:vAlign w:val="center"/>
          </w:tcPr>
          <w:p w14:paraId="1AB9765F" w14:textId="6209982E" w:rsidR="008B58A6" w:rsidRPr="008E7C4C" w:rsidRDefault="008B58A6" w:rsidP="007E51A8">
            <w:pPr>
              <w:pStyle w:val="TableText0"/>
              <w:keepLines/>
              <w:widowControl w:val="0"/>
              <w:jc w:val="center"/>
              <w:rPr>
                <w:szCs w:val="20"/>
              </w:rPr>
            </w:pPr>
            <w:r w:rsidRPr="008E7C4C">
              <w:rPr>
                <w:szCs w:val="20"/>
              </w:rPr>
              <w:t>0</w:t>
            </w:r>
          </w:p>
        </w:tc>
        <w:tc>
          <w:tcPr>
            <w:tcW w:w="879" w:type="pct"/>
            <w:vMerge w:val="restart"/>
            <w:tcBorders>
              <w:top w:val="single" w:sz="4" w:space="0" w:color="auto"/>
              <w:left w:val="single" w:sz="4" w:space="0" w:color="auto"/>
              <w:right w:val="single" w:sz="4" w:space="0" w:color="auto"/>
            </w:tcBorders>
            <w:vAlign w:val="center"/>
          </w:tcPr>
          <w:p w14:paraId="57FEEA76" w14:textId="67205FDE" w:rsidR="008B58A6" w:rsidRPr="008E7C4C" w:rsidRDefault="008B58A6" w:rsidP="007E51A8">
            <w:pPr>
              <w:jc w:val="center"/>
              <w:rPr>
                <w:rFonts w:ascii="Arial Narrow" w:hAnsi="Arial Narrow" w:cstheme="minorHAnsi"/>
                <w:sz w:val="20"/>
                <w:szCs w:val="20"/>
                <w:lang w:eastAsia="zh-CN"/>
              </w:rPr>
            </w:pPr>
            <w:r w:rsidRPr="008E7C4C">
              <w:rPr>
                <w:rFonts w:ascii="Arial Narrow" w:hAnsi="Arial Narrow" w:cstheme="minorHAnsi"/>
                <w:sz w:val="20"/>
                <w:szCs w:val="20"/>
                <w:lang w:eastAsia="zh-CN"/>
              </w:rPr>
              <w:t>0.85 (0.64, 1.11)</w:t>
            </w:r>
          </w:p>
          <w:p w14:paraId="69758370" w14:textId="77777777" w:rsidR="008B58A6" w:rsidRPr="008E7C4C" w:rsidRDefault="008B58A6" w:rsidP="007E51A8">
            <w:pPr>
              <w:pStyle w:val="TableText0"/>
              <w:keepLines/>
              <w:widowControl w:val="0"/>
              <w:jc w:val="center"/>
              <w:rPr>
                <w:szCs w:val="20"/>
              </w:rPr>
            </w:pPr>
            <w:r w:rsidRPr="008E7C4C">
              <w:rPr>
                <w:rFonts w:cstheme="minorHAnsi"/>
                <w:szCs w:val="20"/>
                <w:lang w:eastAsia="zh-CN"/>
              </w:rPr>
              <w:t>p = 0.232</w:t>
            </w:r>
          </w:p>
        </w:tc>
      </w:tr>
      <w:tr w:rsidR="008B58A6" w:rsidRPr="008E7C4C" w14:paraId="2CF1E3B7" w14:textId="77777777" w:rsidTr="008B58A6">
        <w:trPr>
          <w:trHeight w:val="111"/>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27E2F698" w14:textId="77777777" w:rsidR="008B58A6" w:rsidRPr="008E7C4C" w:rsidRDefault="008B58A6" w:rsidP="007E51A8">
            <w:pPr>
              <w:pStyle w:val="TableText0"/>
              <w:keepLines/>
              <w:widowControl w:val="0"/>
              <w:rPr>
                <w:szCs w:val="20"/>
              </w:rPr>
            </w:pPr>
            <w:r w:rsidRPr="008E7C4C">
              <w:rPr>
                <w:szCs w:val="20"/>
              </w:rPr>
              <w:t>Median OS, months (95% CI)</w:t>
            </w:r>
          </w:p>
        </w:tc>
        <w:tc>
          <w:tcPr>
            <w:tcW w:w="944" w:type="pct"/>
            <w:tcBorders>
              <w:top w:val="single" w:sz="4" w:space="0" w:color="auto"/>
              <w:left w:val="single" w:sz="4" w:space="0" w:color="auto"/>
              <w:bottom w:val="single" w:sz="4" w:space="0" w:color="auto"/>
              <w:right w:val="single" w:sz="4" w:space="0" w:color="auto"/>
            </w:tcBorders>
            <w:vAlign w:val="center"/>
          </w:tcPr>
          <w:p w14:paraId="491AF577" w14:textId="77777777" w:rsidR="008B58A6" w:rsidRPr="008E7C4C" w:rsidRDefault="008B58A6" w:rsidP="007E51A8">
            <w:pPr>
              <w:pStyle w:val="TableText0"/>
              <w:keepLines/>
              <w:widowControl w:val="0"/>
              <w:jc w:val="center"/>
              <w:rPr>
                <w:szCs w:val="20"/>
              </w:rPr>
            </w:pPr>
            <w:r w:rsidRPr="008E7C4C">
              <w:rPr>
                <w:rFonts w:cstheme="minorHAnsi"/>
                <w:szCs w:val="20"/>
                <w:lang w:eastAsia="zh-CN"/>
              </w:rPr>
              <w:t>53.0 (49.25, 63.54)</w:t>
            </w:r>
          </w:p>
        </w:tc>
        <w:tc>
          <w:tcPr>
            <w:tcW w:w="943" w:type="pct"/>
            <w:tcBorders>
              <w:top w:val="single" w:sz="4" w:space="0" w:color="auto"/>
              <w:left w:val="single" w:sz="4" w:space="0" w:color="auto"/>
              <w:bottom w:val="single" w:sz="4" w:space="0" w:color="auto"/>
              <w:right w:val="single" w:sz="4" w:space="0" w:color="auto"/>
            </w:tcBorders>
            <w:vAlign w:val="center"/>
          </w:tcPr>
          <w:p w14:paraId="2A47C4AD" w14:textId="77777777" w:rsidR="008B58A6" w:rsidRPr="008E7C4C" w:rsidRDefault="008B58A6" w:rsidP="007E51A8">
            <w:pPr>
              <w:pStyle w:val="TableText0"/>
              <w:keepLines/>
              <w:widowControl w:val="0"/>
              <w:jc w:val="center"/>
              <w:rPr>
                <w:szCs w:val="20"/>
              </w:rPr>
            </w:pPr>
            <w:r w:rsidRPr="008E7C4C">
              <w:rPr>
                <w:rFonts w:cstheme="minorHAnsi"/>
                <w:szCs w:val="20"/>
                <w:lang w:eastAsia="zh-CN"/>
              </w:rPr>
              <w:t>43.0 (30.85, 52.67)</w:t>
            </w:r>
          </w:p>
        </w:tc>
        <w:tc>
          <w:tcPr>
            <w:tcW w:w="743" w:type="pct"/>
            <w:tcBorders>
              <w:top w:val="single" w:sz="4" w:space="0" w:color="auto"/>
              <w:left w:val="single" w:sz="4" w:space="0" w:color="auto"/>
              <w:bottom w:val="single" w:sz="4" w:space="0" w:color="auto"/>
              <w:right w:val="single" w:sz="4" w:space="0" w:color="auto"/>
            </w:tcBorders>
            <w:vAlign w:val="center"/>
          </w:tcPr>
          <w:p w14:paraId="1E50F0A6" w14:textId="77777777" w:rsidR="008B58A6" w:rsidRPr="008E7C4C" w:rsidRDefault="008B58A6" w:rsidP="007E51A8">
            <w:pPr>
              <w:pStyle w:val="TableText0"/>
              <w:keepLines/>
              <w:widowControl w:val="0"/>
              <w:jc w:val="center"/>
              <w:rPr>
                <w:szCs w:val="20"/>
              </w:rPr>
            </w:pPr>
            <w:r w:rsidRPr="008E7C4C">
              <w:rPr>
                <w:szCs w:val="20"/>
              </w:rPr>
              <w:t>10</w:t>
            </w:r>
          </w:p>
        </w:tc>
        <w:tc>
          <w:tcPr>
            <w:tcW w:w="879" w:type="pct"/>
            <w:vMerge/>
            <w:tcBorders>
              <w:left w:val="single" w:sz="4" w:space="0" w:color="auto"/>
              <w:right w:val="single" w:sz="4" w:space="0" w:color="auto"/>
            </w:tcBorders>
            <w:vAlign w:val="center"/>
          </w:tcPr>
          <w:p w14:paraId="222CD4F1" w14:textId="77777777" w:rsidR="008B58A6" w:rsidRPr="008E7C4C" w:rsidRDefault="008B58A6" w:rsidP="007E51A8">
            <w:pPr>
              <w:pStyle w:val="TableText0"/>
              <w:keepLines/>
              <w:widowControl w:val="0"/>
              <w:jc w:val="center"/>
              <w:rPr>
                <w:rFonts w:cstheme="minorHAnsi"/>
                <w:szCs w:val="20"/>
                <w:lang w:eastAsia="zh-CN"/>
              </w:rPr>
            </w:pPr>
          </w:p>
        </w:tc>
      </w:tr>
    </w:tbl>
    <w:tbl>
      <w:tblPr>
        <w:tblW w:w="5000" w:type="pct"/>
        <w:tblLayout w:type="fixed"/>
        <w:tblCellMar>
          <w:left w:w="28" w:type="dxa"/>
          <w:right w:w="28" w:type="dxa"/>
        </w:tblCellMar>
        <w:tblLook w:val="04A0" w:firstRow="1" w:lastRow="0" w:firstColumn="1" w:lastColumn="0" w:noHBand="0" w:noVBand="1"/>
      </w:tblPr>
      <w:tblGrid>
        <w:gridCol w:w="1980"/>
        <w:gridCol w:w="992"/>
        <w:gridCol w:w="1132"/>
        <w:gridCol w:w="1560"/>
        <w:gridCol w:w="992"/>
        <w:gridCol w:w="963"/>
        <w:gridCol w:w="1397"/>
      </w:tblGrid>
      <w:tr w:rsidR="004F7F51" w:rsidRPr="008E7C4C" w14:paraId="29FB69FC" w14:textId="77777777" w:rsidTr="006D7D90">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09F4A6" w14:textId="77777777" w:rsidR="004F7F51" w:rsidRPr="008E7C4C" w:rsidRDefault="004F7F51" w:rsidP="006D7D90">
            <w:pPr>
              <w:pStyle w:val="In-tableHeading"/>
              <w:rPr>
                <w:lang w:val="en-AU"/>
              </w:rPr>
            </w:pPr>
            <w:r w:rsidRPr="008E7C4C">
              <w:rPr>
                <w:lang w:val="en-AU"/>
              </w:rPr>
              <w:t xml:space="preserve">Harms </w:t>
            </w:r>
          </w:p>
        </w:tc>
      </w:tr>
      <w:tr w:rsidR="004F7F51" w:rsidRPr="008E7C4C" w14:paraId="07638DE8" w14:textId="77777777" w:rsidTr="00912E99">
        <w:trPr>
          <w:trHeight w:val="70"/>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1DAEAE" w14:textId="77777777" w:rsidR="004F7F51" w:rsidRPr="008E7C4C" w:rsidRDefault="00997B10" w:rsidP="006D7D90">
            <w:pPr>
              <w:pStyle w:val="In-tableHeading"/>
              <w:rPr>
                <w:lang w:val="en-AU"/>
              </w:rPr>
            </w:pPr>
            <w:r w:rsidRPr="008E7C4C">
              <w:rPr>
                <w:lang w:val="en-AU"/>
              </w:rPr>
              <w:t>TMM-1</w:t>
            </w:r>
          </w:p>
        </w:tc>
        <w:tc>
          <w:tcPr>
            <w:tcW w:w="550" w:type="pct"/>
            <w:vMerge w:val="restart"/>
            <w:tcBorders>
              <w:top w:val="single" w:sz="4" w:space="0" w:color="auto"/>
              <w:left w:val="single" w:sz="4" w:space="0" w:color="auto"/>
              <w:bottom w:val="single" w:sz="4" w:space="0" w:color="auto"/>
              <w:right w:val="single" w:sz="4" w:space="0" w:color="auto"/>
            </w:tcBorders>
            <w:vAlign w:val="center"/>
          </w:tcPr>
          <w:p w14:paraId="66C323A6" w14:textId="6E2E9904" w:rsidR="004F7F51" w:rsidRPr="008E7C4C" w:rsidRDefault="00997B10" w:rsidP="006D7D90">
            <w:pPr>
              <w:pStyle w:val="In-tableHeading"/>
              <w:jc w:val="center"/>
              <w:rPr>
                <w:lang w:val="en-AU"/>
              </w:rPr>
            </w:pPr>
            <w:proofErr w:type="spellStart"/>
            <w:r w:rsidRPr="008E7C4C">
              <w:rPr>
                <w:lang w:val="en-AU"/>
              </w:rPr>
              <w:t>ILd</w:t>
            </w:r>
            <w:proofErr w:type="spellEnd"/>
            <w:r w:rsidR="008B58A6" w:rsidRPr="008E7C4C">
              <w:rPr>
                <w:lang w:val="en-AU"/>
              </w:rPr>
              <w:t>,</w:t>
            </w:r>
          </w:p>
          <w:p w14:paraId="673B7A5C" w14:textId="77777777" w:rsidR="004F7F51" w:rsidRPr="008E7C4C" w:rsidRDefault="004F7F51" w:rsidP="006D7D90">
            <w:pPr>
              <w:pStyle w:val="In-tableHeading"/>
              <w:jc w:val="center"/>
              <w:rPr>
                <w:lang w:val="en-AU"/>
              </w:rPr>
            </w:pPr>
            <w:r w:rsidRPr="008E7C4C">
              <w:rPr>
                <w:lang w:val="en-AU"/>
              </w:rPr>
              <w:t>n/N</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14:paraId="6FD1FA34" w14:textId="0CB11961" w:rsidR="004F7F51" w:rsidRPr="008E7C4C" w:rsidRDefault="00997B10" w:rsidP="006D7D90">
            <w:pPr>
              <w:pStyle w:val="In-tableHeading"/>
              <w:jc w:val="center"/>
              <w:rPr>
                <w:lang w:val="en-AU"/>
              </w:rPr>
            </w:pPr>
            <w:proofErr w:type="spellStart"/>
            <w:r w:rsidRPr="008E7C4C">
              <w:rPr>
                <w:lang w:val="en-AU"/>
              </w:rPr>
              <w:t>Ld</w:t>
            </w:r>
            <w:proofErr w:type="spellEnd"/>
            <w:r w:rsidR="008B58A6" w:rsidRPr="008E7C4C">
              <w:rPr>
                <w:lang w:val="en-AU"/>
              </w:rPr>
              <w:t>,</w:t>
            </w:r>
          </w:p>
          <w:p w14:paraId="65789479" w14:textId="77777777" w:rsidR="004F7F51" w:rsidRPr="008E7C4C" w:rsidRDefault="004F7F51" w:rsidP="006D7D90">
            <w:pPr>
              <w:pStyle w:val="In-tableHeading"/>
              <w:jc w:val="center"/>
              <w:rPr>
                <w:lang w:val="en-AU"/>
              </w:rPr>
            </w:pPr>
            <w:r w:rsidRPr="008E7C4C">
              <w:rPr>
                <w:lang w:val="en-AU"/>
              </w:rPr>
              <w:t>n/N</w:t>
            </w:r>
          </w:p>
        </w:tc>
        <w:tc>
          <w:tcPr>
            <w:tcW w:w="865" w:type="pct"/>
            <w:vMerge w:val="restart"/>
            <w:tcBorders>
              <w:top w:val="single" w:sz="4" w:space="0" w:color="auto"/>
              <w:left w:val="single" w:sz="4" w:space="0" w:color="auto"/>
              <w:bottom w:val="single" w:sz="4" w:space="0" w:color="auto"/>
              <w:right w:val="single" w:sz="4" w:space="0" w:color="auto"/>
            </w:tcBorders>
            <w:vAlign w:val="center"/>
          </w:tcPr>
          <w:p w14:paraId="5DE4E243" w14:textId="77777777" w:rsidR="004F7F51" w:rsidRPr="008E7C4C" w:rsidRDefault="004F7F51" w:rsidP="006D7D90">
            <w:pPr>
              <w:pStyle w:val="In-tableHeading"/>
              <w:jc w:val="center"/>
              <w:rPr>
                <w:lang w:val="en-AU"/>
              </w:rPr>
            </w:pPr>
            <w:r w:rsidRPr="008E7C4C">
              <w:rPr>
                <w:lang w:val="en-AU"/>
              </w:rPr>
              <w:t>RR</w:t>
            </w:r>
          </w:p>
          <w:p w14:paraId="30C90B4B" w14:textId="77777777" w:rsidR="004F7F51" w:rsidRPr="008E7C4C" w:rsidRDefault="004F7F51" w:rsidP="006D7D90">
            <w:pPr>
              <w:pStyle w:val="In-tableHeading"/>
              <w:jc w:val="center"/>
              <w:rPr>
                <w:lang w:val="en-AU"/>
              </w:rPr>
            </w:pPr>
            <w:r w:rsidRPr="008E7C4C">
              <w:rPr>
                <w:lang w:val="en-AU"/>
              </w:rPr>
              <w:t>(95% CI)</w:t>
            </w:r>
          </w:p>
        </w:tc>
        <w:tc>
          <w:tcPr>
            <w:tcW w:w="1084" w:type="pct"/>
            <w:gridSpan w:val="2"/>
            <w:tcBorders>
              <w:top w:val="single" w:sz="4" w:space="0" w:color="auto"/>
              <w:left w:val="single" w:sz="4" w:space="0" w:color="auto"/>
              <w:bottom w:val="single" w:sz="4" w:space="0" w:color="auto"/>
              <w:right w:val="single" w:sz="4" w:space="0" w:color="auto"/>
            </w:tcBorders>
            <w:vAlign w:val="center"/>
          </w:tcPr>
          <w:p w14:paraId="2BC305C1" w14:textId="77777777" w:rsidR="004F7F51" w:rsidRPr="008E7C4C" w:rsidRDefault="004F7F51" w:rsidP="006D7D90">
            <w:pPr>
              <w:pStyle w:val="In-tableHeading"/>
              <w:jc w:val="center"/>
              <w:rPr>
                <w:lang w:val="en-AU"/>
              </w:rPr>
            </w:pPr>
            <w:r w:rsidRPr="008E7C4C">
              <w:rPr>
                <w:lang w:val="en-AU"/>
              </w:rPr>
              <w:t>Event rate/100 patients*</w:t>
            </w:r>
          </w:p>
        </w:tc>
        <w:tc>
          <w:tcPr>
            <w:tcW w:w="775" w:type="pct"/>
            <w:vMerge w:val="restart"/>
            <w:tcBorders>
              <w:top w:val="single" w:sz="4" w:space="0" w:color="auto"/>
              <w:left w:val="single" w:sz="4" w:space="0" w:color="auto"/>
              <w:bottom w:val="single" w:sz="4" w:space="0" w:color="auto"/>
              <w:right w:val="single" w:sz="4" w:space="0" w:color="auto"/>
            </w:tcBorders>
            <w:vAlign w:val="center"/>
          </w:tcPr>
          <w:p w14:paraId="73C077DB" w14:textId="77777777" w:rsidR="004F7F51" w:rsidRPr="008E7C4C" w:rsidRDefault="004F7F51" w:rsidP="006D7D90">
            <w:pPr>
              <w:pStyle w:val="In-tableHeading"/>
              <w:jc w:val="center"/>
              <w:rPr>
                <w:lang w:val="en-AU"/>
              </w:rPr>
            </w:pPr>
            <w:r w:rsidRPr="008E7C4C">
              <w:rPr>
                <w:lang w:val="en-AU"/>
              </w:rPr>
              <w:t>RD</w:t>
            </w:r>
          </w:p>
          <w:p w14:paraId="39C2F5FC" w14:textId="77777777" w:rsidR="004F7F51" w:rsidRPr="008E7C4C" w:rsidRDefault="004F7F51" w:rsidP="006D7D90">
            <w:pPr>
              <w:pStyle w:val="In-tableHeading"/>
              <w:jc w:val="center"/>
              <w:rPr>
                <w:lang w:val="en-AU"/>
              </w:rPr>
            </w:pPr>
            <w:r w:rsidRPr="008E7C4C">
              <w:rPr>
                <w:lang w:val="en-AU"/>
              </w:rPr>
              <w:t>(95% CI)</w:t>
            </w:r>
          </w:p>
        </w:tc>
      </w:tr>
      <w:tr w:rsidR="004F7F51" w:rsidRPr="008E7C4C" w14:paraId="3EED4D09" w14:textId="77777777" w:rsidTr="008B58A6">
        <w:trPr>
          <w:trHeight w:val="139"/>
        </w:trPr>
        <w:tc>
          <w:tcPr>
            <w:tcW w:w="10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47AA17" w14:textId="77777777" w:rsidR="004F7F51" w:rsidRPr="008E7C4C" w:rsidRDefault="004F7F51" w:rsidP="006D7D90">
            <w:pPr>
              <w:pStyle w:val="In-tableHeading"/>
              <w:rPr>
                <w:lang w:val="en-AU"/>
              </w:rPr>
            </w:pPr>
          </w:p>
        </w:tc>
        <w:tc>
          <w:tcPr>
            <w:tcW w:w="550" w:type="pct"/>
            <w:vMerge/>
            <w:tcBorders>
              <w:top w:val="single" w:sz="4" w:space="0" w:color="auto"/>
              <w:left w:val="single" w:sz="4" w:space="0" w:color="auto"/>
              <w:bottom w:val="single" w:sz="4" w:space="0" w:color="auto"/>
              <w:right w:val="single" w:sz="4" w:space="0" w:color="auto"/>
            </w:tcBorders>
            <w:vAlign w:val="center"/>
          </w:tcPr>
          <w:p w14:paraId="0554FFAA" w14:textId="77777777" w:rsidR="004F7F51" w:rsidRPr="008E7C4C" w:rsidRDefault="004F7F51" w:rsidP="006D7D90">
            <w:pPr>
              <w:pStyle w:val="In-tableHeading"/>
              <w:rPr>
                <w:lang w:val="en-AU"/>
              </w:rPr>
            </w:pPr>
          </w:p>
        </w:tc>
        <w:tc>
          <w:tcPr>
            <w:tcW w:w="628" w:type="pct"/>
            <w:vMerge/>
            <w:tcBorders>
              <w:top w:val="single" w:sz="4" w:space="0" w:color="auto"/>
              <w:left w:val="single" w:sz="4" w:space="0" w:color="auto"/>
              <w:bottom w:val="single" w:sz="4" w:space="0" w:color="auto"/>
              <w:right w:val="single" w:sz="4" w:space="0" w:color="auto"/>
            </w:tcBorders>
            <w:vAlign w:val="center"/>
          </w:tcPr>
          <w:p w14:paraId="28E0BEED" w14:textId="77777777" w:rsidR="004F7F51" w:rsidRPr="008E7C4C" w:rsidRDefault="004F7F51" w:rsidP="006D7D90">
            <w:pPr>
              <w:pStyle w:val="In-tableHeading"/>
              <w:rPr>
                <w:lang w:val="en-AU"/>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51095D58" w14:textId="77777777" w:rsidR="004F7F51" w:rsidRPr="008E7C4C" w:rsidRDefault="004F7F51" w:rsidP="006D7D90">
            <w:pPr>
              <w:pStyle w:val="In-tableHeading"/>
              <w:rPr>
                <w:lang w:val="en-AU"/>
              </w:rPr>
            </w:pPr>
          </w:p>
        </w:tc>
        <w:tc>
          <w:tcPr>
            <w:tcW w:w="550" w:type="pct"/>
            <w:tcBorders>
              <w:top w:val="single" w:sz="4" w:space="0" w:color="auto"/>
              <w:left w:val="single" w:sz="4" w:space="0" w:color="auto"/>
              <w:bottom w:val="single" w:sz="4" w:space="0" w:color="auto"/>
              <w:right w:val="single" w:sz="4" w:space="0" w:color="auto"/>
            </w:tcBorders>
            <w:vAlign w:val="center"/>
          </w:tcPr>
          <w:p w14:paraId="6F4ECB3D" w14:textId="77777777" w:rsidR="004F7F51" w:rsidRPr="008E7C4C" w:rsidRDefault="00937E28" w:rsidP="00937E28">
            <w:pPr>
              <w:pStyle w:val="In-tableHeading"/>
              <w:jc w:val="center"/>
              <w:rPr>
                <w:lang w:val="en-AU"/>
              </w:rPr>
            </w:pPr>
            <w:proofErr w:type="spellStart"/>
            <w:r w:rsidRPr="008E7C4C">
              <w:rPr>
                <w:lang w:val="en-AU"/>
              </w:rPr>
              <w:t>ILd</w:t>
            </w:r>
            <w:proofErr w:type="spellEnd"/>
          </w:p>
        </w:tc>
        <w:tc>
          <w:tcPr>
            <w:tcW w:w="534" w:type="pct"/>
            <w:tcBorders>
              <w:top w:val="single" w:sz="4" w:space="0" w:color="auto"/>
              <w:left w:val="single" w:sz="4" w:space="0" w:color="auto"/>
              <w:bottom w:val="single" w:sz="4" w:space="0" w:color="auto"/>
              <w:right w:val="single" w:sz="4" w:space="0" w:color="auto"/>
            </w:tcBorders>
            <w:vAlign w:val="center"/>
          </w:tcPr>
          <w:p w14:paraId="3CD7CDEF" w14:textId="77777777" w:rsidR="004F7F51" w:rsidRPr="008E7C4C" w:rsidRDefault="00937E28" w:rsidP="006D7D90">
            <w:pPr>
              <w:pStyle w:val="In-tableHeading"/>
              <w:jc w:val="center"/>
              <w:rPr>
                <w:lang w:val="en-AU"/>
              </w:rPr>
            </w:pPr>
            <w:proofErr w:type="spellStart"/>
            <w:r w:rsidRPr="008E7C4C">
              <w:rPr>
                <w:lang w:val="en-AU"/>
              </w:rPr>
              <w:t>Ld</w:t>
            </w:r>
            <w:proofErr w:type="spellEnd"/>
          </w:p>
        </w:tc>
        <w:tc>
          <w:tcPr>
            <w:tcW w:w="775" w:type="pct"/>
            <w:vMerge/>
            <w:tcBorders>
              <w:top w:val="single" w:sz="4" w:space="0" w:color="auto"/>
              <w:left w:val="single" w:sz="4" w:space="0" w:color="auto"/>
              <w:bottom w:val="single" w:sz="4" w:space="0" w:color="auto"/>
              <w:right w:val="single" w:sz="4" w:space="0" w:color="auto"/>
            </w:tcBorders>
            <w:vAlign w:val="center"/>
          </w:tcPr>
          <w:p w14:paraId="3E041D85" w14:textId="77777777" w:rsidR="004F7F51" w:rsidRPr="008E7C4C" w:rsidRDefault="004F7F51" w:rsidP="006D7D90">
            <w:pPr>
              <w:pStyle w:val="In-tableHeading"/>
              <w:rPr>
                <w:lang w:val="en-AU"/>
              </w:rPr>
            </w:pPr>
          </w:p>
        </w:tc>
      </w:tr>
      <w:tr w:rsidR="004F7F51" w:rsidRPr="008E7C4C" w14:paraId="16CB0D4C" w14:textId="77777777" w:rsidTr="006D7D90">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B12451" w14:textId="77777777" w:rsidR="004F7F51" w:rsidRPr="008E7C4C" w:rsidRDefault="004F7F51" w:rsidP="006D7D90">
            <w:pPr>
              <w:pStyle w:val="In-tableHeading"/>
              <w:jc w:val="both"/>
              <w:rPr>
                <w:lang w:val="en-AU"/>
              </w:rPr>
            </w:pPr>
            <w:r w:rsidRPr="008E7C4C">
              <w:rPr>
                <w:lang w:val="en-AU"/>
              </w:rPr>
              <w:t>Adverse event I</w:t>
            </w:r>
          </w:p>
        </w:tc>
      </w:tr>
      <w:tr w:rsidR="004F7F51" w:rsidRPr="008E7C4C" w14:paraId="4BBA6CE8" w14:textId="77777777" w:rsidTr="00912E99">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06C9D63C" w14:textId="77777777" w:rsidR="004F7F51" w:rsidRPr="008E7C4C" w:rsidRDefault="004F7F51" w:rsidP="006D7D90">
            <w:pPr>
              <w:pStyle w:val="TableText0"/>
            </w:pPr>
            <w:r w:rsidRPr="008E7C4C">
              <w:t>Thrombocytopenia</w:t>
            </w:r>
          </w:p>
        </w:tc>
        <w:tc>
          <w:tcPr>
            <w:tcW w:w="550" w:type="pct"/>
            <w:tcBorders>
              <w:top w:val="single" w:sz="4" w:space="0" w:color="auto"/>
              <w:left w:val="single" w:sz="4" w:space="0" w:color="auto"/>
              <w:bottom w:val="single" w:sz="4" w:space="0" w:color="auto"/>
              <w:right w:val="single" w:sz="4" w:space="0" w:color="auto"/>
            </w:tcBorders>
            <w:vAlign w:val="center"/>
          </w:tcPr>
          <w:p w14:paraId="082C6310" w14:textId="77777777" w:rsidR="004F7F51" w:rsidRPr="008E7C4C" w:rsidRDefault="004F7F51" w:rsidP="006D7D90">
            <w:pPr>
              <w:pStyle w:val="TableText0"/>
              <w:jc w:val="center"/>
            </w:pPr>
            <w:r w:rsidRPr="008E7C4C">
              <w:t>34/361</w:t>
            </w:r>
          </w:p>
        </w:tc>
        <w:tc>
          <w:tcPr>
            <w:tcW w:w="628" w:type="pct"/>
            <w:tcBorders>
              <w:top w:val="single" w:sz="4" w:space="0" w:color="auto"/>
              <w:left w:val="single" w:sz="4" w:space="0" w:color="auto"/>
              <w:bottom w:val="single" w:sz="4" w:space="0" w:color="auto"/>
              <w:right w:val="single" w:sz="4" w:space="0" w:color="auto"/>
            </w:tcBorders>
            <w:vAlign w:val="center"/>
          </w:tcPr>
          <w:p w14:paraId="29E1172F" w14:textId="77777777" w:rsidR="004F7F51" w:rsidRPr="008E7C4C" w:rsidRDefault="004F7F51" w:rsidP="006D7D90">
            <w:pPr>
              <w:pStyle w:val="TableText0"/>
              <w:jc w:val="center"/>
            </w:pPr>
            <w:r w:rsidRPr="008E7C4C">
              <w:t>15/359</w:t>
            </w:r>
          </w:p>
        </w:tc>
        <w:tc>
          <w:tcPr>
            <w:tcW w:w="865" w:type="pct"/>
            <w:tcBorders>
              <w:top w:val="single" w:sz="4" w:space="0" w:color="auto"/>
              <w:left w:val="single" w:sz="4" w:space="0" w:color="auto"/>
              <w:bottom w:val="single" w:sz="4" w:space="0" w:color="auto"/>
              <w:right w:val="single" w:sz="4" w:space="0" w:color="auto"/>
            </w:tcBorders>
            <w:vAlign w:val="center"/>
          </w:tcPr>
          <w:p w14:paraId="3B432CA8" w14:textId="77777777" w:rsidR="004F7F51" w:rsidRPr="008E7C4C" w:rsidRDefault="004F7F51" w:rsidP="006D7D90">
            <w:pPr>
              <w:pStyle w:val="TableText0"/>
              <w:jc w:val="center"/>
            </w:pPr>
            <w:r w:rsidRPr="008E7C4C">
              <w:rPr>
                <w:rFonts w:cs="Calibri"/>
                <w:b/>
                <w:color w:val="000000"/>
              </w:rPr>
              <w:t>2.25 (1.25, 4.06)</w:t>
            </w:r>
          </w:p>
        </w:tc>
        <w:tc>
          <w:tcPr>
            <w:tcW w:w="550" w:type="pct"/>
            <w:tcBorders>
              <w:top w:val="single" w:sz="4" w:space="0" w:color="auto"/>
              <w:left w:val="single" w:sz="4" w:space="0" w:color="auto"/>
              <w:bottom w:val="single" w:sz="4" w:space="0" w:color="auto"/>
              <w:right w:val="single" w:sz="4" w:space="0" w:color="auto"/>
            </w:tcBorders>
            <w:vAlign w:val="center"/>
          </w:tcPr>
          <w:p w14:paraId="1B1506EB" w14:textId="77777777" w:rsidR="004F7F51" w:rsidRPr="008E7C4C" w:rsidRDefault="004F7F51" w:rsidP="006D7D90">
            <w:pPr>
              <w:pStyle w:val="TableText0"/>
              <w:jc w:val="center"/>
            </w:pPr>
            <w:r w:rsidRPr="008E7C4C">
              <w:t>9.42</w:t>
            </w:r>
          </w:p>
        </w:tc>
        <w:tc>
          <w:tcPr>
            <w:tcW w:w="534" w:type="pct"/>
            <w:tcBorders>
              <w:top w:val="single" w:sz="4" w:space="0" w:color="auto"/>
              <w:left w:val="single" w:sz="4" w:space="0" w:color="auto"/>
              <w:bottom w:val="single" w:sz="4" w:space="0" w:color="auto"/>
              <w:right w:val="single" w:sz="4" w:space="0" w:color="auto"/>
            </w:tcBorders>
            <w:vAlign w:val="center"/>
          </w:tcPr>
          <w:p w14:paraId="10B72FB4" w14:textId="77777777" w:rsidR="004F7F51" w:rsidRPr="008E7C4C" w:rsidRDefault="004F7F51" w:rsidP="006D7D90">
            <w:pPr>
              <w:pStyle w:val="TableText0"/>
              <w:jc w:val="center"/>
            </w:pPr>
            <w:r w:rsidRPr="008E7C4C">
              <w:t>4.18</w:t>
            </w:r>
          </w:p>
        </w:tc>
        <w:tc>
          <w:tcPr>
            <w:tcW w:w="775" w:type="pct"/>
            <w:tcBorders>
              <w:top w:val="single" w:sz="4" w:space="0" w:color="auto"/>
              <w:left w:val="single" w:sz="4" w:space="0" w:color="auto"/>
              <w:bottom w:val="single" w:sz="4" w:space="0" w:color="auto"/>
              <w:right w:val="single" w:sz="4" w:space="0" w:color="auto"/>
            </w:tcBorders>
            <w:vAlign w:val="center"/>
          </w:tcPr>
          <w:p w14:paraId="5EADC70F" w14:textId="77777777" w:rsidR="004F7F51" w:rsidRPr="008E7C4C" w:rsidRDefault="004F7F51" w:rsidP="006D7D90">
            <w:pPr>
              <w:pStyle w:val="TableText0"/>
              <w:jc w:val="center"/>
              <w:rPr>
                <w:b/>
                <w:bCs w:val="0"/>
              </w:rPr>
            </w:pPr>
            <w:r w:rsidRPr="008E7C4C">
              <w:rPr>
                <w:rFonts w:cs="Calibri"/>
                <w:b/>
                <w:bCs w:val="0"/>
                <w:color w:val="000000"/>
                <w:szCs w:val="20"/>
              </w:rPr>
              <w:t>0.05 (0.02, 0.09)</w:t>
            </w:r>
          </w:p>
        </w:tc>
      </w:tr>
      <w:tr w:rsidR="004F7F51" w:rsidRPr="008E7C4C" w14:paraId="360F7E67" w14:textId="77777777" w:rsidTr="006D7D90">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F0CDAF" w14:textId="77777777" w:rsidR="004F7F51" w:rsidRPr="008E7C4C" w:rsidRDefault="004F7F51" w:rsidP="006D7D90">
            <w:pPr>
              <w:pStyle w:val="In-tableHeading"/>
              <w:rPr>
                <w:lang w:val="en-AU"/>
              </w:rPr>
            </w:pPr>
            <w:r w:rsidRPr="008E7C4C">
              <w:rPr>
                <w:lang w:val="en-AU"/>
              </w:rPr>
              <w:t>Adverse event II</w:t>
            </w:r>
          </w:p>
        </w:tc>
      </w:tr>
      <w:tr w:rsidR="004F7F51" w:rsidRPr="008E7C4C" w14:paraId="6749A6E4" w14:textId="77777777" w:rsidTr="00912E99">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0B71085E" w14:textId="77777777" w:rsidR="004F7F51" w:rsidRPr="008E7C4C" w:rsidRDefault="004F7F51" w:rsidP="006D7D90">
            <w:pPr>
              <w:pStyle w:val="TableText0"/>
            </w:pPr>
            <w:r w:rsidRPr="008E7C4C">
              <w:rPr>
                <w:rFonts w:cs="Calibri"/>
                <w:color w:val="000000"/>
                <w:szCs w:val="20"/>
              </w:rPr>
              <w:t>Diarrhoea</w:t>
            </w:r>
          </w:p>
        </w:tc>
        <w:tc>
          <w:tcPr>
            <w:tcW w:w="550" w:type="pct"/>
            <w:tcBorders>
              <w:top w:val="single" w:sz="4" w:space="0" w:color="auto"/>
              <w:left w:val="single" w:sz="4" w:space="0" w:color="auto"/>
              <w:bottom w:val="single" w:sz="4" w:space="0" w:color="auto"/>
              <w:right w:val="single" w:sz="4" w:space="0" w:color="auto"/>
            </w:tcBorders>
            <w:vAlign w:val="center"/>
          </w:tcPr>
          <w:p w14:paraId="0A5AB48D" w14:textId="77777777" w:rsidR="004F7F51" w:rsidRPr="008E7C4C" w:rsidRDefault="004F7F51" w:rsidP="006D7D90">
            <w:pPr>
              <w:pStyle w:val="TableText0"/>
              <w:jc w:val="center"/>
            </w:pPr>
            <w:r w:rsidRPr="008E7C4C">
              <w:t>36/361</w:t>
            </w:r>
          </w:p>
        </w:tc>
        <w:tc>
          <w:tcPr>
            <w:tcW w:w="628" w:type="pct"/>
            <w:tcBorders>
              <w:top w:val="single" w:sz="4" w:space="0" w:color="auto"/>
              <w:left w:val="single" w:sz="4" w:space="0" w:color="auto"/>
              <w:bottom w:val="single" w:sz="4" w:space="0" w:color="auto"/>
              <w:right w:val="single" w:sz="4" w:space="0" w:color="auto"/>
            </w:tcBorders>
            <w:vAlign w:val="center"/>
          </w:tcPr>
          <w:p w14:paraId="54CD33C1" w14:textId="77777777" w:rsidR="004F7F51" w:rsidRPr="008E7C4C" w:rsidRDefault="004F7F51" w:rsidP="006D7D90">
            <w:pPr>
              <w:pStyle w:val="TableText0"/>
              <w:jc w:val="center"/>
            </w:pPr>
            <w:r w:rsidRPr="008E7C4C">
              <w:t>11/359</w:t>
            </w:r>
          </w:p>
        </w:tc>
        <w:tc>
          <w:tcPr>
            <w:tcW w:w="865" w:type="pct"/>
            <w:tcBorders>
              <w:top w:val="single" w:sz="4" w:space="0" w:color="auto"/>
              <w:left w:val="single" w:sz="4" w:space="0" w:color="auto"/>
              <w:bottom w:val="single" w:sz="4" w:space="0" w:color="auto"/>
              <w:right w:val="single" w:sz="4" w:space="0" w:color="auto"/>
            </w:tcBorders>
            <w:vAlign w:val="center"/>
          </w:tcPr>
          <w:p w14:paraId="5F47453C" w14:textId="77777777" w:rsidR="004F7F51" w:rsidRPr="008E7C4C" w:rsidRDefault="004F7F51" w:rsidP="006D7D90">
            <w:pPr>
              <w:pStyle w:val="TableText0"/>
              <w:jc w:val="center"/>
            </w:pPr>
            <w:r w:rsidRPr="008E7C4C">
              <w:rPr>
                <w:rFonts w:cs="Calibri"/>
                <w:b/>
                <w:color w:val="000000"/>
              </w:rPr>
              <w:t>3.25 (1.68, 6.28)</w:t>
            </w:r>
          </w:p>
        </w:tc>
        <w:tc>
          <w:tcPr>
            <w:tcW w:w="550" w:type="pct"/>
            <w:tcBorders>
              <w:top w:val="single" w:sz="4" w:space="0" w:color="auto"/>
              <w:left w:val="single" w:sz="4" w:space="0" w:color="auto"/>
              <w:bottom w:val="single" w:sz="4" w:space="0" w:color="auto"/>
              <w:right w:val="single" w:sz="4" w:space="0" w:color="auto"/>
            </w:tcBorders>
            <w:vAlign w:val="center"/>
          </w:tcPr>
          <w:p w14:paraId="4C37EBA2" w14:textId="77777777" w:rsidR="004F7F51" w:rsidRPr="008E7C4C" w:rsidRDefault="004F7F51" w:rsidP="006D7D90">
            <w:pPr>
              <w:pStyle w:val="TableText0"/>
              <w:jc w:val="center"/>
            </w:pPr>
            <w:r w:rsidRPr="008E7C4C">
              <w:t>9.97</w:t>
            </w:r>
          </w:p>
        </w:tc>
        <w:tc>
          <w:tcPr>
            <w:tcW w:w="534" w:type="pct"/>
            <w:tcBorders>
              <w:top w:val="single" w:sz="4" w:space="0" w:color="auto"/>
              <w:left w:val="single" w:sz="4" w:space="0" w:color="auto"/>
              <w:bottom w:val="single" w:sz="4" w:space="0" w:color="auto"/>
              <w:right w:val="single" w:sz="4" w:space="0" w:color="auto"/>
            </w:tcBorders>
            <w:vAlign w:val="center"/>
          </w:tcPr>
          <w:p w14:paraId="185781B7" w14:textId="77777777" w:rsidR="004F7F51" w:rsidRPr="008E7C4C" w:rsidRDefault="004F7F51" w:rsidP="006D7D90">
            <w:pPr>
              <w:pStyle w:val="TableText0"/>
              <w:jc w:val="center"/>
            </w:pPr>
            <w:r w:rsidRPr="008E7C4C">
              <w:t>3.06</w:t>
            </w:r>
          </w:p>
        </w:tc>
        <w:tc>
          <w:tcPr>
            <w:tcW w:w="775" w:type="pct"/>
            <w:tcBorders>
              <w:top w:val="single" w:sz="4" w:space="0" w:color="auto"/>
              <w:left w:val="single" w:sz="4" w:space="0" w:color="auto"/>
              <w:bottom w:val="single" w:sz="4" w:space="0" w:color="auto"/>
              <w:right w:val="single" w:sz="4" w:space="0" w:color="auto"/>
            </w:tcBorders>
            <w:vAlign w:val="center"/>
          </w:tcPr>
          <w:p w14:paraId="7018177A" w14:textId="77777777" w:rsidR="004F7F51" w:rsidRPr="008E7C4C" w:rsidRDefault="004F7F51" w:rsidP="006D7D90">
            <w:pPr>
              <w:pStyle w:val="TableText0"/>
              <w:jc w:val="center"/>
              <w:rPr>
                <w:b/>
                <w:bCs w:val="0"/>
              </w:rPr>
            </w:pPr>
            <w:r w:rsidRPr="008E7C4C">
              <w:rPr>
                <w:rFonts w:cs="Calibri"/>
                <w:b/>
                <w:bCs w:val="0"/>
                <w:color w:val="000000"/>
              </w:rPr>
              <w:t>0.07 (0.03, 0.1)</w:t>
            </w:r>
          </w:p>
        </w:tc>
      </w:tr>
      <w:tr w:rsidR="004F7F51" w:rsidRPr="008E7C4C" w14:paraId="4DBA7C2A" w14:textId="77777777" w:rsidTr="006D7D90">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947789" w14:textId="77777777" w:rsidR="004F7F51" w:rsidRPr="008E7C4C" w:rsidRDefault="004F7F51" w:rsidP="006D7D90">
            <w:pPr>
              <w:pStyle w:val="In-tableHeading"/>
              <w:rPr>
                <w:lang w:val="en-AU"/>
              </w:rPr>
            </w:pPr>
            <w:r w:rsidRPr="008E7C4C">
              <w:rPr>
                <w:lang w:val="en-AU"/>
              </w:rPr>
              <w:t>Adverse event III</w:t>
            </w:r>
          </w:p>
        </w:tc>
      </w:tr>
      <w:tr w:rsidR="004F7F51" w:rsidRPr="008E7C4C" w14:paraId="4BBFFC49" w14:textId="77777777" w:rsidTr="00912E99">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063A3658" w14:textId="77777777" w:rsidR="004F7F51" w:rsidRPr="008E7C4C" w:rsidRDefault="004F7F51" w:rsidP="006D7D90">
            <w:pPr>
              <w:pStyle w:val="TableText0"/>
            </w:pPr>
            <w:r w:rsidRPr="008E7C4C">
              <w:rPr>
                <w:snapToGrid w:val="0"/>
                <w:color w:val="000000" w:themeColor="text1"/>
                <w:szCs w:val="20"/>
              </w:rPr>
              <w:t>Hypokalaemia</w:t>
            </w:r>
          </w:p>
        </w:tc>
        <w:tc>
          <w:tcPr>
            <w:tcW w:w="550" w:type="pct"/>
            <w:tcBorders>
              <w:top w:val="single" w:sz="4" w:space="0" w:color="auto"/>
              <w:left w:val="single" w:sz="4" w:space="0" w:color="auto"/>
              <w:bottom w:val="single" w:sz="4" w:space="0" w:color="auto"/>
              <w:right w:val="single" w:sz="4" w:space="0" w:color="auto"/>
            </w:tcBorders>
            <w:vAlign w:val="center"/>
          </w:tcPr>
          <w:p w14:paraId="024394B5" w14:textId="77777777" w:rsidR="004F7F51" w:rsidRPr="008E7C4C" w:rsidRDefault="004F7F51" w:rsidP="006D7D90">
            <w:pPr>
              <w:pStyle w:val="TableText0"/>
              <w:jc w:val="center"/>
            </w:pPr>
            <w:r w:rsidRPr="008E7C4C">
              <w:rPr>
                <w:bCs w:val="0"/>
                <w:szCs w:val="20"/>
              </w:rPr>
              <w:t>18/361</w:t>
            </w:r>
          </w:p>
        </w:tc>
        <w:tc>
          <w:tcPr>
            <w:tcW w:w="628" w:type="pct"/>
            <w:tcBorders>
              <w:top w:val="single" w:sz="4" w:space="0" w:color="auto"/>
              <w:left w:val="single" w:sz="4" w:space="0" w:color="auto"/>
              <w:bottom w:val="single" w:sz="4" w:space="0" w:color="auto"/>
              <w:right w:val="single" w:sz="4" w:space="0" w:color="auto"/>
            </w:tcBorders>
            <w:vAlign w:val="center"/>
          </w:tcPr>
          <w:p w14:paraId="75AC82D9" w14:textId="77777777" w:rsidR="004F7F51" w:rsidRPr="008E7C4C" w:rsidRDefault="004F7F51" w:rsidP="006D7D90">
            <w:pPr>
              <w:pStyle w:val="TableText0"/>
              <w:jc w:val="center"/>
            </w:pPr>
            <w:r w:rsidRPr="008E7C4C">
              <w:rPr>
                <w:bCs w:val="0"/>
                <w:szCs w:val="20"/>
              </w:rPr>
              <w:t>7/359</w:t>
            </w:r>
          </w:p>
        </w:tc>
        <w:tc>
          <w:tcPr>
            <w:tcW w:w="865" w:type="pct"/>
            <w:tcBorders>
              <w:top w:val="single" w:sz="4" w:space="0" w:color="auto"/>
              <w:left w:val="single" w:sz="4" w:space="0" w:color="auto"/>
              <w:bottom w:val="single" w:sz="4" w:space="0" w:color="auto"/>
              <w:right w:val="single" w:sz="4" w:space="0" w:color="auto"/>
            </w:tcBorders>
            <w:vAlign w:val="center"/>
          </w:tcPr>
          <w:p w14:paraId="7624A748" w14:textId="77777777" w:rsidR="004F7F51" w:rsidRPr="008E7C4C" w:rsidRDefault="004F7F51" w:rsidP="006D7D90">
            <w:pPr>
              <w:pStyle w:val="TableText0"/>
              <w:jc w:val="center"/>
            </w:pPr>
            <w:r w:rsidRPr="008E7C4C">
              <w:rPr>
                <w:rFonts w:cs="Calibri"/>
                <w:b/>
                <w:color w:val="000000"/>
                <w:szCs w:val="20"/>
              </w:rPr>
              <w:t>2.56 (1.08, 6.05</w:t>
            </w:r>
            <w:r w:rsidRPr="008E7C4C">
              <w:rPr>
                <w:rFonts w:cs="Calibri"/>
                <w:b/>
                <w:bCs w:val="0"/>
                <w:color w:val="00000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77326E03" w14:textId="77777777" w:rsidR="004F7F51" w:rsidRPr="008E7C4C" w:rsidRDefault="004F7F51" w:rsidP="006D7D90">
            <w:pPr>
              <w:pStyle w:val="TableText0"/>
              <w:jc w:val="center"/>
            </w:pPr>
            <w:r w:rsidRPr="008E7C4C">
              <w:rPr>
                <w:bCs w:val="0"/>
                <w:szCs w:val="20"/>
              </w:rPr>
              <w:t>5.0</w:t>
            </w:r>
          </w:p>
        </w:tc>
        <w:tc>
          <w:tcPr>
            <w:tcW w:w="534" w:type="pct"/>
            <w:tcBorders>
              <w:top w:val="single" w:sz="4" w:space="0" w:color="auto"/>
              <w:left w:val="single" w:sz="4" w:space="0" w:color="auto"/>
              <w:bottom w:val="single" w:sz="4" w:space="0" w:color="auto"/>
              <w:right w:val="single" w:sz="4" w:space="0" w:color="auto"/>
            </w:tcBorders>
            <w:vAlign w:val="center"/>
          </w:tcPr>
          <w:p w14:paraId="64B368D7" w14:textId="77777777" w:rsidR="004F7F51" w:rsidRPr="008E7C4C" w:rsidRDefault="004F7F51" w:rsidP="006D7D90">
            <w:pPr>
              <w:pStyle w:val="TableText0"/>
              <w:jc w:val="center"/>
            </w:pPr>
            <w:r w:rsidRPr="008E7C4C">
              <w:rPr>
                <w:bCs w:val="0"/>
                <w:szCs w:val="20"/>
              </w:rPr>
              <w:t>1.9</w:t>
            </w:r>
          </w:p>
        </w:tc>
        <w:tc>
          <w:tcPr>
            <w:tcW w:w="775" w:type="pct"/>
            <w:tcBorders>
              <w:top w:val="single" w:sz="4" w:space="0" w:color="auto"/>
              <w:left w:val="single" w:sz="4" w:space="0" w:color="auto"/>
              <w:bottom w:val="single" w:sz="4" w:space="0" w:color="auto"/>
              <w:right w:val="single" w:sz="4" w:space="0" w:color="auto"/>
            </w:tcBorders>
            <w:vAlign w:val="center"/>
          </w:tcPr>
          <w:p w14:paraId="51C9F4C5" w14:textId="77777777" w:rsidR="004F7F51" w:rsidRPr="008E7C4C" w:rsidRDefault="004F7F51" w:rsidP="006D7D90">
            <w:pPr>
              <w:pStyle w:val="TableText0"/>
              <w:jc w:val="center"/>
              <w:rPr>
                <w:b/>
              </w:rPr>
            </w:pPr>
            <w:r w:rsidRPr="008E7C4C">
              <w:rPr>
                <w:rFonts w:cs="Calibri"/>
                <w:b/>
                <w:color w:val="000000"/>
                <w:szCs w:val="20"/>
              </w:rPr>
              <w:t>0.03 (0.00, 0.06)</w:t>
            </w:r>
          </w:p>
        </w:tc>
      </w:tr>
    </w:tbl>
    <w:p w14:paraId="1F3E6ABE" w14:textId="77777777" w:rsidR="004F7F51" w:rsidRPr="008E7C4C" w:rsidRDefault="004F7F51" w:rsidP="004F7F51">
      <w:pPr>
        <w:pStyle w:val="TableFigureFooter"/>
      </w:pPr>
      <w:r w:rsidRPr="008E7C4C">
        <w:t>Source:</w:t>
      </w:r>
      <w:r w:rsidR="00FD7E58" w:rsidRPr="008E7C4C">
        <w:t xml:space="preserve"> Table 2-10, p56,</w:t>
      </w:r>
      <w:r w:rsidR="0042222E" w:rsidRPr="008E7C4C">
        <w:t xml:space="preserve"> </w:t>
      </w:r>
      <w:r w:rsidRPr="008E7C4C">
        <w:t>Table 2-15, p64</w:t>
      </w:r>
      <w:r w:rsidR="00FD7E58" w:rsidRPr="008E7C4C">
        <w:t>, Table 2-16 p65,</w:t>
      </w:r>
      <w:r w:rsidRPr="008E7C4C">
        <w:t xml:space="preserve"> of the resubmission. Figure 14.3.2.6A, p4455 of TOURMALINE MM-1 IA1 TFL May 2015; Section 3.2.1, Attachment 13 of the resubmission; Table 2.a, p 85, CSR TMM-1 FA.</w:t>
      </w:r>
    </w:p>
    <w:p w14:paraId="3891B5EB" w14:textId="1D433987" w:rsidR="004F7F51" w:rsidRPr="008E7C4C" w:rsidRDefault="004F7F51" w:rsidP="004F7F51">
      <w:pPr>
        <w:pStyle w:val="TableFigureFooter"/>
      </w:pPr>
      <w:r w:rsidRPr="008E7C4C">
        <w:t xml:space="preserve">Values in bold indicate statistical significance. blue shaded text refers to information previously included in the initial submission of </w:t>
      </w:r>
      <w:proofErr w:type="spellStart"/>
      <w:r w:rsidRPr="008E7C4C">
        <w:t>ixazomib</w:t>
      </w:r>
      <w:proofErr w:type="spellEnd"/>
      <w:r w:rsidRPr="008E7C4C">
        <w:t xml:space="preserve"> to the PBAC.</w:t>
      </w:r>
    </w:p>
    <w:p w14:paraId="48FCC95E" w14:textId="72AD3231" w:rsidR="004F7F51" w:rsidRPr="008E7C4C" w:rsidRDefault="004F7F51" w:rsidP="004F7F51">
      <w:pPr>
        <w:pStyle w:val="TableFigureFooter"/>
      </w:pPr>
      <w:r w:rsidRPr="008E7C4C">
        <w:t>AE</w:t>
      </w:r>
      <w:r w:rsidR="008B58A6" w:rsidRPr="008E7C4C">
        <w:t xml:space="preserve"> </w:t>
      </w:r>
      <w:r w:rsidRPr="008E7C4C">
        <w:t xml:space="preserve">= adverse event; CI = confidence interval; FA = final analysis; HR = hazard ratio; </w:t>
      </w:r>
      <w:proofErr w:type="spellStart"/>
      <w:r w:rsidRPr="008E7C4C">
        <w:t>ILd</w:t>
      </w:r>
      <w:proofErr w:type="spellEnd"/>
      <w:r w:rsidR="008B58A6" w:rsidRPr="008E7C4C">
        <w:t xml:space="preserve"> </w:t>
      </w:r>
      <w:r w:rsidRPr="008E7C4C">
        <w:t xml:space="preserve">= </w:t>
      </w:r>
      <w:proofErr w:type="spellStart"/>
      <w:r w:rsidRPr="008E7C4C">
        <w:t>ixazomib</w:t>
      </w:r>
      <w:proofErr w:type="spellEnd"/>
      <w:r w:rsidR="008B58A6" w:rsidRPr="008E7C4C">
        <w:t xml:space="preserve"> +</w:t>
      </w:r>
      <w:r w:rsidRPr="008E7C4C">
        <w:t xml:space="preserve"> lenalidomide </w:t>
      </w:r>
      <w:r w:rsidR="008B58A6" w:rsidRPr="008E7C4C">
        <w:t>+</w:t>
      </w:r>
      <w:r w:rsidRPr="008E7C4C">
        <w:t xml:space="preserve"> dexamethasone; ITT = intention to treat; </w:t>
      </w:r>
      <w:proofErr w:type="spellStart"/>
      <w:r w:rsidRPr="008E7C4C">
        <w:t>Ld</w:t>
      </w:r>
      <w:proofErr w:type="spellEnd"/>
      <w:r w:rsidR="008B58A6" w:rsidRPr="008E7C4C">
        <w:t xml:space="preserve"> </w:t>
      </w:r>
      <w:r w:rsidRPr="008E7C4C">
        <w:t xml:space="preserve">= lenalidomide </w:t>
      </w:r>
      <w:r w:rsidR="008B58A6" w:rsidRPr="008E7C4C">
        <w:t>+</w:t>
      </w:r>
      <w:r w:rsidRPr="008E7C4C">
        <w:t xml:space="preserve"> dexamethasone; NA = not available; NE = not estimable; OS = overall survival; PFS = progression free survival; RD = risk difference; RR = risk ratio.</w:t>
      </w:r>
    </w:p>
    <w:p w14:paraId="24C6028D" w14:textId="77777777" w:rsidR="00CC25DE" w:rsidRPr="008E7C4C" w:rsidRDefault="00CC25DE" w:rsidP="00CC25DE">
      <w:pPr>
        <w:spacing w:after="120"/>
        <w:contextualSpacing/>
        <w:rPr>
          <w:rFonts w:ascii="Arial Narrow" w:hAnsi="Arial Narrow"/>
          <w:snapToGrid w:val="0"/>
          <w:sz w:val="18"/>
          <w:szCs w:val="22"/>
        </w:rPr>
      </w:pPr>
    </w:p>
    <w:p w14:paraId="5B5CA82C" w14:textId="77777777" w:rsidR="0042222E" w:rsidRPr="008E7C4C" w:rsidRDefault="00111582" w:rsidP="00111582">
      <w:pPr>
        <w:numPr>
          <w:ilvl w:val="1"/>
          <w:numId w:val="1"/>
        </w:numPr>
        <w:spacing w:after="120"/>
        <w:rPr>
          <w:rFonts w:asciiTheme="minorHAnsi" w:hAnsiTheme="minorHAnsi"/>
          <w:snapToGrid w:val="0"/>
        </w:rPr>
      </w:pPr>
      <w:proofErr w:type="gramStart"/>
      <w:r w:rsidRPr="008E7C4C">
        <w:rPr>
          <w:rFonts w:asciiTheme="minorHAnsi" w:hAnsiTheme="minorHAnsi"/>
          <w:snapToGrid w:val="0"/>
        </w:rPr>
        <w:t>On the basis of</w:t>
      </w:r>
      <w:proofErr w:type="gramEnd"/>
      <w:r w:rsidRPr="008E7C4C">
        <w:rPr>
          <w:rFonts w:asciiTheme="minorHAnsi" w:hAnsiTheme="minorHAnsi"/>
          <w:snapToGrid w:val="0"/>
        </w:rPr>
        <w:t xml:space="preserve"> direct comparison presented by the resubmission, for every 100 patients treated with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in comparison with </w:t>
      </w:r>
      <w:proofErr w:type="spellStart"/>
      <w:r w:rsidRPr="008E7C4C">
        <w:rPr>
          <w:rFonts w:asciiTheme="minorHAnsi" w:hAnsiTheme="minorHAnsi"/>
          <w:snapToGrid w:val="0"/>
        </w:rPr>
        <w:t>Ld</w:t>
      </w:r>
      <w:proofErr w:type="spellEnd"/>
      <w:r w:rsidRPr="008E7C4C">
        <w:rPr>
          <w:rFonts w:asciiTheme="minorHAnsi" w:hAnsiTheme="minorHAnsi"/>
          <w:snapToGrid w:val="0"/>
        </w:rPr>
        <w:t>:</w:t>
      </w:r>
    </w:p>
    <w:p w14:paraId="0CAC8EBB" w14:textId="77777777" w:rsidR="00111582" w:rsidRPr="008E7C4C" w:rsidRDefault="0042222E" w:rsidP="005B3407">
      <w:pPr>
        <w:spacing w:after="120"/>
        <w:rPr>
          <w:u w:val="single"/>
        </w:rPr>
      </w:pPr>
      <w:r w:rsidRPr="008E7C4C">
        <w:rPr>
          <w:u w:val="single"/>
        </w:rPr>
        <w:t>Whole population</w:t>
      </w:r>
      <w:r w:rsidR="00111582" w:rsidRPr="008E7C4C">
        <w:rPr>
          <w:u w:val="single"/>
        </w:rPr>
        <w:t xml:space="preserve"> ITT</w:t>
      </w:r>
    </w:p>
    <w:p w14:paraId="73501FC0" w14:textId="32466742" w:rsidR="007E51A8" w:rsidRPr="008E7C4C" w:rsidRDefault="00111582" w:rsidP="005B3407">
      <w:pPr>
        <w:numPr>
          <w:ilvl w:val="0"/>
          <w:numId w:val="3"/>
        </w:numPr>
        <w:spacing w:after="120"/>
        <w:ind w:left="1077" w:hanging="357"/>
        <w:rPr>
          <w:rFonts w:asciiTheme="minorHAnsi" w:hAnsiTheme="minorHAnsi"/>
          <w:snapToGrid w:val="0"/>
        </w:rPr>
      </w:pPr>
      <w:r w:rsidRPr="008E7C4C">
        <w:rPr>
          <w:rFonts w:asciiTheme="minorHAnsi" w:hAnsiTheme="minorHAnsi"/>
          <w:snapToGrid w:val="0"/>
        </w:rPr>
        <w:t>Approximately 7 additional patients will remain progression-free</w:t>
      </w:r>
      <w:r w:rsidR="0042222E" w:rsidRPr="008E7C4C">
        <w:t xml:space="preserve"> over a median duration </w:t>
      </w:r>
      <w:r w:rsidR="00465493" w:rsidRPr="008E7C4C">
        <w:t xml:space="preserve">of </w:t>
      </w:r>
      <w:r w:rsidR="0042222E" w:rsidRPr="008E7C4C">
        <w:t xml:space="preserve">follow-up of 15 </w:t>
      </w:r>
      <w:proofErr w:type="gramStart"/>
      <w:r w:rsidR="0042222E" w:rsidRPr="008E7C4C">
        <w:t>months</w:t>
      </w:r>
      <w:r w:rsidR="00465493" w:rsidRPr="008E7C4C">
        <w:t>;</w:t>
      </w:r>
      <w:proofErr w:type="gramEnd"/>
    </w:p>
    <w:p w14:paraId="0EBA1DBD" w14:textId="15FADB69" w:rsidR="007E51A8" w:rsidRPr="008E7C4C" w:rsidRDefault="007E51A8" w:rsidP="005B3407">
      <w:pPr>
        <w:numPr>
          <w:ilvl w:val="0"/>
          <w:numId w:val="3"/>
        </w:numPr>
        <w:spacing w:after="120"/>
        <w:ind w:left="1077" w:hanging="357"/>
        <w:rPr>
          <w:rFonts w:asciiTheme="minorHAnsi" w:hAnsiTheme="minorHAnsi"/>
          <w:snapToGrid w:val="0"/>
        </w:rPr>
      </w:pPr>
      <w:r w:rsidRPr="008E7C4C">
        <w:rPr>
          <w:rFonts w:asciiTheme="minorHAnsi" w:hAnsiTheme="minorHAnsi"/>
          <w:snapToGrid w:val="0"/>
        </w:rPr>
        <w:t>Approximately 4 additional patients will remain progression-free</w:t>
      </w:r>
      <w:r w:rsidRPr="008E7C4C">
        <w:t xml:space="preserve"> over a median duration of follow-up of 23 </w:t>
      </w:r>
      <w:proofErr w:type="gramStart"/>
      <w:r w:rsidRPr="008E7C4C">
        <w:t>months;</w:t>
      </w:r>
      <w:proofErr w:type="gramEnd"/>
    </w:p>
    <w:p w14:paraId="515B6209" w14:textId="119FC354" w:rsidR="0042222E" w:rsidRPr="008E7C4C" w:rsidRDefault="005B3407" w:rsidP="005B3407">
      <w:pPr>
        <w:pStyle w:val="ListParagraph"/>
        <w:ind w:left="1077" w:hanging="357"/>
      </w:pPr>
      <w:r w:rsidRPr="008E7C4C">
        <w:t>T</w:t>
      </w:r>
      <w:r w:rsidR="00E10BBE" w:rsidRPr="008E7C4C">
        <w:t>here would be no difference in overall survival after</w:t>
      </w:r>
      <w:r w:rsidR="0042222E" w:rsidRPr="008E7C4C">
        <w:t xml:space="preserve"> 85 </w:t>
      </w:r>
      <w:proofErr w:type="gramStart"/>
      <w:r w:rsidR="0042222E" w:rsidRPr="008E7C4C">
        <w:t>months</w:t>
      </w:r>
      <w:r w:rsidR="00465493" w:rsidRPr="008E7C4C">
        <w:t>;</w:t>
      </w:r>
      <w:proofErr w:type="gramEnd"/>
      <w:r w:rsidR="0042222E" w:rsidRPr="008E7C4C">
        <w:t xml:space="preserve"> </w:t>
      </w:r>
    </w:p>
    <w:p w14:paraId="39CCDD4B" w14:textId="77777777" w:rsidR="0042222E" w:rsidRPr="008E7C4C" w:rsidRDefault="0042222E" w:rsidP="005B3407">
      <w:pPr>
        <w:pStyle w:val="ListParagraph"/>
        <w:ind w:left="1077" w:hanging="357"/>
      </w:pPr>
      <w:r w:rsidRPr="008E7C4C">
        <w:lastRenderedPageBreak/>
        <w:t xml:space="preserve">Approximately 5 additional patients would experience thrombocytopenia over a median duration </w:t>
      </w:r>
      <w:r w:rsidR="00465493" w:rsidRPr="008E7C4C">
        <w:t xml:space="preserve">of </w:t>
      </w:r>
      <w:r w:rsidRPr="008E7C4C">
        <w:t xml:space="preserve">follow-up of 85 </w:t>
      </w:r>
      <w:proofErr w:type="gramStart"/>
      <w:r w:rsidRPr="008E7C4C">
        <w:t>months;</w:t>
      </w:r>
      <w:proofErr w:type="gramEnd"/>
    </w:p>
    <w:p w14:paraId="035260EA" w14:textId="77777777" w:rsidR="0042222E" w:rsidRPr="008E7C4C" w:rsidRDefault="0042222E" w:rsidP="005B3407">
      <w:pPr>
        <w:pStyle w:val="ListParagraph"/>
        <w:ind w:left="1077" w:hanging="357"/>
      </w:pPr>
      <w:r w:rsidRPr="008E7C4C">
        <w:t xml:space="preserve">Approximately 7 additional patients would experience diarrhoea over a median duration </w:t>
      </w:r>
      <w:r w:rsidR="00465493" w:rsidRPr="008E7C4C">
        <w:t xml:space="preserve">of </w:t>
      </w:r>
      <w:r w:rsidRPr="008E7C4C">
        <w:t xml:space="preserve">follow-up of 85 </w:t>
      </w:r>
      <w:proofErr w:type="gramStart"/>
      <w:r w:rsidRPr="008E7C4C">
        <w:t>months;</w:t>
      </w:r>
      <w:proofErr w:type="gramEnd"/>
      <w:r w:rsidR="00465493" w:rsidRPr="008E7C4C">
        <w:t xml:space="preserve"> and </w:t>
      </w:r>
    </w:p>
    <w:p w14:paraId="0A5C9C3F" w14:textId="77777777" w:rsidR="0042222E" w:rsidRPr="008E7C4C" w:rsidRDefault="0042222E" w:rsidP="005B3407">
      <w:pPr>
        <w:pStyle w:val="ListParagraph"/>
        <w:ind w:left="1077" w:hanging="357"/>
      </w:pPr>
      <w:r w:rsidRPr="008E7C4C">
        <w:t xml:space="preserve">Approximately 3 additional patients would experience hypokalaemia over a median duration </w:t>
      </w:r>
      <w:r w:rsidR="00465493" w:rsidRPr="008E7C4C">
        <w:t xml:space="preserve">of </w:t>
      </w:r>
      <w:r w:rsidRPr="008E7C4C">
        <w:t>follow-up of 85 months.</w:t>
      </w:r>
    </w:p>
    <w:p w14:paraId="1DE2C8F3" w14:textId="2E516F37" w:rsidR="0042222E" w:rsidRPr="008E7C4C" w:rsidRDefault="0042222E" w:rsidP="005B3407">
      <w:pPr>
        <w:spacing w:after="120"/>
      </w:pPr>
      <w:r w:rsidRPr="008E7C4C">
        <w:rPr>
          <w:u w:val="single"/>
        </w:rPr>
        <w:t>Subgroup population that had received 2-3 prior therapies</w:t>
      </w:r>
    </w:p>
    <w:p w14:paraId="6558F80A" w14:textId="72ED63AC" w:rsidR="00111582" w:rsidRPr="008E7C4C" w:rsidRDefault="00111582" w:rsidP="005B3407">
      <w:pPr>
        <w:numPr>
          <w:ilvl w:val="0"/>
          <w:numId w:val="3"/>
        </w:numPr>
        <w:spacing w:after="120"/>
        <w:ind w:left="1077" w:hanging="357"/>
        <w:rPr>
          <w:rFonts w:asciiTheme="minorHAnsi" w:hAnsiTheme="minorHAnsi"/>
          <w:snapToGrid w:val="0"/>
        </w:rPr>
      </w:pPr>
      <w:r w:rsidRPr="008E7C4C">
        <w:rPr>
          <w:rFonts w:asciiTheme="minorHAnsi" w:hAnsiTheme="minorHAnsi"/>
          <w:snapToGrid w:val="0"/>
        </w:rPr>
        <w:t>Approximately 13 additional patients will remain progression-free</w:t>
      </w:r>
      <w:r w:rsidR="0042222E" w:rsidRPr="008E7C4C">
        <w:t xml:space="preserve"> over a median duration of </w:t>
      </w:r>
      <w:r w:rsidR="00465493" w:rsidRPr="008E7C4C">
        <w:t xml:space="preserve">follow-up of </w:t>
      </w:r>
      <w:r w:rsidR="0042222E" w:rsidRPr="008E7C4C">
        <w:t xml:space="preserve">15-months </w:t>
      </w:r>
      <w:proofErr w:type="gramStart"/>
      <w:r w:rsidR="0042222E" w:rsidRPr="008E7C4C">
        <w:t>follow-up</w:t>
      </w:r>
      <w:r w:rsidR="00465493" w:rsidRPr="008E7C4C">
        <w:rPr>
          <w:rFonts w:asciiTheme="minorHAnsi" w:hAnsiTheme="minorHAnsi"/>
          <w:snapToGrid w:val="0"/>
        </w:rPr>
        <w:t>;</w:t>
      </w:r>
      <w:proofErr w:type="gramEnd"/>
    </w:p>
    <w:p w14:paraId="21307C87" w14:textId="5A836CD6" w:rsidR="00E10BBE" w:rsidRPr="008E7C4C" w:rsidRDefault="00EA1D98" w:rsidP="005B3407">
      <w:pPr>
        <w:numPr>
          <w:ilvl w:val="0"/>
          <w:numId w:val="3"/>
        </w:numPr>
        <w:spacing w:after="120"/>
        <w:ind w:left="1077" w:hanging="357"/>
        <w:rPr>
          <w:rFonts w:asciiTheme="minorHAnsi" w:hAnsiTheme="minorHAnsi"/>
          <w:snapToGrid w:val="0"/>
        </w:rPr>
      </w:pPr>
      <w:r w:rsidRPr="008E7C4C">
        <w:rPr>
          <w:rFonts w:asciiTheme="minorHAnsi" w:hAnsiTheme="minorHAnsi"/>
          <w:snapToGrid w:val="0"/>
        </w:rPr>
        <w:t>Approximately</w:t>
      </w:r>
      <w:r w:rsidR="00E10BBE" w:rsidRPr="008E7C4C">
        <w:rPr>
          <w:rFonts w:asciiTheme="minorHAnsi" w:hAnsiTheme="minorHAnsi"/>
          <w:snapToGrid w:val="0"/>
        </w:rPr>
        <w:t xml:space="preserve"> 11 additional patients will remain progression-free</w:t>
      </w:r>
      <w:r w:rsidR="00E10BBE" w:rsidRPr="008E7C4C">
        <w:t xml:space="preserve"> over a median duration of follow-up of 23-months </w:t>
      </w:r>
      <w:proofErr w:type="gramStart"/>
      <w:r w:rsidR="00E10BBE" w:rsidRPr="008E7C4C">
        <w:t>follow-up</w:t>
      </w:r>
      <w:r w:rsidR="00E10BBE" w:rsidRPr="008E7C4C">
        <w:rPr>
          <w:rFonts w:asciiTheme="minorHAnsi" w:hAnsiTheme="minorHAnsi"/>
          <w:snapToGrid w:val="0"/>
        </w:rPr>
        <w:t>;</w:t>
      </w:r>
      <w:proofErr w:type="gramEnd"/>
      <w:r w:rsidR="00E10BBE" w:rsidRPr="008E7C4C">
        <w:rPr>
          <w:rFonts w:asciiTheme="minorHAnsi" w:hAnsiTheme="minorHAnsi"/>
          <w:snapToGrid w:val="0"/>
        </w:rPr>
        <w:t xml:space="preserve"> and</w:t>
      </w:r>
    </w:p>
    <w:p w14:paraId="5C25FD97" w14:textId="480F94AD" w:rsidR="0042222E" w:rsidRPr="008E7C4C" w:rsidRDefault="005B3407" w:rsidP="005B3407">
      <w:pPr>
        <w:pStyle w:val="ListParagraph"/>
        <w:ind w:left="1077" w:hanging="357"/>
      </w:pPr>
      <w:r w:rsidRPr="008E7C4C">
        <w:t>T</w:t>
      </w:r>
      <w:r w:rsidR="00E10BBE" w:rsidRPr="008E7C4C">
        <w:t>here would be no difference in overall survival after</w:t>
      </w:r>
      <w:r w:rsidR="00E10BBE" w:rsidRPr="008E7C4C" w:rsidDel="00E10BBE">
        <w:t xml:space="preserve"> </w:t>
      </w:r>
      <w:r w:rsidR="0042222E" w:rsidRPr="008E7C4C">
        <w:t>85</w:t>
      </w:r>
      <w:r w:rsidR="00E10BBE" w:rsidRPr="008E7C4C">
        <w:t xml:space="preserve"> </w:t>
      </w:r>
      <w:r w:rsidR="0042222E" w:rsidRPr="008E7C4C">
        <w:t>months.</w:t>
      </w:r>
    </w:p>
    <w:p w14:paraId="387E6CB0" w14:textId="77777777" w:rsidR="00CC25DE" w:rsidRPr="008E7C4C" w:rsidRDefault="00CC25DE" w:rsidP="00B46730">
      <w:pPr>
        <w:pStyle w:val="4-SubsectionHeading"/>
      </w:pPr>
      <w:bookmarkStart w:id="23" w:name="_Toc22897644"/>
      <w:bookmarkStart w:id="24" w:name="_Toc93487441"/>
      <w:r w:rsidRPr="008E7C4C">
        <w:t>Clinical claim</w:t>
      </w:r>
      <w:bookmarkEnd w:id="23"/>
      <w:bookmarkEnd w:id="24"/>
    </w:p>
    <w:p w14:paraId="651C65D1" w14:textId="6E7D1557" w:rsidR="00BC3ACE" w:rsidRPr="008E7C4C" w:rsidRDefault="00BC3ACE" w:rsidP="005B3407">
      <w:pPr>
        <w:spacing w:after="120"/>
        <w:rPr>
          <w:rFonts w:asciiTheme="minorHAnsi" w:hAnsiTheme="minorHAnsi"/>
          <w:iCs/>
          <w:snapToGrid w:val="0"/>
          <w:color w:val="000000" w:themeColor="text1"/>
          <w:u w:val="single"/>
        </w:rPr>
      </w:pPr>
      <w:r w:rsidRPr="008E7C4C">
        <w:rPr>
          <w:rFonts w:asciiTheme="minorHAnsi" w:hAnsiTheme="minorHAnsi"/>
          <w:iCs/>
          <w:snapToGrid w:val="0"/>
          <w:color w:val="000000" w:themeColor="text1"/>
          <w:u w:val="single"/>
        </w:rPr>
        <w:t>Main Comparator</w:t>
      </w:r>
      <w:r w:rsidR="005709D6" w:rsidRPr="008E7C4C">
        <w:rPr>
          <w:rFonts w:asciiTheme="minorHAnsi" w:hAnsiTheme="minorHAnsi"/>
          <w:iCs/>
          <w:snapToGrid w:val="0"/>
          <w:color w:val="000000" w:themeColor="text1"/>
          <w:u w:val="single"/>
        </w:rPr>
        <w:t xml:space="preserve">: </w:t>
      </w:r>
      <w:proofErr w:type="spellStart"/>
      <w:r w:rsidR="005709D6" w:rsidRPr="008E7C4C">
        <w:rPr>
          <w:rFonts w:asciiTheme="minorHAnsi" w:hAnsiTheme="minorHAnsi"/>
          <w:iCs/>
          <w:snapToGrid w:val="0"/>
          <w:color w:val="000000" w:themeColor="text1"/>
          <w:u w:val="single"/>
        </w:rPr>
        <w:t>Ld</w:t>
      </w:r>
      <w:proofErr w:type="spellEnd"/>
    </w:p>
    <w:p w14:paraId="4B62B444" w14:textId="072CF735" w:rsidR="003B0CA2" w:rsidRPr="008E7C4C" w:rsidRDefault="00CC25DE" w:rsidP="004D197B">
      <w:pPr>
        <w:pStyle w:val="3-BodyText"/>
        <w:rPr>
          <w:iCs/>
          <w:color w:val="000000" w:themeColor="text1"/>
        </w:rPr>
      </w:pPr>
      <w:r w:rsidRPr="008E7C4C">
        <w:rPr>
          <w:iCs/>
          <w:color w:val="000000" w:themeColor="text1"/>
        </w:rPr>
        <w:t xml:space="preserve">The resubmission claimed that </w:t>
      </w:r>
      <w:proofErr w:type="spellStart"/>
      <w:r w:rsidRPr="008E7C4C">
        <w:rPr>
          <w:iCs/>
          <w:color w:val="000000" w:themeColor="text1"/>
        </w:rPr>
        <w:t>ILd</w:t>
      </w:r>
      <w:proofErr w:type="spellEnd"/>
      <w:r w:rsidRPr="008E7C4C">
        <w:rPr>
          <w:iCs/>
          <w:color w:val="000000" w:themeColor="text1"/>
        </w:rPr>
        <w:t xml:space="preserve"> has superior effectiveness to </w:t>
      </w:r>
      <w:proofErr w:type="spellStart"/>
      <w:r w:rsidRPr="008E7C4C">
        <w:rPr>
          <w:iCs/>
          <w:color w:val="000000" w:themeColor="text1"/>
        </w:rPr>
        <w:t>Ld</w:t>
      </w:r>
      <w:proofErr w:type="spellEnd"/>
      <w:r w:rsidRPr="008E7C4C">
        <w:rPr>
          <w:iCs/>
          <w:color w:val="000000" w:themeColor="text1"/>
        </w:rPr>
        <w:t xml:space="preserve"> in RRMM patients who have received at least two prior therapies based on second- and third-line subgroup analysis of TMM-1. </w:t>
      </w:r>
      <w:r w:rsidR="00763A10" w:rsidRPr="008E7C4C">
        <w:rPr>
          <w:iCs/>
          <w:color w:val="000000" w:themeColor="text1"/>
        </w:rPr>
        <w:t xml:space="preserve">The </w:t>
      </w:r>
      <w:r w:rsidR="00526D8D" w:rsidRPr="008E7C4C">
        <w:rPr>
          <w:iCs/>
          <w:color w:val="000000" w:themeColor="text1"/>
        </w:rPr>
        <w:t xml:space="preserve">ESC </w:t>
      </w:r>
      <w:r w:rsidR="00763A10" w:rsidRPr="008E7C4C">
        <w:rPr>
          <w:iCs/>
          <w:color w:val="000000" w:themeColor="text1"/>
        </w:rPr>
        <w:t>considered that the claim of superior effectiveness was uncertain, noting that although the r</w:t>
      </w:r>
      <w:r w:rsidRPr="008E7C4C">
        <w:rPr>
          <w:iCs/>
          <w:color w:val="000000" w:themeColor="text1"/>
        </w:rPr>
        <w:t>esults from TMM-1 (</w:t>
      </w:r>
      <w:r w:rsidR="00A23DC5" w:rsidRPr="008E7C4C">
        <w:rPr>
          <w:iCs/>
          <w:color w:val="000000" w:themeColor="text1"/>
        </w:rPr>
        <w:t xml:space="preserve">2-3 </w:t>
      </w:r>
      <w:r w:rsidRPr="008E7C4C">
        <w:rPr>
          <w:iCs/>
          <w:color w:val="000000" w:themeColor="text1"/>
        </w:rPr>
        <w:t xml:space="preserve">lines of therapies subgroup) showed statistically significant improvement in PFS for </w:t>
      </w:r>
      <w:proofErr w:type="spellStart"/>
      <w:r w:rsidRPr="008E7C4C">
        <w:rPr>
          <w:iCs/>
          <w:color w:val="000000" w:themeColor="text1"/>
        </w:rPr>
        <w:t>ILd</w:t>
      </w:r>
      <w:proofErr w:type="spellEnd"/>
      <w:r w:rsidRPr="008E7C4C">
        <w:rPr>
          <w:iCs/>
          <w:color w:val="000000" w:themeColor="text1"/>
        </w:rPr>
        <w:t xml:space="preserve"> compared to </w:t>
      </w:r>
      <w:proofErr w:type="spellStart"/>
      <w:r w:rsidRPr="008E7C4C">
        <w:rPr>
          <w:iCs/>
          <w:color w:val="000000" w:themeColor="text1"/>
        </w:rPr>
        <w:t>Ld</w:t>
      </w:r>
      <w:proofErr w:type="spellEnd"/>
      <w:r w:rsidR="00763A10" w:rsidRPr="008E7C4C">
        <w:rPr>
          <w:iCs/>
          <w:color w:val="000000" w:themeColor="text1"/>
        </w:rPr>
        <w:t>, t</w:t>
      </w:r>
      <w:r w:rsidRPr="008E7C4C">
        <w:rPr>
          <w:iCs/>
          <w:color w:val="000000" w:themeColor="text1"/>
        </w:rPr>
        <w:t xml:space="preserve">he </w:t>
      </w:r>
      <w:r w:rsidR="00744562" w:rsidRPr="008E7C4C">
        <w:rPr>
          <w:iCs/>
          <w:color w:val="000000" w:themeColor="text1"/>
        </w:rPr>
        <w:t xml:space="preserve">unadjusted </w:t>
      </w:r>
      <w:r w:rsidRPr="008E7C4C">
        <w:rPr>
          <w:iCs/>
          <w:color w:val="000000" w:themeColor="text1"/>
        </w:rPr>
        <w:t xml:space="preserve">data for OS did not show statistical significance. The </w:t>
      </w:r>
      <w:r w:rsidR="00763A10" w:rsidRPr="008E7C4C">
        <w:rPr>
          <w:iCs/>
          <w:color w:val="000000" w:themeColor="text1"/>
        </w:rPr>
        <w:t xml:space="preserve">ESC considered that the </w:t>
      </w:r>
      <w:r w:rsidRPr="008E7C4C">
        <w:rPr>
          <w:iCs/>
          <w:color w:val="000000" w:themeColor="text1"/>
        </w:rPr>
        <w:t xml:space="preserve">process of adjustment of OS data </w:t>
      </w:r>
      <w:r w:rsidR="00FB786D" w:rsidRPr="008E7C4C">
        <w:rPr>
          <w:iCs/>
          <w:color w:val="000000" w:themeColor="text1"/>
        </w:rPr>
        <w:t>was not</w:t>
      </w:r>
      <w:r w:rsidRPr="008E7C4C">
        <w:rPr>
          <w:iCs/>
          <w:color w:val="000000" w:themeColor="text1"/>
        </w:rPr>
        <w:t xml:space="preserve"> appropriate </w:t>
      </w:r>
      <w:proofErr w:type="gramStart"/>
      <w:r w:rsidR="00FB786D" w:rsidRPr="008E7C4C">
        <w:rPr>
          <w:iCs/>
          <w:color w:val="000000" w:themeColor="text1"/>
        </w:rPr>
        <w:t xml:space="preserve">for </w:t>
      </w:r>
      <w:r w:rsidR="004F59E7" w:rsidRPr="008E7C4C">
        <w:rPr>
          <w:iCs/>
          <w:color w:val="000000" w:themeColor="text1"/>
        </w:rPr>
        <w:t xml:space="preserve"> </w:t>
      </w:r>
      <w:r w:rsidRPr="008E7C4C">
        <w:rPr>
          <w:iCs/>
          <w:color w:val="000000" w:themeColor="text1"/>
        </w:rPr>
        <w:t>the</w:t>
      </w:r>
      <w:proofErr w:type="gramEnd"/>
      <w:r w:rsidRPr="008E7C4C">
        <w:rPr>
          <w:iCs/>
          <w:color w:val="000000" w:themeColor="text1"/>
        </w:rPr>
        <w:t xml:space="preserve"> Australia</w:t>
      </w:r>
      <w:r w:rsidR="005709D6" w:rsidRPr="008E7C4C">
        <w:rPr>
          <w:iCs/>
          <w:color w:val="000000" w:themeColor="text1"/>
        </w:rPr>
        <w:t>n</w:t>
      </w:r>
      <w:r w:rsidRPr="008E7C4C">
        <w:rPr>
          <w:iCs/>
          <w:color w:val="000000" w:themeColor="text1"/>
        </w:rPr>
        <w:t xml:space="preserve"> clinical setting.</w:t>
      </w:r>
    </w:p>
    <w:p w14:paraId="7916DE80" w14:textId="4BB8EEE2" w:rsidR="004B1747" w:rsidRPr="008E7C4C" w:rsidRDefault="004B1747" w:rsidP="004B1747">
      <w:pPr>
        <w:widowControl w:val="0"/>
        <w:numPr>
          <w:ilvl w:val="1"/>
          <w:numId w:val="1"/>
        </w:numPr>
        <w:spacing w:after="120"/>
        <w:rPr>
          <w:rFonts w:asciiTheme="minorHAnsi" w:hAnsiTheme="minorHAnsi"/>
          <w:snapToGrid w:val="0"/>
          <w:szCs w:val="20"/>
        </w:rPr>
      </w:pPr>
      <w:r w:rsidRPr="008E7C4C">
        <w:rPr>
          <w:rFonts w:asciiTheme="minorHAnsi" w:hAnsiTheme="minorHAnsi"/>
          <w:iCs/>
          <w:snapToGrid w:val="0"/>
        </w:rPr>
        <w:t>Overall, the</w:t>
      </w:r>
      <w:r w:rsidRPr="008E7C4C">
        <w:rPr>
          <w:rFonts w:asciiTheme="minorHAnsi" w:hAnsiTheme="minorHAnsi"/>
          <w:snapToGrid w:val="0"/>
          <w:szCs w:val="20"/>
        </w:rPr>
        <w:t xml:space="preserve"> PBAC considered that the claim of superior comparative effectiveness was not adequately supported by the data</w:t>
      </w:r>
      <w:r w:rsidR="00A15DC9" w:rsidRPr="008E7C4C">
        <w:rPr>
          <w:rFonts w:asciiTheme="minorHAnsi" w:hAnsiTheme="minorHAnsi"/>
          <w:snapToGrid w:val="0"/>
          <w:szCs w:val="20"/>
        </w:rPr>
        <w:t>. Although</w:t>
      </w:r>
      <w:r w:rsidR="00A15DC9" w:rsidRPr="008E7C4C">
        <w:rPr>
          <w:rFonts w:asciiTheme="minorHAnsi" w:hAnsiTheme="minorHAnsi"/>
          <w:snapToGrid w:val="0"/>
        </w:rPr>
        <w:t xml:space="preserve"> </w:t>
      </w:r>
      <w:proofErr w:type="spellStart"/>
      <w:r w:rsidR="00A15DC9" w:rsidRPr="008E7C4C">
        <w:rPr>
          <w:rFonts w:asciiTheme="minorHAnsi" w:hAnsiTheme="minorHAnsi"/>
          <w:snapToGrid w:val="0"/>
        </w:rPr>
        <w:t>ILd</w:t>
      </w:r>
      <w:proofErr w:type="spellEnd"/>
      <w:r w:rsidR="00A15DC9" w:rsidRPr="008E7C4C">
        <w:rPr>
          <w:rFonts w:asciiTheme="minorHAnsi" w:hAnsiTheme="minorHAnsi"/>
          <w:snapToGrid w:val="0"/>
        </w:rPr>
        <w:t xml:space="preserve"> resulted in a statistically significant improvement in PFS for the ITT population and for patients who had received 2-3 prior lines of therapy, the ITT and subgroup unadjusted results </w:t>
      </w:r>
      <w:r w:rsidR="007F45EF" w:rsidRPr="008E7C4C">
        <w:rPr>
          <w:rFonts w:asciiTheme="minorHAnsi" w:hAnsiTheme="minorHAnsi"/>
          <w:snapToGrid w:val="0"/>
        </w:rPr>
        <w:t xml:space="preserve">for OS </w:t>
      </w:r>
      <w:r w:rsidR="00A15DC9" w:rsidRPr="008E7C4C">
        <w:rPr>
          <w:rFonts w:asciiTheme="minorHAnsi" w:hAnsiTheme="minorHAnsi"/>
          <w:snapToGrid w:val="0"/>
        </w:rPr>
        <w:t>were not statistically significant and the adjustment of the OS data as presented was not appropriate.</w:t>
      </w:r>
    </w:p>
    <w:p w14:paraId="1D4CBBA6" w14:textId="77777777" w:rsidR="00FB0CD3" w:rsidRPr="008E7C4C" w:rsidRDefault="00CC25DE" w:rsidP="005B3407">
      <w:pPr>
        <w:numPr>
          <w:ilvl w:val="1"/>
          <w:numId w:val="1"/>
        </w:numPr>
        <w:spacing w:after="120"/>
        <w:rPr>
          <w:rFonts w:asciiTheme="minorHAnsi" w:hAnsiTheme="minorHAnsi"/>
          <w:snapToGrid w:val="0"/>
          <w:szCs w:val="20"/>
        </w:rPr>
      </w:pPr>
      <w:r w:rsidRPr="008E7C4C">
        <w:rPr>
          <w:rFonts w:asciiTheme="minorHAnsi" w:hAnsiTheme="minorHAnsi"/>
          <w:iCs/>
          <w:snapToGrid w:val="0"/>
          <w:color w:val="000000" w:themeColor="text1"/>
        </w:rPr>
        <w:t xml:space="preserve">The resubmission claimed that </w:t>
      </w:r>
      <w:proofErr w:type="spellStart"/>
      <w:r w:rsidRPr="008E7C4C">
        <w:rPr>
          <w:rFonts w:asciiTheme="minorHAnsi" w:hAnsiTheme="minorHAnsi"/>
          <w:iCs/>
          <w:snapToGrid w:val="0"/>
          <w:color w:val="000000" w:themeColor="text1"/>
        </w:rPr>
        <w:t>ILd</w:t>
      </w:r>
      <w:proofErr w:type="spellEnd"/>
      <w:r w:rsidRPr="008E7C4C">
        <w:rPr>
          <w:rFonts w:asciiTheme="minorHAnsi" w:hAnsiTheme="minorHAnsi"/>
          <w:iCs/>
          <w:snapToGrid w:val="0"/>
          <w:color w:val="000000" w:themeColor="text1"/>
        </w:rPr>
        <w:t xml:space="preserve"> had non-inferior safety compared to Ld. The </w:t>
      </w:r>
      <w:r w:rsidR="00763A10" w:rsidRPr="008E7C4C">
        <w:rPr>
          <w:rFonts w:asciiTheme="minorHAnsi" w:hAnsiTheme="minorHAnsi"/>
          <w:iCs/>
          <w:snapToGrid w:val="0"/>
          <w:color w:val="000000" w:themeColor="text1"/>
        </w:rPr>
        <w:t xml:space="preserve">ESC </w:t>
      </w:r>
      <w:r w:rsidR="00BF29D2" w:rsidRPr="008E7C4C">
        <w:rPr>
          <w:rFonts w:asciiTheme="minorHAnsi" w:hAnsiTheme="minorHAnsi"/>
          <w:iCs/>
          <w:snapToGrid w:val="0"/>
          <w:color w:val="000000" w:themeColor="text1"/>
        </w:rPr>
        <w:t>noted that</w:t>
      </w:r>
      <w:r w:rsidR="00763A10" w:rsidRPr="008E7C4C">
        <w:rPr>
          <w:rFonts w:asciiTheme="minorHAnsi" w:hAnsiTheme="minorHAnsi"/>
          <w:iCs/>
          <w:snapToGrid w:val="0"/>
          <w:color w:val="000000" w:themeColor="text1"/>
        </w:rPr>
        <w:t xml:space="preserve"> </w:t>
      </w:r>
      <w:r w:rsidRPr="008E7C4C">
        <w:rPr>
          <w:rFonts w:asciiTheme="minorHAnsi" w:hAnsiTheme="minorHAnsi"/>
          <w:iCs/>
          <w:snapToGrid w:val="0"/>
          <w:color w:val="000000" w:themeColor="text1"/>
        </w:rPr>
        <w:t xml:space="preserve">data from TMM-1 showed that </w:t>
      </w:r>
      <w:proofErr w:type="spellStart"/>
      <w:r w:rsidRPr="008E7C4C">
        <w:rPr>
          <w:rFonts w:asciiTheme="minorHAnsi" w:hAnsiTheme="minorHAnsi"/>
          <w:iCs/>
          <w:snapToGrid w:val="0"/>
          <w:color w:val="000000" w:themeColor="text1"/>
        </w:rPr>
        <w:t>ILd</w:t>
      </w:r>
      <w:proofErr w:type="spellEnd"/>
      <w:r w:rsidRPr="008E7C4C">
        <w:rPr>
          <w:rFonts w:asciiTheme="minorHAnsi" w:hAnsiTheme="minorHAnsi"/>
          <w:iCs/>
          <w:snapToGrid w:val="0"/>
          <w:color w:val="000000" w:themeColor="text1"/>
        </w:rPr>
        <w:t xml:space="preserve"> was associated with more toxicity events than </w:t>
      </w:r>
      <w:proofErr w:type="spellStart"/>
      <w:r w:rsidRPr="008E7C4C">
        <w:rPr>
          <w:rFonts w:asciiTheme="minorHAnsi" w:hAnsiTheme="minorHAnsi"/>
          <w:iCs/>
          <w:snapToGrid w:val="0"/>
          <w:color w:val="000000" w:themeColor="text1"/>
        </w:rPr>
        <w:t>Ld</w:t>
      </w:r>
      <w:proofErr w:type="spellEnd"/>
      <w:r w:rsidRPr="008E7C4C">
        <w:rPr>
          <w:rFonts w:asciiTheme="minorHAnsi" w:hAnsiTheme="minorHAnsi"/>
          <w:iCs/>
          <w:snapToGrid w:val="0"/>
          <w:color w:val="000000" w:themeColor="text1"/>
        </w:rPr>
        <w:t xml:space="preserve">, including Grade ≥ 3 thrombocytopenia and diarrhoea. In addition, the new safety concerns related to thrombotic microangiopathy and a safety signal of accidental overdose presented in </w:t>
      </w:r>
      <w:r w:rsidR="002B3D02" w:rsidRPr="008E7C4C">
        <w:rPr>
          <w:rFonts w:asciiTheme="minorHAnsi" w:hAnsiTheme="minorHAnsi"/>
          <w:iCs/>
          <w:snapToGrid w:val="0"/>
          <w:color w:val="000000" w:themeColor="text1"/>
        </w:rPr>
        <w:t xml:space="preserve">the </w:t>
      </w:r>
      <w:r w:rsidRPr="008E7C4C">
        <w:rPr>
          <w:rFonts w:asciiTheme="minorHAnsi" w:hAnsiTheme="minorHAnsi"/>
          <w:iCs/>
          <w:snapToGrid w:val="0"/>
          <w:color w:val="000000" w:themeColor="text1"/>
        </w:rPr>
        <w:t>ex</w:t>
      </w:r>
      <w:r w:rsidR="00A23DC5" w:rsidRPr="008E7C4C">
        <w:rPr>
          <w:rFonts w:asciiTheme="minorHAnsi" w:hAnsiTheme="minorHAnsi"/>
          <w:iCs/>
          <w:snapToGrid w:val="0"/>
          <w:color w:val="000000" w:themeColor="text1"/>
        </w:rPr>
        <w:t>tended assessment of comparative harms</w:t>
      </w:r>
      <w:r w:rsidRPr="008E7C4C">
        <w:rPr>
          <w:rFonts w:asciiTheme="minorHAnsi" w:hAnsiTheme="minorHAnsi"/>
          <w:iCs/>
          <w:snapToGrid w:val="0"/>
          <w:color w:val="000000" w:themeColor="text1"/>
        </w:rPr>
        <w:t xml:space="preserve"> may also suggest that </w:t>
      </w:r>
      <w:proofErr w:type="spellStart"/>
      <w:r w:rsidRPr="008E7C4C">
        <w:rPr>
          <w:rFonts w:asciiTheme="minorHAnsi" w:hAnsiTheme="minorHAnsi"/>
          <w:iCs/>
          <w:snapToGrid w:val="0"/>
          <w:color w:val="000000" w:themeColor="text1"/>
        </w:rPr>
        <w:t>ILd</w:t>
      </w:r>
      <w:proofErr w:type="spellEnd"/>
      <w:r w:rsidRPr="008E7C4C">
        <w:rPr>
          <w:rFonts w:asciiTheme="minorHAnsi" w:hAnsiTheme="minorHAnsi"/>
          <w:iCs/>
          <w:snapToGrid w:val="0"/>
          <w:color w:val="000000" w:themeColor="text1"/>
        </w:rPr>
        <w:t xml:space="preserve"> has inferior safety compared to Ld. </w:t>
      </w:r>
    </w:p>
    <w:p w14:paraId="6EB3A022" w14:textId="5D86D96C" w:rsidR="00FB0CD3" w:rsidRPr="008E7C4C" w:rsidRDefault="00A15DC9" w:rsidP="005B3407">
      <w:pPr>
        <w:numPr>
          <w:ilvl w:val="1"/>
          <w:numId w:val="1"/>
        </w:numPr>
        <w:spacing w:after="120"/>
        <w:rPr>
          <w:rFonts w:asciiTheme="minorHAnsi" w:hAnsiTheme="minorHAnsi"/>
          <w:snapToGrid w:val="0"/>
          <w:szCs w:val="20"/>
        </w:rPr>
      </w:pPr>
      <w:r w:rsidRPr="008E7C4C">
        <w:rPr>
          <w:rFonts w:asciiTheme="minorHAnsi" w:hAnsiTheme="minorHAnsi"/>
          <w:snapToGrid w:val="0"/>
        </w:rPr>
        <w:t xml:space="preserve">The PBAC noted that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was associated with similar rates of any adverse event, serious adverse events and adverse events resulting in discontinuation from the trial as Ld. The PBAC did note that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resulted in a higher incidence of Grade </w:t>
      </w:r>
      <w:r w:rsidRPr="008E7C4C">
        <w:rPr>
          <w:rFonts w:asciiTheme="minorHAnsi" w:hAnsiTheme="minorHAnsi" w:cstheme="minorHAnsi"/>
          <w:snapToGrid w:val="0"/>
        </w:rPr>
        <w:t>≥</w:t>
      </w:r>
      <w:r w:rsidRPr="008E7C4C">
        <w:rPr>
          <w:rFonts w:asciiTheme="minorHAnsi" w:hAnsiTheme="minorHAnsi"/>
          <w:snapToGrid w:val="0"/>
        </w:rPr>
        <w:t xml:space="preserve"> 3 adverse </w:t>
      </w:r>
      <w:r w:rsidRPr="008E7C4C">
        <w:rPr>
          <w:rFonts w:asciiTheme="minorHAnsi" w:hAnsiTheme="minorHAnsi"/>
          <w:snapToGrid w:val="0"/>
        </w:rPr>
        <w:lastRenderedPageBreak/>
        <w:t xml:space="preserve">events, including thrombocytopenia, </w:t>
      </w:r>
      <w:proofErr w:type="gramStart"/>
      <w:r w:rsidRPr="008E7C4C">
        <w:rPr>
          <w:rFonts w:asciiTheme="minorHAnsi" w:hAnsiTheme="minorHAnsi"/>
          <w:snapToGrid w:val="0"/>
        </w:rPr>
        <w:t>diarrhoea</w:t>
      </w:r>
      <w:proofErr w:type="gramEnd"/>
      <w:r w:rsidRPr="008E7C4C">
        <w:rPr>
          <w:rFonts w:asciiTheme="minorHAnsi" w:hAnsiTheme="minorHAnsi"/>
          <w:snapToGrid w:val="0"/>
        </w:rPr>
        <w:t xml:space="preserve"> and hypokalaemia</w:t>
      </w:r>
      <w:r w:rsidR="00FB0CD3" w:rsidRPr="008E7C4C">
        <w:rPr>
          <w:rFonts w:asciiTheme="minorHAnsi" w:hAnsiTheme="minorHAnsi"/>
          <w:snapToGrid w:val="0"/>
        </w:rPr>
        <w:t>;</w:t>
      </w:r>
      <w:r w:rsidRPr="008E7C4C">
        <w:rPr>
          <w:rFonts w:asciiTheme="minorHAnsi" w:hAnsiTheme="minorHAnsi"/>
          <w:snapToGrid w:val="0"/>
        </w:rPr>
        <w:t xml:space="preserve"> however</w:t>
      </w:r>
      <w:r w:rsidR="00FB0CD3" w:rsidRPr="008E7C4C">
        <w:rPr>
          <w:rFonts w:asciiTheme="minorHAnsi" w:hAnsiTheme="minorHAnsi"/>
          <w:snapToGrid w:val="0"/>
        </w:rPr>
        <w:t>,</w:t>
      </w:r>
      <w:r w:rsidRPr="008E7C4C">
        <w:rPr>
          <w:rFonts w:asciiTheme="minorHAnsi" w:hAnsiTheme="minorHAnsi"/>
          <w:snapToGrid w:val="0"/>
        </w:rPr>
        <w:t xml:space="preserve"> considered these were generally manageable. Overall, the PBAC considered that the safety of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was </w:t>
      </w:r>
      <w:proofErr w:type="gramStart"/>
      <w:r w:rsidRPr="008E7C4C">
        <w:rPr>
          <w:rFonts w:asciiTheme="minorHAnsi" w:hAnsiTheme="minorHAnsi"/>
          <w:snapToGrid w:val="0"/>
        </w:rPr>
        <w:t>similar to</w:t>
      </w:r>
      <w:proofErr w:type="gramEnd"/>
      <w:r w:rsidRPr="008E7C4C">
        <w:rPr>
          <w:rFonts w:asciiTheme="minorHAnsi" w:hAnsiTheme="minorHAnsi"/>
          <w:snapToGrid w:val="0"/>
        </w:rPr>
        <w:t xml:space="preserve"> that of Ld.</w:t>
      </w:r>
    </w:p>
    <w:p w14:paraId="60805591" w14:textId="2A03CBF1" w:rsidR="009A188C" w:rsidRPr="008E7C4C" w:rsidRDefault="009A188C" w:rsidP="005B3407">
      <w:pPr>
        <w:spacing w:after="120"/>
        <w:rPr>
          <w:rFonts w:asciiTheme="minorHAnsi" w:hAnsiTheme="minorHAnsi"/>
          <w:iCs/>
          <w:snapToGrid w:val="0"/>
          <w:color w:val="000000" w:themeColor="text1"/>
          <w:u w:val="single"/>
        </w:rPr>
      </w:pPr>
      <w:r w:rsidRPr="008E7C4C">
        <w:rPr>
          <w:rFonts w:asciiTheme="minorHAnsi" w:hAnsiTheme="minorHAnsi"/>
          <w:iCs/>
          <w:snapToGrid w:val="0"/>
          <w:color w:val="000000" w:themeColor="text1"/>
          <w:u w:val="single"/>
        </w:rPr>
        <w:t>Secondary comparator</w:t>
      </w:r>
      <w:r w:rsidR="006C6378" w:rsidRPr="008E7C4C">
        <w:rPr>
          <w:rFonts w:asciiTheme="minorHAnsi" w:hAnsiTheme="minorHAnsi"/>
          <w:iCs/>
          <w:snapToGrid w:val="0"/>
          <w:color w:val="000000" w:themeColor="text1"/>
          <w:u w:val="single"/>
        </w:rPr>
        <w:t>: Cd</w:t>
      </w:r>
    </w:p>
    <w:p w14:paraId="529E3B6F" w14:textId="1ECAD8D9" w:rsidR="005B3407" w:rsidRPr="008E7C4C" w:rsidRDefault="00CC25DE" w:rsidP="00100383">
      <w:pPr>
        <w:numPr>
          <w:ilvl w:val="1"/>
          <w:numId w:val="1"/>
        </w:numPr>
        <w:spacing w:after="120"/>
        <w:rPr>
          <w:rFonts w:asciiTheme="minorHAnsi" w:hAnsiTheme="minorHAnsi"/>
          <w:iCs/>
          <w:snapToGrid w:val="0"/>
          <w:color w:val="0066FF"/>
        </w:rPr>
      </w:pPr>
      <w:r w:rsidRPr="008E7C4C">
        <w:rPr>
          <w:rFonts w:asciiTheme="minorHAnsi" w:hAnsiTheme="minorHAnsi"/>
          <w:iCs/>
          <w:snapToGrid w:val="0"/>
          <w:color w:val="000000" w:themeColor="text1"/>
        </w:rPr>
        <w:t xml:space="preserve">The resubmission claimed that </w:t>
      </w:r>
      <w:proofErr w:type="spellStart"/>
      <w:r w:rsidRPr="008E7C4C">
        <w:rPr>
          <w:rFonts w:asciiTheme="minorHAnsi" w:hAnsiTheme="minorHAnsi"/>
          <w:iCs/>
          <w:snapToGrid w:val="0"/>
          <w:color w:val="000000" w:themeColor="text1"/>
        </w:rPr>
        <w:t>ILd</w:t>
      </w:r>
      <w:proofErr w:type="spellEnd"/>
      <w:r w:rsidRPr="008E7C4C">
        <w:rPr>
          <w:rFonts w:asciiTheme="minorHAnsi" w:hAnsiTheme="minorHAnsi"/>
          <w:iCs/>
          <w:snapToGrid w:val="0"/>
          <w:color w:val="000000" w:themeColor="text1"/>
        </w:rPr>
        <w:t xml:space="preserve"> was non-inferior in terms of effectiveness and safety compared to Cd. </w:t>
      </w:r>
      <w:r w:rsidR="00D521DE" w:rsidRPr="008E7C4C">
        <w:rPr>
          <w:rFonts w:asciiTheme="minorHAnsi" w:hAnsiTheme="minorHAnsi"/>
          <w:iCs/>
          <w:snapToGrid w:val="0"/>
          <w:color w:val="000000" w:themeColor="text1"/>
        </w:rPr>
        <w:t>However,</w:t>
      </w:r>
      <w:r w:rsidR="002052AF" w:rsidRPr="008E7C4C">
        <w:rPr>
          <w:rFonts w:asciiTheme="minorHAnsi" w:hAnsiTheme="minorHAnsi"/>
          <w:iCs/>
          <w:snapToGrid w:val="0"/>
          <w:color w:val="000000" w:themeColor="text1"/>
        </w:rPr>
        <w:t xml:space="preserve"> </w:t>
      </w:r>
      <w:r w:rsidR="00D521DE" w:rsidRPr="008E7C4C">
        <w:rPr>
          <w:rFonts w:asciiTheme="minorHAnsi" w:hAnsiTheme="minorHAnsi"/>
          <w:iCs/>
          <w:snapToGrid w:val="0"/>
          <w:color w:val="000000" w:themeColor="text1"/>
        </w:rPr>
        <w:t xml:space="preserve">the resubmission did not present new clinical evidence to support this claim. </w:t>
      </w:r>
      <w:r w:rsidR="004D197B" w:rsidRPr="008E7C4C">
        <w:rPr>
          <w:iCs/>
          <w:color w:val="000000" w:themeColor="text1"/>
        </w:rPr>
        <w:t xml:space="preserve">The resubmission stated that the results for the TSE adjustment of OS show a comparable reduction in the risk of death for </w:t>
      </w:r>
      <w:proofErr w:type="spellStart"/>
      <w:r w:rsidR="004D197B" w:rsidRPr="008E7C4C">
        <w:rPr>
          <w:iCs/>
          <w:color w:val="000000" w:themeColor="text1"/>
        </w:rPr>
        <w:t>ILd</w:t>
      </w:r>
      <w:proofErr w:type="spellEnd"/>
      <w:r w:rsidR="004D197B" w:rsidRPr="008E7C4C">
        <w:rPr>
          <w:iCs/>
          <w:color w:val="000000" w:themeColor="text1"/>
        </w:rPr>
        <w:t xml:space="preserve"> versus </w:t>
      </w:r>
      <w:proofErr w:type="spellStart"/>
      <w:r w:rsidR="004D197B" w:rsidRPr="008E7C4C">
        <w:rPr>
          <w:iCs/>
          <w:color w:val="000000" w:themeColor="text1"/>
        </w:rPr>
        <w:t>Ld</w:t>
      </w:r>
      <w:proofErr w:type="spellEnd"/>
      <w:r w:rsidR="004D197B" w:rsidRPr="008E7C4C">
        <w:rPr>
          <w:iCs/>
          <w:color w:val="000000" w:themeColor="text1"/>
        </w:rPr>
        <w:t xml:space="preserve"> (HR: 0.713</w:t>
      </w:r>
      <w:r w:rsidR="00526D8D" w:rsidRPr="008E7C4C">
        <w:rPr>
          <w:iCs/>
          <w:color w:val="000000" w:themeColor="text1"/>
        </w:rPr>
        <w:t>;</w:t>
      </w:r>
      <w:r w:rsidR="004D197B" w:rsidRPr="008E7C4C">
        <w:rPr>
          <w:iCs/>
          <w:color w:val="000000" w:themeColor="text1"/>
        </w:rPr>
        <w:t xml:space="preserve"> </w:t>
      </w:r>
      <w:r w:rsidR="00526D8D" w:rsidRPr="008E7C4C">
        <w:rPr>
          <w:iCs/>
          <w:color w:val="000000" w:themeColor="text1"/>
        </w:rPr>
        <w:t xml:space="preserve">95% CI: </w:t>
      </w:r>
      <w:r w:rsidR="004D197B" w:rsidRPr="008E7C4C">
        <w:rPr>
          <w:iCs/>
          <w:color w:val="000000" w:themeColor="text1"/>
        </w:rPr>
        <w:t xml:space="preserve">0.535, </w:t>
      </w:r>
      <w:proofErr w:type="gramStart"/>
      <w:r w:rsidR="004D197B" w:rsidRPr="008E7C4C">
        <w:rPr>
          <w:iCs/>
          <w:color w:val="000000" w:themeColor="text1"/>
        </w:rPr>
        <w:t>0.952 ;</w:t>
      </w:r>
      <w:proofErr w:type="gramEnd"/>
      <w:r w:rsidR="004D197B" w:rsidRPr="008E7C4C">
        <w:rPr>
          <w:iCs/>
          <w:color w:val="000000" w:themeColor="text1"/>
        </w:rPr>
        <w:t xml:space="preserve"> p=0.0216) </w:t>
      </w:r>
      <w:r w:rsidR="004D197B" w:rsidRPr="008E7C4C">
        <w:rPr>
          <w:iCs/>
        </w:rPr>
        <w:t>and for carfilzomib plus dexamethasone versus its primary comparator, bortezomib plus dexamethasone (</w:t>
      </w:r>
      <w:r w:rsidR="00526D8D" w:rsidRPr="008E7C4C">
        <w:rPr>
          <w:iCs/>
        </w:rPr>
        <w:t xml:space="preserve">HR: </w:t>
      </w:r>
      <w:r w:rsidR="004D197B" w:rsidRPr="008E7C4C">
        <w:rPr>
          <w:iCs/>
        </w:rPr>
        <w:t>0.761</w:t>
      </w:r>
      <w:r w:rsidR="00526D8D" w:rsidRPr="008E7C4C">
        <w:rPr>
          <w:iCs/>
        </w:rPr>
        <w:t>;</w:t>
      </w:r>
      <w:r w:rsidR="004D197B" w:rsidRPr="008E7C4C">
        <w:rPr>
          <w:iCs/>
        </w:rPr>
        <w:t xml:space="preserve"> 0.663, 0.915; p=0.029) and concluded that these data support the clinical claims versus Cd.  </w:t>
      </w:r>
    </w:p>
    <w:p w14:paraId="365F772A" w14:textId="53E16E3D" w:rsidR="00CC25DE" w:rsidRPr="008E7C4C" w:rsidRDefault="004A7F58" w:rsidP="00100383">
      <w:pPr>
        <w:numPr>
          <w:ilvl w:val="1"/>
          <w:numId w:val="1"/>
        </w:numPr>
        <w:spacing w:after="120"/>
        <w:rPr>
          <w:rFonts w:asciiTheme="minorHAnsi" w:hAnsiTheme="minorHAnsi"/>
          <w:iCs/>
          <w:snapToGrid w:val="0"/>
          <w:color w:val="0066FF"/>
        </w:rPr>
      </w:pPr>
      <w:r w:rsidRPr="008E7C4C">
        <w:rPr>
          <w:rFonts w:asciiTheme="minorHAnsi" w:hAnsiTheme="minorHAnsi"/>
          <w:iCs/>
          <w:snapToGrid w:val="0"/>
          <w:color w:val="000000" w:themeColor="text1"/>
        </w:rPr>
        <w:t xml:space="preserve">The November 2020 </w:t>
      </w:r>
      <w:r w:rsidR="009A188C" w:rsidRPr="008E7C4C">
        <w:rPr>
          <w:rFonts w:asciiTheme="minorHAnsi" w:hAnsiTheme="minorHAnsi"/>
          <w:iCs/>
          <w:snapToGrid w:val="0"/>
          <w:color w:val="000000" w:themeColor="text1"/>
        </w:rPr>
        <w:t xml:space="preserve">submission relied on </w:t>
      </w:r>
      <w:r w:rsidR="008E1C03" w:rsidRPr="008E7C4C">
        <w:rPr>
          <w:rFonts w:asciiTheme="minorHAnsi" w:hAnsiTheme="minorHAnsi"/>
          <w:iCs/>
          <w:snapToGrid w:val="0"/>
          <w:color w:val="000000" w:themeColor="text1"/>
        </w:rPr>
        <w:t>a</w:t>
      </w:r>
      <w:r w:rsidR="006C6378" w:rsidRPr="008E7C4C">
        <w:rPr>
          <w:rFonts w:asciiTheme="minorHAnsi" w:hAnsiTheme="minorHAnsi"/>
          <w:iCs/>
          <w:snapToGrid w:val="0"/>
          <w:color w:val="000000" w:themeColor="text1"/>
        </w:rPr>
        <w:t xml:space="preserve"> naïve </w:t>
      </w:r>
      <w:r w:rsidR="005B3407" w:rsidRPr="008E7C4C">
        <w:rPr>
          <w:rFonts w:asciiTheme="minorHAnsi" w:hAnsiTheme="minorHAnsi"/>
          <w:iCs/>
          <w:snapToGrid w:val="0"/>
          <w:color w:val="000000" w:themeColor="text1"/>
        </w:rPr>
        <w:t>indirect treatment comparison (</w:t>
      </w:r>
      <w:r w:rsidR="008E1C03" w:rsidRPr="008E7C4C">
        <w:rPr>
          <w:rFonts w:asciiTheme="minorHAnsi" w:hAnsiTheme="minorHAnsi"/>
          <w:iCs/>
          <w:snapToGrid w:val="0"/>
          <w:color w:val="000000" w:themeColor="text1"/>
        </w:rPr>
        <w:t>ITC</w:t>
      </w:r>
      <w:r w:rsidR="005B3407" w:rsidRPr="008E7C4C">
        <w:rPr>
          <w:rFonts w:asciiTheme="minorHAnsi" w:hAnsiTheme="minorHAnsi"/>
          <w:iCs/>
          <w:snapToGrid w:val="0"/>
          <w:color w:val="000000" w:themeColor="text1"/>
        </w:rPr>
        <w:t>)</w:t>
      </w:r>
      <w:r w:rsidR="006C6378" w:rsidRPr="008E7C4C">
        <w:rPr>
          <w:rFonts w:asciiTheme="minorHAnsi" w:hAnsiTheme="minorHAnsi"/>
          <w:iCs/>
          <w:snapToGrid w:val="0"/>
          <w:color w:val="000000" w:themeColor="text1"/>
        </w:rPr>
        <w:t xml:space="preserve"> between </w:t>
      </w:r>
      <w:proofErr w:type="spellStart"/>
      <w:r w:rsidR="006C6378" w:rsidRPr="008E7C4C">
        <w:rPr>
          <w:rFonts w:asciiTheme="minorHAnsi" w:hAnsiTheme="minorHAnsi"/>
          <w:iCs/>
          <w:snapToGrid w:val="0"/>
          <w:color w:val="000000" w:themeColor="text1"/>
        </w:rPr>
        <w:t>ILd</w:t>
      </w:r>
      <w:proofErr w:type="spellEnd"/>
      <w:r w:rsidR="006C6378" w:rsidRPr="008E7C4C">
        <w:rPr>
          <w:rFonts w:asciiTheme="minorHAnsi" w:hAnsiTheme="minorHAnsi"/>
          <w:iCs/>
          <w:snapToGrid w:val="0"/>
          <w:color w:val="000000" w:themeColor="text1"/>
        </w:rPr>
        <w:t xml:space="preserve"> and Cd </w:t>
      </w:r>
      <w:r w:rsidR="008E1C03" w:rsidRPr="008E7C4C">
        <w:rPr>
          <w:rFonts w:asciiTheme="minorHAnsi" w:hAnsiTheme="minorHAnsi"/>
          <w:iCs/>
          <w:snapToGrid w:val="0"/>
          <w:color w:val="000000" w:themeColor="text1"/>
        </w:rPr>
        <w:t xml:space="preserve">that assumed </w:t>
      </w:r>
      <w:proofErr w:type="spellStart"/>
      <w:r w:rsidR="008E1C03" w:rsidRPr="008E7C4C">
        <w:rPr>
          <w:rFonts w:asciiTheme="minorHAnsi" w:hAnsiTheme="minorHAnsi"/>
          <w:iCs/>
          <w:snapToGrid w:val="0"/>
          <w:color w:val="000000" w:themeColor="text1"/>
        </w:rPr>
        <w:t>Ld</w:t>
      </w:r>
      <w:proofErr w:type="spellEnd"/>
      <w:r w:rsidR="008E1C03" w:rsidRPr="008E7C4C">
        <w:rPr>
          <w:rFonts w:asciiTheme="minorHAnsi" w:hAnsiTheme="minorHAnsi"/>
          <w:iCs/>
          <w:snapToGrid w:val="0"/>
          <w:color w:val="000000" w:themeColor="text1"/>
        </w:rPr>
        <w:t xml:space="preserve"> was equivalent to Bd (</w:t>
      </w:r>
      <w:proofErr w:type="spellStart"/>
      <w:r w:rsidR="006C6378" w:rsidRPr="008E7C4C">
        <w:rPr>
          <w:rFonts w:asciiTheme="minorHAnsi" w:hAnsiTheme="minorHAnsi"/>
          <w:iCs/>
          <w:snapToGrid w:val="0"/>
          <w:color w:val="000000" w:themeColor="text1"/>
        </w:rPr>
        <w:t>ILd</w:t>
      </w:r>
      <w:proofErr w:type="spellEnd"/>
      <w:r w:rsidR="006C6378" w:rsidRPr="008E7C4C">
        <w:rPr>
          <w:rFonts w:asciiTheme="minorHAnsi" w:hAnsiTheme="minorHAnsi"/>
          <w:iCs/>
          <w:snapToGrid w:val="0"/>
          <w:color w:val="000000" w:themeColor="text1"/>
        </w:rPr>
        <w:t xml:space="preserve"> vs </w:t>
      </w:r>
      <w:proofErr w:type="spellStart"/>
      <w:r w:rsidR="006C6378" w:rsidRPr="008E7C4C">
        <w:rPr>
          <w:rFonts w:asciiTheme="minorHAnsi" w:hAnsiTheme="minorHAnsi"/>
          <w:iCs/>
          <w:snapToGrid w:val="0"/>
          <w:color w:val="000000" w:themeColor="text1"/>
        </w:rPr>
        <w:t>Ld</w:t>
      </w:r>
      <w:proofErr w:type="spellEnd"/>
      <w:r w:rsidR="006C6378" w:rsidRPr="008E7C4C">
        <w:rPr>
          <w:rFonts w:asciiTheme="minorHAnsi" w:hAnsiTheme="minorHAnsi"/>
          <w:iCs/>
          <w:snapToGrid w:val="0"/>
          <w:color w:val="000000" w:themeColor="text1"/>
        </w:rPr>
        <w:t xml:space="preserve"> and Cd vs Bd) based on </w:t>
      </w:r>
      <w:r w:rsidR="008E1C03" w:rsidRPr="008E7C4C">
        <w:rPr>
          <w:rFonts w:asciiTheme="minorHAnsi" w:hAnsiTheme="minorHAnsi"/>
          <w:iCs/>
          <w:snapToGrid w:val="0"/>
          <w:color w:val="000000" w:themeColor="text1"/>
        </w:rPr>
        <w:t xml:space="preserve">the </w:t>
      </w:r>
      <w:r w:rsidR="009A188C" w:rsidRPr="008E7C4C">
        <w:rPr>
          <w:rFonts w:asciiTheme="minorHAnsi" w:hAnsiTheme="minorHAnsi"/>
          <w:iCs/>
          <w:snapToGrid w:val="0"/>
          <w:color w:val="000000" w:themeColor="text1"/>
        </w:rPr>
        <w:t xml:space="preserve">ITT population </w:t>
      </w:r>
      <w:r w:rsidR="008E1C03" w:rsidRPr="008E7C4C">
        <w:rPr>
          <w:rFonts w:asciiTheme="minorHAnsi" w:hAnsiTheme="minorHAnsi"/>
          <w:iCs/>
          <w:snapToGrid w:val="0"/>
          <w:color w:val="000000" w:themeColor="text1"/>
        </w:rPr>
        <w:t>in patients who had received</w:t>
      </w:r>
      <w:r w:rsidR="009A188C" w:rsidRPr="008E7C4C">
        <w:rPr>
          <w:rFonts w:asciiTheme="minorHAnsi" w:hAnsiTheme="minorHAnsi"/>
          <w:iCs/>
          <w:snapToGrid w:val="0"/>
          <w:color w:val="000000" w:themeColor="text1"/>
        </w:rPr>
        <w:t xml:space="preserve"> at least one prior therapy</w:t>
      </w:r>
      <w:r w:rsidR="006C6378" w:rsidRPr="008E7C4C">
        <w:rPr>
          <w:rFonts w:asciiTheme="minorHAnsi" w:hAnsiTheme="minorHAnsi"/>
          <w:iCs/>
          <w:snapToGrid w:val="0"/>
          <w:color w:val="000000" w:themeColor="text1"/>
        </w:rPr>
        <w:t xml:space="preserve">. The resubmission did not present an ITC between </w:t>
      </w:r>
      <w:proofErr w:type="spellStart"/>
      <w:r w:rsidR="006C6378" w:rsidRPr="008E7C4C">
        <w:rPr>
          <w:rFonts w:asciiTheme="minorHAnsi" w:hAnsiTheme="minorHAnsi"/>
          <w:iCs/>
          <w:snapToGrid w:val="0"/>
          <w:color w:val="000000" w:themeColor="text1"/>
        </w:rPr>
        <w:t>ILd</w:t>
      </w:r>
      <w:proofErr w:type="spellEnd"/>
      <w:r w:rsidR="006C6378" w:rsidRPr="008E7C4C">
        <w:rPr>
          <w:rFonts w:asciiTheme="minorHAnsi" w:hAnsiTheme="minorHAnsi"/>
          <w:iCs/>
          <w:snapToGrid w:val="0"/>
          <w:color w:val="000000" w:themeColor="text1"/>
        </w:rPr>
        <w:t xml:space="preserve"> and Cd for the subgroup of 2-3 prior lines of therapy. </w:t>
      </w:r>
      <w:r w:rsidR="00CC25DE" w:rsidRPr="008E7C4C">
        <w:rPr>
          <w:rFonts w:asciiTheme="minorHAnsi" w:hAnsiTheme="minorHAnsi"/>
          <w:iCs/>
          <w:snapToGrid w:val="0"/>
          <w:color w:val="000000" w:themeColor="text1"/>
        </w:rPr>
        <w:t xml:space="preserve">The PBAC has previously considered that, due to the nature of the naïve ITC and differences between the key trials, the results of the naïve ITC were difficult to interpret and did not adequately demonstrate non-inferiority between </w:t>
      </w:r>
      <w:proofErr w:type="spellStart"/>
      <w:r w:rsidR="00CC25DE" w:rsidRPr="008E7C4C">
        <w:rPr>
          <w:rFonts w:asciiTheme="minorHAnsi" w:hAnsiTheme="minorHAnsi"/>
          <w:iCs/>
          <w:snapToGrid w:val="0"/>
          <w:color w:val="000000" w:themeColor="text1"/>
        </w:rPr>
        <w:t>ILd</w:t>
      </w:r>
      <w:proofErr w:type="spellEnd"/>
      <w:r w:rsidR="00CC25DE" w:rsidRPr="008E7C4C">
        <w:rPr>
          <w:rFonts w:asciiTheme="minorHAnsi" w:hAnsiTheme="minorHAnsi"/>
          <w:iCs/>
          <w:snapToGrid w:val="0"/>
          <w:color w:val="000000" w:themeColor="text1"/>
        </w:rPr>
        <w:t xml:space="preserve"> and the nominated comparator, Cd, in terms of efficacy or safety (paragraph 7.1, </w:t>
      </w:r>
      <w:proofErr w:type="spellStart"/>
      <w:r w:rsidR="00CC25DE" w:rsidRPr="008E7C4C">
        <w:rPr>
          <w:rFonts w:asciiTheme="minorHAnsi" w:hAnsiTheme="minorHAnsi"/>
          <w:iCs/>
          <w:snapToGrid w:val="0"/>
          <w:color w:val="000000" w:themeColor="text1"/>
        </w:rPr>
        <w:t>ixazomib</w:t>
      </w:r>
      <w:proofErr w:type="spellEnd"/>
      <w:r w:rsidR="00CC25DE" w:rsidRPr="008E7C4C">
        <w:rPr>
          <w:rFonts w:asciiTheme="minorHAnsi" w:hAnsiTheme="minorHAnsi"/>
          <w:iCs/>
          <w:snapToGrid w:val="0"/>
          <w:color w:val="000000" w:themeColor="text1"/>
        </w:rPr>
        <w:t xml:space="preserve"> PSD, November 2020). No new data was presented by the resubmission to support the non-inferiority clinical claim of </w:t>
      </w:r>
      <w:proofErr w:type="spellStart"/>
      <w:r w:rsidR="00CC25DE" w:rsidRPr="008E7C4C">
        <w:rPr>
          <w:rFonts w:asciiTheme="minorHAnsi" w:hAnsiTheme="minorHAnsi"/>
          <w:iCs/>
          <w:snapToGrid w:val="0"/>
          <w:color w:val="000000" w:themeColor="text1"/>
        </w:rPr>
        <w:t>ILd</w:t>
      </w:r>
      <w:proofErr w:type="spellEnd"/>
      <w:r w:rsidR="00CC25DE" w:rsidRPr="008E7C4C">
        <w:rPr>
          <w:rFonts w:asciiTheme="minorHAnsi" w:hAnsiTheme="minorHAnsi"/>
          <w:iCs/>
          <w:snapToGrid w:val="0"/>
          <w:color w:val="000000" w:themeColor="text1"/>
        </w:rPr>
        <w:t xml:space="preserve"> against Cd, hence</w:t>
      </w:r>
      <w:r w:rsidR="00763A10" w:rsidRPr="008E7C4C">
        <w:rPr>
          <w:rFonts w:asciiTheme="minorHAnsi" w:hAnsiTheme="minorHAnsi"/>
          <w:iCs/>
          <w:snapToGrid w:val="0"/>
          <w:color w:val="000000" w:themeColor="text1"/>
        </w:rPr>
        <w:t xml:space="preserve">, the </w:t>
      </w:r>
      <w:r w:rsidR="00922BFA" w:rsidRPr="008E7C4C">
        <w:rPr>
          <w:rFonts w:asciiTheme="minorHAnsi" w:hAnsiTheme="minorHAnsi"/>
          <w:iCs/>
          <w:snapToGrid w:val="0"/>
          <w:color w:val="000000" w:themeColor="text1"/>
        </w:rPr>
        <w:t xml:space="preserve">PBAC </w:t>
      </w:r>
      <w:r w:rsidR="00763A10" w:rsidRPr="008E7C4C">
        <w:rPr>
          <w:rFonts w:asciiTheme="minorHAnsi" w:hAnsiTheme="minorHAnsi"/>
          <w:iCs/>
          <w:snapToGrid w:val="0"/>
          <w:color w:val="000000" w:themeColor="text1"/>
        </w:rPr>
        <w:t>considered that</w:t>
      </w:r>
      <w:r w:rsidR="00CC25DE" w:rsidRPr="008E7C4C">
        <w:rPr>
          <w:rFonts w:asciiTheme="minorHAnsi" w:hAnsiTheme="minorHAnsi"/>
          <w:iCs/>
          <w:snapToGrid w:val="0"/>
          <w:color w:val="000000" w:themeColor="text1"/>
        </w:rPr>
        <w:t xml:space="preserve"> the issues previously identified remain</w:t>
      </w:r>
      <w:r w:rsidR="00763A10" w:rsidRPr="008E7C4C">
        <w:rPr>
          <w:rFonts w:asciiTheme="minorHAnsi" w:hAnsiTheme="minorHAnsi"/>
          <w:iCs/>
          <w:snapToGrid w:val="0"/>
          <w:color w:val="000000" w:themeColor="text1"/>
        </w:rPr>
        <w:t>ed</w:t>
      </w:r>
      <w:r w:rsidR="00CC25DE" w:rsidRPr="008E7C4C">
        <w:rPr>
          <w:rFonts w:asciiTheme="minorHAnsi" w:hAnsiTheme="minorHAnsi"/>
          <w:iCs/>
          <w:snapToGrid w:val="0"/>
          <w:color w:val="000000" w:themeColor="text1"/>
        </w:rPr>
        <w:t xml:space="preserve"> and </w:t>
      </w:r>
      <w:r w:rsidR="00763A10" w:rsidRPr="008E7C4C">
        <w:rPr>
          <w:rFonts w:asciiTheme="minorHAnsi" w:hAnsiTheme="minorHAnsi"/>
          <w:iCs/>
          <w:snapToGrid w:val="0"/>
          <w:color w:val="000000" w:themeColor="text1"/>
        </w:rPr>
        <w:t xml:space="preserve">that </w:t>
      </w:r>
      <w:r w:rsidR="00CC25DE" w:rsidRPr="008E7C4C">
        <w:rPr>
          <w:rFonts w:asciiTheme="minorHAnsi" w:hAnsiTheme="minorHAnsi"/>
          <w:iCs/>
          <w:snapToGrid w:val="0"/>
          <w:color w:val="000000" w:themeColor="text1"/>
        </w:rPr>
        <w:t xml:space="preserve">the claim </w:t>
      </w:r>
      <w:r w:rsidR="00763A10" w:rsidRPr="008E7C4C">
        <w:rPr>
          <w:rFonts w:asciiTheme="minorHAnsi" w:hAnsiTheme="minorHAnsi"/>
          <w:iCs/>
          <w:snapToGrid w:val="0"/>
          <w:color w:val="000000" w:themeColor="text1"/>
        </w:rPr>
        <w:t>wa</w:t>
      </w:r>
      <w:r w:rsidR="00CC25DE" w:rsidRPr="008E7C4C">
        <w:rPr>
          <w:rFonts w:asciiTheme="minorHAnsi" w:hAnsiTheme="minorHAnsi"/>
          <w:iCs/>
          <w:snapToGrid w:val="0"/>
          <w:color w:val="000000" w:themeColor="text1"/>
        </w:rPr>
        <w:t>s unsupported by the evidence</w:t>
      </w:r>
      <w:r w:rsidR="00CC25DE" w:rsidRPr="008E7C4C">
        <w:rPr>
          <w:rFonts w:asciiTheme="minorHAnsi" w:hAnsiTheme="minorHAnsi"/>
          <w:iCs/>
          <w:snapToGrid w:val="0"/>
          <w:color w:val="0066FF"/>
        </w:rPr>
        <w:t>.</w:t>
      </w:r>
    </w:p>
    <w:p w14:paraId="076B57C9" w14:textId="77777777" w:rsidR="00CC25DE" w:rsidRPr="008E7C4C" w:rsidRDefault="00CC25DE" w:rsidP="00B46730">
      <w:pPr>
        <w:pStyle w:val="4-SubsectionHeading"/>
      </w:pPr>
      <w:bookmarkStart w:id="25" w:name="_Toc22897645"/>
      <w:bookmarkStart w:id="26" w:name="_Toc93487442"/>
      <w:r w:rsidRPr="008E7C4C">
        <w:t>Economic analysis</w:t>
      </w:r>
      <w:bookmarkEnd w:id="25"/>
      <w:bookmarkEnd w:id="26"/>
      <w:r w:rsidRPr="008E7C4C">
        <w:t xml:space="preserve"> </w:t>
      </w:r>
    </w:p>
    <w:p w14:paraId="3C135F1C" w14:textId="6B5360A6" w:rsidR="00CC25DE" w:rsidRPr="008E7C4C" w:rsidRDefault="00CC25DE" w:rsidP="00CC25DE">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 xml:space="preserve">The </w:t>
      </w:r>
      <w:r w:rsidR="004A7F58" w:rsidRPr="008E7C4C">
        <w:rPr>
          <w:rFonts w:asciiTheme="minorHAnsi" w:hAnsiTheme="minorHAnsi"/>
          <w:snapToGrid w:val="0"/>
          <w:color w:val="000000" w:themeColor="text1"/>
        </w:rPr>
        <w:t>resubmission</w:t>
      </w:r>
      <w:r w:rsidRPr="008E7C4C">
        <w:rPr>
          <w:rFonts w:asciiTheme="minorHAnsi" w:hAnsiTheme="minorHAnsi"/>
          <w:snapToGrid w:val="0"/>
          <w:color w:val="000000" w:themeColor="text1"/>
        </w:rPr>
        <w:t xml:space="preserve"> </w:t>
      </w:r>
      <w:proofErr w:type="gramStart"/>
      <w:r w:rsidRPr="008E7C4C">
        <w:rPr>
          <w:rFonts w:asciiTheme="minorHAnsi" w:hAnsiTheme="minorHAnsi"/>
          <w:snapToGrid w:val="0"/>
          <w:color w:val="000000" w:themeColor="text1"/>
        </w:rPr>
        <w:t>presented  a</w:t>
      </w:r>
      <w:proofErr w:type="gramEnd"/>
      <w:r w:rsidRPr="008E7C4C">
        <w:rPr>
          <w:rFonts w:asciiTheme="minorHAnsi" w:hAnsiTheme="minorHAnsi"/>
          <w:snapToGrid w:val="0"/>
          <w:color w:val="000000" w:themeColor="text1"/>
        </w:rPr>
        <w:t xml:space="preserve"> cost-effectiveness analysis (CEA) and </w:t>
      </w:r>
      <w:r w:rsidR="004A7F58" w:rsidRPr="008E7C4C">
        <w:rPr>
          <w:rFonts w:asciiTheme="minorHAnsi" w:hAnsiTheme="minorHAnsi"/>
          <w:snapToGrid w:val="0"/>
          <w:color w:val="000000" w:themeColor="text1"/>
        </w:rPr>
        <w:t xml:space="preserve">a </w:t>
      </w:r>
      <w:r w:rsidRPr="008E7C4C">
        <w:rPr>
          <w:rFonts w:asciiTheme="minorHAnsi" w:hAnsiTheme="minorHAnsi"/>
          <w:snapToGrid w:val="0"/>
          <w:color w:val="000000" w:themeColor="text1"/>
        </w:rPr>
        <w:t xml:space="preserve">cost-utility analysis (CUA). Health benefits were reported as life years </w:t>
      </w:r>
      <w:r w:rsidR="004F59E7" w:rsidRPr="008E7C4C">
        <w:rPr>
          <w:rFonts w:asciiTheme="minorHAnsi" w:hAnsiTheme="minorHAnsi"/>
          <w:snapToGrid w:val="0"/>
          <w:color w:val="000000" w:themeColor="text1"/>
        </w:rPr>
        <w:t>(L</w:t>
      </w:r>
      <w:r w:rsidR="00C647EE" w:rsidRPr="008E7C4C">
        <w:rPr>
          <w:rFonts w:asciiTheme="minorHAnsi" w:hAnsiTheme="minorHAnsi"/>
          <w:snapToGrid w:val="0"/>
          <w:color w:val="000000" w:themeColor="text1"/>
        </w:rPr>
        <w:t>Y</w:t>
      </w:r>
      <w:r w:rsidR="004F59E7" w:rsidRPr="008E7C4C">
        <w:rPr>
          <w:rFonts w:asciiTheme="minorHAnsi" w:hAnsiTheme="minorHAnsi"/>
          <w:snapToGrid w:val="0"/>
          <w:color w:val="000000" w:themeColor="text1"/>
        </w:rPr>
        <w:t xml:space="preserve">s) </w:t>
      </w:r>
      <w:proofErr w:type="gramStart"/>
      <w:r w:rsidRPr="008E7C4C">
        <w:rPr>
          <w:rFonts w:asciiTheme="minorHAnsi" w:hAnsiTheme="minorHAnsi"/>
          <w:snapToGrid w:val="0"/>
          <w:color w:val="000000" w:themeColor="text1"/>
        </w:rPr>
        <w:t>gained</w:t>
      </w:r>
      <w:proofErr w:type="gramEnd"/>
      <w:r w:rsidRPr="008E7C4C">
        <w:rPr>
          <w:rFonts w:asciiTheme="minorHAnsi" w:hAnsiTheme="minorHAnsi"/>
          <w:snapToGrid w:val="0"/>
          <w:color w:val="000000" w:themeColor="text1"/>
        </w:rPr>
        <w:t xml:space="preserve"> and quality adjusted life years (QALYs) gained. The key points from the economic evaluation are summarised in Table </w:t>
      </w:r>
      <w:r w:rsidR="007E51A8" w:rsidRPr="008E7C4C">
        <w:rPr>
          <w:rFonts w:asciiTheme="minorHAnsi" w:hAnsiTheme="minorHAnsi"/>
          <w:snapToGrid w:val="0"/>
          <w:color w:val="000000" w:themeColor="text1"/>
        </w:rPr>
        <w:t>12</w:t>
      </w:r>
      <w:r w:rsidRPr="008E7C4C">
        <w:rPr>
          <w:rFonts w:asciiTheme="minorHAnsi" w:hAnsiTheme="minorHAnsi"/>
          <w:snapToGrid w:val="0"/>
          <w:color w:val="000000" w:themeColor="text1"/>
        </w:rPr>
        <w:t>.</w:t>
      </w:r>
    </w:p>
    <w:p w14:paraId="4E348BA3" w14:textId="0703135C" w:rsidR="00CC25DE" w:rsidRPr="008E7C4C" w:rsidRDefault="00CC25DE" w:rsidP="00CC25DE">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lastRenderedPageBreak/>
        <w:t xml:space="preserve">Table </w:t>
      </w:r>
      <w:r w:rsidR="007E51A8" w:rsidRPr="008E7C4C">
        <w:rPr>
          <w:rFonts w:ascii="Arial Narrow" w:eastAsiaTheme="majorEastAsia" w:hAnsi="Arial Narrow" w:cstheme="majorBidi"/>
          <w:b/>
          <w:bCs/>
          <w:sz w:val="20"/>
        </w:rPr>
        <w:t>12</w:t>
      </w:r>
      <w:r w:rsidRPr="008E7C4C">
        <w:rPr>
          <w:rFonts w:ascii="Arial Narrow" w:eastAsiaTheme="majorEastAsia" w:hAnsi="Arial Narrow" w:cstheme="majorBidi"/>
          <w:b/>
          <w:bCs/>
          <w:sz w:val="20"/>
        </w:rPr>
        <w:t xml:space="preserve">: Summary of model structure, key </w:t>
      </w:r>
      <w:proofErr w:type="gramStart"/>
      <w:r w:rsidRPr="008E7C4C">
        <w:rPr>
          <w:rFonts w:ascii="Arial Narrow" w:eastAsiaTheme="majorEastAsia" w:hAnsi="Arial Narrow" w:cstheme="majorBidi"/>
          <w:b/>
          <w:bCs/>
          <w:sz w:val="20"/>
        </w:rPr>
        <w:t>inputs</w:t>
      </w:r>
      <w:proofErr w:type="gramEnd"/>
      <w:r w:rsidRPr="008E7C4C">
        <w:rPr>
          <w:rFonts w:ascii="Arial Narrow" w:eastAsiaTheme="majorEastAsia" w:hAnsi="Arial Narrow" w:cstheme="majorBidi"/>
          <w:b/>
          <w:bCs/>
          <w:sz w:val="20"/>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7"/>
        <w:gridCol w:w="6499"/>
      </w:tblGrid>
      <w:tr w:rsidR="00CC25DE" w:rsidRPr="008E7C4C" w14:paraId="5BFD4588" w14:textId="77777777" w:rsidTr="006D7D90">
        <w:trPr>
          <w:tblHeader/>
        </w:trPr>
        <w:tc>
          <w:tcPr>
            <w:tcW w:w="1396" w:type="pct"/>
            <w:shd w:val="clear" w:color="auto" w:fill="auto"/>
            <w:vAlign w:val="center"/>
          </w:tcPr>
          <w:p w14:paraId="50DDDD95" w14:textId="77777777" w:rsidR="00CC25DE" w:rsidRPr="008E7C4C" w:rsidRDefault="00CC25DE" w:rsidP="00CC25DE">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Component</w:t>
            </w:r>
          </w:p>
        </w:tc>
        <w:tc>
          <w:tcPr>
            <w:tcW w:w="3604" w:type="pct"/>
            <w:shd w:val="clear" w:color="auto" w:fill="auto"/>
            <w:vAlign w:val="center"/>
          </w:tcPr>
          <w:p w14:paraId="6A8A7026" w14:textId="77777777" w:rsidR="00CC25DE" w:rsidRPr="008E7C4C" w:rsidRDefault="00CC25DE" w:rsidP="00CC25DE">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Summary</w:t>
            </w:r>
          </w:p>
        </w:tc>
      </w:tr>
      <w:tr w:rsidR="00CC25DE" w:rsidRPr="008E7C4C" w14:paraId="1110A897" w14:textId="77777777" w:rsidTr="006D7D90">
        <w:tc>
          <w:tcPr>
            <w:tcW w:w="1396" w:type="pct"/>
            <w:shd w:val="clear" w:color="auto" w:fill="auto"/>
            <w:vAlign w:val="center"/>
          </w:tcPr>
          <w:p w14:paraId="1E61698B"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Treatments</w:t>
            </w:r>
          </w:p>
        </w:tc>
        <w:tc>
          <w:tcPr>
            <w:tcW w:w="3604" w:type="pct"/>
            <w:shd w:val="clear" w:color="auto" w:fill="auto"/>
            <w:vAlign w:val="center"/>
          </w:tcPr>
          <w:p w14:paraId="1A1ACBFF" w14:textId="77777777" w:rsidR="00CC25DE" w:rsidRPr="008E7C4C" w:rsidRDefault="00CC25DE" w:rsidP="00CC25DE">
            <w:pPr>
              <w:keepNext/>
              <w:jc w:val="left"/>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ILd</w:t>
            </w:r>
            <w:proofErr w:type="spellEnd"/>
            <w:r w:rsidRPr="008E7C4C">
              <w:rPr>
                <w:rFonts w:ascii="Arial Narrow" w:eastAsiaTheme="majorEastAsia" w:hAnsi="Arial Narrow" w:cstheme="majorBidi"/>
                <w:bCs/>
                <w:sz w:val="20"/>
              </w:rPr>
              <w:t xml:space="preserve"> vs </w:t>
            </w:r>
            <w:proofErr w:type="spellStart"/>
            <w:r w:rsidRPr="008E7C4C">
              <w:rPr>
                <w:rFonts w:ascii="Arial Narrow" w:eastAsiaTheme="majorEastAsia" w:hAnsi="Arial Narrow" w:cstheme="majorBidi"/>
                <w:bCs/>
                <w:sz w:val="20"/>
              </w:rPr>
              <w:t>Ld</w:t>
            </w:r>
            <w:proofErr w:type="spellEnd"/>
          </w:p>
        </w:tc>
      </w:tr>
      <w:tr w:rsidR="00CC25DE" w:rsidRPr="008E7C4C" w14:paraId="576FFFBF" w14:textId="77777777" w:rsidTr="006D7D90">
        <w:tc>
          <w:tcPr>
            <w:tcW w:w="1396" w:type="pct"/>
            <w:shd w:val="clear" w:color="auto" w:fill="auto"/>
            <w:vAlign w:val="center"/>
          </w:tcPr>
          <w:p w14:paraId="4720701D"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Time horizon</w:t>
            </w:r>
          </w:p>
        </w:tc>
        <w:tc>
          <w:tcPr>
            <w:tcW w:w="3604" w:type="pct"/>
            <w:shd w:val="clear" w:color="auto" w:fill="auto"/>
            <w:vAlign w:val="center"/>
          </w:tcPr>
          <w:p w14:paraId="4279D869" w14:textId="1A0E1996"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20 years in the model base case versus 85 months in TMM-1</w:t>
            </w:r>
            <w:r w:rsidR="0072335D" w:rsidRPr="008E7C4C">
              <w:rPr>
                <w:rFonts w:ascii="Arial Narrow" w:eastAsiaTheme="majorEastAsia" w:hAnsi="Arial Narrow" w:cstheme="majorBidi"/>
                <w:bCs/>
                <w:sz w:val="20"/>
              </w:rPr>
              <w:t>. The PSCR presented a respecified base case in which the time horizon was 15 years.</w:t>
            </w:r>
          </w:p>
        </w:tc>
      </w:tr>
      <w:tr w:rsidR="00CC25DE" w:rsidRPr="008E7C4C" w14:paraId="7A5ADB11" w14:textId="77777777" w:rsidTr="006D7D90">
        <w:tc>
          <w:tcPr>
            <w:tcW w:w="1396" w:type="pct"/>
            <w:shd w:val="clear" w:color="auto" w:fill="auto"/>
            <w:vAlign w:val="center"/>
          </w:tcPr>
          <w:p w14:paraId="7EB326CA"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Outcomes</w:t>
            </w:r>
          </w:p>
        </w:tc>
        <w:tc>
          <w:tcPr>
            <w:tcW w:w="3604" w:type="pct"/>
            <w:shd w:val="clear" w:color="auto" w:fill="auto"/>
            <w:vAlign w:val="center"/>
          </w:tcPr>
          <w:p w14:paraId="39E3FC82" w14:textId="75BD189A"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LYs and QALYs</w:t>
            </w:r>
            <w:r w:rsidR="004F59E7" w:rsidRPr="008E7C4C">
              <w:rPr>
                <w:rFonts w:ascii="Arial Narrow" w:eastAsiaTheme="majorEastAsia" w:hAnsi="Arial Narrow" w:cstheme="majorBidi"/>
                <w:bCs/>
                <w:sz w:val="20"/>
              </w:rPr>
              <w:t xml:space="preserve"> gained</w:t>
            </w:r>
          </w:p>
        </w:tc>
      </w:tr>
      <w:tr w:rsidR="00CC25DE" w:rsidRPr="008E7C4C" w14:paraId="7EF89873" w14:textId="77777777" w:rsidTr="006D7D90">
        <w:tc>
          <w:tcPr>
            <w:tcW w:w="1396" w:type="pct"/>
            <w:shd w:val="clear" w:color="auto" w:fill="auto"/>
            <w:vAlign w:val="center"/>
          </w:tcPr>
          <w:p w14:paraId="0A932533"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Methods used to generate results</w:t>
            </w:r>
          </w:p>
        </w:tc>
        <w:tc>
          <w:tcPr>
            <w:tcW w:w="3604" w:type="pct"/>
            <w:shd w:val="clear" w:color="auto" w:fill="auto"/>
            <w:vAlign w:val="center"/>
          </w:tcPr>
          <w:p w14:paraId="4A06B91E"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Cohort-based partitioned survival model</w:t>
            </w:r>
          </w:p>
        </w:tc>
      </w:tr>
      <w:tr w:rsidR="00CC25DE" w:rsidRPr="008E7C4C" w14:paraId="062E5529" w14:textId="77777777" w:rsidTr="006D7D90">
        <w:tc>
          <w:tcPr>
            <w:tcW w:w="1396" w:type="pct"/>
            <w:shd w:val="clear" w:color="auto" w:fill="auto"/>
            <w:vAlign w:val="center"/>
          </w:tcPr>
          <w:p w14:paraId="21FD6AD7"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Health states</w:t>
            </w:r>
          </w:p>
        </w:tc>
        <w:tc>
          <w:tcPr>
            <w:tcW w:w="3604" w:type="pct"/>
            <w:shd w:val="clear" w:color="auto" w:fill="auto"/>
            <w:vAlign w:val="center"/>
          </w:tcPr>
          <w:p w14:paraId="11F885B6"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Three health states are included in the model: pre-progression, post-</w:t>
            </w:r>
            <w:proofErr w:type="gramStart"/>
            <w:r w:rsidRPr="008E7C4C">
              <w:rPr>
                <w:rFonts w:ascii="Arial Narrow" w:eastAsiaTheme="majorEastAsia" w:hAnsi="Arial Narrow" w:cstheme="majorBidi"/>
                <w:bCs/>
                <w:sz w:val="20"/>
              </w:rPr>
              <w:t>progression</w:t>
            </w:r>
            <w:proofErr w:type="gramEnd"/>
            <w:r w:rsidRPr="008E7C4C">
              <w:rPr>
                <w:rFonts w:ascii="Arial Narrow" w:eastAsiaTheme="majorEastAsia" w:hAnsi="Arial Narrow" w:cstheme="majorBidi"/>
                <w:bCs/>
                <w:sz w:val="20"/>
              </w:rPr>
              <w:t xml:space="preserve"> and death</w:t>
            </w:r>
          </w:p>
        </w:tc>
      </w:tr>
      <w:tr w:rsidR="00CC25DE" w:rsidRPr="008E7C4C" w14:paraId="0BAB9D2A" w14:textId="77777777" w:rsidTr="006D7D90">
        <w:tc>
          <w:tcPr>
            <w:tcW w:w="1396" w:type="pct"/>
            <w:shd w:val="clear" w:color="auto" w:fill="auto"/>
            <w:vAlign w:val="center"/>
          </w:tcPr>
          <w:p w14:paraId="3A85C8A8"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Cycle length</w:t>
            </w:r>
          </w:p>
        </w:tc>
        <w:tc>
          <w:tcPr>
            <w:tcW w:w="3604" w:type="pct"/>
            <w:shd w:val="clear" w:color="auto" w:fill="auto"/>
            <w:vAlign w:val="center"/>
          </w:tcPr>
          <w:p w14:paraId="396FA8CD"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1 week</w:t>
            </w:r>
          </w:p>
        </w:tc>
      </w:tr>
      <w:tr w:rsidR="00CC25DE" w:rsidRPr="008E7C4C" w14:paraId="0E59A6DF" w14:textId="77777777" w:rsidTr="006D7D90">
        <w:tc>
          <w:tcPr>
            <w:tcW w:w="1396" w:type="pct"/>
            <w:shd w:val="clear" w:color="auto" w:fill="auto"/>
            <w:vAlign w:val="center"/>
          </w:tcPr>
          <w:p w14:paraId="51B8FBD2" w14:textId="3AD93295"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Allocation to health states </w:t>
            </w:r>
          </w:p>
        </w:tc>
        <w:tc>
          <w:tcPr>
            <w:tcW w:w="3604" w:type="pct"/>
            <w:shd w:val="clear" w:color="auto" w:fill="auto"/>
            <w:vAlign w:val="center"/>
          </w:tcPr>
          <w:p w14:paraId="40A17D88" w14:textId="124D18B9" w:rsidR="00CC25DE" w:rsidRPr="008E7C4C" w:rsidRDefault="00CC25DE" w:rsidP="005B6366">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The KM estimates were derived from TMM-1 </w:t>
            </w:r>
            <w:r w:rsidR="00E10BBE" w:rsidRPr="008E7C4C">
              <w:rPr>
                <w:rFonts w:ascii="Arial Narrow" w:eastAsiaTheme="majorEastAsia" w:hAnsi="Arial Narrow" w:cstheme="majorBidi"/>
                <w:bCs/>
                <w:sz w:val="20"/>
              </w:rPr>
              <w:t xml:space="preserve">(2-3 </w:t>
            </w:r>
            <w:r w:rsidR="00B91C73" w:rsidRPr="008E7C4C">
              <w:rPr>
                <w:rFonts w:ascii="Arial Narrow" w:eastAsiaTheme="majorEastAsia" w:hAnsi="Arial Narrow" w:cstheme="majorBidi"/>
                <w:bCs/>
                <w:sz w:val="20"/>
              </w:rPr>
              <w:t>prior</w:t>
            </w:r>
            <w:r w:rsidR="00E10BBE" w:rsidRPr="008E7C4C">
              <w:rPr>
                <w:rFonts w:ascii="Arial Narrow" w:eastAsiaTheme="majorEastAsia" w:hAnsi="Arial Narrow" w:cstheme="majorBidi"/>
                <w:bCs/>
                <w:sz w:val="20"/>
              </w:rPr>
              <w:t xml:space="preserve"> lines of therapy subgroup was used for OS, PFS and </w:t>
            </w:r>
            <w:proofErr w:type="spellStart"/>
            <w:r w:rsidR="00E10BBE" w:rsidRPr="008E7C4C">
              <w:rPr>
                <w:rFonts w:ascii="Arial Narrow" w:eastAsiaTheme="majorEastAsia" w:hAnsi="Arial Narrow" w:cstheme="majorBidi"/>
                <w:bCs/>
                <w:sz w:val="20"/>
              </w:rPr>
              <w:t>ToT</w:t>
            </w:r>
            <w:proofErr w:type="spellEnd"/>
            <w:r w:rsidR="00E10BBE" w:rsidRPr="008E7C4C">
              <w:rPr>
                <w:rFonts w:ascii="Arial Narrow" w:eastAsiaTheme="majorEastAsia" w:hAnsi="Arial Narrow" w:cstheme="majorBidi"/>
                <w:bCs/>
                <w:sz w:val="20"/>
              </w:rPr>
              <w:t xml:space="preserve"> outcomes</w:t>
            </w:r>
            <w:r w:rsidR="005B6366" w:rsidRPr="008E7C4C">
              <w:rPr>
                <w:rFonts w:ascii="Arial Narrow" w:eastAsiaTheme="majorEastAsia" w:hAnsi="Arial Narrow" w:cstheme="majorBidi"/>
                <w:bCs/>
                <w:sz w:val="20"/>
              </w:rPr>
              <w:t>)</w:t>
            </w:r>
          </w:p>
        </w:tc>
      </w:tr>
      <w:tr w:rsidR="00CC25DE" w:rsidRPr="008E7C4C" w14:paraId="6D9A9FED" w14:textId="77777777" w:rsidTr="006D7D90">
        <w:tc>
          <w:tcPr>
            <w:tcW w:w="1396" w:type="pct"/>
            <w:shd w:val="clear" w:color="auto" w:fill="auto"/>
            <w:vAlign w:val="center"/>
          </w:tcPr>
          <w:p w14:paraId="20637209"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Treatment effect adjustment</w:t>
            </w:r>
          </w:p>
        </w:tc>
        <w:tc>
          <w:tcPr>
            <w:tcW w:w="3604" w:type="pct"/>
            <w:shd w:val="clear" w:color="auto" w:fill="auto"/>
            <w:vAlign w:val="center"/>
          </w:tcPr>
          <w:p w14:paraId="221A7F84" w14:textId="15F1E3F0" w:rsidR="00CC25DE" w:rsidRPr="008E7C4C" w:rsidRDefault="00CC25DE" w:rsidP="005B6366">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Adjustment of OS </w:t>
            </w:r>
            <w:r w:rsidR="004F59E7" w:rsidRPr="008E7C4C">
              <w:rPr>
                <w:rFonts w:ascii="Arial Narrow" w:eastAsiaTheme="majorEastAsia" w:hAnsi="Arial Narrow" w:cstheme="majorBidi"/>
                <w:bCs/>
                <w:sz w:val="20"/>
              </w:rPr>
              <w:t xml:space="preserve">HR for patients who had received 2-3 prior therapies </w:t>
            </w:r>
            <w:r w:rsidRPr="008E7C4C">
              <w:rPr>
                <w:rFonts w:ascii="Arial Narrow" w:eastAsiaTheme="majorEastAsia" w:hAnsi="Arial Narrow" w:cstheme="majorBidi"/>
                <w:bCs/>
                <w:sz w:val="20"/>
              </w:rPr>
              <w:t>for post-progression treatments using two-stage method with re-censoring. The treatments w</w:t>
            </w:r>
            <w:r w:rsidR="005B6366" w:rsidRPr="008E7C4C">
              <w:rPr>
                <w:rFonts w:ascii="Arial Narrow" w:eastAsiaTheme="majorEastAsia" w:hAnsi="Arial Narrow" w:cstheme="majorBidi"/>
                <w:bCs/>
                <w:sz w:val="20"/>
              </w:rPr>
              <w:t>ere</w:t>
            </w:r>
            <w:r w:rsidRPr="008E7C4C">
              <w:rPr>
                <w:rFonts w:ascii="Arial Narrow" w:eastAsiaTheme="majorEastAsia" w:hAnsi="Arial Narrow" w:cstheme="majorBidi"/>
                <w:bCs/>
                <w:sz w:val="20"/>
              </w:rPr>
              <w:t xml:space="preserve"> incorrectly specified </w:t>
            </w:r>
            <w:r w:rsidR="005B6366" w:rsidRPr="008E7C4C">
              <w:rPr>
                <w:rFonts w:ascii="Arial Narrow" w:eastAsiaTheme="majorEastAsia" w:hAnsi="Arial Narrow" w:cstheme="majorBidi"/>
                <w:bCs/>
                <w:sz w:val="20"/>
              </w:rPr>
              <w:t xml:space="preserve">(did not reflect Australian clinical practice) </w:t>
            </w:r>
            <w:r w:rsidRPr="008E7C4C">
              <w:rPr>
                <w:rFonts w:ascii="Arial Narrow" w:eastAsiaTheme="majorEastAsia" w:hAnsi="Arial Narrow" w:cstheme="majorBidi"/>
                <w:bCs/>
                <w:sz w:val="20"/>
              </w:rPr>
              <w:t xml:space="preserve">and the TSE method is subject to bias especially in relation to re-censoring. </w:t>
            </w:r>
          </w:p>
        </w:tc>
      </w:tr>
      <w:tr w:rsidR="00CC25DE" w:rsidRPr="008E7C4C" w14:paraId="2D335A61" w14:textId="77777777" w:rsidTr="006D7D90">
        <w:tc>
          <w:tcPr>
            <w:tcW w:w="1396" w:type="pct"/>
            <w:shd w:val="clear" w:color="auto" w:fill="auto"/>
            <w:vAlign w:val="center"/>
          </w:tcPr>
          <w:p w14:paraId="5FF6310B"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Extrapolation method</w:t>
            </w:r>
          </w:p>
        </w:tc>
        <w:tc>
          <w:tcPr>
            <w:tcW w:w="3604" w:type="pct"/>
            <w:shd w:val="clear" w:color="auto" w:fill="auto"/>
            <w:vAlign w:val="center"/>
          </w:tcPr>
          <w:p w14:paraId="02C46D35"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Parametric model fitted to each treatment arm with Generalised Gamma selected in base case for OS, and Weibull for PFS and </w:t>
            </w:r>
            <w:proofErr w:type="spellStart"/>
            <w:r w:rsidRPr="008E7C4C">
              <w:rPr>
                <w:rFonts w:ascii="Arial Narrow" w:eastAsiaTheme="majorEastAsia" w:hAnsi="Arial Narrow" w:cstheme="majorBidi"/>
                <w:bCs/>
                <w:sz w:val="20"/>
              </w:rPr>
              <w:t>ToT</w:t>
            </w:r>
            <w:r w:rsidRPr="008E7C4C">
              <w:rPr>
                <w:rFonts w:ascii="Arial Narrow" w:eastAsiaTheme="majorEastAsia" w:hAnsi="Arial Narrow" w:cstheme="majorBidi"/>
                <w:bCs/>
                <w:sz w:val="20"/>
                <w:vertAlign w:val="superscript"/>
              </w:rPr>
              <w:t>a</w:t>
            </w:r>
            <w:proofErr w:type="spellEnd"/>
            <w:r w:rsidRPr="008E7C4C">
              <w:rPr>
                <w:rFonts w:ascii="Arial Narrow" w:eastAsiaTheme="majorEastAsia" w:hAnsi="Arial Narrow" w:cstheme="majorBidi"/>
                <w:bCs/>
                <w:sz w:val="20"/>
              </w:rPr>
              <w:t xml:space="preserve"> based on goodness of fit; parametric model fitted to entire dataset with treatment group included as a covariate and assuming proportional hazards. </w:t>
            </w:r>
          </w:p>
          <w:p w14:paraId="449E478C"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No convergence of OS and PFS was implemented, however PFS was restricted to OS if PFS&gt; OS.</w:t>
            </w:r>
          </w:p>
          <w:p w14:paraId="072B8FAB" w14:textId="1B5695DE" w:rsidR="00CC25DE" w:rsidRPr="008E7C4C" w:rsidRDefault="00CC25DE" w:rsidP="00CC25DE">
            <w:pPr>
              <w:keepNext/>
              <w:jc w:val="left"/>
              <w:rPr>
                <w:rFonts w:ascii="Arial Narrow" w:eastAsiaTheme="majorEastAsia" w:hAnsi="Arial Narrow" w:cstheme="majorBidi"/>
                <w:bCs/>
                <w:sz w:val="20"/>
              </w:rPr>
            </w:pPr>
            <w:proofErr w:type="gramStart"/>
            <w:r w:rsidRPr="008E7C4C">
              <w:rPr>
                <w:rFonts w:ascii="Arial Narrow" w:eastAsiaTheme="majorEastAsia" w:hAnsi="Arial Narrow" w:cstheme="majorBidi"/>
                <w:bCs/>
                <w:sz w:val="20"/>
              </w:rPr>
              <w:t>Extrapolation</w:t>
            </w:r>
            <w:proofErr w:type="gramEnd"/>
            <w:r w:rsidRPr="008E7C4C">
              <w:rPr>
                <w:rFonts w:ascii="Arial Narrow" w:eastAsiaTheme="majorEastAsia" w:hAnsi="Arial Narrow" w:cstheme="majorBidi"/>
                <w:bCs/>
                <w:sz w:val="20"/>
              </w:rPr>
              <w:t xml:space="preserve"> point for PFS and </w:t>
            </w:r>
            <w:proofErr w:type="spellStart"/>
            <w:r w:rsidRPr="008E7C4C">
              <w:rPr>
                <w:rFonts w:ascii="Arial Narrow" w:eastAsiaTheme="majorEastAsia" w:hAnsi="Arial Narrow" w:cstheme="majorBidi"/>
                <w:bCs/>
                <w:sz w:val="20"/>
              </w:rPr>
              <w:t>ToT</w:t>
            </w:r>
            <w:proofErr w:type="spellEnd"/>
            <w:r w:rsidRPr="008E7C4C">
              <w:rPr>
                <w:rFonts w:ascii="Arial Narrow" w:eastAsiaTheme="majorEastAsia" w:hAnsi="Arial Narrow" w:cstheme="majorBidi"/>
                <w:bCs/>
                <w:sz w:val="20"/>
              </w:rPr>
              <w:t xml:space="preserve"> </w:t>
            </w:r>
            <w:r w:rsidR="004F59E7" w:rsidRPr="008E7C4C">
              <w:rPr>
                <w:rFonts w:ascii="Arial Narrow" w:eastAsiaTheme="majorEastAsia" w:hAnsi="Arial Narrow" w:cstheme="majorBidi"/>
                <w:bCs/>
                <w:sz w:val="20"/>
              </w:rPr>
              <w:t xml:space="preserve">= </w:t>
            </w:r>
            <w:r w:rsidRPr="008E7C4C">
              <w:rPr>
                <w:rFonts w:ascii="Arial Narrow" w:eastAsiaTheme="majorEastAsia" w:hAnsi="Arial Narrow" w:cstheme="majorBidi"/>
                <w:bCs/>
                <w:sz w:val="20"/>
              </w:rPr>
              <w:t xml:space="preserve">20 months; OS extrapolation curve </w:t>
            </w:r>
            <w:r w:rsidR="004F59E7" w:rsidRPr="008E7C4C">
              <w:rPr>
                <w:rFonts w:ascii="Arial Narrow" w:eastAsiaTheme="majorEastAsia" w:hAnsi="Arial Narrow" w:cstheme="majorBidi"/>
                <w:bCs/>
                <w:sz w:val="20"/>
              </w:rPr>
              <w:t xml:space="preserve">was applied </w:t>
            </w:r>
            <w:r w:rsidRPr="008E7C4C">
              <w:rPr>
                <w:rFonts w:ascii="Arial Narrow" w:eastAsiaTheme="majorEastAsia" w:hAnsi="Arial Narrow" w:cstheme="majorBidi"/>
                <w:bCs/>
                <w:sz w:val="20"/>
              </w:rPr>
              <w:t xml:space="preserve">from </w:t>
            </w:r>
            <w:r w:rsidR="004F59E7" w:rsidRPr="008E7C4C">
              <w:rPr>
                <w:rFonts w:ascii="Arial Narrow" w:eastAsiaTheme="majorEastAsia" w:hAnsi="Arial Narrow" w:cstheme="majorBidi"/>
                <w:bCs/>
                <w:sz w:val="20"/>
              </w:rPr>
              <w:t>0 months</w:t>
            </w:r>
            <w:r w:rsidRPr="008E7C4C">
              <w:rPr>
                <w:rFonts w:ascii="Arial Narrow" w:eastAsiaTheme="majorEastAsia" w:hAnsi="Arial Narrow" w:cstheme="majorBidi"/>
                <w:bCs/>
                <w:sz w:val="20"/>
              </w:rPr>
              <w:t>.</w:t>
            </w:r>
            <w:r w:rsidR="0072335D" w:rsidRPr="008E7C4C">
              <w:rPr>
                <w:rFonts w:ascii="Arial Narrow" w:eastAsiaTheme="majorEastAsia" w:hAnsi="Arial Narrow" w:cstheme="majorBidi"/>
                <w:bCs/>
                <w:sz w:val="20"/>
              </w:rPr>
              <w:t xml:space="preserve"> The PSCR presented a respecified base case in which the generalised gamma curve was applied to OS from 50 months.</w:t>
            </w:r>
          </w:p>
        </w:tc>
      </w:tr>
      <w:tr w:rsidR="00CC25DE" w:rsidRPr="008E7C4C" w14:paraId="4614661D" w14:textId="77777777" w:rsidTr="006D7D90">
        <w:tc>
          <w:tcPr>
            <w:tcW w:w="1396" w:type="pct"/>
            <w:shd w:val="clear" w:color="auto" w:fill="auto"/>
            <w:vAlign w:val="center"/>
          </w:tcPr>
          <w:p w14:paraId="261F0B1D"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Health related quality of life</w:t>
            </w:r>
          </w:p>
        </w:tc>
        <w:tc>
          <w:tcPr>
            <w:tcW w:w="3604" w:type="pct"/>
            <w:shd w:val="clear" w:color="auto" w:fill="auto"/>
            <w:vAlign w:val="center"/>
          </w:tcPr>
          <w:p w14:paraId="0FFA2324"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Utility values from TMM-1 based on EQ-5D converted using UK weights.</w:t>
            </w:r>
          </w:p>
          <w:p w14:paraId="0A22DA1F"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Progression-free state was a weighted mean of VGR = 0.692, PR = 0.699 and SD = 0.665; Progressed = 0.667. </w:t>
            </w:r>
          </w:p>
          <w:p w14:paraId="76169A05"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Decrement related to AEs (Grade 3 or 4), hospitalizations and end of life (0-3 months pre-death) were also included.</w:t>
            </w:r>
          </w:p>
          <w:p w14:paraId="5C1FABF3" w14:textId="3CE8EEDB" w:rsidR="00CC25DE" w:rsidRPr="008E7C4C" w:rsidRDefault="002A0C27"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Although it is unclear, it </w:t>
            </w:r>
            <w:r w:rsidR="00CC25DE" w:rsidRPr="008E7C4C">
              <w:rPr>
                <w:rFonts w:ascii="Arial Narrow" w:eastAsiaTheme="majorEastAsia" w:hAnsi="Arial Narrow" w:cstheme="majorBidi"/>
                <w:bCs/>
                <w:sz w:val="20"/>
              </w:rPr>
              <w:t xml:space="preserve">appears that the </w:t>
            </w:r>
            <w:r w:rsidRPr="008E7C4C">
              <w:rPr>
                <w:rFonts w:ascii="Arial Narrow" w:eastAsiaTheme="majorEastAsia" w:hAnsi="Arial Narrow" w:cstheme="majorBidi"/>
                <w:bCs/>
                <w:sz w:val="20"/>
              </w:rPr>
              <w:t xml:space="preserve">utility </w:t>
            </w:r>
            <w:r w:rsidR="00CC25DE" w:rsidRPr="008E7C4C">
              <w:rPr>
                <w:rFonts w:ascii="Arial Narrow" w:eastAsiaTheme="majorEastAsia" w:hAnsi="Arial Narrow" w:cstheme="majorBidi"/>
                <w:bCs/>
                <w:sz w:val="20"/>
              </w:rPr>
              <w:t xml:space="preserve">data represents </w:t>
            </w:r>
            <w:r w:rsidRPr="008E7C4C">
              <w:rPr>
                <w:rFonts w:ascii="Arial Narrow" w:eastAsiaTheme="majorEastAsia" w:hAnsi="Arial Narrow" w:cstheme="majorBidi"/>
                <w:bCs/>
                <w:sz w:val="20"/>
              </w:rPr>
              <w:t xml:space="preserve">the </w:t>
            </w:r>
            <w:r w:rsidR="00CC25DE" w:rsidRPr="008E7C4C">
              <w:rPr>
                <w:rFonts w:ascii="Arial Narrow" w:eastAsiaTheme="majorEastAsia" w:hAnsi="Arial Narrow" w:cstheme="majorBidi"/>
                <w:bCs/>
                <w:sz w:val="20"/>
              </w:rPr>
              <w:t>ITT population and not the subgroup of interest</w:t>
            </w:r>
            <w:r w:rsidRPr="008E7C4C">
              <w:rPr>
                <w:rFonts w:ascii="Arial Narrow" w:eastAsiaTheme="majorEastAsia" w:hAnsi="Arial Narrow" w:cstheme="majorBidi"/>
                <w:bCs/>
                <w:sz w:val="20"/>
              </w:rPr>
              <w:t xml:space="preserve"> (</w:t>
            </w:r>
            <w:proofErr w:type="gramStart"/>
            <w:r w:rsidRPr="008E7C4C">
              <w:rPr>
                <w:rFonts w:ascii="Arial Narrow" w:eastAsiaTheme="majorEastAsia" w:hAnsi="Arial Narrow" w:cstheme="majorBidi"/>
                <w:bCs/>
                <w:sz w:val="20"/>
              </w:rPr>
              <w:t>i.e.</w:t>
            </w:r>
            <w:proofErr w:type="gramEnd"/>
            <w:r w:rsidRPr="008E7C4C">
              <w:rPr>
                <w:rFonts w:ascii="Arial Narrow" w:eastAsiaTheme="majorEastAsia" w:hAnsi="Arial Narrow" w:cstheme="majorBidi"/>
                <w:bCs/>
                <w:sz w:val="20"/>
              </w:rPr>
              <w:t xml:space="preserve"> those who had received 2-3 prior lines of therapy)</w:t>
            </w:r>
            <w:r w:rsidR="00CC25DE" w:rsidRPr="008E7C4C">
              <w:rPr>
                <w:rFonts w:ascii="Arial Narrow" w:eastAsiaTheme="majorEastAsia" w:hAnsi="Arial Narrow" w:cstheme="majorBidi"/>
                <w:bCs/>
                <w:sz w:val="20"/>
              </w:rPr>
              <w:t>.</w:t>
            </w:r>
          </w:p>
        </w:tc>
      </w:tr>
      <w:tr w:rsidR="00CC25DE" w:rsidRPr="008E7C4C" w14:paraId="3FA9234C" w14:textId="77777777" w:rsidTr="006D7D90">
        <w:tc>
          <w:tcPr>
            <w:tcW w:w="1396" w:type="pct"/>
            <w:shd w:val="clear" w:color="auto" w:fill="auto"/>
            <w:vAlign w:val="center"/>
          </w:tcPr>
          <w:p w14:paraId="179E4266"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AE costs </w:t>
            </w:r>
          </w:p>
        </w:tc>
        <w:tc>
          <w:tcPr>
            <w:tcW w:w="3604" w:type="pct"/>
            <w:shd w:val="clear" w:color="auto" w:fill="auto"/>
            <w:vAlign w:val="center"/>
          </w:tcPr>
          <w:p w14:paraId="2D66110E" w14:textId="741B49F0"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The estimated AEs cost per cycle for </w:t>
            </w:r>
            <w:proofErr w:type="spellStart"/>
            <w:r w:rsidRPr="008E7C4C">
              <w:rPr>
                <w:rFonts w:ascii="Arial Narrow" w:eastAsiaTheme="majorEastAsia" w:hAnsi="Arial Narrow" w:cstheme="majorBidi"/>
                <w:bCs/>
                <w:sz w:val="20"/>
              </w:rPr>
              <w:t>ILd</w:t>
            </w:r>
            <w:proofErr w:type="spellEnd"/>
            <w:r w:rsidRPr="008E7C4C">
              <w:rPr>
                <w:rFonts w:ascii="Arial Narrow" w:eastAsiaTheme="majorEastAsia" w:hAnsi="Arial Narrow" w:cstheme="majorBidi"/>
                <w:bCs/>
                <w:sz w:val="20"/>
              </w:rPr>
              <w:t xml:space="preserve"> was $</w:t>
            </w:r>
            <w:r w:rsidR="00951174" w:rsidRPr="00951174">
              <w:rPr>
                <w:rFonts w:ascii="Arial Narrow" w:eastAsiaTheme="majorEastAsia" w:hAnsi="Arial Narrow" w:cstheme="majorBidi"/>
                <w:bCs/>
                <w:color w:val="000000"/>
                <w:spacing w:val="45"/>
                <w:sz w:val="20"/>
                <w:shd w:val="solid" w:color="000000" w:fill="000000"/>
                <w:fitText w:val="330" w:id="-1502411520"/>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5"/>
                <w:sz w:val="20"/>
                <w:shd w:val="solid" w:color="000000" w:fill="000000"/>
                <w:fitText w:val="330" w:id="-1502411520"/>
                <w14:textFill>
                  <w14:solidFill>
                    <w14:srgbClr w14:val="000000">
                      <w14:alpha w14:val="100000"/>
                    </w14:srgbClr>
                  </w14:solidFill>
                </w14:textFill>
              </w:rPr>
              <w:t>|</w:t>
            </w:r>
            <w:r w:rsidRPr="008E7C4C">
              <w:rPr>
                <w:rFonts w:ascii="Arial Narrow" w:eastAsiaTheme="majorEastAsia" w:hAnsi="Arial Narrow" w:cstheme="majorBidi"/>
                <w:bCs/>
                <w:sz w:val="20"/>
              </w:rPr>
              <w:t xml:space="preserve"> and for </w:t>
            </w:r>
            <w:proofErr w:type="spellStart"/>
            <w:r w:rsidRPr="008E7C4C">
              <w:rPr>
                <w:rFonts w:ascii="Arial Narrow" w:eastAsiaTheme="majorEastAsia" w:hAnsi="Arial Narrow" w:cstheme="majorBidi"/>
                <w:bCs/>
                <w:sz w:val="20"/>
              </w:rPr>
              <w:t>Ld</w:t>
            </w:r>
            <w:proofErr w:type="spellEnd"/>
            <w:r w:rsidRPr="008E7C4C">
              <w:rPr>
                <w:rFonts w:ascii="Arial Narrow" w:eastAsiaTheme="majorEastAsia" w:hAnsi="Arial Narrow" w:cstheme="majorBidi"/>
                <w:bCs/>
                <w:sz w:val="20"/>
              </w:rPr>
              <w:t xml:space="preserve"> $</w:t>
            </w:r>
            <w:r w:rsidR="00951174" w:rsidRPr="00951174">
              <w:rPr>
                <w:rFonts w:ascii="Arial Narrow" w:eastAsiaTheme="majorEastAsia" w:hAnsi="Arial Narrow" w:cstheme="majorBidi"/>
                <w:bCs/>
                <w:color w:val="000000"/>
                <w:spacing w:val="45"/>
                <w:sz w:val="20"/>
                <w:shd w:val="solid" w:color="000000" w:fill="000000"/>
                <w:fitText w:val="330" w:id="-1502411519"/>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5"/>
                <w:sz w:val="20"/>
                <w:shd w:val="solid" w:color="000000" w:fill="000000"/>
                <w:fitText w:val="330" w:id="-1502411519"/>
                <w14:textFill>
                  <w14:solidFill>
                    <w14:srgbClr w14:val="000000">
                      <w14:alpha w14:val="100000"/>
                    </w14:srgbClr>
                  </w14:solidFill>
                </w14:textFill>
              </w:rPr>
              <w:t>|</w:t>
            </w:r>
            <w:r w:rsidRPr="008E7C4C">
              <w:rPr>
                <w:rFonts w:ascii="Arial Narrow" w:eastAsiaTheme="majorEastAsia" w:hAnsi="Arial Narrow" w:cstheme="majorBidi"/>
                <w:bCs/>
                <w:sz w:val="20"/>
              </w:rPr>
              <w:t xml:space="preserve">. </w:t>
            </w:r>
            <w:r w:rsidR="002A0C27" w:rsidRPr="008E7C4C">
              <w:rPr>
                <w:rFonts w:ascii="Arial Narrow" w:eastAsiaTheme="majorEastAsia" w:hAnsi="Arial Narrow" w:cstheme="majorBidi"/>
                <w:bCs/>
                <w:sz w:val="20"/>
              </w:rPr>
              <w:t>This was n</w:t>
            </w:r>
            <w:r w:rsidRPr="008E7C4C">
              <w:rPr>
                <w:rFonts w:ascii="Arial Narrow" w:eastAsiaTheme="majorEastAsia" w:hAnsi="Arial Narrow" w:cstheme="majorBidi"/>
                <w:bCs/>
                <w:sz w:val="20"/>
              </w:rPr>
              <w:t>ot consistent with the claim of non-inferiority. The source of the AE rates could not be verified.</w:t>
            </w:r>
          </w:p>
        </w:tc>
      </w:tr>
      <w:tr w:rsidR="00CC25DE" w:rsidRPr="008E7C4C" w14:paraId="362D1C5B" w14:textId="77777777" w:rsidTr="006D7D90">
        <w:tc>
          <w:tcPr>
            <w:tcW w:w="1396" w:type="pct"/>
            <w:shd w:val="clear" w:color="auto" w:fill="auto"/>
            <w:vAlign w:val="center"/>
          </w:tcPr>
          <w:p w14:paraId="56BBF2F3"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Post progression therapy cost (subsequent therapy)</w:t>
            </w:r>
          </w:p>
        </w:tc>
        <w:tc>
          <w:tcPr>
            <w:tcW w:w="3604" w:type="pct"/>
            <w:shd w:val="clear" w:color="auto" w:fill="auto"/>
            <w:vAlign w:val="center"/>
          </w:tcPr>
          <w:p w14:paraId="0364340A" w14:textId="661C8D86"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Subsequent therapies were costed as per PBS schedule, median duration based on literature, therapies not available on PBS were costed as thalidomide with dexamethasone ($</w:t>
            </w:r>
            <w:r w:rsidR="00951174" w:rsidRPr="00951174">
              <w:rPr>
                <w:rFonts w:ascii="Arial Narrow" w:eastAsiaTheme="majorEastAsia" w:hAnsi="Arial Narrow" w:cstheme="majorBidi"/>
                <w:bCs/>
                <w:color w:val="000000"/>
                <w:spacing w:val="45"/>
                <w:sz w:val="20"/>
                <w:shd w:val="solid" w:color="000000" w:fill="000000"/>
                <w:fitText w:val="330" w:id="-1502411518"/>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5"/>
                <w:sz w:val="20"/>
                <w:shd w:val="solid" w:color="000000" w:fill="000000"/>
                <w:fitText w:val="330" w:id="-1502411518"/>
                <w14:textFill>
                  <w14:solidFill>
                    <w14:srgbClr w14:val="000000">
                      <w14:alpha w14:val="100000"/>
                    </w14:srgbClr>
                  </w14:solidFill>
                </w14:textFill>
              </w:rPr>
              <w:t>|</w:t>
            </w:r>
            <w:r w:rsidRPr="008E7C4C">
              <w:rPr>
                <w:rFonts w:ascii="Arial Narrow" w:eastAsiaTheme="majorEastAsia" w:hAnsi="Arial Narrow" w:cstheme="majorBidi"/>
                <w:bCs/>
                <w:sz w:val="20"/>
              </w:rPr>
              <w:t xml:space="preserve">). </w:t>
            </w:r>
          </w:p>
        </w:tc>
      </w:tr>
      <w:tr w:rsidR="00CC25DE" w:rsidRPr="008E7C4C" w14:paraId="620E7D6A" w14:textId="77777777" w:rsidTr="006D7D90">
        <w:tc>
          <w:tcPr>
            <w:tcW w:w="1396" w:type="pct"/>
            <w:shd w:val="clear" w:color="auto" w:fill="auto"/>
            <w:vAlign w:val="center"/>
          </w:tcPr>
          <w:p w14:paraId="7BA595CA" w14:textId="77777777" w:rsidR="00CC25DE" w:rsidRPr="008E7C4C" w:rsidRDefault="00CC25DE" w:rsidP="00CC25DE">
            <w:pPr>
              <w:keepNext/>
              <w:jc w:val="left"/>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Ixazomib</w:t>
            </w:r>
            <w:proofErr w:type="spellEnd"/>
            <w:r w:rsidRPr="008E7C4C">
              <w:rPr>
                <w:rFonts w:ascii="Arial Narrow" w:eastAsiaTheme="majorEastAsia" w:hAnsi="Arial Narrow" w:cstheme="majorBidi"/>
                <w:bCs/>
                <w:sz w:val="20"/>
              </w:rPr>
              <w:t xml:space="preserve"> cost</w:t>
            </w:r>
          </w:p>
        </w:tc>
        <w:tc>
          <w:tcPr>
            <w:tcW w:w="3604" w:type="pct"/>
            <w:shd w:val="clear" w:color="auto" w:fill="auto"/>
            <w:vAlign w:val="center"/>
          </w:tcPr>
          <w:p w14:paraId="1A705235" w14:textId="46EC8F6A"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Resubmission used an indicative AEMP for </w:t>
            </w:r>
            <w:proofErr w:type="spellStart"/>
            <w:r w:rsidRPr="008E7C4C">
              <w:rPr>
                <w:rFonts w:ascii="Arial Narrow" w:eastAsiaTheme="majorEastAsia" w:hAnsi="Arial Narrow" w:cstheme="majorBidi"/>
                <w:bCs/>
                <w:sz w:val="20"/>
              </w:rPr>
              <w:t>ixazomib</w:t>
            </w:r>
            <w:proofErr w:type="spellEnd"/>
            <w:r w:rsidRPr="008E7C4C">
              <w:rPr>
                <w:rFonts w:ascii="Arial Narrow" w:eastAsiaTheme="majorEastAsia" w:hAnsi="Arial Narrow" w:cstheme="majorBidi"/>
                <w:bCs/>
                <w:sz w:val="20"/>
              </w:rPr>
              <w:t xml:space="preserve"> of $</w:t>
            </w:r>
            <w:r w:rsidR="00951174" w:rsidRPr="00951174">
              <w:rPr>
                <w:rFonts w:ascii="Arial Narrow" w:eastAsiaTheme="majorEastAsia" w:hAnsi="Arial Narrow" w:cstheme="majorBidi"/>
                <w:bCs/>
                <w:color w:val="000000"/>
                <w:spacing w:val="45"/>
                <w:sz w:val="20"/>
                <w:shd w:val="solid" w:color="000000" w:fill="000000"/>
                <w:fitText w:val="330" w:id="-1502411517"/>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5"/>
                <w:sz w:val="20"/>
                <w:shd w:val="solid" w:color="000000" w:fill="000000"/>
                <w:fitText w:val="330" w:id="-1502411517"/>
                <w14:textFill>
                  <w14:solidFill>
                    <w14:srgbClr w14:val="000000">
                      <w14:alpha w14:val="100000"/>
                    </w14:srgbClr>
                  </w14:solidFill>
                </w14:textFill>
              </w:rPr>
              <w:t>|</w:t>
            </w:r>
            <w:r w:rsidRPr="008E7C4C">
              <w:rPr>
                <w:rFonts w:ascii="Arial Narrow" w:eastAsiaTheme="majorEastAsia" w:hAnsi="Arial Narrow" w:cstheme="majorBidi"/>
                <w:bCs/>
                <w:sz w:val="20"/>
              </w:rPr>
              <w:t xml:space="preserve">. </w:t>
            </w:r>
          </w:p>
        </w:tc>
      </w:tr>
    </w:tbl>
    <w:p w14:paraId="60EE3442" w14:textId="77777777" w:rsidR="00CC25DE"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Source: Compiled during evaluation.</w:t>
      </w:r>
    </w:p>
    <w:p w14:paraId="2D579F45" w14:textId="7FFA8377" w:rsidR="00CC25DE"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AE</w:t>
      </w:r>
      <w:r w:rsidR="008B58A6" w:rsidRPr="008E7C4C">
        <w:rPr>
          <w:rFonts w:ascii="Arial Narrow" w:hAnsi="Arial Narrow"/>
          <w:snapToGrid w:val="0"/>
          <w:sz w:val="18"/>
          <w:szCs w:val="22"/>
        </w:rPr>
        <w:t xml:space="preserve"> </w:t>
      </w:r>
      <w:r w:rsidRPr="008E7C4C">
        <w:rPr>
          <w:rFonts w:ascii="Arial Narrow" w:hAnsi="Arial Narrow"/>
          <w:snapToGrid w:val="0"/>
          <w:sz w:val="18"/>
          <w:szCs w:val="22"/>
        </w:rPr>
        <w:t xml:space="preserve">= adverse event; </w:t>
      </w:r>
      <w:proofErr w:type="spellStart"/>
      <w:r w:rsidRPr="008E7C4C">
        <w:rPr>
          <w:rFonts w:ascii="Arial Narrow" w:hAnsi="Arial Narrow"/>
          <w:snapToGrid w:val="0"/>
          <w:sz w:val="18"/>
          <w:szCs w:val="22"/>
        </w:rPr>
        <w:t>ILd</w:t>
      </w:r>
      <w:proofErr w:type="spellEnd"/>
      <w:r w:rsidR="008B58A6" w:rsidRPr="008E7C4C">
        <w:rPr>
          <w:rFonts w:ascii="Arial Narrow" w:hAnsi="Arial Narrow"/>
          <w:snapToGrid w:val="0"/>
          <w:sz w:val="18"/>
          <w:szCs w:val="22"/>
        </w:rPr>
        <w:t xml:space="preserve"> </w:t>
      </w:r>
      <w:r w:rsidRPr="008E7C4C">
        <w:rPr>
          <w:rFonts w:ascii="Arial Narrow" w:hAnsi="Arial Narrow"/>
          <w:snapToGrid w:val="0"/>
          <w:sz w:val="18"/>
          <w:szCs w:val="22"/>
        </w:rPr>
        <w:t xml:space="preserve">= </w:t>
      </w:r>
      <w:proofErr w:type="spellStart"/>
      <w:r w:rsidRPr="008E7C4C">
        <w:rPr>
          <w:rFonts w:ascii="Arial Narrow" w:hAnsi="Arial Narrow"/>
          <w:snapToGrid w:val="0"/>
          <w:sz w:val="18"/>
          <w:szCs w:val="22"/>
        </w:rPr>
        <w:t>ixazomib</w:t>
      </w:r>
      <w:proofErr w:type="spellEnd"/>
      <w:r w:rsidRPr="008E7C4C">
        <w:rPr>
          <w:rFonts w:ascii="Arial Narrow" w:hAnsi="Arial Narrow"/>
          <w:snapToGrid w:val="0"/>
          <w:sz w:val="18"/>
          <w:szCs w:val="22"/>
        </w:rPr>
        <w:t xml:space="preserve"> + lenalidomide + dexamethasone; </w:t>
      </w:r>
      <w:proofErr w:type="spellStart"/>
      <w:r w:rsidRPr="008E7C4C">
        <w:rPr>
          <w:rFonts w:ascii="Arial Narrow" w:hAnsi="Arial Narrow"/>
          <w:snapToGrid w:val="0"/>
          <w:sz w:val="18"/>
          <w:szCs w:val="22"/>
        </w:rPr>
        <w:t>Ld</w:t>
      </w:r>
      <w:proofErr w:type="spellEnd"/>
      <w:r w:rsidR="008B58A6" w:rsidRPr="008E7C4C">
        <w:rPr>
          <w:rFonts w:ascii="Arial Narrow" w:hAnsi="Arial Narrow"/>
          <w:snapToGrid w:val="0"/>
          <w:sz w:val="18"/>
          <w:szCs w:val="22"/>
        </w:rPr>
        <w:t xml:space="preserve"> </w:t>
      </w:r>
      <w:r w:rsidRPr="008E7C4C">
        <w:rPr>
          <w:rFonts w:ascii="Arial Narrow" w:hAnsi="Arial Narrow"/>
          <w:snapToGrid w:val="0"/>
          <w:sz w:val="18"/>
          <w:szCs w:val="22"/>
        </w:rPr>
        <w:t xml:space="preserve">= lenalidomide + dexamethasone; LYG = life years gained; </w:t>
      </w:r>
      <w:proofErr w:type="spellStart"/>
      <w:r w:rsidRPr="008E7C4C">
        <w:rPr>
          <w:rFonts w:ascii="Arial Narrow" w:hAnsi="Arial Narrow"/>
          <w:snapToGrid w:val="0"/>
          <w:sz w:val="18"/>
          <w:szCs w:val="22"/>
        </w:rPr>
        <w:t>ToT</w:t>
      </w:r>
      <w:proofErr w:type="spellEnd"/>
      <w:r w:rsidRPr="008E7C4C">
        <w:rPr>
          <w:rFonts w:ascii="Arial Narrow" w:hAnsi="Arial Narrow"/>
          <w:snapToGrid w:val="0"/>
          <w:sz w:val="18"/>
          <w:szCs w:val="22"/>
        </w:rPr>
        <w:t xml:space="preserve"> = time on treatment OS = overall survival; PFS = progression free survival; PR = partial response; SD = stable disease; QALY = quality adjusted life years; VGR = very good response.</w:t>
      </w:r>
    </w:p>
    <w:p w14:paraId="1585E4FF" w14:textId="163A7A14" w:rsidR="00CC25DE"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a</w:t>
      </w:r>
      <w:r w:rsidR="008B58A6" w:rsidRPr="008E7C4C">
        <w:rPr>
          <w:rFonts w:ascii="Arial Narrow" w:hAnsi="Arial Narrow"/>
          <w:snapToGrid w:val="0"/>
          <w:sz w:val="18"/>
          <w:szCs w:val="22"/>
        </w:rPr>
        <w:t>.</w:t>
      </w:r>
      <w:r w:rsidRPr="008E7C4C">
        <w:rPr>
          <w:rFonts w:ascii="Arial Narrow" w:hAnsi="Arial Narrow"/>
          <w:snapToGrid w:val="0"/>
          <w:sz w:val="18"/>
          <w:szCs w:val="22"/>
        </w:rPr>
        <w:t xml:space="preserve"> </w:t>
      </w:r>
      <w:proofErr w:type="spellStart"/>
      <w:r w:rsidRPr="008E7C4C">
        <w:rPr>
          <w:rFonts w:ascii="Arial Narrow" w:hAnsi="Arial Narrow"/>
          <w:snapToGrid w:val="0"/>
          <w:sz w:val="18"/>
          <w:szCs w:val="22"/>
        </w:rPr>
        <w:t>ToT</w:t>
      </w:r>
      <w:proofErr w:type="spellEnd"/>
      <w:r w:rsidRPr="008E7C4C">
        <w:rPr>
          <w:rFonts w:ascii="Arial Narrow" w:hAnsi="Arial Narrow"/>
          <w:snapToGrid w:val="0"/>
          <w:sz w:val="18"/>
          <w:szCs w:val="22"/>
        </w:rPr>
        <w:t xml:space="preserve"> was used to estimate the cost of treatment.</w:t>
      </w:r>
    </w:p>
    <w:p w14:paraId="4CAED6B0" w14:textId="77777777" w:rsidR="009D3002" w:rsidRPr="008E7C4C" w:rsidRDefault="009D3002" w:rsidP="00CC25DE">
      <w:pPr>
        <w:spacing w:after="120"/>
        <w:contextualSpacing/>
        <w:rPr>
          <w:rFonts w:ascii="Arial Narrow" w:hAnsi="Arial Narrow"/>
          <w:snapToGrid w:val="0"/>
          <w:sz w:val="18"/>
          <w:szCs w:val="22"/>
        </w:rPr>
      </w:pPr>
    </w:p>
    <w:p w14:paraId="6A6F05C9" w14:textId="74B0ECEC" w:rsidR="00CC25DE" w:rsidRPr="008E7C4C" w:rsidRDefault="00CC25DE" w:rsidP="00100383">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 xml:space="preserve">The proportion of patients receiving subsequent therapies was based on the therapies received by </w:t>
      </w:r>
      <w:r w:rsidR="00B25344" w:rsidRPr="008E7C4C">
        <w:rPr>
          <w:rFonts w:asciiTheme="minorHAnsi" w:hAnsiTheme="minorHAnsi"/>
          <w:snapToGrid w:val="0"/>
          <w:color w:val="000000" w:themeColor="text1"/>
        </w:rPr>
        <w:t xml:space="preserve">the subgroup of patients in </w:t>
      </w:r>
      <w:r w:rsidRPr="008E7C4C">
        <w:rPr>
          <w:rFonts w:asciiTheme="minorHAnsi" w:hAnsiTheme="minorHAnsi"/>
          <w:snapToGrid w:val="0"/>
          <w:color w:val="000000" w:themeColor="text1"/>
        </w:rPr>
        <w:t>TMM-1</w:t>
      </w:r>
      <w:r w:rsidR="00B91D6D" w:rsidRPr="008E7C4C">
        <w:rPr>
          <w:rFonts w:asciiTheme="minorHAnsi" w:hAnsiTheme="minorHAnsi"/>
          <w:snapToGrid w:val="0"/>
          <w:color w:val="000000" w:themeColor="text1"/>
        </w:rPr>
        <w:t xml:space="preserve"> </w:t>
      </w:r>
      <w:r w:rsidR="00B25344" w:rsidRPr="008E7C4C">
        <w:rPr>
          <w:rFonts w:asciiTheme="minorHAnsi" w:hAnsiTheme="minorHAnsi"/>
          <w:snapToGrid w:val="0"/>
          <w:color w:val="000000" w:themeColor="text1"/>
        </w:rPr>
        <w:t xml:space="preserve">that had received </w:t>
      </w:r>
      <w:r w:rsidR="00B91D6D" w:rsidRPr="008E7C4C">
        <w:rPr>
          <w:rFonts w:asciiTheme="minorHAnsi" w:hAnsiTheme="minorHAnsi"/>
          <w:snapToGrid w:val="0"/>
          <w:color w:val="000000" w:themeColor="text1"/>
        </w:rPr>
        <w:t xml:space="preserve">2-3 prior lines of </w:t>
      </w:r>
      <w:r w:rsidR="005340FE" w:rsidRPr="008E7C4C">
        <w:rPr>
          <w:rFonts w:asciiTheme="minorHAnsi" w:hAnsiTheme="minorHAnsi"/>
          <w:snapToGrid w:val="0"/>
          <w:color w:val="000000" w:themeColor="text1"/>
        </w:rPr>
        <w:t>therap</w:t>
      </w:r>
      <w:r w:rsidR="00B25344" w:rsidRPr="008E7C4C">
        <w:rPr>
          <w:rFonts w:asciiTheme="minorHAnsi" w:hAnsiTheme="minorHAnsi"/>
          <w:snapToGrid w:val="0"/>
          <w:color w:val="000000" w:themeColor="text1"/>
        </w:rPr>
        <w:t>ies which was then</w:t>
      </w:r>
      <w:r w:rsidRPr="008E7C4C">
        <w:rPr>
          <w:rFonts w:asciiTheme="minorHAnsi" w:hAnsiTheme="minorHAnsi"/>
          <w:snapToGrid w:val="0"/>
          <w:color w:val="000000" w:themeColor="text1"/>
        </w:rPr>
        <w:t xml:space="preserve"> adjusted for treatment switching.</w:t>
      </w:r>
      <w:r w:rsidR="00A23DC5" w:rsidRPr="008E7C4C">
        <w:rPr>
          <w:rFonts w:asciiTheme="minorHAnsi" w:hAnsiTheme="minorHAnsi"/>
          <w:snapToGrid w:val="0"/>
          <w:color w:val="000000" w:themeColor="text1"/>
        </w:rPr>
        <w:t xml:space="preserve"> </w:t>
      </w:r>
      <w:bookmarkStart w:id="27" w:name="_Hlk92713588"/>
      <w:r w:rsidR="004D197B" w:rsidRPr="008E7C4C">
        <w:rPr>
          <w:rFonts w:asciiTheme="minorHAnsi" w:hAnsiTheme="minorHAnsi"/>
          <w:snapToGrid w:val="0"/>
          <w:color w:val="000000" w:themeColor="text1"/>
        </w:rPr>
        <w:t xml:space="preserve">The economic model relied on subgroup data which may </w:t>
      </w:r>
      <w:r w:rsidR="007C7D38" w:rsidRPr="008E7C4C">
        <w:rPr>
          <w:rFonts w:asciiTheme="minorHAnsi" w:hAnsiTheme="minorHAnsi"/>
          <w:snapToGrid w:val="0"/>
          <w:color w:val="000000" w:themeColor="text1"/>
        </w:rPr>
        <w:t xml:space="preserve">have </w:t>
      </w:r>
      <w:r w:rsidR="004D197B" w:rsidRPr="008E7C4C">
        <w:rPr>
          <w:rFonts w:asciiTheme="minorHAnsi" w:hAnsiTheme="minorHAnsi"/>
          <w:snapToGrid w:val="0"/>
          <w:color w:val="000000" w:themeColor="text1"/>
        </w:rPr>
        <w:t>increase</w:t>
      </w:r>
      <w:r w:rsidR="007C7D38" w:rsidRPr="008E7C4C">
        <w:rPr>
          <w:rFonts w:asciiTheme="minorHAnsi" w:hAnsiTheme="minorHAnsi"/>
          <w:snapToGrid w:val="0"/>
          <w:color w:val="000000" w:themeColor="text1"/>
        </w:rPr>
        <w:t>d</w:t>
      </w:r>
      <w:r w:rsidR="004D197B" w:rsidRPr="008E7C4C">
        <w:rPr>
          <w:rFonts w:asciiTheme="minorHAnsi" w:hAnsiTheme="minorHAnsi"/>
          <w:snapToGrid w:val="0"/>
          <w:color w:val="000000" w:themeColor="text1"/>
        </w:rPr>
        <w:t xml:space="preserve"> uncertainty</w:t>
      </w:r>
      <w:r w:rsidR="007C7D38" w:rsidRPr="008E7C4C">
        <w:rPr>
          <w:rFonts w:asciiTheme="minorHAnsi" w:hAnsiTheme="minorHAnsi"/>
          <w:snapToGrid w:val="0"/>
          <w:color w:val="000000" w:themeColor="text1"/>
        </w:rPr>
        <w:t xml:space="preserve"> compared with a model based on ITT population</w:t>
      </w:r>
      <w:r w:rsidR="004D197B" w:rsidRPr="008E7C4C">
        <w:rPr>
          <w:rFonts w:asciiTheme="minorHAnsi" w:hAnsiTheme="minorHAnsi"/>
          <w:snapToGrid w:val="0"/>
          <w:color w:val="000000" w:themeColor="text1"/>
        </w:rPr>
        <w:t xml:space="preserve">.  </w:t>
      </w:r>
      <w:r w:rsidR="00A23DC5" w:rsidRPr="008E7C4C">
        <w:rPr>
          <w:rFonts w:asciiTheme="minorHAnsi" w:hAnsiTheme="minorHAnsi"/>
          <w:snapToGrid w:val="0"/>
          <w:color w:val="000000" w:themeColor="text1"/>
        </w:rPr>
        <w:t>Since the adjustment for</w:t>
      </w:r>
      <w:r w:rsidR="00F67B0A" w:rsidRPr="008E7C4C">
        <w:rPr>
          <w:rFonts w:asciiTheme="minorHAnsi" w:hAnsiTheme="minorHAnsi"/>
          <w:snapToGrid w:val="0"/>
          <w:color w:val="000000" w:themeColor="text1"/>
        </w:rPr>
        <w:t xml:space="preserve"> treatment</w:t>
      </w:r>
      <w:r w:rsidR="00A23DC5" w:rsidRPr="008E7C4C">
        <w:rPr>
          <w:rFonts w:asciiTheme="minorHAnsi" w:hAnsiTheme="minorHAnsi"/>
          <w:snapToGrid w:val="0"/>
          <w:color w:val="000000" w:themeColor="text1"/>
        </w:rPr>
        <w:t xml:space="preserve"> switching </w:t>
      </w:r>
      <w:r w:rsidR="00F67B0A" w:rsidRPr="008E7C4C">
        <w:rPr>
          <w:rFonts w:asciiTheme="minorHAnsi" w:hAnsiTheme="minorHAnsi"/>
          <w:snapToGrid w:val="0"/>
          <w:color w:val="000000" w:themeColor="text1"/>
        </w:rPr>
        <w:t xml:space="preserve">was conducted inappropriately (based on therapies available in the UK), </w:t>
      </w:r>
      <w:r w:rsidR="00BD526A" w:rsidRPr="008E7C4C">
        <w:rPr>
          <w:rFonts w:asciiTheme="minorHAnsi" w:hAnsiTheme="minorHAnsi"/>
          <w:snapToGrid w:val="0"/>
          <w:color w:val="000000" w:themeColor="text1"/>
        </w:rPr>
        <w:t xml:space="preserve">the ESC considered that </w:t>
      </w:r>
      <w:r w:rsidR="00F67B0A" w:rsidRPr="008E7C4C">
        <w:rPr>
          <w:rFonts w:asciiTheme="minorHAnsi" w:hAnsiTheme="minorHAnsi"/>
          <w:snapToGrid w:val="0"/>
          <w:color w:val="000000" w:themeColor="text1"/>
        </w:rPr>
        <w:t>this proportion is likely incorrect and</w:t>
      </w:r>
      <w:r w:rsidR="00E05284" w:rsidRPr="008E7C4C">
        <w:rPr>
          <w:rFonts w:asciiTheme="minorHAnsi" w:hAnsiTheme="minorHAnsi"/>
          <w:snapToGrid w:val="0"/>
          <w:color w:val="000000" w:themeColor="text1"/>
        </w:rPr>
        <w:t xml:space="preserve"> may lead to an underestimation </w:t>
      </w:r>
      <w:r w:rsidR="00E05284" w:rsidRPr="008E7C4C">
        <w:rPr>
          <w:rFonts w:asciiTheme="minorHAnsi" w:hAnsiTheme="minorHAnsi"/>
          <w:snapToGrid w:val="0"/>
          <w:color w:val="000000" w:themeColor="text1"/>
        </w:rPr>
        <w:lastRenderedPageBreak/>
        <w:t xml:space="preserve">of the </w:t>
      </w:r>
      <w:r w:rsidR="00111582" w:rsidRPr="008E7C4C">
        <w:rPr>
          <w:rFonts w:asciiTheme="minorHAnsi" w:hAnsiTheme="minorHAnsi"/>
          <w:snapToGrid w:val="0"/>
          <w:color w:val="000000" w:themeColor="text1"/>
        </w:rPr>
        <w:t xml:space="preserve">cost for post-progression therapies favouring </w:t>
      </w:r>
      <w:proofErr w:type="spellStart"/>
      <w:r w:rsidR="00111582" w:rsidRPr="008E7C4C">
        <w:rPr>
          <w:rFonts w:asciiTheme="minorHAnsi" w:hAnsiTheme="minorHAnsi"/>
          <w:snapToGrid w:val="0"/>
          <w:color w:val="000000" w:themeColor="text1"/>
        </w:rPr>
        <w:t>ILd</w:t>
      </w:r>
      <w:proofErr w:type="spellEnd"/>
      <w:r w:rsidR="00111582" w:rsidRPr="008E7C4C">
        <w:rPr>
          <w:rFonts w:asciiTheme="minorHAnsi" w:hAnsiTheme="minorHAnsi"/>
          <w:snapToGrid w:val="0"/>
          <w:color w:val="000000" w:themeColor="text1"/>
        </w:rPr>
        <w:t xml:space="preserve"> (</w:t>
      </w:r>
      <w:proofErr w:type="gramStart"/>
      <w:r w:rsidR="00111582" w:rsidRPr="008E7C4C">
        <w:rPr>
          <w:rFonts w:asciiTheme="minorHAnsi" w:hAnsiTheme="minorHAnsi"/>
          <w:snapToGrid w:val="0"/>
          <w:color w:val="000000" w:themeColor="text1"/>
        </w:rPr>
        <w:t>i.e.</w:t>
      </w:r>
      <w:proofErr w:type="gramEnd"/>
      <w:r w:rsidR="00111582" w:rsidRPr="008E7C4C">
        <w:rPr>
          <w:rFonts w:asciiTheme="minorHAnsi" w:hAnsiTheme="minorHAnsi"/>
          <w:snapToGrid w:val="0"/>
          <w:color w:val="000000" w:themeColor="text1"/>
        </w:rPr>
        <w:t xml:space="preserve"> Cd post-progression was excluded in the estimations)</w:t>
      </w:r>
      <w:bookmarkEnd w:id="27"/>
      <w:r w:rsidR="00BD526A" w:rsidRPr="008E7C4C">
        <w:rPr>
          <w:rFonts w:asciiTheme="minorHAnsi" w:hAnsiTheme="minorHAnsi"/>
          <w:snapToGrid w:val="0"/>
          <w:color w:val="000000" w:themeColor="text1"/>
        </w:rPr>
        <w:t xml:space="preserve"> – see </w:t>
      </w:r>
      <w:r w:rsidR="00F373E3" w:rsidRPr="008E7C4C">
        <w:rPr>
          <w:rFonts w:asciiTheme="minorHAnsi" w:hAnsiTheme="minorHAnsi"/>
          <w:snapToGrid w:val="0"/>
          <w:color w:val="000000" w:themeColor="text1"/>
        </w:rPr>
        <w:t>paragraphs</w:t>
      </w:r>
      <w:r w:rsidR="00BD526A" w:rsidRPr="008E7C4C">
        <w:rPr>
          <w:rFonts w:asciiTheme="minorHAnsi" w:hAnsiTheme="minorHAnsi"/>
          <w:snapToGrid w:val="0"/>
          <w:color w:val="000000" w:themeColor="text1"/>
        </w:rPr>
        <w:t xml:space="preserve"> 6.</w:t>
      </w:r>
      <w:r w:rsidR="00D2572A" w:rsidRPr="008E7C4C">
        <w:rPr>
          <w:rFonts w:asciiTheme="minorHAnsi" w:hAnsiTheme="minorHAnsi"/>
          <w:snapToGrid w:val="0"/>
          <w:color w:val="000000" w:themeColor="text1"/>
        </w:rPr>
        <w:t>19</w:t>
      </w:r>
      <w:r w:rsidR="00BD526A" w:rsidRPr="008E7C4C">
        <w:rPr>
          <w:rFonts w:asciiTheme="minorHAnsi" w:hAnsiTheme="minorHAnsi"/>
          <w:snapToGrid w:val="0"/>
          <w:color w:val="000000" w:themeColor="text1"/>
        </w:rPr>
        <w:t xml:space="preserve"> to 6.</w:t>
      </w:r>
      <w:r w:rsidR="002F5E4E" w:rsidRPr="008E7C4C">
        <w:rPr>
          <w:rFonts w:asciiTheme="minorHAnsi" w:hAnsiTheme="minorHAnsi"/>
          <w:snapToGrid w:val="0"/>
          <w:color w:val="000000" w:themeColor="text1"/>
        </w:rPr>
        <w:t>2</w:t>
      </w:r>
      <w:r w:rsidR="00D2572A" w:rsidRPr="008E7C4C">
        <w:rPr>
          <w:rFonts w:asciiTheme="minorHAnsi" w:hAnsiTheme="minorHAnsi"/>
          <w:snapToGrid w:val="0"/>
          <w:color w:val="000000" w:themeColor="text1"/>
        </w:rPr>
        <w:t>2</w:t>
      </w:r>
      <w:r w:rsidR="006736A6" w:rsidRPr="008E7C4C">
        <w:rPr>
          <w:rFonts w:asciiTheme="minorHAnsi" w:hAnsiTheme="minorHAnsi"/>
          <w:snapToGrid w:val="0"/>
          <w:color w:val="000000" w:themeColor="text1"/>
        </w:rPr>
        <w:t>.</w:t>
      </w:r>
    </w:p>
    <w:p w14:paraId="403DE6C8" w14:textId="6DBA99E1" w:rsidR="00CC25DE" w:rsidRPr="008E7C4C" w:rsidRDefault="00CC25DE" w:rsidP="00CC25DE">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The resubmission’s model considered a time horizon of 20 years.</w:t>
      </w:r>
      <w:r w:rsidRPr="008E7C4C">
        <w:rPr>
          <w:rFonts w:asciiTheme="minorHAnsi" w:hAnsiTheme="minorHAnsi"/>
          <w:snapToGrid w:val="0"/>
        </w:rPr>
        <w:t xml:space="preserve"> </w:t>
      </w:r>
      <w:r w:rsidRPr="008E7C4C">
        <w:rPr>
          <w:rFonts w:asciiTheme="minorHAnsi" w:hAnsiTheme="minorHAnsi"/>
          <w:snapToGrid w:val="0"/>
          <w:color w:val="000000" w:themeColor="text1"/>
        </w:rPr>
        <w:t xml:space="preserve">The extrapolation of OS was </w:t>
      </w:r>
      <w:r w:rsidR="001B28F0" w:rsidRPr="008E7C4C">
        <w:rPr>
          <w:rFonts w:asciiTheme="minorHAnsi" w:hAnsiTheme="minorHAnsi"/>
          <w:snapToGrid w:val="0"/>
          <w:color w:val="000000" w:themeColor="text1"/>
        </w:rPr>
        <w:t xml:space="preserve">applied </w:t>
      </w:r>
      <w:r w:rsidRPr="008E7C4C">
        <w:rPr>
          <w:rFonts w:asciiTheme="minorHAnsi" w:hAnsiTheme="minorHAnsi"/>
          <w:snapToGrid w:val="0"/>
          <w:color w:val="000000" w:themeColor="text1"/>
        </w:rPr>
        <w:t xml:space="preserve">over a 34-year period and the analysis was then truncated at 20 years. The PBAC </w:t>
      </w:r>
      <w:r w:rsidR="001B28F0" w:rsidRPr="008E7C4C">
        <w:rPr>
          <w:rFonts w:asciiTheme="minorHAnsi" w:hAnsiTheme="minorHAnsi"/>
          <w:snapToGrid w:val="0"/>
          <w:color w:val="000000" w:themeColor="text1"/>
        </w:rPr>
        <w:t xml:space="preserve">has previously </w:t>
      </w:r>
      <w:r w:rsidRPr="008E7C4C">
        <w:rPr>
          <w:rFonts w:asciiTheme="minorHAnsi" w:hAnsiTheme="minorHAnsi"/>
          <w:snapToGrid w:val="0"/>
          <w:color w:val="000000" w:themeColor="text1"/>
        </w:rPr>
        <w:t xml:space="preserve">considered that a 15-year time horizon </w:t>
      </w:r>
      <w:r w:rsidR="001B28F0" w:rsidRPr="008E7C4C">
        <w:rPr>
          <w:rFonts w:asciiTheme="minorHAnsi" w:hAnsiTheme="minorHAnsi"/>
          <w:snapToGrid w:val="0"/>
          <w:color w:val="000000" w:themeColor="text1"/>
        </w:rPr>
        <w:t xml:space="preserve">was </w:t>
      </w:r>
      <w:r w:rsidRPr="008E7C4C">
        <w:rPr>
          <w:rFonts w:asciiTheme="minorHAnsi" w:hAnsiTheme="minorHAnsi"/>
          <w:snapToGrid w:val="0"/>
          <w:color w:val="000000" w:themeColor="text1"/>
        </w:rPr>
        <w:t>reasonable for patients treated in the second-line setting (paragraph 7.12, daratumumab PSD, November 2019)</w:t>
      </w:r>
      <w:r w:rsidR="001B28F0" w:rsidRPr="008E7C4C">
        <w:rPr>
          <w:rFonts w:asciiTheme="minorHAnsi" w:hAnsiTheme="minorHAnsi"/>
          <w:snapToGrid w:val="0"/>
          <w:color w:val="000000" w:themeColor="text1"/>
        </w:rPr>
        <w:t xml:space="preserve">. As </w:t>
      </w:r>
      <w:r w:rsidRPr="008E7C4C">
        <w:rPr>
          <w:rFonts w:asciiTheme="minorHAnsi" w:hAnsiTheme="minorHAnsi"/>
          <w:snapToGrid w:val="0"/>
          <w:color w:val="000000" w:themeColor="text1"/>
        </w:rPr>
        <w:t xml:space="preserve">the resubmission is seeking listing for </w:t>
      </w:r>
      <w:r w:rsidR="001B28F0" w:rsidRPr="008E7C4C">
        <w:rPr>
          <w:rFonts w:asciiTheme="minorHAnsi" w:hAnsiTheme="minorHAnsi"/>
          <w:snapToGrid w:val="0"/>
          <w:color w:val="000000" w:themeColor="text1"/>
        </w:rPr>
        <w:t xml:space="preserve">the </w:t>
      </w:r>
      <w:r w:rsidRPr="008E7C4C">
        <w:rPr>
          <w:rFonts w:asciiTheme="minorHAnsi" w:hAnsiTheme="minorHAnsi"/>
          <w:snapToGrid w:val="0"/>
          <w:color w:val="000000" w:themeColor="text1"/>
        </w:rPr>
        <w:t>third line and beyond</w:t>
      </w:r>
      <w:r w:rsidR="001B28F0" w:rsidRPr="008E7C4C">
        <w:rPr>
          <w:rFonts w:asciiTheme="minorHAnsi" w:hAnsiTheme="minorHAnsi"/>
          <w:snapToGrid w:val="0"/>
          <w:color w:val="000000" w:themeColor="text1"/>
        </w:rPr>
        <w:t>, t</w:t>
      </w:r>
      <w:r w:rsidRPr="008E7C4C">
        <w:rPr>
          <w:rFonts w:asciiTheme="minorHAnsi" w:hAnsiTheme="minorHAnsi"/>
          <w:snapToGrid w:val="0"/>
          <w:color w:val="000000" w:themeColor="text1"/>
        </w:rPr>
        <w:t>he chosen time horizon was inappropriate</w:t>
      </w:r>
      <w:r w:rsidR="001B28F0" w:rsidRPr="008E7C4C">
        <w:rPr>
          <w:rFonts w:asciiTheme="minorHAnsi" w:hAnsiTheme="minorHAnsi"/>
          <w:snapToGrid w:val="0"/>
          <w:color w:val="000000" w:themeColor="text1"/>
        </w:rPr>
        <w:t>.</w:t>
      </w:r>
      <w:r w:rsidRPr="008E7C4C">
        <w:rPr>
          <w:rFonts w:asciiTheme="minorHAnsi" w:hAnsiTheme="minorHAnsi"/>
          <w:snapToGrid w:val="0"/>
          <w:color w:val="000000" w:themeColor="text1"/>
        </w:rPr>
        <w:t xml:space="preserve"> </w:t>
      </w:r>
      <w:r w:rsidR="00591313" w:rsidRPr="008E7C4C">
        <w:rPr>
          <w:rFonts w:asciiTheme="minorHAnsi" w:hAnsiTheme="minorHAnsi"/>
          <w:snapToGrid w:val="0"/>
          <w:color w:val="000000" w:themeColor="text1"/>
        </w:rPr>
        <w:t xml:space="preserve">The impact </w:t>
      </w:r>
      <w:r w:rsidR="001B28F0" w:rsidRPr="008E7C4C">
        <w:rPr>
          <w:rFonts w:asciiTheme="minorHAnsi" w:hAnsiTheme="minorHAnsi"/>
          <w:snapToGrid w:val="0"/>
          <w:color w:val="000000" w:themeColor="text1"/>
        </w:rPr>
        <w:t xml:space="preserve">of applying a shorter time horizon is presented in </w:t>
      </w:r>
      <w:r w:rsidR="00264359" w:rsidRPr="008E7C4C">
        <w:rPr>
          <w:rFonts w:asciiTheme="minorHAnsi" w:hAnsiTheme="minorHAnsi"/>
          <w:snapToGrid w:val="0"/>
          <w:color w:val="000000" w:themeColor="text1"/>
        </w:rPr>
        <w:t>Table 1</w:t>
      </w:r>
      <w:r w:rsidR="00605285" w:rsidRPr="008E7C4C">
        <w:rPr>
          <w:rFonts w:asciiTheme="minorHAnsi" w:hAnsiTheme="minorHAnsi"/>
          <w:snapToGrid w:val="0"/>
          <w:color w:val="000000" w:themeColor="text1"/>
        </w:rPr>
        <w:t>5</w:t>
      </w:r>
      <w:r w:rsidR="00591313" w:rsidRPr="008E7C4C">
        <w:rPr>
          <w:rFonts w:asciiTheme="minorHAnsi" w:hAnsiTheme="minorHAnsi"/>
          <w:snapToGrid w:val="0"/>
          <w:color w:val="000000" w:themeColor="text1"/>
        </w:rPr>
        <w:t>.</w:t>
      </w:r>
      <w:r w:rsidR="0072335D" w:rsidRPr="008E7C4C">
        <w:rPr>
          <w:rFonts w:asciiTheme="minorHAnsi" w:hAnsiTheme="minorHAnsi"/>
          <w:snapToGrid w:val="0"/>
          <w:color w:val="000000" w:themeColor="text1"/>
        </w:rPr>
        <w:t xml:space="preserve"> The PSCR </w:t>
      </w:r>
      <w:r w:rsidR="005B3407" w:rsidRPr="008E7C4C">
        <w:rPr>
          <w:rFonts w:asciiTheme="minorHAnsi" w:hAnsiTheme="minorHAnsi"/>
          <w:snapToGrid w:val="0"/>
          <w:color w:val="000000" w:themeColor="text1"/>
        </w:rPr>
        <w:t>and pre</w:t>
      </w:r>
      <w:r w:rsidR="00E96CFC" w:rsidRPr="008E7C4C">
        <w:rPr>
          <w:rFonts w:asciiTheme="minorHAnsi" w:hAnsiTheme="minorHAnsi"/>
          <w:snapToGrid w:val="0"/>
          <w:color w:val="000000" w:themeColor="text1"/>
        </w:rPr>
        <w:t>-</w:t>
      </w:r>
      <w:r w:rsidR="005B3407" w:rsidRPr="008E7C4C">
        <w:rPr>
          <w:rFonts w:asciiTheme="minorHAnsi" w:hAnsiTheme="minorHAnsi"/>
          <w:snapToGrid w:val="0"/>
          <w:color w:val="000000" w:themeColor="text1"/>
        </w:rPr>
        <w:t xml:space="preserve">PBAC response </w:t>
      </w:r>
      <w:r w:rsidR="0072335D" w:rsidRPr="008E7C4C">
        <w:rPr>
          <w:rFonts w:asciiTheme="minorHAnsi" w:hAnsiTheme="minorHAnsi"/>
          <w:snapToGrid w:val="0"/>
          <w:color w:val="000000" w:themeColor="text1"/>
        </w:rPr>
        <w:t>presented respecified base case</w:t>
      </w:r>
      <w:r w:rsidR="005B3407" w:rsidRPr="008E7C4C">
        <w:rPr>
          <w:rFonts w:asciiTheme="minorHAnsi" w:hAnsiTheme="minorHAnsi"/>
          <w:snapToGrid w:val="0"/>
          <w:color w:val="000000" w:themeColor="text1"/>
        </w:rPr>
        <w:t xml:space="preserve">s </w:t>
      </w:r>
      <w:r w:rsidR="0072335D" w:rsidRPr="008E7C4C">
        <w:rPr>
          <w:rFonts w:asciiTheme="minorHAnsi" w:hAnsiTheme="minorHAnsi"/>
          <w:snapToGrid w:val="0"/>
          <w:color w:val="000000" w:themeColor="text1"/>
        </w:rPr>
        <w:t>in which the time horizon was 15 years.</w:t>
      </w:r>
    </w:p>
    <w:p w14:paraId="21CB5CAD" w14:textId="211C29EA" w:rsidR="00CC25DE" w:rsidRPr="008E7C4C" w:rsidRDefault="00CC25DE" w:rsidP="00100383">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rPr>
        <w:t xml:space="preserve">For OS, the model used the adjusted parametric curve throughout the entire time horizon based on the latest data cut-off (85-months). </w:t>
      </w:r>
      <w:r w:rsidR="00BD526A" w:rsidRPr="008E7C4C">
        <w:rPr>
          <w:rFonts w:asciiTheme="minorHAnsi" w:hAnsiTheme="minorHAnsi"/>
          <w:snapToGrid w:val="0"/>
        </w:rPr>
        <w:t>The PBAC previously considered the use of fitted survival curves for the entire duration of the time horizon was inappropriate (paragraph 7.9, lenalidomide PSD, March 2018).</w:t>
      </w:r>
      <w:r w:rsidRPr="008E7C4C">
        <w:rPr>
          <w:rFonts w:asciiTheme="minorHAnsi" w:hAnsiTheme="minorHAnsi"/>
          <w:snapToGrid w:val="0"/>
        </w:rPr>
        <w:t xml:space="preserve"> Direct time-to-event data from the KM </w:t>
      </w:r>
      <w:r w:rsidR="001B28F0" w:rsidRPr="008E7C4C">
        <w:rPr>
          <w:rFonts w:asciiTheme="minorHAnsi" w:hAnsiTheme="minorHAnsi"/>
          <w:snapToGrid w:val="0"/>
        </w:rPr>
        <w:t>curves should have been applied until the</w:t>
      </w:r>
      <w:r w:rsidRPr="008E7C4C">
        <w:rPr>
          <w:rFonts w:asciiTheme="minorHAnsi" w:hAnsiTheme="minorHAnsi"/>
          <w:snapToGrid w:val="0"/>
        </w:rPr>
        <w:t xml:space="preserve"> median follow-up</w:t>
      </w:r>
      <w:r w:rsidR="001B28F0" w:rsidRPr="008E7C4C">
        <w:rPr>
          <w:rFonts w:asciiTheme="minorHAnsi" w:hAnsiTheme="minorHAnsi"/>
          <w:snapToGrid w:val="0"/>
        </w:rPr>
        <w:t xml:space="preserve"> was reached</w:t>
      </w:r>
      <w:r w:rsidR="007C7D38" w:rsidRPr="008E7C4C" w:rsidDel="001B28F0">
        <w:rPr>
          <w:rFonts w:asciiTheme="minorHAnsi" w:hAnsiTheme="minorHAnsi"/>
          <w:snapToGrid w:val="0"/>
        </w:rPr>
        <w:t xml:space="preserve"> </w:t>
      </w:r>
      <w:r w:rsidR="007C7D38" w:rsidRPr="008E7C4C">
        <w:rPr>
          <w:rFonts w:asciiTheme="minorHAnsi" w:hAnsiTheme="minorHAnsi"/>
          <w:snapToGrid w:val="0"/>
        </w:rPr>
        <w:t>or where observed data becomes unreliable due to small numbers of patients remaining event-free (noting that the whole observation period should be used to extrapolate).  E</w:t>
      </w:r>
      <w:r w:rsidRPr="008E7C4C">
        <w:rPr>
          <w:rFonts w:asciiTheme="minorHAnsi" w:hAnsiTheme="minorHAnsi"/>
          <w:snapToGrid w:val="0"/>
        </w:rPr>
        <w:t>xtrapolation to the specified time horizon (</w:t>
      </w:r>
      <w:proofErr w:type="gramStart"/>
      <w:r w:rsidRPr="008E7C4C">
        <w:rPr>
          <w:rFonts w:asciiTheme="minorHAnsi" w:hAnsiTheme="minorHAnsi"/>
          <w:snapToGrid w:val="0"/>
        </w:rPr>
        <w:t>i.e.</w:t>
      </w:r>
      <w:proofErr w:type="gramEnd"/>
      <w:r w:rsidRPr="008E7C4C">
        <w:rPr>
          <w:rFonts w:asciiTheme="minorHAnsi" w:hAnsiTheme="minorHAnsi"/>
          <w:snapToGrid w:val="0"/>
        </w:rPr>
        <w:t xml:space="preserve"> 20 years) using parametric distributions should have been used from </w:t>
      </w:r>
      <w:r w:rsidR="001B28F0" w:rsidRPr="008E7C4C">
        <w:rPr>
          <w:rFonts w:asciiTheme="minorHAnsi" w:hAnsiTheme="minorHAnsi"/>
          <w:snapToGrid w:val="0"/>
        </w:rPr>
        <w:t>this point</w:t>
      </w:r>
      <w:r w:rsidR="007E51A8" w:rsidRPr="008E7C4C">
        <w:rPr>
          <w:rFonts w:asciiTheme="minorHAnsi" w:hAnsiTheme="minorHAnsi"/>
          <w:snapToGrid w:val="0"/>
        </w:rPr>
        <w:t>.</w:t>
      </w:r>
      <w:r w:rsidRPr="008E7C4C">
        <w:rPr>
          <w:rFonts w:asciiTheme="minorHAnsi" w:hAnsiTheme="minorHAnsi"/>
          <w:snapToGrid w:val="0"/>
        </w:rPr>
        <w:t xml:space="preserve"> </w:t>
      </w:r>
      <w:r w:rsidR="005340FE" w:rsidRPr="008E7C4C">
        <w:rPr>
          <w:rFonts w:asciiTheme="minorHAnsi" w:hAnsiTheme="minorHAnsi"/>
          <w:snapToGrid w:val="0"/>
        </w:rPr>
        <w:t xml:space="preserve"> </w:t>
      </w:r>
      <w:r w:rsidR="00591313" w:rsidRPr="008E7C4C">
        <w:rPr>
          <w:rFonts w:asciiTheme="minorHAnsi" w:hAnsiTheme="minorHAnsi"/>
          <w:snapToGrid w:val="0"/>
          <w:color w:val="000000" w:themeColor="text1"/>
        </w:rPr>
        <w:t xml:space="preserve">The impact on </w:t>
      </w:r>
      <w:r w:rsidR="00C647EE" w:rsidRPr="008E7C4C">
        <w:rPr>
          <w:rFonts w:asciiTheme="minorHAnsi" w:hAnsiTheme="minorHAnsi"/>
          <w:snapToGrid w:val="0"/>
          <w:color w:val="000000" w:themeColor="text1"/>
        </w:rPr>
        <w:t xml:space="preserve">the </w:t>
      </w:r>
      <w:r w:rsidR="00591313" w:rsidRPr="008E7C4C">
        <w:rPr>
          <w:rFonts w:asciiTheme="minorHAnsi" w:hAnsiTheme="minorHAnsi"/>
          <w:snapToGrid w:val="0"/>
          <w:color w:val="000000" w:themeColor="text1"/>
        </w:rPr>
        <w:t xml:space="preserve">ICER of </w:t>
      </w:r>
      <w:r w:rsidR="00C647EE" w:rsidRPr="008E7C4C">
        <w:rPr>
          <w:rFonts w:asciiTheme="minorHAnsi" w:hAnsiTheme="minorHAnsi"/>
          <w:snapToGrid w:val="0"/>
          <w:color w:val="000000" w:themeColor="text1"/>
        </w:rPr>
        <w:t>adjusting the point of extrapolation is presented in Table 1</w:t>
      </w:r>
      <w:r w:rsidR="007E51A8" w:rsidRPr="008E7C4C">
        <w:rPr>
          <w:rFonts w:asciiTheme="minorHAnsi" w:hAnsiTheme="minorHAnsi"/>
          <w:snapToGrid w:val="0"/>
          <w:color w:val="000000" w:themeColor="text1"/>
        </w:rPr>
        <w:t>5</w:t>
      </w:r>
      <w:r w:rsidR="00C647EE" w:rsidRPr="008E7C4C">
        <w:rPr>
          <w:rFonts w:asciiTheme="minorHAnsi" w:hAnsiTheme="minorHAnsi"/>
          <w:snapToGrid w:val="0"/>
          <w:color w:val="000000" w:themeColor="text1"/>
        </w:rPr>
        <w:t xml:space="preserve">. </w:t>
      </w:r>
      <w:r w:rsidR="0072335D" w:rsidRPr="008E7C4C">
        <w:rPr>
          <w:rFonts w:asciiTheme="minorHAnsi" w:hAnsiTheme="minorHAnsi"/>
          <w:snapToGrid w:val="0"/>
          <w:color w:val="000000" w:themeColor="text1"/>
        </w:rPr>
        <w:t>The PSCR presented a respecified base case in which the generalised gamma distribution was applied to the OS curve</w:t>
      </w:r>
      <w:r w:rsidR="00411E08" w:rsidRPr="008E7C4C">
        <w:rPr>
          <w:rFonts w:asciiTheme="minorHAnsi" w:hAnsiTheme="minorHAnsi"/>
          <w:snapToGrid w:val="0"/>
          <w:color w:val="000000" w:themeColor="text1"/>
        </w:rPr>
        <w:t>s</w:t>
      </w:r>
      <w:r w:rsidR="0072335D" w:rsidRPr="008E7C4C">
        <w:rPr>
          <w:rFonts w:asciiTheme="minorHAnsi" w:hAnsiTheme="minorHAnsi"/>
          <w:snapToGrid w:val="0"/>
          <w:color w:val="000000" w:themeColor="text1"/>
        </w:rPr>
        <w:t xml:space="preserve"> from 50 months</w:t>
      </w:r>
      <w:r w:rsidR="00411E08" w:rsidRPr="008E7C4C">
        <w:rPr>
          <w:rFonts w:asciiTheme="minorHAnsi" w:hAnsiTheme="minorHAnsi"/>
          <w:snapToGrid w:val="0"/>
          <w:color w:val="000000" w:themeColor="text1"/>
        </w:rPr>
        <w:t xml:space="preserve"> (median survival in the 2-3 prior therapy subgroup was 53 months)</w:t>
      </w:r>
      <w:r w:rsidR="0072335D" w:rsidRPr="008E7C4C">
        <w:rPr>
          <w:rFonts w:asciiTheme="minorHAnsi" w:hAnsiTheme="minorHAnsi"/>
          <w:snapToGrid w:val="0"/>
          <w:color w:val="000000" w:themeColor="text1"/>
        </w:rPr>
        <w:t>.</w:t>
      </w:r>
      <w:r w:rsidR="00F715CF" w:rsidRPr="008E7C4C">
        <w:rPr>
          <w:rFonts w:asciiTheme="minorHAnsi" w:hAnsiTheme="minorHAnsi"/>
          <w:snapToGrid w:val="0"/>
          <w:color w:val="000000" w:themeColor="text1"/>
        </w:rPr>
        <w:t xml:space="preserve"> The PSCR noted that applying the extrapolated curve from the median follow up (85 months) resulted in an ill-fitting curve, higher censoring of data and the possibility of overestimated survival</w:t>
      </w:r>
      <w:r w:rsidR="00BD526A" w:rsidRPr="008E7C4C">
        <w:rPr>
          <w:rFonts w:asciiTheme="minorHAnsi" w:hAnsiTheme="minorHAnsi"/>
          <w:snapToGrid w:val="0"/>
          <w:color w:val="000000" w:themeColor="text1"/>
        </w:rPr>
        <w:t xml:space="preserve"> (see Figure </w:t>
      </w:r>
      <w:r w:rsidR="00091524" w:rsidRPr="008E7C4C">
        <w:rPr>
          <w:rFonts w:asciiTheme="minorHAnsi" w:hAnsiTheme="minorHAnsi"/>
          <w:snapToGrid w:val="0"/>
          <w:color w:val="000000" w:themeColor="text1"/>
        </w:rPr>
        <w:t>4</w:t>
      </w:r>
      <w:r w:rsidR="00BD526A" w:rsidRPr="008E7C4C">
        <w:rPr>
          <w:rFonts w:asciiTheme="minorHAnsi" w:hAnsiTheme="minorHAnsi"/>
          <w:snapToGrid w:val="0"/>
          <w:color w:val="000000" w:themeColor="text1"/>
        </w:rPr>
        <w:t>)</w:t>
      </w:r>
      <w:r w:rsidR="00F715CF" w:rsidRPr="008E7C4C">
        <w:rPr>
          <w:rFonts w:asciiTheme="minorHAnsi" w:hAnsiTheme="minorHAnsi"/>
          <w:snapToGrid w:val="0"/>
          <w:color w:val="000000" w:themeColor="text1"/>
        </w:rPr>
        <w:t>.</w:t>
      </w:r>
      <w:r w:rsidR="00BD526A" w:rsidRPr="008E7C4C">
        <w:rPr>
          <w:rFonts w:asciiTheme="minorHAnsi" w:hAnsiTheme="minorHAnsi"/>
          <w:snapToGrid w:val="0"/>
          <w:color w:val="000000" w:themeColor="text1"/>
        </w:rPr>
        <w:t xml:space="preserve"> The ESC noted that the application from 50 months favoured </w:t>
      </w:r>
      <w:proofErr w:type="spellStart"/>
      <w:r w:rsidR="00BD526A" w:rsidRPr="008E7C4C">
        <w:rPr>
          <w:rFonts w:asciiTheme="minorHAnsi" w:hAnsiTheme="minorHAnsi"/>
          <w:snapToGrid w:val="0"/>
          <w:color w:val="000000" w:themeColor="text1"/>
        </w:rPr>
        <w:t>ILd</w:t>
      </w:r>
      <w:proofErr w:type="spellEnd"/>
      <w:r w:rsidR="00BD526A" w:rsidRPr="008E7C4C">
        <w:rPr>
          <w:rFonts w:asciiTheme="minorHAnsi" w:hAnsiTheme="minorHAnsi"/>
          <w:snapToGrid w:val="0"/>
          <w:color w:val="000000" w:themeColor="text1"/>
        </w:rPr>
        <w:t xml:space="preserve">, with the extrapolated generalised gamma curve </w:t>
      </w:r>
      <w:r w:rsidR="00091524" w:rsidRPr="008E7C4C">
        <w:rPr>
          <w:rFonts w:asciiTheme="minorHAnsi" w:hAnsiTheme="minorHAnsi"/>
          <w:snapToGrid w:val="0"/>
          <w:color w:val="000000" w:themeColor="text1"/>
        </w:rPr>
        <w:t>positioned</w:t>
      </w:r>
      <w:r w:rsidR="00BD526A" w:rsidRPr="008E7C4C">
        <w:rPr>
          <w:rFonts w:asciiTheme="minorHAnsi" w:hAnsiTheme="minorHAnsi"/>
          <w:snapToGrid w:val="0"/>
          <w:color w:val="000000" w:themeColor="text1"/>
        </w:rPr>
        <w:t xml:space="preserve"> above the K</w:t>
      </w:r>
      <w:r w:rsidR="00567142" w:rsidRPr="008E7C4C">
        <w:rPr>
          <w:rFonts w:asciiTheme="minorHAnsi" w:hAnsiTheme="minorHAnsi"/>
          <w:snapToGrid w:val="0"/>
          <w:color w:val="000000" w:themeColor="text1"/>
        </w:rPr>
        <w:t>M</w:t>
      </w:r>
      <w:r w:rsidR="00BD526A" w:rsidRPr="008E7C4C">
        <w:rPr>
          <w:rFonts w:asciiTheme="minorHAnsi" w:hAnsiTheme="minorHAnsi"/>
          <w:snapToGrid w:val="0"/>
          <w:color w:val="000000" w:themeColor="text1"/>
        </w:rPr>
        <w:t xml:space="preserve"> curve for the </w:t>
      </w:r>
      <w:proofErr w:type="spellStart"/>
      <w:r w:rsidR="00BD526A" w:rsidRPr="008E7C4C">
        <w:rPr>
          <w:rFonts w:asciiTheme="minorHAnsi" w:hAnsiTheme="minorHAnsi"/>
          <w:snapToGrid w:val="0"/>
          <w:color w:val="000000" w:themeColor="text1"/>
        </w:rPr>
        <w:t>ILd</w:t>
      </w:r>
      <w:proofErr w:type="spellEnd"/>
      <w:r w:rsidR="00BD526A" w:rsidRPr="008E7C4C">
        <w:rPr>
          <w:rFonts w:asciiTheme="minorHAnsi" w:hAnsiTheme="minorHAnsi"/>
          <w:snapToGrid w:val="0"/>
          <w:color w:val="000000" w:themeColor="text1"/>
        </w:rPr>
        <w:t xml:space="preserve"> arm and below the K</w:t>
      </w:r>
      <w:r w:rsidR="00567142" w:rsidRPr="008E7C4C">
        <w:rPr>
          <w:rFonts w:asciiTheme="minorHAnsi" w:hAnsiTheme="minorHAnsi"/>
          <w:snapToGrid w:val="0"/>
          <w:color w:val="000000" w:themeColor="text1"/>
        </w:rPr>
        <w:t>M</w:t>
      </w:r>
      <w:r w:rsidR="00BD526A" w:rsidRPr="008E7C4C">
        <w:rPr>
          <w:rFonts w:asciiTheme="minorHAnsi" w:hAnsiTheme="minorHAnsi"/>
          <w:snapToGrid w:val="0"/>
          <w:color w:val="000000" w:themeColor="text1"/>
        </w:rPr>
        <w:t xml:space="preserve"> curve f</w:t>
      </w:r>
      <w:r w:rsidR="00411E08" w:rsidRPr="008E7C4C">
        <w:rPr>
          <w:rFonts w:asciiTheme="minorHAnsi" w:hAnsiTheme="minorHAnsi"/>
          <w:snapToGrid w:val="0"/>
          <w:color w:val="000000" w:themeColor="text1"/>
        </w:rPr>
        <w:t xml:space="preserve">or </w:t>
      </w:r>
      <w:r w:rsidR="00BD526A" w:rsidRPr="008E7C4C">
        <w:rPr>
          <w:rFonts w:asciiTheme="minorHAnsi" w:hAnsiTheme="minorHAnsi"/>
          <w:snapToGrid w:val="0"/>
          <w:color w:val="000000" w:themeColor="text1"/>
        </w:rPr>
        <w:t xml:space="preserve">the </w:t>
      </w:r>
      <w:proofErr w:type="spellStart"/>
      <w:r w:rsidR="00BD526A" w:rsidRPr="008E7C4C">
        <w:rPr>
          <w:rFonts w:asciiTheme="minorHAnsi" w:hAnsiTheme="minorHAnsi"/>
          <w:snapToGrid w:val="0"/>
          <w:color w:val="000000" w:themeColor="text1"/>
        </w:rPr>
        <w:t>Ld</w:t>
      </w:r>
      <w:proofErr w:type="spellEnd"/>
      <w:r w:rsidR="00BD526A" w:rsidRPr="008E7C4C">
        <w:rPr>
          <w:rFonts w:asciiTheme="minorHAnsi" w:hAnsiTheme="minorHAnsi"/>
          <w:snapToGrid w:val="0"/>
          <w:color w:val="000000" w:themeColor="text1"/>
        </w:rPr>
        <w:t xml:space="preserve"> arm. </w:t>
      </w:r>
      <w:r w:rsidR="00566EEC" w:rsidRPr="008E7C4C">
        <w:rPr>
          <w:rFonts w:asciiTheme="minorHAnsi" w:hAnsiTheme="minorHAnsi"/>
          <w:snapToGrid w:val="0"/>
          <w:color w:val="000000" w:themeColor="text1"/>
        </w:rPr>
        <w:t>The pre-PBAC response provided a revised base case in which extrapolation was applied from 53 months.</w:t>
      </w:r>
    </w:p>
    <w:p w14:paraId="7E352D38" w14:textId="77618F2A" w:rsidR="00BD526A" w:rsidRPr="008E7C4C" w:rsidRDefault="00BD526A" w:rsidP="004820AA">
      <w:pPr>
        <w:keepNext/>
        <w:spacing w:after="120"/>
        <w:rPr>
          <w:rFonts w:ascii="Arial Narrow" w:hAnsi="Arial Narrow"/>
          <w:b/>
          <w:bCs/>
          <w:snapToGrid w:val="0"/>
          <w:color w:val="000000" w:themeColor="text1"/>
          <w:sz w:val="20"/>
          <w:szCs w:val="20"/>
        </w:rPr>
      </w:pPr>
      <w:r w:rsidRPr="008E7C4C">
        <w:rPr>
          <w:rFonts w:ascii="Arial Narrow" w:hAnsi="Arial Narrow"/>
          <w:b/>
          <w:bCs/>
          <w:snapToGrid w:val="0"/>
          <w:sz w:val="20"/>
          <w:szCs w:val="20"/>
        </w:rPr>
        <w:lastRenderedPageBreak/>
        <w:t xml:space="preserve">Figure </w:t>
      </w:r>
      <w:r w:rsidR="00091524" w:rsidRPr="008E7C4C">
        <w:rPr>
          <w:rFonts w:ascii="Arial Narrow" w:hAnsi="Arial Narrow"/>
          <w:b/>
          <w:bCs/>
          <w:snapToGrid w:val="0"/>
          <w:sz w:val="20"/>
          <w:szCs w:val="20"/>
        </w:rPr>
        <w:t>4</w:t>
      </w:r>
      <w:r w:rsidRPr="008E7C4C">
        <w:rPr>
          <w:rFonts w:ascii="Arial Narrow" w:hAnsi="Arial Narrow"/>
          <w:b/>
          <w:bCs/>
          <w:snapToGrid w:val="0"/>
          <w:sz w:val="20"/>
          <w:szCs w:val="20"/>
        </w:rPr>
        <w:t>:</w:t>
      </w:r>
      <w:r w:rsidR="00567142" w:rsidRPr="008E7C4C">
        <w:rPr>
          <w:rFonts w:ascii="Arial Narrow" w:hAnsi="Arial Narrow"/>
          <w:b/>
          <w:bCs/>
          <w:snapToGrid w:val="0"/>
          <w:color w:val="000000" w:themeColor="text1"/>
          <w:sz w:val="20"/>
          <w:szCs w:val="20"/>
        </w:rPr>
        <w:t xml:space="preserve"> </w:t>
      </w:r>
      <w:r w:rsidRPr="008E7C4C">
        <w:rPr>
          <w:rFonts w:ascii="Arial Narrow" w:hAnsi="Arial Narrow"/>
          <w:b/>
          <w:bCs/>
          <w:snapToGrid w:val="0"/>
          <w:color w:val="000000" w:themeColor="text1"/>
          <w:sz w:val="20"/>
          <w:szCs w:val="20"/>
        </w:rPr>
        <w:t>Extrapol</w:t>
      </w:r>
      <w:r w:rsidR="00091524" w:rsidRPr="008E7C4C">
        <w:rPr>
          <w:rFonts w:ascii="Arial Narrow" w:hAnsi="Arial Narrow"/>
          <w:b/>
          <w:bCs/>
          <w:snapToGrid w:val="0"/>
          <w:color w:val="000000" w:themeColor="text1"/>
          <w:sz w:val="20"/>
          <w:szCs w:val="20"/>
        </w:rPr>
        <w:t>a</w:t>
      </w:r>
      <w:r w:rsidRPr="008E7C4C">
        <w:rPr>
          <w:rFonts w:ascii="Arial Narrow" w:hAnsi="Arial Narrow"/>
          <w:b/>
          <w:bCs/>
          <w:snapToGrid w:val="0"/>
          <w:color w:val="000000" w:themeColor="text1"/>
          <w:sz w:val="20"/>
          <w:szCs w:val="20"/>
        </w:rPr>
        <w:t>tion of the Kaplan-Meier curves for OS in the 2-3 prior therap</w:t>
      </w:r>
      <w:r w:rsidR="00567142" w:rsidRPr="008E7C4C">
        <w:rPr>
          <w:rFonts w:ascii="Arial Narrow" w:hAnsi="Arial Narrow"/>
          <w:b/>
          <w:bCs/>
          <w:snapToGrid w:val="0"/>
          <w:color w:val="000000" w:themeColor="text1"/>
          <w:sz w:val="20"/>
          <w:szCs w:val="20"/>
        </w:rPr>
        <w:t>ies</w:t>
      </w:r>
      <w:r w:rsidRPr="008E7C4C">
        <w:rPr>
          <w:rFonts w:ascii="Arial Narrow" w:hAnsi="Arial Narrow"/>
          <w:b/>
          <w:bCs/>
          <w:snapToGrid w:val="0"/>
          <w:color w:val="000000" w:themeColor="text1"/>
          <w:sz w:val="20"/>
          <w:szCs w:val="20"/>
        </w:rPr>
        <w:t xml:space="preserve"> subgroup using the generalised gamma function from 85 months (left) and 50 months (right)</w:t>
      </w:r>
    </w:p>
    <w:p w14:paraId="2F097028" w14:textId="668A1C91" w:rsidR="00BD526A" w:rsidRPr="008E7C4C" w:rsidRDefault="00BD526A" w:rsidP="00BD526A">
      <w:pPr>
        <w:spacing w:after="120"/>
        <w:rPr>
          <w:rFonts w:asciiTheme="minorHAnsi" w:hAnsiTheme="minorHAnsi"/>
          <w:i/>
          <w:iCs/>
          <w:snapToGrid w:val="0"/>
          <w:color w:val="000000" w:themeColor="text1"/>
        </w:rPr>
      </w:pPr>
      <w:r w:rsidRPr="008E7C4C">
        <w:rPr>
          <w:noProof/>
        </w:rPr>
        <w:drawing>
          <wp:inline distT="0" distB="0" distL="0" distR="0" wp14:anchorId="0E9940D0" wp14:editId="2341EA6E">
            <wp:extent cx="2840881" cy="2028825"/>
            <wp:effectExtent l="0" t="0" r="0" b="0"/>
            <wp:docPr id="1" name="Picture 1" descr="Figure 4: Extrapolation of the Kaplan-Meier curves for OS in the 2-3 prior therapies subgroup using the generalised gamma function from 85 months (left) and 50 month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4: Extrapolation of the Kaplan-Meier curves for OS in the 2-3 prior therapies subgroup using the generalised gamma function from 85 months (left) and 50 months (rig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4415" cy="2067056"/>
                    </a:xfrm>
                    <a:prstGeom prst="rect">
                      <a:avLst/>
                    </a:prstGeom>
                    <a:noFill/>
                    <a:ln>
                      <a:noFill/>
                    </a:ln>
                  </pic:spPr>
                </pic:pic>
              </a:graphicData>
            </a:graphic>
          </wp:inline>
        </w:drawing>
      </w:r>
      <w:r w:rsidRPr="008E7C4C">
        <w:rPr>
          <w:noProof/>
        </w:rPr>
        <w:drawing>
          <wp:inline distT="0" distB="0" distL="0" distR="0" wp14:anchorId="4E5075A2" wp14:editId="2FCEAAE4">
            <wp:extent cx="2838450" cy="2027136"/>
            <wp:effectExtent l="0" t="0" r="0" b="0"/>
            <wp:docPr id="4" name="Picture 4" descr="Figure 4: Extrapolation of the Kaplan-Meier curves for OS in the 2-3 prior therapies subgroup using the generalised gamma function from 85 months (left) and 50 month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 Extrapolation of the Kaplan-Meier curves for OS in the 2-3 prior therapies subgroup using the generalised gamma function from 85 months (left) and 50 months (righ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080" cy="2041870"/>
                    </a:xfrm>
                    <a:prstGeom prst="rect">
                      <a:avLst/>
                    </a:prstGeom>
                    <a:noFill/>
                  </pic:spPr>
                </pic:pic>
              </a:graphicData>
            </a:graphic>
          </wp:inline>
        </w:drawing>
      </w:r>
    </w:p>
    <w:p w14:paraId="5B76C54F" w14:textId="04CF7A58" w:rsidR="00BD526A" w:rsidRPr="008E7C4C" w:rsidRDefault="00BD526A" w:rsidP="00BD526A">
      <w:pPr>
        <w:pStyle w:val="TableFooter"/>
        <w:spacing w:after="0"/>
        <w:rPr>
          <w:snapToGrid w:val="0"/>
          <w:sz w:val="18"/>
          <w:szCs w:val="18"/>
        </w:rPr>
      </w:pPr>
      <w:r w:rsidRPr="008E7C4C">
        <w:rPr>
          <w:snapToGrid w:val="0"/>
          <w:sz w:val="18"/>
          <w:szCs w:val="18"/>
        </w:rPr>
        <w:t>Source: Figures 1 and 2, pp 4-5 of the PSCR</w:t>
      </w:r>
    </w:p>
    <w:p w14:paraId="26953140" w14:textId="651B5B5E" w:rsidR="00BD526A" w:rsidRPr="008E7C4C" w:rsidRDefault="00BD526A" w:rsidP="00BD526A">
      <w:pPr>
        <w:pStyle w:val="TableFooter"/>
        <w:spacing w:after="0"/>
        <w:rPr>
          <w:snapToGrid w:val="0"/>
          <w:sz w:val="18"/>
          <w:szCs w:val="18"/>
        </w:rPr>
      </w:pPr>
      <w:r w:rsidRPr="008E7C4C">
        <w:rPr>
          <w:snapToGrid w:val="0"/>
          <w:sz w:val="18"/>
          <w:szCs w:val="18"/>
        </w:rPr>
        <w:t xml:space="preserve">DEX = dexamethasone; IXA = </w:t>
      </w:r>
      <w:proofErr w:type="spellStart"/>
      <w:r w:rsidRPr="008E7C4C">
        <w:rPr>
          <w:snapToGrid w:val="0"/>
          <w:sz w:val="18"/>
          <w:szCs w:val="18"/>
        </w:rPr>
        <w:t>ixazomib</w:t>
      </w:r>
      <w:proofErr w:type="spellEnd"/>
      <w:r w:rsidRPr="008E7C4C">
        <w:rPr>
          <w:snapToGrid w:val="0"/>
          <w:sz w:val="18"/>
          <w:szCs w:val="18"/>
        </w:rPr>
        <w:t>; KM = Kaplan-Meier; LEN = lenalidomide; OS = overall survival</w:t>
      </w:r>
    </w:p>
    <w:p w14:paraId="658D201B" w14:textId="77777777" w:rsidR="00BD526A" w:rsidRPr="008E7C4C" w:rsidRDefault="00BD526A" w:rsidP="00BD526A">
      <w:pPr>
        <w:rPr>
          <w:snapToGrid w:val="0"/>
        </w:rPr>
      </w:pPr>
    </w:p>
    <w:p w14:paraId="067AFB2B" w14:textId="1832B776" w:rsidR="00CC25DE" w:rsidRPr="008E7C4C" w:rsidRDefault="00E10BBE" w:rsidP="00AD65F1">
      <w:pPr>
        <w:numPr>
          <w:ilvl w:val="1"/>
          <w:numId w:val="1"/>
        </w:numPr>
        <w:spacing w:after="120"/>
        <w:rPr>
          <w:rFonts w:asciiTheme="minorHAnsi" w:hAnsiTheme="minorHAnsi"/>
          <w:snapToGrid w:val="0"/>
          <w:color w:val="000000" w:themeColor="text1"/>
        </w:rPr>
      </w:pPr>
      <w:r w:rsidRPr="008E7C4C">
        <w:rPr>
          <w:lang w:eastAsia="en-GB"/>
        </w:rPr>
        <w:t xml:space="preserve">The resubmission stated that the generalised gamma distribution provided a good fit to the KM data </w:t>
      </w:r>
      <w:r w:rsidR="00C3140E" w:rsidRPr="008E7C4C">
        <w:rPr>
          <w:lang w:eastAsia="en-GB"/>
        </w:rPr>
        <w:t xml:space="preserve">and was </w:t>
      </w:r>
      <w:r w:rsidR="00C3140E" w:rsidRPr="008E7C4C">
        <w:t xml:space="preserve">chosen for the base case </w:t>
      </w:r>
      <w:r w:rsidR="00C3140E" w:rsidRPr="008E7C4C">
        <w:rPr>
          <w:lang w:eastAsia="en-GB"/>
        </w:rPr>
        <w:t xml:space="preserve">due to </w:t>
      </w:r>
      <w:r w:rsidRPr="008E7C4C">
        <w:rPr>
          <w:lang w:eastAsia="en-GB"/>
        </w:rPr>
        <w:t xml:space="preserve">violation of </w:t>
      </w:r>
      <w:r w:rsidR="00C3140E" w:rsidRPr="008E7C4C">
        <w:rPr>
          <w:lang w:eastAsia="en-GB"/>
        </w:rPr>
        <w:t xml:space="preserve">the </w:t>
      </w:r>
      <w:r w:rsidRPr="008E7C4C">
        <w:rPr>
          <w:lang w:eastAsia="en-GB"/>
        </w:rPr>
        <w:t xml:space="preserve">proportional hazard </w:t>
      </w:r>
      <w:r w:rsidR="00A86473" w:rsidRPr="008E7C4C">
        <w:rPr>
          <w:lang w:eastAsia="en-GB"/>
        </w:rPr>
        <w:t xml:space="preserve">assumption </w:t>
      </w:r>
      <w:r w:rsidRPr="008E7C4C">
        <w:rPr>
          <w:lang w:eastAsia="en-GB"/>
        </w:rPr>
        <w:t>and clinical plausibility of long-term extrapolation.</w:t>
      </w:r>
      <w:r w:rsidR="008113F6" w:rsidRPr="008E7C4C">
        <w:rPr>
          <w:lang w:eastAsia="en-GB"/>
        </w:rPr>
        <w:t xml:space="preserve"> The </w:t>
      </w:r>
      <w:r w:rsidR="00441982" w:rsidRPr="008E7C4C">
        <w:rPr>
          <w:lang w:eastAsia="en-GB"/>
        </w:rPr>
        <w:t xml:space="preserve">results of the model </w:t>
      </w:r>
      <w:r w:rsidR="008113F6" w:rsidRPr="008E7C4C">
        <w:rPr>
          <w:lang w:eastAsia="en-GB"/>
        </w:rPr>
        <w:t xml:space="preserve">show that at 20 years there were </w:t>
      </w:r>
      <w:r w:rsidR="00FA2BA7" w:rsidRPr="008E7C4C">
        <w:rPr>
          <w:lang w:eastAsia="en-GB"/>
        </w:rPr>
        <w:t>approximately</w:t>
      </w:r>
      <w:r w:rsidR="008113F6" w:rsidRPr="008E7C4C">
        <w:rPr>
          <w:lang w:eastAsia="en-GB"/>
        </w:rPr>
        <w:t xml:space="preserve"> </w:t>
      </w:r>
      <w:r w:rsidR="00441982" w:rsidRPr="008E7C4C">
        <w:rPr>
          <w:lang w:eastAsia="en-GB"/>
        </w:rPr>
        <w:t xml:space="preserve">2% of patients still alive in </w:t>
      </w:r>
      <w:proofErr w:type="spellStart"/>
      <w:r w:rsidR="00441982" w:rsidRPr="008E7C4C">
        <w:rPr>
          <w:lang w:eastAsia="en-GB"/>
        </w:rPr>
        <w:t>ILd</w:t>
      </w:r>
      <w:proofErr w:type="spellEnd"/>
      <w:r w:rsidR="00441982" w:rsidRPr="008E7C4C">
        <w:rPr>
          <w:lang w:eastAsia="en-GB"/>
        </w:rPr>
        <w:t xml:space="preserve"> arm</w:t>
      </w:r>
      <w:r w:rsidR="000D1777" w:rsidRPr="008E7C4C">
        <w:rPr>
          <w:lang w:eastAsia="en-GB"/>
        </w:rPr>
        <w:t xml:space="preserve"> (see Figure </w:t>
      </w:r>
      <w:r w:rsidR="00C3140E" w:rsidRPr="008E7C4C">
        <w:rPr>
          <w:lang w:eastAsia="en-GB"/>
        </w:rPr>
        <w:t>5</w:t>
      </w:r>
      <w:r w:rsidR="000D1777" w:rsidRPr="008E7C4C">
        <w:rPr>
          <w:lang w:eastAsia="en-GB"/>
        </w:rPr>
        <w:t>)</w:t>
      </w:r>
      <w:r w:rsidR="00441982" w:rsidRPr="008E7C4C">
        <w:rPr>
          <w:lang w:eastAsia="en-GB"/>
        </w:rPr>
        <w:t>.</w:t>
      </w:r>
      <w:r w:rsidRPr="008E7C4C">
        <w:rPr>
          <w:lang w:eastAsia="en-GB"/>
        </w:rPr>
        <w:t xml:space="preserve"> </w:t>
      </w:r>
      <w:r w:rsidR="000D1777" w:rsidRPr="008E7C4C">
        <w:rPr>
          <w:lang w:eastAsia="en-GB"/>
        </w:rPr>
        <w:t xml:space="preserve">The ESC </w:t>
      </w:r>
      <w:r w:rsidR="002452C0" w:rsidRPr="008E7C4C">
        <w:rPr>
          <w:lang w:eastAsia="en-GB"/>
        </w:rPr>
        <w:t xml:space="preserve">considered that the resubmission did not justify the clinical plausibility of the generalised gamma function and </w:t>
      </w:r>
      <w:r w:rsidR="00350990" w:rsidRPr="008E7C4C">
        <w:rPr>
          <w:lang w:eastAsia="en-GB"/>
        </w:rPr>
        <w:t xml:space="preserve">with reference to previous PBAC advice that a </w:t>
      </w:r>
      <w:proofErr w:type="gramStart"/>
      <w:r w:rsidR="00350990" w:rsidRPr="008E7C4C">
        <w:rPr>
          <w:lang w:eastAsia="en-GB"/>
        </w:rPr>
        <w:t>15 year</w:t>
      </w:r>
      <w:proofErr w:type="gramEnd"/>
      <w:r w:rsidR="00350990" w:rsidRPr="008E7C4C">
        <w:rPr>
          <w:lang w:eastAsia="en-GB"/>
        </w:rPr>
        <w:t xml:space="preserve"> time horizon may be the most appropriate</w:t>
      </w:r>
      <w:r w:rsidR="00B82E1C" w:rsidRPr="008E7C4C">
        <w:rPr>
          <w:lang w:eastAsia="en-GB"/>
        </w:rPr>
        <w:t xml:space="preserve">, </w:t>
      </w:r>
      <w:r w:rsidR="000D1777" w:rsidRPr="008E7C4C">
        <w:rPr>
          <w:lang w:eastAsia="en-GB"/>
        </w:rPr>
        <w:t>noted that</w:t>
      </w:r>
      <w:r w:rsidR="00B82E1C" w:rsidRPr="008E7C4C">
        <w:rPr>
          <w:lang w:eastAsia="en-GB"/>
        </w:rPr>
        <w:t xml:space="preserve"> </w:t>
      </w:r>
      <w:r w:rsidRPr="008E7C4C">
        <w:rPr>
          <w:lang w:eastAsia="en-GB"/>
        </w:rPr>
        <w:t xml:space="preserve">the </w:t>
      </w:r>
      <w:proofErr w:type="spellStart"/>
      <w:r w:rsidRPr="008E7C4C">
        <w:rPr>
          <w:lang w:eastAsia="en-GB"/>
        </w:rPr>
        <w:t>Gompertz</w:t>
      </w:r>
      <w:proofErr w:type="spellEnd"/>
      <w:r w:rsidRPr="008E7C4C">
        <w:rPr>
          <w:lang w:eastAsia="en-GB"/>
        </w:rPr>
        <w:t xml:space="preserve"> distribution </w:t>
      </w:r>
      <w:r w:rsidR="00B82E1C" w:rsidRPr="008E7C4C">
        <w:rPr>
          <w:lang w:eastAsia="en-GB"/>
        </w:rPr>
        <w:t xml:space="preserve">may be the most clinically plausible </w:t>
      </w:r>
      <w:r w:rsidR="002E6114" w:rsidRPr="008E7C4C">
        <w:rPr>
          <w:lang w:eastAsia="en-GB"/>
        </w:rPr>
        <w:t xml:space="preserve">option as it predicted </w:t>
      </w:r>
      <w:r w:rsidR="002452C0" w:rsidRPr="008E7C4C">
        <w:rPr>
          <w:lang w:eastAsia="en-GB"/>
        </w:rPr>
        <w:t xml:space="preserve">no </w:t>
      </w:r>
      <w:r w:rsidR="00A7436F" w:rsidRPr="008E7C4C">
        <w:rPr>
          <w:lang w:eastAsia="en-GB"/>
        </w:rPr>
        <w:t xml:space="preserve">patients </w:t>
      </w:r>
      <w:r w:rsidR="000D1777" w:rsidRPr="008E7C4C">
        <w:rPr>
          <w:lang w:eastAsia="en-GB"/>
        </w:rPr>
        <w:t>alive</w:t>
      </w:r>
      <w:r w:rsidR="00441982" w:rsidRPr="008E7C4C">
        <w:rPr>
          <w:lang w:eastAsia="en-GB"/>
        </w:rPr>
        <w:t xml:space="preserve"> after 15 years</w:t>
      </w:r>
      <w:r w:rsidRPr="008E7C4C">
        <w:rPr>
          <w:lang w:eastAsia="en-GB"/>
        </w:rPr>
        <w:t>.</w:t>
      </w:r>
      <w:r w:rsidR="00EA1D98" w:rsidRPr="008E7C4C">
        <w:rPr>
          <w:lang w:eastAsia="en-GB"/>
        </w:rPr>
        <w:t xml:space="preserve"> </w:t>
      </w:r>
      <w:r w:rsidR="00CD2AC0" w:rsidRPr="008E7C4C">
        <w:rPr>
          <w:lang w:eastAsia="en-GB"/>
        </w:rPr>
        <w:t xml:space="preserve">The pre-PBAC response noted that in TMM-1 at a median follow up of 85 months (7.1 years), 4% of </w:t>
      </w:r>
      <w:proofErr w:type="spellStart"/>
      <w:r w:rsidR="00CD2AC0" w:rsidRPr="008E7C4C">
        <w:rPr>
          <w:lang w:eastAsia="en-GB"/>
        </w:rPr>
        <w:t>ILd</w:t>
      </w:r>
      <w:proofErr w:type="spellEnd"/>
      <w:r w:rsidR="00CD2AC0" w:rsidRPr="008E7C4C">
        <w:rPr>
          <w:lang w:eastAsia="en-GB"/>
        </w:rPr>
        <w:t xml:space="preserve"> patients remained on study treatment and 31% were alive. The pre-PBAC response stated that it was not implausible that a small proportion of patients would remain alive after 15 years as predicted by the generalised gamma distribution</w:t>
      </w:r>
      <w:r w:rsidR="00566EEC" w:rsidRPr="008E7C4C">
        <w:rPr>
          <w:lang w:eastAsia="en-GB"/>
        </w:rPr>
        <w:t>.</w:t>
      </w:r>
    </w:p>
    <w:p w14:paraId="12487B86" w14:textId="27883D50" w:rsidR="00411E08" w:rsidRPr="008E7C4C" w:rsidRDefault="00411E08" w:rsidP="00091524">
      <w:pPr>
        <w:keepNext/>
        <w:spacing w:after="120"/>
        <w:rPr>
          <w:rFonts w:ascii="Arial Narrow" w:hAnsi="Arial Narrow"/>
          <w:b/>
          <w:bCs/>
          <w:snapToGrid w:val="0"/>
          <w:color w:val="000000" w:themeColor="text1"/>
          <w:sz w:val="20"/>
          <w:szCs w:val="20"/>
        </w:rPr>
      </w:pPr>
      <w:r w:rsidRPr="008E7C4C">
        <w:rPr>
          <w:rFonts w:ascii="Arial Narrow" w:hAnsi="Arial Narrow"/>
          <w:b/>
          <w:bCs/>
          <w:sz w:val="20"/>
          <w:szCs w:val="20"/>
          <w:lang w:eastAsia="en-GB"/>
        </w:rPr>
        <w:lastRenderedPageBreak/>
        <w:t xml:space="preserve">Figure </w:t>
      </w:r>
      <w:r w:rsidR="00C3140E" w:rsidRPr="008E7C4C">
        <w:rPr>
          <w:rFonts w:ascii="Arial Narrow" w:hAnsi="Arial Narrow"/>
          <w:b/>
          <w:bCs/>
          <w:sz w:val="20"/>
          <w:szCs w:val="20"/>
          <w:lang w:eastAsia="en-GB"/>
        </w:rPr>
        <w:t>5</w:t>
      </w:r>
      <w:r w:rsidRPr="008E7C4C">
        <w:rPr>
          <w:rFonts w:ascii="Arial Narrow" w:hAnsi="Arial Narrow"/>
          <w:b/>
          <w:bCs/>
          <w:sz w:val="20"/>
          <w:szCs w:val="20"/>
          <w:lang w:eastAsia="en-GB"/>
        </w:rPr>
        <w:t>:</w:t>
      </w:r>
      <w:r w:rsidRPr="008E7C4C">
        <w:rPr>
          <w:rFonts w:ascii="Arial Narrow" w:hAnsi="Arial Narrow"/>
          <w:b/>
          <w:bCs/>
          <w:snapToGrid w:val="0"/>
          <w:color w:val="000000" w:themeColor="text1"/>
          <w:sz w:val="20"/>
          <w:szCs w:val="20"/>
        </w:rPr>
        <w:t xml:space="preserve"> Extrapolation functions</w:t>
      </w:r>
      <w:r w:rsidR="000D1777" w:rsidRPr="008E7C4C">
        <w:rPr>
          <w:rFonts w:ascii="Arial Narrow" w:hAnsi="Arial Narrow"/>
          <w:b/>
          <w:bCs/>
          <w:snapToGrid w:val="0"/>
          <w:color w:val="000000" w:themeColor="text1"/>
          <w:sz w:val="20"/>
          <w:szCs w:val="20"/>
        </w:rPr>
        <w:t xml:space="preserve"> and the Kaplan-Meier curve for OS in </w:t>
      </w:r>
      <w:proofErr w:type="spellStart"/>
      <w:r w:rsidR="000D1777" w:rsidRPr="008E7C4C">
        <w:rPr>
          <w:rFonts w:ascii="Arial Narrow" w:hAnsi="Arial Narrow"/>
          <w:b/>
          <w:bCs/>
          <w:snapToGrid w:val="0"/>
          <w:color w:val="000000" w:themeColor="text1"/>
          <w:sz w:val="20"/>
          <w:szCs w:val="20"/>
        </w:rPr>
        <w:t>ILd</w:t>
      </w:r>
      <w:proofErr w:type="spellEnd"/>
      <w:r w:rsidR="000D1777" w:rsidRPr="008E7C4C">
        <w:rPr>
          <w:rFonts w:ascii="Arial Narrow" w:hAnsi="Arial Narrow"/>
          <w:b/>
          <w:bCs/>
          <w:snapToGrid w:val="0"/>
          <w:color w:val="000000" w:themeColor="text1"/>
          <w:sz w:val="20"/>
          <w:szCs w:val="20"/>
        </w:rPr>
        <w:t xml:space="preserve"> arm of the 2-3 prior therapies subgroup</w:t>
      </w:r>
    </w:p>
    <w:p w14:paraId="1680DA37" w14:textId="6E1CFF9F" w:rsidR="00411E08" w:rsidRPr="008E7C4C" w:rsidRDefault="00411E08" w:rsidP="00411E08">
      <w:pPr>
        <w:spacing w:after="120"/>
        <w:rPr>
          <w:rFonts w:asciiTheme="minorHAnsi" w:hAnsiTheme="minorHAnsi"/>
          <w:snapToGrid w:val="0"/>
          <w:color w:val="000000" w:themeColor="text1"/>
        </w:rPr>
      </w:pPr>
      <w:r w:rsidRPr="008E7C4C">
        <w:rPr>
          <w:noProof/>
        </w:rPr>
        <w:drawing>
          <wp:inline distT="0" distB="0" distL="0" distR="0" wp14:anchorId="4F4C5FF0" wp14:editId="6DC42ACF">
            <wp:extent cx="5742000" cy="5086800"/>
            <wp:effectExtent l="0" t="0" r="0" b="0"/>
            <wp:docPr id="45" name="Picture 45" descr="Figure 5: Extrapolation functions and the Kaplan-Meier curve for OS in ILd arm of the 2-3 prior therapies subgroup"/>
            <wp:cNvGraphicFramePr/>
            <a:graphic xmlns:a="http://schemas.openxmlformats.org/drawingml/2006/main">
              <a:graphicData uri="http://schemas.openxmlformats.org/drawingml/2006/picture">
                <pic:pic xmlns:pic="http://schemas.openxmlformats.org/drawingml/2006/picture">
                  <pic:nvPicPr>
                    <pic:cNvPr id="45" name="Picture 45" descr="Figure 5: Extrapolation functions and the Kaplan-Meier curve for OS in ILd arm of the 2-3 prior therapies subgroup"/>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5742000" cy="5086800"/>
                    </a:xfrm>
                    <a:prstGeom prst="rect">
                      <a:avLst/>
                    </a:prstGeom>
                    <a:noFill/>
                    <a:ln>
                      <a:noFill/>
                    </a:ln>
                    <a:extLst>
                      <a:ext uri="{53640926-AAD7-44D8-BBD7-CCE9431645EC}">
                        <a14:shadowObscured xmlns:a14="http://schemas.microsoft.com/office/drawing/2010/main"/>
                      </a:ext>
                    </a:extLst>
                  </pic:spPr>
                </pic:pic>
              </a:graphicData>
            </a:graphic>
          </wp:inline>
        </w:drawing>
      </w:r>
    </w:p>
    <w:p w14:paraId="69876E45" w14:textId="7DE9F096" w:rsidR="000D1777" w:rsidRPr="008E7C4C" w:rsidRDefault="000D1777" w:rsidP="000D1777">
      <w:pPr>
        <w:rPr>
          <w:rFonts w:ascii="Arial Narrow" w:hAnsi="Arial Narrow"/>
          <w:snapToGrid w:val="0"/>
          <w:color w:val="000000" w:themeColor="text1"/>
          <w:sz w:val="18"/>
          <w:szCs w:val="18"/>
        </w:rPr>
      </w:pPr>
      <w:r w:rsidRPr="008E7C4C">
        <w:rPr>
          <w:rFonts w:ascii="Arial Narrow" w:hAnsi="Arial Narrow"/>
          <w:snapToGrid w:val="0"/>
          <w:color w:val="000000" w:themeColor="text1"/>
          <w:sz w:val="18"/>
          <w:szCs w:val="18"/>
        </w:rPr>
        <w:t>Source: Compiled during evaluation using Workbook Section 3 CE Model</w:t>
      </w:r>
    </w:p>
    <w:p w14:paraId="22CCF73E" w14:textId="78852992" w:rsidR="000D1777" w:rsidRPr="008E7C4C" w:rsidRDefault="000D1777" w:rsidP="00136562">
      <w:pPr>
        <w:pStyle w:val="PBACTableSource"/>
      </w:pPr>
      <w:bookmarkStart w:id="28" w:name="_Hlk91931752"/>
      <w:proofErr w:type="spellStart"/>
      <w:r w:rsidRPr="008E7C4C">
        <w:t>ILd</w:t>
      </w:r>
      <w:proofErr w:type="spellEnd"/>
      <w:r w:rsidRPr="008E7C4C">
        <w:t xml:space="preserve"> = </w:t>
      </w:r>
      <w:proofErr w:type="spellStart"/>
      <w:r w:rsidRPr="008E7C4C">
        <w:t>ixazomib</w:t>
      </w:r>
      <w:proofErr w:type="spellEnd"/>
      <w:r w:rsidRPr="008E7C4C">
        <w:t xml:space="preserve"> + lenalidomide + dexamethasone; KM = Kaplan-Meier; OS = overall </w:t>
      </w:r>
      <w:bookmarkEnd w:id="28"/>
      <w:r w:rsidRPr="008E7C4C">
        <w:t>survival.</w:t>
      </w:r>
    </w:p>
    <w:p w14:paraId="2C35D5A0" w14:textId="77777777" w:rsidR="000D1777" w:rsidRPr="008E7C4C" w:rsidRDefault="000D1777" w:rsidP="00136562">
      <w:pPr>
        <w:pStyle w:val="PBACTableSource"/>
      </w:pPr>
      <w:r w:rsidRPr="008E7C4C">
        <w:t xml:space="preserve">Note: The KM cut-off (months) worksheet Main Settings, Cell [E32-F32] was changed to zero; the OS for </w:t>
      </w:r>
      <w:proofErr w:type="spellStart"/>
      <w:r w:rsidRPr="008E7C4C">
        <w:t>ILd</w:t>
      </w:r>
      <w:proofErr w:type="spellEnd"/>
      <w:r w:rsidRPr="008E7C4C">
        <w:t xml:space="preserve"> was taken from Worksheet Comp1, column: BE; The PFS for </w:t>
      </w:r>
      <w:proofErr w:type="spellStart"/>
      <w:r w:rsidRPr="008E7C4C">
        <w:t>ILd</w:t>
      </w:r>
      <w:proofErr w:type="spellEnd"/>
      <w:r w:rsidRPr="008E7C4C">
        <w:t xml:space="preserve"> was taken from Worksheet Comp2, column: BE.</w:t>
      </w:r>
    </w:p>
    <w:p w14:paraId="12BFB929" w14:textId="77777777" w:rsidR="000D1777" w:rsidRPr="008E7C4C" w:rsidRDefault="000D1777" w:rsidP="000D1777">
      <w:pPr>
        <w:rPr>
          <w:snapToGrid w:val="0"/>
        </w:rPr>
      </w:pPr>
    </w:p>
    <w:p w14:paraId="5930CE4D" w14:textId="5F0CCCCE" w:rsidR="000D1777" w:rsidRPr="008E7C4C" w:rsidRDefault="000D1777" w:rsidP="00CC25DE">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rPr>
        <w:t xml:space="preserve">For PFS and </w:t>
      </w:r>
      <w:proofErr w:type="spellStart"/>
      <w:r w:rsidRPr="008E7C4C">
        <w:rPr>
          <w:rFonts w:asciiTheme="minorHAnsi" w:hAnsiTheme="minorHAnsi"/>
          <w:snapToGrid w:val="0"/>
        </w:rPr>
        <w:t>ToT</w:t>
      </w:r>
      <w:proofErr w:type="spellEnd"/>
      <w:r w:rsidRPr="008E7C4C">
        <w:rPr>
          <w:rFonts w:asciiTheme="minorHAnsi" w:hAnsiTheme="minorHAnsi"/>
          <w:snapToGrid w:val="0"/>
        </w:rPr>
        <w:t xml:space="preserve"> the model used the KM data until 20-months and then applied Weibull parametric curves (median follow-up time was 23.3 months for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and 22.9 months for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The resubmission stated that </w:t>
      </w:r>
      <w:proofErr w:type="spellStart"/>
      <w:r w:rsidRPr="008E7C4C">
        <w:rPr>
          <w:rFonts w:asciiTheme="minorHAnsi" w:hAnsiTheme="minorHAnsi"/>
          <w:snapToGrid w:val="0"/>
        </w:rPr>
        <w:t>Gompertz</w:t>
      </w:r>
      <w:proofErr w:type="spellEnd"/>
      <w:r w:rsidRPr="008E7C4C">
        <w:rPr>
          <w:rFonts w:asciiTheme="minorHAnsi" w:hAnsiTheme="minorHAnsi"/>
          <w:snapToGrid w:val="0"/>
        </w:rPr>
        <w:t xml:space="preserve"> and exponential parametric curves were also considered.  </w:t>
      </w:r>
      <w:r w:rsidR="00567142" w:rsidRPr="008E7C4C">
        <w:rPr>
          <w:rFonts w:asciiTheme="minorHAnsi" w:hAnsiTheme="minorHAnsi"/>
          <w:snapToGrid w:val="0"/>
        </w:rPr>
        <w:t>T</w:t>
      </w:r>
      <w:r w:rsidRPr="008E7C4C">
        <w:rPr>
          <w:rFonts w:asciiTheme="minorHAnsi" w:hAnsiTheme="minorHAnsi"/>
          <w:snapToGrid w:val="0"/>
        </w:rPr>
        <w:t xml:space="preserve">he use of 20 months </w:t>
      </w:r>
      <w:r w:rsidR="00567142" w:rsidRPr="008E7C4C">
        <w:rPr>
          <w:rFonts w:asciiTheme="minorHAnsi" w:hAnsiTheme="minorHAnsi"/>
          <w:snapToGrid w:val="0"/>
        </w:rPr>
        <w:t xml:space="preserve">of </w:t>
      </w:r>
      <w:r w:rsidRPr="008E7C4C">
        <w:rPr>
          <w:rFonts w:asciiTheme="minorHAnsi" w:hAnsiTheme="minorHAnsi"/>
          <w:snapToGrid w:val="0"/>
        </w:rPr>
        <w:t>KM data was reasonable</w:t>
      </w:r>
      <w:r w:rsidR="00567142" w:rsidRPr="008E7C4C">
        <w:rPr>
          <w:rFonts w:asciiTheme="minorHAnsi" w:hAnsiTheme="minorHAnsi"/>
          <w:snapToGrid w:val="0"/>
        </w:rPr>
        <w:t xml:space="preserve"> for PFS.</w:t>
      </w:r>
      <w:r w:rsidRPr="008E7C4C">
        <w:rPr>
          <w:rFonts w:asciiTheme="minorHAnsi" w:hAnsiTheme="minorHAnsi"/>
          <w:snapToGrid w:val="0"/>
        </w:rPr>
        <w:t xml:space="preserve"> </w:t>
      </w:r>
      <w:r w:rsidR="00D66A8B" w:rsidRPr="008E7C4C">
        <w:rPr>
          <w:rFonts w:asciiTheme="minorHAnsi" w:hAnsiTheme="minorHAnsi"/>
          <w:snapToGrid w:val="0"/>
        </w:rPr>
        <w:t>T</w:t>
      </w:r>
      <w:r w:rsidRPr="008E7C4C">
        <w:rPr>
          <w:rFonts w:asciiTheme="minorHAnsi" w:hAnsiTheme="minorHAnsi"/>
          <w:snapToGrid w:val="0"/>
        </w:rPr>
        <w:t xml:space="preserve">he ESC noted that the </w:t>
      </w:r>
      <w:proofErr w:type="spellStart"/>
      <w:r w:rsidR="00567142" w:rsidRPr="008E7C4C">
        <w:rPr>
          <w:rFonts w:asciiTheme="minorHAnsi" w:hAnsiTheme="minorHAnsi"/>
          <w:snapToGrid w:val="0"/>
        </w:rPr>
        <w:t>ToT</w:t>
      </w:r>
      <w:proofErr w:type="spellEnd"/>
      <w:r w:rsidR="00567142" w:rsidRPr="008E7C4C">
        <w:rPr>
          <w:rFonts w:asciiTheme="minorHAnsi" w:hAnsiTheme="minorHAnsi"/>
          <w:snapToGrid w:val="0"/>
        </w:rPr>
        <w:t xml:space="preserve"> </w:t>
      </w:r>
      <w:r w:rsidRPr="008E7C4C">
        <w:rPr>
          <w:rFonts w:asciiTheme="minorHAnsi" w:hAnsiTheme="minorHAnsi"/>
          <w:snapToGrid w:val="0"/>
        </w:rPr>
        <w:t xml:space="preserve">extrapolations </w:t>
      </w:r>
      <w:r w:rsidR="00567142" w:rsidRPr="008E7C4C">
        <w:rPr>
          <w:rFonts w:asciiTheme="minorHAnsi" w:hAnsiTheme="minorHAnsi"/>
          <w:snapToGrid w:val="0"/>
        </w:rPr>
        <w:t xml:space="preserve">were underestimated compared to the KM curves for both the </w:t>
      </w:r>
      <w:proofErr w:type="spellStart"/>
      <w:r w:rsidR="00567142" w:rsidRPr="008E7C4C">
        <w:rPr>
          <w:rFonts w:asciiTheme="minorHAnsi" w:hAnsiTheme="minorHAnsi"/>
          <w:snapToGrid w:val="0"/>
        </w:rPr>
        <w:t>ILd</w:t>
      </w:r>
      <w:proofErr w:type="spellEnd"/>
      <w:r w:rsidR="00567142" w:rsidRPr="008E7C4C">
        <w:rPr>
          <w:rFonts w:asciiTheme="minorHAnsi" w:hAnsiTheme="minorHAnsi"/>
          <w:snapToGrid w:val="0"/>
        </w:rPr>
        <w:t xml:space="preserve"> and </w:t>
      </w:r>
      <w:proofErr w:type="spellStart"/>
      <w:r w:rsidR="00567142" w:rsidRPr="008E7C4C">
        <w:rPr>
          <w:rFonts w:asciiTheme="minorHAnsi" w:hAnsiTheme="minorHAnsi"/>
          <w:snapToGrid w:val="0"/>
        </w:rPr>
        <w:t>Ld</w:t>
      </w:r>
      <w:proofErr w:type="spellEnd"/>
      <w:r w:rsidR="00567142" w:rsidRPr="008E7C4C">
        <w:rPr>
          <w:rFonts w:asciiTheme="minorHAnsi" w:hAnsiTheme="minorHAnsi"/>
          <w:snapToGrid w:val="0"/>
        </w:rPr>
        <w:t xml:space="preserve"> arms</w:t>
      </w:r>
      <w:r w:rsidR="00BD1F05" w:rsidRPr="008E7C4C">
        <w:rPr>
          <w:rFonts w:asciiTheme="minorHAnsi" w:hAnsiTheme="minorHAnsi"/>
          <w:snapToGrid w:val="0"/>
        </w:rPr>
        <w:t xml:space="preserve"> (Figure 6)</w:t>
      </w:r>
      <w:r w:rsidR="00567142" w:rsidRPr="008E7C4C">
        <w:rPr>
          <w:rFonts w:asciiTheme="minorHAnsi" w:hAnsiTheme="minorHAnsi"/>
          <w:snapToGrid w:val="0"/>
        </w:rPr>
        <w:t xml:space="preserve">. The ESC considered that extrapolation of the </w:t>
      </w:r>
      <w:proofErr w:type="spellStart"/>
      <w:r w:rsidR="00567142" w:rsidRPr="008E7C4C">
        <w:rPr>
          <w:rFonts w:asciiTheme="minorHAnsi" w:hAnsiTheme="minorHAnsi"/>
          <w:snapToGrid w:val="0"/>
        </w:rPr>
        <w:t>ToT</w:t>
      </w:r>
      <w:proofErr w:type="spellEnd"/>
      <w:r w:rsidR="00567142" w:rsidRPr="008E7C4C">
        <w:rPr>
          <w:rFonts w:asciiTheme="minorHAnsi" w:hAnsiTheme="minorHAnsi"/>
          <w:snapToGrid w:val="0"/>
        </w:rPr>
        <w:t xml:space="preserve"> curves might not have been necessary and may have added more uncertainty to the results – see Figure </w:t>
      </w:r>
      <w:r w:rsidR="009348BB" w:rsidRPr="008E7C4C">
        <w:rPr>
          <w:rFonts w:asciiTheme="minorHAnsi" w:hAnsiTheme="minorHAnsi"/>
          <w:snapToGrid w:val="0"/>
        </w:rPr>
        <w:t>6</w:t>
      </w:r>
      <w:r w:rsidR="00567142" w:rsidRPr="008E7C4C">
        <w:rPr>
          <w:rFonts w:asciiTheme="minorHAnsi" w:hAnsiTheme="minorHAnsi"/>
          <w:snapToGrid w:val="0"/>
        </w:rPr>
        <w:t xml:space="preserve">. </w:t>
      </w:r>
      <w:r w:rsidR="00566EEC" w:rsidRPr="008E7C4C">
        <w:rPr>
          <w:rFonts w:asciiTheme="minorHAnsi" w:hAnsiTheme="minorHAnsi"/>
          <w:snapToGrid w:val="0"/>
        </w:rPr>
        <w:t xml:space="preserve">The pre-PBAC response acknowledged that the extrapolation of the </w:t>
      </w:r>
      <w:proofErr w:type="spellStart"/>
      <w:r w:rsidR="00566EEC" w:rsidRPr="008E7C4C">
        <w:rPr>
          <w:rFonts w:asciiTheme="minorHAnsi" w:hAnsiTheme="minorHAnsi"/>
          <w:snapToGrid w:val="0"/>
        </w:rPr>
        <w:t>ToT</w:t>
      </w:r>
      <w:proofErr w:type="spellEnd"/>
      <w:r w:rsidR="00566EEC" w:rsidRPr="008E7C4C">
        <w:rPr>
          <w:rFonts w:asciiTheme="minorHAnsi" w:hAnsiTheme="minorHAnsi"/>
          <w:snapToGrid w:val="0"/>
        </w:rPr>
        <w:t xml:space="preserve"> curves may not have improved the reliability of the model </w:t>
      </w:r>
      <w:r w:rsidR="00566EEC" w:rsidRPr="008E7C4C">
        <w:rPr>
          <w:rFonts w:asciiTheme="minorHAnsi" w:hAnsiTheme="minorHAnsi"/>
          <w:snapToGrid w:val="0"/>
        </w:rPr>
        <w:lastRenderedPageBreak/>
        <w:t xml:space="preserve">and stated that the removal of any extrapolation of the </w:t>
      </w:r>
      <w:proofErr w:type="spellStart"/>
      <w:r w:rsidR="00566EEC" w:rsidRPr="008E7C4C">
        <w:rPr>
          <w:rFonts w:asciiTheme="minorHAnsi" w:hAnsiTheme="minorHAnsi"/>
          <w:snapToGrid w:val="0"/>
        </w:rPr>
        <w:t>ToT</w:t>
      </w:r>
      <w:proofErr w:type="spellEnd"/>
      <w:r w:rsidR="00566EEC" w:rsidRPr="008E7C4C">
        <w:rPr>
          <w:rFonts w:asciiTheme="minorHAnsi" w:hAnsiTheme="minorHAnsi"/>
          <w:snapToGrid w:val="0"/>
        </w:rPr>
        <w:t xml:space="preserve"> KM data was reasonable in the base case.</w:t>
      </w:r>
    </w:p>
    <w:p w14:paraId="2AD66A8F" w14:textId="02CA1902" w:rsidR="000D1777" w:rsidRPr="008E7C4C" w:rsidRDefault="00567142" w:rsidP="000D1777">
      <w:pPr>
        <w:spacing w:after="120"/>
        <w:rPr>
          <w:rFonts w:ascii="Arial Narrow" w:hAnsi="Arial Narrow"/>
          <w:b/>
          <w:bCs/>
          <w:snapToGrid w:val="0"/>
          <w:sz w:val="20"/>
          <w:szCs w:val="20"/>
        </w:rPr>
      </w:pPr>
      <w:r w:rsidRPr="008E7C4C">
        <w:rPr>
          <w:rFonts w:ascii="Arial Narrow" w:hAnsi="Arial Narrow"/>
          <w:b/>
          <w:bCs/>
          <w:snapToGrid w:val="0"/>
          <w:sz w:val="20"/>
          <w:szCs w:val="20"/>
        </w:rPr>
        <w:t xml:space="preserve">Figure </w:t>
      </w:r>
      <w:r w:rsidR="009348BB" w:rsidRPr="008E7C4C">
        <w:rPr>
          <w:rFonts w:ascii="Arial Narrow" w:hAnsi="Arial Narrow"/>
          <w:b/>
          <w:bCs/>
          <w:snapToGrid w:val="0"/>
          <w:sz w:val="20"/>
          <w:szCs w:val="20"/>
        </w:rPr>
        <w:t>6</w:t>
      </w:r>
      <w:r w:rsidRPr="008E7C4C">
        <w:rPr>
          <w:rFonts w:ascii="Arial Narrow" w:hAnsi="Arial Narrow"/>
          <w:b/>
          <w:bCs/>
          <w:snapToGrid w:val="0"/>
          <w:sz w:val="20"/>
          <w:szCs w:val="20"/>
        </w:rPr>
        <w:t xml:space="preserve">: Extrapolation of Kaplan-Meier curves for </w:t>
      </w:r>
      <w:proofErr w:type="spellStart"/>
      <w:r w:rsidRPr="008E7C4C">
        <w:rPr>
          <w:rFonts w:ascii="Arial Narrow" w:hAnsi="Arial Narrow"/>
          <w:b/>
          <w:bCs/>
          <w:snapToGrid w:val="0"/>
          <w:sz w:val="20"/>
          <w:szCs w:val="20"/>
        </w:rPr>
        <w:t>ToT</w:t>
      </w:r>
      <w:proofErr w:type="spellEnd"/>
      <w:r w:rsidRPr="008E7C4C">
        <w:rPr>
          <w:rFonts w:ascii="Arial Narrow" w:hAnsi="Arial Narrow"/>
          <w:b/>
          <w:bCs/>
          <w:snapToGrid w:val="0"/>
          <w:sz w:val="20"/>
          <w:szCs w:val="20"/>
        </w:rPr>
        <w:t xml:space="preserve"> in the 2-3 prior therapies subgroup using Weibull function</w:t>
      </w:r>
    </w:p>
    <w:p w14:paraId="2D1DF4A5" w14:textId="3D8BF71D" w:rsidR="000D1777" w:rsidRPr="008E7C4C" w:rsidRDefault="000D1777" w:rsidP="000D1777">
      <w:pPr>
        <w:spacing w:after="120"/>
        <w:rPr>
          <w:rFonts w:asciiTheme="minorHAnsi" w:hAnsiTheme="minorHAnsi"/>
          <w:snapToGrid w:val="0"/>
          <w:color w:val="000000" w:themeColor="text1"/>
        </w:rPr>
      </w:pPr>
      <w:r w:rsidRPr="008E7C4C">
        <w:rPr>
          <w:noProof/>
        </w:rPr>
        <w:drawing>
          <wp:inline distT="0" distB="0" distL="0" distR="0" wp14:anchorId="1F1D3B9B" wp14:editId="28A28611">
            <wp:extent cx="5504400" cy="3834000"/>
            <wp:effectExtent l="0" t="0" r="1270" b="0"/>
            <wp:docPr id="44" name="Picture 44" descr="Figure 6: Extrapolation of Kaplan-Meier curves for ToT in the 2-3 prior therapies subgroup using Weibull function"/>
            <wp:cNvGraphicFramePr/>
            <a:graphic xmlns:a="http://schemas.openxmlformats.org/drawingml/2006/main">
              <a:graphicData uri="http://schemas.openxmlformats.org/drawingml/2006/picture">
                <pic:pic xmlns:pic="http://schemas.openxmlformats.org/drawingml/2006/picture">
                  <pic:nvPicPr>
                    <pic:cNvPr id="44" name="Picture 44" descr="Figure 6: Extrapolation of Kaplan-Meier curves for ToT in the 2-3 prior therapies subgroup using Weibull function"/>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4400" cy="3834000"/>
                    </a:xfrm>
                    <a:prstGeom prst="rect">
                      <a:avLst/>
                    </a:prstGeom>
                    <a:noFill/>
                  </pic:spPr>
                </pic:pic>
              </a:graphicData>
            </a:graphic>
          </wp:inline>
        </w:drawing>
      </w:r>
    </w:p>
    <w:p w14:paraId="5A00FE31" w14:textId="77777777" w:rsidR="00567142" w:rsidRPr="008E7C4C" w:rsidRDefault="00567142" w:rsidP="00136562">
      <w:pPr>
        <w:pStyle w:val="PBACTableSource"/>
      </w:pPr>
      <w:r w:rsidRPr="008E7C4C">
        <w:t>Source: Figure 3-4, p100 of the resubmission.</w:t>
      </w:r>
    </w:p>
    <w:p w14:paraId="7324856C" w14:textId="26EA6986" w:rsidR="00567142" w:rsidRPr="008E7C4C" w:rsidRDefault="00567142" w:rsidP="00136562">
      <w:pPr>
        <w:pStyle w:val="PBACTableSource"/>
      </w:pPr>
      <w:r w:rsidRPr="008E7C4C">
        <w:t xml:space="preserve">IXA+LEN+DEX = </w:t>
      </w:r>
      <w:proofErr w:type="spellStart"/>
      <w:r w:rsidRPr="008E7C4C">
        <w:t>ixazomib</w:t>
      </w:r>
      <w:proofErr w:type="spellEnd"/>
      <w:r w:rsidRPr="008E7C4C">
        <w:t xml:space="preserve"> + lenalidomide + dexamethasone; KM = Kaplan-Meier; LEN+DEX = lenalidomide + dexamethasone; </w:t>
      </w:r>
      <w:proofErr w:type="spellStart"/>
      <w:r w:rsidRPr="008E7C4C">
        <w:t>ToT</w:t>
      </w:r>
      <w:proofErr w:type="spellEnd"/>
      <w:r w:rsidRPr="008E7C4C">
        <w:t xml:space="preserve"> = time on treatment</w:t>
      </w:r>
    </w:p>
    <w:p w14:paraId="3D93F145" w14:textId="77777777" w:rsidR="00567142" w:rsidRPr="008E7C4C" w:rsidRDefault="00567142" w:rsidP="00567142">
      <w:pPr>
        <w:rPr>
          <w:snapToGrid w:val="0"/>
        </w:rPr>
      </w:pPr>
    </w:p>
    <w:p w14:paraId="37025BBE" w14:textId="6C528A3A" w:rsidR="00CC25DE" w:rsidRPr="008E7C4C" w:rsidRDefault="00CC25DE" w:rsidP="00CC25DE">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 xml:space="preserve">There were applicability issues related to age and the cytogenetic risk profile of patients in the economic model (sourced from TMM-1) and the Australian population. </w:t>
      </w:r>
      <w:r w:rsidR="00D253FD" w:rsidRPr="008E7C4C">
        <w:rPr>
          <w:rFonts w:asciiTheme="minorHAnsi" w:hAnsiTheme="minorHAnsi"/>
          <w:snapToGrid w:val="0"/>
          <w:color w:val="000000" w:themeColor="text1"/>
        </w:rPr>
        <w:t>The ESC noted that p</w:t>
      </w:r>
      <w:r w:rsidR="003B3B31" w:rsidRPr="008E7C4C">
        <w:rPr>
          <w:rFonts w:asciiTheme="minorHAnsi" w:hAnsiTheme="minorHAnsi"/>
          <w:snapToGrid w:val="0"/>
          <w:color w:val="000000" w:themeColor="text1"/>
        </w:rPr>
        <w:t xml:space="preserve">atients from </w:t>
      </w:r>
      <w:r w:rsidRPr="008E7C4C">
        <w:rPr>
          <w:rFonts w:asciiTheme="minorHAnsi" w:hAnsiTheme="minorHAnsi"/>
          <w:snapToGrid w:val="0"/>
          <w:color w:val="000000" w:themeColor="text1"/>
        </w:rPr>
        <w:t xml:space="preserve">TMM-1 </w:t>
      </w:r>
      <w:r w:rsidR="003B3B31" w:rsidRPr="008E7C4C">
        <w:rPr>
          <w:rFonts w:asciiTheme="minorHAnsi" w:hAnsiTheme="minorHAnsi"/>
          <w:snapToGrid w:val="0"/>
          <w:color w:val="000000" w:themeColor="text1"/>
        </w:rPr>
        <w:t xml:space="preserve">in the </w:t>
      </w:r>
      <w:r w:rsidRPr="008E7C4C">
        <w:rPr>
          <w:rFonts w:asciiTheme="minorHAnsi" w:hAnsiTheme="minorHAnsi"/>
          <w:snapToGrid w:val="0"/>
          <w:color w:val="000000" w:themeColor="text1"/>
        </w:rPr>
        <w:t xml:space="preserve">subgroup of patients who had received </w:t>
      </w:r>
      <w:r w:rsidR="00A23DC5" w:rsidRPr="008E7C4C">
        <w:rPr>
          <w:rFonts w:asciiTheme="minorHAnsi" w:hAnsiTheme="minorHAnsi"/>
          <w:snapToGrid w:val="0"/>
          <w:color w:val="000000" w:themeColor="text1"/>
        </w:rPr>
        <w:t>2-3</w:t>
      </w:r>
      <w:r w:rsidRPr="008E7C4C">
        <w:rPr>
          <w:rFonts w:asciiTheme="minorHAnsi" w:hAnsiTheme="minorHAnsi"/>
          <w:snapToGrid w:val="0"/>
          <w:color w:val="000000" w:themeColor="text1"/>
        </w:rPr>
        <w:t xml:space="preserve"> prior therapies </w:t>
      </w:r>
      <w:r w:rsidR="003B3B31" w:rsidRPr="008E7C4C">
        <w:rPr>
          <w:rFonts w:asciiTheme="minorHAnsi" w:hAnsiTheme="minorHAnsi"/>
          <w:snapToGrid w:val="0"/>
          <w:color w:val="000000" w:themeColor="text1"/>
        </w:rPr>
        <w:t xml:space="preserve">had </w:t>
      </w:r>
      <w:r w:rsidRPr="008E7C4C">
        <w:rPr>
          <w:rFonts w:asciiTheme="minorHAnsi" w:hAnsiTheme="minorHAnsi"/>
          <w:snapToGrid w:val="0"/>
          <w:color w:val="000000" w:themeColor="text1"/>
        </w:rPr>
        <w:t xml:space="preserve">a median age of 65 years, whereas patients in Australia are </w:t>
      </w:r>
      <w:r w:rsidR="003B3B31" w:rsidRPr="008E7C4C">
        <w:rPr>
          <w:rFonts w:asciiTheme="minorHAnsi" w:hAnsiTheme="minorHAnsi"/>
          <w:snapToGrid w:val="0"/>
          <w:color w:val="000000" w:themeColor="text1"/>
        </w:rPr>
        <w:t xml:space="preserve">first </w:t>
      </w:r>
      <w:r w:rsidRPr="008E7C4C">
        <w:rPr>
          <w:rFonts w:asciiTheme="minorHAnsi" w:hAnsiTheme="minorHAnsi"/>
          <w:snapToGrid w:val="0"/>
          <w:color w:val="000000" w:themeColor="text1"/>
        </w:rPr>
        <w:t xml:space="preserve">diagnosed with MM at a median age of 70 years (MSAG, 2019). The latter implies that patients are more than 5 years older in Australia </w:t>
      </w:r>
      <w:r w:rsidR="00C13472" w:rsidRPr="008E7C4C">
        <w:rPr>
          <w:rFonts w:asciiTheme="minorHAnsi" w:hAnsiTheme="minorHAnsi"/>
          <w:snapToGrid w:val="0"/>
          <w:color w:val="000000" w:themeColor="text1"/>
        </w:rPr>
        <w:t xml:space="preserve">at diagnosis </w:t>
      </w:r>
      <w:r w:rsidRPr="008E7C4C">
        <w:rPr>
          <w:rFonts w:asciiTheme="minorHAnsi" w:hAnsiTheme="minorHAnsi"/>
          <w:snapToGrid w:val="0"/>
          <w:color w:val="000000" w:themeColor="text1"/>
        </w:rPr>
        <w:t>relative to the modelled population</w:t>
      </w:r>
      <w:r w:rsidR="00C13472" w:rsidRPr="008E7C4C">
        <w:rPr>
          <w:rFonts w:asciiTheme="minorHAnsi" w:hAnsiTheme="minorHAnsi"/>
          <w:snapToGrid w:val="0"/>
          <w:color w:val="000000" w:themeColor="text1"/>
        </w:rPr>
        <w:t xml:space="preserve"> who have already received 2-3 prior therapies</w:t>
      </w:r>
      <w:r w:rsidRPr="008E7C4C">
        <w:rPr>
          <w:rFonts w:asciiTheme="minorHAnsi" w:hAnsiTheme="minorHAnsi"/>
          <w:snapToGrid w:val="0"/>
          <w:color w:val="000000" w:themeColor="text1"/>
        </w:rPr>
        <w:t>. The resubmission stated that this was unlikely to have a significant effect. Th</w:t>
      </w:r>
      <w:r w:rsidR="003B3B31" w:rsidRPr="008E7C4C">
        <w:rPr>
          <w:rFonts w:asciiTheme="minorHAnsi" w:hAnsiTheme="minorHAnsi"/>
          <w:snapToGrid w:val="0"/>
          <w:color w:val="000000" w:themeColor="text1"/>
        </w:rPr>
        <w:t>is may not be reasonable</w:t>
      </w:r>
      <w:r w:rsidRPr="008E7C4C">
        <w:rPr>
          <w:rFonts w:asciiTheme="minorHAnsi" w:hAnsiTheme="minorHAnsi"/>
          <w:snapToGrid w:val="0"/>
          <w:color w:val="000000" w:themeColor="text1"/>
        </w:rPr>
        <w:t>.</w:t>
      </w:r>
    </w:p>
    <w:p w14:paraId="7086478F" w14:textId="70CC809F" w:rsidR="00CC25DE" w:rsidRPr="008E7C4C" w:rsidRDefault="00CC25DE" w:rsidP="00EB1AEB">
      <w:pPr>
        <w:keepNext/>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lastRenderedPageBreak/>
        <w:t xml:space="preserve">Summary of the key drivers of the model are presented in Table </w:t>
      </w:r>
      <w:r w:rsidR="007E51A8" w:rsidRPr="008E7C4C">
        <w:rPr>
          <w:rFonts w:asciiTheme="minorHAnsi" w:hAnsiTheme="minorHAnsi"/>
          <w:snapToGrid w:val="0"/>
          <w:color w:val="000000" w:themeColor="text1"/>
        </w:rPr>
        <w:t>13</w:t>
      </w:r>
      <w:r w:rsidRPr="008E7C4C">
        <w:rPr>
          <w:rFonts w:asciiTheme="minorHAnsi" w:hAnsiTheme="minorHAnsi"/>
          <w:snapToGrid w:val="0"/>
          <w:color w:val="000000" w:themeColor="text1"/>
        </w:rPr>
        <w:t>.</w:t>
      </w:r>
    </w:p>
    <w:p w14:paraId="6A743A59" w14:textId="73634E59" w:rsidR="00CC25DE" w:rsidRPr="008E7C4C" w:rsidRDefault="00CC25DE" w:rsidP="00CC25DE">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 xml:space="preserve">Table </w:t>
      </w:r>
      <w:r w:rsidR="007E51A8" w:rsidRPr="008E7C4C">
        <w:rPr>
          <w:rFonts w:ascii="Arial Narrow" w:eastAsiaTheme="majorEastAsia" w:hAnsi="Arial Narrow" w:cstheme="majorBidi"/>
          <w:b/>
          <w:bCs/>
          <w:sz w:val="20"/>
        </w:rPr>
        <w:t>13</w:t>
      </w:r>
      <w:r w:rsidRPr="008E7C4C">
        <w:rPr>
          <w:rFonts w:ascii="Arial Narrow" w:eastAsiaTheme="majorEastAsia" w:hAnsi="Arial Narrow" w:cstheme="majorBidi"/>
          <w:b/>
          <w:bCs/>
          <w:sz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3"/>
        <w:gridCol w:w="2784"/>
      </w:tblGrid>
      <w:tr w:rsidR="00CC25DE" w:rsidRPr="008E7C4C" w14:paraId="117487FC" w14:textId="77777777" w:rsidTr="006D7D90">
        <w:trPr>
          <w:tblHeader/>
        </w:trPr>
        <w:tc>
          <w:tcPr>
            <w:tcW w:w="626" w:type="pct"/>
            <w:shd w:val="clear" w:color="auto" w:fill="auto"/>
            <w:vAlign w:val="center"/>
          </w:tcPr>
          <w:p w14:paraId="07EF5CD9" w14:textId="77777777" w:rsidR="00CC25DE" w:rsidRPr="008E7C4C" w:rsidRDefault="00CC25DE" w:rsidP="00C04EB3">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Description</w:t>
            </w:r>
          </w:p>
        </w:tc>
        <w:tc>
          <w:tcPr>
            <w:tcW w:w="2830" w:type="pct"/>
            <w:shd w:val="clear" w:color="auto" w:fill="auto"/>
            <w:vAlign w:val="center"/>
          </w:tcPr>
          <w:p w14:paraId="04C9B59F" w14:textId="77777777"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Method/Value</w:t>
            </w:r>
          </w:p>
        </w:tc>
        <w:tc>
          <w:tcPr>
            <w:tcW w:w="1544" w:type="pct"/>
            <w:shd w:val="clear" w:color="auto" w:fill="auto"/>
            <w:vAlign w:val="center"/>
          </w:tcPr>
          <w:p w14:paraId="49493E7F" w14:textId="77777777"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Impact</w:t>
            </w:r>
          </w:p>
          <w:p w14:paraId="19EF6EA6" w14:textId="0CD79830"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b/>
                <w:sz w:val="20"/>
                <w:szCs w:val="20"/>
              </w:rPr>
              <w:t>Base case: $</w:t>
            </w:r>
            <w:r w:rsidR="00951174" w:rsidRPr="00951174">
              <w:rPr>
                <w:rFonts w:ascii="Arial Narrow" w:eastAsiaTheme="majorEastAsia" w:hAnsi="Arial Narrow"/>
                <w:b/>
                <w:color w:val="000000"/>
                <w:spacing w:val="208"/>
                <w:sz w:val="20"/>
                <w:szCs w:val="20"/>
                <w:shd w:val="solid" w:color="000000" w:fill="000000"/>
                <w:fitText w:val="300" w:id="-1502411516"/>
                <w14:textFill>
                  <w14:solidFill>
                    <w14:srgbClr w14:val="000000">
                      <w14:alpha w14:val="100000"/>
                    </w14:srgbClr>
                  </w14:solidFill>
                </w14:textFill>
              </w:rPr>
              <w:t>|</w:t>
            </w:r>
            <w:r w:rsidR="00951174" w:rsidRPr="00951174">
              <w:rPr>
                <w:rFonts w:ascii="Arial Narrow" w:eastAsiaTheme="majorEastAsia" w:hAnsi="Arial Narrow"/>
                <w:b/>
                <w:color w:val="000000"/>
                <w:spacing w:val="1"/>
                <w:sz w:val="20"/>
                <w:szCs w:val="20"/>
                <w:shd w:val="solid" w:color="000000" w:fill="000000"/>
                <w:fitText w:val="300" w:id="-1502411516"/>
                <w14:textFill>
                  <w14:solidFill>
                    <w14:srgbClr w14:val="000000">
                      <w14:alpha w14:val="100000"/>
                    </w14:srgbClr>
                  </w14:solidFill>
                </w14:textFill>
              </w:rPr>
              <w:t>|</w:t>
            </w:r>
            <w:r w:rsidR="00420A9B">
              <w:rPr>
                <w:rFonts w:ascii="Arial Narrow" w:eastAsiaTheme="majorEastAsia" w:hAnsi="Arial Narrow"/>
                <w:b/>
                <w:sz w:val="20"/>
                <w:szCs w:val="20"/>
                <w:vertAlign w:val="superscript"/>
              </w:rPr>
              <w:t>3</w:t>
            </w:r>
            <w:r w:rsidRPr="008E7C4C">
              <w:rPr>
                <w:rFonts w:ascii="Arial Narrow" w:eastAsiaTheme="majorEastAsia" w:hAnsi="Arial Narrow"/>
                <w:b/>
                <w:sz w:val="20"/>
                <w:szCs w:val="20"/>
              </w:rPr>
              <w:t>/QALY gained</w:t>
            </w:r>
          </w:p>
        </w:tc>
      </w:tr>
      <w:tr w:rsidR="00CC25DE" w:rsidRPr="008E7C4C" w14:paraId="3FC81D68" w14:textId="77777777" w:rsidTr="006D7D90">
        <w:tc>
          <w:tcPr>
            <w:tcW w:w="626" w:type="pct"/>
            <w:shd w:val="clear" w:color="auto" w:fill="auto"/>
            <w:vAlign w:val="center"/>
          </w:tcPr>
          <w:p w14:paraId="3E91926F" w14:textId="77777777" w:rsidR="00CC25DE" w:rsidRPr="008E7C4C" w:rsidRDefault="00CC25DE" w:rsidP="00C04EB3">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Time horizon</w:t>
            </w:r>
          </w:p>
        </w:tc>
        <w:tc>
          <w:tcPr>
            <w:tcW w:w="2830" w:type="pct"/>
            <w:shd w:val="clear" w:color="auto" w:fill="auto"/>
            <w:vAlign w:val="center"/>
          </w:tcPr>
          <w:p w14:paraId="71AB7587" w14:textId="16B1A16E"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Model adopted a 20-year time horizon, </w:t>
            </w:r>
            <w:r w:rsidR="00C13472" w:rsidRPr="008E7C4C">
              <w:rPr>
                <w:rFonts w:ascii="Arial Narrow" w:eastAsiaTheme="majorEastAsia" w:hAnsi="Arial Narrow" w:cstheme="majorBidi"/>
                <w:bCs/>
                <w:sz w:val="20"/>
              </w:rPr>
              <w:t>compared</w:t>
            </w:r>
            <w:r w:rsidRPr="008E7C4C">
              <w:rPr>
                <w:rFonts w:ascii="Arial Narrow" w:eastAsiaTheme="majorEastAsia" w:hAnsi="Arial Narrow" w:cstheme="majorBidi"/>
                <w:bCs/>
                <w:sz w:val="20"/>
              </w:rPr>
              <w:t xml:space="preserve"> with </w:t>
            </w:r>
            <w:r w:rsidR="00C13472" w:rsidRPr="008E7C4C">
              <w:rPr>
                <w:rFonts w:ascii="Arial Narrow" w:eastAsiaTheme="majorEastAsia" w:hAnsi="Arial Narrow" w:cstheme="majorBidi"/>
                <w:bCs/>
                <w:sz w:val="20"/>
              </w:rPr>
              <w:t xml:space="preserve">a median follow-up of 85 months from </w:t>
            </w:r>
            <w:r w:rsidRPr="008E7C4C">
              <w:rPr>
                <w:rFonts w:ascii="Arial Narrow" w:eastAsiaTheme="majorEastAsia" w:hAnsi="Arial Narrow" w:cstheme="majorBidi"/>
                <w:bCs/>
                <w:sz w:val="20"/>
              </w:rPr>
              <w:t>the updated final analysis</w:t>
            </w:r>
          </w:p>
        </w:tc>
        <w:tc>
          <w:tcPr>
            <w:tcW w:w="1544" w:type="pct"/>
            <w:shd w:val="clear" w:color="auto" w:fill="auto"/>
            <w:vAlign w:val="center"/>
          </w:tcPr>
          <w:p w14:paraId="6A7AD737" w14:textId="61EA7ADD" w:rsidR="008B58A6" w:rsidRPr="008E7C4C" w:rsidRDefault="00C04EB3"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Moderate to high, f</w:t>
            </w:r>
            <w:r w:rsidR="008B58A6" w:rsidRPr="008E7C4C">
              <w:rPr>
                <w:rFonts w:ascii="Arial Narrow" w:eastAsiaTheme="majorEastAsia" w:hAnsi="Arial Narrow" w:cstheme="majorBidi"/>
                <w:bCs/>
                <w:sz w:val="20"/>
              </w:rPr>
              <w:t xml:space="preserve">avours </w:t>
            </w:r>
            <w:proofErr w:type="spellStart"/>
            <w:r w:rsidR="008B58A6" w:rsidRPr="008E7C4C">
              <w:rPr>
                <w:rFonts w:ascii="Arial Narrow" w:eastAsiaTheme="majorEastAsia" w:hAnsi="Arial Narrow" w:cstheme="majorBidi"/>
                <w:bCs/>
                <w:sz w:val="20"/>
              </w:rPr>
              <w:t>ILd</w:t>
            </w:r>
            <w:proofErr w:type="spellEnd"/>
          </w:p>
          <w:p w14:paraId="59C8A7A4" w14:textId="1B95B40D"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15 year</w:t>
            </w:r>
            <w:r w:rsidR="00C647EE" w:rsidRPr="008E7C4C">
              <w:rPr>
                <w:rFonts w:ascii="Arial Narrow" w:eastAsiaTheme="majorEastAsia" w:hAnsi="Arial Narrow" w:cstheme="majorBidi"/>
                <w:bCs/>
                <w:sz w:val="20"/>
              </w:rPr>
              <w:t>s</w:t>
            </w:r>
            <w:r w:rsidRPr="008E7C4C">
              <w:rPr>
                <w:rFonts w:ascii="Arial Narrow" w:eastAsiaTheme="majorEastAsia" w:hAnsi="Arial Narrow" w:cstheme="majorBidi"/>
                <w:bCs/>
                <w:sz w:val="20"/>
              </w:rPr>
              <w:t>: ICER</w:t>
            </w:r>
            <w:r w:rsidR="008B58A6" w:rsidRPr="008E7C4C">
              <w:rPr>
                <w:rFonts w:ascii="Arial Narrow" w:eastAsiaTheme="majorEastAsia" w:hAnsi="Arial Narrow" w:cstheme="majorBidi"/>
                <w:bCs/>
                <w:sz w:val="20"/>
              </w:rPr>
              <w:t xml:space="preserve"> =</w:t>
            </w:r>
            <w:r w:rsidRPr="008E7C4C">
              <w:rPr>
                <w:rFonts w:ascii="Arial Narrow" w:eastAsiaTheme="majorEastAsia" w:hAnsi="Arial Narrow" w:cstheme="majorBidi"/>
                <w:bCs/>
                <w:sz w:val="20"/>
              </w:rPr>
              <w:t xml:space="preserve"> $</w:t>
            </w:r>
            <w:r w:rsidR="00951174" w:rsidRPr="00951174">
              <w:rPr>
                <w:rFonts w:ascii="Arial Narrow" w:eastAsiaTheme="majorEastAsia" w:hAnsi="Arial Narrow" w:cstheme="majorBidi"/>
                <w:bCs/>
                <w:color w:val="000000"/>
                <w:spacing w:val="53"/>
                <w:sz w:val="20"/>
                <w:shd w:val="solid" w:color="000000" w:fill="000000"/>
                <w:fitText w:val="330" w:id="-1502411515"/>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15"/>
                <w14:textFill>
                  <w14:solidFill>
                    <w14:srgbClr w14:val="000000">
                      <w14:alpha w14:val="100000"/>
                    </w14:srgbClr>
                  </w14:solidFill>
                </w14:textFill>
              </w:rPr>
              <w:t>|</w:t>
            </w:r>
            <w:r w:rsidR="00420A9B">
              <w:rPr>
                <w:rFonts w:ascii="Arial Narrow" w:eastAsiaTheme="majorEastAsia" w:hAnsi="Arial Narrow" w:cstheme="majorBidi"/>
                <w:bCs/>
                <w:sz w:val="20"/>
                <w:vertAlign w:val="superscript"/>
              </w:rPr>
              <w:t>3</w:t>
            </w:r>
            <w:r w:rsidRPr="008E7C4C">
              <w:rPr>
                <w:rFonts w:ascii="Arial Narrow" w:eastAsiaTheme="majorEastAsia" w:hAnsi="Arial Narrow" w:cstheme="majorBidi"/>
                <w:bCs/>
                <w:sz w:val="20"/>
              </w:rPr>
              <w:t xml:space="preserve">/QALY </w:t>
            </w:r>
          </w:p>
          <w:p w14:paraId="01D41221" w14:textId="07CE76D2"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10 years: ICER</w:t>
            </w:r>
            <w:r w:rsidR="008B58A6" w:rsidRPr="008E7C4C">
              <w:rPr>
                <w:rFonts w:ascii="Arial Narrow" w:eastAsiaTheme="majorEastAsia" w:hAnsi="Arial Narrow" w:cstheme="majorBidi"/>
                <w:bCs/>
                <w:sz w:val="20"/>
              </w:rPr>
              <w:t xml:space="preserve"> =</w:t>
            </w:r>
            <w:r w:rsidRPr="008E7C4C">
              <w:rPr>
                <w:rFonts w:ascii="Arial Narrow" w:eastAsiaTheme="majorEastAsia" w:hAnsi="Arial Narrow" w:cstheme="majorBidi"/>
                <w:bCs/>
                <w:sz w:val="20"/>
              </w:rPr>
              <w:t xml:space="preserve"> $</w:t>
            </w:r>
            <w:r w:rsidR="00951174" w:rsidRPr="00951174">
              <w:rPr>
                <w:rFonts w:ascii="Arial Narrow" w:eastAsiaTheme="majorEastAsia" w:hAnsi="Arial Narrow" w:cstheme="majorBidi"/>
                <w:bCs/>
                <w:color w:val="000000"/>
                <w:spacing w:val="53"/>
                <w:sz w:val="20"/>
                <w:shd w:val="solid" w:color="000000" w:fill="000000"/>
                <w:fitText w:val="330" w:id="-1502411514"/>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14"/>
                <w14:textFill>
                  <w14:solidFill>
                    <w14:srgbClr w14:val="000000">
                      <w14:alpha w14:val="100000"/>
                    </w14:srgbClr>
                  </w14:solidFill>
                </w14:textFill>
              </w:rPr>
              <w:t>|</w:t>
            </w:r>
            <w:r w:rsidR="00420A9B">
              <w:rPr>
                <w:rFonts w:ascii="Arial Narrow" w:eastAsiaTheme="majorEastAsia" w:hAnsi="Arial Narrow" w:cstheme="majorBidi"/>
                <w:bCs/>
                <w:sz w:val="20"/>
                <w:vertAlign w:val="superscript"/>
              </w:rPr>
              <w:t>4</w:t>
            </w:r>
            <w:r w:rsidRPr="008E7C4C">
              <w:rPr>
                <w:rFonts w:ascii="Arial Narrow" w:eastAsiaTheme="majorEastAsia" w:hAnsi="Arial Narrow" w:cstheme="majorBidi"/>
                <w:bCs/>
                <w:sz w:val="20"/>
              </w:rPr>
              <w:t>/QALY</w:t>
            </w:r>
          </w:p>
        </w:tc>
      </w:tr>
      <w:tr w:rsidR="00CC25DE" w:rsidRPr="008E7C4C" w14:paraId="20F2E5DD" w14:textId="77777777" w:rsidTr="006D7D90">
        <w:tc>
          <w:tcPr>
            <w:tcW w:w="626" w:type="pct"/>
            <w:vMerge w:val="restart"/>
            <w:shd w:val="clear" w:color="auto" w:fill="auto"/>
            <w:vAlign w:val="center"/>
          </w:tcPr>
          <w:p w14:paraId="7B1CF912" w14:textId="77777777" w:rsidR="00CC25DE" w:rsidRPr="008E7C4C" w:rsidRDefault="00CC25DE" w:rsidP="00C04EB3">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Survival adjustment</w:t>
            </w:r>
          </w:p>
        </w:tc>
        <w:tc>
          <w:tcPr>
            <w:tcW w:w="2830" w:type="pct"/>
            <w:shd w:val="clear" w:color="auto" w:fill="auto"/>
            <w:vAlign w:val="center"/>
          </w:tcPr>
          <w:p w14:paraId="218C13AA" w14:textId="25DCB998" w:rsidR="00CC25DE" w:rsidRPr="008E7C4C" w:rsidRDefault="00CC25DE" w:rsidP="00D21D03">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Unadjusted OS (from TMM-1</w:t>
            </w:r>
            <w:r w:rsidR="00D21D03" w:rsidRPr="008E7C4C">
              <w:rPr>
                <w:rFonts w:ascii="Arial Narrow" w:eastAsiaTheme="majorEastAsia" w:hAnsi="Arial Narrow" w:cstheme="majorBidi"/>
                <w:bCs/>
                <w:sz w:val="20"/>
              </w:rPr>
              <w:t xml:space="preserve"> for 2-3 prior lines of therapy subgroup)</w:t>
            </w:r>
          </w:p>
        </w:tc>
        <w:tc>
          <w:tcPr>
            <w:tcW w:w="1544" w:type="pct"/>
            <w:shd w:val="clear" w:color="auto" w:fill="auto"/>
            <w:vAlign w:val="center"/>
          </w:tcPr>
          <w:p w14:paraId="15DB186F"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High, favours </w:t>
            </w:r>
            <w:proofErr w:type="spellStart"/>
            <w:r w:rsidRPr="008E7C4C">
              <w:rPr>
                <w:rFonts w:ascii="Arial Narrow" w:eastAsiaTheme="majorEastAsia" w:hAnsi="Arial Narrow" w:cstheme="majorBidi"/>
                <w:bCs/>
                <w:sz w:val="20"/>
              </w:rPr>
              <w:t>ILd</w:t>
            </w:r>
            <w:proofErr w:type="spellEnd"/>
            <w:r w:rsidRPr="008E7C4C">
              <w:rPr>
                <w:rFonts w:ascii="Arial Narrow" w:eastAsiaTheme="majorEastAsia" w:hAnsi="Arial Narrow" w:cstheme="majorBidi"/>
                <w:bCs/>
                <w:sz w:val="20"/>
              </w:rPr>
              <w:t>.</w:t>
            </w:r>
          </w:p>
          <w:p w14:paraId="11450C3B" w14:textId="3FF97ABC"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ICER</w:t>
            </w:r>
            <w:r w:rsidR="008B58A6" w:rsidRPr="008E7C4C">
              <w:rPr>
                <w:rFonts w:ascii="Arial Narrow" w:eastAsiaTheme="majorEastAsia" w:hAnsi="Arial Narrow" w:cstheme="majorBidi"/>
                <w:bCs/>
                <w:sz w:val="20"/>
              </w:rPr>
              <w:t xml:space="preserve"> =</w:t>
            </w:r>
            <w:r w:rsidRPr="008E7C4C">
              <w:rPr>
                <w:rFonts w:ascii="Arial Narrow" w:eastAsiaTheme="majorEastAsia" w:hAnsi="Arial Narrow" w:cstheme="majorBidi"/>
                <w:bCs/>
                <w:sz w:val="20"/>
              </w:rPr>
              <w:t xml:space="preserve"> $</w:t>
            </w:r>
            <w:r w:rsidR="00951174" w:rsidRPr="00951174">
              <w:rPr>
                <w:rFonts w:ascii="Arial Narrow" w:eastAsiaTheme="majorEastAsia" w:hAnsi="Arial Narrow" w:cstheme="majorBidi"/>
                <w:bCs/>
                <w:color w:val="000000"/>
                <w:spacing w:val="53"/>
                <w:sz w:val="20"/>
                <w:shd w:val="solid" w:color="000000" w:fill="000000"/>
                <w:fitText w:val="330" w:id="-1502411513"/>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13"/>
                <w14:textFill>
                  <w14:solidFill>
                    <w14:srgbClr w14:val="000000">
                      <w14:alpha w14:val="100000"/>
                    </w14:srgbClr>
                  </w14:solidFill>
                </w14:textFill>
              </w:rPr>
              <w:t>|</w:t>
            </w:r>
            <w:r w:rsidR="00420A9B">
              <w:rPr>
                <w:rFonts w:ascii="Arial Narrow" w:eastAsiaTheme="majorEastAsia" w:hAnsi="Arial Narrow" w:cstheme="majorBidi"/>
                <w:bCs/>
                <w:sz w:val="20"/>
                <w:vertAlign w:val="superscript"/>
              </w:rPr>
              <w:t>4</w:t>
            </w:r>
            <w:r w:rsidRPr="008E7C4C">
              <w:rPr>
                <w:rFonts w:ascii="Arial Narrow" w:eastAsiaTheme="majorEastAsia" w:hAnsi="Arial Narrow" w:cstheme="majorBidi"/>
                <w:bCs/>
                <w:sz w:val="20"/>
              </w:rPr>
              <w:t xml:space="preserve">/QALY </w:t>
            </w:r>
          </w:p>
        </w:tc>
      </w:tr>
      <w:tr w:rsidR="00CC25DE" w:rsidRPr="008E7C4C" w14:paraId="65952E05" w14:textId="77777777" w:rsidTr="006D7D90">
        <w:trPr>
          <w:trHeight w:val="46"/>
        </w:trPr>
        <w:tc>
          <w:tcPr>
            <w:tcW w:w="626" w:type="pct"/>
            <w:vMerge/>
            <w:shd w:val="clear" w:color="auto" w:fill="auto"/>
            <w:vAlign w:val="center"/>
          </w:tcPr>
          <w:p w14:paraId="21690C21" w14:textId="77777777" w:rsidR="00CC25DE" w:rsidRPr="008E7C4C" w:rsidRDefault="00CC25DE" w:rsidP="00C04EB3">
            <w:pPr>
              <w:keepNext/>
              <w:jc w:val="left"/>
              <w:rPr>
                <w:rFonts w:ascii="Arial Narrow" w:eastAsiaTheme="majorEastAsia" w:hAnsi="Arial Narrow" w:cstheme="majorBidi"/>
                <w:bCs/>
                <w:sz w:val="20"/>
              </w:rPr>
            </w:pPr>
          </w:p>
        </w:tc>
        <w:tc>
          <w:tcPr>
            <w:tcW w:w="2830" w:type="pct"/>
            <w:shd w:val="clear" w:color="auto" w:fill="auto"/>
            <w:vAlign w:val="center"/>
          </w:tcPr>
          <w:p w14:paraId="56031458"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OS adjustment using IPWC method (base case: TSE method)</w:t>
            </w:r>
          </w:p>
        </w:tc>
        <w:tc>
          <w:tcPr>
            <w:tcW w:w="1544" w:type="pct"/>
            <w:shd w:val="clear" w:color="auto" w:fill="auto"/>
            <w:vAlign w:val="center"/>
          </w:tcPr>
          <w:p w14:paraId="4F306350"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High, favours </w:t>
            </w:r>
            <w:proofErr w:type="spellStart"/>
            <w:r w:rsidRPr="008E7C4C">
              <w:rPr>
                <w:rFonts w:ascii="Arial Narrow" w:eastAsiaTheme="majorEastAsia" w:hAnsi="Arial Narrow" w:cstheme="majorBidi"/>
                <w:bCs/>
                <w:sz w:val="20"/>
              </w:rPr>
              <w:t>ILd</w:t>
            </w:r>
            <w:proofErr w:type="spellEnd"/>
            <w:r w:rsidRPr="008E7C4C">
              <w:rPr>
                <w:rFonts w:ascii="Arial Narrow" w:eastAsiaTheme="majorEastAsia" w:hAnsi="Arial Narrow" w:cstheme="majorBidi"/>
                <w:bCs/>
                <w:sz w:val="20"/>
              </w:rPr>
              <w:t>.</w:t>
            </w:r>
          </w:p>
          <w:p w14:paraId="0E5ECAC2" w14:textId="007225B9"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ICER</w:t>
            </w:r>
            <w:r w:rsidR="008B58A6" w:rsidRPr="008E7C4C">
              <w:rPr>
                <w:rFonts w:ascii="Arial Narrow" w:eastAsiaTheme="majorEastAsia" w:hAnsi="Arial Narrow" w:cstheme="majorBidi"/>
                <w:bCs/>
                <w:sz w:val="20"/>
              </w:rPr>
              <w:t xml:space="preserve"> =</w:t>
            </w:r>
            <w:r w:rsidRPr="008E7C4C">
              <w:rPr>
                <w:rFonts w:ascii="Arial Narrow" w:eastAsiaTheme="majorEastAsia" w:hAnsi="Arial Narrow" w:cstheme="majorBidi"/>
                <w:bCs/>
                <w:sz w:val="20"/>
              </w:rPr>
              <w:t xml:space="preserve"> $</w:t>
            </w:r>
            <w:r w:rsidR="00951174" w:rsidRPr="00951174">
              <w:rPr>
                <w:rFonts w:ascii="Arial Narrow" w:eastAsiaTheme="majorEastAsia" w:hAnsi="Arial Narrow" w:cstheme="majorBidi"/>
                <w:bCs/>
                <w:color w:val="000000"/>
                <w:spacing w:val="53"/>
                <w:sz w:val="20"/>
                <w:shd w:val="solid" w:color="000000" w:fill="000000"/>
                <w:fitText w:val="330" w:id="-1502411512"/>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12"/>
                <w14:textFill>
                  <w14:solidFill>
                    <w14:srgbClr w14:val="000000">
                      <w14:alpha w14:val="100000"/>
                    </w14:srgbClr>
                  </w14:solidFill>
                </w14:textFill>
              </w:rPr>
              <w:t>|</w:t>
            </w:r>
            <w:r w:rsidR="00420A9B">
              <w:rPr>
                <w:rFonts w:ascii="Arial Narrow" w:eastAsiaTheme="majorEastAsia" w:hAnsi="Arial Narrow" w:cstheme="majorBidi"/>
                <w:bCs/>
                <w:sz w:val="20"/>
                <w:vertAlign w:val="superscript"/>
              </w:rPr>
              <w:t>4</w:t>
            </w:r>
            <w:r w:rsidRPr="008E7C4C">
              <w:rPr>
                <w:rFonts w:ascii="Arial Narrow" w:eastAsiaTheme="majorEastAsia" w:hAnsi="Arial Narrow" w:cstheme="majorBidi"/>
                <w:bCs/>
                <w:sz w:val="20"/>
              </w:rPr>
              <w:t xml:space="preserve">/QALY </w:t>
            </w:r>
          </w:p>
        </w:tc>
      </w:tr>
      <w:tr w:rsidR="00CC25DE" w:rsidRPr="008E7C4C" w14:paraId="5FD26F41" w14:textId="77777777" w:rsidTr="006D7D90">
        <w:tc>
          <w:tcPr>
            <w:tcW w:w="626" w:type="pct"/>
            <w:shd w:val="clear" w:color="auto" w:fill="auto"/>
            <w:vAlign w:val="center"/>
          </w:tcPr>
          <w:p w14:paraId="75FC4D50" w14:textId="77777777" w:rsidR="00CC25DE" w:rsidRPr="008E7C4C" w:rsidRDefault="00CC25DE" w:rsidP="00C04EB3">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Cost of therapy</w:t>
            </w:r>
          </w:p>
        </w:tc>
        <w:tc>
          <w:tcPr>
            <w:tcW w:w="2830" w:type="pct"/>
            <w:shd w:val="clear" w:color="auto" w:fill="auto"/>
            <w:vAlign w:val="center"/>
          </w:tcPr>
          <w:p w14:paraId="6B2EFB95"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Cost of lenalidomide (subject to RSA) Model uses the published DPMQ lenalidomide prices. The SA applied 25%, 50% and 75% discount rate</w:t>
            </w:r>
          </w:p>
        </w:tc>
        <w:tc>
          <w:tcPr>
            <w:tcW w:w="1544" w:type="pct"/>
            <w:shd w:val="clear" w:color="auto" w:fill="auto"/>
            <w:vAlign w:val="center"/>
          </w:tcPr>
          <w:p w14:paraId="04767759"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High, favours Ld.</w:t>
            </w:r>
          </w:p>
          <w:p w14:paraId="4FCD3A51" w14:textId="219DFA96"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25%: ICER</w:t>
            </w:r>
            <w:r w:rsidR="008B58A6" w:rsidRPr="008E7C4C">
              <w:rPr>
                <w:rFonts w:ascii="Arial Narrow" w:eastAsiaTheme="majorEastAsia" w:hAnsi="Arial Narrow" w:cstheme="majorBidi"/>
                <w:bCs/>
                <w:sz w:val="20"/>
              </w:rPr>
              <w:t xml:space="preserve"> =</w:t>
            </w:r>
            <w:r w:rsidRPr="008E7C4C">
              <w:rPr>
                <w:rFonts w:ascii="Arial Narrow" w:eastAsiaTheme="majorEastAsia" w:hAnsi="Arial Narrow" w:cstheme="majorBidi"/>
                <w:bCs/>
                <w:sz w:val="20"/>
              </w:rPr>
              <w:t xml:space="preserve"> $</w:t>
            </w:r>
            <w:r w:rsidR="00951174" w:rsidRPr="00951174">
              <w:rPr>
                <w:rFonts w:ascii="Arial Narrow" w:eastAsiaTheme="majorEastAsia" w:hAnsi="Arial Narrow" w:cstheme="majorBidi"/>
                <w:bCs/>
                <w:color w:val="000000"/>
                <w:spacing w:val="53"/>
                <w:sz w:val="20"/>
                <w:shd w:val="solid" w:color="000000" w:fill="000000"/>
                <w:fitText w:val="330" w:id="-1502411511"/>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11"/>
                <w14:textFill>
                  <w14:solidFill>
                    <w14:srgbClr w14:val="000000">
                      <w14:alpha w14:val="100000"/>
                    </w14:srgbClr>
                  </w14:solidFill>
                </w14:textFill>
              </w:rPr>
              <w:t>|</w:t>
            </w:r>
            <w:r w:rsidR="00420A9B">
              <w:rPr>
                <w:rFonts w:ascii="Arial Narrow" w:eastAsiaTheme="majorEastAsia" w:hAnsi="Arial Narrow" w:cstheme="majorBidi"/>
                <w:bCs/>
                <w:sz w:val="20"/>
                <w:vertAlign w:val="superscript"/>
              </w:rPr>
              <w:t>3</w:t>
            </w:r>
            <w:r w:rsidRPr="008E7C4C">
              <w:rPr>
                <w:rFonts w:ascii="Arial Narrow" w:eastAsiaTheme="majorEastAsia" w:hAnsi="Arial Narrow" w:cstheme="majorBidi"/>
                <w:bCs/>
                <w:sz w:val="20"/>
              </w:rPr>
              <w:t>/QALY</w:t>
            </w:r>
          </w:p>
          <w:p w14:paraId="1CBB7DB6" w14:textId="0DD663A2" w:rsidR="00CC25DE" w:rsidRPr="008E7C4C" w:rsidRDefault="00CC25DE" w:rsidP="008B58A6">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50%: ICER</w:t>
            </w:r>
            <w:r w:rsidR="008B58A6" w:rsidRPr="008E7C4C">
              <w:rPr>
                <w:rFonts w:ascii="Arial Narrow" w:eastAsiaTheme="majorEastAsia" w:hAnsi="Arial Narrow" w:cstheme="majorBidi"/>
                <w:bCs/>
                <w:sz w:val="20"/>
              </w:rPr>
              <w:t xml:space="preserve"> = </w:t>
            </w: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pacing w:val="53"/>
                <w:sz w:val="20"/>
                <w:shd w:val="solid" w:color="000000" w:fill="000000"/>
                <w:fitText w:val="330" w:id="-1502411510"/>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10"/>
                <w14:textFill>
                  <w14:solidFill>
                    <w14:srgbClr w14:val="000000">
                      <w14:alpha w14:val="100000"/>
                    </w14:srgbClr>
                  </w14:solidFill>
                </w14:textFill>
              </w:rPr>
              <w:t>|</w:t>
            </w:r>
            <w:r w:rsidR="00420A9B">
              <w:rPr>
                <w:rFonts w:ascii="Arial Narrow" w:eastAsiaTheme="majorEastAsia" w:hAnsi="Arial Narrow" w:cstheme="majorBidi"/>
                <w:bCs/>
                <w:sz w:val="20"/>
                <w:vertAlign w:val="superscript"/>
              </w:rPr>
              <w:t>2</w:t>
            </w:r>
            <w:r w:rsidRPr="008E7C4C">
              <w:rPr>
                <w:rFonts w:ascii="Arial Narrow" w:eastAsiaTheme="majorEastAsia" w:hAnsi="Arial Narrow" w:cstheme="majorBidi"/>
                <w:bCs/>
                <w:sz w:val="20"/>
              </w:rPr>
              <w:t xml:space="preserve">/QALY </w:t>
            </w:r>
            <w:r w:rsidR="008B58A6" w:rsidRPr="008E7C4C">
              <w:rPr>
                <w:rFonts w:ascii="Arial Narrow" w:eastAsiaTheme="majorEastAsia" w:hAnsi="Arial Narrow" w:cstheme="majorBidi"/>
                <w:bCs/>
                <w:sz w:val="20"/>
              </w:rPr>
              <w:br/>
            </w:r>
            <w:r w:rsidRPr="008E7C4C">
              <w:rPr>
                <w:rFonts w:ascii="Arial Narrow" w:eastAsiaTheme="majorEastAsia" w:hAnsi="Arial Narrow" w:cstheme="majorBidi"/>
                <w:bCs/>
                <w:sz w:val="20"/>
              </w:rPr>
              <w:t xml:space="preserve">75%: ICER </w:t>
            </w:r>
            <w:r w:rsidR="008B58A6" w:rsidRPr="008E7C4C">
              <w:rPr>
                <w:rFonts w:ascii="Arial Narrow" w:eastAsiaTheme="majorEastAsia" w:hAnsi="Arial Narrow" w:cstheme="majorBidi"/>
                <w:bCs/>
                <w:sz w:val="20"/>
              </w:rPr>
              <w:t xml:space="preserve">= </w:t>
            </w: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pacing w:val="53"/>
                <w:sz w:val="20"/>
                <w:shd w:val="solid" w:color="000000" w:fill="000000"/>
                <w:fitText w:val="330" w:id="-1502411509"/>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09"/>
                <w14:textFill>
                  <w14:solidFill>
                    <w14:srgbClr w14:val="000000">
                      <w14:alpha w14:val="100000"/>
                    </w14:srgbClr>
                  </w14:solidFill>
                </w14:textFill>
              </w:rPr>
              <w:t>|</w:t>
            </w:r>
            <w:r w:rsidR="008F58DB">
              <w:rPr>
                <w:rFonts w:ascii="Arial Narrow" w:eastAsiaTheme="majorEastAsia" w:hAnsi="Arial Narrow" w:cstheme="majorBidi"/>
                <w:bCs/>
                <w:sz w:val="20"/>
                <w:vertAlign w:val="superscript"/>
              </w:rPr>
              <w:t>1</w:t>
            </w:r>
            <w:r w:rsidRPr="008E7C4C">
              <w:rPr>
                <w:rFonts w:ascii="Arial Narrow" w:eastAsiaTheme="majorEastAsia" w:hAnsi="Arial Narrow" w:cstheme="majorBidi"/>
                <w:bCs/>
                <w:sz w:val="20"/>
              </w:rPr>
              <w:t>/QALY</w:t>
            </w:r>
          </w:p>
        </w:tc>
      </w:tr>
      <w:tr w:rsidR="00111582" w:rsidRPr="008E7C4C" w14:paraId="5E08A872" w14:textId="77777777" w:rsidTr="006D7D90">
        <w:tc>
          <w:tcPr>
            <w:tcW w:w="626" w:type="pct"/>
            <w:shd w:val="clear" w:color="auto" w:fill="auto"/>
            <w:vAlign w:val="center"/>
          </w:tcPr>
          <w:p w14:paraId="11250332" w14:textId="77777777" w:rsidR="00111582" w:rsidRPr="008E7C4C" w:rsidRDefault="00111582" w:rsidP="00C04EB3">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OS point of extrapolation</w:t>
            </w:r>
          </w:p>
        </w:tc>
        <w:tc>
          <w:tcPr>
            <w:tcW w:w="2830" w:type="pct"/>
            <w:shd w:val="clear" w:color="auto" w:fill="auto"/>
            <w:vAlign w:val="center"/>
          </w:tcPr>
          <w:p w14:paraId="53F85407" w14:textId="77777777" w:rsidR="00111582" w:rsidRPr="008E7C4C" w:rsidRDefault="00111582"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The submission used extrapolated OS curve </w:t>
            </w:r>
            <w:r w:rsidR="00B768DE" w:rsidRPr="008E7C4C">
              <w:rPr>
                <w:rFonts w:ascii="Arial Narrow" w:eastAsiaTheme="majorEastAsia" w:hAnsi="Arial Narrow" w:cstheme="majorBidi"/>
                <w:bCs/>
                <w:sz w:val="20"/>
              </w:rPr>
              <w:t xml:space="preserve">data for the entire time horizon </w:t>
            </w:r>
            <w:r w:rsidRPr="008E7C4C">
              <w:rPr>
                <w:rFonts w:ascii="Arial Narrow" w:eastAsiaTheme="majorEastAsia" w:hAnsi="Arial Narrow" w:cstheme="majorBidi"/>
                <w:bCs/>
                <w:sz w:val="20"/>
              </w:rPr>
              <w:t xml:space="preserve">in </w:t>
            </w:r>
            <w:r w:rsidR="00B768DE" w:rsidRPr="008E7C4C">
              <w:rPr>
                <w:rFonts w:ascii="Arial Narrow" w:eastAsiaTheme="majorEastAsia" w:hAnsi="Arial Narrow" w:cstheme="majorBidi"/>
                <w:bCs/>
                <w:sz w:val="20"/>
              </w:rPr>
              <w:t xml:space="preserve">the </w:t>
            </w:r>
            <w:r w:rsidRPr="008E7C4C">
              <w:rPr>
                <w:rFonts w:ascii="Arial Narrow" w:eastAsiaTheme="majorEastAsia" w:hAnsi="Arial Narrow" w:cstheme="majorBidi"/>
                <w:bCs/>
                <w:sz w:val="20"/>
              </w:rPr>
              <w:t xml:space="preserve">base-case analysis. The SA applied the </w:t>
            </w:r>
            <w:r w:rsidR="00B768DE" w:rsidRPr="008E7C4C">
              <w:rPr>
                <w:rFonts w:ascii="Arial Narrow" w:eastAsiaTheme="majorEastAsia" w:hAnsi="Arial Narrow" w:cstheme="majorBidi"/>
                <w:bCs/>
                <w:sz w:val="20"/>
              </w:rPr>
              <w:t xml:space="preserve">extrapolated data from the </w:t>
            </w:r>
            <w:r w:rsidRPr="008E7C4C">
              <w:rPr>
                <w:rFonts w:ascii="Arial Narrow" w:eastAsiaTheme="majorEastAsia" w:hAnsi="Arial Narrow" w:cstheme="majorBidi"/>
                <w:bCs/>
                <w:sz w:val="20"/>
              </w:rPr>
              <w:t>median follow-up (85 months) and the median OS (50 months)</w:t>
            </w:r>
          </w:p>
        </w:tc>
        <w:tc>
          <w:tcPr>
            <w:tcW w:w="1544" w:type="pct"/>
            <w:shd w:val="clear" w:color="auto" w:fill="auto"/>
            <w:vAlign w:val="center"/>
          </w:tcPr>
          <w:p w14:paraId="78BC7997" w14:textId="731D5228" w:rsidR="00111582" w:rsidRPr="008E7C4C" w:rsidRDefault="00C04EB3"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Low, f</w:t>
            </w:r>
            <w:r w:rsidR="00111582" w:rsidRPr="008E7C4C">
              <w:rPr>
                <w:rFonts w:ascii="Arial Narrow" w:eastAsiaTheme="majorEastAsia" w:hAnsi="Arial Narrow" w:cstheme="majorBidi"/>
                <w:bCs/>
                <w:sz w:val="20"/>
              </w:rPr>
              <w:t xml:space="preserve">avours </w:t>
            </w:r>
            <w:proofErr w:type="spellStart"/>
            <w:r w:rsidR="00111582" w:rsidRPr="008E7C4C">
              <w:rPr>
                <w:rFonts w:ascii="Arial Narrow" w:eastAsiaTheme="majorEastAsia" w:hAnsi="Arial Narrow" w:cstheme="majorBidi"/>
                <w:bCs/>
                <w:sz w:val="20"/>
              </w:rPr>
              <w:t>ILd</w:t>
            </w:r>
            <w:proofErr w:type="spellEnd"/>
          </w:p>
          <w:p w14:paraId="71918904" w14:textId="4401765F" w:rsidR="00111582" w:rsidRPr="008E7C4C" w:rsidRDefault="00111582"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50 months: </w:t>
            </w:r>
            <w:r w:rsidR="008B58A6" w:rsidRPr="008E7C4C">
              <w:rPr>
                <w:rFonts w:ascii="Arial Narrow" w:eastAsiaTheme="majorEastAsia" w:hAnsi="Arial Narrow" w:cstheme="majorBidi"/>
                <w:bCs/>
                <w:sz w:val="20"/>
              </w:rPr>
              <w:t xml:space="preserve">ICER = </w:t>
            </w: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pacing w:val="53"/>
                <w:sz w:val="20"/>
                <w:shd w:val="solid" w:color="000000" w:fill="000000"/>
                <w:fitText w:val="330" w:id="-1502411508"/>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08"/>
                <w14:textFill>
                  <w14:solidFill>
                    <w14:srgbClr w14:val="000000">
                      <w14:alpha w14:val="100000"/>
                    </w14:srgbClr>
                  </w14:solidFill>
                </w14:textFill>
              </w:rPr>
              <w:t>|</w:t>
            </w:r>
            <w:r w:rsidR="00420A9B">
              <w:rPr>
                <w:rFonts w:ascii="Arial Narrow" w:eastAsiaTheme="majorEastAsia" w:hAnsi="Arial Narrow" w:cstheme="majorBidi"/>
                <w:bCs/>
                <w:sz w:val="20"/>
                <w:vertAlign w:val="superscript"/>
              </w:rPr>
              <w:t>3</w:t>
            </w:r>
            <w:r w:rsidRPr="008E7C4C">
              <w:rPr>
                <w:rFonts w:ascii="Arial Narrow" w:eastAsiaTheme="majorEastAsia" w:hAnsi="Arial Narrow" w:cstheme="majorBidi"/>
                <w:bCs/>
                <w:sz w:val="20"/>
              </w:rPr>
              <w:t xml:space="preserve">/QALY </w:t>
            </w:r>
          </w:p>
          <w:p w14:paraId="4944589F" w14:textId="6A4308EE" w:rsidR="00111582" w:rsidRPr="008E7C4C" w:rsidRDefault="00111582"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85-months: </w:t>
            </w:r>
            <w:r w:rsidR="008B58A6" w:rsidRPr="008E7C4C">
              <w:rPr>
                <w:rFonts w:ascii="Arial Narrow" w:eastAsiaTheme="majorEastAsia" w:hAnsi="Arial Narrow" w:cstheme="majorBidi"/>
                <w:bCs/>
                <w:sz w:val="20"/>
              </w:rPr>
              <w:t xml:space="preserve">ICER = </w:t>
            </w: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pacing w:val="53"/>
                <w:sz w:val="20"/>
                <w:shd w:val="solid" w:color="000000" w:fill="000000"/>
                <w:fitText w:val="330" w:id="-1502411507"/>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07"/>
                <w14:textFill>
                  <w14:solidFill>
                    <w14:srgbClr w14:val="000000">
                      <w14:alpha w14:val="100000"/>
                    </w14:srgbClr>
                  </w14:solidFill>
                </w14:textFill>
              </w:rPr>
              <w:t>|</w:t>
            </w:r>
            <w:r w:rsidRPr="008E7C4C">
              <w:rPr>
                <w:rFonts w:ascii="Arial Narrow" w:eastAsiaTheme="majorEastAsia" w:hAnsi="Arial Narrow" w:cstheme="majorBidi"/>
                <w:bCs/>
                <w:sz w:val="20"/>
              </w:rPr>
              <w:t>/QALY</w:t>
            </w:r>
          </w:p>
        </w:tc>
      </w:tr>
      <w:tr w:rsidR="00FA2BA7" w:rsidRPr="008E7C4C" w14:paraId="415C218A" w14:textId="77777777" w:rsidTr="006D7D90">
        <w:tc>
          <w:tcPr>
            <w:tcW w:w="626" w:type="pct"/>
            <w:shd w:val="clear" w:color="auto" w:fill="auto"/>
            <w:vAlign w:val="center"/>
          </w:tcPr>
          <w:p w14:paraId="1B51E1FC" w14:textId="11AC793E" w:rsidR="00FA2BA7" w:rsidRPr="008E7C4C" w:rsidRDefault="00FA2BA7" w:rsidP="00C04EB3">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Extrapolation function: OS</w:t>
            </w:r>
          </w:p>
        </w:tc>
        <w:tc>
          <w:tcPr>
            <w:tcW w:w="2830" w:type="pct"/>
            <w:shd w:val="clear" w:color="auto" w:fill="auto"/>
            <w:vAlign w:val="center"/>
          </w:tcPr>
          <w:p w14:paraId="2F5736CC" w14:textId="12CC180B" w:rsidR="00FA2BA7" w:rsidRPr="008E7C4C" w:rsidRDefault="00FA2BA7"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Model adopted Gen</w:t>
            </w:r>
            <w:r w:rsidR="003D4C51" w:rsidRPr="008E7C4C">
              <w:rPr>
                <w:rFonts w:ascii="Arial Narrow" w:eastAsiaTheme="majorEastAsia" w:hAnsi="Arial Narrow" w:cstheme="majorBidi"/>
                <w:bCs/>
                <w:sz w:val="20"/>
              </w:rPr>
              <w:t>e</w:t>
            </w:r>
            <w:r w:rsidRPr="008E7C4C">
              <w:rPr>
                <w:rFonts w:ascii="Arial Narrow" w:eastAsiaTheme="majorEastAsia" w:hAnsi="Arial Narrow" w:cstheme="majorBidi"/>
                <w:bCs/>
                <w:sz w:val="20"/>
              </w:rPr>
              <w:t>r</w:t>
            </w:r>
            <w:r w:rsidR="005E15C2" w:rsidRPr="008E7C4C">
              <w:rPr>
                <w:rFonts w:ascii="Arial Narrow" w:eastAsiaTheme="majorEastAsia" w:hAnsi="Arial Narrow" w:cstheme="majorBidi"/>
                <w:bCs/>
                <w:sz w:val="20"/>
              </w:rPr>
              <w:t>a</w:t>
            </w:r>
            <w:r w:rsidRPr="008E7C4C">
              <w:rPr>
                <w:rFonts w:ascii="Arial Narrow" w:eastAsiaTheme="majorEastAsia" w:hAnsi="Arial Narrow" w:cstheme="majorBidi"/>
                <w:bCs/>
                <w:sz w:val="20"/>
              </w:rPr>
              <w:t xml:space="preserve">lised gamma as base case, Weibull and </w:t>
            </w:r>
            <w:proofErr w:type="spellStart"/>
            <w:r w:rsidRPr="008E7C4C">
              <w:rPr>
                <w:rFonts w:ascii="Arial Narrow" w:eastAsiaTheme="majorEastAsia" w:hAnsi="Arial Narrow" w:cstheme="majorBidi"/>
                <w:bCs/>
                <w:sz w:val="20"/>
              </w:rPr>
              <w:t>Gompertz</w:t>
            </w:r>
            <w:proofErr w:type="spellEnd"/>
            <w:r w:rsidRPr="008E7C4C">
              <w:rPr>
                <w:rFonts w:ascii="Arial Narrow" w:eastAsiaTheme="majorEastAsia" w:hAnsi="Arial Narrow" w:cstheme="majorBidi"/>
                <w:bCs/>
                <w:sz w:val="20"/>
              </w:rPr>
              <w:t xml:space="preserve"> distributions were also considered a good fit.</w:t>
            </w:r>
          </w:p>
        </w:tc>
        <w:tc>
          <w:tcPr>
            <w:tcW w:w="1544" w:type="pct"/>
            <w:shd w:val="clear" w:color="auto" w:fill="auto"/>
            <w:vAlign w:val="center"/>
          </w:tcPr>
          <w:p w14:paraId="4E5952F3" w14:textId="38C2C53D" w:rsidR="00FA2BA7" w:rsidRPr="008E7C4C" w:rsidRDefault="00C04EB3"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Moderate to high, f</w:t>
            </w:r>
            <w:r w:rsidR="00376848" w:rsidRPr="008E7C4C">
              <w:rPr>
                <w:rFonts w:ascii="Arial Narrow" w:eastAsiaTheme="majorEastAsia" w:hAnsi="Arial Narrow" w:cstheme="majorBidi"/>
                <w:bCs/>
                <w:sz w:val="20"/>
              </w:rPr>
              <w:t xml:space="preserve">avours </w:t>
            </w:r>
            <w:proofErr w:type="spellStart"/>
            <w:r w:rsidR="00376848" w:rsidRPr="008E7C4C">
              <w:rPr>
                <w:rFonts w:ascii="Arial Narrow" w:eastAsiaTheme="majorEastAsia" w:hAnsi="Arial Narrow" w:cstheme="majorBidi"/>
                <w:bCs/>
                <w:sz w:val="20"/>
              </w:rPr>
              <w:t>ILd</w:t>
            </w:r>
            <w:proofErr w:type="spellEnd"/>
          </w:p>
          <w:p w14:paraId="5FBFFEAD" w14:textId="31CCC90E" w:rsidR="00376848" w:rsidRPr="008E7C4C" w:rsidRDefault="00376848"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Weibull: </w:t>
            </w:r>
            <w:r w:rsidR="008B58A6" w:rsidRPr="008E7C4C">
              <w:rPr>
                <w:rFonts w:ascii="Arial Narrow" w:eastAsiaTheme="majorEastAsia" w:hAnsi="Arial Narrow" w:cstheme="majorBidi"/>
                <w:bCs/>
                <w:sz w:val="20"/>
              </w:rPr>
              <w:t xml:space="preserve">ICER = </w:t>
            </w: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pacing w:val="53"/>
                <w:sz w:val="20"/>
                <w:shd w:val="solid" w:color="000000" w:fill="000000"/>
                <w:fitText w:val="330" w:id="-1502411506"/>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06"/>
                <w14:textFill>
                  <w14:solidFill>
                    <w14:srgbClr w14:val="000000">
                      <w14:alpha w14:val="100000"/>
                    </w14:srgbClr>
                  </w14:solidFill>
                </w14:textFill>
              </w:rPr>
              <w:t>|</w:t>
            </w:r>
            <w:r w:rsidR="00420A9B">
              <w:rPr>
                <w:rFonts w:ascii="Arial Narrow" w:eastAsiaTheme="majorEastAsia" w:hAnsi="Arial Narrow" w:cstheme="majorBidi"/>
                <w:bCs/>
                <w:sz w:val="20"/>
                <w:vertAlign w:val="superscript"/>
              </w:rPr>
              <w:t>3</w:t>
            </w:r>
            <w:r w:rsidR="008B58A6" w:rsidRPr="008E7C4C">
              <w:rPr>
                <w:rFonts w:ascii="Arial Narrow" w:eastAsiaTheme="majorEastAsia" w:hAnsi="Arial Narrow" w:cstheme="majorBidi"/>
                <w:bCs/>
                <w:sz w:val="20"/>
              </w:rPr>
              <w:t>/QALY</w:t>
            </w:r>
          </w:p>
          <w:p w14:paraId="3FDDF711" w14:textId="6DB34DC0" w:rsidR="00376848" w:rsidRPr="008E7C4C" w:rsidRDefault="00376848" w:rsidP="00CC25DE">
            <w:pPr>
              <w:keepNext/>
              <w:jc w:val="left"/>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Gompertz</w:t>
            </w:r>
            <w:proofErr w:type="spellEnd"/>
            <w:r w:rsidRPr="008E7C4C">
              <w:rPr>
                <w:rFonts w:ascii="Arial Narrow" w:eastAsiaTheme="majorEastAsia" w:hAnsi="Arial Narrow" w:cstheme="majorBidi"/>
                <w:bCs/>
                <w:sz w:val="20"/>
              </w:rPr>
              <w:t xml:space="preserve">: </w:t>
            </w:r>
            <w:r w:rsidR="008B58A6" w:rsidRPr="008E7C4C">
              <w:rPr>
                <w:rFonts w:ascii="Arial Narrow" w:eastAsiaTheme="majorEastAsia" w:hAnsi="Arial Narrow" w:cstheme="majorBidi"/>
                <w:bCs/>
                <w:sz w:val="20"/>
              </w:rPr>
              <w:t xml:space="preserve">ICER = </w:t>
            </w: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pacing w:val="53"/>
                <w:sz w:val="20"/>
                <w:shd w:val="solid" w:color="000000" w:fill="000000"/>
                <w:fitText w:val="330" w:id="-1502411505"/>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330" w:id="-1502411505"/>
                <w14:textFill>
                  <w14:solidFill>
                    <w14:srgbClr w14:val="000000">
                      <w14:alpha w14:val="100000"/>
                    </w14:srgbClr>
                  </w14:solidFill>
                </w14:textFill>
              </w:rPr>
              <w:t>|</w:t>
            </w:r>
            <w:r w:rsidR="00420A9B">
              <w:rPr>
                <w:rFonts w:ascii="Arial Narrow" w:eastAsiaTheme="majorEastAsia" w:hAnsi="Arial Narrow" w:cstheme="majorBidi"/>
                <w:bCs/>
                <w:sz w:val="20"/>
                <w:vertAlign w:val="superscript"/>
              </w:rPr>
              <w:t>4</w:t>
            </w:r>
            <w:r w:rsidR="008B58A6" w:rsidRPr="008E7C4C">
              <w:rPr>
                <w:rFonts w:ascii="Arial Narrow" w:eastAsiaTheme="majorEastAsia" w:hAnsi="Arial Narrow" w:cstheme="majorBidi"/>
                <w:bCs/>
                <w:sz w:val="20"/>
              </w:rPr>
              <w:t>/QALY</w:t>
            </w:r>
          </w:p>
        </w:tc>
      </w:tr>
    </w:tbl>
    <w:p w14:paraId="0D3311B5" w14:textId="77777777" w:rsidR="00CC25DE" w:rsidRPr="008E7C4C" w:rsidRDefault="00CC25DE" w:rsidP="00CC25DE">
      <w:pPr>
        <w:keepLines/>
        <w:suppressLineNumbers/>
        <w:spacing w:after="120"/>
        <w:contextualSpacing/>
        <w:rPr>
          <w:rFonts w:ascii="Arial Narrow" w:hAnsi="Arial Narrow"/>
          <w:iCs/>
          <w:sz w:val="18"/>
          <w:szCs w:val="18"/>
        </w:rPr>
      </w:pPr>
      <w:r w:rsidRPr="008E7C4C">
        <w:rPr>
          <w:rFonts w:ascii="Arial Narrow" w:hAnsi="Arial Narrow"/>
          <w:iCs/>
          <w:sz w:val="18"/>
          <w:szCs w:val="18"/>
        </w:rPr>
        <w:t>Source: Table 3-22, p 114 of the resubmission. Calculated during evaluation.</w:t>
      </w:r>
    </w:p>
    <w:p w14:paraId="7B3AFCA1" w14:textId="6AD9B0A2" w:rsidR="00CC25DE" w:rsidRPr="008E7C4C" w:rsidRDefault="00CC25DE" w:rsidP="00CC25DE">
      <w:pPr>
        <w:keepLines/>
        <w:suppressLineNumbers/>
        <w:spacing w:after="120"/>
        <w:contextualSpacing/>
        <w:rPr>
          <w:rFonts w:ascii="Arial Narrow" w:hAnsi="Arial Narrow"/>
          <w:iCs/>
          <w:color w:val="0066FF"/>
          <w:sz w:val="18"/>
          <w:szCs w:val="18"/>
        </w:rPr>
      </w:pPr>
      <w:r w:rsidRPr="008E7C4C">
        <w:rPr>
          <w:rFonts w:ascii="Arial Narrow" w:hAnsi="Arial Narrow"/>
          <w:iCs/>
          <w:sz w:val="18"/>
          <w:szCs w:val="18"/>
        </w:rPr>
        <w:t xml:space="preserve">ICER = incremental cost-effectiveness ratio; </w:t>
      </w:r>
      <w:proofErr w:type="spellStart"/>
      <w:r w:rsidRPr="008E7C4C">
        <w:rPr>
          <w:rFonts w:ascii="Arial Narrow" w:hAnsi="Arial Narrow"/>
          <w:iCs/>
          <w:sz w:val="18"/>
          <w:szCs w:val="18"/>
        </w:rPr>
        <w:t>ILd</w:t>
      </w:r>
      <w:proofErr w:type="spellEnd"/>
      <w:r w:rsidRPr="008E7C4C">
        <w:rPr>
          <w:rFonts w:ascii="Arial Narrow" w:hAnsi="Arial Narrow"/>
          <w:iCs/>
          <w:sz w:val="18"/>
          <w:szCs w:val="18"/>
        </w:rPr>
        <w:t xml:space="preserve"> = </w:t>
      </w:r>
      <w:proofErr w:type="spellStart"/>
      <w:r w:rsidRPr="008E7C4C">
        <w:rPr>
          <w:rFonts w:ascii="Arial Narrow" w:hAnsi="Arial Narrow"/>
          <w:iCs/>
          <w:sz w:val="18"/>
          <w:szCs w:val="18"/>
        </w:rPr>
        <w:t>ixazomib</w:t>
      </w:r>
      <w:proofErr w:type="spellEnd"/>
      <w:r w:rsidR="008B58A6" w:rsidRPr="008E7C4C">
        <w:rPr>
          <w:rFonts w:ascii="Arial Narrow" w:hAnsi="Arial Narrow"/>
          <w:iCs/>
          <w:sz w:val="18"/>
          <w:szCs w:val="18"/>
        </w:rPr>
        <w:t xml:space="preserve"> +</w:t>
      </w:r>
      <w:r w:rsidRPr="008E7C4C">
        <w:rPr>
          <w:rFonts w:ascii="Arial Narrow" w:hAnsi="Arial Narrow"/>
          <w:iCs/>
          <w:sz w:val="18"/>
          <w:szCs w:val="18"/>
        </w:rPr>
        <w:t xml:space="preserve"> lenalidomide </w:t>
      </w:r>
      <w:r w:rsidR="008B58A6" w:rsidRPr="008E7C4C">
        <w:rPr>
          <w:rFonts w:ascii="Arial Narrow" w:hAnsi="Arial Narrow"/>
          <w:iCs/>
          <w:sz w:val="18"/>
          <w:szCs w:val="18"/>
        </w:rPr>
        <w:t>+</w:t>
      </w:r>
      <w:r w:rsidRPr="008E7C4C">
        <w:rPr>
          <w:rFonts w:ascii="Arial Narrow" w:hAnsi="Arial Narrow"/>
          <w:iCs/>
          <w:sz w:val="18"/>
          <w:szCs w:val="18"/>
        </w:rPr>
        <w:t xml:space="preserve"> dexamethasone; IPWC = Inverse probability of censoring weights;</w:t>
      </w:r>
      <w:r w:rsidR="008B58A6" w:rsidRPr="008E7C4C">
        <w:rPr>
          <w:rFonts w:ascii="Arial Narrow" w:hAnsi="Arial Narrow"/>
          <w:iCs/>
          <w:sz w:val="18"/>
          <w:szCs w:val="18"/>
        </w:rPr>
        <w:t xml:space="preserve"> KM = Kaplan Meier; </w:t>
      </w:r>
      <w:proofErr w:type="spellStart"/>
      <w:r w:rsidRPr="008E7C4C">
        <w:rPr>
          <w:rFonts w:ascii="Arial Narrow" w:hAnsi="Arial Narrow"/>
          <w:iCs/>
          <w:sz w:val="18"/>
          <w:szCs w:val="18"/>
        </w:rPr>
        <w:t>Ld</w:t>
      </w:r>
      <w:proofErr w:type="spellEnd"/>
      <w:r w:rsidRPr="008E7C4C">
        <w:rPr>
          <w:rFonts w:ascii="Arial Narrow" w:hAnsi="Arial Narrow"/>
          <w:iCs/>
          <w:sz w:val="18"/>
          <w:szCs w:val="18"/>
        </w:rPr>
        <w:t xml:space="preserve"> = lenalidomide </w:t>
      </w:r>
      <w:r w:rsidR="008B58A6" w:rsidRPr="008E7C4C">
        <w:rPr>
          <w:rFonts w:ascii="Arial Narrow" w:hAnsi="Arial Narrow"/>
          <w:iCs/>
          <w:sz w:val="18"/>
          <w:szCs w:val="18"/>
        </w:rPr>
        <w:t>+</w:t>
      </w:r>
      <w:r w:rsidRPr="008E7C4C">
        <w:rPr>
          <w:rFonts w:ascii="Arial Narrow" w:hAnsi="Arial Narrow"/>
          <w:iCs/>
          <w:sz w:val="18"/>
          <w:szCs w:val="18"/>
        </w:rPr>
        <w:t xml:space="preserve"> dexamethasone; OS = overall survival</w:t>
      </w:r>
      <w:r w:rsidR="00591313" w:rsidRPr="008E7C4C">
        <w:rPr>
          <w:rFonts w:ascii="Arial Narrow" w:hAnsi="Arial Narrow"/>
          <w:iCs/>
          <w:sz w:val="18"/>
          <w:szCs w:val="18"/>
        </w:rPr>
        <w:t xml:space="preserve">; PFS = progression free survival; </w:t>
      </w:r>
      <w:proofErr w:type="spellStart"/>
      <w:r w:rsidR="00591313" w:rsidRPr="008E7C4C">
        <w:rPr>
          <w:rFonts w:ascii="Arial Narrow" w:hAnsi="Arial Narrow"/>
          <w:iCs/>
          <w:sz w:val="18"/>
          <w:szCs w:val="18"/>
        </w:rPr>
        <w:t>ToT</w:t>
      </w:r>
      <w:proofErr w:type="spellEnd"/>
      <w:r w:rsidR="00591313" w:rsidRPr="008E7C4C">
        <w:rPr>
          <w:rFonts w:ascii="Arial Narrow" w:hAnsi="Arial Narrow"/>
          <w:iCs/>
          <w:sz w:val="18"/>
          <w:szCs w:val="18"/>
        </w:rPr>
        <w:t xml:space="preserve"> = time on treatment</w:t>
      </w:r>
      <w:r w:rsidRPr="008E7C4C">
        <w:rPr>
          <w:rFonts w:ascii="Arial Narrow" w:hAnsi="Arial Narrow"/>
          <w:iCs/>
          <w:sz w:val="18"/>
          <w:szCs w:val="18"/>
        </w:rPr>
        <w:t>.</w:t>
      </w:r>
      <w:r w:rsidRPr="008E7C4C">
        <w:rPr>
          <w:rFonts w:ascii="Arial Narrow" w:hAnsi="Arial Narrow"/>
          <w:iCs/>
          <w:color w:val="0066FF"/>
          <w:sz w:val="18"/>
          <w:szCs w:val="18"/>
        </w:rPr>
        <w:t xml:space="preserve"> </w:t>
      </w:r>
    </w:p>
    <w:p w14:paraId="20FAAF51" w14:textId="4058D744" w:rsidR="00F0497D" w:rsidRDefault="00F0497D" w:rsidP="00F0497D"/>
    <w:p w14:paraId="7C8CEC0C" w14:textId="3B6D35ED" w:rsidR="00481B35" w:rsidRDefault="008F58DB" w:rsidP="00420A9B">
      <w:pPr>
        <w:rPr>
          <w:rFonts w:ascii="Arial Narrow" w:hAnsi="Arial Narrow"/>
          <w:i/>
          <w:sz w:val="18"/>
          <w:szCs w:val="18"/>
        </w:rPr>
      </w:pPr>
      <w:r w:rsidRPr="009A6D58">
        <w:rPr>
          <w:rFonts w:ascii="Arial Narrow" w:hAnsi="Arial Narrow"/>
          <w:i/>
          <w:sz w:val="18"/>
          <w:szCs w:val="18"/>
        </w:rPr>
        <w:t xml:space="preserve">The redacted values correspond to the following </w:t>
      </w:r>
      <w:proofErr w:type="gramStart"/>
      <w:r w:rsidRPr="009A6D58">
        <w:rPr>
          <w:rFonts w:ascii="Arial Narrow" w:hAnsi="Arial Narrow"/>
          <w:i/>
          <w:sz w:val="18"/>
          <w:szCs w:val="18"/>
        </w:rPr>
        <w:t>ranges:</w:t>
      </w:r>
      <w:r w:rsidRPr="00420A9B">
        <w:rPr>
          <w:rFonts w:ascii="Arial Narrow" w:hAnsi="Arial Narrow"/>
          <w:i/>
          <w:sz w:val="18"/>
          <w:szCs w:val="18"/>
        </w:rPr>
        <w:t>$</w:t>
      </w:r>
      <w:proofErr w:type="gramEnd"/>
      <w:r w:rsidRPr="00420A9B">
        <w:rPr>
          <w:rFonts w:ascii="Arial Narrow" w:hAnsi="Arial Narrow"/>
          <w:i/>
          <w:sz w:val="18"/>
          <w:szCs w:val="18"/>
        </w:rPr>
        <w:t>45,000 to &lt; $55,000</w:t>
      </w:r>
    </w:p>
    <w:p w14:paraId="4E5652AD" w14:textId="40C26441" w:rsidR="00420A9B" w:rsidRPr="00420A9B" w:rsidRDefault="00420A9B" w:rsidP="00420A9B">
      <w:pPr>
        <w:rPr>
          <w:rFonts w:ascii="Arial Narrow" w:hAnsi="Arial Narrow"/>
          <w:i/>
          <w:sz w:val="18"/>
          <w:szCs w:val="18"/>
        </w:rPr>
      </w:pPr>
      <w:r w:rsidRPr="00420A9B">
        <w:rPr>
          <w:rFonts w:ascii="Arial Narrow" w:hAnsi="Arial Narrow"/>
          <w:i/>
          <w:sz w:val="18"/>
          <w:szCs w:val="18"/>
        </w:rPr>
        <w:t xml:space="preserve">$55,000 to &lt; $75,000 </w:t>
      </w:r>
    </w:p>
    <w:p w14:paraId="60AE9E19" w14:textId="454891C7" w:rsidR="00420A9B" w:rsidRPr="00420A9B" w:rsidRDefault="00420A9B" w:rsidP="00420A9B">
      <w:pPr>
        <w:rPr>
          <w:rFonts w:ascii="Arial Narrow" w:hAnsi="Arial Narrow"/>
          <w:i/>
          <w:sz w:val="18"/>
          <w:szCs w:val="18"/>
        </w:rPr>
      </w:pPr>
      <w:r w:rsidRPr="00420A9B">
        <w:rPr>
          <w:rFonts w:ascii="Arial Narrow" w:hAnsi="Arial Narrow"/>
          <w:i/>
          <w:sz w:val="18"/>
          <w:szCs w:val="18"/>
        </w:rPr>
        <w:t>$75,000 to &lt; $95,000</w:t>
      </w:r>
    </w:p>
    <w:p w14:paraId="25F40A76" w14:textId="0C0D5E3B" w:rsidR="00420A9B" w:rsidRPr="00420A9B" w:rsidRDefault="00420A9B" w:rsidP="00420A9B">
      <w:pPr>
        <w:rPr>
          <w:rFonts w:ascii="Arial Narrow" w:hAnsi="Arial Narrow"/>
          <w:i/>
          <w:sz w:val="18"/>
          <w:szCs w:val="18"/>
        </w:rPr>
      </w:pPr>
      <w:r w:rsidRPr="00420A9B">
        <w:rPr>
          <w:rFonts w:ascii="Arial Narrow" w:hAnsi="Arial Narrow"/>
          <w:i/>
          <w:sz w:val="18"/>
          <w:szCs w:val="18"/>
        </w:rPr>
        <w:t xml:space="preserve">$95,000 to &lt; $115,000 </w:t>
      </w:r>
    </w:p>
    <w:p w14:paraId="2B47294A" w14:textId="27E66FA8" w:rsidR="008F58DB" w:rsidRDefault="008F58DB" w:rsidP="00F0497D">
      <w:pPr>
        <w:rPr>
          <w:rFonts w:ascii="Arial" w:hAnsi="Arial"/>
          <w:color w:val="333333"/>
          <w:sz w:val="21"/>
          <w:szCs w:val="21"/>
        </w:rPr>
      </w:pPr>
    </w:p>
    <w:p w14:paraId="575FB603" w14:textId="77777777" w:rsidR="008F58DB" w:rsidRPr="008E7C4C" w:rsidRDefault="008F58DB" w:rsidP="00F0497D"/>
    <w:p w14:paraId="4C246F98" w14:textId="573446E3" w:rsidR="003B3B31" w:rsidRPr="008E7C4C" w:rsidRDefault="00CC25DE" w:rsidP="003B3B31">
      <w:pPr>
        <w:numPr>
          <w:ilvl w:val="1"/>
          <w:numId w:val="1"/>
        </w:numPr>
        <w:spacing w:after="120"/>
        <w:rPr>
          <w:rFonts w:asciiTheme="minorHAnsi" w:hAnsiTheme="minorHAnsi"/>
          <w:snapToGrid w:val="0"/>
        </w:rPr>
      </w:pPr>
      <w:r w:rsidRPr="008E7C4C">
        <w:rPr>
          <w:rFonts w:asciiTheme="minorHAnsi" w:hAnsiTheme="minorHAnsi"/>
          <w:snapToGrid w:val="0"/>
          <w:color w:val="000000" w:themeColor="text1"/>
        </w:rPr>
        <w:t xml:space="preserve">Results of the base case economic analysis are presented in Table </w:t>
      </w:r>
      <w:r w:rsidR="007E51A8" w:rsidRPr="008E7C4C">
        <w:rPr>
          <w:rFonts w:asciiTheme="minorHAnsi" w:hAnsiTheme="minorHAnsi"/>
          <w:snapToGrid w:val="0"/>
          <w:color w:val="000000" w:themeColor="text1"/>
        </w:rPr>
        <w:t>14</w:t>
      </w:r>
      <w:r w:rsidRPr="008E7C4C">
        <w:rPr>
          <w:rFonts w:asciiTheme="minorHAnsi" w:hAnsiTheme="minorHAnsi"/>
          <w:snapToGrid w:val="0"/>
          <w:color w:val="000000" w:themeColor="text1"/>
        </w:rPr>
        <w:t>.</w:t>
      </w:r>
      <w:r w:rsidR="003B3B31" w:rsidRPr="008E7C4C">
        <w:rPr>
          <w:rFonts w:asciiTheme="minorHAnsi" w:hAnsiTheme="minorHAnsi"/>
          <w:snapToGrid w:val="0"/>
          <w:color w:val="000000" w:themeColor="text1"/>
        </w:rPr>
        <w:t xml:space="preserve"> </w:t>
      </w:r>
      <w:r w:rsidR="003B3B31" w:rsidRPr="008E7C4C">
        <w:rPr>
          <w:rFonts w:asciiTheme="minorHAnsi" w:hAnsiTheme="minorHAnsi"/>
          <w:snapToGrid w:val="0"/>
        </w:rPr>
        <w:t xml:space="preserve">These results were based on the published price of the comparator. </w:t>
      </w:r>
      <w:r w:rsidR="0072335D" w:rsidRPr="008E7C4C">
        <w:rPr>
          <w:rFonts w:asciiTheme="minorHAnsi" w:hAnsiTheme="minorHAnsi"/>
          <w:snapToGrid w:val="0"/>
        </w:rPr>
        <w:t>Results of the respecified base case presented in the PSCR which reduced the time horizon to 15 years (from 20 years</w:t>
      </w:r>
      <w:proofErr w:type="gramStart"/>
      <w:r w:rsidR="0072335D" w:rsidRPr="008E7C4C">
        <w:rPr>
          <w:rFonts w:asciiTheme="minorHAnsi" w:hAnsiTheme="minorHAnsi"/>
          <w:snapToGrid w:val="0"/>
        </w:rPr>
        <w:t>)</w:t>
      </w:r>
      <w:proofErr w:type="gramEnd"/>
      <w:r w:rsidR="0072335D" w:rsidRPr="008E7C4C">
        <w:rPr>
          <w:rFonts w:asciiTheme="minorHAnsi" w:hAnsiTheme="minorHAnsi"/>
          <w:snapToGrid w:val="0"/>
        </w:rPr>
        <w:t xml:space="preserve"> and which applied the generalised gamma distribution to the OS curve from 50 months (rather than applying the extrapolated curve for the entire time horizon) are </w:t>
      </w:r>
      <w:r w:rsidR="00D66A8B" w:rsidRPr="008E7C4C">
        <w:rPr>
          <w:rFonts w:asciiTheme="minorHAnsi" w:hAnsiTheme="minorHAnsi"/>
          <w:snapToGrid w:val="0"/>
        </w:rPr>
        <w:t xml:space="preserve">also </w:t>
      </w:r>
      <w:r w:rsidR="0072335D" w:rsidRPr="008E7C4C">
        <w:rPr>
          <w:rFonts w:asciiTheme="minorHAnsi" w:hAnsiTheme="minorHAnsi"/>
          <w:snapToGrid w:val="0"/>
        </w:rPr>
        <w:t xml:space="preserve">presented </w:t>
      </w:r>
      <w:r w:rsidR="00D66A8B" w:rsidRPr="008E7C4C">
        <w:rPr>
          <w:rFonts w:asciiTheme="minorHAnsi" w:hAnsiTheme="minorHAnsi"/>
          <w:snapToGrid w:val="0"/>
        </w:rPr>
        <w:t>below</w:t>
      </w:r>
      <w:r w:rsidR="0072335D" w:rsidRPr="008E7C4C">
        <w:rPr>
          <w:rFonts w:asciiTheme="minorHAnsi" w:hAnsiTheme="minorHAnsi"/>
          <w:snapToGrid w:val="0"/>
        </w:rPr>
        <w:t xml:space="preserve">. </w:t>
      </w:r>
      <w:r w:rsidR="00566EEC" w:rsidRPr="008E7C4C">
        <w:rPr>
          <w:rFonts w:asciiTheme="minorHAnsi" w:hAnsiTheme="minorHAnsi"/>
          <w:snapToGrid w:val="0"/>
        </w:rPr>
        <w:t xml:space="preserve"> The pre-PBAC response provided a further respecified base case in which the time horizon was 15 years, there was no extrapolation of the </w:t>
      </w:r>
      <w:proofErr w:type="spellStart"/>
      <w:r w:rsidR="00566EEC" w:rsidRPr="008E7C4C">
        <w:rPr>
          <w:rFonts w:asciiTheme="minorHAnsi" w:hAnsiTheme="minorHAnsi"/>
          <w:snapToGrid w:val="0"/>
        </w:rPr>
        <w:t>ToT</w:t>
      </w:r>
      <w:proofErr w:type="spellEnd"/>
      <w:r w:rsidR="00566EEC" w:rsidRPr="008E7C4C">
        <w:rPr>
          <w:rFonts w:asciiTheme="minorHAnsi" w:hAnsiTheme="minorHAnsi"/>
          <w:snapToGrid w:val="0"/>
        </w:rPr>
        <w:t xml:space="preserve"> KM curves, the generalised gamma distribution was </w:t>
      </w:r>
      <w:r w:rsidR="00AE41BD" w:rsidRPr="008E7C4C">
        <w:rPr>
          <w:rFonts w:asciiTheme="minorHAnsi" w:hAnsiTheme="minorHAnsi"/>
          <w:snapToGrid w:val="0"/>
        </w:rPr>
        <w:t>a</w:t>
      </w:r>
      <w:r w:rsidR="00566EEC" w:rsidRPr="008E7C4C">
        <w:rPr>
          <w:rFonts w:asciiTheme="minorHAnsi" w:hAnsiTheme="minorHAnsi"/>
          <w:snapToGrid w:val="0"/>
        </w:rPr>
        <w:t>pplied to the OS curve from 53 months follow-up and the unadjusted OS hazard ratio of 0.845 was applied.</w:t>
      </w:r>
    </w:p>
    <w:p w14:paraId="43DBADEF" w14:textId="38807DD7" w:rsidR="00CC25DE" w:rsidRPr="008E7C4C" w:rsidRDefault="00CC25DE" w:rsidP="00CC25DE">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lastRenderedPageBreak/>
        <w:t xml:space="preserve">Table </w:t>
      </w:r>
      <w:r w:rsidR="007E51A8" w:rsidRPr="008E7C4C">
        <w:rPr>
          <w:rFonts w:ascii="Arial Narrow" w:eastAsiaTheme="majorEastAsia" w:hAnsi="Arial Narrow" w:cstheme="majorBidi"/>
          <w:b/>
          <w:bCs/>
          <w:sz w:val="20"/>
        </w:rPr>
        <w:t>14</w:t>
      </w:r>
      <w:r w:rsidRPr="008E7C4C">
        <w:rPr>
          <w:rFonts w:ascii="Arial Narrow" w:eastAsiaTheme="majorEastAsia" w:hAnsi="Arial Narrow" w:cstheme="majorBidi"/>
          <w:b/>
          <w:bCs/>
          <w:sz w:val="20"/>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8"/>
        <w:gridCol w:w="2440"/>
        <w:gridCol w:w="2521"/>
        <w:gridCol w:w="2357"/>
      </w:tblGrid>
      <w:tr w:rsidR="00CC25DE" w:rsidRPr="008E7C4C" w14:paraId="10C27C84" w14:textId="77777777" w:rsidTr="006D7D90">
        <w:trPr>
          <w:cantSplit/>
          <w:tblHeader/>
        </w:trPr>
        <w:tc>
          <w:tcPr>
            <w:tcW w:w="942" w:type="pct"/>
            <w:shd w:val="clear" w:color="auto" w:fill="FFFFFF"/>
          </w:tcPr>
          <w:p w14:paraId="5DAC9485" w14:textId="77777777" w:rsidR="00CC25DE" w:rsidRPr="008E7C4C" w:rsidRDefault="00CC25DE" w:rsidP="00CC25DE">
            <w:pPr>
              <w:keepNext/>
              <w:jc w:val="center"/>
              <w:rPr>
                <w:rFonts w:ascii="Arial Narrow" w:eastAsiaTheme="majorEastAsia" w:hAnsi="Arial Narrow" w:cs="Times New Roman"/>
                <w:b/>
                <w:sz w:val="20"/>
              </w:rPr>
            </w:pPr>
          </w:p>
        </w:tc>
        <w:tc>
          <w:tcPr>
            <w:tcW w:w="1353" w:type="pct"/>
            <w:shd w:val="clear" w:color="auto" w:fill="FFFFFF"/>
            <w:vAlign w:val="center"/>
          </w:tcPr>
          <w:p w14:paraId="40CAA555" w14:textId="77777777" w:rsidR="00CC25DE" w:rsidRPr="008E7C4C" w:rsidRDefault="00CC25DE" w:rsidP="00CC25DE">
            <w:pPr>
              <w:keepNext/>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ILd</w:t>
            </w:r>
            <w:proofErr w:type="spellEnd"/>
          </w:p>
        </w:tc>
        <w:tc>
          <w:tcPr>
            <w:tcW w:w="1398" w:type="pct"/>
            <w:shd w:val="clear" w:color="auto" w:fill="FFFFFF"/>
            <w:vAlign w:val="center"/>
          </w:tcPr>
          <w:p w14:paraId="393580C0" w14:textId="77777777" w:rsidR="00CC25DE" w:rsidRPr="008E7C4C" w:rsidRDefault="00CC25DE" w:rsidP="00CC25DE">
            <w:pPr>
              <w:keepNext/>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Ld</w:t>
            </w:r>
            <w:proofErr w:type="spellEnd"/>
          </w:p>
        </w:tc>
        <w:tc>
          <w:tcPr>
            <w:tcW w:w="1307" w:type="pct"/>
            <w:shd w:val="clear" w:color="auto" w:fill="FFFFFF"/>
            <w:vAlign w:val="center"/>
          </w:tcPr>
          <w:p w14:paraId="54991B8B" w14:textId="77777777" w:rsidR="00CC25DE" w:rsidRPr="008E7C4C" w:rsidRDefault="00CC25DE" w:rsidP="00CC25DE">
            <w:pPr>
              <w:keepNext/>
              <w:jc w:val="center"/>
              <w:rPr>
                <w:rFonts w:ascii="Arial Narrow" w:eastAsiaTheme="majorEastAsia" w:hAnsi="Arial Narrow" w:cs="Times New Roman"/>
                <w:b/>
                <w:sz w:val="20"/>
              </w:rPr>
            </w:pPr>
            <w:r w:rsidRPr="008E7C4C">
              <w:rPr>
                <w:rFonts w:ascii="Arial Narrow" w:eastAsiaTheme="majorEastAsia" w:hAnsi="Arial Narrow" w:cs="Times New Roman"/>
                <w:b/>
                <w:sz w:val="20"/>
              </w:rPr>
              <w:t>Increment</w:t>
            </w:r>
          </w:p>
        </w:tc>
      </w:tr>
      <w:tr w:rsidR="00CC25DE" w:rsidRPr="008E7C4C" w14:paraId="1F8445A7" w14:textId="77777777" w:rsidTr="006D7D90">
        <w:trPr>
          <w:cantSplit/>
        </w:trPr>
        <w:tc>
          <w:tcPr>
            <w:tcW w:w="942" w:type="pct"/>
            <w:shd w:val="clear" w:color="auto" w:fill="auto"/>
          </w:tcPr>
          <w:p w14:paraId="102F7F57"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Costs</w:t>
            </w:r>
          </w:p>
        </w:tc>
        <w:tc>
          <w:tcPr>
            <w:tcW w:w="1353" w:type="pct"/>
            <w:shd w:val="clear" w:color="auto" w:fill="auto"/>
            <w:vAlign w:val="center"/>
          </w:tcPr>
          <w:p w14:paraId="0934E69B" w14:textId="1DDB04CB"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98" w:type="pct"/>
            <w:shd w:val="clear" w:color="auto" w:fill="auto"/>
            <w:vAlign w:val="center"/>
          </w:tcPr>
          <w:p w14:paraId="4D7F6C0D" w14:textId="27C4F6E6"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07" w:type="pct"/>
            <w:shd w:val="clear" w:color="auto" w:fill="auto"/>
            <w:vAlign w:val="center"/>
          </w:tcPr>
          <w:p w14:paraId="2C60FADA" w14:textId="669E395F"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CC25DE" w:rsidRPr="008E7C4C" w14:paraId="0F3C820C" w14:textId="77777777" w:rsidTr="006D7D90">
        <w:trPr>
          <w:cantSplit/>
        </w:trPr>
        <w:tc>
          <w:tcPr>
            <w:tcW w:w="942" w:type="pct"/>
            <w:shd w:val="clear" w:color="auto" w:fill="auto"/>
          </w:tcPr>
          <w:p w14:paraId="3070E3F2"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Life years</w:t>
            </w:r>
          </w:p>
        </w:tc>
        <w:tc>
          <w:tcPr>
            <w:tcW w:w="1353" w:type="pct"/>
            <w:shd w:val="clear" w:color="auto" w:fill="auto"/>
            <w:vAlign w:val="center"/>
          </w:tcPr>
          <w:p w14:paraId="75E5914E" w14:textId="77777777"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sz w:val="20"/>
              </w:rPr>
              <w:t>4.65</w:t>
            </w:r>
          </w:p>
        </w:tc>
        <w:tc>
          <w:tcPr>
            <w:tcW w:w="1398" w:type="pct"/>
            <w:shd w:val="clear" w:color="auto" w:fill="auto"/>
            <w:vAlign w:val="center"/>
          </w:tcPr>
          <w:p w14:paraId="030447BD" w14:textId="77777777"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sz w:val="20"/>
              </w:rPr>
              <w:t>3.65</w:t>
            </w:r>
          </w:p>
        </w:tc>
        <w:tc>
          <w:tcPr>
            <w:tcW w:w="1307" w:type="pct"/>
            <w:shd w:val="clear" w:color="auto" w:fill="auto"/>
            <w:vAlign w:val="center"/>
          </w:tcPr>
          <w:p w14:paraId="5640CE70" w14:textId="77777777"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sz w:val="20"/>
              </w:rPr>
              <w:t>1.01</w:t>
            </w:r>
          </w:p>
        </w:tc>
      </w:tr>
      <w:tr w:rsidR="00CC25DE" w:rsidRPr="008E7C4C" w14:paraId="713A2575" w14:textId="77777777" w:rsidTr="006D7D90">
        <w:trPr>
          <w:cantSplit/>
        </w:trPr>
        <w:tc>
          <w:tcPr>
            <w:tcW w:w="942" w:type="pct"/>
            <w:shd w:val="clear" w:color="auto" w:fill="auto"/>
          </w:tcPr>
          <w:p w14:paraId="1F55CB4C" w14:textId="77777777" w:rsidR="00CC25DE" w:rsidRPr="008E7C4C" w:rsidRDefault="00CC25DE" w:rsidP="00CC25DE">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QALYs</w:t>
            </w:r>
          </w:p>
        </w:tc>
        <w:tc>
          <w:tcPr>
            <w:tcW w:w="1353" w:type="pct"/>
            <w:shd w:val="clear" w:color="auto" w:fill="auto"/>
            <w:vAlign w:val="center"/>
          </w:tcPr>
          <w:p w14:paraId="3964DA48" w14:textId="77777777"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3.05</w:t>
            </w:r>
          </w:p>
        </w:tc>
        <w:tc>
          <w:tcPr>
            <w:tcW w:w="1398" w:type="pct"/>
            <w:shd w:val="clear" w:color="auto" w:fill="auto"/>
            <w:vAlign w:val="center"/>
          </w:tcPr>
          <w:p w14:paraId="6D16D46B" w14:textId="77777777"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2.39</w:t>
            </w:r>
          </w:p>
        </w:tc>
        <w:tc>
          <w:tcPr>
            <w:tcW w:w="1307" w:type="pct"/>
            <w:shd w:val="clear" w:color="auto" w:fill="auto"/>
            <w:vAlign w:val="center"/>
          </w:tcPr>
          <w:p w14:paraId="1FE00C07" w14:textId="77777777" w:rsidR="00CC25DE" w:rsidRPr="008E7C4C" w:rsidRDefault="00CC25DE" w:rsidP="00CC25DE">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0.66</w:t>
            </w:r>
          </w:p>
        </w:tc>
      </w:tr>
      <w:tr w:rsidR="00CC25DE" w:rsidRPr="008E7C4C" w14:paraId="65E2293F" w14:textId="77777777" w:rsidTr="006D7D90">
        <w:trPr>
          <w:cantSplit/>
        </w:trPr>
        <w:tc>
          <w:tcPr>
            <w:tcW w:w="3693" w:type="pct"/>
            <w:gridSpan w:val="3"/>
            <w:tcBorders>
              <w:right w:val="single" w:sz="4" w:space="0" w:color="000000"/>
            </w:tcBorders>
            <w:shd w:val="clear" w:color="auto" w:fill="auto"/>
          </w:tcPr>
          <w:p w14:paraId="5EBBED31" w14:textId="77777777" w:rsidR="00CC25DE" w:rsidRPr="008E7C4C" w:rsidRDefault="00CC25DE" w:rsidP="00CC25DE">
            <w:pPr>
              <w:keepNext/>
              <w:jc w:val="left"/>
              <w:rPr>
                <w:rFonts w:ascii="Arial Narrow" w:eastAsiaTheme="majorEastAsia" w:hAnsi="Arial Narrow" w:cs="Times New Roman"/>
                <w:bCs/>
                <w:sz w:val="20"/>
              </w:rPr>
            </w:pPr>
            <w:r w:rsidRPr="008E7C4C">
              <w:rPr>
                <w:rFonts w:ascii="Arial Narrow" w:eastAsiaTheme="majorEastAsia" w:hAnsi="Arial Narrow" w:cs="Times New Roman"/>
                <w:bCs/>
                <w:sz w:val="20"/>
              </w:rPr>
              <w:t>Incremental cost per life year gained</w:t>
            </w:r>
          </w:p>
        </w:tc>
        <w:tc>
          <w:tcPr>
            <w:tcW w:w="1307" w:type="pct"/>
            <w:tcBorders>
              <w:left w:val="single" w:sz="4" w:space="0" w:color="000000"/>
            </w:tcBorders>
            <w:shd w:val="clear" w:color="auto" w:fill="auto"/>
            <w:vAlign w:val="center"/>
          </w:tcPr>
          <w:p w14:paraId="6A875C05" w14:textId="4A1AC632" w:rsidR="00CC25DE" w:rsidRPr="008E7C4C" w:rsidRDefault="00CC25DE" w:rsidP="00CC25DE">
            <w:pPr>
              <w:keepNext/>
              <w:keepLines/>
              <w:jc w:val="center"/>
              <w:rPr>
                <w:rFonts w:ascii="Arial Narrow" w:eastAsia="Calibri" w:hAnsi="Arial Narrow"/>
                <w:b/>
                <w:sz w:val="20"/>
                <w:szCs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CC25DE" w:rsidRPr="008E7C4C" w14:paraId="10136833" w14:textId="77777777" w:rsidTr="006D7D90">
        <w:trPr>
          <w:cantSplit/>
        </w:trPr>
        <w:tc>
          <w:tcPr>
            <w:tcW w:w="3693" w:type="pct"/>
            <w:gridSpan w:val="3"/>
            <w:tcBorders>
              <w:right w:val="single" w:sz="4" w:space="0" w:color="000000"/>
            </w:tcBorders>
            <w:shd w:val="clear" w:color="auto" w:fill="auto"/>
          </w:tcPr>
          <w:p w14:paraId="30553246" w14:textId="77777777" w:rsidR="00CC25DE" w:rsidRPr="008E7C4C" w:rsidRDefault="00CC25DE" w:rsidP="00CC25DE">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Incremental cost per QALY gained</w:t>
            </w:r>
          </w:p>
        </w:tc>
        <w:tc>
          <w:tcPr>
            <w:tcW w:w="1307" w:type="pct"/>
            <w:tcBorders>
              <w:left w:val="single" w:sz="4" w:space="0" w:color="000000"/>
            </w:tcBorders>
            <w:shd w:val="clear" w:color="auto" w:fill="auto"/>
            <w:vAlign w:val="center"/>
          </w:tcPr>
          <w:p w14:paraId="4F767FD8" w14:textId="1BA56747" w:rsidR="00CC25DE" w:rsidRPr="008E7C4C" w:rsidRDefault="00CC25DE" w:rsidP="00CC25DE">
            <w:pPr>
              <w:keepNext/>
              <w:keepLines/>
              <w:jc w:val="center"/>
              <w:rPr>
                <w:rFonts w:ascii="Arial Narrow" w:eastAsia="Calibri" w:hAnsi="Arial Narrow"/>
                <w:b/>
                <w:sz w:val="20"/>
                <w:szCs w:val="20"/>
              </w:rPr>
            </w:pPr>
            <w:r w:rsidRPr="008E7C4C">
              <w:rPr>
                <w:rFonts w:ascii="Arial Narrow" w:eastAsiaTheme="majorEastAsia" w:hAnsi="Arial Narrow" w:cstheme="majorBidi"/>
                <w:b/>
                <w:bCs/>
                <w:sz w:val="20"/>
              </w:rPr>
              <w:t>$</w:t>
            </w:r>
            <w:r w:rsidR="00951174" w:rsidRPr="00951174">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Pr="008E7C4C">
              <w:rPr>
                <w:rFonts w:ascii="Arial Narrow" w:eastAsiaTheme="majorEastAsia" w:hAnsi="Arial Narrow" w:cstheme="majorBidi"/>
                <w:b/>
                <w:bCs/>
                <w:sz w:val="20"/>
                <w:vertAlign w:val="superscript"/>
              </w:rPr>
              <w:t>a</w:t>
            </w:r>
            <w:r w:rsidR="0057612F">
              <w:rPr>
                <w:rFonts w:ascii="Arial Narrow" w:eastAsiaTheme="majorEastAsia" w:hAnsi="Arial Narrow" w:cstheme="majorBidi"/>
                <w:b/>
                <w:bCs/>
                <w:sz w:val="20"/>
                <w:vertAlign w:val="superscript"/>
              </w:rPr>
              <w:t>,1</w:t>
            </w:r>
          </w:p>
        </w:tc>
      </w:tr>
      <w:tr w:rsidR="0072335D" w:rsidRPr="008E7C4C" w14:paraId="5C931C2B" w14:textId="77777777" w:rsidTr="0072335D">
        <w:trPr>
          <w:cantSplit/>
          <w:tblHeader/>
        </w:trPr>
        <w:tc>
          <w:tcPr>
            <w:tcW w:w="5000" w:type="pct"/>
            <w:gridSpan w:val="4"/>
            <w:shd w:val="clear" w:color="auto" w:fill="FFFFFF"/>
          </w:tcPr>
          <w:p w14:paraId="14F02A4A" w14:textId="698B46D4" w:rsidR="0072335D" w:rsidRPr="008E7C4C" w:rsidRDefault="0072335D" w:rsidP="0072335D">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PSCR respecified base case</w:t>
            </w:r>
          </w:p>
        </w:tc>
      </w:tr>
      <w:tr w:rsidR="00DE3B60" w:rsidRPr="008E7C4C" w14:paraId="387D468D" w14:textId="77777777" w:rsidTr="00DE3B60">
        <w:trPr>
          <w:cantSplit/>
        </w:trPr>
        <w:tc>
          <w:tcPr>
            <w:tcW w:w="3693" w:type="pct"/>
            <w:gridSpan w:val="3"/>
            <w:shd w:val="clear" w:color="auto" w:fill="auto"/>
          </w:tcPr>
          <w:p w14:paraId="5DA86255" w14:textId="62A97ED5" w:rsidR="00DE3B60" w:rsidRPr="008E7C4C" w:rsidRDefault="00DE3B60" w:rsidP="00DE3B60">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Costs</w:t>
            </w:r>
          </w:p>
        </w:tc>
        <w:tc>
          <w:tcPr>
            <w:tcW w:w="1307" w:type="pct"/>
            <w:shd w:val="clear" w:color="auto" w:fill="auto"/>
            <w:vAlign w:val="center"/>
          </w:tcPr>
          <w:p w14:paraId="1FD138D0" w14:textId="589A1519" w:rsidR="00DE3B60" w:rsidRPr="008E7C4C" w:rsidRDefault="00DE3B60" w:rsidP="00FA22AF">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DE3B60" w:rsidRPr="008E7C4C" w14:paraId="6D27AC60" w14:textId="77777777" w:rsidTr="00DE3B60">
        <w:trPr>
          <w:cantSplit/>
        </w:trPr>
        <w:tc>
          <w:tcPr>
            <w:tcW w:w="3693" w:type="pct"/>
            <w:gridSpan w:val="3"/>
            <w:shd w:val="clear" w:color="auto" w:fill="auto"/>
          </w:tcPr>
          <w:p w14:paraId="26D2A1DE" w14:textId="0CD68010" w:rsidR="00DE3B60" w:rsidRPr="008E7C4C" w:rsidRDefault="00DE3B60" w:rsidP="00DE3B60">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QALYs</w:t>
            </w:r>
          </w:p>
        </w:tc>
        <w:tc>
          <w:tcPr>
            <w:tcW w:w="1307" w:type="pct"/>
            <w:shd w:val="clear" w:color="auto" w:fill="auto"/>
            <w:vAlign w:val="center"/>
          </w:tcPr>
          <w:p w14:paraId="7998920B" w14:textId="1379158B" w:rsidR="00DE3B60" w:rsidRPr="008E7C4C" w:rsidRDefault="00DE3B60" w:rsidP="00FA22AF">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0.62</w:t>
            </w:r>
          </w:p>
        </w:tc>
      </w:tr>
      <w:tr w:rsidR="0072335D" w:rsidRPr="008E7C4C" w14:paraId="43DD1C97" w14:textId="77777777" w:rsidTr="00FA22AF">
        <w:trPr>
          <w:cantSplit/>
        </w:trPr>
        <w:tc>
          <w:tcPr>
            <w:tcW w:w="3693" w:type="pct"/>
            <w:gridSpan w:val="3"/>
            <w:tcBorders>
              <w:right w:val="single" w:sz="4" w:space="0" w:color="000000"/>
            </w:tcBorders>
            <w:shd w:val="clear" w:color="auto" w:fill="auto"/>
          </w:tcPr>
          <w:p w14:paraId="39BB2F68" w14:textId="77777777" w:rsidR="0072335D" w:rsidRPr="008E7C4C" w:rsidRDefault="0072335D" w:rsidP="00FA22AF">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Incremental cost per QALY gained</w:t>
            </w:r>
          </w:p>
        </w:tc>
        <w:tc>
          <w:tcPr>
            <w:tcW w:w="1307" w:type="pct"/>
            <w:tcBorders>
              <w:left w:val="single" w:sz="4" w:space="0" w:color="000000"/>
            </w:tcBorders>
            <w:shd w:val="clear" w:color="auto" w:fill="auto"/>
            <w:vAlign w:val="center"/>
          </w:tcPr>
          <w:p w14:paraId="5D168444" w14:textId="31CA60B3" w:rsidR="0072335D" w:rsidRPr="008E7C4C" w:rsidRDefault="0072335D" w:rsidP="00FA22AF">
            <w:pPr>
              <w:keepNext/>
              <w:keepLines/>
              <w:jc w:val="center"/>
              <w:rPr>
                <w:rFonts w:ascii="Arial Narrow" w:eastAsia="Calibri" w:hAnsi="Arial Narrow"/>
                <w:b/>
                <w:sz w:val="20"/>
                <w:szCs w:val="20"/>
              </w:rPr>
            </w:pPr>
            <w:r w:rsidRPr="008E7C4C">
              <w:rPr>
                <w:rFonts w:ascii="Arial Narrow" w:eastAsiaTheme="majorEastAsia" w:hAnsi="Arial Narrow" w:cstheme="majorBidi"/>
                <w:b/>
                <w:bCs/>
                <w:sz w:val="20"/>
              </w:rPr>
              <w:t>$</w:t>
            </w:r>
            <w:r w:rsidR="00951174" w:rsidRPr="00951174">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Pr="008E7C4C">
              <w:rPr>
                <w:rFonts w:ascii="Arial Narrow" w:eastAsiaTheme="majorEastAsia" w:hAnsi="Arial Narrow" w:cstheme="majorBidi"/>
                <w:b/>
                <w:bCs/>
                <w:sz w:val="20"/>
                <w:vertAlign w:val="superscript"/>
              </w:rPr>
              <w:t>a</w:t>
            </w:r>
            <w:r w:rsidR="0057612F">
              <w:rPr>
                <w:rFonts w:ascii="Arial Narrow" w:eastAsiaTheme="majorEastAsia" w:hAnsi="Arial Narrow" w:cstheme="majorBidi"/>
                <w:b/>
                <w:bCs/>
                <w:sz w:val="20"/>
                <w:vertAlign w:val="superscript"/>
              </w:rPr>
              <w:t>,1</w:t>
            </w:r>
          </w:p>
        </w:tc>
      </w:tr>
      <w:tr w:rsidR="00566EEC" w:rsidRPr="008E7C4C" w14:paraId="3A7D5771" w14:textId="77777777" w:rsidTr="00FA7DF8">
        <w:trPr>
          <w:cantSplit/>
          <w:tblHeader/>
        </w:trPr>
        <w:tc>
          <w:tcPr>
            <w:tcW w:w="5000" w:type="pct"/>
            <w:gridSpan w:val="4"/>
            <w:shd w:val="clear" w:color="auto" w:fill="FFFFFF"/>
          </w:tcPr>
          <w:p w14:paraId="6A96E934" w14:textId="56C09B7C" w:rsidR="00566EEC" w:rsidRPr="008E7C4C" w:rsidRDefault="00566EEC" w:rsidP="00FA7DF8">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Pre</w:t>
            </w:r>
            <w:r w:rsidR="001702B4" w:rsidRPr="008E7C4C">
              <w:rPr>
                <w:rFonts w:ascii="Arial Narrow" w:eastAsiaTheme="majorEastAsia" w:hAnsi="Arial Narrow" w:cs="Times New Roman"/>
                <w:b/>
                <w:sz w:val="20"/>
              </w:rPr>
              <w:t>-PBA</w:t>
            </w:r>
            <w:r w:rsidRPr="008E7C4C">
              <w:rPr>
                <w:rFonts w:ascii="Arial Narrow" w:eastAsiaTheme="majorEastAsia" w:hAnsi="Arial Narrow" w:cs="Times New Roman"/>
                <w:b/>
                <w:sz w:val="20"/>
              </w:rPr>
              <w:t>C respecified base case</w:t>
            </w:r>
          </w:p>
        </w:tc>
      </w:tr>
      <w:tr w:rsidR="00566EEC" w:rsidRPr="008E7C4C" w14:paraId="40E8195C" w14:textId="77777777" w:rsidTr="00FA7DF8">
        <w:trPr>
          <w:cantSplit/>
        </w:trPr>
        <w:tc>
          <w:tcPr>
            <w:tcW w:w="3693" w:type="pct"/>
            <w:gridSpan w:val="3"/>
            <w:shd w:val="clear" w:color="auto" w:fill="auto"/>
          </w:tcPr>
          <w:p w14:paraId="759064F0" w14:textId="77777777" w:rsidR="00566EEC" w:rsidRPr="008E7C4C" w:rsidRDefault="00566EEC" w:rsidP="00FA7DF8">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Costs</w:t>
            </w:r>
          </w:p>
        </w:tc>
        <w:tc>
          <w:tcPr>
            <w:tcW w:w="1307" w:type="pct"/>
            <w:shd w:val="clear" w:color="auto" w:fill="auto"/>
            <w:vAlign w:val="center"/>
          </w:tcPr>
          <w:p w14:paraId="3F7D31B1" w14:textId="5A0DFF63" w:rsidR="00566EEC" w:rsidRPr="008E7C4C" w:rsidRDefault="00566EEC" w:rsidP="00FA7DF8">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566EEC" w:rsidRPr="008E7C4C" w14:paraId="7BF387C5" w14:textId="77777777" w:rsidTr="00FA7DF8">
        <w:trPr>
          <w:cantSplit/>
        </w:trPr>
        <w:tc>
          <w:tcPr>
            <w:tcW w:w="3693" w:type="pct"/>
            <w:gridSpan w:val="3"/>
            <w:shd w:val="clear" w:color="auto" w:fill="auto"/>
          </w:tcPr>
          <w:p w14:paraId="2321B1E5" w14:textId="77777777" w:rsidR="00566EEC" w:rsidRPr="008E7C4C" w:rsidRDefault="00566EEC" w:rsidP="00FA7DF8">
            <w:pPr>
              <w:keepNext/>
              <w:jc w:val="left"/>
              <w:rPr>
                <w:rFonts w:ascii="Arial Narrow" w:eastAsiaTheme="majorEastAsia" w:hAnsi="Arial Narrow" w:cstheme="majorBidi"/>
                <w:bCs/>
                <w:sz w:val="20"/>
              </w:rPr>
            </w:pPr>
            <w:r w:rsidRPr="008E7C4C">
              <w:rPr>
                <w:rFonts w:ascii="Arial Narrow" w:eastAsiaTheme="majorEastAsia" w:hAnsi="Arial Narrow" w:cstheme="majorBidi"/>
                <w:bCs/>
                <w:sz w:val="20"/>
              </w:rPr>
              <w:t>QALYs</w:t>
            </w:r>
          </w:p>
        </w:tc>
        <w:tc>
          <w:tcPr>
            <w:tcW w:w="1307" w:type="pct"/>
            <w:shd w:val="clear" w:color="auto" w:fill="auto"/>
            <w:vAlign w:val="center"/>
          </w:tcPr>
          <w:p w14:paraId="5EB25F01" w14:textId="40CF9B9F" w:rsidR="00566EEC" w:rsidRPr="008E7C4C" w:rsidRDefault="00566EEC" w:rsidP="00FA7DF8">
            <w:pPr>
              <w:keepNext/>
              <w:jc w:val="center"/>
              <w:rPr>
                <w:rFonts w:ascii="Arial Narrow" w:eastAsiaTheme="majorEastAsia" w:hAnsi="Arial Narrow" w:cstheme="majorBidi"/>
                <w:bCs/>
                <w:sz w:val="20"/>
              </w:rPr>
            </w:pPr>
            <w:r w:rsidRPr="008E7C4C">
              <w:rPr>
                <w:rFonts w:ascii="Arial Narrow" w:eastAsiaTheme="majorEastAsia" w:hAnsi="Arial Narrow" w:cstheme="majorBidi"/>
                <w:bCs/>
                <w:sz w:val="20"/>
              </w:rPr>
              <w:t>0.54</w:t>
            </w:r>
          </w:p>
        </w:tc>
      </w:tr>
      <w:tr w:rsidR="00566EEC" w:rsidRPr="008E7C4C" w14:paraId="5D7D67DB" w14:textId="77777777" w:rsidTr="00FA7DF8">
        <w:trPr>
          <w:cantSplit/>
        </w:trPr>
        <w:tc>
          <w:tcPr>
            <w:tcW w:w="3693" w:type="pct"/>
            <w:gridSpan w:val="3"/>
            <w:tcBorders>
              <w:right w:val="single" w:sz="4" w:space="0" w:color="000000"/>
            </w:tcBorders>
            <w:shd w:val="clear" w:color="auto" w:fill="auto"/>
          </w:tcPr>
          <w:p w14:paraId="48AC8BAC" w14:textId="77777777" w:rsidR="00566EEC" w:rsidRPr="008E7C4C" w:rsidRDefault="00566EEC" w:rsidP="00FA7DF8">
            <w:pPr>
              <w:keepNext/>
              <w:jc w:val="left"/>
              <w:rPr>
                <w:rFonts w:ascii="Arial Narrow" w:eastAsiaTheme="majorEastAsia" w:hAnsi="Arial Narrow" w:cs="Times New Roman"/>
                <w:b/>
                <w:sz w:val="20"/>
              </w:rPr>
            </w:pPr>
            <w:r w:rsidRPr="008E7C4C">
              <w:rPr>
                <w:rFonts w:ascii="Arial Narrow" w:eastAsiaTheme="majorEastAsia" w:hAnsi="Arial Narrow" w:cs="Times New Roman"/>
                <w:b/>
                <w:sz w:val="20"/>
              </w:rPr>
              <w:t>Incremental cost per QALY gained</w:t>
            </w:r>
          </w:p>
        </w:tc>
        <w:tc>
          <w:tcPr>
            <w:tcW w:w="1307" w:type="pct"/>
            <w:tcBorders>
              <w:left w:val="single" w:sz="4" w:space="0" w:color="000000"/>
            </w:tcBorders>
            <w:shd w:val="clear" w:color="auto" w:fill="auto"/>
            <w:vAlign w:val="center"/>
          </w:tcPr>
          <w:p w14:paraId="1E77301C" w14:textId="2AF61F61" w:rsidR="00566EEC" w:rsidRPr="008E7C4C" w:rsidRDefault="00566EEC" w:rsidP="00FA7DF8">
            <w:pPr>
              <w:keepNext/>
              <w:keepLines/>
              <w:jc w:val="center"/>
              <w:rPr>
                <w:rFonts w:ascii="Arial Narrow" w:eastAsia="Calibri" w:hAnsi="Arial Narrow"/>
                <w:b/>
                <w:sz w:val="20"/>
                <w:szCs w:val="20"/>
              </w:rPr>
            </w:pPr>
            <w:r w:rsidRPr="008E7C4C">
              <w:rPr>
                <w:rFonts w:ascii="Arial Narrow" w:eastAsiaTheme="majorEastAsia" w:hAnsi="Arial Narrow" w:cstheme="majorBidi"/>
                <w:b/>
                <w:bCs/>
                <w:sz w:val="20"/>
              </w:rPr>
              <w:t>$</w:t>
            </w:r>
            <w:r w:rsidR="00951174" w:rsidRPr="00951174">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Pr="008E7C4C">
              <w:rPr>
                <w:rFonts w:ascii="Arial Narrow" w:eastAsiaTheme="majorEastAsia" w:hAnsi="Arial Narrow" w:cstheme="majorBidi"/>
                <w:b/>
                <w:bCs/>
                <w:sz w:val="20"/>
                <w:vertAlign w:val="superscript"/>
              </w:rPr>
              <w:t>a</w:t>
            </w:r>
            <w:r w:rsidR="0057612F">
              <w:rPr>
                <w:rFonts w:ascii="Arial Narrow" w:eastAsiaTheme="majorEastAsia" w:hAnsi="Arial Narrow" w:cstheme="majorBidi"/>
                <w:b/>
                <w:bCs/>
                <w:sz w:val="20"/>
                <w:vertAlign w:val="superscript"/>
              </w:rPr>
              <w:t>,2</w:t>
            </w:r>
          </w:p>
        </w:tc>
      </w:tr>
    </w:tbl>
    <w:p w14:paraId="53912120" w14:textId="273D88A6" w:rsidR="00CC25DE" w:rsidRPr="008E7C4C" w:rsidRDefault="00CC25DE" w:rsidP="00136562">
      <w:pPr>
        <w:pStyle w:val="PBACTableSource"/>
        <w:rPr>
          <w:snapToGrid w:val="0"/>
        </w:rPr>
      </w:pPr>
      <w:r w:rsidRPr="008E7C4C">
        <w:rPr>
          <w:snapToGrid w:val="0"/>
        </w:rPr>
        <w:t>Source: Table 3-21, p113 of the resubmission.</w:t>
      </w:r>
    </w:p>
    <w:p w14:paraId="01B0B619" w14:textId="2C9D7804" w:rsidR="00CC25DE" w:rsidRPr="008E7C4C" w:rsidRDefault="00CC25DE" w:rsidP="00136562">
      <w:pPr>
        <w:pStyle w:val="PBACTableSource"/>
      </w:pPr>
      <w:r w:rsidRPr="008E7C4C">
        <w:t>AEMP =</w:t>
      </w:r>
      <w:r w:rsidR="008B58A6" w:rsidRPr="008E7C4C">
        <w:t xml:space="preserve"> approved</w:t>
      </w:r>
      <w:r w:rsidRPr="008E7C4C">
        <w:t xml:space="preserve"> ex-manufacturer price; CUA = cost utility analysis; </w:t>
      </w:r>
      <w:proofErr w:type="spellStart"/>
      <w:r w:rsidRPr="008E7C4C">
        <w:t>ILd</w:t>
      </w:r>
      <w:proofErr w:type="spellEnd"/>
      <w:r w:rsidRPr="008E7C4C">
        <w:t xml:space="preserve"> = </w:t>
      </w:r>
      <w:proofErr w:type="spellStart"/>
      <w:r w:rsidRPr="008E7C4C">
        <w:t>ixazomib</w:t>
      </w:r>
      <w:proofErr w:type="spellEnd"/>
      <w:r w:rsidR="008B58A6" w:rsidRPr="008E7C4C">
        <w:t xml:space="preserve"> +</w:t>
      </w:r>
      <w:r w:rsidRPr="008E7C4C">
        <w:t xml:space="preserve"> lenalidomide </w:t>
      </w:r>
      <w:r w:rsidR="008B58A6" w:rsidRPr="008E7C4C">
        <w:t>+</w:t>
      </w:r>
      <w:r w:rsidRPr="008E7C4C">
        <w:t xml:space="preserve"> dexamethasone</w:t>
      </w:r>
      <w:r w:rsidR="008B58A6" w:rsidRPr="008E7C4C">
        <w:t>;</w:t>
      </w:r>
      <w:r w:rsidRPr="008E7C4C">
        <w:t xml:space="preserve"> </w:t>
      </w:r>
      <w:proofErr w:type="spellStart"/>
      <w:r w:rsidRPr="008E7C4C">
        <w:t>Ld</w:t>
      </w:r>
      <w:proofErr w:type="spellEnd"/>
      <w:r w:rsidRPr="008E7C4C">
        <w:t xml:space="preserve"> = lenalidomide </w:t>
      </w:r>
      <w:r w:rsidR="008B58A6" w:rsidRPr="008E7C4C">
        <w:t>+</w:t>
      </w:r>
      <w:r w:rsidRPr="008E7C4C">
        <w:t xml:space="preserve"> dexamethasone; QALY = quality adjusted life years.</w:t>
      </w:r>
    </w:p>
    <w:p w14:paraId="73469F04" w14:textId="21F57750" w:rsidR="00CC25DE" w:rsidRDefault="008B58A6" w:rsidP="00136562">
      <w:pPr>
        <w:pStyle w:val="PBACTableSource"/>
      </w:pPr>
      <w:r w:rsidRPr="008E7C4C">
        <w:t xml:space="preserve">a. </w:t>
      </w:r>
      <w:r w:rsidR="00CC25DE" w:rsidRPr="008E7C4C">
        <w:t xml:space="preserve">The resubmission used an indicative AEMP for </w:t>
      </w:r>
      <w:proofErr w:type="spellStart"/>
      <w:r w:rsidR="00CC25DE" w:rsidRPr="008E7C4C">
        <w:t>ixazomib</w:t>
      </w:r>
      <w:proofErr w:type="spellEnd"/>
      <w:r w:rsidR="00CC25DE" w:rsidRPr="008E7C4C">
        <w:t xml:space="preserve"> $</w:t>
      </w:r>
      <w:proofErr w:type="gramStart"/>
      <w:r w:rsidR="00951174" w:rsidRPr="00951174">
        <w:rPr>
          <w:spacing w:val="40"/>
          <w:shd w:val="solid" w:color="000000" w:fill="000000"/>
          <w:fitText w:val="280" w:id="-1502411504"/>
          <w14:textFill>
            <w14:solidFill>
              <w14:srgbClr w14:val="000000">
                <w14:alpha w14:val="100000"/>
              </w14:srgbClr>
            </w14:solidFill>
          </w14:textFill>
        </w:rPr>
        <w:t xml:space="preserve">|  </w:t>
      </w:r>
      <w:r w:rsidR="00951174" w:rsidRPr="00951174">
        <w:rPr>
          <w:spacing w:val="2"/>
          <w:shd w:val="solid" w:color="000000" w:fill="000000"/>
          <w:fitText w:val="280" w:id="-1502411504"/>
          <w14:textFill>
            <w14:solidFill>
              <w14:srgbClr w14:val="000000">
                <w14:alpha w14:val="100000"/>
              </w14:srgbClr>
            </w14:solidFill>
          </w14:textFill>
        </w:rPr>
        <w:t>|</w:t>
      </w:r>
      <w:proofErr w:type="gramEnd"/>
      <w:r w:rsidR="00CC25DE" w:rsidRPr="008E7C4C">
        <w:t xml:space="preserve"> in the CUA estimates.</w:t>
      </w:r>
    </w:p>
    <w:p w14:paraId="3187E893" w14:textId="04772379" w:rsidR="0057612F" w:rsidRDefault="0057612F" w:rsidP="00136562">
      <w:pPr>
        <w:pStyle w:val="PBACTableSource"/>
      </w:pPr>
    </w:p>
    <w:p w14:paraId="048D8232" w14:textId="77777777" w:rsidR="0057612F" w:rsidRPr="009A6D58" w:rsidRDefault="0057612F" w:rsidP="0057612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05124D9" w14:textId="1C10E1CD" w:rsidR="0057612F" w:rsidRPr="0057612F" w:rsidRDefault="0057612F" w:rsidP="0057612F">
      <w:pPr>
        <w:ind w:right="147"/>
        <w:rPr>
          <w:rFonts w:ascii="Arial Narrow" w:hAnsi="Arial Narrow"/>
          <w:i/>
          <w:sz w:val="18"/>
          <w:szCs w:val="18"/>
        </w:rPr>
      </w:pPr>
      <w:r>
        <w:rPr>
          <w:rFonts w:ascii="Arial Narrow" w:hAnsi="Arial Narrow"/>
          <w:i/>
          <w:sz w:val="18"/>
          <w:szCs w:val="18"/>
          <w:vertAlign w:val="superscript"/>
        </w:rPr>
        <w:t>1</w:t>
      </w:r>
      <w:r w:rsidRPr="0057612F">
        <w:rPr>
          <w:rFonts w:ascii="Arial Narrow" w:hAnsi="Arial Narrow"/>
          <w:i/>
          <w:sz w:val="18"/>
          <w:szCs w:val="18"/>
        </w:rPr>
        <w:t>$75,000 to &lt; $95,000</w:t>
      </w:r>
    </w:p>
    <w:p w14:paraId="3E14B7B0" w14:textId="4EB33B15" w:rsidR="0057612F" w:rsidRPr="0057612F" w:rsidRDefault="0057612F" w:rsidP="0057612F">
      <w:pPr>
        <w:ind w:right="147"/>
        <w:rPr>
          <w:rFonts w:ascii="Arial Narrow" w:hAnsi="Arial Narrow"/>
          <w:i/>
          <w:sz w:val="18"/>
          <w:szCs w:val="18"/>
        </w:rPr>
      </w:pPr>
      <w:r>
        <w:rPr>
          <w:rFonts w:ascii="Arial Narrow" w:hAnsi="Arial Narrow"/>
          <w:i/>
          <w:sz w:val="18"/>
          <w:szCs w:val="18"/>
          <w:vertAlign w:val="superscript"/>
        </w:rPr>
        <w:t>2</w:t>
      </w:r>
      <w:r w:rsidRPr="0057612F">
        <w:rPr>
          <w:rFonts w:ascii="Arial Narrow" w:hAnsi="Arial Narrow"/>
          <w:i/>
          <w:sz w:val="18"/>
          <w:szCs w:val="18"/>
        </w:rPr>
        <w:t>$115,000 to &lt; $135,000</w:t>
      </w:r>
    </w:p>
    <w:p w14:paraId="6998956D" w14:textId="77777777" w:rsidR="0057612F" w:rsidRPr="008E7C4C" w:rsidRDefault="0057612F" w:rsidP="00136562">
      <w:pPr>
        <w:pStyle w:val="PBACTableSource"/>
      </w:pPr>
    </w:p>
    <w:p w14:paraId="774F56A9" w14:textId="77777777" w:rsidR="00CC25DE" w:rsidRPr="008E7C4C" w:rsidRDefault="00CC25DE" w:rsidP="00CC25DE">
      <w:pPr>
        <w:spacing w:after="120"/>
        <w:contextualSpacing/>
        <w:rPr>
          <w:rFonts w:ascii="Arial Narrow" w:eastAsia="Calibri" w:hAnsi="Arial Narrow"/>
          <w:snapToGrid w:val="0"/>
          <w:sz w:val="18"/>
          <w:szCs w:val="20"/>
        </w:rPr>
      </w:pPr>
    </w:p>
    <w:p w14:paraId="1155B5E7" w14:textId="3AB1E837" w:rsidR="00CC25DE" w:rsidRPr="008E7C4C" w:rsidRDefault="00CC25DE" w:rsidP="00CC25DE">
      <w:pPr>
        <w:numPr>
          <w:ilvl w:val="1"/>
          <w:numId w:val="1"/>
        </w:numPr>
        <w:spacing w:after="120"/>
        <w:rPr>
          <w:rFonts w:asciiTheme="minorHAnsi" w:hAnsiTheme="minorHAnsi"/>
          <w:iCs/>
          <w:snapToGrid w:val="0"/>
        </w:rPr>
      </w:pPr>
      <w:r w:rsidRPr="008E7C4C">
        <w:rPr>
          <w:rFonts w:asciiTheme="minorHAnsi" w:hAnsiTheme="minorHAnsi"/>
          <w:iCs/>
          <w:snapToGrid w:val="0"/>
        </w:rPr>
        <w:t xml:space="preserve">Traces of the model results </w:t>
      </w:r>
      <w:r w:rsidR="004803C7" w:rsidRPr="008E7C4C">
        <w:rPr>
          <w:rFonts w:asciiTheme="minorHAnsi" w:hAnsiTheme="minorHAnsi"/>
          <w:iCs/>
          <w:snapToGrid w:val="0"/>
        </w:rPr>
        <w:t xml:space="preserve">for the scenario included in the resubmission </w:t>
      </w:r>
      <w:r w:rsidRPr="008E7C4C">
        <w:rPr>
          <w:rFonts w:asciiTheme="minorHAnsi" w:hAnsiTheme="minorHAnsi"/>
          <w:iCs/>
          <w:snapToGrid w:val="0"/>
        </w:rPr>
        <w:t xml:space="preserve">are presented in Figure </w:t>
      </w:r>
      <w:r w:rsidR="00D81DCE" w:rsidRPr="008E7C4C">
        <w:rPr>
          <w:rFonts w:asciiTheme="minorHAnsi" w:hAnsiTheme="minorHAnsi"/>
          <w:iCs/>
          <w:snapToGrid w:val="0"/>
        </w:rPr>
        <w:t>7</w:t>
      </w:r>
      <w:r w:rsidRPr="008E7C4C">
        <w:rPr>
          <w:rFonts w:asciiTheme="minorHAnsi" w:hAnsiTheme="minorHAnsi"/>
          <w:iCs/>
          <w:snapToGrid w:val="0"/>
        </w:rPr>
        <w:t>.</w:t>
      </w:r>
    </w:p>
    <w:p w14:paraId="203016F7" w14:textId="7B78482C" w:rsidR="00CC25DE" w:rsidRPr="008E7C4C" w:rsidRDefault="00CC25DE" w:rsidP="008B58A6">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 xml:space="preserve">Figure </w:t>
      </w:r>
      <w:r w:rsidR="00D81DCE" w:rsidRPr="008E7C4C">
        <w:rPr>
          <w:rFonts w:ascii="Arial Narrow" w:eastAsiaTheme="majorEastAsia" w:hAnsi="Arial Narrow" w:cstheme="majorBidi"/>
          <w:b/>
          <w:bCs/>
          <w:sz w:val="20"/>
        </w:rPr>
        <w:t>7</w:t>
      </w:r>
      <w:r w:rsidRPr="008E7C4C">
        <w:rPr>
          <w:rFonts w:ascii="Arial Narrow" w:eastAsiaTheme="majorEastAsia" w:hAnsi="Arial Narrow" w:cstheme="majorBidi"/>
          <w:b/>
          <w:bCs/>
          <w:sz w:val="20"/>
        </w:rPr>
        <w:t xml:space="preserve">: Markov traces for </w:t>
      </w:r>
      <w:proofErr w:type="spellStart"/>
      <w:r w:rsidRPr="008E7C4C">
        <w:rPr>
          <w:rFonts w:ascii="Arial Narrow" w:eastAsiaTheme="majorEastAsia" w:hAnsi="Arial Narrow" w:cstheme="majorBidi"/>
          <w:b/>
          <w:bCs/>
          <w:sz w:val="20"/>
        </w:rPr>
        <w:t>ILd</w:t>
      </w:r>
      <w:proofErr w:type="spellEnd"/>
      <w:r w:rsidRPr="008E7C4C">
        <w:rPr>
          <w:rFonts w:ascii="Arial Narrow" w:eastAsiaTheme="majorEastAsia" w:hAnsi="Arial Narrow" w:cstheme="majorBidi"/>
          <w:b/>
          <w:bCs/>
          <w:sz w:val="20"/>
        </w:rPr>
        <w:t xml:space="preserve"> and </w:t>
      </w:r>
      <w:proofErr w:type="spellStart"/>
      <w:r w:rsidRPr="008E7C4C">
        <w:rPr>
          <w:rFonts w:ascii="Arial Narrow" w:eastAsiaTheme="majorEastAsia" w:hAnsi="Arial Narrow" w:cstheme="majorBidi"/>
          <w:b/>
          <w:bCs/>
          <w:sz w:val="20"/>
        </w:rPr>
        <w:t>Ld</w:t>
      </w:r>
      <w:proofErr w:type="spellEnd"/>
      <w:r w:rsidRPr="008E7C4C">
        <w:rPr>
          <w:rFonts w:ascii="Arial Narrow" w:eastAsiaTheme="majorEastAsia" w:hAnsi="Arial Narrow" w:cstheme="majorBidi"/>
          <w:b/>
          <w:bCs/>
          <w:sz w:val="20"/>
        </w:rPr>
        <w:t xml:space="preserve"> in each health state</w:t>
      </w:r>
    </w:p>
    <w:p w14:paraId="6FEDD679" w14:textId="1392AF3B" w:rsidR="00CC25DE" w:rsidRPr="008E7C4C" w:rsidRDefault="00CC25DE" w:rsidP="00CC25DE">
      <w:pPr>
        <w:spacing w:after="120"/>
        <w:rPr>
          <w:rFonts w:asciiTheme="minorHAnsi" w:hAnsiTheme="minorHAnsi"/>
          <w:snapToGrid w:val="0"/>
        </w:rPr>
      </w:pPr>
      <w:r w:rsidRPr="008E7C4C">
        <w:rPr>
          <w:rFonts w:asciiTheme="minorHAnsi" w:hAnsiTheme="minorHAnsi"/>
          <w:noProof/>
          <w:snapToGrid w:val="0"/>
        </w:rPr>
        <w:drawing>
          <wp:inline distT="0" distB="0" distL="0" distR="0" wp14:anchorId="7D6D5C18" wp14:editId="58E90297">
            <wp:extent cx="5731510" cy="3496172"/>
            <wp:effectExtent l="0" t="0" r="2540" b="9525"/>
            <wp:docPr id="23" name="Picture 23" descr="Figure 7: Markov traces for ILd and Ld in each health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7: Markov traces for ILd and Ld in each health sta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496172"/>
                    </a:xfrm>
                    <a:prstGeom prst="rect">
                      <a:avLst/>
                    </a:prstGeom>
                    <a:noFill/>
                  </pic:spPr>
                </pic:pic>
              </a:graphicData>
            </a:graphic>
          </wp:inline>
        </w:drawing>
      </w:r>
    </w:p>
    <w:p w14:paraId="7D593116" w14:textId="11952E29" w:rsidR="004D5A84" w:rsidRPr="008E7C4C" w:rsidRDefault="004D5A84" w:rsidP="00136562">
      <w:pPr>
        <w:pStyle w:val="PBACTableSource"/>
        <w:rPr>
          <w:snapToGrid w:val="0"/>
        </w:rPr>
      </w:pPr>
      <w:r w:rsidRPr="008E7C4C">
        <w:rPr>
          <w:snapToGrid w:val="0"/>
        </w:rPr>
        <w:t>Source: pre</w:t>
      </w:r>
      <w:r w:rsidR="003D4C51" w:rsidRPr="008E7C4C">
        <w:rPr>
          <w:snapToGrid w:val="0"/>
        </w:rPr>
        <w:t>pared</w:t>
      </w:r>
      <w:r w:rsidRPr="008E7C4C">
        <w:rPr>
          <w:snapToGrid w:val="0"/>
        </w:rPr>
        <w:t xml:space="preserve"> during evaluation.</w:t>
      </w:r>
    </w:p>
    <w:p w14:paraId="3967CC44" w14:textId="353A9B2A" w:rsidR="004D5A84" w:rsidRPr="008E7C4C" w:rsidRDefault="004D5A84" w:rsidP="00136562">
      <w:pPr>
        <w:pStyle w:val="PBACTableSource"/>
        <w:rPr>
          <w:snapToGrid w:val="0"/>
        </w:rPr>
      </w:pPr>
      <w:proofErr w:type="spellStart"/>
      <w:r w:rsidRPr="008E7C4C">
        <w:rPr>
          <w:snapToGrid w:val="0"/>
        </w:rPr>
        <w:lastRenderedPageBreak/>
        <w:t>ILd</w:t>
      </w:r>
      <w:proofErr w:type="spellEnd"/>
      <w:r w:rsidRPr="008E7C4C">
        <w:rPr>
          <w:snapToGrid w:val="0"/>
        </w:rPr>
        <w:t xml:space="preserve"> = </w:t>
      </w:r>
      <w:proofErr w:type="spellStart"/>
      <w:r w:rsidRPr="008E7C4C">
        <w:rPr>
          <w:snapToGrid w:val="0"/>
        </w:rPr>
        <w:t>ixazomib</w:t>
      </w:r>
      <w:proofErr w:type="spellEnd"/>
      <w:r w:rsidR="008B58A6" w:rsidRPr="008E7C4C">
        <w:rPr>
          <w:snapToGrid w:val="0"/>
        </w:rPr>
        <w:t xml:space="preserve"> +</w:t>
      </w:r>
      <w:r w:rsidRPr="008E7C4C">
        <w:rPr>
          <w:snapToGrid w:val="0"/>
        </w:rPr>
        <w:t xml:space="preserve"> lenalidomide </w:t>
      </w:r>
      <w:r w:rsidR="008B58A6" w:rsidRPr="008E7C4C">
        <w:rPr>
          <w:snapToGrid w:val="0"/>
        </w:rPr>
        <w:t>+</w:t>
      </w:r>
      <w:r w:rsidRPr="008E7C4C">
        <w:rPr>
          <w:snapToGrid w:val="0"/>
        </w:rPr>
        <w:t xml:space="preserve"> dexamethasone; </w:t>
      </w:r>
      <w:proofErr w:type="spellStart"/>
      <w:r w:rsidRPr="008E7C4C">
        <w:rPr>
          <w:snapToGrid w:val="0"/>
        </w:rPr>
        <w:t>Ld</w:t>
      </w:r>
      <w:proofErr w:type="spellEnd"/>
      <w:r w:rsidRPr="008E7C4C">
        <w:rPr>
          <w:snapToGrid w:val="0"/>
        </w:rPr>
        <w:t xml:space="preserve"> = lenalidomide </w:t>
      </w:r>
      <w:r w:rsidR="008B58A6" w:rsidRPr="008E7C4C">
        <w:rPr>
          <w:snapToGrid w:val="0"/>
        </w:rPr>
        <w:t>+</w:t>
      </w:r>
      <w:r w:rsidRPr="008E7C4C">
        <w:rPr>
          <w:snapToGrid w:val="0"/>
        </w:rPr>
        <w:t xml:space="preserve"> dexamethasone.</w:t>
      </w:r>
    </w:p>
    <w:p w14:paraId="404C3619" w14:textId="77777777" w:rsidR="004D5A84" w:rsidRPr="008E7C4C" w:rsidRDefault="004D5A84" w:rsidP="003D4C51"/>
    <w:p w14:paraId="47D15D7F" w14:textId="339F90B8" w:rsidR="005E15C2" w:rsidRPr="008E7C4C" w:rsidRDefault="00CC25DE" w:rsidP="00157261">
      <w:pPr>
        <w:numPr>
          <w:ilvl w:val="1"/>
          <w:numId w:val="1"/>
        </w:numPr>
        <w:spacing w:after="120"/>
        <w:rPr>
          <w:rFonts w:asciiTheme="minorHAnsi" w:hAnsiTheme="minorHAnsi"/>
          <w:i/>
          <w:iCs/>
          <w:snapToGrid w:val="0"/>
        </w:rPr>
      </w:pPr>
      <w:r w:rsidRPr="008E7C4C">
        <w:rPr>
          <w:rFonts w:asciiTheme="minorHAnsi" w:hAnsiTheme="minorHAnsi"/>
          <w:snapToGrid w:val="0"/>
        </w:rPr>
        <w:t xml:space="preserve">The results of key univariate and multivariate sensitivity analyses are summarised in Table </w:t>
      </w:r>
      <w:r w:rsidR="007E51A8" w:rsidRPr="008E7C4C">
        <w:rPr>
          <w:rFonts w:asciiTheme="minorHAnsi" w:hAnsiTheme="minorHAnsi"/>
          <w:snapToGrid w:val="0"/>
        </w:rPr>
        <w:t>15</w:t>
      </w:r>
      <w:r w:rsidRPr="008E7C4C">
        <w:rPr>
          <w:rFonts w:asciiTheme="minorHAnsi" w:hAnsiTheme="minorHAnsi"/>
          <w:snapToGrid w:val="0"/>
        </w:rPr>
        <w:t xml:space="preserve">. </w:t>
      </w:r>
    </w:p>
    <w:p w14:paraId="33EA9C18" w14:textId="5DBBC173" w:rsidR="00CC25DE" w:rsidRPr="008E7C4C" w:rsidRDefault="00CC25DE" w:rsidP="00C04EB3">
      <w:pPr>
        <w:keepNext/>
        <w:rPr>
          <w:rFonts w:ascii="Arial Narrow" w:hAnsi="Arial Narrow"/>
          <w:b/>
          <w:snapToGrid w:val="0"/>
          <w:sz w:val="20"/>
        </w:rPr>
      </w:pPr>
      <w:r w:rsidRPr="008E7C4C">
        <w:rPr>
          <w:rFonts w:ascii="Arial Narrow" w:hAnsi="Arial Narrow"/>
          <w:b/>
          <w:snapToGrid w:val="0"/>
          <w:sz w:val="20"/>
        </w:rPr>
        <w:t xml:space="preserve">Table </w:t>
      </w:r>
      <w:r w:rsidR="007E51A8" w:rsidRPr="008E7C4C">
        <w:rPr>
          <w:rFonts w:ascii="Arial Narrow" w:hAnsi="Arial Narrow"/>
          <w:b/>
          <w:snapToGrid w:val="0"/>
          <w:sz w:val="20"/>
        </w:rPr>
        <w:t>15</w:t>
      </w:r>
      <w:r w:rsidRPr="008E7C4C">
        <w:rPr>
          <w:rFonts w:ascii="Arial Narrow" w:hAnsi="Arial Narrow"/>
          <w:b/>
          <w:snapToGrid w:val="0"/>
          <w:sz w:val="20"/>
        </w:rPr>
        <w:t>: Sensitivity analyses</w:t>
      </w:r>
    </w:p>
    <w:tbl>
      <w:tblPr>
        <w:tblStyle w:val="TableGrid"/>
        <w:tblW w:w="5000" w:type="pct"/>
        <w:tblLook w:val="04A0" w:firstRow="1" w:lastRow="0" w:firstColumn="1" w:lastColumn="0" w:noHBand="0" w:noVBand="1"/>
      </w:tblPr>
      <w:tblGrid>
        <w:gridCol w:w="3964"/>
        <w:gridCol w:w="1273"/>
        <w:gridCol w:w="1137"/>
        <w:gridCol w:w="1418"/>
        <w:gridCol w:w="1224"/>
      </w:tblGrid>
      <w:tr w:rsidR="00CC25DE" w:rsidRPr="008E7C4C" w14:paraId="0523814E" w14:textId="77777777" w:rsidTr="00C04EB3">
        <w:tc>
          <w:tcPr>
            <w:tcW w:w="3964" w:type="dxa"/>
            <w:vAlign w:val="center"/>
          </w:tcPr>
          <w:p w14:paraId="4A730768" w14:textId="77777777" w:rsidR="00CC25DE" w:rsidRPr="008E7C4C" w:rsidRDefault="00CC25DE" w:rsidP="00C04EB3">
            <w:pPr>
              <w:keepNext/>
              <w:jc w:val="left"/>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Description</w:t>
            </w:r>
          </w:p>
        </w:tc>
        <w:tc>
          <w:tcPr>
            <w:tcW w:w="1273" w:type="dxa"/>
            <w:vAlign w:val="center"/>
          </w:tcPr>
          <w:p w14:paraId="39EFED95" w14:textId="77777777" w:rsidR="00CC25DE" w:rsidRPr="008E7C4C" w:rsidRDefault="00CC25DE" w:rsidP="00C04EB3">
            <w:pPr>
              <w:keepNext/>
              <w:jc w:val="center"/>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Incremental cost</w:t>
            </w:r>
          </w:p>
        </w:tc>
        <w:tc>
          <w:tcPr>
            <w:tcW w:w="1137" w:type="dxa"/>
            <w:vAlign w:val="center"/>
          </w:tcPr>
          <w:p w14:paraId="447A4DF0" w14:textId="77777777" w:rsidR="00CC25DE" w:rsidRPr="008E7C4C" w:rsidRDefault="00CC25DE" w:rsidP="00C04EB3">
            <w:pPr>
              <w:keepNext/>
              <w:jc w:val="center"/>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Incremental QALY</w:t>
            </w:r>
          </w:p>
        </w:tc>
        <w:tc>
          <w:tcPr>
            <w:tcW w:w="1418" w:type="dxa"/>
            <w:vAlign w:val="center"/>
          </w:tcPr>
          <w:p w14:paraId="230CBDBE" w14:textId="0CF33682" w:rsidR="00CC25DE" w:rsidRPr="008E7C4C" w:rsidRDefault="00CC25DE" w:rsidP="00C04EB3">
            <w:pPr>
              <w:keepNext/>
              <w:jc w:val="center"/>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ICER</w:t>
            </w:r>
          </w:p>
        </w:tc>
        <w:tc>
          <w:tcPr>
            <w:tcW w:w="1224" w:type="dxa"/>
          </w:tcPr>
          <w:p w14:paraId="3AD7D56D" w14:textId="697EE3B4" w:rsidR="00CC25DE" w:rsidRPr="008E7C4C" w:rsidRDefault="00CC25DE" w:rsidP="00C04EB3">
            <w:pPr>
              <w:keepNext/>
              <w:jc w:val="center"/>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 xml:space="preserve">Change in ICER (%) </w:t>
            </w:r>
          </w:p>
        </w:tc>
      </w:tr>
      <w:tr w:rsidR="00CC25DE" w:rsidRPr="008E7C4C" w14:paraId="3D7A63DB" w14:textId="77777777" w:rsidTr="00C04EB3">
        <w:tc>
          <w:tcPr>
            <w:tcW w:w="3964" w:type="dxa"/>
          </w:tcPr>
          <w:p w14:paraId="3E24447C" w14:textId="77777777" w:rsidR="00CC25DE" w:rsidRPr="008E7C4C" w:rsidRDefault="00CC25DE" w:rsidP="00C04EB3">
            <w:pPr>
              <w:keepNext/>
              <w:jc w:val="left"/>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Base case</w:t>
            </w:r>
          </w:p>
        </w:tc>
        <w:tc>
          <w:tcPr>
            <w:tcW w:w="1273" w:type="dxa"/>
            <w:vAlign w:val="center"/>
          </w:tcPr>
          <w:p w14:paraId="106416E7" w14:textId="1839A43D" w:rsidR="00CC25DE" w:rsidRPr="008E7C4C" w:rsidRDefault="00CC25DE" w:rsidP="00C04EB3">
            <w:pPr>
              <w:keepNext/>
              <w:jc w:val="center"/>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w:t>
            </w:r>
            <w:r w:rsidR="00951174" w:rsidRPr="00951174">
              <w:rPr>
                <w:rFonts w:ascii="Arial Narrow" w:eastAsiaTheme="majorEastAsia" w:hAnsi="Arial Narrow" w:cstheme="majorBidi" w:hint="eastAsia"/>
                <w:b/>
                <w:color w:val="000000"/>
                <w:w w:val="26"/>
                <w:sz w:val="20"/>
                <w:szCs w:val="20"/>
                <w:shd w:val="solid" w:color="000000" w:fill="000000"/>
                <w:fitText w:val="120" w:id="-1502411520"/>
                <w14:textFill>
                  <w14:solidFill>
                    <w14:srgbClr w14:val="000000">
                      <w14:alpha w14:val="100000"/>
                    </w14:srgbClr>
                  </w14:solidFill>
                </w14:textFill>
              </w:rPr>
              <w:t xml:space="preserve">　</w:t>
            </w:r>
            <w:r w:rsidR="00951174" w:rsidRPr="00951174">
              <w:rPr>
                <w:rFonts w:ascii="Arial Narrow" w:eastAsiaTheme="majorEastAsia" w:hAnsi="Arial Narrow" w:cstheme="majorBidi"/>
                <w:b/>
                <w:color w:val="000000"/>
                <w:w w:val="26"/>
                <w:sz w:val="20"/>
                <w:szCs w:val="20"/>
                <w:shd w:val="solid" w:color="000000" w:fill="000000"/>
                <w:fitText w:val="120" w:id="-1502411520"/>
                <w14:textFill>
                  <w14:solidFill>
                    <w14:srgbClr w14:val="000000">
                      <w14:alpha w14:val="100000"/>
                    </w14:srgbClr>
                  </w14:solidFill>
                </w14:textFill>
              </w:rPr>
              <w:t>|</w:t>
            </w:r>
            <w:r w:rsidR="00951174" w:rsidRPr="00951174">
              <w:rPr>
                <w:rFonts w:ascii="Arial Narrow" w:eastAsiaTheme="majorEastAsia" w:hAnsi="Arial Narrow" w:cstheme="majorBidi" w:hint="eastAsia"/>
                <w:b/>
                <w:color w:val="000000"/>
                <w:spacing w:val="4"/>
                <w:w w:val="26"/>
                <w:sz w:val="20"/>
                <w:szCs w:val="20"/>
                <w:shd w:val="solid" w:color="000000" w:fill="000000"/>
                <w:fitText w:val="120" w:id="-1502411520"/>
                <w14:textFill>
                  <w14:solidFill>
                    <w14:srgbClr w14:val="000000">
                      <w14:alpha w14:val="100000"/>
                    </w14:srgbClr>
                  </w14:solidFill>
                </w14:textFill>
              </w:rPr>
              <w:t xml:space="preserve">　</w:t>
            </w:r>
          </w:p>
        </w:tc>
        <w:tc>
          <w:tcPr>
            <w:tcW w:w="1137" w:type="dxa"/>
            <w:vAlign w:val="center"/>
          </w:tcPr>
          <w:p w14:paraId="6ACF44D4" w14:textId="77777777" w:rsidR="00CC25DE" w:rsidRPr="008E7C4C" w:rsidRDefault="00CC25DE" w:rsidP="00C04EB3">
            <w:pPr>
              <w:keepNext/>
              <w:jc w:val="center"/>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0.66</w:t>
            </w:r>
          </w:p>
        </w:tc>
        <w:tc>
          <w:tcPr>
            <w:tcW w:w="1418" w:type="dxa"/>
            <w:vAlign w:val="center"/>
          </w:tcPr>
          <w:p w14:paraId="2C90599A" w14:textId="31D73ED5" w:rsidR="00CC25DE" w:rsidRPr="0057612F" w:rsidRDefault="00CC25DE" w:rsidP="00C04EB3">
            <w:pPr>
              <w:keepNext/>
              <w:jc w:val="center"/>
              <w:rPr>
                <w:rFonts w:ascii="Arial Narrow" w:eastAsiaTheme="majorEastAsia" w:hAnsi="Arial Narrow" w:cstheme="majorBidi"/>
                <w:b/>
                <w:sz w:val="20"/>
                <w:szCs w:val="20"/>
                <w:vertAlign w:val="superscript"/>
              </w:rPr>
            </w:pPr>
            <w:r w:rsidRPr="008E7C4C">
              <w:rPr>
                <w:rFonts w:ascii="Arial Narrow" w:eastAsiaTheme="majorEastAsia" w:hAnsi="Arial Narrow" w:cstheme="majorBidi"/>
                <w:b/>
                <w:sz w:val="20"/>
                <w:szCs w:val="20"/>
              </w:rPr>
              <w:t>$</w:t>
            </w:r>
            <w:r w:rsidR="00951174" w:rsidRPr="00951174">
              <w:rPr>
                <w:rFonts w:ascii="Arial Narrow" w:eastAsiaTheme="majorEastAsia" w:hAnsi="Arial Narrow" w:cstheme="majorBidi" w:hint="eastAsia"/>
                <w:b/>
                <w:color w:val="000000"/>
                <w:w w:val="16"/>
                <w:sz w:val="20"/>
                <w:szCs w:val="20"/>
                <w:shd w:val="solid" w:color="000000" w:fill="000000"/>
                <w:fitText w:val="75" w:id="-1502411519"/>
                <w14:textFill>
                  <w14:solidFill>
                    <w14:srgbClr w14:val="000000">
                      <w14:alpha w14:val="100000"/>
                    </w14:srgbClr>
                  </w14:solidFill>
                </w14:textFill>
              </w:rPr>
              <w:t xml:space="preserve">　</w:t>
            </w:r>
            <w:r w:rsidR="00951174" w:rsidRPr="00951174">
              <w:rPr>
                <w:rFonts w:ascii="Arial Narrow" w:eastAsiaTheme="majorEastAsia" w:hAnsi="Arial Narrow" w:cstheme="majorBidi"/>
                <w:b/>
                <w:color w:val="000000"/>
                <w:w w:val="16"/>
                <w:sz w:val="20"/>
                <w:szCs w:val="20"/>
                <w:shd w:val="solid" w:color="000000" w:fill="000000"/>
                <w:fitText w:val="75" w:id="-1502411519"/>
                <w14:textFill>
                  <w14:solidFill>
                    <w14:srgbClr w14:val="000000">
                      <w14:alpha w14:val="100000"/>
                    </w14:srgbClr>
                  </w14:solidFill>
                </w14:textFill>
              </w:rPr>
              <w:t>|</w:t>
            </w:r>
            <w:r w:rsidR="00951174" w:rsidRPr="00951174">
              <w:rPr>
                <w:rFonts w:ascii="Arial Narrow" w:eastAsiaTheme="majorEastAsia" w:hAnsi="Arial Narrow" w:cstheme="majorBidi" w:hint="eastAsia"/>
                <w:b/>
                <w:color w:val="000000"/>
                <w:spacing w:val="5"/>
                <w:w w:val="16"/>
                <w:sz w:val="20"/>
                <w:szCs w:val="20"/>
                <w:shd w:val="solid" w:color="000000" w:fill="000000"/>
                <w:fitText w:val="75" w:id="-1502411519"/>
                <w14:textFill>
                  <w14:solidFill>
                    <w14:srgbClr w14:val="000000">
                      <w14:alpha w14:val="100000"/>
                    </w14:srgbClr>
                  </w14:solidFill>
                </w14:textFill>
              </w:rPr>
              <w:t xml:space="preserve">　</w:t>
            </w:r>
            <w:r w:rsidR="0057612F">
              <w:rPr>
                <w:rFonts w:ascii="Arial Narrow" w:eastAsiaTheme="majorEastAsia" w:hAnsi="Arial Narrow" w:cstheme="majorBidi"/>
                <w:b/>
                <w:sz w:val="20"/>
                <w:szCs w:val="20"/>
                <w:vertAlign w:val="superscript"/>
              </w:rPr>
              <w:t>1</w:t>
            </w:r>
          </w:p>
        </w:tc>
        <w:tc>
          <w:tcPr>
            <w:tcW w:w="1224" w:type="dxa"/>
            <w:vAlign w:val="center"/>
          </w:tcPr>
          <w:p w14:paraId="38CA21AB" w14:textId="444126A3" w:rsidR="00CC25DE" w:rsidRPr="008E7C4C" w:rsidRDefault="008B58A6" w:rsidP="00C04EB3">
            <w:pPr>
              <w:keepNext/>
              <w:jc w:val="center"/>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w:t>
            </w:r>
          </w:p>
        </w:tc>
      </w:tr>
      <w:tr w:rsidR="00CC25DE" w:rsidRPr="008E7C4C" w14:paraId="3C3617E7" w14:textId="77777777" w:rsidTr="006D7D90">
        <w:tc>
          <w:tcPr>
            <w:tcW w:w="9016" w:type="dxa"/>
            <w:gridSpan w:val="5"/>
          </w:tcPr>
          <w:p w14:paraId="1B558E05" w14:textId="77777777" w:rsidR="00CC25DE" w:rsidRPr="008E7C4C" w:rsidRDefault="00CC25DE" w:rsidP="00C04EB3">
            <w:pPr>
              <w:keepNext/>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Univariate sensitivity analysis</w:t>
            </w:r>
          </w:p>
        </w:tc>
      </w:tr>
      <w:tr w:rsidR="00C13472" w:rsidRPr="008E7C4C" w14:paraId="66B5E070" w14:textId="77777777" w:rsidTr="006D7D90">
        <w:tc>
          <w:tcPr>
            <w:tcW w:w="9016" w:type="dxa"/>
            <w:gridSpan w:val="5"/>
          </w:tcPr>
          <w:p w14:paraId="023FDAB4" w14:textId="77777777" w:rsidR="00C13472" w:rsidRPr="008E7C4C" w:rsidRDefault="00C13472" w:rsidP="00C04EB3">
            <w:pPr>
              <w:keepNext/>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Discount rate (base case = 5%)</w:t>
            </w:r>
          </w:p>
        </w:tc>
      </w:tr>
      <w:tr w:rsidR="00C13472" w:rsidRPr="008E7C4C" w14:paraId="35963574" w14:textId="77777777" w:rsidTr="00C04EB3">
        <w:tc>
          <w:tcPr>
            <w:tcW w:w="3964" w:type="dxa"/>
          </w:tcPr>
          <w:p w14:paraId="6A70199B" w14:textId="77777777" w:rsidR="00C13472" w:rsidRPr="008E7C4C" w:rsidRDefault="00C13472"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  3.5%</w:t>
            </w:r>
          </w:p>
        </w:tc>
        <w:tc>
          <w:tcPr>
            <w:tcW w:w="1273" w:type="dxa"/>
            <w:vAlign w:val="center"/>
          </w:tcPr>
          <w:p w14:paraId="699335E2" w14:textId="50C31689" w:rsidR="00C13472" w:rsidRPr="008E7C4C" w:rsidRDefault="00A879D8"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18"/>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18"/>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18"/>
                <w14:textFill>
                  <w14:solidFill>
                    <w14:srgbClr w14:val="000000">
                      <w14:alpha w14:val="100000"/>
                    </w14:srgbClr>
                  </w14:solidFill>
                </w14:textFill>
              </w:rPr>
              <w:t xml:space="preserve">　</w:t>
            </w:r>
          </w:p>
        </w:tc>
        <w:tc>
          <w:tcPr>
            <w:tcW w:w="1137" w:type="dxa"/>
            <w:vAlign w:val="center"/>
          </w:tcPr>
          <w:p w14:paraId="4F87127E" w14:textId="77777777" w:rsidR="00C13472" w:rsidRPr="008E7C4C" w:rsidRDefault="00A879D8"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0.72</w:t>
            </w:r>
          </w:p>
        </w:tc>
        <w:tc>
          <w:tcPr>
            <w:tcW w:w="1418" w:type="dxa"/>
            <w:vAlign w:val="center"/>
          </w:tcPr>
          <w:p w14:paraId="0BDD3B20" w14:textId="102C5097" w:rsidR="00C13472" w:rsidRPr="0057612F" w:rsidRDefault="00A879D8" w:rsidP="00C04EB3">
            <w:pPr>
              <w:keepNext/>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17"/>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17"/>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17"/>
                <w14:textFill>
                  <w14:solidFill>
                    <w14:srgbClr w14:val="000000">
                      <w14:alpha w14:val="100000"/>
                    </w14:srgbClr>
                  </w14:solidFill>
                </w14:textFill>
              </w:rPr>
              <w:t xml:space="preserve">　</w:t>
            </w:r>
            <w:r w:rsidR="0057612F">
              <w:rPr>
                <w:rFonts w:ascii="Arial Narrow" w:eastAsiaTheme="majorEastAsia" w:hAnsi="Arial Narrow" w:cstheme="majorBidi"/>
                <w:bCs/>
                <w:sz w:val="20"/>
                <w:szCs w:val="20"/>
                <w:vertAlign w:val="superscript"/>
              </w:rPr>
              <w:t>1</w:t>
            </w:r>
          </w:p>
        </w:tc>
        <w:tc>
          <w:tcPr>
            <w:tcW w:w="1224" w:type="dxa"/>
            <w:shd w:val="clear" w:color="auto" w:fill="auto"/>
            <w:vAlign w:val="center"/>
          </w:tcPr>
          <w:p w14:paraId="4131FBD0" w14:textId="39F298E0" w:rsidR="00C13472" w:rsidRPr="008E7C4C" w:rsidRDefault="00A15DC9" w:rsidP="00C04EB3">
            <w:pPr>
              <w:keepNext/>
              <w:jc w:val="center"/>
              <w:rPr>
                <w:rFonts w:ascii="Arial Narrow" w:hAnsi="Arial Narrow" w:cs="Calibri"/>
                <w:color w:val="000000"/>
                <w:sz w:val="20"/>
                <w:szCs w:val="20"/>
              </w:rPr>
            </w:pPr>
            <w:r w:rsidRPr="008E7C4C">
              <w:rPr>
                <w:rFonts w:ascii="Arial Narrow" w:hAnsi="Arial Narrow" w:cs="Calibri"/>
                <w:color w:val="000000"/>
                <w:sz w:val="20"/>
                <w:szCs w:val="20"/>
              </w:rPr>
              <w:t>-4%</w:t>
            </w:r>
          </w:p>
        </w:tc>
      </w:tr>
      <w:tr w:rsidR="00CC25DE" w:rsidRPr="008E7C4C" w14:paraId="57470C1E" w14:textId="77777777" w:rsidTr="00C04EB3">
        <w:tc>
          <w:tcPr>
            <w:tcW w:w="3964" w:type="dxa"/>
          </w:tcPr>
          <w:p w14:paraId="5E8D6347" w14:textId="36ED4B6D" w:rsidR="00CC25DE" w:rsidRPr="008E7C4C" w:rsidRDefault="00C13472"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  </w:t>
            </w:r>
            <w:r w:rsidR="00CC25DE" w:rsidRPr="008E7C4C">
              <w:rPr>
                <w:rFonts w:ascii="Arial Narrow" w:eastAsiaTheme="majorEastAsia" w:hAnsi="Arial Narrow" w:cstheme="majorBidi"/>
                <w:bCs/>
                <w:sz w:val="20"/>
                <w:szCs w:val="20"/>
              </w:rPr>
              <w:t>0%</w:t>
            </w:r>
          </w:p>
        </w:tc>
        <w:tc>
          <w:tcPr>
            <w:tcW w:w="1273" w:type="dxa"/>
            <w:vAlign w:val="center"/>
          </w:tcPr>
          <w:p w14:paraId="71268736" w14:textId="106BF725"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16"/>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16"/>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16"/>
                <w14:textFill>
                  <w14:solidFill>
                    <w14:srgbClr w14:val="000000">
                      <w14:alpha w14:val="100000"/>
                    </w14:srgbClr>
                  </w14:solidFill>
                </w14:textFill>
              </w:rPr>
              <w:t xml:space="preserve">　</w:t>
            </w:r>
          </w:p>
        </w:tc>
        <w:tc>
          <w:tcPr>
            <w:tcW w:w="1137" w:type="dxa"/>
            <w:vAlign w:val="center"/>
          </w:tcPr>
          <w:p w14:paraId="6E1E1C73"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0.91</w:t>
            </w:r>
          </w:p>
        </w:tc>
        <w:tc>
          <w:tcPr>
            <w:tcW w:w="1418" w:type="dxa"/>
            <w:vAlign w:val="center"/>
          </w:tcPr>
          <w:p w14:paraId="14364F1B" w14:textId="6B0418E1" w:rsidR="00CC25DE" w:rsidRPr="0057612F" w:rsidRDefault="00CC25DE" w:rsidP="00C04EB3">
            <w:pPr>
              <w:keepNext/>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15"/>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15"/>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15"/>
                <w14:textFill>
                  <w14:solidFill>
                    <w14:srgbClr w14:val="000000">
                      <w14:alpha w14:val="100000"/>
                    </w14:srgbClr>
                  </w14:solidFill>
                </w14:textFill>
              </w:rPr>
              <w:t xml:space="preserve">　</w:t>
            </w:r>
            <w:r w:rsidR="0057612F">
              <w:rPr>
                <w:rFonts w:ascii="Arial Narrow" w:eastAsiaTheme="majorEastAsia" w:hAnsi="Arial Narrow" w:cstheme="majorBidi"/>
                <w:bCs/>
                <w:sz w:val="20"/>
                <w:szCs w:val="20"/>
                <w:vertAlign w:val="superscript"/>
              </w:rPr>
              <w:t>1</w:t>
            </w:r>
          </w:p>
        </w:tc>
        <w:tc>
          <w:tcPr>
            <w:tcW w:w="1224" w:type="dxa"/>
            <w:shd w:val="clear" w:color="auto" w:fill="auto"/>
            <w:vAlign w:val="center"/>
          </w:tcPr>
          <w:p w14:paraId="028584DF"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hAnsi="Arial Narrow" w:cs="Calibri"/>
                <w:color w:val="000000"/>
                <w:sz w:val="20"/>
                <w:szCs w:val="20"/>
              </w:rPr>
              <w:t>-13%</w:t>
            </w:r>
          </w:p>
        </w:tc>
      </w:tr>
      <w:tr w:rsidR="00C13472" w:rsidRPr="008E7C4C" w14:paraId="742A4850" w14:textId="77777777" w:rsidTr="00043AC6">
        <w:tc>
          <w:tcPr>
            <w:tcW w:w="9016" w:type="dxa"/>
            <w:gridSpan w:val="5"/>
          </w:tcPr>
          <w:p w14:paraId="5BA8C213" w14:textId="77777777" w:rsidR="00C13472" w:rsidRPr="008E7C4C" w:rsidRDefault="00C13472" w:rsidP="00C04EB3">
            <w:pPr>
              <w:keepNext/>
              <w:jc w:val="left"/>
              <w:rPr>
                <w:rFonts w:ascii="Arial Narrow" w:hAnsi="Arial Narrow" w:cs="Calibri"/>
                <w:b/>
                <w:bCs/>
                <w:color w:val="000000"/>
                <w:sz w:val="20"/>
                <w:szCs w:val="20"/>
              </w:rPr>
            </w:pPr>
            <w:r w:rsidRPr="008E7C4C">
              <w:rPr>
                <w:rFonts w:ascii="Arial Narrow" w:hAnsi="Arial Narrow" w:cs="Calibri"/>
                <w:b/>
                <w:bCs/>
                <w:color w:val="000000"/>
                <w:sz w:val="20"/>
                <w:szCs w:val="20"/>
              </w:rPr>
              <w:t>Time horizon (base case = 20 years)</w:t>
            </w:r>
          </w:p>
        </w:tc>
      </w:tr>
      <w:tr w:rsidR="00CC25DE" w:rsidRPr="008E7C4C" w14:paraId="6A17AE60" w14:textId="77777777" w:rsidTr="00C04EB3">
        <w:tc>
          <w:tcPr>
            <w:tcW w:w="3964" w:type="dxa"/>
          </w:tcPr>
          <w:p w14:paraId="1525171B" w14:textId="3BC445C5" w:rsidR="00CC25DE" w:rsidRPr="008E7C4C" w:rsidRDefault="00C13472"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  </w:t>
            </w:r>
            <w:r w:rsidR="00CC25DE" w:rsidRPr="008E7C4C">
              <w:rPr>
                <w:rFonts w:ascii="Arial Narrow" w:eastAsiaTheme="majorEastAsia" w:hAnsi="Arial Narrow" w:cstheme="majorBidi"/>
                <w:bCs/>
                <w:sz w:val="20"/>
                <w:szCs w:val="20"/>
              </w:rPr>
              <w:t>10 years</w:t>
            </w:r>
          </w:p>
        </w:tc>
        <w:tc>
          <w:tcPr>
            <w:tcW w:w="1273" w:type="dxa"/>
            <w:vAlign w:val="center"/>
          </w:tcPr>
          <w:p w14:paraId="4AF42BF8" w14:textId="377FBEE3"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14"/>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14"/>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14"/>
                <w14:textFill>
                  <w14:solidFill>
                    <w14:srgbClr w14:val="000000">
                      <w14:alpha w14:val="100000"/>
                    </w14:srgbClr>
                  </w14:solidFill>
                </w14:textFill>
              </w:rPr>
              <w:t xml:space="preserve">　</w:t>
            </w:r>
          </w:p>
        </w:tc>
        <w:tc>
          <w:tcPr>
            <w:tcW w:w="1137" w:type="dxa"/>
            <w:vAlign w:val="center"/>
          </w:tcPr>
          <w:p w14:paraId="144795AC"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0.53</w:t>
            </w:r>
          </w:p>
        </w:tc>
        <w:tc>
          <w:tcPr>
            <w:tcW w:w="1418" w:type="dxa"/>
            <w:vAlign w:val="center"/>
          </w:tcPr>
          <w:p w14:paraId="1945B364" w14:textId="60038D4D" w:rsidR="00CC25DE" w:rsidRPr="001C50BB" w:rsidRDefault="00CC25DE" w:rsidP="00C04EB3">
            <w:pPr>
              <w:keepNext/>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13"/>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13"/>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13"/>
                <w14:textFill>
                  <w14:solidFill>
                    <w14:srgbClr w14:val="000000">
                      <w14:alpha w14:val="100000"/>
                    </w14:srgbClr>
                  </w14:solidFill>
                </w14:textFill>
              </w:rPr>
              <w:t xml:space="preserve">　</w:t>
            </w:r>
            <w:r w:rsidR="001C50BB">
              <w:rPr>
                <w:rFonts w:ascii="Arial Narrow" w:eastAsiaTheme="majorEastAsia" w:hAnsi="Arial Narrow" w:cstheme="majorBidi"/>
                <w:bCs/>
                <w:sz w:val="20"/>
                <w:szCs w:val="20"/>
                <w:vertAlign w:val="superscript"/>
              </w:rPr>
              <w:t>2</w:t>
            </w:r>
          </w:p>
        </w:tc>
        <w:tc>
          <w:tcPr>
            <w:tcW w:w="1224" w:type="dxa"/>
            <w:shd w:val="clear" w:color="auto" w:fill="auto"/>
            <w:vAlign w:val="center"/>
          </w:tcPr>
          <w:p w14:paraId="21FFB6E2" w14:textId="77777777" w:rsidR="00CC25DE" w:rsidRPr="008E7C4C" w:rsidRDefault="00CC25DE" w:rsidP="00C04EB3">
            <w:pPr>
              <w:keepNext/>
              <w:jc w:val="center"/>
              <w:rPr>
                <w:rFonts w:ascii="Arial Narrow" w:hAnsi="Arial Narrow" w:cs="Calibri"/>
                <w:color w:val="000000"/>
                <w:sz w:val="20"/>
                <w:szCs w:val="20"/>
              </w:rPr>
            </w:pPr>
            <w:r w:rsidRPr="008E7C4C">
              <w:rPr>
                <w:rFonts w:ascii="Arial Narrow" w:hAnsi="Arial Narrow" w:cs="Calibri"/>
                <w:color w:val="000000"/>
                <w:sz w:val="20"/>
                <w:szCs w:val="20"/>
              </w:rPr>
              <w:t>24%</w:t>
            </w:r>
          </w:p>
        </w:tc>
      </w:tr>
      <w:tr w:rsidR="00CC25DE" w:rsidRPr="008E7C4C" w14:paraId="3D636B61" w14:textId="77777777" w:rsidTr="00C04EB3">
        <w:tc>
          <w:tcPr>
            <w:tcW w:w="3964" w:type="dxa"/>
          </w:tcPr>
          <w:p w14:paraId="29899482" w14:textId="3E6D8D68" w:rsidR="00CC25DE" w:rsidRPr="008E7C4C" w:rsidRDefault="00C13472"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  </w:t>
            </w:r>
            <w:r w:rsidR="00CC25DE" w:rsidRPr="008E7C4C">
              <w:rPr>
                <w:rFonts w:ascii="Arial Narrow" w:eastAsiaTheme="majorEastAsia" w:hAnsi="Arial Narrow" w:cstheme="majorBidi"/>
                <w:bCs/>
                <w:sz w:val="20"/>
                <w:szCs w:val="20"/>
              </w:rPr>
              <w:t>15 years</w:t>
            </w:r>
          </w:p>
        </w:tc>
        <w:tc>
          <w:tcPr>
            <w:tcW w:w="1273" w:type="dxa"/>
            <w:vAlign w:val="center"/>
          </w:tcPr>
          <w:p w14:paraId="1E130DD4" w14:textId="2F6956C9"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12"/>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12"/>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12"/>
                <w14:textFill>
                  <w14:solidFill>
                    <w14:srgbClr w14:val="000000">
                      <w14:alpha w14:val="100000"/>
                    </w14:srgbClr>
                  </w14:solidFill>
                </w14:textFill>
              </w:rPr>
              <w:t xml:space="preserve">　</w:t>
            </w:r>
          </w:p>
        </w:tc>
        <w:tc>
          <w:tcPr>
            <w:tcW w:w="1137" w:type="dxa"/>
            <w:vAlign w:val="center"/>
          </w:tcPr>
          <w:p w14:paraId="5C06463F"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0.63</w:t>
            </w:r>
          </w:p>
        </w:tc>
        <w:tc>
          <w:tcPr>
            <w:tcW w:w="1418" w:type="dxa"/>
            <w:vAlign w:val="center"/>
          </w:tcPr>
          <w:p w14:paraId="77C1BC9E" w14:textId="2321964E" w:rsidR="00CC25DE" w:rsidRPr="0057612F" w:rsidRDefault="00CC25DE" w:rsidP="00C04EB3">
            <w:pPr>
              <w:keepNext/>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11"/>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11"/>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11"/>
                <w14:textFill>
                  <w14:solidFill>
                    <w14:srgbClr w14:val="000000">
                      <w14:alpha w14:val="100000"/>
                    </w14:srgbClr>
                  </w14:solidFill>
                </w14:textFill>
              </w:rPr>
              <w:t xml:space="preserve">　</w:t>
            </w:r>
            <w:r w:rsidR="0057612F">
              <w:rPr>
                <w:rFonts w:ascii="Arial Narrow" w:eastAsiaTheme="majorEastAsia" w:hAnsi="Arial Narrow" w:cstheme="majorBidi"/>
                <w:bCs/>
                <w:sz w:val="20"/>
                <w:szCs w:val="20"/>
                <w:vertAlign w:val="superscript"/>
              </w:rPr>
              <w:t>1</w:t>
            </w:r>
          </w:p>
        </w:tc>
        <w:tc>
          <w:tcPr>
            <w:tcW w:w="1224" w:type="dxa"/>
            <w:shd w:val="clear" w:color="auto" w:fill="auto"/>
            <w:vAlign w:val="center"/>
          </w:tcPr>
          <w:p w14:paraId="5E6E0284"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hAnsi="Arial Narrow" w:cs="Calibri"/>
                <w:color w:val="000000"/>
                <w:sz w:val="20"/>
                <w:szCs w:val="20"/>
              </w:rPr>
              <w:t>5%</w:t>
            </w:r>
          </w:p>
        </w:tc>
      </w:tr>
      <w:tr w:rsidR="00C13472" w:rsidRPr="008E7C4C" w14:paraId="4D25C958" w14:textId="77777777" w:rsidTr="00043AC6">
        <w:tc>
          <w:tcPr>
            <w:tcW w:w="9016" w:type="dxa"/>
            <w:gridSpan w:val="5"/>
          </w:tcPr>
          <w:p w14:paraId="547FFD50" w14:textId="77777777" w:rsidR="00C13472" w:rsidRPr="008E7C4C" w:rsidDel="00C13472" w:rsidRDefault="00C13472" w:rsidP="00C04EB3">
            <w:pPr>
              <w:keepNext/>
              <w:jc w:val="left"/>
              <w:rPr>
                <w:rFonts w:ascii="Arial Narrow" w:hAnsi="Arial Narrow" w:cs="Calibri"/>
                <w:b/>
                <w:color w:val="000000"/>
                <w:sz w:val="20"/>
                <w:szCs w:val="20"/>
              </w:rPr>
            </w:pPr>
            <w:r w:rsidRPr="008E7C4C">
              <w:rPr>
                <w:rFonts w:ascii="Arial Narrow" w:eastAsiaTheme="majorEastAsia" w:hAnsi="Arial Narrow" w:cstheme="majorBidi"/>
                <w:b/>
                <w:sz w:val="20"/>
                <w:szCs w:val="20"/>
              </w:rPr>
              <w:t xml:space="preserve">OS </w:t>
            </w:r>
            <w:r w:rsidR="002E18DF" w:rsidRPr="008E7C4C">
              <w:rPr>
                <w:rFonts w:ascii="Arial Narrow" w:eastAsiaTheme="majorEastAsia" w:hAnsi="Arial Narrow" w:cstheme="majorBidi"/>
                <w:b/>
                <w:sz w:val="20"/>
                <w:szCs w:val="20"/>
              </w:rPr>
              <w:t xml:space="preserve">HR </w:t>
            </w:r>
            <w:r w:rsidRPr="008E7C4C">
              <w:rPr>
                <w:rFonts w:ascii="Arial Narrow" w:eastAsiaTheme="majorEastAsia" w:hAnsi="Arial Narrow" w:cstheme="majorBidi"/>
                <w:b/>
                <w:sz w:val="20"/>
                <w:szCs w:val="20"/>
              </w:rPr>
              <w:t xml:space="preserve">(base case = </w:t>
            </w:r>
            <w:r w:rsidR="002E18DF" w:rsidRPr="008E7C4C">
              <w:rPr>
                <w:rFonts w:ascii="Arial Narrow" w:eastAsiaTheme="majorEastAsia" w:hAnsi="Arial Narrow" w:cstheme="majorBidi"/>
                <w:b/>
                <w:sz w:val="20"/>
                <w:szCs w:val="20"/>
              </w:rPr>
              <w:t xml:space="preserve">0.713; </w:t>
            </w:r>
            <w:r w:rsidRPr="008E7C4C">
              <w:rPr>
                <w:rFonts w:ascii="Arial Narrow" w:eastAsiaTheme="majorEastAsia" w:hAnsi="Arial Narrow" w:cstheme="majorBidi"/>
                <w:b/>
                <w:sz w:val="20"/>
                <w:szCs w:val="20"/>
              </w:rPr>
              <w:t>adjusted using the two-stage method)</w:t>
            </w:r>
          </w:p>
        </w:tc>
      </w:tr>
      <w:tr w:rsidR="00FC5247" w:rsidRPr="008E7C4C" w14:paraId="3BAAE923" w14:textId="77777777" w:rsidTr="00C04EB3">
        <w:tc>
          <w:tcPr>
            <w:tcW w:w="3964" w:type="dxa"/>
          </w:tcPr>
          <w:p w14:paraId="3DAA024C" w14:textId="79967336" w:rsidR="00FC5247" w:rsidRPr="008E7C4C" w:rsidRDefault="00FC5247"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  HR = 0.845 (unadjusted)</w:t>
            </w:r>
          </w:p>
        </w:tc>
        <w:tc>
          <w:tcPr>
            <w:tcW w:w="1273" w:type="dxa"/>
          </w:tcPr>
          <w:p w14:paraId="3E26E278" w14:textId="25877104" w:rsidR="00FC5247" w:rsidRPr="008E7C4C" w:rsidRDefault="00FC5247" w:rsidP="00C04EB3">
            <w:pPr>
              <w:keepNext/>
              <w:jc w:val="center"/>
              <w:rPr>
                <w:rFonts w:ascii="Arial Narrow" w:eastAsiaTheme="majorEastAsia" w:hAnsi="Arial Narrow" w:cstheme="majorBidi"/>
                <w:bCs/>
                <w:sz w:val="20"/>
                <w:szCs w:val="20"/>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60" w:id="-1502411510"/>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60" w:id="-1502411510"/>
                <w14:textFill>
                  <w14:solidFill>
                    <w14:srgbClr w14:val="000000">
                      <w14:alpha w14:val="100000"/>
                    </w14:srgbClr>
                  </w14:solidFill>
                </w14:textFill>
              </w:rPr>
              <w:t>|</w:t>
            </w:r>
            <w:r w:rsidR="00951174" w:rsidRPr="00951174">
              <w:rPr>
                <w:rFonts w:ascii="Arial Narrow" w:hAnsi="Arial Narrow" w:hint="eastAsia"/>
                <w:color w:val="000000"/>
                <w:spacing w:val="-5"/>
                <w:w w:val="15"/>
                <w:sz w:val="20"/>
                <w:szCs w:val="20"/>
                <w:shd w:val="solid" w:color="000000" w:fill="000000"/>
                <w:fitText w:val="60" w:id="-1502411510"/>
                <w14:textFill>
                  <w14:solidFill>
                    <w14:srgbClr w14:val="000000">
                      <w14:alpha w14:val="100000"/>
                    </w14:srgbClr>
                  </w14:solidFill>
                </w14:textFill>
              </w:rPr>
              <w:t xml:space="preserve">　</w:t>
            </w:r>
          </w:p>
        </w:tc>
        <w:tc>
          <w:tcPr>
            <w:tcW w:w="1137" w:type="dxa"/>
          </w:tcPr>
          <w:p w14:paraId="74CAECA8" w14:textId="3DE62B44" w:rsidR="00FC5247" w:rsidRPr="008E7C4C" w:rsidRDefault="00FC5247" w:rsidP="00C04EB3">
            <w:pPr>
              <w:keepNext/>
              <w:jc w:val="center"/>
              <w:rPr>
                <w:rFonts w:ascii="Arial Narrow" w:eastAsiaTheme="majorEastAsia" w:hAnsi="Arial Narrow" w:cstheme="majorBidi"/>
                <w:bCs/>
                <w:sz w:val="20"/>
                <w:szCs w:val="20"/>
              </w:rPr>
            </w:pPr>
            <w:r w:rsidRPr="008E7C4C">
              <w:rPr>
                <w:rFonts w:ascii="Arial Narrow" w:hAnsi="Arial Narrow"/>
                <w:sz w:val="20"/>
                <w:szCs w:val="20"/>
              </w:rPr>
              <w:t>0.57</w:t>
            </w:r>
          </w:p>
        </w:tc>
        <w:tc>
          <w:tcPr>
            <w:tcW w:w="1418" w:type="dxa"/>
          </w:tcPr>
          <w:p w14:paraId="27E5EBC8" w14:textId="7C0C7EB3" w:rsidR="00FC5247" w:rsidRPr="001C50BB" w:rsidRDefault="00FC5247" w:rsidP="00C04EB3">
            <w:pPr>
              <w:keepNext/>
              <w:jc w:val="center"/>
              <w:rPr>
                <w:rFonts w:ascii="Arial Narrow" w:eastAsiaTheme="majorEastAsia" w:hAnsi="Arial Narrow" w:cstheme="majorBidi"/>
                <w:bCs/>
                <w:sz w:val="20"/>
                <w:szCs w:val="20"/>
                <w:vertAlign w:val="superscript"/>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30" w:id="-1502411509"/>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30" w:id="-1502411509"/>
                <w14:textFill>
                  <w14:solidFill>
                    <w14:srgbClr w14:val="000000">
                      <w14:alpha w14:val="100000"/>
                    </w14:srgbClr>
                  </w14:solidFill>
                </w14:textFill>
              </w:rPr>
              <w:t>|</w:t>
            </w:r>
            <w:r w:rsidR="00951174" w:rsidRPr="00951174">
              <w:rPr>
                <w:rFonts w:ascii="Arial Narrow" w:hAnsi="Arial Narrow" w:hint="eastAsia"/>
                <w:color w:val="000000"/>
                <w:spacing w:val="-35"/>
                <w:w w:val="15"/>
                <w:sz w:val="20"/>
                <w:szCs w:val="20"/>
                <w:shd w:val="solid" w:color="000000" w:fill="000000"/>
                <w:fitText w:val="30" w:id="-1502411509"/>
                <w14:textFill>
                  <w14:solidFill>
                    <w14:srgbClr w14:val="000000">
                      <w14:alpha w14:val="100000"/>
                    </w14:srgbClr>
                  </w14:solidFill>
                </w14:textFill>
              </w:rPr>
              <w:t xml:space="preserve">　</w:t>
            </w:r>
            <w:r w:rsidR="001C50BB">
              <w:rPr>
                <w:rFonts w:ascii="Arial Narrow" w:hAnsi="Arial Narrow"/>
                <w:sz w:val="20"/>
                <w:szCs w:val="20"/>
                <w:vertAlign w:val="superscript"/>
              </w:rPr>
              <w:t>2</w:t>
            </w:r>
          </w:p>
        </w:tc>
        <w:tc>
          <w:tcPr>
            <w:tcW w:w="1224" w:type="dxa"/>
            <w:shd w:val="clear" w:color="auto" w:fill="auto"/>
          </w:tcPr>
          <w:p w14:paraId="3A933026" w14:textId="7A78CAE8" w:rsidR="00FC5247" w:rsidRPr="008E7C4C" w:rsidRDefault="00FC5247" w:rsidP="00C04EB3">
            <w:pPr>
              <w:keepNext/>
              <w:jc w:val="center"/>
              <w:rPr>
                <w:rFonts w:ascii="Arial Narrow" w:eastAsiaTheme="majorEastAsia" w:hAnsi="Arial Narrow" w:cstheme="majorBidi"/>
                <w:bCs/>
                <w:sz w:val="20"/>
                <w:szCs w:val="20"/>
              </w:rPr>
            </w:pPr>
            <w:r w:rsidRPr="008E7C4C">
              <w:rPr>
                <w:rFonts w:ascii="Arial Narrow" w:hAnsi="Arial Narrow"/>
                <w:sz w:val="20"/>
                <w:szCs w:val="20"/>
              </w:rPr>
              <w:t>24%</w:t>
            </w:r>
          </w:p>
        </w:tc>
      </w:tr>
      <w:tr w:rsidR="00C13472" w:rsidRPr="008E7C4C" w14:paraId="51F5AF19" w14:textId="77777777" w:rsidTr="00C04EB3">
        <w:tc>
          <w:tcPr>
            <w:tcW w:w="3964" w:type="dxa"/>
          </w:tcPr>
          <w:p w14:paraId="26BEBA8F" w14:textId="09796769" w:rsidR="00C13472" w:rsidRPr="008E7C4C" w:rsidRDefault="00C13472" w:rsidP="00C04EB3">
            <w:pPr>
              <w:keepNext/>
              <w:jc w:val="left"/>
              <w:rPr>
                <w:rFonts w:ascii="Arial Narrow" w:hAnsi="Arial Narrow" w:cs="Times New Roman"/>
                <w:bCs/>
                <w:sz w:val="20"/>
                <w:szCs w:val="20"/>
              </w:rPr>
            </w:pPr>
            <w:r w:rsidRPr="008E7C4C">
              <w:rPr>
                <w:rFonts w:ascii="Arial Narrow" w:hAnsi="Arial Narrow" w:cs="Times New Roman"/>
                <w:bCs/>
                <w:sz w:val="20"/>
                <w:szCs w:val="20"/>
              </w:rPr>
              <w:t xml:space="preserve">  </w:t>
            </w:r>
            <w:r w:rsidR="002E18DF" w:rsidRPr="008E7C4C">
              <w:rPr>
                <w:rFonts w:ascii="Arial Narrow" w:hAnsi="Arial Narrow" w:cs="Times New Roman"/>
                <w:bCs/>
                <w:sz w:val="20"/>
                <w:szCs w:val="20"/>
              </w:rPr>
              <w:t>HR = 0.674 (IPCW method)</w:t>
            </w:r>
          </w:p>
        </w:tc>
        <w:tc>
          <w:tcPr>
            <w:tcW w:w="1273" w:type="dxa"/>
            <w:vAlign w:val="center"/>
          </w:tcPr>
          <w:p w14:paraId="7E07C76D" w14:textId="16DF3816" w:rsidR="00C13472" w:rsidRPr="008E7C4C" w:rsidRDefault="00C13472"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08"/>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08"/>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08"/>
                <w14:textFill>
                  <w14:solidFill>
                    <w14:srgbClr w14:val="000000">
                      <w14:alpha w14:val="100000"/>
                    </w14:srgbClr>
                  </w14:solidFill>
                </w14:textFill>
              </w:rPr>
              <w:t xml:space="preserve">　</w:t>
            </w:r>
          </w:p>
        </w:tc>
        <w:tc>
          <w:tcPr>
            <w:tcW w:w="1137" w:type="dxa"/>
            <w:vAlign w:val="center"/>
          </w:tcPr>
          <w:p w14:paraId="0B7AABBE" w14:textId="77777777" w:rsidR="00C13472" w:rsidRPr="008E7C4C" w:rsidRDefault="00C13472"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0.59</w:t>
            </w:r>
          </w:p>
        </w:tc>
        <w:tc>
          <w:tcPr>
            <w:tcW w:w="1418" w:type="dxa"/>
            <w:vAlign w:val="center"/>
          </w:tcPr>
          <w:p w14:paraId="7C1B5756" w14:textId="206ACB7E" w:rsidR="00C13472" w:rsidRPr="0057612F" w:rsidRDefault="00C13472" w:rsidP="00C04EB3">
            <w:pPr>
              <w:keepNext/>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07"/>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07"/>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07"/>
                <w14:textFill>
                  <w14:solidFill>
                    <w14:srgbClr w14:val="000000">
                      <w14:alpha w14:val="100000"/>
                    </w14:srgbClr>
                  </w14:solidFill>
                </w14:textFill>
              </w:rPr>
              <w:t xml:space="preserve">　</w:t>
            </w:r>
            <w:r w:rsidR="0057612F">
              <w:rPr>
                <w:rFonts w:ascii="Arial Narrow" w:eastAsiaTheme="majorEastAsia" w:hAnsi="Arial Narrow" w:cstheme="majorBidi"/>
                <w:bCs/>
                <w:sz w:val="20"/>
                <w:szCs w:val="20"/>
                <w:vertAlign w:val="superscript"/>
              </w:rPr>
              <w:t>2</w:t>
            </w:r>
          </w:p>
        </w:tc>
        <w:tc>
          <w:tcPr>
            <w:tcW w:w="1224" w:type="dxa"/>
            <w:shd w:val="clear" w:color="auto" w:fill="auto"/>
            <w:vAlign w:val="center"/>
          </w:tcPr>
          <w:p w14:paraId="3FF26ABD" w14:textId="77777777" w:rsidR="00C13472" w:rsidRPr="008E7C4C" w:rsidRDefault="00C13472" w:rsidP="00C04EB3">
            <w:pPr>
              <w:keepNext/>
              <w:jc w:val="center"/>
              <w:rPr>
                <w:rFonts w:ascii="Arial Narrow" w:eastAsiaTheme="majorEastAsia" w:hAnsi="Arial Narrow" w:cstheme="majorBidi"/>
                <w:bCs/>
                <w:sz w:val="20"/>
                <w:szCs w:val="20"/>
              </w:rPr>
            </w:pPr>
            <w:r w:rsidRPr="008E7C4C">
              <w:rPr>
                <w:rFonts w:ascii="Arial Narrow" w:hAnsi="Arial Narrow" w:cs="Calibri"/>
                <w:color w:val="000000"/>
                <w:sz w:val="20"/>
                <w:szCs w:val="20"/>
              </w:rPr>
              <w:t>11%</w:t>
            </w:r>
          </w:p>
        </w:tc>
      </w:tr>
      <w:tr w:rsidR="00C13472" w:rsidRPr="008E7C4C" w14:paraId="65280FB5" w14:textId="77777777" w:rsidTr="00043AC6">
        <w:tc>
          <w:tcPr>
            <w:tcW w:w="9016" w:type="dxa"/>
            <w:gridSpan w:val="5"/>
          </w:tcPr>
          <w:p w14:paraId="3CD57CF8" w14:textId="77777777" w:rsidR="00C13472" w:rsidRPr="008E7C4C" w:rsidRDefault="00C13472" w:rsidP="00C04EB3">
            <w:pPr>
              <w:keepNext/>
              <w:jc w:val="left"/>
              <w:rPr>
                <w:rFonts w:ascii="Arial Narrow" w:hAnsi="Arial Narrow" w:cs="Calibri"/>
                <w:b/>
                <w:bCs/>
                <w:color w:val="000000"/>
                <w:sz w:val="20"/>
                <w:szCs w:val="20"/>
              </w:rPr>
            </w:pPr>
            <w:r w:rsidRPr="008E7C4C">
              <w:rPr>
                <w:rFonts w:ascii="Arial Narrow" w:hAnsi="Arial Narrow" w:cs="Calibri"/>
                <w:b/>
                <w:bCs/>
                <w:color w:val="000000"/>
                <w:sz w:val="20"/>
                <w:szCs w:val="20"/>
              </w:rPr>
              <w:t>OS extrapolation (base case = generalised gamma applied from 0 months)</w:t>
            </w:r>
          </w:p>
        </w:tc>
      </w:tr>
      <w:tr w:rsidR="00CC25DE" w:rsidRPr="008E7C4C" w14:paraId="639B861F" w14:textId="77777777" w:rsidTr="00C04EB3">
        <w:tc>
          <w:tcPr>
            <w:tcW w:w="3964" w:type="dxa"/>
          </w:tcPr>
          <w:p w14:paraId="4CEF75E2" w14:textId="5E3CDAD2" w:rsidR="00CC25DE" w:rsidRPr="008E7C4C" w:rsidRDefault="00C13472"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  </w:t>
            </w:r>
            <w:r w:rsidR="00CC25DE" w:rsidRPr="008E7C4C">
              <w:rPr>
                <w:rFonts w:ascii="Arial Narrow" w:eastAsiaTheme="majorEastAsia" w:hAnsi="Arial Narrow" w:cstheme="majorBidi"/>
                <w:bCs/>
                <w:sz w:val="20"/>
                <w:szCs w:val="20"/>
              </w:rPr>
              <w:t>Weibull extrapolation</w:t>
            </w:r>
          </w:p>
        </w:tc>
        <w:tc>
          <w:tcPr>
            <w:tcW w:w="1273" w:type="dxa"/>
            <w:vAlign w:val="center"/>
          </w:tcPr>
          <w:p w14:paraId="198A44DB" w14:textId="3A6C3B54"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06"/>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06"/>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06"/>
                <w14:textFill>
                  <w14:solidFill>
                    <w14:srgbClr w14:val="000000">
                      <w14:alpha w14:val="100000"/>
                    </w14:srgbClr>
                  </w14:solidFill>
                </w14:textFill>
              </w:rPr>
              <w:t xml:space="preserve">　</w:t>
            </w:r>
          </w:p>
        </w:tc>
        <w:tc>
          <w:tcPr>
            <w:tcW w:w="1137" w:type="dxa"/>
            <w:vAlign w:val="center"/>
          </w:tcPr>
          <w:p w14:paraId="688052A8"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0.62</w:t>
            </w:r>
          </w:p>
        </w:tc>
        <w:tc>
          <w:tcPr>
            <w:tcW w:w="1418" w:type="dxa"/>
            <w:vAlign w:val="center"/>
          </w:tcPr>
          <w:p w14:paraId="1DEFF3B7" w14:textId="0269A26A" w:rsidR="00CC25DE" w:rsidRPr="0057612F" w:rsidRDefault="00CC25DE" w:rsidP="00C04EB3">
            <w:pPr>
              <w:keepNext/>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05"/>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05"/>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05"/>
                <w14:textFill>
                  <w14:solidFill>
                    <w14:srgbClr w14:val="000000">
                      <w14:alpha w14:val="100000"/>
                    </w14:srgbClr>
                  </w14:solidFill>
                </w14:textFill>
              </w:rPr>
              <w:t xml:space="preserve">　</w:t>
            </w:r>
            <w:r w:rsidR="0057612F">
              <w:rPr>
                <w:rFonts w:ascii="Arial Narrow" w:eastAsiaTheme="majorEastAsia" w:hAnsi="Arial Narrow" w:cstheme="majorBidi"/>
                <w:bCs/>
                <w:sz w:val="20"/>
                <w:szCs w:val="20"/>
                <w:vertAlign w:val="superscript"/>
              </w:rPr>
              <w:t>1</w:t>
            </w:r>
          </w:p>
        </w:tc>
        <w:tc>
          <w:tcPr>
            <w:tcW w:w="1224" w:type="dxa"/>
            <w:shd w:val="clear" w:color="auto" w:fill="auto"/>
            <w:vAlign w:val="center"/>
          </w:tcPr>
          <w:p w14:paraId="1965708D"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hAnsi="Arial Narrow" w:cs="Calibri"/>
                <w:color w:val="000000"/>
                <w:sz w:val="20"/>
                <w:szCs w:val="20"/>
              </w:rPr>
              <w:t>6%</w:t>
            </w:r>
          </w:p>
        </w:tc>
      </w:tr>
      <w:tr w:rsidR="000E7B64" w:rsidRPr="008E7C4C" w14:paraId="795DB0A8" w14:textId="77777777" w:rsidTr="00C04EB3">
        <w:tc>
          <w:tcPr>
            <w:tcW w:w="3964" w:type="dxa"/>
          </w:tcPr>
          <w:p w14:paraId="6075363E" w14:textId="77777777" w:rsidR="000E7B64" w:rsidRPr="008E7C4C" w:rsidDel="00C13472" w:rsidRDefault="000E7B64" w:rsidP="00C04EB3">
            <w:pPr>
              <w:keepNext/>
              <w:jc w:val="left"/>
              <w:rPr>
                <w:rFonts w:ascii="Arial Narrow" w:eastAsiaTheme="majorEastAsia" w:hAnsi="Arial Narrow" w:cstheme="majorBidi"/>
                <w:bCs/>
                <w:sz w:val="20"/>
                <w:szCs w:val="20"/>
              </w:rPr>
            </w:pPr>
            <w:proofErr w:type="spellStart"/>
            <w:r w:rsidRPr="008E7C4C">
              <w:rPr>
                <w:rFonts w:ascii="Arial Narrow" w:eastAsiaTheme="majorEastAsia" w:hAnsi="Arial Narrow" w:cstheme="majorBidi"/>
                <w:bCs/>
                <w:sz w:val="20"/>
                <w:szCs w:val="20"/>
              </w:rPr>
              <w:t>Gompertz</w:t>
            </w:r>
            <w:proofErr w:type="spellEnd"/>
            <w:r w:rsidRPr="008E7C4C">
              <w:rPr>
                <w:rFonts w:ascii="Arial Narrow" w:eastAsiaTheme="majorEastAsia" w:hAnsi="Arial Narrow" w:cstheme="majorBidi"/>
                <w:bCs/>
                <w:sz w:val="20"/>
                <w:szCs w:val="20"/>
              </w:rPr>
              <w:t xml:space="preserve"> extrapolation</w:t>
            </w:r>
          </w:p>
        </w:tc>
        <w:tc>
          <w:tcPr>
            <w:tcW w:w="1273" w:type="dxa"/>
            <w:vAlign w:val="center"/>
          </w:tcPr>
          <w:p w14:paraId="0BAEC058" w14:textId="0F0389C1" w:rsidR="000E7B64" w:rsidRPr="008E7C4C" w:rsidRDefault="000E7B64"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04"/>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04"/>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04"/>
                <w14:textFill>
                  <w14:solidFill>
                    <w14:srgbClr w14:val="000000">
                      <w14:alpha w14:val="100000"/>
                    </w14:srgbClr>
                  </w14:solidFill>
                </w14:textFill>
              </w:rPr>
              <w:t xml:space="preserve">　</w:t>
            </w:r>
          </w:p>
        </w:tc>
        <w:tc>
          <w:tcPr>
            <w:tcW w:w="1137" w:type="dxa"/>
            <w:vAlign w:val="center"/>
          </w:tcPr>
          <w:p w14:paraId="4A159EF3" w14:textId="77777777" w:rsidR="000E7B64" w:rsidRPr="008E7C4C" w:rsidRDefault="000E7B64"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0.54</w:t>
            </w:r>
          </w:p>
        </w:tc>
        <w:tc>
          <w:tcPr>
            <w:tcW w:w="1418" w:type="dxa"/>
            <w:vAlign w:val="center"/>
          </w:tcPr>
          <w:p w14:paraId="3A7FA5D9" w14:textId="29EFEC54" w:rsidR="000E7B64" w:rsidRPr="001C50BB" w:rsidRDefault="000E7B64" w:rsidP="00C04EB3">
            <w:pPr>
              <w:keepNext/>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20"/>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20"/>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20"/>
                <w14:textFill>
                  <w14:solidFill>
                    <w14:srgbClr w14:val="000000">
                      <w14:alpha w14:val="100000"/>
                    </w14:srgbClr>
                  </w14:solidFill>
                </w14:textFill>
              </w:rPr>
              <w:t xml:space="preserve">　</w:t>
            </w:r>
            <w:r w:rsidR="001C50BB">
              <w:rPr>
                <w:rFonts w:ascii="Arial Narrow" w:eastAsiaTheme="majorEastAsia" w:hAnsi="Arial Narrow" w:cstheme="majorBidi"/>
                <w:bCs/>
                <w:sz w:val="20"/>
                <w:szCs w:val="20"/>
                <w:vertAlign w:val="superscript"/>
              </w:rPr>
              <w:t>2</w:t>
            </w:r>
          </w:p>
        </w:tc>
        <w:tc>
          <w:tcPr>
            <w:tcW w:w="1224" w:type="dxa"/>
            <w:shd w:val="clear" w:color="auto" w:fill="auto"/>
            <w:vAlign w:val="center"/>
          </w:tcPr>
          <w:p w14:paraId="4E0A39F1" w14:textId="77777777" w:rsidR="000E7B64" w:rsidRPr="008E7C4C" w:rsidRDefault="000E7B64" w:rsidP="00C04EB3">
            <w:pPr>
              <w:keepNext/>
              <w:jc w:val="center"/>
              <w:rPr>
                <w:rFonts w:ascii="Arial Narrow" w:hAnsi="Arial Narrow" w:cs="Calibri"/>
                <w:color w:val="000000"/>
                <w:sz w:val="20"/>
                <w:szCs w:val="20"/>
              </w:rPr>
            </w:pPr>
            <w:r w:rsidRPr="008E7C4C">
              <w:rPr>
                <w:rFonts w:ascii="Arial Narrow" w:hAnsi="Arial Narrow" w:cs="Calibri"/>
                <w:color w:val="000000"/>
                <w:sz w:val="20"/>
                <w:szCs w:val="20"/>
              </w:rPr>
              <w:t>25%</w:t>
            </w:r>
          </w:p>
        </w:tc>
      </w:tr>
      <w:tr w:rsidR="00CC25DE" w:rsidRPr="008E7C4C" w14:paraId="503DBE2F" w14:textId="77777777" w:rsidTr="00C04EB3">
        <w:tc>
          <w:tcPr>
            <w:tcW w:w="3964" w:type="dxa"/>
          </w:tcPr>
          <w:p w14:paraId="1A4F22A2" w14:textId="6C8F5AE5" w:rsidR="00CC25DE" w:rsidRPr="008E7C4C" w:rsidRDefault="002E18DF"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Generalised gamma applied from </w:t>
            </w:r>
            <w:r w:rsidR="00CC25DE" w:rsidRPr="008E7C4C">
              <w:rPr>
                <w:rFonts w:ascii="Arial Narrow" w:eastAsiaTheme="majorEastAsia" w:hAnsi="Arial Narrow" w:cstheme="majorBidi"/>
                <w:bCs/>
                <w:sz w:val="20"/>
                <w:szCs w:val="20"/>
              </w:rPr>
              <w:t>85 months</w:t>
            </w:r>
            <w:r w:rsidR="00111582" w:rsidRPr="008E7C4C">
              <w:rPr>
                <w:rFonts w:ascii="Arial Narrow" w:eastAsiaTheme="majorEastAsia" w:hAnsi="Arial Narrow" w:cstheme="majorBidi"/>
                <w:bCs/>
                <w:sz w:val="20"/>
                <w:szCs w:val="20"/>
              </w:rPr>
              <w:t xml:space="preserve"> (median time to follow-</w:t>
            </w:r>
            <w:proofErr w:type="gramStart"/>
            <w:r w:rsidR="00111582" w:rsidRPr="008E7C4C">
              <w:rPr>
                <w:rFonts w:ascii="Arial Narrow" w:eastAsiaTheme="majorEastAsia" w:hAnsi="Arial Narrow" w:cstheme="majorBidi"/>
                <w:bCs/>
                <w:sz w:val="20"/>
                <w:szCs w:val="20"/>
              </w:rPr>
              <w:t>up)</w:t>
            </w:r>
            <w:r w:rsidR="00CC25DE" w:rsidRPr="008E7C4C">
              <w:rPr>
                <w:rFonts w:ascii="Arial Narrow" w:eastAsiaTheme="majorEastAsia" w:hAnsi="Arial Narrow" w:cstheme="majorBidi"/>
                <w:bCs/>
                <w:sz w:val="20"/>
                <w:szCs w:val="20"/>
                <w:vertAlign w:val="superscript"/>
              </w:rPr>
              <w:t>a</w:t>
            </w:r>
            <w:proofErr w:type="gramEnd"/>
            <w:r w:rsidR="00CC25DE" w:rsidRPr="008E7C4C">
              <w:rPr>
                <w:rFonts w:ascii="Arial Narrow" w:eastAsiaTheme="majorEastAsia" w:hAnsi="Arial Narrow" w:cstheme="majorBidi"/>
                <w:bCs/>
                <w:sz w:val="20"/>
                <w:szCs w:val="20"/>
              </w:rPr>
              <w:t xml:space="preserve"> </w:t>
            </w:r>
          </w:p>
        </w:tc>
        <w:tc>
          <w:tcPr>
            <w:tcW w:w="1273" w:type="dxa"/>
            <w:vAlign w:val="center"/>
          </w:tcPr>
          <w:p w14:paraId="68F04F3B" w14:textId="6A6F420C"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19"/>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19"/>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19"/>
                <w14:textFill>
                  <w14:solidFill>
                    <w14:srgbClr w14:val="000000">
                      <w14:alpha w14:val="100000"/>
                    </w14:srgbClr>
                  </w14:solidFill>
                </w14:textFill>
              </w:rPr>
              <w:t xml:space="preserve">　</w:t>
            </w:r>
          </w:p>
        </w:tc>
        <w:tc>
          <w:tcPr>
            <w:tcW w:w="1137" w:type="dxa"/>
            <w:vAlign w:val="center"/>
          </w:tcPr>
          <w:p w14:paraId="661C74FB"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0.60</w:t>
            </w:r>
          </w:p>
        </w:tc>
        <w:tc>
          <w:tcPr>
            <w:tcW w:w="1418" w:type="dxa"/>
            <w:vAlign w:val="center"/>
          </w:tcPr>
          <w:p w14:paraId="6CC0A642" w14:textId="663D64BE" w:rsidR="00CC25DE" w:rsidRPr="001C50BB" w:rsidRDefault="00CC25DE" w:rsidP="00C04EB3">
            <w:pPr>
              <w:keepNext/>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18"/>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18"/>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18"/>
                <w14:textFill>
                  <w14:solidFill>
                    <w14:srgbClr w14:val="000000">
                      <w14:alpha w14:val="100000"/>
                    </w14:srgbClr>
                  </w14:solidFill>
                </w14:textFill>
              </w:rPr>
              <w:t xml:space="preserve">　</w:t>
            </w:r>
            <w:r w:rsidR="001C50BB">
              <w:rPr>
                <w:rFonts w:ascii="Arial Narrow" w:eastAsiaTheme="majorEastAsia" w:hAnsi="Arial Narrow" w:cstheme="majorBidi"/>
                <w:bCs/>
                <w:sz w:val="20"/>
                <w:szCs w:val="20"/>
                <w:vertAlign w:val="superscript"/>
              </w:rPr>
              <w:t>2</w:t>
            </w:r>
          </w:p>
        </w:tc>
        <w:tc>
          <w:tcPr>
            <w:tcW w:w="1224" w:type="dxa"/>
            <w:shd w:val="clear" w:color="auto" w:fill="auto"/>
            <w:vAlign w:val="center"/>
          </w:tcPr>
          <w:p w14:paraId="35B73374"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hAnsi="Arial Narrow" w:cs="Calibri"/>
                <w:color w:val="000000"/>
                <w:sz w:val="20"/>
                <w:szCs w:val="20"/>
              </w:rPr>
              <w:t>9%</w:t>
            </w:r>
          </w:p>
        </w:tc>
      </w:tr>
      <w:tr w:rsidR="00CC25DE" w:rsidRPr="008E7C4C" w14:paraId="3ECA4913" w14:textId="77777777" w:rsidTr="00C04EB3">
        <w:tc>
          <w:tcPr>
            <w:tcW w:w="3964" w:type="dxa"/>
          </w:tcPr>
          <w:p w14:paraId="6BB5F121" w14:textId="7253D88C" w:rsidR="00CC25DE" w:rsidRPr="008E7C4C" w:rsidRDefault="002E18DF"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Generalised gamma applied from </w:t>
            </w:r>
            <w:r w:rsidR="00CC25DE" w:rsidRPr="008E7C4C">
              <w:rPr>
                <w:rFonts w:ascii="Arial Narrow" w:eastAsiaTheme="majorEastAsia" w:hAnsi="Arial Narrow" w:cstheme="majorBidi"/>
                <w:bCs/>
                <w:sz w:val="20"/>
                <w:szCs w:val="20"/>
              </w:rPr>
              <w:t>50 months</w:t>
            </w:r>
            <w:r w:rsidR="00111582" w:rsidRPr="008E7C4C">
              <w:rPr>
                <w:rFonts w:ascii="Arial Narrow" w:eastAsiaTheme="majorEastAsia" w:hAnsi="Arial Narrow" w:cstheme="majorBidi"/>
                <w:bCs/>
                <w:sz w:val="20"/>
                <w:szCs w:val="20"/>
              </w:rPr>
              <w:t xml:space="preserve"> (median OS 53.0 for </w:t>
            </w:r>
            <w:proofErr w:type="spellStart"/>
            <w:r w:rsidR="00111582" w:rsidRPr="008E7C4C">
              <w:rPr>
                <w:rFonts w:ascii="Arial Narrow" w:eastAsiaTheme="majorEastAsia" w:hAnsi="Arial Narrow" w:cstheme="majorBidi"/>
                <w:bCs/>
                <w:sz w:val="20"/>
                <w:szCs w:val="20"/>
              </w:rPr>
              <w:t>ILd</w:t>
            </w:r>
            <w:proofErr w:type="spellEnd"/>
            <w:r w:rsidR="00111582" w:rsidRPr="008E7C4C">
              <w:rPr>
                <w:rFonts w:ascii="Arial Narrow" w:eastAsiaTheme="majorEastAsia" w:hAnsi="Arial Narrow" w:cstheme="majorBidi"/>
                <w:bCs/>
                <w:sz w:val="20"/>
                <w:szCs w:val="20"/>
              </w:rPr>
              <w:t xml:space="preserve">, 43.0 for </w:t>
            </w:r>
            <w:proofErr w:type="spellStart"/>
            <w:r w:rsidR="00111582" w:rsidRPr="008E7C4C">
              <w:rPr>
                <w:rFonts w:ascii="Arial Narrow" w:eastAsiaTheme="majorEastAsia" w:hAnsi="Arial Narrow" w:cstheme="majorBidi"/>
                <w:bCs/>
                <w:sz w:val="20"/>
                <w:szCs w:val="20"/>
              </w:rPr>
              <w:t>Ld</w:t>
            </w:r>
            <w:proofErr w:type="spellEnd"/>
            <w:r w:rsidR="00111582" w:rsidRPr="008E7C4C">
              <w:rPr>
                <w:rFonts w:ascii="Arial Narrow" w:eastAsiaTheme="majorEastAsia" w:hAnsi="Arial Narrow" w:cstheme="majorBidi"/>
                <w:bCs/>
                <w:sz w:val="20"/>
                <w:szCs w:val="20"/>
              </w:rPr>
              <w:t xml:space="preserve"> at 85 months of follow-</w:t>
            </w:r>
            <w:proofErr w:type="gramStart"/>
            <w:r w:rsidR="00111582" w:rsidRPr="008E7C4C">
              <w:rPr>
                <w:rFonts w:ascii="Arial Narrow" w:eastAsiaTheme="majorEastAsia" w:hAnsi="Arial Narrow" w:cstheme="majorBidi"/>
                <w:bCs/>
                <w:sz w:val="20"/>
                <w:szCs w:val="20"/>
              </w:rPr>
              <w:t>up)</w:t>
            </w:r>
            <w:r w:rsidR="00CC25DE" w:rsidRPr="008E7C4C">
              <w:rPr>
                <w:rFonts w:ascii="Arial Narrow" w:eastAsiaTheme="majorEastAsia" w:hAnsi="Arial Narrow" w:cstheme="majorBidi"/>
                <w:bCs/>
                <w:sz w:val="20"/>
                <w:szCs w:val="20"/>
                <w:vertAlign w:val="superscript"/>
              </w:rPr>
              <w:t>b</w:t>
            </w:r>
            <w:proofErr w:type="gramEnd"/>
          </w:p>
        </w:tc>
        <w:tc>
          <w:tcPr>
            <w:tcW w:w="1273" w:type="dxa"/>
            <w:vAlign w:val="center"/>
          </w:tcPr>
          <w:p w14:paraId="3DF079F2" w14:textId="7A1EF5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17"/>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17"/>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17"/>
                <w14:textFill>
                  <w14:solidFill>
                    <w14:srgbClr w14:val="000000">
                      <w14:alpha w14:val="100000"/>
                    </w14:srgbClr>
                  </w14:solidFill>
                </w14:textFill>
              </w:rPr>
              <w:t xml:space="preserve">　</w:t>
            </w:r>
          </w:p>
        </w:tc>
        <w:tc>
          <w:tcPr>
            <w:tcW w:w="1137" w:type="dxa"/>
            <w:vAlign w:val="center"/>
          </w:tcPr>
          <w:p w14:paraId="4D83159A"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0.66</w:t>
            </w:r>
          </w:p>
        </w:tc>
        <w:tc>
          <w:tcPr>
            <w:tcW w:w="1418" w:type="dxa"/>
            <w:vAlign w:val="center"/>
          </w:tcPr>
          <w:p w14:paraId="38E082DF" w14:textId="1BE57470" w:rsidR="00CC25DE" w:rsidRPr="001C50BB" w:rsidRDefault="00CC25DE" w:rsidP="00C04EB3">
            <w:pPr>
              <w:keepNext/>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16"/>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16"/>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16"/>
                <w14:textFill>
                  <w14:solidFill>
                    <w14:srgbClr w14:val="000000">
                      <w14:alpha w14:val="100000"/>
                    </w14:srgbClr>
                  </w14:solidFill>
                </w14:textFill>
              </w:rPr>
              <w:t xml:space="preserve">　</w:t>
            </w:r>
            <w:r w:rsidR="001C50BB">
              <w:rPr>
                <w:rFonts w:ascii="Arial Narrow" w:eastAsiaTheme="majorEastAsia" w:hAnsi="Arial Narrow" w:cstheme="majorBidi"/>
                <w:bCs/>
                <w:sz w:val="20"/>
                <w:szCs w:val="20"/>
                <w:vertAlign w:val="superscript"/>
              </w:rPr>
              <w:t>1</w:t>
            </w:r>
          </w:p>
        </w:tc>
        <w:tc>
          <w:tcPr>
            <w:tcW w:w="1224" w:type="dxa"/>
            <w:shd w:val="clear" w:color="auto" w:fill="auto"/>
            <w:vAlign w:val="center"/>
          </w:tcPr>
          <w:p w14:paraId="18097B42" w14:textId="77777777" w:rsidR="00CC25DE" w:rsidRPr="008E7C4C" w:rsidRDefault="00CC25DE" w:rsidP="00C04EB3">
            <w:pPr>
              <w:keepNext/>
              <w:jc w:val="center"/>
              <w:rPr>
                <w:rFonts w:ascii="Arial Narrow" w:eastAsiaTheme="majorEastAsia" w:hAnsi="Arial Narrow" w:cstheme="majorBidi"/>
                <w:bCs/>
                <w:sz w:val="20"/>
                <w:szCs w:val="20"/>
              </w:rPr>
            </w:pPr>
            <w:r w:rsidRPr="008E7C4C">
              <w:rPr>
                <w:rFonts w:ascii="Arial Narrow" w:hAnsi="Arial Narrow" w:cs="Calibri"/>
                <w:color w:val="000000"/>
                <w:sz w:val="20"/>
                <w:szCs w:val="20"/>
              </w:rPr>
              <w:t>1%</w:t>
            </w:r>
          </w:p>
        </w:tc>
      </w:tr>
      <w:tr w:rsidR="00CC25DE" w:rsidRPr="008E7C4C" w14:paraId="0D5F1615" w14:textId="77777777" w:rsidTr="006D7D90">
        <w:tc>
          <w:tcPr>
            <w:tcW w:w="9016" w:type="dxa"/>
            <w:gridSpan w:val="5"/>
          </w:tcPr>
          <w:p w14:paraId="600A7CB5" w14:textId="77777777" w:rsidR="00CC25DE" w:rsidRPr="008E7C4C" w:rsidRDefault="00CC25DE" w:rsidP="00C04EB3">
            <w:pPr>
              <w:keepNext/>
              <w:rPr>
                <w:rFonts w:ascii="Arial Narrow" w:eastAsiaTheme="majorEastAsia" w:hAnsi="Arial Narrow" w:cstheme="majorBidi"/>
                <w:bCs/>
                <w:sz w:val="20"/>
                <w:szCs w:val="20"/>
              </w:rPr>
            </w:pPr>
            <w:r w:rsidRPr="008E7C4C">
              <w:rPr>
                <w:rFonts w:ascii="Arial Narrow" w:hAnsi="Arial Narrow" w:cs="Times New Roman"/>
                <w:b/>
                <w:sz w:val="20"/>
                <w:szCs w:val="20"/>
              </w:rPr>
              <w:t>Multivariate sensitivity analysis</w:t>
            </w:r>
          </w:p>
        </w:tc>
      </w:tr>
      <w:tr w:rsidR="00FC5247" w:rsidRPr="008E7C4C" w14:paraId="7C733611" w14:textId="77777777" w:rsidTr="00C04EB3">
        <w:tc>
          <w:tcPr>
            <w:tcW w:w="3964" w:type="dxa"/>
          </w:tcPr>
          <w:p w14:paraId="13DECD71" w14:textId="5CE992A6" w:rsidR="00FC5247" w:rsidRPr="008E7C4C" w:rsidRDefault="00FC5247" w:rsidP="00C04EB3">
            <w:pPr>
              <w:keepNext/>
              <w:jc w:val="left"/>
              <w:rPr>
                <w:rFonts w:ascii="Arial Narrow" w:hAnsi="Arial Narrow" w:cs="Times New Roman"/>
                <w:bCs/>
                <w:sz w:val="20"/>
                <w:szCs w:val="20"/>
              </w:rPr>
            </w:pPr>
            <w:r w:rsidRPr="008E7C4C">
              <w:rPr>
                <w:rFonts w:ascii="Arial Narrow" w:eastAsiaTheme="majorEastAsia" w:hAnsi="Arial Narrow" w:cstheme="majorBidi"/>
                <w:bCs/>
                <w:sz w:val="20"/>
                <w:szCs w:val="20"/>
              </w:rPr>
              <w:t xml:space="preserve">Unadjusted OS HR, generalised gamma applied from 85 months </w:t>
            </w:r>
          </w:p>
        </w:tc>
        <w:tc>
          <w:tcPr>
            <w:tcW w:w="1273" w:type="dxa"/>
          </w:tcPr>
          <w:p w14:paraId="657C2929" w14:textId="2B57C778" w:rsidR="00FC5247" w:rsidRPr="008E7C4C" w:rsidRDefault="00FC5247" w:rsidP="00C04EB3">
            <w:pPr>
              <w:keepNext/>
              <w:jc w:val="center"/>
              <w:rPr>
                <w:rFonts w:ascii="Arial Narrow" w:eastAsiaTheme="majorEastAsia" w:hAnsi="Arial Narrow" w:cstheme="majorBidi"/>
                <w:bCs/>
                <w:sz w:val="20"/>
                <w:szCs w:val="20"/>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60" w:id="-1502411515"/>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60" w:id="-1502411515"/>
                <w14:textFill>
                  <w14:solidFill>
                    <w14:srgbClr w14:val="000000">
                      <w14:alpha w14:val="100000"/>
                    </w14:srgbClr>
                  </w14:solidFill>
                </w14:textFill>
              </w:rPr>
              <w:t>|</w:t>
            </w:r>
            <w:r w:rsidR="00951174" w:rsidRPr="00951174">
              <w:rPr>
                <w:rFonts w:ascii="Arial Narrow" w:hAnsi="Arial Narrow" w:hint="eastAsia"/>
                <w:color w:val="000000"/>
                <w:spacing w:val="-5"/>
                <w:w w:val="15"/>
                <w:sz w:val="20"/>
                <w:szCs w:val="20"/>
                <w:shd w:val="solid" w:color="000000" w:fill="000000"/>
                <w:fitText w:val="60" w:id="-1502411515"/>
                <w14:textFill>
                  <w14:solidFill>
                    <w14:srgbClr w14:val="000000">
                      <w14:alpha w14:val="100000"/>
                    </w14:srgbClr>
                  </w14:solidFill>
                </w14:textFill>
              </w:rPr>
              <w:t xml:space="preserve">　</w:t>
            </w:r>
          </w:p>
        </w:tc>
        <w:tc>
          <w:tcPr>
            <w:tcW w:w="1137" w:type="dxa"/>
          </w:tcPr>
          <w:p w14:paraId="6744042D" w14:textId="1D3CC3CC" w:rsidR="00FC5247" w:rsidRPr="008E7C4C" w:rsidRDefault="00FC5247" w:rsidP="00C04EB3">
            <w:pPr>
              <w:keepNext/>
              <w:jc w:val="center"/>
              <w:rPr>
                <w:rFonts w:ascii="Arial Narrow" w:eastAsiaTheme="majorEastAsia" w:hAnsi="Arial Narrow" w:cstheme="majorBidi"/>
                <w:bCs/>
                <w:sz w:val="20"/>
                <w:szCs w:val="20"/>
              </w:rPr>
            </w:pPr>
            <w:r w:rsidRPr="008E7C4C">
              <w:rPr>
                <w:rFonts w:ascii="Arial Narrow" w:hAnsi="Arial Narrow"/>
                <w:sz w:val="20"/>
                <w:szCs w:val="20"/>
              </w:rPr>
              <w:t>0.40</w:t>
            </w:r>
          </w:p>
        </w:tc>
        <w:tc>
          <w:tcPr>
            <w:tcW w:w="1418" w:type="dxa"/>
          </w:tcPr>
          <w:p w14:paraId="37611CF9" w14:textId="3C1FEBF8" w:rsidR="00FC5247" w:rsidRPr="001C50BB" w:rsidRDefault="00FC5247" w:rsidP="00C04EB3">
            <w:pPr>
              <w:keepNext/>
              <w:jc w:val="center"/>
              <w:rPr>
                <w:rFonts w:ascii="Arial Narrow" w:eastAsiaTheme="majorEastAsia" w:hAnsi="Arial Narrow" w:cstheme="majorBidi"/>
                <w:bCs/>
                <w:sz w:val="20"/>
                <w:szCs w:val="20"/>
                <w:vertAlign w:val="superscript"/>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30" w:id="-1502411514"/>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30" w:id="-1502411514"/>
                <w14:textFill>
                  <w14:solidFill>
                    <w14:srgbClr w14:val="000000">
                      <w14:alpha w14:val="100000"/>
                    </w14:srgbClr>
                  </w14:solidFill>
                </w14:textFill>
              </w:rPr>
              <w:t>|</w:t>
            </w:r>
            <w:r w:rsidR="00951174" w:rsidRPr="00951174">
              <w:rPr>
                <w:rFonts w:ascii="Arial Narrow" w:hAnsi="Arial Narrow" w:hint="eastAsia"/>
                <w:color w:val="000000"/>
                <w:spacing w:val="-35"/>
                <w:w w:val="15"/>
                <w:sz w:val="20"/>
                <w:szCs w:val="20"/>
                <w:shd w:val="solid" w:color="000000" w:fill="000000"/>
                <w:fitText w:val="30" w:id="-1502411514"/>
                <w14:textFill>
                  <w14:solidFill>
                    <w14:srgbClr w14:val="000000">
                      <w14:alpha w14:val="100000"/>
                    </w14:srgbClr>
                  </w14:solidFill>
                </w14:textFill>
              </w:rPr>
              <w:t xml:space="preserve">　</w:t>
            </w:r>
            <w:r w:rsidR="001C50BB">
              <w:rPr>
                <w:rFonts w:ascii="Arial Narrow" w:hAnsi="Arial Narrow"/>
                <w:sz w:val="20"/>
                <w:szCs w:val="20"/>
                <w:vertAlign w:val="superscript"/>
              </w:rPr>
              <w:t>4</w:t>
            </w:r>
          </w:p>
        </w:tc>
        <w:tc>
          <w:tcPr>
            <w:tcW w:w="1224" w:type="dxa"/>
            <w:shd w:val="clear" w:color="auto" w:fill="auto"/>
          </w:tcPr>
          <w:p w14:paraId="23A14224" w14:textId="5C775754" w:rsidR="00FC5247" w:rsidRPr="008E7C4C" w:rsidRDefault="00FC5247" w:rsidP="00C04EB3">
            <w:pPr>
              <w:keepNext/>
              <w:jc w:val="center"/>
              <w:rPr>
                <w:rFonts w:ascii="Arial Narrow" w:eastAsiaTheme="majorEastAsia" w:hAnsi="Arial Narrow" w:cstheme="majorBidi"/>
                <w:bCs/>
                <w:sz w:val="20"/>
                <w:szCs w:val="20"/>
              </w:rPr>
            </w:pPr>
            <w:r w:rsidRPr="008E7C4C">
              <w:rPr>
                <w:rFonts w:ascii="Arial Narrow" w:hAnsi="Arial Narrow"/>
                <w:sz w:val="20"/>
                <w:szCs w:val="20"/>
              </w:rPr>
              <w:t>79%</w:t>
            </w:r>
          </w:p>
        </w:tc>
      </w:tr>
      <w:tr w:rsidR="00FC5247" w:rsidRPr="008E7C4C" w14:paraId="05A15188" w14:textId="77777777" w:rsidTr="00C04EB3">
        <w:tc>
          <w:tcPr>
            <w:tcW w:w="3964" w:type="dxa"/>
          </w:tcPr>
          <w:p w14:paraId="6AEE25F4" w14:textId="695E2C05" w:rsidR="00FC5247" w:rsidRPr="008E7C4C" w:rsidRDefault="00FC5247"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Unadjusted OS HR, generalised Gamma applied from 85 months, time horizon 15 years </w:t>
            </w:r>
          </w:p>
        </w:tc>
        <w:tc>
          <w:tcPr>
            <w:tcW w:w="1273" w:type="dxa"/>
          </w:tcPr>
          <w:p w14:paraId="4D33048A" w14:textId="4504FB55" w:rsidR="00FC5247" w:rsidRPr="008E7C4C" w:rsidRDefault="00FC5247" w:rsidP="00C04EB3">
            <w:pPr>
              <w:keepNext/>
              <w:jc w:val="center"/>
              <w:rPr>
                <w:rFonts w:ascii="Arial Narrow" w:eastAsiaTheme="majorEastAsia" w:hAnsi="Arial Narrow" w:cstheme="majorBidi"/>
                <w:bCs/>
                <w:sz w:val="20"/>
                <w:szCs w:val="20"/>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60" w:id="-1502411513"/>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60" w:id="-1502411513"/>
                <w14:textFill>
                  <w14:solidFill>
                    <w14:srgbClr w14:val="000000">
                      <w14:alpha w14:val="100000"/>
                    </w14:srgbClr>
                  </w14:solidFill>
                </w14:textFill>
              </w:rPr>
              <w:t>|</w:t>
            </w:r>
            <w:r w:rsidR="00951174" w:rsidRPr="00951174">
              <w:rPr>
                <w:rFonts w:ascii="Arial Narrow" w:hAnsi="Arial Narrow" w:hint="eastAsia"/>
                <w:color w:val="000000"/>
                <w:spacing w:val="-5"/>
                <w:w w:val="15"/>
                <w:sz w:val="20"/>
                <w:szCs w:val="20"/>
                <w:shd w:val="solid" w:color="000000" w:fill="000000"/>
                <w:fitText w:val="60" w:id="-1502411513"/>
                <w14:textFill>
                  <w14:solidFill>
                    <w14:srgbClr w14:val="000000">
                      <w14:alpha w14:val="100000"/>
                    </w14:srgbClr>
                  </w14:solidFill>
                </w14:textFill>
              </w:rPr>
              <w:t xml:space="preserve">　</w:t>
            </w:r>
          </w:p>
        </w:tc>
        <w:tc>
          <w:tcPr>
            <w:tcW w:w="1137" w:type="dxa"/>
          </w:tcPr>
          <w:p w14:paraId="3942088F" w14:textId="0EDEFEA8" w:rsidR="00FC5247" w:rsidRPr="008E7C4C" w:rsidRDefault="00FC5247" w:rsidP="00C04EB3">
            <w:pPr>
              <w:keepNext/>
              <w:jc w:val="center"/>
              <w:rPr>
                <w:rFonts w:ascii="Arial Narrow" w:eastAsiaTheme="majorEastAsia" w:hAnsi="Arial Narrow" w:cstheme="majorBidi"/>
                <w:bCs/>
                <w:sz w:val="20"/>
                <w:szCs w:val="20"/>
              </w:rPr>
            </w:pPr>
            <w:r w:rsidRPr="008E7C4C">
              <w:rPr>
                <w:rFonts w:ascii="Arial Narrow" w:hAnsi="Arial Narrow"/>
                <w:sz w:val="20"/>
                <w:szCs w:val="20"/>
              </w:rPr>
              <w:t>0.38</w:t>
            </w:r>
          </w:p>
        </w:tc>
        <w:tc>
          <w:tcPr>
            <w:tcW w:w="1418" w:type="dxa"/>
          </w:tcPr>
          <w:p w14:paraId="354F3B67" w14:textId="0266676C" w:rsidR="00FC5247" w:rsidRPr="001C50BB" w:rsidRDefault="00FC5247" w:rsidP="00C04EB3">
            <w:pPr>
              <w:keepNext/>
              <w:jc w:val="center"/>
              <w:rPr>
                <w:rFonts w:ascii="Arial Narrow" w:eastAsiaTheme="majorEastAsia" w:hAnsi="Arial Narrow" w:cstheme="majorBidi"/>
                <w:bCs/>
                <w:sz w:val="20"/>
                <w:szCs w:val="20"/>
                <w:vertAlign w:val="superscript"/>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30" w:id="-1502411512"/>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30" w:id="-1502411512"/>
                <w14:textFill>
                  <w14:solidFill>
                    <w14:srgbClr w14:val="000000">
                      <w14:alpha w14:val="100000"/>
                    </w14:srgbClr>
                  </w14:solidFill>
                </w14:textFill>
              </w:rPr>
              <w:t>|</w:t>
            </w:r>
            <w:r w:rsidR="00951174" w:rsidRPr="00951174">
              <w:rPr>
                <w:rFonts w:ascii="Arial Narrow" w:hAnsi="Arial Narrow" w:hint="eastAsia"/>
                <w:color w:val="000000"/>
                <w:spacing w:val="-35"/>
                <w:w w:val="15"/>
                <w:sz w:val="20"/>
                <w:szCs w:val="20"/>
                <w:shd w:val="solid" w:color="000000" w:fill="000000"/>
                <w:fitText w:val="30" w:id="-1502411512"/>
                <w14:textFill>
                  <w14:solidFill>
                    <w14:srgbClr w14:val="000000">
                      <w14:alpha w14:val="100000"/>
                    </w14:srgbClr>
                  </w14:solidFill>
                </w14:textFill>
              </w:rPr>
              <w:t xml:space="preserve">　</w:t>
            </w:r>
            <w:r w:rsidR="001C50BB">
              <w:rPr>
                <w:rFonts w:ascii="Arial Narrow" w:hAnsi="Arial Narrow"/>
                <w:sz w:val="20"/>
                <w:szCs w:val="20"/>
                <w:vertAlign w:val="superscript"/>
              </w:rPr>
              <w:t>4</w:t>
            </w:r>
          </w:p>
        </w:tc>
        <w:tc>
          <w:tcPr>
            <w:tcW w:w="1224" w:type="dxa"/>
            <w:shd w:val="clear" w:color="auto" w:fill="auto"/>
          </w:tcPr>
          <w:p w14:paraId="3BA6B602" w14:textId="677BFDDF" w:rsidR="00FC5247" w:rsidRPr="008E7C4C" w:rsidRDefault="00FC5247" w:rsidP="00C04EB3">
            <w:pPr>
              <w:keepNext/>
              <w:jc w:val="center"/>
              <w:rPr>
                <w:rFonts w:ascii="Arial Narrow" w:eastAsiaTheme="majorEastAsia" w:hAnsi="Arial Narrow" w:cstheme="majorBidi"/>
                <w:bCs/>
                <w:sz w:val="20"/>
                <w:szCs w:val="20"/>
              </w:rPr>
            </w:pPr>
            <w:r w:rsidRPr="008E7C4C">
              <w:rPr>
                <w:rFonts w:ascii="Arial Narrow" w:hAnsi="Arial Narrow"/>
                <w:sz w:val="20"/>
                <w:szCs w:val="20"/>
              </w:rPr>
              <w:t>88%</w:t>
            </w:r>
          </w:p>
        </w:tc>
      </w:tr>
      <w:tr w:rsidR="00FC5247" w:rsidRPr="008E7C4C" w14:paraId="18A36521" w14:textId="77777777" w:rsidTr="00C04EB3">
        <w:tc>
          <w:tcPr>
            <w:tcW w:w="3964" w:type="dxa"/>
          </w:tcPr>
          <w:p w14:paraId="18C189FA" w14:textId="2AA25E4C" w:rsidR="00FC5247" w:rsidRPr="008E7C4C" w:rsidRDefault="00FC5247" w:rsidP="00FC5247">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Unadjusted OS HR, generalised gamma applied from 85 months, time horizon 10 years </w:t>
            </w:r>
          </w:p>
        </w:tc>
        <w:tc>
          <w:tcPr>
            <w:tcW w:w="1273" w:type="dxa"/>
          </w:tcPr>
          <w:p w14:paraId="53D6FECE" w14:textId="052BDCDB"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60" w:id="-1502411511"/>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60" w:id="-1502411511"/>
                <w14:textFill>
                  <w14:solidFill>
                    <w14:srgbClr w14:val="000000">
                      <w14:alpha w14:val="100000"/>
                    </w14:srgbClr>
                  </w14:solidFill>
                </w14:textFill>
              </w:rPr>
              <w:t>|</w:t>
            </w:r>
            <w:r w:rsidR="00951174" w:rsidRPr="00951174">
              <w:rPr>
                <w:rFonts w:ascii="Arial Narrow" w:hAnsi="Arial Narrow" w:hint="eastAsia"/>
                <w:color w:val="000000"/>
                <w:spacing w:val="-5"/>
                <w:w w:val="15"/>
                <w:sz w:val="20"/>
                <w:szCs w:val="20"/>
                <w:shd w:val="solid" w:color="000000" w:fill="000000"/>
                <w:fitText w:val="60" w:id="-1502411511"/>
                <w14:textFill>
                  <w14:solidFill>
                    <w14:srgbClr w14:val="000000">
                      <w14:alpha w14:val="100000"/>
                    </w14:srgbClr>
                  </w14:solidFill>
                </w14:textFill>
              </w:rPr>
              <w:t xml:space="preserve">　</w:t>
            </w:r>
          </w:p>
        </w:tc>
        <w:tc>
          <w:tcPr>
            <w:tcW w:w="1137" w:type="dxa"/>
          </w:tcPr>
          <w:p w14:paraId="79FA0D82" w14:textId="68DA5779"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0.34</w:t>
            </w:r>
          </w:p>
        </w:tc>
        <w:tc>
          <w:tcPr>
            <w:tcW w:w="1418" w:type="dxa"/>
          </w:tcPr>
          <w:p w14:paraId="08E52AEB" w14:textId="388C1B47" w:rsidR="00FC5247" w:rsidRPr="001C50BB" w:rsidRDefault="00FC5247" w:rsidP="00FC5247">
            <w:pPr>
              <w:jc w:val="center"/>
              <w:rPr>
                <w:rFonts w:ascii="Arial Narrow" w:eastAsiaTheme="majorEastAsia" w:hAnsi="Arial Narrow" w:cstheme="majorBidi"/>
                <w:bCs/>
                <w:sz w:val="20"/>
                <w:szCs w:val="20"/>
                <w:vertAlign w:val="superscript"/>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30" w:id="-1502411510"/>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30" w:id="-1502411510"/>
                <w14:textFill>
                  <w14:solidFill>
                    <w14:srgbClr w14:val="000000">
                      <w14:alpha w14:val="100000"/>
                    </w14:srgbClr>
                  </w14:solidFill>
                </w14:textFill>
              </w:rPr>
              <w:t>|</w:t>
            </w:r>
            <w:r w:rsidR="00951174" w:rsidRPr="00951174">
              <w:rPr>
                <w:rFonts w:ascii="Arial Narrow" w:hAnsi="Arial Narrow" w:hint="eastAsia"/>
                <w:color w:val="000000"/>
                <w:spacing w:val="-35"/>
                <w:w w:val="15"/>
                <w:sz w:val="20"/>
                <w:szCs w:val="20"/>
                <w:shd w:val="solid" w:color="000000" w:fill="000000"/>
                <w:fitText w:val="30" w:id="-1502411510"/>
                <w14:textFill>
                  <w14:solidFill>
                    <w14:srgbClr w14:val="000000">
                      <w14:alpha w14:val="100000"/>
                    </w14:srgbClr>
                  </w14:solidFill>
                </w14:textFill>
              </w:rPr>
              <w:t xml:space="preserve">　</w:t>
            </w:r>
            <w:r w:rsidR="001C50BB">
              <w:rPr>
                <w:rFonts w:ascii="Arial Narrow" w:hAnsi="Arial Narrow"/>
                <w:sz w:val="20"/>
                <w:szCs w:val="20"/>
                <w:vertAlign w:val="superscript"/>
              </w:rPr>
              <w:t>4</w:t>
            </w:r>
          </w:p>
        </w:tc>
        <w:tc>
          <w:tcPr>
            <w:tcW w:w="1224" w:type="dxa"/>
            <w:shd w:val="clear" w:color="auto" w:fill="auto"/>
          </w:tcPr>
          <w:p w14:paraId="5AAC220E" w14:textId="019F1083"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111%</w:t>
            </w:r>
          </w:p>
        </w:tc>
      </w:tr>
      <w:tr w:rsidR="00FC5247" w:rsidRPr="008E7C4C" w14:paraId="60958D47" w14:textId="77777777" w:rsidTr="00C04EB3">
        <w:tc>
          <w:tcPr>
            <w:tcW w:w="3964" w:type="dxa"/>
          </w:tcPr>
          <w:p w14:paraId="4F6B67FF" w14:textId="229A1161" w:rsidR="00FC5247" w:rsidRPr="008E7C4C" w:rsidRDefault="00FC5247" w:rsidP="00FC5247">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Unadjusted OS HR, </w:t>
            </w:r>
            <w:proofErr w:type="spellStart"/>
            <w:r w:rsidRPr="008E7C4C">
              <w:rPr>
                <w:rFonts w:ascii="Arial Narrow" w:eastAsiaTheme="majorEastAsia" w:hAnsi="Arial Narrow" w:cstheme="majorBidi"/>
                <w:bCs/>
                <w:sz w:val="20"/>
                <w:szCs w:val="20"/>
              </w:rPr>
              <w:t>Gompertz</w:t>
            </w:r>
            <w:proofErr w:type="spellEnd"/>
            <w:r w:rsidRPr="008E7C4C">
              <w:rPr>
                <w:rFonts w:ascii="Arial Narrow" w:eastAsiaTheme="majorEastAsia" w:hAnsi="Arial Narrow" w:cstheme="majorBidi"/>
                <w:bCs/>
                <w:sz w:val="20"/>
                <w:szCs w:val="20"/>
              </w:rPr>
              <w:t xml:space="preserve"> applied from 85 months, time horizon 20 years </w:t>
            </w:r>
          </w:p>
        </w:tc>
        <w:tc>
          <w:tcPr>
            <w:tcW w:w="1273" w:type="dxa"/>
          </w:tcPr>
          <w:p w14:paraId="668186A3" w14:textId="2B951E1C"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60" w:id="-1502411509"/>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60" w:id="-1502411509"/>
                <w14:textFill>
                  <w14:solidFill>
                    <w14:srgbClr w14:val="000000">
                      <w14:alpha w14:val="100000"/>
                    </w14:srgbClr>
                  </w14:solidFill>
                </w14:textFill>
              </w:rPr>
              <w:t>|</w:t>
            </w:r>
            <w:r w:rsidR="00951174" w:rsidRPr="00951174">
              <w:rPr>
                <w:rFonts w:ascii="Arial Narrow" w:hAnsi="Arial Narrow" w:hint="eastAsia"/>
                <w:color w:val="000000"/>
                <w:spacing w:val="-5"/>
                <w:w w:val="15"/>
                <w:sz w:val="20"/>
                <w:szCs w:val="20"/>
                <w:shd w:val="solid" w:color="000000" w:fill="000000"/>
                <w:fitText w:val="60" w:id="-1502411509"/>
                <w14:textFill>
                  <w14:solidFill>
                    <w14:srgbClr w14:val="000000">
                      <w14:alpha w14:val="100000"/>
                    </w14:srgbClr>
                  </w14:solidFill>
                </w14:textFill>
              </w:rPr>
              <w:t xml:space="preserve">　</w:t>
            </w:r>
          </w:p>
        </w:tc>
        <w:tc>
          <w:tcPr>
            <w:tcW w:w="1137" w:type="dxa"/>
          </w:tcPr>
          <w:p w14:paraId="121715BA" w14:textId="6778EAD6"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0.38</w:t>
            </w:r>
          </w:p>
        </w:tc>
        <w:tc>
          <w:tcPr>
            <w:tcW w:w="1418" w:type="dxa"/>
          </w:tcPr>
          <w:p w14:paraId="1AA93360" w14:textId="7443BD73" w:rsidR="00FC5247" w:rsidRPr="001C50BB" w:rsidRDefault="00FC5247" w:rsidP="00FC5247">
            <w:pPr>
              <w:jc w:val="center"/>
              <w:rPr>
                <w:rFonts w:ascii="Arial Narrow" w:eastAsiaTheme="majorEastAsia" w:hAnsi="Arial Narrow" w:cstheme="majorBidi"/>
                <w:bCs/>
                <w:sz w:val="20"/>
                <w:szCs w:val="20"/>
                <w:vertAlign w:val="superscript"/>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30" w:id="-1502411508"/>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30" w:id="-1502411508"/>
                <w14:textFill>
                  <w14:solidFill>
                    <w14:srgbClr w14:val="000000">
                      <w14:alpha w14:val="100000"/>
                    </w14:srgbClr>
                  </w14:solidFill>
                </w14:textFill>
              </w:rPr>
              <w:t>|</w:t>
            </w:r>
            <w:r w:rsidR="00951174" w:rsidRPr="00951174">
              <w:rPr>
                <w:rFonts w:ascii="Arial Narrow" w:hAnsi="Arial Narrow" w:hint="eastAsia"/>
                <w:color w:val="000000"/>
                <w:spacing w:val="-35"/>
                <w:w w:val="15"/>
                <w:sz w:val="20"/>
                <w:szCs w:val="20"/>
                <w:shd w:val="solid" w:color="000000" w:fill="000000"/>
                <w:fitText w:val="30" w:id="-1502411508"/>
                <w14:textFill>
                  <w14:solidFill>
                    <w14:srgbClr w14:val="000000">
                      <w14:alpha w14:val="100000"/>
                    </w14:srgbClr>
                  </w14:solidFill>
                </w14:textFill>
              </w:rPr>
              <w:t xml:space="preserve">　</w:t>
            </w:r>
            <w:r w:rsidR="001C50BB">
              <w:rPr>
                <w:rFonts w:ascii="Arial Narrow" w:hAnsi="Arial Narrow"/>
                <w:sz w:val="20"/>
                <w:szCs w:val="20"/>
                <w:vertAlign w:val="superscript"/>
              </w:rPr>
              <w:t>4</w:t>
            </w:r>
          </w:p>
        </w:tc>
        <w:tc>
          <w:tcPr>
            <w:tcW w:w="1224" w:type="dxa"/>
            <w:shd w:val="clear" w:color="auto" w:fill="auto"/>
          </w:tcPr>
          <w:p w14:paraId="6824A331" w14:textId="4388BF6E"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91%</w:t>
            </w:r>
          </w:p>
        </w:tc>
      </w:tr>
      <w:tr w:rsidR="00FC5247" w:rsidRPr="008E7C4C" w14:paraId="27468BCB" w14:textId="77777777" w:rsidTr="00C04EB3">
        <w:tc>
          <w:tcPr>
            <w:tcW w:w="3964" w:type="dxa"/>
          </w:tcPr>
          <w:p w14:paraId="6459CE02" w14:textId="52F60063" w:rsidR="00FC5247" w:rsidRPr="008E7C4C" w:rsidRDefault="00FC5247" w:rsidP="00FC5247">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Unadjusted OS HR, </w:t>
            </w:r>
            <w:proofErr w:type="spellStart"/>
            <w:r w:rsidRPr="008E7C4C">
              <w:rPr>
                <w:rFonts w:ascii="Arial Narrow" w:eastAsiaTheme="majorEastAsia" w:hAnsi="Arial Narrow" w:cstheme="majorBidi"/>
                <w:bCs/>
                <w:sz w:val="20"/>
                <w:szCs w:val="20"/>
              </w:rPr>
              <w:t>Gompertz</w:t>
            </w:r>
            <w:proofErr w:type="spellEnd"/>
            <w:r w:rsidRPr="008E7C4C">
              <w:rPr>
                <w:rFonts w:ascii="Arial Narrow" w:eastAsiaTheme="majorEastAsia" w:hAnsi="Arial Narrow" w:cstheme="majorBidi"/>
                <w:bCs/>
                <w:sz w:val="20"/>
                <w:szCs w:val="20"/>
              </w:rPr>
              <w:t xml:space="preserve"> applied from 85 months, time horizon 15 years </w:t>
            </w:r>
          </w:p>
        </w:tc>
        <w:tc>
          <w:tcPr>
            <w:tcW w:w="1273" w:type="dxa"/>
          </w:tcPr>
          <w:p w14:paraId="64410E2C" w14:textId="183E566E"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60" w:id="-1502411507"/>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60" w:id="-1502411507"/>
                <w14:textFill>
                  <w14:solidFill>
                    <w14:srgbClr w14:val="000000">
                      <w14:alpha w14:val="100000"/>
                    </w14:srgbClr>
                  </w14:solidFill>
                </w14:textFill>
              </w:rPr>
              <w:t>|</w:t>
            </w:r>
            <w:r w:rsidR="00951174" w:rsidRPr="00951174">
              <w:rPr>
                <w:rFonts w:ascii="Arial Narrow" w:hAnsi="Arial Narrow" w:hint="eastAsia"/>
                <w:color w:val="000000"/>
                <w:spacing w:val="-5"/>
                <w:w w:val="15"/>
                <w:sz w:val="20"/>
                <w:szCs w:val="20"/>
                <w:shd w:val="solid" w:color="000000" w:fill="000000"/>
                <w:fitText w:val="60" w:id="-1502411507"/>
                <w14:textFill>
                  <w14:solidFill>
                    <w14:srgbClr w14:val="000000">
                      <w14:alpha w14:val="100000"/>
                    </w14:srgbClr>
                  </w14:solidFill>
                </w14:textFill>
              </w:rPr>
              <w:t xml:space="preserve">　</w:t>
            </w:r>
          </w:p>
        </w:tc>
        <w:tc>
          <w:tcPr>
            <w:tcW w:w="1137" w:type="dxa"/>
          </w:tcPr>
          <w:p w14:paraId="2EC999F5" w14:textId="4DD7CADE"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0.37</w:t>
            </w:r>
          </w:p>
        </w:tc>
        <w:tc>
          <w:tcPr>
            <w:tcW w:w="1418" w:type="dxa"/>
          </w:tcPr>
          <w:p w14:paraId="07241C08" w14:textId="23B7EB4B" w:rsidR="00FC5247" w:rsidRPr="001C50BB" w:rsidRDefault="00FC5247" w:rsidP="00FC5247">
            <w:pPr>
              <w:jc w:val="center"/>
              <w:rPr>
                <w:rFonts w:ascii="Arial Narrow" w:eastAsiaTheme="majorEastAsia" w:hAnsi="Arial Narrow" w:cstheme="majorBidi"/>
                <w:bCs/>
                <w:sz w:val="20"/>
                <w:szCs w:val="20"/>
                <w:vertAlign w:val="superscript"/>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30" w:id="-1502411506"/>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30" w:id="-1502411506"/>
                <w14:textFill>
                  <w14:solidFill>
                    <w14:srgbClr w14:val="000000">
                      <w14:alpha w14:val="100000"/>
                    </w14:srgbClr>
                  </w14:solidFill>
                </w14:textFill>
              </w:rPr>
              <w:t>|</w:t>
            </w:r>
            <w:r w:rsidR="00951174" w:rsidRPr="00951174">
              <w:rPr>
                <w:rFonts w:ascii="Arial Narrow" w:hAnsi="Arial Narrow" w:hint="eastAsia"/>
                <w:color w:val="000000"/>
                <w:spacing w:val="-35"/>
                <w:w w:val="15"/>
                <w:sz w:val="20"/>
                <w:szCs w:val="20"/>
                <w:shd w:val="solid" w:color="000000" w:fill="000000"/>
                <w:fitText w:val="30" w:id="-1502411506"/>
                <w14:textFill>
                  <w14:solidFill>
                    <w14:srgbClr w14:val="000000">
                      <w14:alpha w14:val="100000"/>
                    </w14:srgbClr>
                  </w14:solidFill>
                </w14:textFill>
              </w:rPr>
              <w:t xml:space="preserve">　</w:t>
            </w:r>
            <w:r w:rsidR="001C50BB">
              <w:rPr>
                <w:rFonts w:ascii="Arial Narrow" w:hAnsi="Arial Narrow"/>
                <w:sz w:val="20"/>
                <w:szCs w:val="20"/>
                <w:vertAlign w:val="superscript"/>
              </w:rPr>
              <w:t>4</w:t>
            </w:r>
          </w:p>
        </w:tc>
        <w:tc>
          <w:tcPr>
            <w:tcW w:w="1224" w:type="dxa"/>
            <w:shd w:val="clear" w:color="auto" w:fill="auto"/>
          </w:tcPr>
          <w:p w14:paraId="0F541216" w14:textId="75EA23D7"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93%</w:t>
            </w:r>
          </w:p>
        </w:tc>
      </w:tr>
      <w:tr w:rsidR="00FC5247" w:rsidRPr="008E7C4C" w14:paraId="47B55611" w14:textId="77777777" w:rsidTr="00C04EB3">
        <w:tc>
          <w:tcPr>
            <w:tcW w:w="3964" w:type="dxa"/>
          </w:tcPr>
          <w:p w14:paraId="586DAE41" w14:textId="203889A0" w:rsidR="00FC5247" w:rsidRPr="008E7C4C" w:rsidRDefault="00FC5247" w:rsidP="00FC5247">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Unadjusted OS HR, Weibull applied from 85 months, time horizon 20 years</w:t>
            </w:r>
          </w:p>
        </w:tc>
        <w:tc>
          <w:tcPr>
            <w:tcW w:w="1273" w:type="dxa"/>
          </w:tcPr>
          <w:p w14:paraId="02C2E6B5" w14:textId="1106A4D2"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60" w:id="-1502411505"/>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60" w:id="-1502411505"/>
                <w14:textFill>
                  <w14:solidFill>
                    <w14:srgbClr w14:val="000000">
                      <w14:alpha w14:val="100000"/>
                    </w14:srgbClr>
                  </w14:solidFill>
                </w14:textFill>
              </w:rPr>
              <w:t>|</w:t>
            </w:r>
            <w:r w:rsidR="00951174" w:rsidRPr="00951174">
              <w:rPr>
                <w:rFonts w:ascii="Arial Narrow" w:hAnsi="Arial Narrow" w:hint="eastAsia"/>
                <w:color w:val="000000"/>
                <w:spacing w:val="-5"/>
                <w:w w:val="15"/>
                <w:sz w:val="20"/>
                <w:szCs w:val="20"/>
                <w:shd w:val="solid" w:color="000000" w:fill="000000"/>
                <w:fitText w:val="60" w:id="-1502411505"/>
                <w14:textFill>
                  <w14:solidFill>
                    <w14:srgbClr w14:val="000000">
                      <w14:alpha w14:val="100000"/>
                    </w14:srgbClr>
                  </w14:solidFill>
                </w14:textFill>
              </w:rPr>
              <w:t xml:space="preserve">　</w:t>
            </w:r>
          </w:p>
        </w:tc>
        <w:tc>
          <w:tcPr>
            <w:tcW w:w="1137" w:type="dxa"/>
          </w:tcPr>
          <w:p w14:paraId="0A19613C" w14:textId="3DE7426E"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0.40</w:t>
            </w:r>
          </w:p>
        </w:tc>
        <w:tc>
          <w:tcPr>
            <w:tcW w:w="1418" w:type="dxa"/>
          </w:tcPr>
          <w:p w14:paraId="0AB3E61D" w14:textId="317F6F91" w:rsidR="00FC5247" w:rsidRPr="001C50BB" w:rsidRDefault="00FC5247" w:rsidP="00FC5247">
            <w:pPr>
              <w:jc w:val="center"/>
              <w:rPr>
                <w:rFonts w:ascii="Arial Narrow" w:eastAsiaTheme="majorEastAsia" w:hAnsi="Arial Narrow" w:cstheme="majorBidi"/>
                <w:bCs/>
                <w:sz w:val="20"/>
                <w:szCs w:val="20"/>
                <w:vertAlign w:val="superscript"/>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30" w:id="-1502411504"/>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30" w:id="-1502411504"/>
                <w14:textFill>
                  <w14:solidFill>
                    <w14:srgbClr w14:val="000000">
                      <w14:alpha w14:val="100000"/>
                    </w14:srgbClr>
                  </w14:solidFill>
                </w14:textFill>
              </w:rPr>
              <w:t>|</w:t>
            </w:r>
            <w:r w:rsidR="00951174" w:rsidRPr="00951174">
              <w:rPr>
                <w:rFonts w:ascii="Arial Narrow" w:hAnsi="Arial Narrow" w:hint="eastAsia"/>
                <w:color w:val="000000"/>
                <w:spacing w:val="-35"/>
                <w:w w:val="15"/>
                <w:sz w:val="20"/>
                <w:szCs w:val="20"/>
                <w:shd w:val="solid" w:color="000000" w:fill="000000"/>
                <w:fitText w:val="30" w:id="-1502411504"/>
                <w14:textFill>
                  <w14:solidFill>
                    <w14:srgbClr w14:val="000000">
                      <w14:alpha w14:val="100000"/>
                    </w14:srgbClr>
                  </w14:solidFill>
                </w14:textFill>
              </w:rPr>
              <w:t xml:space="preserve">　</w:t>
            </w:r>
            <w:r w:rsidR="001C50BB">
              <w:rPr>
                <w:rFonts w:ascii="Arial Narrow" w:hAnsi="Arial Narrow"/>
                <w:sz w:val="20"/>
                <w:szCs w:val="20"/>
                <w:vertAlign w:val="superscript"/>
              </w:rPr>
              <w:t>4</w:t>
            </w:r>
          </w:p>
        </w:tc>
        <w:tc>
          <w:tcPr>
            <w:tcW w:w="1224" w:type="dxa"/>
            <w:shd w:val="clear" w:color="auto" w:fill="auto"/>
          </w:tcPr>
          <w:p w14:paraId="328F8A31" w14:textId="63931F15"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80%</w:t>
            </w:r>
          </w:p>
        </w:tc>
      </w:tr>
      <w:tr w:rsidR="00FC5247" w:rsidRPr="008E7C4C" w14:paraId="1E83C85E" w14:textId="77777777" w:rsidTr="00C04EB3">
        <w:tc>
          <w:tcPr>
            <w:tcW w:w="3964" w:type="dxa"/>
          </w:tcPr>
          <w:p w14:paraId="12B39C13" w14:textId="3E753252" w:rsidR="00FC5247" w:rsidRPr="008E7C4C" w:rsidRDefault="00FC5247" w:rsidP="00FC5247">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Unadjusted OS HR, Weibull applied from 85 months, time horizon 15 years </w:t>
            </w:r>
          </w:p>
        </w:tc>
        <w:tc>
          <w:tcPr>
            <w:tcW w:w="1273" w:type="dxa"/>
          </w:tcPr>
          <w:p w14:paraId="0F774CD6" w14:textId="043A24D9"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60" w:id="-1502411520"/>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60" w:id="-1502411520"/>
                <w14:textFill>
                  <w14:solidFill>
                    <w14:srgbClr w14:val="000000">
                      <w14:alpha w14:val="100000"/>
                    </w14:srgbClr>
                  </w14:solidFill>
                </w14:textFill>
              </w:rPr>
              <w:t>|</w:t>
            </w:r>
            <w:r w:rsidR="00951174" w:rsidRPr="00951174">
              <w:rPr>
                <w:rFonts w:ascii="Arial Narrow" w:hAnsi="Arial Narrow" w:hint="eastAsia"/>
                <w:color w:val="000000"/>
                <w:spacing w:val="-5"/>
                <w:w w:val="15"/>
                <w:sz w:val="20"/>
                <w:szCs w:val="20"/>
                <w:shd w:val="solid" w:color="000000" w:fill="000000"/>
                <w:fitText w:val="60" w:id="-1502411520"/>
                <w14:textFill>
                  <w14:solidFill>
                    <w14:srgbClr w14:val="000000">
                      <w14:alpha w14:val="100000"/>
                    </w14:srgbClr>
                  </w14:solidFill>
                </w14:textFill>
              </w:rPr>
              <w:t xml:space="preserve">　</w:t>
            </w:r>
          </w:p>
        </w:tc>
        <w:tc>
          <w:tcPr>
            <w:tcW w:w="1137" w:type="dxa"/>
          </w:tcPr>
          <w:p w14:paraId="6ECB6F9A" w14:textId="40A41F6F"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0.38</w:t>
            </w:r>
          </w:p>
        </w:tc>
        <w:tc>
          <w:tcPr>
            <w:tcW w:w="1418" w:type="dxa"/>
          </w:tcPr>
          <w:p w14:paraId="0D855A30" w14:textId="6713466B" w:rsidR="00FC5247" w:rsidRPr="001C50BB" w:rsidRDefault="00FC5247" w:rsidP="00FC5247">
            <w:pPr>
              <w:jc w:val="center"/>
              <w:rPr>
                <w:rFonts w:ascii="Arial Narrow" w:eastAsiaTheme="majorEastAsia" w:hAnsi="Arial Narrow" w:cstheme="majorBidi"/>
                <w:bCs/>
                <w:sz w:val="20"/>
                <w:szCs w:val="20"/>
                <w:vertAlign w:val="superscript"/>
              </w:rPr>
            </w:pPr>
            <w:r w:rsidRPr="008E7C4C">
              <w:rPr>
                <w:rFonts w:ascii="Arial Narrow" w:hAnsi="Arial Narrow"/>
                <w:sz w:val="20"/>
                <w:szCs w:val="20"/>
              </w:rPr>
              <w:t>$</w:t>
            </w:r>
            <w:r w:rsidR="00951174" w:rsidRPr="00951174">
              <w:rPr>
                <w:rFonts w:ascii="Arial Narrow" w:hAnsi="Arial Narrow" w:hint="eastAsia"/>
                <w:color w:val="000000"/>
                <w:w w:val="15"/>
                <w:sz w:val="20"/>
                <w:szCs w:val="20"/>
                <w:shd w:val="solid" w:color="000000" w:fill="000000"/>
                <w:fitText w:val="30" w:id="-1502411519"/>
                <w14:textFill>
                  <w14:solidFill>
                    <w14:srgbClr w14:val="000000">
                      <w14:alpha w14:val="100000"/>
                    </w14:srgbClr>
                  </w14:solidFill>
                </w14:textFill>
              </w:rPr>
              <w:t xml:space="preserve">　</w:t>
            </w:r>
            <w:r w:rsidR="00951174" w:rsidRPr="00951174">
              <w:rPr>
                <w:rFonts w:ascii="Arial Narrow" w:hAnsi="Arial Narrow"/>
                <w:color w:val="000000"/>
                <w:w w:val="15"/>
                <w:sz w:val="20"/>
                <w:szCs w:val="20"/>
                <w:shd w:val="solid" w:color="000000" w:fill="000000"/>
                <w:fitText w:val="30" w:id="-1502411519"/>
                <w14:textFill>
                  <w14:solidFill>
                    <w14:srgbClr w14:val="000000">
                      <w14:alpha w14:val="100000"/>
                    </w14:srgbClr>
                  </w14:solidFill>
                </w14:textFill>
              </w:rPr>
              <w:t>|</w:t>
            </w:r>
            <w:r w:rsidR="00951174" w:rsidRPr="00951174">
              <w:rPr>
                <w:rFonts w:ascii="Arial Narrow" w:hAnsi="Arial Narrow" w:hint="eastAsia"/>
                <w:color w:val="000000"/>
                <w:spacing w:val="-35"/>
                <w:w w:val="15"/>
                <w:sz w:val="20"/>
                <w:szCs w:val="20"/>
                <w:shd w:val="solid" w:color="000000" w:fill="000000"/>
                <w:fitText w:val="30" w:id="-1502411519"/>
                <w14:textFill>
                  <w14:solidFill>
                    <w14:srgbClr w14:val="000000">
                      <w14:alpha w14:val="100000"/>
                    </w14:srgbClr>
                  </w14:solidFill>
                </w14:textFill>
              </w:rPr>
              <w:t xml:space="preserve">　</w:t>
            </w:r>
            <w:r w:rsidR="001C50BB">
              <w:rPr>
                <w:rFonts w:ascii="Arial Narrow" w:hAnsi="Arial Narrow"/>
                <w:sz w:val="20"/>
                <w:szCs w:val="20"/>
                <w:vertAlign w:val="superscript"/>
              </w:rPr>
              <w:t>4</w:t>
            </w:r>
          </w:p>
        </w:tc>
        <w:tc>
          <w:tcPr>
            <w:tcW w:w="1224" w:type="dxa"/>
            <w:shd w:val="clear" w:color="auto" w:fill="auto"/>
          </w:tcPr>
          <w:p w14:paraId="4FE1A500" w14:textId="6160C665" w:rsidR="00FC5247" w:rsidRPr="008E7C4C" w:rsidRDefault="00FC5247" w:rsidP="00FC5247">
            <w:pPr>
              <w:jc w:val="center"/>
              <w:rPr>
                <w:rFonts w:ascii="Arial Narrow" w:eastAsiaTheme="majorEastAsia" w:hAnsi="Arial Narrow" w:cstheme="majorBidi"/>
                <w:bCs/>
                <w:sz w:val="20"/>
                <w:szCs w:val="20"/>
              </w:rPr>
            </w:pPr>
            <w:r w:rsidRPr="008E7C4C">
              <w:rPr>
                <w:rFonts w:ascii="Arial Narrow" w:hAnsi="Arial Narrow"/>
                <w:sz w:val="20"/>
                <w:szCs w:val="20"/>
              </w:rPr>
              <w:t>88%</w:t>
            </w:r>
          </w:p>
        </w:tc>
      </w:tr>
      <w:tr w:rsidR="00101E53" w:rsidRPr="008E7C4C" w14:paraId="3E04B7F3" w14:textId="77777777" w:rsidTr="00FA22AF">
        <w:tc>
          <w:tcPr>
            <w:tcW w:w="9016" w:type="dxa"/>
            <w:gridSpan w:val="5"/>
          </w:tcPr>
          <w:p w14:paraId="61456370" w14:textId="5DC638A1" w:rsidR="00101E53" w:rsidRPr="008E7C4C" w:rsidRDefault="00101E53" w:rsidP="00101E53">
            <w:pPr>
              <w:jc w:val="left"/>
              <w:rPr>
                <w:rFonts w:ascii="Arial Narrow" w:hAnsi="Arial Narrow" w:cs="Calibri"/>
                <w:b/>
                <w:bCs/>
                <w:color w:val="000000"/>
                <w:sz w:val="20"/>
                <w:szCs w:val="20"/>
              </w:rPr>
            </w:pPr>
            <w:r w:rsidRPr="008E7C4C">
              <w:rPr>
                <w:rFonts w:ascii="Arial Narrow" w:hAnsi="Arial Narrow" w:cs="Calibri"/>
                <w:b/>
                <w:bCs/>
                <w:color w:val="000000"/>
                <w:sz w:val="20"/>
                <w:szCs w:val="20"/>
              </w:rPr>
              <w:t>PSCR multivariate sensitiv</w:t>
            </w:r>
            <w:r w:rsidR="00CD6CCA" w:rsidRPr="008E7C4C">
              <w:rPr>
                <w:rFonts w:ascii="Arial Narrow" w:hAnsi="Arial Narrow" w:cs="Calibri"/>
                <w:b/>
                <w:bCs/>
                <w:color w:val="000000"/>
                <w:sz w:val="20"/>
                <w:szCs w:val="20"/>
              </w:rPr>
              <w:t>it</w:t>
            </w:r>
            <w:r w:rsidRPr="008E7C4C">
              <w:rPr>
                <w:rFonts w:ascii="Arial Narrow" w:hAnsi="Arial Narrow" w:cs="Calibri"/>
                <w:b/>
                <w:bCs/>
                <w:color w:val="000000"/>
                <w:sz w:val="20"/>
                <w:szCs w:val="20"/>
              </w:rPr>
              <w:t>y analysis</w:t>
            </w:r>
          </w:p>
        </w:tc>
      </w:tr>
      <w:tr w:rsidR="00DE3B60" w:rsidRPr="008E7C4C" w14:paraId="15DBA841" w14:textId="77777777" w:rsidTr="00C04EB3">
        <w:tc>
          <w:tcPr>
            <w:tcW w:w="3964" w:type="dxa"/>
          </w:tcPr>
          <w:p w14:paraId="46807206" w14:textId="31F3E018" w:rsidR="00DE3B60" w:rsidRPr="008E7C4C" w:rsidRDefault="00DE3B60" w:rsidP="000E7B64">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Unadjusted OS HR, generalised gamma applied from 50 months, time horizon 15 </w:t>
            </w:r>
            <w:proofErr w:type="spellStart"/>
            <w:r w:rsidRPr="008E7C4C">
              <w:rPr>
                <w:rFonts w:ascii="Arial Narrow" w:eastAsiaTheme="majorEastAsia" w:hAnsi="Arial Narrow" w:cstheme="majorBidi"/>
                <w:bCs/>
                <w:sz w:val="20"/>
                <w:szCs w:val="20"/>
              </w:rPr>
              <w:t>years</w:t>
            </w:r>
            <w:r w:rsidR="008517B1" w:rsidRPr="008E7C4C">
              <w:rPr>
                <w:rFonts w:ascii="Arial Narrow" w:eastAsiaTheme="majorEastAsia" w:hAnsi="Arial Narrow" w:cstheme="majorBidi"/>
                <w:bCs/>
                <w:sz w:val="20"/>
                <w:szCs w:val="20"/>
                <w:vertAlign w:val="superscript"/>
              </w:rPr>
              <w:t>d</w:t>
            </w:r>
            <w:proofErr w:type="spellEnd"/>
          </w:p>
        </w:tc>
        <w:tc>
          <w:tcPr>
            <w:tcW w:w="1273" w:type="dxa"/>
            <w:vAlign w:val="center"/>
          </w:tcPr>
          <w:p w14:paraId="48A3309D" w14:textId="18DD496D" w:rsidR="00DE3B60" w:rsidRPr="008E7C4C" w:rsidRDefault="00DE3B60" w:rsidP="000E7B64">
            <w:pPr>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518"/>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518"/>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518"/>
                <w14:textFill>
                  <w14:solidFill>
                    <w14:srgbClr w14:val="000000">
                      <w14:alpha w14:val="100000"/>
                    </w14:srgbClr>
                  </w14:solidFill>
                </w14:textFill>
              </w:rPr>
              <w:t xml:space="preserve">　</w:t>
            </w:r>
          </w:p>
        </w:tc>
        <w:tc>
          <w:tcPr>
            <w:tcW w:w="1137" w:type="dxa"/>
            <w:vAlign w:val="center"/>
          </w:tcPr>
          <w:p w14:paraId="378CC81C" w14:textId="3D23DBAC" w:rsidR="00DE3B60" w:rsidRPr="008E7C4C" w:rsidRDefault="00DE3B60" w:rsidP="000E7B64">
            <w:pPr>
              <w:jc w:val="center"/>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0.60</w:t>
            </w:r>
          </w:p>
        </w:tc>
        <w:tc>
          <w:tcPr>
            <w:tcW w:w="1418" w:type="dxa"/>
            <w:vAlign w:val="center"/>
          </w:tcPr>
          <w:p w14:paraId="2EE5A22E" w14:textId="673DCA75" w:rsidR="00DE3B60" w:rsidRPr="001C50BB" w:rsidRDefault="00DE3B60" w:rsidP="000E7B64">
            <w:pPr>
              <w:jc w:val="center"/>
              <w:rPr>
                <w:rFonts w:ascii="Arial Narrow" w:eastAsiaTheme="majorEastAsia" w:hAnsi="Arial Narrow" w:cstheme="majorBidi"/>
                <w:bCs/>
                <w:sz w:val="20"/>
                <w:szCs w:val="20"/>
                <w:vertAlign w:val="superscript"/>
              </w:rPr>
            </w:pPr>
            <w:r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30" w:id="-1502411517"/>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30" w:id="-1502411517"/>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zCs w:val="20"/>
                <w:shd w:val="solid" w:color="000000" w:fill="000000"/>
                <w:fitText w:val="30" w:id="-1502411517"/>
                <w14:textFill>
                  <w14:solidFill>
                    <w14:srgbClr w14:val="000000">
                      <w14:alpha w14:val="100000"/>
                    </w14:srgbClr>
                  </w14:solidFill>
                </w14:textFill>
              </w:rPr>
              <w:t xml:space="preserve">　</w:t>
            </w:r>
            <w:r w:rsidR="001C50BB">
              <w:rPr>
                <w:rFonts w:ascii="Arial Narrow" w:eastAsiaTheme="majorEastAsia" w:hAnsi="Arial Narrow" w:cstheme="majorBidi"/>
                <w:bCs/>
                <w:sz w:val="20"/>
                <w:szCs w:val="20"/>
                <w:vertAlign w:val="superscript"/>
              </w:rPr>
              <w:t>2</w:t>
            </w:r>
          </w:p>
        </w:tc>
        <w:tc>
          <w:tcPr>
            <w:tcW w:w="1224" w:type="dxa"/>
            <w:shd w:val="clear" w:color="auto" w:fill="auto"/>
            <w:vAlign w:val="center"/>
          </w:tcPr>
          <w:p w14:paraId="3A8B878B" w14:textId="227F5B4C" w:rsidR="00DE3B60" w:rsidRPr="008E7C4C" w:rsidRDefault="008517B1" w:rsidP="000E7B64">
            <w:pPr>
              <w:jc w:val="center"/>
              <w:rPr>
                <w:rFonts w:ascii="Arial Narrow" w:hAnsi="Arial Narrow" w:cs="Calibri"/>
                <w:color w:val="000000"/>
                <w:sz w:val="20"/>
                <w:szCs w:val="20"/>
              </w:rPr>
            </w:pPr>
            <w:r w:rsidRPr="008E7C4C">
              <w:rPr>
                <w:rFonts w:ascii="Arial Narrow" w:hAnsi="Arial Narrow" w:cs="Calibri"/>
                <w:color w:val="000000"/>
                <w:sz w:val="20"/>
                <w:szCs w:val="20"/>
              </w:rPr>
              <w:t>18%</w:t>
            </w:r>
          </w:p>
        </w:tc>
      </w:tr>
      <w:tr w:rsidR="005238EC" w:rsidRPr="008E7C4C" w14:paraId="1251245E" w14:textId="77777777" w:rsidTr="009723B4">
        <w:tc>
          <w:tcPr>
            <w:tcW w:w="9016" w:type="dxa"/>
            <w:gridSpan w:val="5"/>
          </w:tcPr>
          <w:p w14:paraId="5D43EFBE" w14:textId="300A0243" w:rsidR="005238EC" w:rsidRPr="008E7C4C" w:rsidRDefault="005238EC" w:rsidP="005238EC">
            <w:pPr>
              <w:jc w:val="left"/>
              <w:rPr>
                <w:rFonts w:ascii="Arial Narrow" w:hAnsi="Arial Narrow" w:cs="Calibri"/>
                <w:color w:val="000000"/>
                <w:sz w:val="20"/>
                <w:szCs w:val="20"/>
              </w:rPr>
            </w:pPr>
            <w:r w:rsidRPr="008E7C4C">
              <w:rPr>
                <w:rFonts w:ascii="Arial Narrow" w:hAnsi="Arial Narrow" w:cs="Calibri"/>
                <w:b/>
                <w:bCs/>
                <w:color w:val="000000"/>
                <w:sz w:val="20"/>
                <w:szCs w:val="20"/>
              </w:rPr>
              <w:t>ESC multivariate sensitivity analysis</w:t>
            </w:r>
          </w:p>
        </w:tc>
      </w:tr>
      <w:tr w:rsidR="00E910AF" w:rsidRPr="008E7C4C" w14:paraId="3BA0842B" w14:textId="77777777" w:rsidTr="00C04EB3">
        <w:tc>
          <w:tcPr>
            <w:tcW w:w="3964" w:type="dxa"/>
          </w:tcPr>
          <w:p w14:paraId="3B726D7D" w14:textId="0CD919CC" w:rsidR="00E910AF" w:rsidRPr="008E7C4C" w:rsidRDefault="00E910AF" w:rsidP="00E910AF">
            <w:pPr>
              <w:jc w:val="left"/>
              <w:rPr>
                <w:rFonts w:ascii="Arial Narrow" w:eastAsiaTheme="majorEastAsia" w:hAnsi="Arial Narrow" w:cstheme="majorBidi"/>
                <w:bCs/>
                <w:sz w:val="20"/>
                <w:szCs w:val="20"/>
              </w:rPr>
            </w:pPr>
            <w:r w:rsidRPr="008E7C4C">
              <w:rPr>
                <w:rFonts w:ascii="Arial Narrow" w:eastAsiaTheme="minorHAnsi" w:hAnsi="Arial Narrow"/>
                <w:sz w:val="20"/>
                <w:szCs w:val="20"/>
              </w:rPr>
              <w:t xml:space="preserve">Unadjusted OS HR, </w:t>
            </w:r>
            <w:proofErr w:type="spellStart"/>
            <w:r w:rsidRPr="008E7C4C">
              <w:rPr>
                <w:rFonts w:ascii="Arial Narrow" w:eastAsiaTheme="minorHAnsi" w:hAnsi="Arial Narrow"/>
                <w:sz w:val="20"/>
                <w:szCs w:val="20"/>
              </w:rPr>
              <w:t>Gompertz</w:t>
            </w:r>
            <w:proofErr w:type="spellEnd"/>
            <w:r w:rsidRPr="008E7C4C">
              <w:rPr>
                <w:rFonts w:ascii="Arial Narrow" w:eastAsiaTheme="minorHAnsi" w:hAnsi="Arial Narrow"/>
                <w:sz w:val="20"/>
                <w:szCs w:val="20"/>
              </w:rPr>
              <w:t xml:space="preserve"> applied from 60 months, time horizon 15 years and remove extrapolation from </w:t>
            </w:r>
            <w:proofErr w:type="spellStart"/>
            <w:r w:rsidRPr="008E7C4C">
              <w:rPr>
                <w:rFonts w:ascii="Arial Narrow" w:eastAsiaTheme="minorHAnsi" w:hAnsi="Arial Narrow"/>
                <w:sz w:val="20"/>
                <w:szCs w:val="20"/>
              </w:rPr>
              <w:t>ToT</w:t>
            </w:r>
            <w:proofErr w:type="spellEnd"/>
            <w:r w:rsidRPr="008E7C4C">
              <w:rPr>
                <w:rFonts w:ascii="Arial Narrow" w:eastAsiaTheme="minorHAnsi" w:hAnsi="Arial Narrow"/>
                <w:sz w:val="20"/>
                <w:szCs w:val="20"/>
              </w:rPr>
              <w:t xml:space="preserve"> </w:t>
            </w:r>
            <w:proofErr w:type="spellStart"/>
            <w:r w:rsidRPr="008E7C4C">
              <w:rPr>
                <w:rFonts w:ascii="Arial Narrow" w:eastAsiaTheme="minorHAnsi" w:hAnsi="Arial Narrow"/>
                <w:sz w:val="20"/>
                <w:szCs w:val="20"/>
              </w:rPr>
              <w:t>curves</w:t>
            </w:r>
            <w:r w:rsidRPr="008E7C4C">
              <w:rPr>
                <w:rFonts w:ascii="Arial Narrow" w:eastAsiaTheme="minorHAnsi" w:hAnsi="Arial Narrow"/>
                <w:sz w:val="20"/>
                <w:szCs w:val="20"/>
                <w:vertAlign w:val="superscript"/>
              </w:rPr>
              <w:t>f</w:t>
            </w:r>
            <w:proofErr w:type="spellEnd"/>
          </w:p>
        </w:tc>
        <w:tc>
          <w:tcPr>
            <w:tcW w:w="1273" w:type="dxa"/>
            <w:vAlign w:val="center"/>
          </w:tcPr>
          <w:p w14:paraId="2FDF366B" w14:textId="618F04CF" w:rsidR="00E910AF" w:rsidRPr="008E7C4C" w:rsidRDefault="00E910AF" w:rsidP="00E910AF">
            <w:pPr>
              <w:jc w:val="center"/>
              <w:rPr>
                <w:rFonts w:ascii="Arial Narrow" w:eastAsiaTheme="majorEastAsia" w:hAnsi="Arial Narrow" w:cstheme="majorBidi"/>
                <w:bCs/>
                <w:sz w:val="20"/>
                <w:szCs w:val="20"/>
              </w:rPr>
            </w:pPr>
            <w:r w:rsidRPr="008E7C4C">
              <w:rPr>
                <w:rFonts w:ascii="Arial Narrow" w:eastAsiaTheme="minorHAnsi" w:hAnsi="Arial Narrow"/>
                <w:sz w:val="20"/>
                <w:szCs w:val="20"/>
              </w:rPr>
              <w:t>$</w:t>
            </w:r>
            <w:r w:rsidR="00951174" w:rsidRPr="00951174">
              <w:rPr>
                <w:rFonts w:ascii="Arial Narrow" w:eastAsiaTheme="minorHAnsi" w:hAnsi="Arial Narrow" w:hint="eastAsia"/>
                <w:color w:val="000000"/>
                <w:w w:val="15"/>
                <w:sz w:val="20"/>
                <w:szCs w:val="20"/>
                <w:shd w:val="solid" w:color="000000" w:fill="000000"/>
                <w:fitText w:val="60" w:id="-1502411264"/>
                <w14:textFill>
                  <w14:solidFill>
                    <w14:srgbClr w14:val="000000">
                      <w14:alpha w14:val="100000"/>
                    </w14:srgbClr>
                  </w14:solidFill>
                </w14:textFill>
              </w:rPr>
              <w:t xml:space="preserve">　</w:t>
            </w:r>
            <w:r w:rsidR="00951174" w:rsidRPr="00951174">
              <w:rPr>
                <w:rFonts w:ascii="Arial Narrow" w:eastAsiaTheme="minorHAnsi" w:hAnsi="Arial Narrow"/>
                <w:color w:val="000000"/>
                <w:w w:val="15"/>
                <w:sz w:val="20"/>
                <w:szCs w:val="20"/>
                <w:shd w:val="solid" w:color="000000" w:fill="000000"/>
                <w:fitText w:val="60" w:id="-1502411264"/>
                <w14:textFill>
                  <w14:solidFill>
                    <w14:srgbClr w14:val="000000">
                      <w14:alpha w14:val="100000"/>
                    </w14:srgbClr>
                  </w14:solidFill>
                </w14:textFill>
              </w:rPr>
              <w:t>|</w:t>
            </w:r>
            <w:r w:rsidR="00951174" w:rsidRPr="00951174">
              <w:rPr>
                <w:rFonts w:ascii="Arial Narrow" w:eastAsiaTheme="minorHAnsi" w:hAnsi="Arial Narrow" w:hint="eastAsia"/>
                <w:color w:val="000000"/>
                <w:spacing w:val="-5"/>
                <w:w w:val="15"/>
                <w:sz w:val="20"/>
                <w:szCs w:val="20"/>
                <w:shd w:val="solid" w:color="000000" w:fill="000000"/>
                <w:fitText w:val="60" w:id="-1502411264"/>
                <w14:textFill>
                  <w14:solidFill>
                    <w14:srgbClr w14:val="000000">
                      <w14:alpha w14:val="100000"/>
                    </w14:srgbClr>
                  </w14:solidFill>
                </w14:textFill>
              </w:rPr>
              <w:t xml:space="preserve">　</w:t>
            </w:r>
          </w:p>
        </w:tc>
        <w:tc>
          <w:tcPr>
            <w:tcW w:w="1137" w:type="dxa"/>
            <w:vAlign w:val="center"/>
          </w:tcPr>
          <w:p w14:paraId="213770D4" w14:textId="6B30FC18" w:rsidR="00E910AF" w:rsidRPr="008E7C4C" w:rsidRDefault="00E910AF" w:rsidP="00E910AF">
            <w:pPr>
              <w:jc w:val="center"/>
              <w:rPr>
                <w:rFonts w:ascii="Arial Narrow" w:eastAsiaTheme="majorEastAsia" w:hAnsi="Arial Narrow" w:cstheme="majorBidi"/>
                <w:bCs/>
                <w:sz w:val="20"/>
                <w:szCs w:val="20"/>
              </w:rPr>
            </w:pPr>
            <w:r w:rsidRPr="008E7C4C">
              <w:rPr>
                <w:rFonts w:ascii="Arial Narrow" w:eastAsiaTheme="minorHAnsi" w:hAnsi="Arial Narrow"/>
                <w:sz w:val="20"/>
                <w:szCs w:val="20"/>
              </w:rPr>
              <w:t>0.44</w:t>
            </w:r>
          </w:p>
        </w:tc>
        <w:tc>
          <w:tcPr>
            <w:tcW w:w="1418" w:type="dxa"/>
            <w:vAlign w:val="center"/>
          </w:tcPr>
          <w:p w14:paraId="66F03334" w14:textId="63EA0B05" w:rsidR="00E910AF" w:rsidRPr="001C50BB" w:rsidRDefault="00E910AF" w:rsidP="00E910AF">
            <w:pPr>
              <w:jc w:val="center"/>
              <w:rPr>
                <w:rFonts w:ascii="Arial Narrow" w:eastAsiaTheme="majorEastAsia" w:hAnsi="Arial Narrow" w:cstheme="majorBidi"/>
                <w:bCs/>
                <w:sz w:val="20"/>
                <w:szCs w:val="20"/>
                <w:vertAlign w:val="superscript"/>
              </w:rPr>
            </w:pPr>
            <w:r w:rsidRPr="008E7C4C">
              <w:rPr>
                <w:rFonts w:ascii="Arial Narrow" w:eastAsiaTheme="minorHAnsi" w:hAnsi="Arial Narrow"/>
                <w:sz w:val="20"/>
                <w:szCs w:val="20"/>
              </w:rPr>
              <w:t>$</w:t>
            </w:r>
            <w:r w:rsidR="00951174" w:rsidRPr="00951174">
              <w:rPr>
                <w:rFonts w:ascii="Arial Narrow" w:eastAsiaTheme="minorHAnsi" w:hAnsi="Arial Narrow" w:hint="eastAsia"/>
                <w:color w:val="000000"/>
                <w:w w:val="15"/>
                <w:sz w:val="20"/>
                <w:szCs w:val="20"/>
                <w:shd w:val="solid" w:color="000000" w:fill="000000"/>
                <w:fitText w:val="30" w:id="-1502411263"/>
                <w14:textFill>
                  <w14:solidFill>
                    <w14:srgbClr w14:val="000000">
                      <w14:alpha w14:val="100000"/>
                    </w14:srgbClr>
                  </w14:solidFill>
                </w14:textFill>
              </w:rPr>
              <w:t xml:space="preserve">　</w:t>
            </w:r>
            <w:r w:rsidR="00951174" w:rsidRPr="00951174">
              <w:rPr>
                <w:rFonts w:ascii="Arial Narrow" w:eastAsiaTheme="minorHAnsi" w:hAnsi="Arial Narrow"/>
                <w:color w:val="000000"/>
                <w:w w:val="15"/>
                <w:sz w:val="20"/>
                <w:szCs w:val="20"/>
                <w:shd w:val="solid" w:color="000000" w:fill="000000"/>
                <w:fitText w:val="30" w:id="-1502411263"/>
                <w14:textFill>
                  <w14:solidFill>
                    <w14:srgbClr w14:val="000000">
                      <w14:alpha w14:val="100000"/>
                    </w14:srgbClr>
                  </w14:solidFill>
                </w14:textFill>
              </w:rPr>
              <w:t>|</w:t>
            </w:r>
            <w:r w:rsidR="00951174" w:rsidRPr="00951174">
              <w:rPr>
                <w:rFonts w:ascii="Arial Narrow" w:eastAsiaTheme="minorHAnsi" w:hAnsi="Arial Narrow" w:hint="eastAsia"/>
                <w:color w:val="000000"/>
                <w:spacing w:val="-35"/>
                <w:w w:val="15"/>
                <w:sz w:val="20"/>
                <w:szCs w:val="20"/>
                <w:shd w:val="solid" w:color="000000" w:fill="000000"/>
                <w:fitText w:val="30" w:id="-1502411263"/>
                <w14:textFill>
                  <w14:solidFill>
                    <w14:srgbClr w14:val="000000">
                      <w14:alpha w14:val="100000"/>
                    </w14:srgbClr>
                  </w14:solidFill>
                </w14:textFill>
              </w:rPr>
              <w:t xml:space="preserve">　</w:t>
            </w:r>
            <w:r w:rsidR="001C50BB">
              <w:rPr>
                <w:rFonts w:ascii="Arial Narrow" w:eastAsiaTheme="minorHAnsi" w:hAnsi="Arial Narrow"/>
                <w:sz w:val="20"/>
                <w:szCs w:val="20"/>
                <w:vertAlign w:val="superscript"/>
              </w:rPr>
              <w:t>3</w:t>
            </w:r>
          </w:p>
        </w:tc>
        <w:tc>
          <w:tcPr>
            <w:tcW w:w="1224" w:type="dxa"/>
            <w:shd w:val="clear" w:color="auto" w:fill="auto"/>
            <w:vAlign w:val="center"/>
          </w:tcPr>
          <w:p w14:paraId="27E948F4" w14:textId="3A1BF397" w:rsidR="00E910AF" w:rsidRPr="008E7C4C" w:rsidRDefault="00E910AF" w:rsidP="00E910AF">
            <w:pPr>
              <w:jc w:val="center"/>
              <w:rPr>
                <w:rFonts w:ascii="Arial Narrow" w:hAnsi="Arial Narrow" w:cs="Calibri"/>
                <w:color w:val="000000"/>
                <w:sz w:val="20"/>
                <w:szCs w:val="20"/>
              </w:rPr>
            </w:pPr>
            <w:r w:rsidRPr="008E7C4C">
              <w:rPr>
                <w:rFonts w:ascii="Arial Narrow" w:eastAsiaTheme="minorHAnsi" w:hAnsi="Arial Narrow"/>
                <w:color w:val="000000"/>
                <w:sz w:val="20"/>
                <w:szCs w:val="20"/>
              </w:rPr>
              <w:t>70%</w:t>
            </w:r>
          </w:p>
        </w:tc>
      </w:tr>
    </w:tbl>
    <w:p w14:paraId="40AA900C" w14:textId="77777777" w:rsidR="00CC25DE" w:rsidRPr="008E7C4C" w:rsidRDefault="00CC25DE" w:rsidP="00136562">
      <w:pPr>
        <w:pStyle w:val="PBACTableSource"/>
        <w:rPr>
          <w:snapToGrid w:val="0"/>
        </w:rPr>
      </w:pPr>
      <w:r w:rsidRPr="008E7C4C">
        <w:rPr>
          <w:snapToGrid w:val="0"/>
        </w:rPr>
        <w:t>Source: Table 3-22, p 114 of the resubmission.</w:t>
      </w:r>
    </w:p>
    <w:p w14:paraId="6A64E44A" w14:textId="380A3C1B" w:rsidR="00CC25DE" w:rsidRPr="008E7C4C" w:rsidRDefault="00CC25DE" w:rsidP="00136562">
      <w:pPr>
        <w:pStyle w:val="PBACTableSource"/>
      </w:pPr>
      <w:r w:rsidRPr="008E7C4C">
        <w:t xml:space="preserve">ICER = incremental cost-effectiveness ratio; </w:t>
      </w:r>
      <w:proofErr w:type="spellStart"/>
      <w:r w:rsidRPr="008E7C4C">
        <w:t>ILd</w:t>
      </w:r>
      <w:proofErr w:type="spellEnd"/>
      <w:r w:rsidRPr="008E7C4C">
        <w:t xml:space="preserve"> = </w:t>
      </w:r>
      <w:proofErr w:type="spellStart"/>
      <w:r w:rsidRPr="008E7C4C">
        <w:t>ixazomib</w:t>
      </w:r>
      <w:proofErr w:type="spellEnd"/>
      <w:r w:rsidR="00D95A0C" w:rsidRPr="008E7C4C">
        <w:t xml:space="preserve"> +</w:t>
      </w:r>
      <w:r w:rsidRPr="008E7C4C">
        <w:t xml:space="preserve"> lenalidomide </w:t>
      </w:r>
      <w:r w:rsidR="00D95A0C" w:rsidRPr="008E7C4C">
        <w:t>+</w:t>
      </w:r>
      <w:r w:rsidRPr="008E7C4C">
        <w:t xml:space="preserve"> dexamethasone; IPWC = Inverse probability of censoring weights; </w:t>
      </w:r>
      <w:proofErr w:type="spellStart"/>
      <w:r w:rsidRPr="008E7C4C">
        <w:t>Ld</w:t>
      </w:r>
      <w:proofErr w:type="spellEnd"/>
      <w:r w:rsidRPr="008E7C4C">
        <w:t xml:space="preserve"> = lenalidomide </w:t>
      </w:r>
      <w:r w:rsidR="00D95A0C" w:rsidRPr="008E7C4C">
        <w:t>+</w:t>
      </w:r>
      <w:r w:rsidRPr="008E7C4C">
        <w:t xml:space="preserve"> dexamethasone; OS = overall survival; PBS = </w:t>
      </w:r>
      <w:r w:rsidR="00D95A0C" w:rsidRPr="008E7C4C">
        <w:t>P</w:t>
      </w:r>
      <w:r w:rsidRPr="008E7C4C">
        <w:t xml:space="preserve">harmaceutical </w:t>
      </w:r>
      <w:r w:rsidR="00D95A0C" w:rsidRPr="008E7C4C">
        <w:t>B</w:t>
      </w:r>
      <w:r w:rsidRPr="008E7C4C">
        <w:t xml:space="preserve">enefits </w:t>
      </w:r>
      <w:r w:rsidR="00D95A0C" w:rsidRPr="008E7C4C">
        <w:t>S</w:t>
      </w:r>
      <w:r w:rsidRPr="008E7C4C">
        <w:t xml:space="preserve">cheme; PFS = progression free survival; </w:t>
      </w:r>
      <w:proofErr w:type="spellStart"/>
      <w:r w:rsidRPr="008E7C4C">
        <w:t>ToT</w:t>
      </w:r>
      <w:proofErr w:type="spellEnd"/>
      <w:r w:rsidRPr="008E7C4C">
        <w:t xml:space="preserve"> = time on treatment.</w:t>
      </w:r>
    </w:p>
    <w:p w14:paraId="3B96D31C" w14:textId="20A841DD" w:rsidR="00CC25DE" w:rsidRPr="008E7C4C" w:rsidRDefault="00CC25DE" w:rsidP="00136562">
      <w:pPr>
        <w:pStyle w:val="PBACTableSource"/>
      </w:pPr>
      <w:r w:rsidRPr="008E7C4C">
        <w:lastRenderedPageBreak/>
        <w:t>a</w:t>
      </w:r>
      <w:r w:rsidR="00D95A0C" w:rsidRPr="008E7C4C">
        <w:t>. M</w:t>
      </w:r>
      <w:r w:rsidRPr="008E7C4C">
        <w:t xml:space="preserve">edian time to follow-up of 85 month, the OS values were adjusted for </w:t>
      </w:r>
      <w:proofErr w:type="spellStart"/>
      <w:r w:rsidRPr="008E7C4C">
        <w:t>ILd</w:t>
      </w:r>
      <w:proofErr w:type="spellEnd"/>
      <w:r w:rsidRPr="008E7C4C">
        <w:t xml:space="preserve"> in worksheet ‘Comp2’, cells BE9:BE378 to reflect the </w:t>
      </w:r>
      <w:proofErr w:type="spellStart"/>
      <w:r w:rsidRPr="008E7C4C">
        <w:t>ILd</w:t>
      </w:r>
      <w:proofErr w:type="spellEnd"/>
      <w:r w:rsidRPr="008E7C4C">
        <w:t xml:space="preserve"> KM data in Cells AS9:AS378.; for </w:t>
      </w:r>
      <w:proofErr w:type="spellStart"/>
      <w:r w:rsidRPr="008E7C4C">
        <w:t>Ld</w:t>
      </w:r>
      <w:proofErr w:type="spellEnd"/>
      <w:r w:rsidRPr="008E7C4C">
        <w:t xml:space="preserve"> in worksheet ‘Comp1’, cells BE9:BE378 to reflect the </w:t>
      </w:r>
      <w:proofErr w:type="spellStart"/>
      <w:r w:rsidRPr="008E7C4C">
        <w:t>Ld</w:t>
      </w:r>
      <w:proofErr w:type="spellEnd"/>
      <w:r w:rsidRPr="008E7C4C">
        <w:t xml:space="preserve"> KM data in Cells AS9:</w:t>
      </w:r>
      <w:proofErr w:type="gramStart"/>
      <w:r w:rsidRPr="008E7C4C">
        <w:t>AS378;</w:t>
      </w:r>
      <w:proofErr w:type="gramEnd"/>
      <w:r w:rsidRPr="008E7C4C">
        <w:t xml:space="preserve"> </w:t>
      </w:r>
    </w:p>
    <w:p w14:paraId="242DA60D" w14:textId="66AEAF45" w:rsidR="00CC25DE" w:rsidRPr="008E7C4C" w:rsidRDefault="00CC25DE" w:rsidP="00136562">
      <w:pPr>
        <w:pStyle w:val="PBACTableSource"/>
      </w:pPr>
      <w:r w:rsidRPr="008E7C4C">
        <w:t>b</w:t>
      </w:r>
      <w:r w:rsidR="00D95A0C" w:rsidRPr="008E7C4C">
        <w:t>. F</w:t>
      </w:r>
      <w:r w:rsidRPr="008E7C4C">
        <w:t xml:space="preserve">or 50 months (median OS) similarly the cells ranged BR 9:BE226 were adjusted for both treatment </w:t>
      </w:r>
      <w:proofErr w:type="gramStart"/>
      <w:r w:rsidRPr="008E7C4C">
        <w:t>arms;</w:t>
      </w:r>
      <w:proofErr w:type="gramEnd"/>
      <w:r w:rsidRPr="008E7C4C">
        <w:t xml:space="preserve"> </w:t>
      </w:r>
    </w:p>
    <w:p w14:paraId="06480224" w14:textId="1866F69F" w:rsidR="00CC25DE" w:rsidRPr="008E7C4C" w:rsidRDefault="00CC25DE" w:rsidP="00136562">
      <w:pPr>
        <w:pStyle w:val="PBACTableSource"/>
      </w:pPr>
      <w:r w:rsidRPr="008E7C4C">
        <w:t>c</w:t>
      </w:r>
      <w:r w:rsidR="00D95A0C" w:rsidRPr="008E7C4C">
        <w:t xml:space="preserve">. </w:t>
      </w:r>
      <w:r w:rsidRPr="008E7C4C">
        <w:t>Only including the AEs rates for diarrhoea and thrombocytopenia (as per the Economic model), the AEs cost per cycle was $</w:t>
      </w:r>
      <w:proofErr w:type="gramStart"/>
      <w:r w:rsidR="00951174" w:rsidRPr="00951174">
        <w:rPr>
          <w:spacing w:val="40"/>
          <w:shd w:val="solid" w:color="000000" w:fill="000000"/>
          <w:fitText w:val="280" w:id="-1502411262"/>
          <w14:textFill>
            <w14:solidFill>
              <w14:srgbClr w14:val="000000">
                <w14:alpha w14:val="100000"/>
              </w14:srgbClr>
            </w14:solidFill>
          </w14:textFill>
        </w:rPr>
        <w:t xml:space="preserve">|  </w:t>
      </w:r>
      <w:r w:rsidR="00951174" w:rsidRPr="00951174">
        <w:rPr>
          <w:spacing w:val="2"/>
          <w:shd w:val="solid" w:color="000000" w:fill="000000"/>
          <w:fitText w:val="280" w:id="-1502411262"/>
          <w14:textFill>
            <w14:solidFill>
              <w14:srgbClr w14:val="000000">
                <w14:alpha w14:val="100000"/>
              </w14:srgbClr>
            </w14:solidFill>
          </w14:textFill>
        </w:rPr>
        <w:t>|</w:t>
      </w:r>
      <w:proofErr w:type="gramEnd"/>
      <w:r w:rsidRPr="008E7C4C">
        <w:t xml:space="preserve"> for </w:t>
      </w:r>
      <w:proofErr w:type="spellStart"/>
      <w:r w:rsidRPr="008E7C4C">
        <w:t>ILd</w:t>
      </w:r>
      <w:proofErr w:type="spellEnd"/>
      <w:r w:rsidRPr="008E7C4C">
        <w:t xml:space="preserve"> and $</w:t>
      </w:r>
      <w:r w:rsidR="00951174" w:rsidRPr="00951174">
        <w:rPr>
          <w:spacing w:val="40"/>
          <w:shd w:val="solid" w:color="000000" w:fill="000000"/>
          <w:fitText w:val="280" w:id="-1502411261"/>
          <w14:textFill>
            <w14:solidFill>
              <w14:srgbClr w14:val="000000">
                <w14:alpha w14:val="100000"/>
              </w14:srgbClr>
            </w14:solidFill>
          </w14:textFill>
        </w:rPr>
        <w:t xml:space="preserve">|  </w:t>
      </w:r>
      <w:r w:rsidR="00951174" w:rsidRPr="00951174">
        <w:rPr>
          <w:spacing w:val="2"/>
          <w:shd w:val="solid" w:color="000000" w:fill="000000"/>
          <w:fitText w:val="280" w:id="-1502411261"/>
          <w14:textFill>
            <w14:solidFill>
              <w14:srgbClr w14:val="000000">
                <w14:alpha w14:val="100000"/>
              </w14:srgbClr>
            </w14:solidFill>
          </w14:textFill>
        </w:rPr>
        <w:t>|</w:t>
      </w:r>
      <w:r w:rsidRPr="008E7C4C">
        <w:t xml:space="preserve"> for </w:t>
      </w:r>
      <w:proofErr w:type="spellStart"/>
      <w:r w:rsidRPr="008E7C4C">
        <w:t>Ld</w:t>
      </w:r>
      <w:proofErr w:type="spellEnd"/>
      <w:r w:rsidRPr="008E7C4C">
        <w:t xml:space="preserve"> (compared to base case $</w:t>
      </w:r>
      <w:r w:rsidR="00951174" w:rsidRPr="00951174">
        <w:rPr>
          <w:spacing w:val="40"/>
          <w:shd w:val="solid" w:color="000000" w:fill="000000"/>
          <w:fitText w:val="280" w:id="-1502411260"/>
          <w14:textFill>
            <w14:solidFill>
              <w14:srgbClr w14:val="000000">
                <w14:alpha w14:val="100000"/>
              </w14:srgbClr>
            </w14:solidFill>
          </w14:textFill>
        </w:rPr>
        <w:t xml:space="preserve">|  </w:t>
      </w:r>
      <w:r w:rsidR="00951174" w:rsidRPr="00951174">
        <w:rPr>
          <w:spacing w:val="2"/>
          <w:shd w:val="solid" w:color="000000" w:fill="000000"/>
          <w:fitText w:val="280" w:id="-1502411260"/>
          <w14:textFill>
            <w14:solidFill>
              <w14:srgbClr w14:val="000000">
                <w14:alpha w14:val="100000"/>
              </w14:srgbClr>
            </w14:solidFill>
          </w14:textFill>
        </w:rPr>
        <w:t>|</w:t>
      </w:r>
      <w:r w:rsidRPr="008E7C4C">
        <w:t xml:space="preserve"> (</w:t>
      </w:r>
      <w:proofErr w:type="spellStart"/>
      <w:r w:rsidRPr="008E7C4C">
        <w:t>ILd</w:t>
      </w:r>
      <w:proofErr w:type="spellEnd"/>
      <w:r w:rsidRPr="008E7C4C">
        <w:t>) and $</w:t>
      </w:r>
      <w:r w:rsidR="00951174" w:rsidRPr="00951174">
        <w:rPr>
          <w:spacing w:val="40"/>
          <w:shd w:val="solid" w:color="000000" w:fill="000000"/>
          <w:fitText w:val="280" w:id="-1502411259"/>
          <w14:textFill>
            <w14:solidFill>
              <w14:srgbClr w14:val="000000">
                <w14:alpha w14:val="100000"/>
              </w14:srgbClr>
            </w14:solidFill>
          </w14:textFill>
        </w:rPr>
        <w:t xml:space="preserve">|  </w:t>
      </w:r>
      <w:r w:rsidR="00951174" w:rsidRPr="00951174">
        <w:rPr>
          <w:spacing w:val="2"/>
          <w:shd w:val="solid" w:color="000000" w:fill="000000"/>
          <w:fitText w:val="280" w:id="-1502411259"/>
          <w14:textFill>
            <w14:solidFill>
              <w14:srgbClr w14:val="000000">
                <w14:alpha w14:val="100000"/>
              </w14:srgbClr>
            </w14:solidFill>
          </w14:textFill>
        </w:rPr>
        <w:t>|</w:t>
      </w:r>
      <w:r w:rsidRPr="008E7C4C">
        <w:t xml:space="preserve"> (</w:t>
      </w:r>
      <w:proofErr w:type="spellStart"/>
      <w:r w:rsidRPr="008E7C4C">
        <w:t>Ld</w:t>
      </w:r>
      <w:proofErr w:type="spellEnd"/>
      <w:r w:rsidRPr="008E7C4C">
        <w:t>)).</w:t>
      </w:r>
    </w:p>
    <w:p w14:paraId="743CB02B" w14:textId="77777777" w:rsidR="0043522C" w:rsidRPr="008E7C4C" w:rsidRDefault="0043522C" w:rsidP="0043522C">
      <w:pPr>
        <w:pStyle w:val="xxpbactablesource"/>
        <w:rPr>
          <w:rFonts w:eastAsiaTheme="minorHAnsi"/>
        </w:rPr>
      </w:pPr>
      <w:r w:rsidRPr="008E7C4C">
        <w:rPr>
          <w:rFonts w:eastAsiaTheme="minorHAnsi"/>
        </w:rPr>
        <w:t>d. Corresponding settings changed on Main Settings sheet as follows (E10=15 years; E24=Unadjusted OS; E32=50; E39=FA – Unadjusted)</w:t>
      </w:r>
    </w:p>
    <w:p w14:paraId="36A4014C" w14:textId="70983434" w:rsidR="0043522C" w:rsidRDefault="0043522C" w:rsidP="0043522C">
      <w:pPr>
        <w:pStyle w:val="xxpbactablesource"/>
        <w:rPr>
          <w:rFonts w:eastAsiaTheme="minorHAnsi"/>
        </w:rPr>
      </w:pPr>
      <w:r w:rsidRPr="008E7C4C">
        <w:rPr>
          <w:rFonts w:eastAsiaTheme="minorHAnsi"/>
        </w:rPr>
        <w:t xml:space="preserve">f. The value of </w:t>
      </w:r>
      <w:proofErr w:type="spellStart"/>
      <w:r w:rsidRPr="008E7C4C">
        <w:rPr>
          <w:rFonts w:eastAsiaTheme="minorHAnsi"/>
        </w:rPr>
        <w:t>ToT</w:t>
      </w:r>
      <w:proofErr w:type="spellEnd"/>
      <w:r w:rsidRPr="008E7C4C">
        <w:rPr>
          <w:rFonts w:eastAsiaTheme="minorHAnsi"/>
        </w:rPr>
        <w:t xml:space="preserve"> time of KM data cut-off is set to 89 months (worksheet Main settings, cell E21); and in worksheet Comp1 and Comp2. Cells U397:U1783 and X397: X1783 are set to Zero (manually removing the link to the extrapolation curve)</w:t>
      </w:r>
    </w:p>
    <w:p w14:paraId="0D00F124" w14:textId="77777777" w:rsidR="0057612F" w:rsidRPr="009A6D58" w:rsidRDefault="0057612F" w:rsidP="0057612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8C46B5F" w14:textId="753266A5" w:rsidR="0057612F" w:rsidRPr="0057612F" w:rsidRDefault="003F67C7" w:rsidP="0057612F">
      <w:pPr>
        <w:pStyle w:val="xxpbactablesource"/>
        <w:rPr>
          <w:rFonts w:eastAsiaTheme="minorHAnsi"/>
        </w:rPr>
      </w:pPr>
      <w:r>
        <w:rPr>
          <w:rFonts w:cs="Arial"/>
          <w:i/>
          <w:color w:val="auto"/>
          <w:vertAlign w:val="superscript"/>
        </w:rPr>
        <w:t>1</w:t>
      </w:r>
      <w:r w:rsidR="0057612F" w:rsidRPr="0057612F">
        <w:rPr>
          <w:rFonts w:cs="Arial"/>
          <w:i/>
          <w:color w:val="auto"/>
        </w:rPr>
        <w:t>$7</w:t>
      </w:r>
      <w:r w:rsidR="0057612F" w:rsidRPr="0057612F">
        <w:rPr>
          <w:rFonts w:eastAsiaTheme="minorHAnsi"/>
        </w:rPr>
        <w:t>5,000 to &lt; $95,000</w:t>
      </w:r>
    </w:p>
    <w:p w14:paraId="7257C565" w14:textId="2998B4F7" w:rsidR="0057612F" w:rsidRPr="0057612F" w:rsidRDefault="003F67C7" w:rsidP="0057612F">
      <w:pPr>
        <w:pStyle w:val="xxpbactablesource"/>
        <w:rPr>
          <w:rFonts w:eastAsiaTheme="minorHAnsi"/>
        </w:rPr>
      </w:pPr>
      <w:r>
        <w:rPr>
          <w:rFonts w:eastAsiaTheme="minorHAnsi"/>
          <w:vertAlign w:val="superscript"/>
        </w:rPr>
        <w:t>2</w:t>
      </w:r>
      <w:r w:rsidR="0057612F" w:rsidRPr="0057612F">
        <w:rPr>
          <w:rFonts w:eastAsiaTheme="minorHAnsi"/>
        </w:rPr>
        <w:t xml:space="preserve">$95,000 to &lt; $115,000 </w:t>
      </w:r>
    </w:p>
    <w:p w14:paraId="2D24E8AA" w14:textId="6263264B" w:rsidR="0057612F" w:rsidRPr="0057612F" w:rsidRDefault="003F67C7" w:rsidP="0057612F">
      <w:pPr>
        <w:pStyle w:val="xxpbactablesource"/>
        <w:rPr>
          <w:rFonts w:eastAsiaTheme="minorHAnsi"/>
        </w:rPr>
      </w:pPr>
      <w:r>
        <w:rPr>
          <w:rFonts w:eastAsiaTheme="minorHAnsi"/>
          <w:vertAlign w:val="superscript"/>
        </w:rPr>
        <w:t>3</w:t>
      </w:r>
      <w:r w:rsidR="0057612F" w:rsidRPr="0057612F">
        <w:rPr>
          <w:rFonts w:eastAsiaTheme="minorHAnsi"/>
        </w:rPr>
        <w:t>$135,000 to &lt; $155,000</w:t>
      </w:r>
    </w:p>
    <w:p w14:paraId="0E0427BC" w14:textId="10C0FECA" w:rsidR="001C50BB" w:rsidRPr="001C50BB" w:rsidRDefault="003F67C7" w:rsidP="001C50BB">
      <w:pPr>
        <w:pStyle w:val="xxpbactablesource"/>
        <w:rPr>
          <w:rFonts w:eastAsiaTheme="minorHAnsi"/>
        </w:rPr>
      </w:pPr>
      <w:r>
        <w:rPr>
          <w:rFonts w:eastAsiaTheme="minorHAnsi"/>
          <w:vertAlign w:val="superscript"/>
        </w:rPr>
        <w:t>4</w:t>
      </w:r>
      <w:r w:rsidR="001C50BB" w:rsidRPr="001C50BB">
        <w:rPr>
          <w:rFonts w:eastAsiaTheme="minorHAnsi"/>
        </w:rPr>
        <w:t>$155,000 to &lt; $255,000</w:t>
      </w:r>
    </w:p>
    <w:p w14:paraId="44265112" w14:textId="77777777" w:rsidR="0057612F" w:rsidRPr="008E7C4C" w:rsidRDefault="0057612F" w:rsidP="0043522C">
      <w:pPr>
        <w:pStyle w:val="xxpbactablesource"/>
        <w:rPr>
          <w:rFonts w:eastAsiaTheme="minorHAnsi"/>
        </w:rPr>
      </w:pPr>
    </w:p>
    <w:p w14:paraId="33D2DF95" w14:textId="399D32B6" w:rsidR="009D3002" w:rsidRPr="008E7C4C" w:rsidRDefault="00B115E1" w:rsidP="009D3002">
      <w:pPr>
        <w:keepNext/>
        <w:keepLines/>
        <w:numPr>
          <w:ilvl w:val="1"/>
          <w:numId w:val="1"/>
        </w:numPr>
        <w:spacing w:after="120"/>
        <w:rPr>
          <w:rFonts w:ascii="Arial Narrow" w:eastAsiaTheme="majorEastAsia" w:hAnsi="Arial Narrow" w:cstheme="majorBidi"/>
          <w:b/>
          <w:bCs/>
          <w:sz w:val="20"/>
        </w:rPr>
      </w:pPr>
      <w:r w:rsidRPr="008E7C4C">
        <w:t>The model was sensitive to the use of the unadjusted OS HR which ICER increased to $</w:t>
      </w:r>
      <w:r w:rsidR="001D50E7">
        <w:t xml:space="preserve">95,000 to &lt; $115,000 </w:t>
      </w:r>
      <w:r w:rsidRPr="008E7C4C">
        <w:t>per QALY. The ESC noted that the multivariate sensitivity analysis presented in the PSCR which applied the unadjusted OS HR resulted in and ICER of $</w:t>
      </w:r>
      <w:r w:rsidR="001D50E7">
        <w:t xml:space="preserve">95,000 to &lt; $115,00 </w:t>
      </w:r>
      <w:r w:rsidRPr="008E7C4C">
        <w:t>per QALY.</w:t>
      </w:r>
      <w:r w:rsidR="00C04EB3" w:rsidRPr="008E7C4C">
        <w:t xml:space="preserve"> </w:t>
      </w:r>
      <w:r w:rsidRPr="008E7C4C">
        <w:t>The ESC considered that a more appropriate base case would (</w:t>
      </w:r>
      <w:proofErr w:type="spellStart"/>
      <w:r w:rsidRPr="008E7C4C">
        <w:t>i</w:t>
      </w:r>
      <w:proofErr w:type="spellEnd"/>
      <w:r w:rsidRPr="008E7C4C">
        <w:t xml:space="preserve">) apply a 15-year time horizon; (ii) apply the unadjusted OS HR; (iii) extrapolate OS from 60 months using the </w:t>
      </w:r>
      <w:proofErr w:type="spellStart"/>
      <w:r w:rsidRPr="008E7C4C">
        <w:t>Gompertz</w:t>
      </w:r>
      <w:proofErr w:type="spellEnd"/>
      <w:r w:rsidRPr="008E7C4C">
        <w:t xml:space="preserve"> function; and (iv) remove extrapolation from the </w:t>
      </w:r>
      <w:proofErr w:type="spellStart"/>
      <w:r w:rsidRPr="008E7C4C">
        <w:t>ToT</w:t>
      </w:r>
      <w:proofErr w:type="spellEnd"/>
      <w:r w:rsidRPr="008E7C4C">
        <w:t xml:space="preserve"> curves. This resulted in an ICER of $</w:t>
      </w:r>
      <w:r w:rsidR="001D50E7">
        <w:t>135,00 to &lt; $155,000</w:t>
      </w:r>
      <w:r w:rsidRPr="008E7C4C">
        <w:t>per QALY.</w:t>
      </w:r>
    </w:p>
    <w:p w14:paraId="726157E9" w14:textId="77777777" w:rsidR="00B115E1" w:rsidRPr="008E7C4C" w:rsidRDefault="00B115E1" w:rsidP="00B115E1">
      <w:pPr>
        <w:pStyle w:val="4-SubsectionHeading"/>
      </w:pPr>
      <w:bookmarkStart w:id="29" w:name="_Toc93487443"/>
      <w:proofErr w:type="spellStart"/>
      <w:r w:rsidRPr="008E7C4C">
        <w:t>Ixazomib</w:t>
      </w:r>
      <w:proofErr w:type="spellEnd"/>
      <w:r w:rsidRPr="008E7C4C">
        <w:t xml:space="preserve"> cost/patient/course</w:t>
      </w:r>
      <w:bookmarkEnd w:id="29"/>
    </w:p>
    <w:p w14:paraId="1B768C4B" w14:textId="58168116" w:rsidR="00B115E1" w:rsidRPr="008E7C4C" w:rsidRDefault="00B115E1" w:rsidP="00B115E1">
      <w:pPr>
        <w:keepNext/>
        <w:keepLines/>
        <w:numPr>
          <w:ilvl w:val="1"/>
          <w:numId w:val="1"/>
        </w:numPr>
        <w:spacing w:after="120"/>
        <w:rPr>
          <w:rFonts w:ascii="Arial Narrow" w:eastAsiaTheme="majorEastAsia" w:hAnsi="Arial Narrow" w:cstheme="majorBidi"/>
          <w:b/>
          <w:bCs/>
          <w:iCs/>
          <w:sz w:val="20"/>
        </w:rPr>
      </w:pPr>
      <w:r w:rsidRPr="008E7C4C">
        <w:rPr>
          <w:rFonts w:asciiTheme="minorHAnsi" w:hAnsiTheme="minorHAnsi"/>
          <w:iCs/>
          <w:snapToGrid w:val="0"/>
        </w:rPr>
        <w:t xml:space="preserve">A summary of the drug cost per patient for </w:t>
      </w:r>
      <w:proofErr w:type="spellStart"/>
      <w:r w:rsidRPr="008E7C4C">
        <w:rPr>
          <w:rFonts w:asciiTheme="minorHAnsi" w:hAnsiTheme="minorHAnsi"/>
          <w:iCs/>
          <w:snapToGrid w:val="0"/>
        </w:rPr>
        <w:t>ILd</w:t>
      </w:r>
      <w:proofErr w:type="spellEnd"/>
      <w:r w:rsidRPr="008E7C4C">
        <w:rPr>
          <w:rFonts w:asciiTheme="minorHAnsi" w:hAnsiTheme="minorHAnsi"/>
          <w:iCs/>
          <w:snapToGrid w:val="0"/>
        </w:rPr>
        <w:t xml:space="preserve"> and </w:t>
      </w:r>
      <w:proofErr w:type="spellStart"/>
      <w:r w:rsidRPr="008E7C4C">
        <w:rPr>
          <w:rFonts w:asciiTheme="minorHAnsi" w:hAnsiTheme="minorHAnsi"/>
          <w:iCs/>
          <w:snapToGrid w:val="0"/>
        </w:rPr>
        <w:t>Ld</w:t>
      </w:r>
      <w:proofErr w:type="spellEnd"/>
      <w:r w:rsidRPr="008E7C4C">
        <w:rPr>
          <w:rFonts w:asciiTheme="minorHAnsi" w:hAnsiTheme="minorHAnsi"/>
          <w:iCs/>
          <w:snapToGrid w:val="0"/>
        </w:rPr>
        <w:t xml:space="preserve"> is provided in Table 16. Based on the CUA, the cost/patient/course for a patient treated with </w:t>
      </w:r>
      <w:proofErr w:type="spellStart"/>
      <w:r w:rsidRPr="008E7C4C">
        <w:rPr>
          <w:rFonts w:asciiTheme="minorHAnsi" w:hAnsiTheme="minorHAnsi"/>
          <w:iCs/>
          <w:snapToGrid w:val="0"/>
        </w:rPr>
        <w:t>ILd</w:t>
      </w:r>
      <w:proofErr w:type="spellEnd"/>
      <w:r w:rsidRPr="008E7C4C">
        <w:rPr>
          <w:rFonts w:asciiTheme="minorHAnsi" w:hAnsiTheme="minorHAnsi"/>
          <w:iCs/>
          <w:snapToGrid w:val="0"/>
        </w:rPr>
        <w:t xml:space="preserve"> was estimated to be $</w:t>
      </w:r>
      <w:proofErr w:type="gramStart"/>
      <w:r w:rsidR="00951174" w:rsidRPr="002D249B">
        <w:rPr>
          <w:rFonts w:asciiTheme="minorHAnsi" w:hAnsiTheme="minorHAnsi"/>
          <w:iCs/>
          <w:snapToGrid w:val="0"/>
          <w:color w:val="000000"/>
          <w:w w:val="15"/>
          <w:shd w:val="solid" w:color="000000" w:fill="000000"/>
          <w:fitText w:val="-20" w:id="-1502411258"/>
          <w14:textFill>
            <w14:solidFill>
              <w14:srgbClr w14:val="000000">
                <w14:alpha w14:val="100000"/>
              </w14:srgbClr>
            </w14:solidFill>
          </w14:textFill>
        </w:rPr>
        <w:t xml:space="preserve">|  </w:t>
      </w:r>
      <w:r w:rsidR="00951174" w:rsidRPr="002D249B">
        <w:rPr>
          <w:rFonts w:asciiTheme="minorHAnsi" w:hAnsiTheme="minorHAnsi"/>
          <w:iCs/>
          <w:snapToGrid w:val="0"/>
          <w:color w:val="000000"/>
          <w:spacing w:val="-69"/>
          <w:w w:val="15"/>
          <w:shd w:val="solid" w:color="000000" w:fill="000000"/>
          <w:fitText w:val="-20" w:id="-1502411258"/>
          <w14:textFill>
            <w14:solidFill>
              <w14:srgbClr w14:val="000000">
                <w14:alpha w14:val="100000"/>
              </w14:srgbClr>
            </w14:solidFill>
          </w14:textFill>
        </w:rPr>
        <w:t>|</w:t>
      </w:r>
      <w:proofErr w:type="gramEnd"/>
      <w:r w:rsidRPr="008E7C4C">
        <w:rPr>
          <w:rFonts w:asciiTheme="minorHAnsi" w:hAnsiTheme="minorHAnsi"/>
          <w:iCs/>
          <w:snapToGrid w:val="0"/>
        </w:rPr>
        <w:t xml:space="preserve">, with the corresponding indicative AEMP for </w:t>
      </w:r>
      <w:proofErr w:type="spellStart"/>
      <w:r w:rsidRPr="008E7C4C">
        <w:rPr>
          <w:rFonts w:asciiTheme="minorHAnsi" w:hAnsiTheme="minorHAnsi"/>
          <w:iCs/>
          <w:snapToGrid w:val="0"/>
        </w:rPr>
        <w:t>ixaz</w:t>
      </w:r>
      <w:r w:rsidRPr="008E7C4C">
        <w:rPr>
          <w:iCs/>
        </w:rPr>
        <w:t>omib</w:t>
      </w:r>
      <w:proofErr w:type="spellEnd"/>
      <w:r w:rsidRPr="008E7C4C">
        <w:rPr>
          <w:iCs/>
        </w:rPr>
        <w:t xml:space="preserve"> being $</w:t>
      </w:r>
      <w:r w:rsidR="00951174" w:rsidRPr="002D249B">
        <w:rPr>
          <w:iCs/>
          <w:color w:val="000000"/>
          <w:w w:val="15"/>
          <w:shd w:val="solid" w:color="000000" w:fill="000000"/>
          <w:fitText w:val="-20" w:id="-1502411257"/>
          <w14:textFill>
            <w14:solidFill>
              <w14:srgbClr w14:val="000000">
                <w14:alpha w14:val="100000"/>
              </w14:srgbClr>
            </w14:solidFill>
          </w14:textFill>
        </w:rPr>
        <w:t xml:space="preserve">|  </w:t>
      </w:r>
      <w:r w:rsidR="00951174" w:rsidRPr="002D249B">
        <w:rPr>
          <w:iCs/>
          <w:color w:val="000000"/>
          <w:spacing w:val="-69"/>
          <w:w w:val="15"/>
          <w:shd w:val="solid" w:color="000000" w:fill="000000"/>
          <w:fitText w:val="-20" w:id="-1502411257"/>
          <w14:textFill>
            <w14:solidFill>
              <w14:srgbClr w14:val="000000">
                <w14:alpha w14:val="100000"/>
              </w14:srgbClr>
            </w14:solidFill>
          </w14:textFill>
        </w:rPr>
        <w:t>|</w:t>
      </w:r>
      <w:r w:rsidRPr="008E7C4C">
        <w:rPr>
          <w:iCs/>
        </w:rPr>
        <w:t xml:space="preserve"> (cost per cycle) at 26 cycles of treatment. However, the financial estimates assumed only 14 cycles (12.9 months) of treatment using a published DPMQ for </w:t>
      </w:r>
      <w:proofErr w:type="spellStart"/>
      <w:r w:rsidRPr="008E7C4C">
        <w:rPr>
          <w:iCs/>
        </w:rPr>
        <w:t>ixazomib</w:t>
      </w:r>
      <w:proofErr w:type="spellEnd"/>
      <w:r w:rsidRPr="008E7C4C">
        <w:rPr>
          <w:iCs/>
        </w:rPr>
        <w:t xml:space="preserve"> of $</w:t>
      </w:r>
      <w:proofErr w:type="gramStart"/>
      <w:r w:rsidR="00951174" w:rsidRPr="002D249B">
        <w:rPr>
          <w:iCs/>
          <w:color w:val="000000"/>
          <w:w w:val="15"/>
          <w:shd w:val="solid" w:color="000000" w:fill="000000"/>
          <w:fitText w:val="-20" w:id="-1502411256"/>
          <w14:textFill>
            <w14:solidFill>
              <w14:srgbClr w14:val="000000">
                <w14:alpha w14:val="100000"/>
              </w14:srgbClr>
            </w14:solidFill>
          </w14:textFill>
        </w:rPr>
        <w:t xml:space="preserve">|  </w:t>
      </w:r>
      <w:r w:rsidR="00951174" w:rsidRPr="002D249B">
        <w:rPr>
          <w:iCs/>
          <w:color w:val="000000"/>
          <w:spacing w:val="-69"/>
          <w:w w:val="15"/>
          <w:shd w:val="solid" w:color="000000" w:fill="000000"/>
          <w:fitText w:val="-20" w:id="-1502411256"/>
          <w14:textFill>
            <w14:solidFill>
              <w14:srgbClr w14:val="000000">
                <w14:alpha w14:val="100000"/>
              </w14:srgbClr>
            </w14:solidFill>
          </w14:textFill>
        </w:rPr>
        <w:t>|</w:t>
      </w:r>
      <w:proofErr w:type="gramEnd"/>
      <w:r w:rsidRPr="008E7C4C">
        <w:rPr>
          <w:iCs/>
        </w:rPr>
        <w:t xml:space="preserve">. </w:t>
      </w:r>
    </w:p>
    <w:p w14:paraId="3BD81E50" w14:textId="229DF0B7" w:rsidR="00CC25DE" w:rsidRPr="008E7C4C" w:rsidRDefault="00CC25DE" w:rsidP="00D81DCE">
      <w:pPr>
        <w:keepNext/>
        <w:keepLines/>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 xml:space="preserve">Table </w:t>
      </w:r>
      <w:r w:rsidR="007E51A8" w:rsidRPr="008E7C4C">
        <w:rPr>
          <w:rFonts w:ascii="Arial Narrow" w:eastAsiaTheme="majorEastAsia" w:hAnsi="Arial Narrow" w:cstheme="majorBidi"/>
          <w:b/>
          <w:bCs/>
          <w:sz w:val="20"/>
        </w:rPr>
        <w:t>16</w:t>
      </w:r>
      <w:r w:rsidRPr="008E7C4C">
        <w:rPr>
          <w:rFonts w:ascii="Arial Narrow" w:eastAsiaTheme="majorEastAsia" w:hAnsi="Arial Narrow" w:cstheme="majorBidi"/>
          <w:b/>
          <w:bCs/>
          <w:sz w:val="20"/>
        </w:rPr>
        <w:t xml:space="preserve">: Drug cost per patient for proposed and comparator drugs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1275"/>
        <w:gridCol w:w="1417"/>
        <w:gridCol w:w="1280"/>
        <w:gridCol w:w="1255"/>
        <w:gridCol w:w="1293"/>
        <w:gridCol w:w="1224"/>
      </w:tblGrid>
      <w:tr w:rsidR="00CC25DE" w:rsidRPr="008E7C4C" w14:paraId="08E494DC" w14:textId="77777777" w:rsidTr="00D95A0C">
        <w:trPr>
          <w:cantSplit/>
          <w:tblHeader/>
          <w:jc w:val="center"/>
        </w:trPr>
        <w:tc>
          <w:tcPr>
            <w:tcW w:w="705" w:type="pct"/>
            <w:shd w:val="clear" w:color="auto" w:fill="auto"/>
            <w:vAlign w:val="center"/>
          </w:tcPr>
          <w:p w14:paraId="6D0FABF7" w14:textId="77777777" w:rsidR="00CC25DE" w:rsidRPr="008E7C4C" w:rsidRDefault="00CC25DE" w:rsidP="00E966A8">
            <w:pPr>
              <w:jc w:val="center"/>
              <w:rPr>
                <w:rFonts w:ascii="Arial Narrow" w:eastAsiaTheme="majorEastAsia" w:hAnsi="Arial Narrow" w:cs="Times New Roman"/>
                <w:b/>
                <w:sz w:val="20"/>
              </w:rPr>
            </w:pPr>
          </w:p>
        </w:tc>
        <w:tc>
          <w:tcPr>
            <w:tcW w:w="707" w:type="pct"/>
            <w:shd w:val="clear" w:color="auto" w:fill="auto"/>
            <w:vAlign w:val="center"/>
          </w:tcPr>
          <w:p w14:paraId="0D4518D2" w14:textId="77777777" w:rsidR="00CC25DE" w:rsidRPr="008E7C4C" w:rsidRDefault="00CC25DE" w:rsidP="00E966A8">
            <w:pPr>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ILd</w:t>
            </w:r>
            <w:proofErr w:type="spellEnd"/>
          </w:p>
          <w:p w14:paraId="2ED5EDF5" w14:textId="77777777"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Trial dose and duration</w:t>
            </w:r>
          </w:p>
          <w:p w14:paraId="60169649" w14:textId="3744DDFD"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(ITT pop)</w:t>
            </w:r>
          </w:p>
        </w:tc>
        <w:tc>
          <w:tcPr>
            <w:tcW w:w="786" w:type="pct"/>
            <w:shd w:val="clear" w:color="auto" w:fill="auto"/>
            <w:vAlign w:val="center"/>
          </w:tcPr>
          <w:p w14:paraId="5D9056E5" w14:textId="77777777" w:rsidR="00CC25DE" w:rsidRPr="008E7C4C" w:rsidRDefault="00CC25DE" w:rsidP="00E966A8">
            <w:pPr>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ILd</w:t>
            </w:r>
            <w:proofErr w:type="spellEnd"/>
          </w:p>
          <w:p w14:paraId="05626A02" w14:textId="77777777"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CUA</w:t>
            </w:r>
          </w:p>
          <w:p w14:paraId="2B8987E6" w14:textId="75E93F2B"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w:t>
            </w:r>
            <w:r w:rsidR="00A23DC5" w:rsidRPr="008E7C4C">
              <w:rPr>
                <w:rFonts w:ascii="Arial Narrow" w:eastAsiaTheme="majorEastAsia" w:hAnsi="Arial Narrow" w:cs="Times New Roman"/>
                <w:b/>
                <w:sz w:val="20"/>
              </w:rPr>
              <w:t>2-3</w:t>
            </w:r>
            <w:r w:rsidRPr="008E7C4C">
              <w:rPr>
                <w:rFonts w:ascii="Arial Narrow" w:eastAsiaTheme="majorEastAsia" w:hAnsi="Arial Narrow" w:cs="Times New Roman"/>
                <w:b/>
                <w:sz w:val="20"/>
              </w:rPr>
              <w:t xml:space="preserve"> prior lines subgroup)</w:t>
            </w:r>
          </w:p>
        </w:tc>
        <w:tc>
          <w:tcPr>
            <w:tcW w:w="710" w:type="pct"/>
            <w:shd w:val="clear" w:color="auto" w:fill="auto"/>
            <w:vAlign w:val="center"/>
          </w:tcPr>
          <w:p w14:paraId="562F4CBC" w14:textId="77777777" w:rsidR="00CC25DE" w:rsidRPr="008E7C4C" w:rsidRDefault="00CC25DE" w:rsidP="00E966A8">
            <w:pPr>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ILd</w:t>
            </w:r>
            <w:proofErr w:type="spellEnd"/>
          </w:p>
          <w:p w14:paraId="6F9F9B64" w14:textId="77777777"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Financial estimates</w:t>
            </w:r>
          </w:p>
          <w:p w14:paraId="59193606" w14:textId="40E03F4D"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w:t>
            </w:r>
            <w:r w:rsidR="00A23DC5" w:rsidRPr="008E7C4C">
              <w:rPr>
                <w:rFonts w:ascii="Arial Narrow" w:eastAsiaTheme="majorEastAsia" w:hAnsi="Arial Narrow" w:cs="Times New Roman"/>
                <w:b/>
                <w:sz w:val="20"/>
              </w:rPr>
              <w:t>2-3</w:t>
            </w:r>
            <w:r w:rsidR="00DC4539" w:rsidRPr="008E7C4C">
              <w:rPr>
                <w:rFonts w:ascii="Arial Narrow" w:eastAsiaTheme="majorEastAsia" w:hAnsi="Arial Narrow" w:cs="Times New Roman"/>
                <w:b/>
                <w:sz w:val="20"/>
              </w:rPr>
              <w:t xml:space="preserve"> </w:t>
            </w:r>
            <w:r w:rsidRPr="008E7C4C">
              <w:rPr>
                <w:rFonts w:ascii="Arial Narrow" w:eastAsiaTheme="majorEastAsia" w:hAnsi="Arial Narrow" w:cs="Times New Roman"/>
                <w:b/>
                <w:sz w:val="20"/>
              </w:rPr>
              <w:t>prior lines subgroup)</w:t>
            </w:r>
          </w:p>
        </w:tc>
        <w:tc>
          <w:tcPr>
            <w:tcW w:w="696" w:type="pct"/>
            <w:shd w:val="clear" w:color="auto" w:fill="auto"/>
            <w:vAlign w:val="center"/>
          </w:tcPr>
          <w:p w14:paraId="373A7732" w14:textId="77777777" w:rsidR="00CC25DE" w:rsidRPr="008E7C4C" w:rsidRDefault="00CC25DE" w:rsidP="00E966A8">
            <w:pPr>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Ld</w:t>
            </w:r>
            <w:proofErr w:type="spellEnd"/>
          </w:p>
          <w:p w14:paraId="58FB8C09" w14:textId="77777777"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Trial dose and duration</w:t>
            </w:r>
          </w:p>
          <w:p w14:paraId="45380B10" w14:textId="16C28E78"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(ITT pop)</w:t>
            </w:r>
          </w:p>
        </w:tc>
        <w:tc>
          <w:tcPr>
            <w:tcW w:w="717" w:type="pct"/>
            <w:shd w:val="clear" w:color="auto" w:fill="auto"/>
            <w:vAlign w:val="center"/>
          </w:tcPr>
          <w:p w14:paraId="120D3DD5" w14:textId="77777777" w:rsidR="00CC25DE" w:rsidRPr="008E7C4C" w:rsidRDefault="00CC25DE" w:rsidP="00E966A8">
            <w:pPr>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Ld</w:t>
            </w:r>
            <w:proofErr w:type="spellEnd"/>
          </w:p>
          <w:p w14:paraId="2109BFC4" w14:textId="77777777"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CUA</w:t>
            </w:r>
          </w:p>
          <w:p w14:paraId="0E0E7C33" w14:textId="1029386E"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w:t>
            </w:r>
            <w:r w:rsidR="00A23DC5" w:rsidRPr="008E7C4C">
              <w:rPr>
                <w:rFonts w:ascii="Arial Narrow" w:eastAsiaTheme="majorEastAsia" w:hAnsi="Arial Narrow" w:cs="Times New Roman"/>
                <w:b/>
                <w:sz w:val="20"/>
              </w:rPr>
              <w:t>2-3</w:t>
            </w:r>
            <w:r w:rsidRPr="008E7C4C">
              <w:rPr>
                <w:rFonts w:ascii="Arial Narrow" w:eastAsiaTheme="majorEastAsia" w:hAnsi="Arial Narrow" w:cs="Times New Roman"/>
                <w:b/>
                <w:sz w:val="20"/>
              </w:rPr>
              <w:t xml:space="preserve"> prior lines subgroup)</w:t>
            </w:r>
          </w:p>
        </w:tc>
        <w:tc>
          <w:tcPr>
            <w:tcW w:w="679" w:type="pct"/>
          </w:tcPr>
          <w:p w14:paraId="5CBF7AA1" w14:textId="77777777" w:rsidR="00CC25DE" w:rsidRPr="008E7C4C" w:rsidRDefault="00CC25DE" w:rsidP="00E966A8">
            <w:pPr>
              <w:jc w:val="center"/>
              <w:rPr>
                <w:rFonts w:ascii="Arial Narrow" w:eastAsiaTheme="majorEastAsia" w:hAnsi="Arial Narrow" w:cs="Times New Roman"/>
                <w:b/>
                <w:sz w:val="20"/>
              </w:rPr>
            </w:pPr>
            <w:proofErr w:type="spellStart"/>
            <w:r w:rsidRPr="008E7C4C">
              <w:rPr>
                <w:rFonts w:ascii="Arial Narrow" w:eastAsiaTheme="majorEastAsia" w:hAnsi="Arial Narrow" w:cs="Times New Roman"/>
                <w:b/>
                <w:sz w:val="20"/>
              </w:rPr>
              <w:t>Ld</w:t>
            </w:r>
            <w:proofErr w:type="spellEnd"/>
          </w:p>
          <w:p w14:paraId="38D064FB" w14:textId="77777777"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Financial estimates</w:t>
            </w:r>
          </w:p>
          <w:p w14:paraId="2DBEB9A4" w14:textId="18668557" w:rsidR="00CC25DE" w:rsidRPr="008E7C4C" w:rsidRDefault="00CC25DE" w:rsidP="00E966A8">
            <w:pPr>
              <w:jc w:val="center"/>
              <w:rPr>
                <w:rFonts w:ascii="Arial Narrow" w:eastAsiaTheme="majorEastAsia" w:hAnsi="Arial Narrow" w:cs="Times New Roman"/>
                <w:b/>
                <w:sz w:val="20"/>
              </w:rPr>
            </w:pPr>
            <w:r w:rsidRPr="008E7C4C">
              <w:rPr>
                <w:rFonts w:ascii="Arial Narrow" w:eastAsiaTheme="majorEastAsia" w:hAnsi="Arial Narrow" w:cs="Times New Roman"/>
                <w:b/>
                <w:sz w:val="20"/>
              </w:rPr>
              <w:t>(</w:t>
            </w:r>
            <w:r w:rsidR="00A23DC5" w:rsidRPr="008E7C4C">
              <w:rPr>
                <w:rFonts w:ascii="Arial Narrow" w:eastAsiaTheme="majorEastAsia" w:hAnsi="Arial Narrow" w:cs="Times New Roman"/>
                <w:b/>
                <w:sz w:val="20"/>
              </w:rPr>
              <w:t>2-3</w:t>
            </w:r>
            <w:r w:rsidRPr="008E7C4C">
              <w:rPr>
                <w:rFonts w:ascii="Arial Narrow" w:eastAsiaTheme="majorEastAsia" w:hAnsi="Arial Narrow" w:cs="Times New Roman"/>
                <w:b/>
                <w:sz w:val="20"/>
              </w:rPr>
              <w:t xml:space="preserve"> prior lines subgroup)</w:t>
            </w:r>
          </w:p>
        </w:tc>
      </w:tr>
      <w:tr w:rsidR="00CC25DE" w:rsidRPr="008E7C4C" w14:paraId="31688F9E" w14:textId="77777777" w:rsidTr="00D95A0C">
        <w:trPr>
          <w:cantSplit/>
          <w:tblHeader/>
          <w:jc w:val="center"/>
        </w:trPr>
        <w:tc>
          <w:tcPr>
            <w:tcW w:w="705" w:type="pct"/>
            <w:shd w:val="clear" w:color="auto" w:fill="auto"/>
          </w:tcPr>
          <w:p w14:paraId="442F6BF3" w14:textId="77777777" w:rsidR="00CC25DE" w:rsidRPr="008E7C4C" w:rsidRDefault="00CC25DE" w:rsidP="00D95A0C">
            <w:pPr>
              <w:jc w:val="left"/>
              <w:rPr>
                <w:rFonts w:ascii="Arial Narrow" w:eastAsiaTheme="majorEastAsia" w:hAnsi="Arial Narrow" w:cs="Times New Roman"/>
                <w:bCs/>
                <w:sz w:val="20"/>
              </w:rPr>
            </w:pPr>
            <w:r w:rsidRPr="008E7C4C">
              <w:rPr>
                <w:rFonts w:ascii="Arial Narrow" w:eastAsiaTheme="majorEastAsia" w:hAnsi="Arial Narrow" w:cs="Times New Roman"/>
                <w:bCs/>
                <w:sz w:val="20"/>
              </w:rPr>
              <w:t xml:space="preserve">Mean </w:t>
            </w:r>
            <w:proofErr w:type="spellStart"/>
            <w:r w:rsidRPr="008E7C4C">
              <w:rPr>
                <w:rFonts w:ascii="Arial Narrow" w:eastAsiaTheme="majorEastAsia" w:hAnsi="Arial Narrow" w:cs="Times New Roman"/>
                <w:bCs/>
                <w:sz w:val="20"/>
              </w:rPr>
              <w:t>RDI</w:t>
            </w:r>
            <w:r w:rsidRPr="008E7C4C">
              <w:rPr>
                <w:rFonts w:ascii="Arial Narrow" w:eastAsiaTheme="majorEastAsia" w:hAnsi="Arial Narrow" w:cs="Times New Roman"/>
                <w:bCs/>
                <w:sz w:val="20"/>
                <w:vertAlign w:val="superscript"/>
              </w:rPr>
              <w:t>a</w:t>
            </w:r>
            <w:proofErr w:type="spellEnd"/>
          </w:p>
        </w:tc>
        <w:tc>
          <w:tcPr>
            <w:tcW w:w="707" w:type="pct"/>
            <w:shd w:val="clear" w:color="auto" w:fill="auto"/>
          </w:tcPr>
          <w:p w14:paraId="6A4D33AC" w14:textId="77777777" w:rsidR="00CC25DE" w:rsidRPr="008E7C4C" w:rsidRDefault="00CC25DE" w:rsidP="00E966A8">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Ixa</w:t>
            </w:r>
            <w:proofErr w:type="spellEnd"/>
            <w:r w:rsidRPr="008E7C4C">
              <w:rPr>
                <w:rFonts w:ascii="Arial Narrow" w:eastAsiaTheme="majorEastAsia" w:hAnsi="Arial Narrow" w:cstheme="majorBidi"/>
                <w:bCs/>
                <w:sz w:val="20"/>
              </w:rPr>
              <w:t>: 92.2%</w:t>
            </w:r>
          </w:p>
          <w:p w14:paraId="2EC44AFE" w14:textId="77777777" w:rsidR="00CC25DE" w:rsidRPr="008E7C4C" w:rsidRDefault="00CC25DE" w:rsidP="00E966A8">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82.1%</w:t>
            </w:r>
          </w:p>
          <w:p w14:paraId="3B7DAF44" w14:textId="77777777" w:rsidR="00CC25DE" w:rsidRPr="008E7C4C" w:rsidRDefault="00CC25DE" w:rsidP="00E966A8">
            <w:pPr>
              <w:jc w:val="center"/>
              <w:rPr>
                <w:rFonts w:ascii="Arial Narrow" w:eastAsiaTheme="majorEastAsia" w:hAnsi="Arial Narrow" w:cs="Times New Roman"/>
                <w:bCs/>
                <w:sz w:val="20"/>
              </w:rPr>
            </w:pPr>
            <w:proofErr w:type="spellStart"/>
            <w:r w:rsidRPr="008E7C4C">
              <w:rPr>
                <w:rFonts w:ascii="Arial Narrow" w:eastAsiaTheme="majorEastAsia" w:hAnsi="Arial Narrow" w:cs="Times New Roman"/>
                <w:bCs/>
                <w:sz w:val="20"/>
              </w:rPr>
              <w:t>Dex</w:t>
            </w:r>
            <w:proofErr w:type="spellEnd"/>
            <w:r w:rsidRPr="008E7C4C">
              <w:rPr>
                <w:rFonts w:ascii="Arial Narrow" w:eastAsiaTheme="majorEastAsia" w:hAnsi="Arial Narrow" w:cs="Times New Roman"/>
                <w:bCs/>
                <w:sz w:val="20"/>
              </w:rPr>
              <w:t>: 80.5%</w:t>
            </w:r>
          </w:p>
        </w:tc>
        <w:tc>
          <w:tcPr>
            <w:tcW w:w="786" w:type="pct"/>
            <w:shd w:val="clear" w:color="auto" w:fill="auto"/>
          </w:tcPr>
          <w:p w14:paraId="5FB997FF" w14:textId="77777777" w:rsidR="00CC25DE" w:rsidRPr="008E7C4C" w:rsidRDefault="00CC25DE" w:rsidP="00E966A8">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Ixa</w:t>
            </w:r>
            <w:proofErr w:type="spellEnd"/>
            <w:r w:rsidRPr="008E7C4C">
              <w:rPr>
                <w:rFonts w:ascii="Arial Narrow" w:eastAsiaTheme="majorEastAsia" w:hAnsi="Arial Narrow" w:cstheme="majorBidi"/>
                <w:bCs/>
                <w:sz w:val="20"/>
              </w:rPr>
              <w:t>: 92.2%</w:t>
            </w:r>
          </w:p>
          <w:p w14:paraId="6E08F8BC" w14:textId="77777777" w:rsidR="00CC25DE" w:rsidRPr="008E7C4C" w:rsidRDefault="00CC25DE" w:rsidP="00E966A8">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82.1%</w:t>
            </w:r>
          </w:p>
          <w:p w14:paraId="693B4219" w14:textId="77777777" w:rsidR="00CC25DE" w:rsidRPr="008E7C4C" w:rsidRDefault="00CC25DE" w:rsidP="00E966A8">
            <w:pPr>
              <w:jc w:val="center"/>
              <w:rPr>
                <w:rFonts w:ascii="Arial Narrow" w:eastAsiaTheme="majorEastAsia" w:hAnsi="Arial Narrow" w:cs="Times New Roman"/>
                <w:bCs/>
                <w:sz w:val="20"/>
              </w:rPr>
            </w:pPr>
            <w:proofErr w:type="spellStart"/>
            <w:r w:rsidRPr="008E7C4C">
              <w:rPr>
                <w:rFonts w:ascii="Arial Narrow" w:eastAsiaTheme="majorEastAsia" w:hAnsi="Arial Narrow" w:cs="Times New Roman"/>
                <w:bCs/>
                <w:sz w:val="20"/>
              </w:rPr>
              <w:t>Dex</w:t>
            </w:r>
            <w:proofErr w:type="spellEnd"/>
            <w:r w:rsidRPr="008E7C4C">
              <w:rPr>
                <w:rFonts w:ascii="Arial Narrow" w:eastAsiaTheme="majorEastAsia" w:hAnsi="Arial Narrow" w:cs="Times New Roman"/>
                <w:bCs/>
                <w:sz w:val="20"/>
              </w:rPr>
              <w:t>: 80.5%</w:t>
            </w:r>
          </w:p>
        </w:tc>
        <w:tc>
          <w:tcPr>
            <w:tcW w:w="710" w:type="pct"/>
            <w:shd w:val="clear" w:color="auto" w:fill="auto"/>
          </w:tcPr>
          <w:p w14:paraId="2163B863" w14:textId="77777777" w:rsidR="00CC25DE" w:rsidRPr="008E7C4C" w:rsidRDefault="00CC25DE" w:rsidP="00E966A8">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Ixa</w:t>
            </w:r>
            <w:proofErr w:type="spellEnd"/>
            <w:r w:rsidRPr="008E7C4C">
              <w:rPr>
                <w:rFonts w:ascii="Arial Narrow" w:eastAsiaTheme="majorEastAsia" w:hAnsi="Arial Narrow" w:cstheme="majorBidi"/>
                <w:bCs/>
                <w:sz w:val="20"/>
              </w:rPr>
              <w:t>: 100.0%</w:t>
            </w:r>
          </w:p>
          <w:p w14:paraId="09A578BF" w14:textId="77777777" w:rsidR="00CC25DE" w:rsidRPr="008E7C4C" w:rsidRDefault="00CC25DE" w:rsidP="00E966A8">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84.7%</w:t>
            </w:r>
          </w:p>
          <w:p w14:paraId="2C15F581" w14:textId="77777777" w:rsidR="00CC25DE" w:rsidRPr="008E7C4C" w:rsidRDefault="00CC25DE" w:rsidP="00E966A8">
            <w:pPr>
              <w:jc w:val="center"/>
              <w:rPr>
                <w:rFonts w:ascii="Arial Narrow" w:eastAsiaTheme="majorEastAsia" w:hAnsi="Arial Narrow" w:cs="Times New Roman"/>
                <w:bCs/>
                <w:sz w:val="20"/>
              </w:rPr>
            </w:pPr>
            <w:proofErr w:type="spellStart"/>
            <w:r w:rsidRPr="008E7C4C">
              <w:rPr>
                <w:rFonts w:ascii="Arial Narrow" w:eastAsiaTheme="majorEastAsia" w:hAnsi="Arial Narrow" w:cs="Times New Roman"/>
                <w:bCs/>
                <w:sz w:val="20"/>
              </w:rPr>
              <w:t>Dex</w:t>
            </w:r>
            <w:proofErr w:type="spellEnd"/>
            <w:r w:rsidRPr="008E7C4C">
              <w:rPr>
                <w:rFonts w:ascii="Arial Narrow" w:eastAsiaTheme="majorEastAsia" w:hAnsi="Arial Narrow" w:cs="Times New Roman"/>
                <w:bCs/>
                <w:sz w:val="20"/>
              </w:rPr>
              <w:t xml:space="preserve">: NA </w:t>
            </w:r>
            <w:r w:rsidRPr="008E7C4C">
              <w:rPr>
                <w:rFonts w:ascii="Arial Narrow" w:eastAsiaTheme="majorEastAsia" w:hAnsi="Arial Narrow" w:cs="Times New Roman"/>
                <w:bCs/>
                <w:sz w:val="20"/>
                <w:vertAlign w:val="superscript"/>
              </w:rPr>
              <w:t>b</w:t>
            </w:r>
          </w:p>
        </w:tc>
        <w:tc>
          <w:tcPr>
            <w:tcW w:w="696" w:type="pct"/>
            <w:shd w:val="clear" w:color="auto" w:fill="auto"/>
          </w:tcPr>
          <w:p w14:paraId="61781F97" w14:textId="77777777" w:rsidR="00CC25DE" w:rsidRPr="008E7C4C" w:rsidRDefault="00CC25DE" w:rsidP="00E966A8">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86.5%</w:t>
            </w:r>
          </w:p>
          <w:p w14:paraId="5860D9DE" w14:textId="77777777" w:rsidR="00CC25DE" w:rsidRPr="008E7C4C" w:rsidRDefault="00CC25DE" w:rsidP="00E966A8">
            <w:pPr>
              <w:jc w:val="center"/>
              <w:rPr>
                <w:rFonts w:ascii="Arial Narrow" w:eastAsiaTheme="majorEastAsia" w:hAnsi="Arial Narrow" w:cs="Times New Roman"/>
                <w:bCs/>
                <w:sz w:val="20"/>
              </w:rPr>
            </w:pPr>
            <w:proofErr w:type="spellStart"/>
            <w:r w:rsidRPr="008E7C4C">
              <w:rPr>
                <w:rFonts w:ascii="Arial Narrow" w:eastAsiaTheme="majorEastAsia" w:hAnsi="Arial Narrow" w:cs="Times New Roman"/>
                <w:bCs/>
                <w:sz w:val="20"/>
              </w:rPr>
              <w:t>Dex</w:t>
            </w:r>
            <w:proofErr w:type="spellEnd"/>
            <w:r w:rsidRPr="008E7C4C">
              <w:rPr>
                <w:rFonts w:ascii="Arial Narrow" w:eastAsiaTheme="majorEastAsia" w:hAnsi="Arial Narrow" w:cs="Times New Roman"/>
                <w:bCs/>
                <w:sz w:val="20"/>
              </w:rPr>
              <w:t>: 83.3%</w:t>
            </w:r>
          </w:p>
        </w:tc>
        <w:tc>
          <w:tcPr>
            <w:tcW w:w="717" w:type="pct"/>
            <w:shd w:val="clear" w:color="auto" w:fill="auto"/>
          </w:tcPr>
          <w:p w14:paraId="1692F6B6" w14:textId="77777777" w:rsidR="00CC25DE" w:rsidRPr="008E7C4C" w:rsidRDefault="00CC25DE" w:rsidP="00E966A8">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86.5%</w:t>
            </w:r>
          </w:p>
          <w:p w14:paraId="1F0F6E86" w14:textId="77777777" w:rsidR="00CC25DE" w:rsidRPr="008E7C4C" w:rsidRDefault="00CC25DE" w:rsidP="00E966A8">
            <w:pPr>
              <w:jc w:val="center"/>
              <w:rPr>
                <w:rFonts w:ascii="Arial Narrow" w:eastAsiaTheme="majorEastAsia" w:hAnsi="Arial Narrow" w:cs="Times New Roman"/>
                <w:bCs/>
                <w:sz w:val="20"/>
              </w:rPr>
            </w:pPr>
            <w:proofErr w:type="spellStart"/>
            <w:r w:rsidRPr="008E7C4C">
              <w:rPr>
                <w:rFonts w:ascii="Arial Narrow" w:eastAsiaTheme="majorEastAsia" w:hAnsi="Arial Narrow" w:cs="Times New Roman"/>
                <w:bCs/>
                <w:sz w:val="20"/>
              </w:rPr>
              <w:t>Dex</w:t>
            </w:r>
            <w:proofErr w:type="spellEnd"/>
            <w:r w:rsidRPr="008E7C4C">
              <w:rPr>
                <w:rFonts w:ascii="Arial Narrow" w:eastAsiaTheme="majorEastAsia" w:hAnsi="Arial Narrow" w:cs="Times New Roman"/>
                <w:bCs/>
                <w:sz w:val="20"/>
              </w:rPr>
              <w:t>: 83.3%</w:t>
            </w:r>
          </w:p>
        </w:tc>
        <w:tc>
          <w:tcPr>
            <w:tcW w:w="679" w:type="pct"/>
          </w:tcPr>
          <w:p w14:paraId="2E0FCC51" w14:textId="77777777" w:rsidR="00CC25DE" w:rsidRPr="008E7C4C" w:rsidRDefault="00CC25DE" w:rsidP="00E966A8">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84.7%</w:t>
            </w:r>
          </w:p>
          <w:p w14:paraId="2F1E1DC3" w14:textId="77777777" w:rsidR="00CC25DE" w:rsidRPr="008E7C4C" w:rsidRDefault="00CC25DE" w:rsidP="00E966A8">
            <w:pPr>
              <w:jc w:val="center"/>
              <w:rPr>
                <w:rFonts w:ascii="Arial Narrow" w:eastAsiaTheme="majorEastAsia" w:hAnsi="Arial Narrow" w:cs="Times New Roman"/>
                <w:bCs/>
                <w:sz w:val="20"/>
              </w:rPr>
            </w:pPr>
            <w:proofErr w:type="spellStart"/>
            <w:r w:rsidRPr="008E7C4C">
              <w:rPr>
                <w:rFonts w:ascii="Arial Narrow" w:eastAsiaTheme="majorEastAsia" w:hAnsi="Arial Narrow" w:cs="Times New Roman"/>
                <w:bCs/>
                <w:sz w:val="20"/>
              </w:rPr>
              <w:t>Dex</w:t>
            </w:r>
            <w:proofErr w:type="spellEnd"/>
            <w:r w:rsidRPr="008E7C4C">
              <w:rPr>
                <w:rFonts w:ascii="Arial Narrow" w:eastAsiaTheme="majorEastAsia" w:hAnsi="Arial Narrow" w:cs="Times New Roman"/>
                <w:bCs/>
                <w:sz w:val="20"/>
              </w:rPr>
              <w:t xml:space="preserve">: </w:t>
            </w:r>
            <w:proofErr w:type="spellStart"/>
            <w:r w:rsidRPr="008E7C4C">
              <w:rPr>
                <w:rFonts w:ascii="Arial Narrow" w:eastAsiaTheme="majorEastAsia" w:hAnsi="Arial Narrow" w:cs="Times New Roman"/>
                <w:bCs/>
                <w:sz w:val="20"/>
              </w:rPr>
              <w:t>NA</w:t>
            </w:r>
            <w:r w:rsidRPr="008E7C4C">
              <w:rPr>
                <w:rFonts w:ascii="Arial Narrow" w:eastAsiaTheme="majorEastAsia" w:hAnsi="Arial Narrow" w:cs="Times New Roman"/>
                <w:bCs/>
                <w:sz w:val="20"/>
                <w:vertAlign w:val="superscript"/>
              </w:rPr>
              <w:t>b</w:t>
            </w:r>
            <w:proofErr w:type="spellEnd"/>
          </w:p>
        </w:tc>
      </w:tr>
      <w:tr w:rsidR="00CC25DE" w:rsidRPr="008E7C4C" w14:paraId="56147AED" w14:textId="77777777" w:rsidTr="00D95A0C">
        <w:trPr>
          <w:cantSplit/>
          <w:jc w:val="center"/>
        </w:trPr>
        <w:tc>
          <w:tcPr>
            <w:tcW w:w="705" w:type="pct"/>
            <w:shd w:val="clear" w:color="auto" w:fill="auto"/>
          </w:tcPr>
          <w:p w14:paraId="135A68B5" w14:textId="5D2EFEDF" w:rsidR="00CC25DE" w:rsidRPr="008E7C4C" w:rsidRDefault="00A879D8" w:rsidP="00D95A0C">
            <w:pPr>
              <w:jc w:val="left"/>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D</w:t>
            </w:r>
            <w:r w:rsidR="00CC25DE" w:rsidRPr="008E7C4C">
              <w:rPr>
                <w:rFonts w:ascii="Arial Narrow" w:eastAsiaTheme="majorEastAsia" w:hAnsi="Arial Narrow" w:cstheme="majorBidi"/>
                <w:bCs/>
                <w:sz w:val="20"/>
              </w:rPr>
              <w:t>uration</w:t>
            </w:r>
            <w:r w:rsidR="00CC25DE" w:rsidRPr="008E7C4C">
              <w:rPr>
                <w:rFonts w:ascii="Arial Narrow" w:eastAsiaTheme="majorEastAsia" w:hAnsi="Arial Narrow" w:cstheme="majorBidi"/>
                <w:bCs/>
                <w:sz w:val="20"/>
                <w:vertAlign w:val="superscript"/>
              </w:rPr>
              <w:t>c</w:t>
            </w:r>
            <w:proofErr w:type="spellEnd"/>
            <w:r w:rsidRPr="008E7C4C">
              <w:rPr>
                <w:rFonts w:ascii="Arial Narrow" w:eastAsiaTheme="majorEastAsia" w:hAnsi="Arial Narrow" w:cstheme="majorBidi"/>
                <w:bCs/>
                <w:sz w:val="20"/>
              </w:rPr>
              <w:t>,</w:t>
            </w:r>
            <w:r w:rsidR="00D95A0C" w:rsidRPr="008E7C4C">
              <w:rPr>
                <w:rFonts w:ascii="Arial Narrow" w:eastAsiaTheme="majorEastAsia" w:hAnsi="Arial Narrow" w:cstheme="majorBidi"/>
                <w:bCs/>
                <w:sz w:val="20"/>
              </w:rPr>
              <w:t xml:space="preserve"> </w:t>
            </w:r>
            <w:r w:rsidR="00CC25DE" w:rsidRPr="008E7C4C">
              <w:rPr>
                <w:rFonts w:ascii="Arial Narrow" w:eastAsiaTheme="majorEastAsia" w:hAnsi="Arial Narrow" w:cstheme="majorBidi"/>
                <w:bCs/>
                <w:sz w:val="20"/>
              </w:rPr>
              <w:t>months</w:t>
            </w:r>
            <w:r w:rsidRPr="008E7C4C">
              <w:rPr>
                <w:rFonts w:ascii="Arial Narrow" w:eastAsiaTheme="majorEastAsia" w:hAnsi="Arial Narrow" w:cstheme="majorBidi"/>
                <w:bCs/>
                <w:sz w:val="20"/>
              </w:rPr>
              <w:t>, (cycles)</w:t>
            </w:r>
          </w:p>
        </w:tc>
        <w:tc>
          <w:tcPr>
            <w:tcW w:w="707" w:type="pct"/>
            <w:shd w:val="clear" w:color="auto" w:fill="auto"/>
          </w:tcPr>
          <w:p w14:paraId="0E6FA619" w14:textId="7BCC7A2B" w:rsidR="00CC25DE" w:rsidRPr="008E7C4C" w:rsidRDefault="00A879D8"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Mean  </w:t>
            </w:r>
            <w:r w:rsidR="00D95A0C" w:rsidRPr="008E7C4C">
              <w:rPr>
                <w:rFonts w:ascii="Arial Narrow" w:eastAsiaTheme="majorEastAsia" w:hAnsi="Arial Narrow" w:cstheme="majorBidi"/>
                <w:bCs/>
                <w:sz w:val="20"/>
              </w:rPr>
              <w:br/>
            </w:r>
            <w:proofErr w:type="spellStart"/>
            <w:r w:rsidR="00CC25DE" w:rsidRPr="008E7C4C">
              <w:rPr>
                <w:rFonts w:ascii="Arial Narrow" w:eastAsiaTheme="majorEastAsia" w:hAnsi="Arial Narrow" w:cstheme="majorBidi"/>
                <w:bCs/>
                <w:sz w:val="20"/>
              </w:rPr>
              <w:t>Ixa</w:t>
            </w:r>
            <w:proofErr w:type="spellEnd"/>
            <w:r w:rsidR="00CC25DE" w:rsidRPr="008E7C4C">
              <w:rPr>
                <w:rFonts w:ascii="Arial Narrow" w:eastAsiaTheme="majorEastAsia" w:hAnsi="Arial Narrow" w:cstheme="majorBidi"/>
                <w:bCs/>
                <w:sz w:val="20"/>
              </w:rPr>
              <w:t>: 23.1 (25.1)</w:t>
            </w:r>
          </w:p>
          <w:p w14:paraId="6C43C55A" w14:textId="6DCA14B6"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24.5 (26.6)</w:t>
            </w:r>
          </w:p>
          <w:p w14:paraId="7EF6F757" w14:textId="72224DCB"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Dex</w:t>
            </w:r>
            <w:proofErr w:type="spellEnd"/>
            <w:r w:rsidRPr="008E7C4C">
              <w:rPr>
                <w:rFonts w:ascii="Arial Narrow" w:eastAsiaTheme="majorEastAsia" w:hAnsi="Arial Narrow" w:cstheme="majorBidi"/>
                <w:bCs/>
                <w:sz w:val="20"/>
              </w:rPr>
              <w:t>: 23.4 (25.4)</w:t>
            </w:r>
          </w:p>
        </w:tc>
        <w:tc>
          <w:tcPr>
            <w:tcW w:w="786" w:type="pct"/>
            <w:shd w:val="clear" w:color="auto" w:fill="auto"/>
          </w:tcPr>
          <w:p w14:paraId="637BC94D" w14:textId="4FB75B2E" w:rsidR="00CC25DE" w:rsidRPr="008E7C4C" w:rsidRDefault="00A879D8"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Mean </w:t>
            </w:r>
            <w:r w:rsidR="00D95A0C" w:rsidRPr="008E7C4C">
              <w:rPr>
                <w:rFonts w:ascii="Arial Narrow" w:eastAsiaTheme="majorEastAsia" w:hAnsi="Arial Narrow" w:cstheme="majorBidi"/>
                <w:bCs/>
                <w:sz w:val="20"/>
              </w:rPr>
              <w:br/>
            </w:r>
            <w:proofErr w:type="spellStart"/>
            <w:r w:rsidR="00CC25DE" w:rsidRPr="008E7C4C">
              <w:rPr>
                <w:rFonts w:ascii="Arial Narrow" w:eastAsiaTheme="majorEastAsia" w:hAnsi="Arial Narrow" w:cstheme="majorBidi"/>
                <w:bCs/>
                <w:sz w:val="20"/>
              </w:rPr>
              <w:t>ILd</w:t>
            </w:r>
            <w:proofErr w:type="spellEnd"/>
            <w:r w:rsidR="00CC25DE" w:rsidRPr="008E7C4C">
              <w:rPr>
                <w:rFonts w:ascii="Arial Narrow" w:eastAsiaTheme="majorEastAsia" w:hAnsi="Arial Narrow" w:cstheme="majorBidi"/>
                <w:bCs/>
                <w:sz w:val="20"/>
              </w:rPr>
              <w:t>: 24.34 (</w:t>
            </w:r>
            <w:proofErr w:type="gramStart"/>
            <w:r w:rsidR="00CC25DE" w:rsidRPr="008E7C4C">
              <w:rPr>
                <w:rFonts w:ascii="Arial Narrow" w:eastAsiaTheme="majorEastAsia" w:hAnsi="Arial Narrow" w:cstheme="majorBidi"/>
                <w:bCs/>
                <w:sz w:val="20"/>
              </w:rPr>
              <w:t>26.4)</w:t>
            </w:r>
            <w:r w:rsidR="00CC25DE" w:rsidRPr="008E7C4C">
              <w:rPr>
                <w:rFonts w:ascii="Arial Narrow" w:eastAsiaTheme="majorEastAsia" w:hAnsi="Arial Narrow" w:cstheme="majorBidi"/>
                <w:bCs/>
                <w:sz w:val="20"/>
                <w:vertAlign w:val="superscript"/>
              </w:rPr>
              <w:t>d</w:t>
            </w:r>
            <w:proofErr w:type="gramEnd"/>
          </w:p>
        </w:tc>
        <w:tc>
          <w:tcPr>
            <w:tcW w:w="710" w:type="pct"/>
            <w:shd w:val="clear" w:color="auto" w:fill="auto"/>
          </w:tcPr>
          <w:p w14:paraId="0C4397B7" w14:textId="032009C3" w:rsidR="00CC25DE" w:rsidRPr="008E7C4C" w:rsidRDefault="00A879D8"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Median PFS </w:t>
            </w:r>
            <w:r w:rsidR="00D95A0C" w:rsidRPr="008E7C4C">
              <w:rPr>
                <w:rFonts w:ascii="Arial Narrow" w:eastAsiaTheme="majorEastAsia" w:hAnsi="Arial Narrow" w:cstheme="majorBidi"/>
                <w:bCs/>
                <w:sz w:val="20"/>
              </w:rPr>
              <w:br/>
            </w:r>
            <w:proofErr w:type="spellStart"/>
            <w:r w:rsidR="00CC25DE" w:rsidRPr="008E7C4C">
              <w:rPr>
                <w:rFonts w:ascii="Arial Narrow" w:eastAsiaTheme="majorEastAsia" w:hAnsi="Arial Narrow" w:cstheme="majorBidi"/>
                <w:bCs/>
                <w:sz w:val="20"/>
              </w:rPr>
              <w:t>ILd</w:t>
            </w:r>
            <w:proofErr w:type="spellEnd"/>
            <w:r w:rsidR="00CC25DE" w:rsidRPr="008E7C4C">
              <w:rPr>
                <w:rFonts w:ascii="Arial Narrow" w:eastAsiaTheme="majorEastAsia" w:hAnsi="Arial Narrow" w:cstheme="majorBidi"/>
                <w:bCs/>
                <w:sz w:val="20"/>
              </w:rPr>
              <w:t>:</w:t>
            </w:r>
            <w:r w:rsidR="00D95A0C" w:rsidRPr="008E7C4C">
              <w:rPr>
                <w:rFonts w:ascii="Arial Narrow" w:eastAsiaTheme="majorEastAsia" w:hAnsi="Arial Narrow" w:cstheme="majorBidi"/>
                <w:bCs/>
                <w:sz w:val="20"/>
              </w:rPr>
              <w:t xml:space="preserve"> </w:t>
            </w:r>
            <w:r w:rsidR="00CC25DE" w:rsidRPr="008E7C4C">
              <w:rPr>
                <w:rFonts w:ascii="Arial Narrow" w:eastAsiaTheme="majorEastAsia" w:hAnsi="Arial Narrow" w:cstheme="majorBidi"/>
                <w:bCs/>
                <w:sz w:val="20"/>
              </w:rPr>
              <w:t>12.9 (14)</w:t>
            </w:r>
          </w:p>
        </w:tc>
        <w:tc>
          <w:tcPr>
            <w:tcW w:w="696" w:type="pct"/>
            <w:shd w:val="clear" w:color="auto" w:fill="auto"/>
          </w:tcPr>
          <w:p w14:paraId="182001B4" w14:textId="12E8EC92" w:rsidR="00CC25DE" w:rsidRPr="008E7C4C" w:rsidRDefault="00A879D8"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Mean </w:t>
            </w:r>
            <w:r w:rsidR="00D95A0C" w:rsidRPr="008E7C4C">
              <w:rPr>
                <w:rFonts w:ascii="Arial Narrow" w:eastAsiaTheme="majorEastAsia" w:hAnsi="Arial Narrow" w:cstheme="majorBidi"/>
                <w:bCs/>
                <w:sz w:val="20"/>
              </w:rPr>
              <w:br/>
            </w:r>
            <w:r w:rsidR="00CC25DE" w:rsidRPr="008E7C4C">
              <w:rPr>
                <w:rFonts w:ascii="Arial Narrow" w:eastAsiaTheme="majorEastAsia" w:hAnsi="Arial Narrow" w:cstheme="majorBidi"/>
                <w:bCs/>
                <w:sz w:val="20"/>
              </w:rPr>
              <w:t>Len: 22.2 (24.1)</w:t>
            </w:r>
          </w:p>
          <w:p w14:paraId="1EEE0F0A" w14:textId="47ED64A8"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Dex</w:t>
            </w:r>
            <w:proofErr w:type="spellEnd"/>
            <w:r w:rsidRPr="008E7C4C">
              <w:rPr>
                <w:rFonts w:ascii="Arial Narrow" w:eastAsiaTheme="majorEastAsia" w:hAnsi="Arial Narrow" w:cstheme="majorBidi"/>
                <w:bCs/>
                <w:sz w:val="20"/>
              </w:rPr>
              <w:t>: 21.2 (23.0)</w:t>
            </w:r>
          </w:p>
        </w:tc>
        <w:tc>
          <w:tcPr>
            <w:tcW w:w="717" w:type="pct"/>
            <w:shd w:val="clear" w:color="auto" w:fill="auto"/>
          </w:tcPr>
          <w:p w14:paraId="2DC3B266" w14:textId="04A07CAC" w:rsidR="00CC25DE" w:rsidRPr="008E7C4C" w:rsidRDefault="00A879D8"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Mean </w:t>
            </w:r>
            <w:r w:rsidR="00D95A0C" w:rsidRPr="008E7C4C">
              <w:rPr>
                <w:rFonts w:ascii="Arial Narrow" w:eastAsiaTheme="majorEastAsia" w:hAnsi="Arial Narrow" w:cstheme="majorBidi"/>
                <w:bCs/>
                <w:sz w:val="20"/>
              </w:rPr>
              <w:br/>
            </w:r>
            <w:proofErr w:type="spellStart"/>
            <w:r w:rsidR="00CC25DE" w:rsidRPr="008E7C4C">
              <w:rPr>
                <w:rFonts w:ascii="Arial Narrow" w:eastAsiaTheme="majorEastAsia" w:hAnsi="Arial Narrow" w:cstheme="majorBidi"/>
                <w:bCs/>
                <w:sz w:val="20"/>
              </w:rPr>
              <w:t>Ld</w:t>
            </w:r>
            <w:proofErr w:type="spellEnd"/>
            <w:r w:rsidR="00CC25DE" w:rsidRPr="008E7C4C">
              <w:rPr>
                <w:rFonts w:ascii="Arial Narrow" w:eastAsiaTheme="majorEastAsia" w:hAnsi="Arial Narrow" w:cstheme="majorBidi"/>
                <w:bCs/>
                <w:sz w:val="20"/>
              </w:rPr>
              <w:t>:</w:t>
            </w:r>
            <w:r w:rsidR="00D95A0C" w:rsidRPr="008E7C4C">
              <w:rPr>
                <w:rFonts w:ascii="Arial Narrow" w:eastAsiaTheme="majorEastAsia" w:hAnsi="Arial Narrow" w:cstheme="majorBidi"/>
                <w:bCs/>
                <w:sz w:val="20"/>
              </w:rPr>
              <w:t xml:space="preserve"> </w:t>
            </w:r>
            <w:r w:rsidR="00CC25DE" w:rsidRPr="008E7C4C">
              <w:rPr>
                <w:rFonts w:ascii="Arial Narrow" w:eastAsiaTheme="majorEastAsia" w:hAnsi="Arial Narrow" w:cstheme="majorBidi"/>
                <w:bCs/>
                <w:sz w:val="20"/>
              </w:rPr>
              <w:t xml:space="preserve">19.13 </w:t>
            </w:r>
            <w:r w:rsidR="00D95A0C" w:rsidRPr="008E7C4C">
              <w:rPr>
                <w:rFonts w:ascii="Arial Narrow" w:eastAsiaTheme="majorEastAsia" w:hAnsi="Arial Narrow" w:cstheme="majorBidi"/>
                <w:bCs/>
                <w:sz w:val="20"/>
              </w:rPr>
              <w:t>(</w:t>
            </w:r>
            <w:proofErr w:type="gramStart"/>
            <w:r w:rsidR="00CC25DE" w:rsidRPr="008E7C4C">
              <w:rPr>
                <w:rFonts w:ascii="Arial Narrow" w:eastAsiaTheme="majorEastAsia" w:hAnsi="Arial Narrow" w:cstheme="majorBidi"/>
                <w:bCs/>
                <w:sz w:val="20"/>
              </w:rPr>
              <w:t>20.8)</w:t>
            </w:r>
            <w:r w:rsidR="00CC25DE" w:rsidRPr="008E7C4C">
              <w:rPr>
                <w:rFonts w:ascii="Arial Narrow" w:eastAsiaTheme="majorEastAsia" w:hAnsi="Arial Narrow" w:cstheme="majorBidi"/>
                <w:bCs/>
                <w:sz w:val="20"/>
                <w:vertAlign w:val="superscript"/>
              </w:rPr>
              <w:t>d</w:t>
            </w:r>
            <w:proofErr w:type="gramEnd"/>
          </w:p>
        </w:tc>
        <w:tc>
          <w:tcPr>
            <w:tcW w:w="679" w:type="pct"/>
          </w:tcPr>
          <w:p w14:paraId="479FBCA2" w14:textId="6E2402B1" w:rsidR="00CC25DE" w:rsidRPr="008E7C4C" w:rsidRDefault="00A879D8"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 xml:space="preserve">Median PFS </w:t>
            </w:r>
            <w:r w:rsidR="00D95A0C" w:rsidRPr="008E7C4C">
              <w:rPr>
                <w:rFonts w:ascii="Arial Narrow" w:eastAsiaTheme="majorEastAsia" w:hAnsi="Arial Narrow" w:cstheme="majorBidi"/>
                <w:bCs/>
                <w:sz w:val="20"/>
              </w:rPr>
              <w:br/>
            </w:r>
            <w:proofErr w:type="spellStart"/>
            <w:r w:rsidR="00CC25DE" w:rsidRPr="008E7C4C">
              <w:rPr>
                <w:rFonts w:ascii="Arial Narrow" w:eastAsiaTheme="majorEastAsia" w:hAnsi="Arial Narrow" w:cstheme="majorBidi"/>
                <w:bCs/>
                <w:sz w:val="20"/>
              </w:rPr>
              <w:t>Ld</w:t>
            </w:r>
            <w:proofErr w:type="spellEnd"/>
            <w:r w:rsidR="00CC25DE" w:rsidRPr="008E7C4C">
              <w:rPr>
                <w:rFonts w:ascii="Arial Narrow" w:eastAsiaTheme="majorEastAsia" w:hAnsi="Arial Narrow" w:cstheme="majorBidi"/>
                <w:bCs/>
                <w:sz w:val="20"/>
              </w:rPr>
              <w:t>:</w:t>
            </w:r>
            <w:r w:rsidR="00D95A0C" w:rsidRPr="008E7C4C">
              <w:rPr>
                <w:rFonts w:ascii="Arial Narrow" w:eastAsiaTheme="majorEastAsia" w:hAnsi="Arial Narrow" w:cstheme="majorBidi"/>
                <w:bCs/>
                <w:sz w:val="20"/>
              </w:rPr>
              <w:t xml:space="preserve"> </w:t>
            </w:r>
            <w:r w:rsidR="00CC25DE" w:rsidRPr="008E7C4C">
              <w:rPr>
                <w:rFonts w:ascii="Arial Narrow" w:eastAsiaTheme="majorEastAsia" w:hAnsi="Arial Narrow" w:cstheme="majorBidi"/>
                <w:bCs/>
                <w:sz w:val="20"/>
              </w:rPr>
              <w:t>12.9 (14)</w:t>
            </w:r>
          </w:p>
        </w:tc>
      </w:tr>
      <w:tr w:rsidR="00CC25DE" w:rsidRPr="008E7C4C" w14:paraId="742F6084" w14:textId="77777777" w:rsidTr="00B115E1">
        <w:trPr>
          <w:cantSplit/>
          <w:trHeight w:val="1012"/>
          <w:jc w:val="center"/>
        </w:trPr>
        <w:tc>
          <w:tcPr>
            <w:tcW w:w="705" w:type="pct"/>
            <w:tcBorders>
              <w:bottom w:val="single" w:sz="4" w:space="0" w:color="auto"/>
            </w:tcBorders>
            <w:shd w:val="clear" w:color="auto" w:fill="auto"/>
          </w:tcPr>
          <w:p w14:paraId="109020A2" w14:textId="6C33961A" w:rsidR="00CC25DE" w:rsidRPr="008E7C4C" w:rsidRDefault="00CC25DE" w:rsidP="00D95A0C">
            <w:pPr>
              <w:jc w:val="left"/>
              <w:rPr>
                <w:rFonts w:ascii="Arial Narrow" w:eastAsiaTheme="majorEastAsia" w:hAnsi="Arial Narrow" w:cstheme="majorBidi"/>
                <w:bCs/>
                <w:sz w:val="20"/>
              </w:rPr>
            </w:pPr>
            <w:r w:rsidRPr="008E7C4C">
              <w:rPr>
                <w:rFonts w:ascii="Arial Narrow" w:eastAsiaTheme="majorEastAsia" w:hAnsi="Arial Narrow" w:cstheme="majorBidi"/>
                <w:bCs/>
                <w:sz w:val="20"/>
              </w:rPr>
              <w:t>Cost/patient/</w:t>
            </w:r>
            <w:r w:rsidR="00D95A0C" w:rsidRPr="008E7C4C">
              <w:rPr>
                <w:rFonts w:ascii="Arial Narrow" w:eastAsiaTheme="majorEastAsia" w:hAnsi="Arial Narrow" w:cstheme="majorBidi"/>
                <w:bCs/>
                <w:sz w:val="20"/>
              </w:rPr>
              <w:br/>
            </w:r>
            <w:proofErr w:type="spellStart"/>
            <w:r w:rsidRPr="008E7C4C">
              <w:rPr>
                <w:rFonts w:ascii="Arial Narrow" w:eastAsiaTheme="majorEastAsia" w:hAnsi="Arial Narrow" w:cstheme="majorBidi"/>
                <w:bCs/>
                <w:sz w:val="20"/>
              </w:rPr>
              <w:t>cycle</w:t>
            </w:r>
            <w:r w:rsidRPr="008E7C4C">
              <w:rPr>
                <w:rFonts w:ascii="Arial Narrow" w:eastAsiaTheme="majorEastAsia" w:hAnsi="Arial Narrow" w:cstheme="majorBidi"/>
                <w:bCs/>
                <w:sz w:val="20"/>
                <w:vertAlign w:val="superscript"/>
              </w:rPr>
              <w:t>e</w:t>
            </w:r>
            <w:proofErr w:type="spellEnd"/>
            <w:r w:rsidRPr="008E7C4C">
              <w:rPr>
                <w:rFonts w:ascii="Arial Narrow" w:eastAsiaTheme="majorEastAsia" w:hAnsi="Arial Narrow" w:cstheme="majorBidi"/>
                <w:bCs/>
                <w:sz w:val="20"/>
              </w:rPr>
              <w:t xml:space="preserve"> </w:t>
            </w:r>
          </w:p>
        </w:tc>
        <w:tc>
          <w:tcPr>
            <w:tcW w:w="707" w:type="pct"/>
            <w:tcBorders>
              <w:bottom w:val="single" w:sz="4" w:space="0" w:color="auto"/>
            </w:tcBorders>
            <w:shd w:val="clear" w:color="auto" w:fill="auto"/>
          </w:tcPr>
          <w:p w14:paraId="0440B036" w14:textId="4F221878"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ILd</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hint="eastAsia"/>
                <w:bCs/>
                <w:color w:val="000000"/>
                <w:w w:val="33"/>
                <w:sz w:val="20"/>
                <w:shd w:val="solid" w:color="000000" w:fill="000000"/>
                <w:fitText w:val="150" w:id="-1502411255"/>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33"/>
                <w:sz w:val="20"/>
                <w:shd w:val="solid" w:color="000000" w:fill="000000"/>
                <w:fitText w:val="150" w:id="-1502411255"/>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4"/>
                <w:w w:val="33"/>
                <w:sz w:val="20"/>
                <w:shd w:val="solid" w:color="000000" w:fill="000000"/>
                <w:fitText w:val="150" w:id="-1502411255"/>
                <w14:textFill>
                  <w14:solidFill>
                    <w14:srgbClr w14:val="000000">
                      <w14:alpha w14:val="100000"/>
                    </w14:srgbClr>
                  </w14:solidFill>
                </w14:textFill>
              </w:rPr>
              <w:t xml:space="preserve">　</w:t>
            </w:r>
          </w:p>
          <w:p w14:paraId="40B4B46D" w14:textId="77777777" w:rsidR="00CC25DE" w:rsidRPr="008E7C4C" w:rsidRDefault="00CC25DE" w:rsidP="00D95A0C">
            <w:pPr>
              <w:jc w:val="center"/>
              <w:rPr>
                <w:rFonts w:ascii="Arial Narrow" w:eastAsiaTheme="majorEastAsia" w:hAnsi="Arial Narrow" w:cstheme="majorBidi"/>
                <w:bCs/>
                <w:sz w:val="20"/>
              </w:rPr>
            </w:pPr>
          </w:p>
          <w:p w14:paraId="6F7A84E6" w14:textId="77D1712A"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Ixa</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hint="eastAsia"/>
                <w:bCs/>
                <w:color w:val="000000"/>
                <w:w w:val="30"/>
                <w:sz w:val="20"/>
                <w:shd w:val="solid" w:color="000000" w:fill="000000"/>
                <w:fitText w:val="135" w:id="-1502411254"/>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30"/>
                <w:sz w:val="20"/>
                <w:shd w:val="solid" w:color="000000" w:fill="000000"/>
                <w:fitText w:val="135" w:id="-1502411254"/>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
                <w:w w:val="30"/>
                <w:sz w:val="20"/>
                <w:shd w:val="solid" w:color="000000" w:fill="000000"/>
                <w:fitText w:val="135" w:id="-1502411254"/>
                <w14:textFill>
                  <w14:solidFill>
                    <w14:srgbClr w14:val="000000">
                      <w14:alpha w14:val="100000"/>
                    </w14:srgbClr>
                  </w14:solidFill>
                </w14:textFill>
              </w:rPr>
              <w:t xml:space="preserve">　</w:t>
            </w:r>
          </w:p>
          <w:p w14:paraId="4A495A73" w14:textId="63B27630"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w:t>
            </w:r>
            <w:r w:rsidR="00951174" w:rsidRPr="00951174">
              <w:rPr>
                <w:rFonts w:ascii="Arial Narrow" w:eastAsiaTheme="majorEastAsia" w:hAnsi="Arial Narrow" w:cstheme="majorBidi" w:hint="eastAsia"/>
                <w:bCs/>
                <w:color w:val="000000"/>
                <w:w w:val="33"/>
                <w:sz w:val="20"/>
                <w:shd w:val="solid" w:color="000000" w:fill="000000"/>
                <w:fitText w:val="150" w:id="-1502411253"/>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33"/>
                <w:sz w:val="20"/>
                <w:shd w:val="solid" w:color="000000" w:fill="000000"/>
                <w:fitText w:val="150" w:id="-1502411253"/>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4"/>
                <w:w w:val="33"/>
                <w:sz w:val="20"/>
                <w:shd w:val="solid" w:color="000000" w:fill="000000"/>
                <w:fitText w:val="150" w:id="-1502411253"/>
                <w14:textFill>
                  <w14:solidFill>
                    <w14:srgbClr w14:val="000000">
                      <w14:alpha w14:val="100000"/>
                    </w14:srgbClr>
                  </w14:solidFill>
                </w14:textFill>
              </w:rPr>
              <w:t xml:space="preserve">　</w:t>
            </w:r>
          </w:p>
          <w:p w14:paraId="7B1FC105" w14:textId="49BC0ABF"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Dex</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bCs/>
                <w:color w:val="000000"/>
                <w:spacing w:val="94"/>
                <w:sz w:val="20"/>
                <w:shd w:val="solid" w:color="000000" w:fill="000000"/>
                <w:fitText w:val="180" w:id="-1502411252"/>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180" w:id="-1502411252"/>
                <w14:textFill>
                  <w14:solidFill>
                    <w14:srgbClr w14:val="000000">
                      <w14:alpha w14:val="100000"/>
                    </w14:srgbClr>
                  </w14:solidFill>
                </w14:textFill>
              </w:rPr>
              <w:t>|</w:t>
            </w:r>
          </w:p>
        </w:tc>
        <w:tc>
          <w:tcPr>
            <w:tcW w:w="786" w:type="pct"/>
            <w:tcBorders>
              <w:bottom w:val="single" w:sz="4" w:space="0" w:color="auto"/>
            </w:tcBorders>
            <w:shd w:val="clear" w:color="auto" w:fill="auto"/>
          </w:tcPr>
          <w:p w14:paraId="0C3CD574" w14:textId="34E578A4"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ILd</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hint="eastAsia"/>
                <w:bCs/>
                <w:color w:val="000000"/>
                <w:w w:val="20"/>
                <w:sz w:val="20"/>
                <w:shd w:val="solid" w:color="000000" w:fill="000000"/>
                <w:fitText w:val="90" w:id="-1502411251"/>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20"/>
                <w:sz w:val="20"/>
                <w:shd w:val="solid" w:color="000000" w:fill="000000"/>
                <w:fitText w:val="90" w:id="-1502411251"/>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
                <w:w w:val="20"/>
                <w:sz w:val="20"/>
                <w:shd w:val="solid" w:color="000000" w:fill="000000"/>
                <w:fitText w:val="90" w:id="-1502411251"/>
                <w14:textFill>
                  <w14:solidFill>
                    <w14:srgbClr w14:val="000000">
                      <w14:alpha w14:val="100000"/>
                    </w14:srgbClr>
                  </w14:solidFill>
                </w14:textFill>
              </w:rPr>
              <w:t xml:space="preserve">　</w:t>
            </w:r>
            <w:r w:rsidRPr="008E7C4C">
              <w:rPr>
                <w:rFonts w:ascii="Arial Narrow" w:eastAsiaTheme="majorEastAsia" w:hAnsi="Arial Narrow" w:cstheme="majorBidi"/>
                <w:bCs/>
                <w:sz w:val="20"/>
                <w:vertAlign w:val="superscript"/>
              </w:rPr>
              <w:t>f</w:t>
            </w:r>
          </w:p>
          <w:p w14:paraId="14D587B4" w14:textId="77777777" w:rsidR="00CC25DE" w:rsidRPr="008E7C4C" w:rsidRDefault="00CC25DE" w:rsidP="00D95A0C">
            <w:pPr>
              <w:jc w:val="center"/>
              <w:rPr>
                <w:rFonts w:ascii="Arial Narrow" w:eastAsiaTheme="majorEastAsia" w:hAnsi="Arial Narrow" w:cstheme="majorBidi"/>
                <w:bCs/>
                <w:sz w:val="20"/>
              </w:rPr>
            </w:pPr>
          </w:p>
          <w:p w14:paraId="5EC3BF95" w14:textId="7EB09915"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Ixa</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hint="eastAsia"/>
                <w:bCs/>
                <w:color w:val="000000"/>
                <w:w w:val="16"/>
                <w:sz w:val="20"/>
                <w:shd w:val="solid" w:color="000000" w:fill="000000"/>
                <w:fitText w:val="75" w:id="-1502411250"/>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6"/>
                <w:sz w:val="20"/>
                <w:shd w:val="solid" w:color="000000" w:fill="000000"/>
                <w:fitText w:val="75" w:id="-1502411250"/>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6"/>
                <w:sz w:val="20"/>
                <w:shd w:val="solid" w:color="000000" w:fill="000000"/>
                <w:fitText w:val="75" w:id="-1502411250"/>
                <w14:textFill>
                  <w14:solidFill>
                    <w14:srgbClr w14:val="000000">
                      <w14:alpha w14:val="100000"/>
                    </w14:srgbClr>
                  </w14:solidFill>
                </w14:textFill>
              </w:rPr>
              <w:t xml:space="preserve">　</w:t>
            </w:r>
          </w:p>
          <w:p w14:paraId="1699A401" w14:textId="6BE97C5D"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w:t>
            </w:r>
            <w:r w:rsidR="00951174" w:rsidRPr="00951174">
              <w:rPr>
                <w:rFonts w:ascii="Arial Narrow" w:eastAsiaTheme="majorEastAsia" w:hAnsi="Arial Narrow" w:cstheme="majorBidi" w:hint="eastAsia"/>
                <w:bCs/>
                <w:color w:val="000000"/>
                <w:w w:val="20"/>
                <w:sz w:val="20"/>
                <w:shd w:val="solid" w:color="000000" w:fill="000000"/>
                <w:fitText w:val="90" w:id="-1502411249"/>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20"/>
                <w:sz w:val="20"/>
                <w:shd w:val="solid" w:color="000000" w:fill="000000"/>
                <w:fitText w:val="90" w:id="-1502411249"/>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
                <w:w w:val="20"/>
                <w:sz w:val="20"/>
                <w:shd w:val="solid" w:color="000000" w:fill="000000"/>
                <w:fitText w:val="90" w:id="-1502411249"/>
                <w14:textFill>
                  <w14:solidFill>
                    <w14:srgbClr w14:val="000000">
                      <w14:alpha w14:val="100000"/>
                    </w14:srgbClr>
                  </w14:solidFill>
                </w14:textFill>
              </w:rPr>
              <w:t xml:space="preserve">　</w:t>
            </w:r>
          </w:p>
          <w:p w14:paraId="1F356AEB" w14:textId="627206AB"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Dex</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hint="eastAsia"/>
                <w:bCs/>
                <w:color w:val="000000"/>
                <w:w w:val="23"/>
                <w:sz w:val="20"/>
                <w:shd w:val="solid" w:color="000000" w:fill="000000"/>
                <w:fitText w:val="105" w:id="-1502411248"/>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23"/>
                <w:sz w:val="20"/>
                <w:shd w:val="solid" w:color="000000" w:fill="000000"/>
                <w:fitText w:val="105" w:id="-1502411248"/>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4"/>
                <w:w w:val="23"/>
                <w:sz w:val="20"/>
                <w:shd w:val="solid" w:color="000000" w:fill="000000"/>
                <w:fitText w:val="105" w:id="-1502411248"/>
                <w14:textFill>
                  <w14:solidFill>
                    <w14:srgbClr w14:val="000000">
                      <w14:alpha w14:val="100000"/>
                    </w14:srgbClr>
                  </w14:solidFill>
                </w14:textFill>
              </w:rPr>
              <w:t xml:space="preserve">　</w:t>
            </w:r>
          </w:p>
        </w:tc>
        <w:tc>
          <w:tcPr>
            <w:tcW w:w="710" w:type="pct"/>
            <w:tcBorders>
              <w:bottom w:val="single" w:sz="4" w:space="0" w:color="auto"/>
            </w:tcBorders>
            <w:shd w:val="clear" w:color="auto" w:fill="auto"/>
          </w:tcPr>
          <w:p w14:paraId="5F5387D2" w14:textId="3B4F8BFE"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IL(d): $</w:t>
            </w:r>
            <w:r w:rsidR="00951174" w:rsidRPr="00951174">
              <w:rPr>
                <w:rFonts w:ascii="Arial Narrow" w:eastAsiaTheme="majorEastAsia" w:hAnsi="Arial Narrow" w:cstheme="majorBidi"/>
                <w:bCs/>
                <w:color w:val="000000"/>
                <w:spacing w:val="109"/>
                <w:sz w:val="20"/>
                <w:shd w:val="solid" w:color="000000" w:fill="000000"/>
                <w:fitText w:val="195" w:id="-1502411264"/>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195" w:id="-1502411264"/>
                <w14:textFill>
                  <w14:solidFill>
                    <w14:srgbClr w14:val="000000">
                      <w14:alpha w14:val="100000"/>
                    </w14:srgbClr>
                  </w14:solidFill>
                </w14:textFill>
              </w:rPr>
              <w:t>|</w:t>
            </w:r>
          </w:p>
          <w:p w14:paraId="228E63F3" w14:textId="77777777" w:rsidR="00CC25DE" w:rsidRPr="008E7C4C" w:rsidRDefault="00CC25DE" w:rsidP="00D95A0C">
            <w:pPr>
              <w:jc w:val="center"/>
              <w:rPr>
                <w:rFonts w:ascii="Arial Narrow" w:eastAsiaTheme="majorEastAsia" w:hAnsi="Arial Narrow" w:cstheme="majorBidi"/>
                <w:bCs/>
                <w:sz w:val="20"/>
              </w:rPr>
            </w:pPr>
          </w:p>
          <w:p w14:paraId="4B9D20E4" w14:textId="181DB338"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Ixa</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hint="eastAsia"/>
                <w:bCs/>
                <w:color w:val="000000"/>
                <w:w w:val="30"/>
                <w:sz w:val="20"/>
                <w:shd w:val="solid" w:color="000000" w:fill="000000"/>
                <w:fitText w:val="135" w:id="-1502411263"/>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30"/>
                <w:sz w:val="20"/>
                <w:shd w:val="solid" w:color="000000" w:fill="000000"/>
                <w:fitText w:val="135" w:id="-1502411263"/>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
                <w:w w:val="30"/>
                <w:sz w:val="20"/>
                <w:shd w:val="solid" w:color="000000" w:fill="000000"/>
                <w:fitText w:val="135" w:id="-1502411263"/>
                <w14:textFill>
                  <w14:solidFill>
                    <w14:srgbClr w14:val="000000">
                      <w14:alpha w14:val="100000"/>
                    </w14:srgbClr>
                  </w14:solidFill>
                </w14:textFill>
              </w:rPr>
              <w:t xml:space="preserve">　</w:t>
            </w:r>
          </w:p>
          <w:p w14:paraId="360A57B3" w14:textId="4F51C800"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w:t>
            </w:r>
            <w:r w:rsidR="00951174" w:rsidRPr="00951174">
              <w:rPr>
                <w:rFonts w:ascii="Arial Narrow" w:eastAsiaTheme="majorEastAsia" w:hAnsi="Arial Narrow" w:cstheme="majorBidi"/>
                <w:bCs/>
                <w:color w:val="000000"/>
                <w:spacing w:val="94"/>
                <w:sz w:val="20"/>
                <w:shd w:val="solid" w:color="000000" w:fill="000000"/>
                <w:fitText w:val="180" w:id="-1502411262"/>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180" w:id="-1502411262"/>
                <w14:textFill>
                  <w14:solidFill>
                    <w14:srgbClr w14:val="000000">
                      <w14:alpha w14:val="100000"/>
                    </w14:srgbClr>
                  </w14:solidFill>
                </w14:textFill>
              </w:rPr>
              <w:t>|</w:t>
            </w:r>
            <w:proofErr w:type="spellStart"/>
            <w:r w:rsidR="00A879D8" w:rsidRPr="008E7C4C">
              <w:rPr>
                <w:rFonts w:ascii="Arial Narrow" w:eastAsiaTheme="majorEastAsia" w:hAnsi="Arial Narrow" w:cstheme="majorBidi"/>
                <w:bCs/>
                <w:sz w:val="20"/>
                <w:vertAlign w:val="superscript"/>
              </w:rPr>
              <w:t>i</w:t>
            </w:r>
            <w:proofErr w:type="spellEnd"/>
          </w:p>
        </w:tc>
        <w:tc>
          <w:tcPr>
            <w:tcW w:w="696" w:type="pct"/>
            <w:tcBorders>
              <w:bottom w:val="single" w:sz="4" w:space="0" w:color="auto"/>
            </w:tcBorders>
            <w:shd w:val="clear" w:color="auto" w:fill="auto"/>
          </w:tcPr>
          <w:p w14:paraId="45D32C38" w14:textId="211A62D1"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Ld</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hint="eastAsia"/>
                <w:bCs/>
                <w:color w:val="000000"/>
                <w:w w:val="30"/>
                <w:sz w:val="20"/>
                <w:shd w:val="solid" w:color="000000" w:fill="000000"/>
                <w:fitText w:val="135" w:id="-1502411261"/>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30"/>
                <w:sz w:val="20"/>
                <w:shd w:val="solid" w:color="000000" w:fill="000000"/>
                <w:fitText w:val="135" w:id="-1502411261"/>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
                <w:w w:val="30"/>
                <w:sz w:val="20"/>
                <w:shd w:val="solid" w:color="000000" w:fill="000000"/>
                <w:fitText w:val="135" w:id="-1502411261"/>
                <w14:textFill>
                  <w14:solidFill>
                    <w14:srgbClr w14:val="000000">
                      <w14:alpha w14:val="100000"/>
                    </w14:srgbClr>
                  </w14:solidFill>
                </w14:textFill>
              </w:rPr>
              <w:t xml:space="preserve">　</w:t>
            </w:r>
          </w:p>
          <w:p w14:paraId="5154310A" w14:textId="77777777" w:rsidR="00CC25DE" w:rsidRPr="008E7C4C" w:rsidRDefault="00CC25DE" w:rsidP="00D95A0C">
            <w:pPr>
              <w:jc w:val="center"/>
              <w:rPr>
                <w:rFonts w:ascii="Arial Narrow" w:eastAsiaTheme="majorEastAsia" w:hAnsi="Arial Narrow" w:cstheme="majorBidi"/>
                <w:bCs/>
                <w:sz w:val="20"/>
              </w:rPr>
            </w:pPr>
          </w:p>
          <w:p w14:paraId="25EA3E87" w14:textId="29A556C9"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w:t>
            </w:r>
            <w:r w:rsidR="00951174" w:rsidRPr="00951174">
              <w:rPr>
                <w:rFonts w:ascii="Arial Narrow" w:eastAsiaTheme="majorEastAsia" w:hAnsi="Arial Narrow" w:cstheme="majorBidi"/>
                <w:bCs/>
                <w:color w:val="000000"/>
                <w:spacing w:val="94"/>
                <w:sz w:val="20"/>
                <w:shd w:val="solid" w:color="000000" w:fill="000000"/>
                <w:fitText w:val="180" w:id="-1502411260"/>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180" w:id="-1502411260"/>
                <w14:textFill>
                  <w14:solidFill>
                    <w14:srgbClr w14:val="000000">
                      <w14:alpha w14:val="100000"/>
                    </w14:srgbClr>
                  </w14:solidFill>
                </w14:textFill>
              </w:rPr>
              <w:t>|</w:t>
            </w:r>
          </w:p>
          <w:p w14:paraId="266D781E" w14:textId="714A0D15"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Dex</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bCs/>
                <w:color w:val="000000"/>
                <w:spacing w:val="94"/>
                <w:sz w:val="20"/>
                <w:shd w:val="solid" w:color="000000" w:fill="000000"/>
                <w:fitText w:val="180" w:id="-1502411259"/>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180" w:id="-1502411259"/>
                <w14:textFill>
                  <w14:solidFill>
                    <w14:srgbClr w14:val="000000">
                      <w14:alpha w14:val="100000"/>
                    </w14:srgbClr>
                  </w14:solidFill>
                </w14:textFill>
              </w:rPr>
              <w:t>|</w:t>
            </w:r>
          </w:p>
        </w:tc>
        <w:tc>
          <w:tcPr>
            <w:tcW w:w="717" w:type="pct"/>
            <w:tcBorders>
              <w:bottom w:val="single" w:sz="4" w:space="0" w:color="auto"/>
            </w:tcBorders>
            <w:shd w:val="clear" w:color="auto" w:fill="auto"/>
          </w:tcPr>
          <w:p w14:paraId="50A5DDC8" w14:textId="5C03E2F2"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Ld</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hint="eastAsia"/>
                <w:bCs/>
                <w:color w:val="000000"/>
                <w:w w:val="27"/>
                <w:sz w:val="20"/>
                <w:shd w:val="solid" w:color="000000" w:fill="000000"/>
                <w:fitText w:val="120" w:id="-1502411258"/>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27"/>
                <w:sz w:val="20"/>
                <w:shd w:val="solid" w:color="000000" w:fill="000000"/>
                <w:fitText w:val="120" w:id="-1502411258"/>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2"/>
                <w:w w:val="27"/>
                <w:sz w:val="20"/>
                <w:shd w:val="solid" w:color="000000" w:fill="000000"/>
                <w:fitText w:val="120" w:id="-1502411258"/>
                <w14:textFill>
                  <w14:solidFill>
                    <w14:srgbClr w14:val="000000">
                      <w14:alpha w14:val="100000"/>
                    </w14:srgbClr>
                  </w14:solidFill>
                </w14:textFill>
              </w:rPr>
              <w:t xml:space="preserve">　</w:t>
            </w:r>
            <w:r w:rsidRPr="008E7C4C">
              <w:rPr>
                <w:rFonts w:ascii="Arial Narrow" w:eastAsiaTheme="majorEastAsia" w:hAnsi="Arial Narrow" w:cstheme="majorBidi"/>
                <w:bCs/>
                <w:sz w:val="20"/>
                <w:vertAlign w:val="superscript"/>
              </w:rPr>
              <w:t>f</w:t>
            </w:r>
          </w:p>
          <w:p w14:paraId="063A150E" w14:textId="77777777" w:rsidR="00CC25DE" w:rsidRPr="008E7C4C" w:rsidRDefault="00CC25DE" w:rsidP="00D95A0C">
            <w:pPr>
              <w:jc w:val="center"/>
              <w:rPr>
                <w:rFonts w:ascii="Arial Narrow" w:eastAsiaTheme="majorEastAsia" w:hAnsi="Arial Narrow" w:cstheme="majorBidi"/>
                <w:bCs/>
                <w:sz w:val="20"/>
              </w:rPr>
            </w:pPr>
          </w:p>
          <w:p w14:paraId="7D4673ED" w14:textId="2F41E99F"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Len: $</w:t>
            </w:r>
            <w:r w:rsidR="00951174" w:rsidRPr="00951174">
              <w:rPr>
                <w:rFonts w:ascii="Arial Narrow" w:eastAsiaTheme="majorEastAsia" w:hAnsi="Arial Narrow" w:cstheme="majorBidi"/>
                <w:bCs/>
                <w:color w:val="000000"/>
                <w:spacing w:val="79"/>
                <w:sz w:val="20"/>
                <w:shd w:val="solid" w:color="000000" w:fill="000000"/>
                <w:fitText w:val="165" w:id="-1502411257"/>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165" w:id="-1502411257"/>
                <w14:textFill>
                  <w14:solidFill>
                    <w14:srgbClr w14:val="000000">
                      <w14:alpha w14:val="100000"/>
                    </w14:srgbClr>
                  </w14:solidFill>
                </w14:textFill>
              </w:rPr>
              <w:t>|</w:t>
            </w:r>
          </w:p>
          <w:p w14:paraId="12DA53FF" w14:textId="7833485D" w:rsidR="00CC25DE" w:rsidRPr="008E7C4C" w:rsidRDefault="00CC25DE" w:rsidP="00D95A0C">
            <w:pPr>
              <w:jc w:val="center"/>
              <w:rPr>
                <w:rFonts w:ascii="Arial Narrow" w:eastAsiaTheme="majorEastAsia" w:hAnsi="Arial Narrow" w:cstheme="majorBidi"/>
                <w:bCs/>
                <w:sz w:val="20"/>
              </w:rPr>
            </w:pPr>
            <w:proofErr w:type="spellStart"/>
            <w:r w:rsidRPr="008E7C4C">
              <w:rPr>
                <w:rFonts w:ascii="Arial Narrow" w:eastAsiaTheme="majorEastAsia" w:hAnsi="Arial Narrow" w:cstheme="majorBidi"/>
                <w:bCs/>
                <w:sz w:val="20"/>
              </w:rPr>
              <w:t>Dex</w:t>
            </w:r>
            <w:proofErr w:type="spellEnd"/>
            <w:r w:rsidRPr="008E7C4C">
              <w:rPr>
                <w:rFonts w:ascii="Arial Narrow" w:eastAsiaTheme="majorEastAsia" w:hAnsi="Arial Narrow" w:cstheme="majorBidi"/>
                <w:bCs/>
                <w:sz w:val="20"/>
              </w:rPr>
              <w:t>: $</w:t>
            </w:r>
            <w:r w:rsidR="00951174" w:rsidRPr="00951174">
              <w:rPr>
                <w:rFonts w:ascii="Arial Narrow" w:eastAsiaTheme="majorEastAsia" w:hAnsi="Arial Narrow" w:cstheme="majorBidi"/>
                <w:bCs/>
                <w:color w:val="000000"/>
                <w:spacing w:val="79"/>
                <w:sz w:val="20"/>
                <w:shd w:val="solid" w:color="000000" w:fill="000000"/>
                <w:fitText w:val="165" w:id="-1502411256"/>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165" w:id="-1502411256"/>
                <w14:textFill>
                  <w14:solidFill>
                    <w14:srgbClr w14:val="000000">
                      <w14:alpha w14:val="100000"/>
                    </w14:srgbClr>
                  </w14:solidFill>
                </w14:textFill>
              </w:rPr>
              <w:t>|</w:t>
            </w:r>
          </w:p>
        </w:tc>
        <w:tc>
          <w:tcPr>
            <w:tcW w:w="679" w:type="pct"/>
            <w:tcBorders>
              <w:bottom w:val="single" w:sz="4" w:space="0" w:color="auto"/>
            </w:tcBorders>
          </w:tcPr>
          <w:p w14:paraId="5CD50BB7" w14:textId="4EA2CB9F"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L(d): $</w:t>
            </w:r>
            <w:r w:rsidR="00951174" w:rsidRPr="00951174">
              <w:rPr>
                <w:rFonts w:ascii="Arial Narrow" w:eastAsiaTheme="majorEastAsia" w:hAnsi="Arial Narrow" w:cstheme="majorBidi"/>
                <w:bCs/>
                <w:color w:val="000000"/>
                <w:spacing w:val="41"/>
                <w:sz w:val="20"/>
                <w:shd w:val="solid" w:color="000000" w:fill="000000"/>
                <w:fitText w:val="210" w:id="-1502411255"/>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hd w:val="solid" w:color="000000" w:fill="000000"/>
                <w:fitText w:val="210" w:id="-1502411255"/>
                <w14:textFill>
                  <w14:solidFill>
                    <w14:srgbClr w14:val="000000">
                      <w14:alpha w14:val="100000"/>
                    </w14:srgbClr>
                  </w14:solidFill>
                </w14:textFill>
              </w:rPr>
              <w:t>|</w:t>
            </w:r>
            <w:proofErr w:type="spellStart"/>
            <w:r w:rsidR="00A879D8" w:rsidRPr="008E7C4C">
              <w:rPr>
                <w:rFonts w:ascii="Arial Narrow" w:eastAsiaTheme="majorEastAsia" w:hAnsi="Arial Narrow" w:cstheme="majorBidi"/>
                <w:bCs/>
                <w:sz w:val="20"/>
                <w:vertAlign w:val="superscript"/>
              </w:rPr>
              <w:t>i</w:t>
            </w:r>
            <w:proofErr w:type="spellEnd"/>
          </w:p>
        </w:tc>
      </w:tr>
      <w:tr w:rsidR="00CC25DE" w:rsidRPr="008E7C4C" w14:paraId="02E9112F" w14:textId="77777777" w:rsidTr="00B115E1">
        <w:trPr>
          <w:cantSplit/>
          <w:jc w:val="center"/>
        </w:trPr>
        <w:tc>
          <w:tcPr>
            <w:tcW w:w="705" w:type="pct"/>
            <w:tcBorders>
              <w:bottom w:val="single" w:sz="4" w:space="0" w:color="auto"/>
            </w:tcBorders>
            <w:shd w:val="clear" w:color="auto" w:fill="auto"/>
          </w:tcPr>
          <w:p w14:paraId="58969D84" w14:textId="5B050F94" w:rsidR="00CC25DE" w:rsidRPr="008E7C4C" w:rsidRDefault="00CC25DE" w:rsidP="00D95A0C">
            <w:pPr>
              <w:jc w:val="left"/>
              <w:rPr>
                <w:rFonts w:ascii="Arial Narrow" w:eastAsiaTheme="majorEastAsia" w:hAnsi="Arial Narrow" w:cstheme="majorBidi"/>
                <w:bCs/>
                <w:sz w:val="20"/>
              </w:rPr>
            </w:pPr>
            <w:r w:rsidRPr="008E7C4C">
              <w:rPr>
                <w:rFonts w:ascii="Arial Narrow" w:eastAsiaTheme="majorEastAsia" w:hAnsi="Arial Narrow" w:cstheme="majorBidi"/>
                <w:bCs/>
                <w:sz w:val="20"/>
              </w:rPr>
              <w:lastRenderedPageBreak/>
              <w:t>Cost/patient/</w:t>
            </w:r>
            <w:r w:rsidR="00D95A0C" w:rsidRPr="008E7C4C">
              <w:rPr>
                <w:rFonts w:ascii="Arial Narrow" w:eastAsiaTheme="majorEastAsia" w:hAnsi="Arial Narrow" w:cstheme="majorBidi"/>
                <w:bCs/>
                <w:sz w:val="20"/>
              </w:rPr>
              <w:br/>
            </w:r>
            <w:r w:rsidRPr="008E7C4C">
              <w:rPr>
                <w:rFonts w:ascii="Arial Narrow" w:eastAsiaTheme="majorEastAsia" w:hAnsi="Arial Narrow" w:cstheme="majorBidi"/>
                <w:bCs/>
                <w:sz w:val="20"/>
              </w:rPr>
              <w:t>course</w:t>
            </w:r>
          </w:p>
        </w:tc>
        <w:tc>
          <w:tcPr>
            <w:tcW w:w="707" w:type="pct"/>
            <w:tcBorders>
              <w:bottom w:val="single" w:sz="4" w:space="0" w:color="auto"/>
            </w:tcBorders>
            <w:shd w:val="clear" w:color="auto" w:fill="auto"/>
          </w:tcPr>
          <w:p w14:paraId="2525AAA5" w14:textId="3F057720"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2D249B">
              <w:rPr>
                <w:rFonts w:ascii="Arial Narrow" w:eastAsiaTheme="majorEastAsia" w:hAnsi="Arial Narrow" w:cstheme="majorBidi" w:hint="eastAsia"/>
                <w:bCs/>
                <w:color w:val="000000"/>
                <w:w w:val="15"/>
                <w:sz w:val="20"/>
                <w:shd w:val="solid" w:color="000000" w:fill="000000"/>
                <w:fitText w:val="15" w:id="-1502411254"/>
                <w14:textFill>
                  <w14:solidFill>
                    <w14:srgbClr w14:val="000000">
                      <w14:alpha w14:val="100000"/>
                    </w14:srgbClr>
                  </w14:solidFill>
                </w14:textFill>
              </w:rPr>
              <w:t xml:space="preserve">　</w:t>
            </w:r>
            <w:r w:rsidR="00951174" w:rsidRPr="002D249B">
              <w:rPr>
                <w:rFonts w:ascii="Arial Narrow" w:eastAsiaTheme="majorEastAsia" w:hAnsi="Arial Narrow" w:cstheme="majorBidi"/>
                <w:bCs/>
                <w:color w:val="000000"/>
                <w:w w:val="15"/>
                <w:sz w:val="20"/>
                <w:shd w:val="solid" w:color="000000" w:fill="000000"/>
                <w:fitText w:val="15" w:id="-1502411254"/>
                <w14:textFill>
                  <w14:solidFill>
                    <w14:srgbClr w14:val="000000">
                      <w14:alpha w14:val="100000"/>
                    </w14:srgbClr>
                  </w14:solidFill>
                </w14:textFill>
              </w:rPr>
              <w:t>|</w:t>
            </w:r>
            <w:r w:rsidR="00951174" w:rsidRPr="002D249B">
              <w:rPr>
                <w:rFonts w:ascii="Arial Narrow" w:eastAsiaTheme="majorEastAsia" w:hAnsi="Arial Narrow" w:cstheme="majorBidi" w:hint="eastAsia"/>
                <w:bCs/>
                <w:color w:val="000000"/>
                <w:spacing w:val="-50"/>
                <w:w w:val="15"/>
                <w:sz w:val="20"/>
                <w:shd w:val="solid" w:color="000000" w:fill="000000"/>
                <w:fitText w:val="15" w:id="-1502411254"/>
                <w14:textFill>
                  <w14:solidFill>
                    <w14:srgbClr w14:val="000000">
                      <w14:alpha w14:val="100000"/>
                    </w14:srgbClr>
                  </w14:solidFill>
                </w14:textFill>
              </w:rPr>
              <w:t xml:space="preserve">　</w:t>
            </w:r>
            <w:r w:rsidRPr="008E7C4C">
              <w:rPr>
                <w:rFonts w:ascii="Arial Narrow" w:eastAsiaTheme="majorEastAsia" w:hAnsi="Arial Narrow" w:cstheme="majorBidi"/>
                <w:bCs/>
                <w:sz w:val="20"/>
                <w:vertAlign w:val="superscript"/>
              </w:rPr>
              <w:t>g</w:t>
            </w:r>
          </w:p>
        </w:tc>
        <w:tc>
          <w:tcPr>
            <w:tcW w:w="786" w:type="pct"/>
            <w:tcBorders>
              <w:bottom w:val="single" w:sz="4" w:space="0" w:color="auto"/>
            </w:tcBorders>
            <w:shd w:val="clear" w:color="auto" w:fill="auto"/>
          </w:tcPr>
          <w:p w14:paraId="31103FAE" w14:textId="2CF9ED08" w:rsidR="00CC25DE" w:rsidRPr="008E7C4C" w:rsidRDefault="00CC25DE" w:rsidP="00D95A0C">
            <w:pPr>
              <w:jc w:val="center"/>
              <w:rPr>
                <w:rFonts w:ascii="Arial Narrow" w:eastAsiaTheme="majorEastAsia" w:hAnsi="Arial Narrow" w:cstheme="majorBidi"/>
                <w:bCs/>
                <w:sz w:val="20"/>
                <w:vertAlign w:val="superscript"/>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8E7C4C">
              <w:rPr>
                <w:rFonts w:ascii="Arial Narrow" w:eastAsiaTheme="majorEastAsia" w:hAnsi="Arial Narrow" w:cstheme="majorBidi"/>
                <w:bCs/>
                <w:sz w:val="20"/>
                <w:vertAlign w:val="superscript"/>
              </w:rPr>
              <w:t>g</w:t>
            </w:r>
          </w:p>
          <w:p w14:paraId="5767B17A" w14:textId="2EEA402B"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8E7C4C">
              <w:rPr>
                <w:rFonts w:ascii="Arial Narrow" w:eastAsiaTheme="majorEastAsia" w:hAnsi="Arial Narrow" w:cstheme="majorBidi"/>
                <w:bCs/>
                <w:sz w:val="20"/>
                <w:vertAlign w:val="superscript"/>
              </w:rPr>
              <w:t>h</w:t>
            </w:r>
          </w:p>
          <w:p w14:paraId="40108929" w14:textId="77777777" w:rsidR="00CC25DE" w:rsidRPr="008E7C4C" w:rsidRDefault="00CC25DE" w:rsidP="00D95A0C">
            <w:pPr>
              <w:jc w:val="center"/>
              <w:rPr>
                <w:rFonts w:ascii="Arial Narrow" w:eastAsiaTheme="majorEastAsia" w:hAnsi="Arial Narrow" w:cstheme="majorBidi"/>
                <w:bCs/>
                <w:sz w:val="20"/>
              </w:rPr>
            </w:pPr>
          </w:p>
        </w:tc>
        <w:tc>
          <w:tcPr>
            <w:tcW w:w="710" w:type="pct"/>
            <w:tcBorders>
              <w:bottom w:val="single" w:sz="4" w:space="0" w:color="auto"/>
            </w:tcBorders>
            <w:shd w:val="clear" w:color="auto" w:fill="auto"/>
          </w:tcPr>
          <w:p w14:paraId="556ABCB0" w14:textId="1D01C0A4" w:rsidR="00CC25DE" w:rsidRPr="008E7C4C" w:rsidRDefault="00CC25DE" w:rsidP="00D95A0C">
            <w:pPr>
              <w:jc w:val="center"/>
              <w:rPr>
                <w:rFonts w:ascii="Arial Narrow" w:eastAsiaTheme="majorEastAsia" w:hAnsi="Arial Narrow" w:cstheme="majorBidi"/>
                <w:bCs/>
                <w:sz w:val="20"/>
                <w:vertAlign w:val="superscript"/>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hint="eastAsia"/>
                <w:bCs/>
                <w:color w:val="000000"/>
                <w:w w:val="30"/>
                <w:sz w:val="20"/>
                <w:shd w:val="solid" w:color="000000" w:fill="000000"/>
                <w:fitText w:val="135" w:id="-1502411253"/>
                <w14:textFill>
                  <w14:solidFill>
                    <w14:srgbClr w14:val="000000">
                      <w14:alpha w14:val="100000"/>
                    </w14:srgbClr>
                  </w14:solidFill>
                </w14:textFill>
              </w:rPr>
              <w:t xml:space="preserve">　</w:t>
            </w:r>
            <w:proofErr w:type="gramStart"/>
            <w:r w:rsidR="00951174" w:rsidRPr="00951174">
              <w:rPr>
                <w:rFonts w:ascii="Arial Narrow" w:eastAsiaTheme="majorEastAsia" w:hAnsi="Arial Narrow" w:cstheme="majorBidi"/>
                <w:bCs/>
                <w:color w:val="000000"/>
                <w:w w:val="30"/>
                <w:sz w:val="20"/>
                <w:shd w:val="solid" w:color="000000" w:fill="000000"/>
                <w:fitText w:val="135" w:id="-1502411253"/>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
                <w:w w:val="30"/>
                <w:sz w:val="20"/>
                <w:shd w:val="solid" w:color="000000" w:fill="000000"/>
                <w:fitText w:val="135" w:id="-1502411253"/>
                <w14:textFill>
                  <w14:solidFill>
                    <w14:srgbClr w14:val="000000">
                      <w14:alpha w14:val="100000"/>
                    </w14:srgbClr>
                  </w14:solidFill>
                </w14:textFill>
              </w:rPr>
              <w:t xml:space="preserve">　</w:t>
            </w:r>
            <w:r w:rsidRPr="008E7C4C">
              <w:rPr>
                <w:rFonts w:ascii="Arial Narrow" w:eastAsiaTheme="majorEastAsia" w:hAnsi="Arial Narrow" w:cstheme="majorBidi"/>
                <w:bCs/>
                <w:sz w:val="20"/>
              </w:rPr>
              <w:t xml:space="preserve"> (</w:t>
            </w:r>
            <w:proofErr w:type="spellStart"/>
            <w:proofErr w:type="gramEnd"/>
            <w:r w:rsidRPr="008E7C4C">
              <w:rPr>
                <w:rFonts w:ascii="Arial Narrow" w:eastAsiaTheme="majorEastAsia" w:hAnsi="Arial Narrow" w:cstheme="majorBidi"/>
                <w:bCs/>
                <w:sz w:val="20"/>
              </w:rPr>
              <w:t>Ixa</w:t>
            </w:r>
            <w:proofErr w:type="spellEnd"/>
            <w:r w:rsidRPr="008E7C4C">
              <w:rPr>
                <w:rFonts w:ascii="Arial Narrow" w:eastAsiaTheme="majorEastAsia" w:hAnsi="Arial Narrow" w:cstheme="majorBidi"/>
                <w:bCs/>
                <w:sz w:val="20"/>
              </w:rPr>
              <w:t xml:space="preserve"> published DPMQ)</w:t>
            </w:r>
            <w:r w:rsidRPr="008E7C4C">
              <w:rPr>
                <w:rFonts w:ascii="Arial Narrow" w:eastAsiaTheme="majorEastAsia" w:hAnsi="Arial Narrow" w:cstheme="majorBidi"/>
                <w:bCs/>
                <w:sz w:val="20"/>
                <w:vertAlign w:val="superscript"/>
              </w:rPr>
              <w:t>g</w:t>
            </w:r>
          </w:p>
          <w:p w14:paraId="7AD5A11F" w14:textId="3259F119"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hint="eastAsia"/>
                <w:bCs/>
                <w:color w:val="000000"/>
                <w:w w:val="30"/>
                <w:sz w:val="20"/>
                <w:shd w:val="solid" w:color="000000" w:fill="000000"/>
                <w:fitText w:val="135" w:id="-1502411252"/>
                <w14:textFill>
                  <w14:solidFill>
                    <w14:srgbClr w14:val="000000">
                      <w14:alpha w14:val="100000"/>
                    </w14:srgbClr>
                  </w14:solidFill>
                </w14:textFill>
              </w:rPr>
              <w:t xml:space="preserve">　</w:t>
            </w:r>
            <w:proofErr w:type="gramStart"/>
            <w:r w:rsidR="00951174" w:rsidRPr="00951174">
              <w:rPr>
                <w:rFonts w:ascii="Arial Narrow" w:eastAsiaTheme="majorEastAsia" w:hAnsi="Arial Narrow" w:cstheme="majorBidi"/>
                <w:bCs/>
                <w:color w:val="000000"/>
                <w:w w:val="30"/>
                <w:sz w:val="20"/>
                <w:shd w:val="solid" w:color="000000" w:fill="000000"/>
                <w:fitText w:val="135" w:id="-1502411252"/>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
                <w:w w:val="30"/>
                <w:sz w:val="20"/>
                <w:shd w:val="solid" w:color="000000" w:fill="000000"/>
                <w:fitText w:val="135" w:id="-1502411252"/>
                <w14:textFill>
                  <w14:solidFill>
                    <w14:srgbClr w14:val="000000">
                      <w14:alpha w14:val="100000"/>
                    </w14:srgbClr>
                  </w14:solidFill>
                </w14:textFill>
              </w:rPr>
              <w:t xml:space="preserve">　</w:t>
            </w:r>
            <w:r w:rsidRPr="008E7C4C">
              <w:rPr>
                <w:rFonts w:ascii="Arial Narrow" w:eastAsiaTheme="majorEastAsia" w:hAnsi="Arial Narrow" w:cstheme="majorBidi"/>
                <w:bCs/>
                <w:sz w:val="20"/>
                <w:vertAlign w:val="superscript"/>
              </w:rPr>
              <w:t xml:space="preserve"> </w:t>
            </w:r>
            <w:r w:rsidRPr="008E7C4C">
              <w:rPr>
                <w:rFonts w:ascii="Arial Narrow" w:eastAsiaTheme="majorEastAsia" w:hAnsi="Arial Narrow" w:cstheme="majorBidi"/>
                <w:bCs/>
                <w:sz w:val="20"/>
              </w:rPr>
              <w:t>(</w:t>
            </w:r>
            <w:proofErr w:type="spellStart"/>
            <w:proofErr w:type="gramEnd"/>
            <w:r w:rsidRPr="008E7C4C">
              <w:rPr>
                <w:rFonts w:ascii="Arial Narrow" w:eastAsiaTheme="majorEastAsia" w:hAnsi="Arial Narrow" w:cstheme="majorBidi"/>
                <w:bCs/>
                <w:sz w:val="20"/>
              </w:rPr>
              <w:t>Ixa</w:t>
            </w:r>
            <w:proofErr w:type="spellEnd"/>
            <w:r w:rsidRPr="008E7C4C">
              <w:rPr>
                <w:rFonts w:ascii="Arial Narrow" w:eastAsiaTheme="majorEastAsia" w:hAnsi="Arial Narrow" w:cstheme="majorBidi"/>
                <w:bCs/>
                <w:sz w:val="20"/>
              </w:rPr>
              <w:t xml:space="preserve"> indicative AEMP)</w:t>
            </w:r>
          </w:p>
        </w:tc>
        <w:tc>
          <w:tcPr>
            <w:tcW w:w="696" w:type="pct"/>
            <w:tcBorders>
              <w:bottom w:val="single" w:sz="4" w:space="0" w:color="auto"/>
            </w:tcBorders>
            <w:shd w:val="clear" w:color="auto" w:fill="auto"/>
          </w:tcPr>
          <w:p w14:paraId="709325C2" w14:textId="2F9F3B4D"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hint="eastAsia"/>
                <w:bCs/>
                <w:color w:val="000000"/>
                <w:w w:val="15"/>
                <w:sz w:val="20"/>
                <w:shd w:val="solid" w:color="000000" w:fill="000000"/>
                <w:fitText w:val="30" w:id="-1502411251"/>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hd w:val="solid" w:color="000000" w:fill="000000"/>
                <w:fitText w:val="30" w:id="-1502411251"/>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35"/>
                <w:w w:val="15"/>
                <w:sz w:val="20"/>
                <w:shd w:val="solid" w:color="000000" w:fill="000000"/>
                <w:fitText w:val="30" w:id="-1502411251"/>
                <w14:textFill>
                  <w14:solidFill>
                    <w14:srgbClr w14:val="000000">
                      <w14:alpha w14:val="100000"/>
                    </w14:srgbClr>
                  </w14:solidFill>
                </w14:textFill>
              </w:rPr>
              <w:t xml:space="preserve">　</w:t>
            </w:r>
            <w:r w:rsidRPr="008E7C4C">
              <w:rPr>
                <w:rFonts w:ascii="Arial Narrow" w:eastAsiaTheme="majorEastAsia" w:hAnsi="Arial Narrow" w:cstheme="majorBidi"/>
                <w:bCs/>
                <w:sz w:val="20"/>
                <w:vertAlign w:val="superscript"/>
              </w:rPr>
              <w:t>g</w:t>
            </w:r>
          </w:p>
        </w:tc>
        <w:tc>
          <w:tcPr>
            <w:tcW w:w="717" w:type="pct"/>
            <w:tcBorders>
              <w:bottom w:val="single" w:sz="4" w:space="0" w:color="auto"/>
            </w:tcBorders>
            <w:shd w:val="clear" w:color="auto" w:fill="auto"/>
          </w:tcPr>
          <w:p w14:paraId="581C7B49" w14:textId="146D3D47" w:rsidR="00CC25DE" w:rsidRPr="008E7C4C" w:rsidRDefault="00CC25DE" w:rsidP="00D95A0C">
            <w:pPr>
              <w:jc w:val="center"/>
              <w:rPr>
                <w:rFonts w:ascii="Arial Narrow" w:eastAsiaTheme="majorEastAsia" w:hAnsi="Arial Narrow" w:cstheme="majorBidi"/>
                <w:bCs/>
                <w:sz w:val="20"/>
                <w:vertAlign w:val="superscript"/>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8E7C4C">
              <w:rPr>
                <w:rFonts w:ascii="Arial Narrow" w:eastAsiaTheme="majorEastAsia" w:hAnsi="Arial Narrow" w:cstheme="majorBidi"/>
                <w:bCs/>
                <w:sz w:val="20"/>
                <w:vertAlign w:val="superscript"/>
              </w:rPr>
              <w:t>g</w:t>
            </w:r>
          </w:p>
          <w:p w14:paraId="57B28A71" w14:textId="6FA5C98C"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8E7C4C">
              <w:rPr>
                <w:rFonts w:ascii="Arial Narrow" w:eastAsiaTheme="majorEastAsia" w:hAnsi="Arial Narrow" w:cstheme="majorBidi"/>
                <w:bCs/>
                <w:sz w:val="20"/>
                <w:vertAlign w:val="superscript"/>
              </w:rPr>
              <w:t>h</w:t>
            </w:r>
          </w:p>
        </w:tc>
        <w:tc>
          <w:tcPr>
            <w:tcW w:w="679" w:type="pct"/>
            <w:tcBorders>
              <w:bottom w:val="single" w:sz="4" w:space="0" w:color="auto"/>
            </w:tcBorders>
          </w:tcPr>
          <w:p w14:paraId="7775F29B" w14:textId="5AEEF63F" w:rsidR="00CC25DE" w:rsidRPr="008E7C4C" w:rsidRDefault="00CC25DE" w:rsidP="00D95A0C">
            <w:pPr>
              <w:jc w:val="center"/>
              <w:rPr>
                <w:rFonts w:ascii="Arial Narrow" w:eastAsiaTheme="majorEastAsia" w:hAnsi="Arial Narrow" w:cstheme="majorBidi"/>
                <w:bCs/>
                <w:sz w:val="20"/>
              </w:rPr>
            </w:pPr>
            <w:r w:rsidRPr="008E7C4C">
              <w:rPr>
                <w:rFonts w:ascii="Arial Narrow" w:eastAsiaTheme="majorEastAsia" w:hAnsi="Arial Narrow" w:cstheme="majorBidi"/>
                <w:bCs/>
                <w:sz w:val="20"/>
              </w:rPr>
              <w:t>$</w:t>
            </w:r>
            <w:r w:rsidR="00951174" w:rsidRPr="00951174">
              <w:rPr>
                <w:rFonts w:ascii="Arial Narrow" w:eastAsiaTheme="majorEastAsia" w:hAnsi="Arial Narrow" w:cstheme="majorBidi" w:hint="eastAsia"/>
                <w:bCs/>
                <w:color w:val="000000"/>
                <w:w w:val="15"/>
                <w:sz w:val="20"/>
                <w:shd w:val="solid" w:color="000000" w:fill="000000"/>
                <w:fitText w:val="45" w:id="-1502411250"/>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hd w:val="solid" w:color="000000" w:fill="000000"/>
                <w:fitText w:val="45" w:id="-1502411250"/>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20"/>
                <w:w w:val="15"/>
                <w:sz w:val="20"/>
                <w:shd w:val="solid" w:color="000000" w:fill="000000"/>
                <w:fitText w:val="45" w:id="-1502411250"/>
                <w14:textFill>
                  <w14:solidFill>
                    <w14:srgbClr w14:val="000000">
                      <w14:alpha w14:val="100000"/>
                    </w14:srgbClr>
                  </w14:solidFill>
                </w14:textFill>
              </w:rPr>
              <w:t xml:space="preserve">　</w:t>
            </w:r>
            <w:r w:rsidRPr="008E7C4C">
              <w:rPr>
                <w:rFonts w:ascii="Arial Narrow" w:eastAsiaTheme="majorEastAsia" w:hAnsi="Arial Narrow" w:cstheme="majorBidi"/>
                <w:bCs/>
                <w:sz w:val="20"/>
                <w:vertAlign w:val="superscript"/>
              </w:rPr>
              <w:t>g</w:t>
            </w:r>
          </w:p>
        </w:tc>
      </w:tr>
    </w:tbl>
    <w:p w14:paraId="4244E8B4" w14:textId="378AA685" w:rsidR="00CC25DE" w:rsidRPr="008E7C4C" w:rsidRDefault="00CC25DE" w:rsidP="00CC25DE">
      <w:pPr>
        <w:spacing w:after="120"/>
        <w:contextualSpacing/>
        <w:rPr>
          <w:rFonts w:ascii="Arial Narrow" w:eastAsia="Batang" w:hAnsi="Arial Narrow"/>
          <w:snapToGrid w:val="0"/>
          <w:sz w:val="18"/>
          <w:szCs w:val="22"/>
        </w:rPr>
      </w:pPr>
      <w:r w:rsidRPr="008E7C4C">
        <w:rPr>
          <w:rFonts w:ascii="Arial Narrow" w:eastAsia="Batang" w:hAnsi="Arial Narrow"/>
          <w:snapToGrid w:val="0"/>
          <w:sz w:val="18"/>
          <w:szCs w:val="22"/>
        </w:rPr>
        <w:t xml:space="preserve">Source:  Table 2-8, 53 of the </w:t>
      </w:r>
      <w:r w:rsidR="009603BA" w:rsidRPr="008E7C4C">
        <w:rPr>
          <w:rFonts w:ascii="Arial Narrow" w:eastAsia="Batang" w:hAnsi="Arial Narrow"/>
          <w:snapToGrid w:val="0"/>
          <w:sz w:val="18"/>
          <w:szCs w:val="22"/>
        </w:rPr>
        <w:t>resubmissions</w:t>
      </w:r>
      <w:r w:rsidRPr="008E7C4C">
        <w:rPr>
          <w:rFonts w:ascii="Arial Narrow" w:eastAsia="Batang" w:hAnsi="Arial Narrow"/>
          <w:snapToGrid w:val="0"/>
          <w:sz w:val="18"/>
          <w:szCs w:val="22"/>
        </w:rPr>
        <w:t xml:space="preserve">; Section 3 workbook. </w:t>
      </w:r>
    </w:p>
    <w:p w14:paraId="68A016CF" w14:textId="7DA39691" w:rsidR="00CC25DE" w:rsidRPr="008E7C4C" w:rsidRDefault="00CC25DE" w:rsidP="00CC25DE">
      <w:pPr>
        <w:spacing w:after="120"/>
        <w:contextualSpacing/>
        <w:rPr>
          <w:rFonts w:ascii="Arial Narrow" w:eastAsia="Batang" w:hAnsi="Arial Narrow"/>
          <w:snapToGrid w:val="0"/>
          <w:sz w:val="18"/>
          <w:szCs w:val="22"/>
        </w:rPr>
      </w:pPr>
      <w:r w:rsidRPr="008E7C4C">
        <w:rPr>
          <w:rFonts w:ascii="Arial Narrow" w:eastAsia="Batang" w:hAnsi="Arial Narrow"/>
          <w:snapToGrid w:val="0"/>
          <w:sz w:val="18"/>
          <w:szCs w:val="22"/>
        </w:rPr>
        <w:t xml:space="preserve">AEMP = </w:t>
      </w:r>
      <w:r w:rsidR="00D95A0C" w:rsidRPr="008E7C4C">
        <w:rPr>
          <w:rFonts w:ascii="Arial Narrow" w:eastAsia="Batang" w:hAnsi="Arial Narrow"/>
          <w:snapToGrid w:val="0"/>
          <w:sz w:val="18"/>
          <w:szCs w:val="22"/>
        </w:rPr>
        <w:t xml:space="preserve">approved </w:t>
      </w:r>
      <w:r w:rsidRPr="008E7C4C">
        <w:rPr>
          <w:rFonts w:ascii="Arial Narrow" w:eastAsia="Batang" w:hAnsi="Arial Narrow"/>
          <w:snapToGrid w:val="0"/>
          <w:sz w:val="18"/>
          <w:szCs w:val="22"/>
        </w:rPr>
        <w:t xml:space="preserve">ex-manufacturer price; </w:t>
      </w:r>
      <w:proofErr w:type="spellStart"/>
      <w:r w:rsidRPr="008E7C4C">
        <w:rPr>
          <w:rFonts w:ascii="Arial Narrow" w:eastAsia="Batang" w:hAnsi="Arial Narrow"/>
          <w:snapToGrid w:val="0"/>
          <w:sz w:val="18"/>
          <w:szCs w:val="22"/>
        </w:rPr>
        <w:t>Dex</w:t>
      </w:r>
      <w:proofErr w:type="spellEnd"/>
      <w:r w:rsidRPr="008E7C4C">
        <w:rPr>
          <w:rFonts w:ascii="Arial Narrow" w:eastAsia="Batang" w:hAnsi="Arial Narrow"/>
          <w:snapToGrid w:val="0"/>
          <w:sz w:val="18"/>
          <w:szCs w:val="22"/>
        </w:rPr>
        <w:t xml:space="preserve"> = dexamethasone; DPMQ = dispensed price per maximum quantity; </w:t>
      </w:r>
      <w:proofErr w:type="spellStart"/>
      <w:r w:rsidRPr="008E7C4C">
        <w:rPr>
          <w:rFonts w:ascii="Arial Narrow" w:eastAsia="Batang" w:hAnsi="Arial Narrow"/>
          <w:snapToGrid w:val="0"/>
          <w:sz w:val="18"/>
          <w:szCs w:val="22"/>
        </w:rPr>
        <w:t>ILd</w:t>
      </w:r>
      <w:proofErr w:type="spellEnd"/>
      <w:r w:rsidRPr="008E7C4C">
        <w:rPr>
          <w:rFonts w:ascii="Arial Narrow" w:eastAsia="Batang" w:hAnsi="Arial Narrow"/>
          <w:snapToGrid w:val="0"/>
          <w:sz w:val="18"/>
          <w:szCs w:val="22"/>
        </w:rPr>
        <w:t xml:space="preserve"> = </w:t>
      </w:r>
      <w:proofErr w:type="spellStart"/>
      <w:r w:rsidRPr="008E7C4C">
        <w:rPr>
          <w:rFonts w:ascii="Arial Narrow" w:eastAsia="Batang" w:hAnsi="Arial Narrow"/>
          <w:snapToGrid w:val="0"/>
          <w:sz w:val="18"/>
          <w:szCs w:val="22"/>
        </w:rPr>
        <w:t>ixazomib</w:t>
      </w:r>
      <w:proofErr w:type="spellEnd"/>
      <w:r w:rsidR="00D95A0C" w:rsidRPr="008E7C4C">
        <w:rPr>
          <w:rFonts w:ascii="Arial Narrow" w:eastAsia="Batang" w:hAnsi="Arial Narrow"/>
          <w:snapToGrid w:val="0"/>
          <w:sz w:val="18"/>
          <w:szCs w:val="22"/>
        </w:rPr>
        <w:t xml:space="preserve"> +</w:t>
      </w:r>
      <w:r w:rsidRPr="008E7C4C">
        <w:rPr>
          <w:rFonts w:ascii="Arial Narrow" w:eastAsia="Batang" w:hAnsi="Arial Narrow"/>
          <w:snapToGrid w:val="0"/>
          <w:sz w:val="18"/>
          <w:szCs w:val="22"/>
        </w:rPr>
        <w:t xml:space="preserve"> lenalidomide </w:t>
      </w:r>
      <w:r w:rsidR="00D95A0C" w:rsidRPr="008E7C4C">
        <w:rPr>
          <w:rFonts w:ascii="Arial Narrow" w:eastAsia="Batang" w:hAnsi="Arial Narrow"/>
          <w:snapToGrid w:val="0"/>
          <w:sz w:val="18"/>
          <w:szCs w:val="22"/>
        </w:rPr>
        <w:t>+</w:t>
      </w:r>
      <w:r w:rsidRPr="008E7C4C">
        <w:rPr>
          <w:rFonts w:ascii="Arial Narrow" w:eastAsia="Batang" w:hAnsi="Arial Narrow"/>
          <w:snapToGrid w:val="0"/>
          <w:sz w:val="18"/>
          <w:szCs w:val="22"/>
        </w:rPr>
        <w:t xml:space="preserve"> dexamethasone; </w:t>
      </w:r>
      <w:proofErr w:type="spellStart"/>
      <w:r w:rsidRPr="008E7C4C">
        <w:rPr>
          <w:rFonts w:ascii="Arial Narrow" w:eastAsia="Batang" w:hAnsi="Arial Narrow"/>
          <w:snapToGrid w:val="0"/>
          <w:sz w:val="18"/>
          <w:szCs w:val="22"/>
        </w:rPr>
        <w:t>Ixa</w:t>
      </w:r>
      <w:proofErr w:type="spellEnd"/>
      <w:r w:rsidRPr="008E7C4C">
        <w:rPr>
          <w:rFonts w:ascii="Arial Narrow" w:eastAsia="Batang" w:hAnsi="Arial Narrow"/>
          <w:snapToGrid w:val="0"/>
          <w:sz w:val="18"/>
          <w:szCs w:val="22"/>
        </w:rPr>
        <w:t xml:space="preserve"> = </w:t>
      </w:r>
      <w:proofErr w:type="spellStart"/>
      <w:r w:rsidR="009603BA" w:rsidRPr="008E7C4C">
        <w:rPr>
          <w:rFonts w:ascii="Arial Narrow" w:eastAsia="Batang" w:hAnsi="Arial Narrow"/>
          <w:snapToGrid w:val="0"/>
          <w:sz w:val="18"/>
          <w:szCs w:val="22"/>
        </w:rPr>
        <w:t>ixazomib</w:t>
      </w:r>
      <w:proofErr w:type="spellEnd"/>
      <w:r w:rsidRPr="008E7C4C">
        <w:rPr>
          <w:rFonts w:ascii="Arial Narrow" w:eastAsia="Batang" w:hAnsi="Arial Narrow"/>
          <w:snapToGrid w:val="0"/>
          <w:sz w:val="18"/>
          <w:szCs w:val="22"/>
        </w:rPr>
        <w:t xml:space="preserve">; ITT = intention to treat; </w:t>
      </w:r>
      <w:proofErr w:type="spellStart"/>
      <w:r w:rsidRPr="008E7C4C">
        <w:rPr>
          <w:rFonts w:ascii="Arial Narrow" w:eastAsia="Batang" w:hAnsi="Arial Narrow"/>
          <w:snapToGrid w:val="0"/>
          <w:sz w:val="18"/>
          <w:szCs w:val="22"/>
        </w:rPr>
        <w:t>Ld</w:t>
      </w:r>
      <w:proofErr w:type="spellEnd"/>
      <w:r w:rsidRPr="008E7C4C">
        <w:rPr>
          <w:rFonts w:ascii="Arial Narrow" w:eastAsia="Batang" w:hAnsi="Arial Narrow"/>
          <w:snapToGrid w:val="0"/>
          <w:sz w:val="18"/>
          <w:szCs w:val="22"/>
        </w:rPr>
        <w:t xml:space="preserve"> = lenalidomide </w:t>
      </w:r>
      <w:r w:rsidR="00D95A0C" w:rsidRPr="008E7C4C">
        <w:rPr>
          <w:rFonts w:ascii="Arial Narrow" w:eastAsia="Batang" w:hAnsi="Arial Narrow"/>
          <w:snapToGrid w:val="0"/>
          <w:sz w:val="18"/>
          <w:szCs w:val="22"/>
        </w:rPr>
        <w:t>+</w:t>
      </w:r>
      <w:r w:rsidRPr="008E7C4C">
        <w:rPr>
          <w:rFonts w:ascii="Arial Narrow" w:eastAsia="Batang" w:hAnsi="Arial Narrow"/>
          <w:snapToGrid w:val="0"/>
          <w:sz w:val="18"/>
          <w:szCs w:val="22"/>
        </w:rPr>
        <w:t xml:space="preserve"> dexamethasone; Len = lenalidomide; NA = not applicable</w:t>
      </w:r>
      <w:r w:rsidR="00D95A0C" w:rsidRPr="008E7C4C">
        <w:rPr>
          <w:rFonts w:ascii="Arial Narrow" w:eastAsia="Batang" w:hAnsi="Arial Narrow"/>
          <w:snapToGrid w:val="0"/>
          <w:sz w:val="18"/>
          <w:szCs w:val="22"/>
        </w:rPr>
        <w:t>;</w:t>
      </w:r>
      <w:r w:rsidRPr="008E7C4C">
        <w:rPr>
          <w:rFonts w:ascii="Arial Narrow" w:eastAsia="Batang" w:hAnsi="Arial Narrow"/>
          <w:snapToGrid w:val="0"/>
          <w:sz w:val="18"/>
          <w:szCs w:val="22"/>
        </w:rPr>
        <w:t xml:space="preserve"> RDI = relative dose intensity</w:t>
      </w:r>
    </w:p>
    <w:p w14:paraId="6097F6BD" w14:textId="79D380A5" w:rsidR="00CC25DE" w:rsidRPr="008E7C4C" w:rsidRDefault="00D95A0C" w:rsidP="00CC25DE">
      <w:pPr>
        <w:spacing w:after="120"/>
        <w:contextualSpacing/>
        <w:rPr>
          <w:rFonts w:ascii="Arial Narrow" w:eastAsia="Batang" w:hAnsi="Arial Narrow"/>
          <w:snapToGrid w:val="0"/>
          <w:sz w:val="18"/>
          <w:szCs w:val="22"/>
        </w:rPr>
      </w:pPr>
      <w:r w:rsidRPr="008E7C4C">
        <w:rPr>
          <w:rFonts w:ascii="Arial Narrow" w:eastAsia="Batang" w:hAnsi="Arial Narrow"/>
          <w:snapToGrid w:val="0"/>
          <w:sz w:val="18"/>
          <w:szCs w:val="22"/>
        </w:rPr>
        <w:t xml:space="preserve">a. </w:t>
      </w:r>
      <w:r w:rsidR="00CC25DE" w:rsidRPr="008E7C4C">
        <w:rPr>
          <w:rFonts w:ascii="Arial Narrow" w:eastAsia="Batang" w:hAnsi="Arial Narrow"/>
          <w:snapToGrid w:val="0"/>
          <w:sz w:val="18"/>
          <w:szCs w:val="22"/>
        </w:rPr>
        <w:t xml:space="preserve">The resubmission applied a mean RDI from the TMM-1 trial </w:t>
      </w:r>
      <w:proofErr w:type="spellStart"/>
      <w:r w:rsidR="00CC25DE" w:rsidRPr="008E7C4C">
        <w:rPr>
          <w:rFonts w:ascii="Arial Narrow" w:eastAsia="Batang" w:hAnsi="Arial Narrow"/>
          <w:snapToGrid w:val="0"/>
          <w:sz w:val="18"/>
          <w:szCs w:val="22"/>
        </w:rPr>
        <w:t>ILd</w:t>
      </w:r>
      <w:proofErr w:type="spellEnd"/>
      <w:r w:rsidR="00CC25DE" w:rsidRPr="008E7C4C">
        <w:rPr>
          <w:rFonts w:ascii="Arial Narrow" w:eastAsia="Batang" w:hAnsi="Arial Narrow"/>
          <w:snapToGrid w:val="0"/>
          <w:sz w:val="18"/>
          <w:szCs w:val="22"/>
        </w:rPr>
        <w:t xml:space="preserve"> and </w:t>
      </w:r>
      <w:proofErr w:type="spellStart"/>
      <w:r w:rsidR="00CC25DE" w:rsidRPr="008E7C4C">
        <w:rPr>
          <w:rFonts w:ascii="Arial Narrow" w:eastAsia="Batang" w:hAnsi="Arial Narrow"/>
          <w:snapToGrid w:val="0"/>
          <w:sz w:val="18"/>
          <w:szCs w:val="22"/>
        </w:rPr>
        <w:t>Ld</w:t>
      </w:r>
      <w:proofErr w:type="spellEnd"/>
      <w:r w:rsidR="00CC25DE" w:rsidRPr="008E7C4C">
        <w:rPr>
          <w:rFonts w:ascii="Arial Narrow" w:eastAsia="Batang" w:hAnsi="Arial Narrow"/>
          <w:snapToGrid w:val="0"/>
          <w:sz w:val="18"/>
          <w:szCs w:val="22"/>
        </w:rPr>
        <w:t xml:space="preserve"> based on the ITT population. </w:t>
      </w:r>
    </w:p>
    <w:p w14:paraId="40E18DF2" w14:textId="15E25059" w:rsidR="00CC25DE" w:rsidRPr="008E7C4C" w:rsidRDefault="00D95A0C" w:rsidP="00CC25DE">
      <w:pPr>
        <w:rPr>
          <w:rFonts w:ascii="Arial Narrow" w:eastAsia="Batang" w:hAnsi="Arial Narrow"/>
          <w:snapToGrid w:val="0"/>
          <w:sz w:val="18"/>
          <w:szCs w:val="18"/>
        </w:rPr>
      </w:pPr>
      <w:r w:rsidRPr="008E7C4C">
        <w:rPr>
          <w:rFonts w:ascii="Arial Narrow" w:eastAsia="Batang" w:hAnsi="Arial Narrow"/>
          <w:snapToGrid w:val="0"/>
          <w:sz w:val="18"/>
          <w:szCs w:val="22"/>
        </w:rPr>
        <w:t xml:space="preserve">b. </w:t>
      </w:r>
      <w:r w:rsidR="00CC25DE" w:rsidRPr="008E7C4C">
        <w:rPr>
          <w:rFonts w:ascii="Arial Narrow" w:eastAsia="Batang" w:hAnsi="Arial Narrow"/>
          <w:snapToGrid w:val="0"/>
          <w:sz w:val="18"/>
          <w:szCs w:val="22"/>
        </w:rPr>
        <w:t xml:space="preserve">The submission did not include dexamethasone in the financial estimates, as dexamethasone is a concomitant treatment in both </w:t>
      </w:r>
      <w:proofErr w:type="spellStart"/>
      <w:r w:rsidR="00CC25DE" w:rsidRPr="008E7C4C">
        <w:rPr>
          <w:rFonts w:ascii="Arial Narrow" w:eastAsia="Batang" w:hAnsi="Arial Narrow"/>
          <w:snapToGrid w:val="0"/>
          <w:sz w:val="18"/>
          <w:szCs w:val="22"/>
        </w:rPr>
        <w:t>ILd</w:t>
      </w:r>
      <w:proofErr w:type="spellEnd"/>
      <w:r w:rsidR="00CC25DE" w:rsidRPr="008E7C4C">
        <w:rPr>
          <w:rFonts w:ascii="Arial Narrow" w:eastAsia="Batang" w:hAnsi="Arial Narrow"/>
          <w:snapToGrid w:val="0"/>
          <w:sz w:val="18"/>
          <w:szCs w:val="22"/>
        </w:rPr>
        <w:t xml:space="preserve"> and </w:t>
      </w:r>
      <w:proofErr w:type="spellStart"/>
      <w:r w:rsidR="00CC25DE" w:rsidRPr="008E7C4C">
        <w:rPr>
          <w:rFonts w:ascii="Arial Narrow" w:eastAsia="Batang" w:hAnsi="Arial Narrow"/>
          <w:snapToGrid w:val="0"/>
          <w:sz w:val="18"/>
          <w:szCs w:val="22"/>
        </w:rPr>
        <w:t>Ld</w:t>
      </w:r>
      <w:proofErr w:type="spellEnd"/>
      <w:r w:rsidR="00CC25DE" w:rsidRPr="008E7C4C">
        <w:rPr>
          <w:rFonts w:ascii="Arial Narrow" w:eastAsia="Batang" w:hAnsi="Arial Narrow"/>
          <w:snapToGrid w:val="0"/>
          <w:sz w:val="18"/>
          <w:szCs w:val="22"/>
        </w:rPr>
        <w:t xml:space="preserve"> </w:t>
      </w:r>
      <w:r w:rsidR="00CC25DE" w:rsidRPr="008E7C4C">
        <w:rPr>
          <w:rFonts w:ascii="Arial Narrow" w:eastAsia="Batang" w:hAnsi="Arial Narrow"/>
          <w:snapToGrid w:val="0"/>
          <w:sz w:val="18"/>
          <w:szCs w:val="18"/>
        </w:rPr>
        <w:t xml:space="preserve">and the submission did not expect the addition of </w:t>
      </w:r>
      <w:proofErr w:type="spellStart"/>
      <w:r w:rsidR="00CC25DE" w:rsidRPr="008E7C4C">
        <w:rPr>
          <w:rFonts w:ascii="Arial Narrow" w:eastAsia="Batang" w:hAnsi="Arial Narrow"/>
          <w:snapToGrid w:val="0"/>
          <w:sz w:val="18"/>
          <w:szCs w:val="18"/>
        </w:rPr>
        <w:t>ixazomib</w:t>
      </w:r>
      <w:proofErr w:type="spellEnd"/>
      <w:r w:rsidR="00CC25DE" w:rsidRPr="008E7C4C">
        <w:rPr>
          <w:rFonts w:ascii="Arial Narrow" w:eastAsia="Batang" w:hAnsi="Arial Narrow"/>
          <w:snapToGrid w:val="0"/>
          <w:sz w:val="18"/>
          <w:szCs w:val="18"/>
        </w:rPr>
        <w:t xml:space="preserve"> to the PBS to increase the total number of patients treated. </w:t>
      </w:r>
    </w:p>
    <w:p w14:paraId="280F5C3A" w14:textId="5F951B5C" w:rsidR="00CC25DE" w:rsidRPr="008E7C4C" w:rsidRDefault="00D95A0C" w:rsidP="00CC25DE">
      <w:pPr>
        <w:spacing w:after="120"/>
        <w:contextualSpacing/>
        <w:rPr>
          <w:rFonts w:ascii="Arial Narrow" w:eastAsia="Batang" w:hAnsi="Arial Narrow"/>
          <w:snapToGrid w:val="0"/>
          <w:sz w:val="18"/>
          <w:szCs w:val="22"/>
        </w:rPr>
      </w:pPr>
      <w:r w:rsidRPr="008E7C4C">
        <w:rPr>
          <w:rFonts w:ascii="Arial Narrow" w:eastAsia="Batang" w:hAnsi="Arial Narrow"/>
          <w:snapToGrid w:val="0"/>
          <w:sz w:val="18"/>
          <w:szCs w:val="22"/>
        </w:rPr>
        <w:t xml:space="preserve">c. </w:t>
      </w:r>
      <w:r w:rsidR="00CC25DE" w:rsidRPr="008E7C4C">
        <w:rPr>
          <w:rFonts w:ascii="Arial Narrow" w:eastAsia="Batang" w:hAnsi="Arial Narrow"/>
          <w:snapToGrid w:val="0"/>
          <w:sz w:val="18"/>
          <w:szCs w:val="22"/>
        </w:rPr>
        <w:t xml:space="preserve">The mean duration of therapy from TMM-1 reflects the ITT population, with no data available for subgroup (prior </w:t>
      </w:r>
      <w:r w:rsidR="00A23DC5" w:rsidRPr="008E7C4C">
        <w:rPr>
          <w:rFonts w:ascii="Arial Narrow" w:eastAsia="Batang" w:hAnsi="Arial Narrow"/>
          <w:snapToGrid w:val="0"/>
          <w:sz w:val="18"/>
          <w:szCs w:val="22"/>
        </w:rPr>
        <w:t xml:space="preserve">2-3 </w:t>
      </w:r>
      <w:r w:rsidR="00CC25DE" w:rsidRPr="008E7C4C">
        <w:rPr>
          <w:rFonts w:ascii="Arial Narrow" w:eastAsia="Batang" w:hAnsi="Arial Narrow"/>
          <w:snapToGrid w:val="0"/>
          <w:sz w:val="18"/>
          <w:szCs w:val="22"/>
        </w:rPr>
        <w:t>lines of therapy).</w:t>
      </w:r>
    </w:p>
    <w:p w14:paraId="7051D257" w14:textId="0BCBE355" w:rsidR="00CC25DE" w:rsidRPr="008E7C4C" w:rsidRDefault="00D95A0C" w:rsidP="00CC25DE">
      <w:pPr>
        <w:rPr>
          <w:rFonts w:ascii="Arial Narrow" w:eastAsia="Batang" w:hAnsi="Arial Narrow"/>
          <w:snapToGrid w:val="0"/>
          <w:sz w:val="18"/>
          <w:szCs w:val="18"/>
          <w:vertAlign w:val="superscript"/>
        </w:rPr>
      </w:pPr>
      <w:r w:rsidRPr="008E7C4C">
        <w:rPr>
          <w:rFonts w:ascii="Arial Narrow" w:eastAsia="Batang" w:hAnsi="Arial Narrow"/>
          <w:snapToGrid w:val="0"/>
          <w:sz w:val="18"/>
          <w:szCs w:val="18"/>
        </w:rPr>
        <w:t xml:space="preserve">d. </w:t>
      </w:r>
      <w:r w:rsidR="00CC25DE" w:rsidRPr="008E7C4C">
        <w:rPr>
          <w:rFonts w:ascii="Arial Narrow" w:eastAsia="Batang" w:hAnsi="Arial Narrow"/>
          <w:snapToGrid w:val="0"/>
          <w:sz w:val="18"/>
          <w:szCs w:val="18"/>
        </w:rPr>
        <w:t xml:space="preserve">Sourced from the predicted time on treatment for </w:t>
      </w:r>
      <w:proofErr w:type="spellStart"/>
      <w:r w:rsidR="00CC25DE" w:rsidRPr="008E7C4C">
        <w:rPr>
          <w:rFonts w:ascii="Arial Narrow" w:eastAsia="Batang" w:hAnsi="Arial Narrow"/>
          <w:snapToGrid w:val="0"/>
          <w:sz w:val="18"/>
          <w:szCs w:val="18"/>
        </w:rPr>
        <w:t>ILd</w:t>
      </w:r>
      <w:proofErr w:type="spellEnd"/>
      <w:r w:rsidR="00CC25DE" w:rsidRPr="008E7C4C">
        <w:rPr>
          <w:rFonts w:ascii="Arial Narrow" w:eastAsia="Batang" w:hAnsi="Arial Narrow"/>
          <w:snapToGrid w:val="0"/>
          <w:sz w:val="18"/>
          <w:szCs w:val="18"/>
        </w:rPr>
        <w:t xml:space="preserve"> and </w:t>
      </w:r>
      <w:proofErr w:type="spellStart"/>
      <w:r w:rsidR="00CC25DE" w:rsidRPr="008E7C4C">
        <w:rPr>
          <w:rFonts w:ascii="Arial Narrow" w:eastAsia="Batang" w:hAnsi="Arial Narrow"/>
          <w:snapToGrid w:val="0"/>
          <w:sz w:val="18"/>
          <w:szCs w:val="18"/>
        </w:rPr>
        <w:t>Ld</w:t>
      </w:r>
      <w:proofErr w:type="spellEnd"/>
      <w:r w:rsidR="00A879D8" w:rsidRPr="008E7C4C">
        <w:rPr>
          <w:rFonts w:ascii="Arial Narrow" w:eastAsia="Batang" w:hAnsi="Arial Narrow"/>
          <w:snapToGrid w:val="0"/>
          <w:sz w:val="18"/>
          <w:szCs w:val="18"/>
        </w:rPr>
        <w:t xml:space="preserve"> based on TMM-1 (2-3 prior lines of therapy)</w:t>
      </w:r>
      <w:r w:rsidR="00CC25DE" w:rsidRPr="008E7C4C">
        <w:rPr>
          <w:rFonts w:ascii="Arial Narrow" w:eastAsia="Batang" w:hAnsi="Arial Narrow"/>
          <w:snapToGrid w:val="0"/>
          <w:sz w:val="18"/>
          <w:szCs w:val="18"/>
        </w:rPr>
        <w:t xml:space="preserve">, respectively (Section 3 workbook, worksheet Results, cells D36 and D46) </w:t>
      </w:r>
    </w:p>
    <w:p w14:paraId="0DFF596E" w14:textId="46F7BD5B" w:rsidR="00CC25DE" w:rsidRPr="008E7C4C" w:rsidRDefault="00D95A0C" w:rsidP="00CC25DE">
      <w:pPr>
        <w:autoSpaceDE w:val="0"/>
        <w:autoSpaceDN w:val="0"/>
        <w:rPr>
          <w:rFonts w:ascii="Arial Narrow" w:eastAsiaTheme="minorEastAsia" w:hAnsi="Arial Narrow" w:cs="Times New Roman"/>
          <w:color w:val="000000"/>
          <w:sz w:val="18"/>
          <w:szCs w:val="18"/>
        </w:rPr>
      </w:pPr>
      <w:r w:rsidRPr="008E7C4C">
        <w:rPr>
          <w:rFonts w:ascii="Arial Narrow" w:eastAsiaTheme="minorEastAsia" w:hAnsi="Arial Narrow" w:cs="Times New Roman"/>
          <w:color w:val="000000"/>
          <w:sz w:val="18"/>
          <w:szCs w:val="18"/>
        </w:rPr>
        <w:t xml:space="preserve">e. </w:t>
      </w:r>
      <w:r w:rsidR="00CC25DE" w:rsidRPr="008E7C4C">
        <w:rPr>
          <w:rFonts w:ascii="Arial Narrow" w:eastAsiaTheme="minorEastAsia" w:hAnsi="Arial Narrow" w:cs="Times New Roman"/>
          <w:color w:val="000000"/>
          <w:sz w:val="18"/>
          <w:szCs w:val="18"/>
        </w:rPr>
        <w:t>Cost per patient per cycle was sourced from the Section 3 and Section 4 of the resubmission.</w:t>
      </w:r>
    </w:p>
    <w:p w14:paraId="18169453" w14:textId="4DE17477" w:rsidR="00CC25DE" w:rsidRPr="008E7C4C" w:rsidRDefault="00D95A0C" w:rsidP="00CC25DE">
      <w:pPr>
        <w:rPr>
          <w:rFonts w:ascii="Arial Narrow" w:eastAsia="Batang" w:hAnsi="Arial Narrow"/>
          <w:snapToGrid w:val="0"/>
          <w:sz w:val="18"/>
          <w:szCs w:val="18"/>
        </w:rPr>
      </w:pPr>
      <w:r w:rsidRPr="008E7C4C">
        <w:rPr>
          <w:rFonts w:ascii="Arial Narrow" w:eastAsia="Batang" w:hAnsi="Arial Narrow"/>
          <w:snapToGrid w:val="0"/>
          <w:sz w:val="18"/>
          <w:szCs w:val="18"/>
        </w:rPr>
        <w:t xml:space="preserve">f. </w:t>
      </w:r>
      <w:r w:rsidR="00CC25DE" w:rsidRPr="008E7C4C">
        <w:rPr>
          <w:rFonts w:ascii="Arial Narrow" w:eastAsia="Batang" w:hAnsi="Arial Narrow"/>
          <w:snapToGrid w:val="0"/>
          <w:sz w:val="18"/>
          <w:szCs w:val="18"/>
        </w:rPr>
        <w:t>The cost was sourced from Section 3 Workbook, Worksheet Costs (with cost per cycle in cells G8 and G9).</w:t>
      </w:r>
    </w:p>
    <w:p w14:paraId="3544F2F1" w14:textId="24BA7DEB" w:rsidR="00CC25DE" w:rsidRPr="008E7C4C" w:rsidRDefault="00D95A0C" w:rsidP="00CC25DE">
      <w:pPr>
        <w:rPr>
          <w:rFonts w:ascii="Arial Narrow" w:eastAsia="Batang" w:hAnsi="Arial Narrow"/>
          <w:snapToGrid w:val="0"/>
          <w:sz w:val="18"/>
          <w:szCs w:val="18"/>
        </w:rPr>
      </w:pPr>
      <w:r w:rsidRPr="008E7C4C">
        <w:rPr>
          <w:rFonts w:ascii="Arial Narrow" w:eastAsia="Batang" w:hAnsi="Arial Narrow"/>
          <w:snapToGrid w:val="0"/>
          <w:sz w:val="18"/>
          <w:szCs w:val="18"/>
        </w:rPr>
        <w:t xml:space="preserve">g. </w:t>
      </w:r>
      <w:r w:rsidR="00CC25DE" w:rsidRPr="008E7C4C">
        <w:rPr>
          <w:rFonts w:ascii="Arial Narrow" w:eastAsia="Batang" w:hAnsi="Arial Narrow"/>
          <w:snapToGrid w:val="0"/>
          <w:sz w:val="18"/>
          <w:szCs w:val="18"/>
        </w:rPr>
        <w:t>Cost calculated by multiplying to mean cycle duration.</w:t>
      </w:r>
    </w:p>
    <w:p w14:paraId="3128E9A2" w14:textId="32255767" w:rsidR="009603BA" w:rsidRPr="008E7C4C" w:rsidRDefault="00D95A0C" w:rsidP="00CC25DE">
      <w:pPr>
        <w:rPr>
          <w:rFonts w:ascii="Arial Narrow" w:eastAsia="Batang" w:hAnsi="Arial Narrow"/>
          <w:snapToGrid w:val="0"/>
          <w:sz w:val="18"/>
          <w:szCs w:val="18"/>
        </w:rPr>
      </w:pPr>
      <w:r w:rsidRPr="008E7C4C">
        <w:rPr>
          <w:rFonts w:ascii="Arial Narrow" w:eastAsia="Batang" w:hAnsi="Arial Narrow"/>
          <w:snapToGrid w:val="0"/>
          <w:sz w:val="18"/>
          <w:szCs w:val="18"/>
        </w:rPr>
        <w:t xml:space="preserve">h. </w:t>
      </w:r>
      <w:r w:rsidR="00CC25DE" w:rsidRPr="008E7C4C">
        <w:rPr>
          <w:rFonts w:ascii="Arial Narrow" w:eastAsia="Batang" w:hAnsi="Arial Narrow"/>
          <w:snapToGrid w:val="0"/>
          <w:sz w:val="18"/>
          <w:szCs w:val="18"/>
        </w:rPr>
        <w:t xml:space="preserve">Cost sourced from Section 3 workbook, </w:t>
      </w:r>
      <w:proofErr w:type="spellStart"/>
      <w:r w:rsidR="00CC25DE" w:rsidRPr="008E7C4C">
        <w:rPr>
          <w:rFonts w:ascii="Arial Narrow" w:eastAsia="Batang" w:hAnsi="Arial Narrow"/>
          <w:snapToGrid w:val="0"/>
          <w:sz w:val="18"/>
          <w:szCs w:val="18"/>
        </w:rPr>
        <w:t>ILd</w:t>
      </w:r>
      <w:proofErr w:type="spellEnd"/>
      <w:r w:rsidR="00CC25DE" w:rsidRPr="008E7C4C">
        <w:rPr>
          <w:rFonts w:ascii="Arial Narrow" w:eastAsia="Batang" w:hAnsi="Arial Narrow"/>
          <w:snapToGrid w:val="0"/>
          <w:sz w:val="18"/>
          <w:szCs w:val="18"/>
        </w:rPr>
        <w:t xml:space="preserve">: worksheet Comp2, cell CE3, </w:t>
      </w:r>
      <w:proofErr w:type="spellStart"/>
      <w:r w:rsidR="00CC25DE" w:rsidRPr="008E7C4C">
        <w:rPr>
          <w:rFonts w:ascii="Arial Narrow" w:eastAsia="Batang" w:hAnsi="Arial Narrow"/>
          <w:snapToGrid w:val="0"/>
          <w:sz w:val="18"/>
          <w:szCs w:val="18"/>
        </w:rPr>
        <w:t>Ld</w:t>
      </w:r>
      <w:proofErr w:type="spellEnd"/>
      <w:r w:rsidR="00CC25DE" w:rsidRPr="008E7C4C">
        <w:rPr>
          <w:rFonts w:ascii="Arial Narrow" w:eastAsia="Batang" w:hAnsi="Arial Narrow"/>
          <w:snapToGrid w:val="0"/>
          <w:sz w:val="18"/>
          <w:szCs w:val="18"/>
        </w:rPr>
        <w:t>: worksheet Comp1, cell CC3</w:t>
      </w:r>
      <w:r w:rsidR="009603BA" w:rsidRPr="008E7C4C">
        <w:rPr>
          <w:rFonts w:ascii="Arial Narrow" w:eastAsia="Batang" w:hAnsi="Arial Narrow"/>
          <w:snapToGrid w:val="0"/>
          <w:sz w:val="18"/>
          <w:szCs w:val="18"/>
        </w:rPr>
        <w:t>.</w:t>
      </w:r>
    </w:p>
    <w:p w14:paraId="0997BCC7" w14:textId="47821D79" w:rsidR="00CC25DE" w:rsidRPr="008E7C4C" w:rsidRDefault="00D95A0C" w:rsidP="00CC25DE">
      <w:pPr>
        <w:rPr>
          <w:rFonts w:ascii="Arial Narrow" w:eastAsia="Batang" w:hAnsi="Arial Narrow"/>
          <w:snapToGrid w:val="0"/>
          <w:sz w:val="18"/>
          <w:szCs w:val="18"/>
        </w:rPr>
      </w:pPr>
      <w:proofErr w:type="spellStart"/>
      <w:r w:rsidRPr="008E7C4C">
        <w:rPr>
          <w:rFonts w:ascii="Arial Narrow" w:eastAsia="Batang" w:hAnsi="Arial Narrow"/>
          <w:snapToGrid w:val="0"/>
          <w:sz w:val="18"/>
          <w:szCs w:val="18"/>
        </w:rPr>
        <w:t>i</w:t>
      </w:r>
      <w:proofErr w:type="spellEnd"/>
      <w:r w:rsidRPr="008E7C4C">
        <w:rPr>
          <w:rFonts w:ascii="Arial Narrow" w:eastAsia="Batang" w:hAnsi="Arial Narrow"/>
          <w:snapToGrid w:val="0"/>
          <w:sz w:val="18"/>
          <w:szCs w:val="18"/>
        </w:rPr>
        <w:t xml:space="preserve">. </w:t>
      </w:r>
      <w:r w:rsidR="000105E2" w:rsidRPr="008E7C4C">
        <w:rPr>
          <w:rFonts w:ascii="Arial Narrow" w:eastAsia="Batang" w:hAnsi="Arial Narrow"/>
          <w:snapToGrid w:val="0"/>
          <w:sz w:val="18"/>
          <w:szCs w:val="18"/>
        </w:rPr>
        <w:t>Corresponds to an</w:t>
      </w:r>
      <w:r w:rsidR="009603BA" w:rsidRPr="008E7C4C">
        <w:rPr>
          <w:rFonts w:ascii="Arial Narrow" w:eastAsia="Batang" w:hAnsi="Arial Narrow"/>
          <w:snapToGrid w:val="0"/>
          <w:sz w:val="18"/>
          <w:szCs w:val="18"/>
        </w:rPr>
        <w:t xml:space="preserve"> average </w:t>
      </w:r>
      <w:r w:rsidR="000105E2" w:rsidRPr="008E7C4C">
        <w:rPr>
          <w:rFonts w:ascii="Arial Narrow" w:eastAsia="Batang" w:hAnsi="Arial Narrow"/>
          <w:snapToGrid w:val="0"/>
          <w:sz w:val="18"/>
          <w:szCs w:val="18"/>
        </w:rPr>
        <w:t xml:space="preserve">cost for lenalidomide considering </w:t>
      </w:r>
      <w:r w:rsidR="009603BA" w:rsidRPr="008E7C4C">
        <w:rPr>
          <w:rFonts w:ascii="Arial Narrow" w:eastAsia="Batang" w:hAnsi="Arial Narrow"/>
          <w:snapToGrid w:val="0"/>
          <w:sz w:val="18"/>
          <w:szCs w:val="18"/>
        </w:rPr>
        <w:t>all strength</w:t>
      </w:r>
      <w:r w:rsidR="000105E2" w:rsidRPr="008E7C4C">
        <w:rPr>
          <w:rFonts w:ascii="Arial Narrow" w:eastAsia="Batang" w:hAnsi="Arial Narrow"/>
          <w:snapToGrid w:val="0"/>
          <w:sz w:val="18"/>
          <w:szCs w:val="18"/>
        </w:rPr>
        <w:t>. This mean cost was</w:t>
      </w:r>
      <w:r w:rsidR="009603BA" w:rsidRPr="008E7C4C">
        <w:rPr>
          <w:rFonts w:ascii="Arial Narrow" w:eastAsia="Batang" w:hAnsi="Arial Narrow"/>
          <w:snapToGrid w:val="0"/>
          <w:sz w:val="18"/>
          <w:szCs w:val="18"/>
        </w:rPr>
        <w:t xml:space="preserve"> calculated for </w:t>
      </w:r>
      <w:r w:rsidR="000105E2" w:rsidRPr="008E7C4C">
        <w:rPr>
          <w:rFonts w:ascii="Arial Narrow" w:eastAsia="Batang" w:hAnsi="Arial Narrow"/>
          <w:snapToGrid w:val="0"/>
          <w:sz w:val="18"/>
          <w:szCs w:val="18"/>
        </w:rPr>
        <w:t xml:space="preserve">the purpose of this </w:t>
      </w:r>
      <w:r w:rsidR="009603BA" w:rsidRPr="008E7C4C">
        <w:rPr>
          <w:rFonts w:ascii="Arial Narrow" w:eastAsia="Batang" w:hAnsi="Arial Narrow"/>
          <w:snapToGrid w:val="0"/>
          <w:sz w:val="18"/>
          <w:szCs w:val="18"/>
        </w:rPr>
        <w:t xml:space="preserve">table </w:t>
      </w:r>
      <w:r w:rsidR="000105E2" w:rsidRPr="008E7C4C">
        <w:rPr>
          <w:rFonts w:ascii="Arial Narrow" w:eastAsia="Batang" w:hAnsi="Arial Narrow"/>
          <w:snapToGrid w:val="0"/>
          <w:sz w:val="18"/>
          <w:szCs w:val="18"/>
        </w:rPr>
        <w:t>only.</w:t>
      </w:r>
      <w:r w:rsidR="00CC25DE" w:rsidRPr="008E7C4C">
        <w:rPr>
          <w:rFonts w:ascii="Arial Narrow" w:eastAsia="Batang" w:hAnsi="Arial Narrow"/>
          <w:snapToGrid w:val="0"/>
          <w:sz w:val="18"/>
          <w:szCs w:val="18"/>
        </w:rPr>
        <w:t xml:space="preserve"> </w:t>
      </w:r>
    </w:p>
    <w:p w14:paraId="1D31D85D" w14:textId="77777777" w:rsidR="00CC25DE" w:rsidRPr="008E7C4C" w:rsidRDefault="00CC25DE" w:rsidP="00CC25DE">
      <w:pPr>
        <w:rPr>
          <w:rFonts w:ascii="Arial Narrow" w:eastAsia="Batang" w:hAnsi="Arial Narrow"/>
          <w:iCs/>
          <w:snapToGrid w:val="0"/>
          <w:sz w:val="18"/>
          <w:szCs w:val="18"/>
        </w:rPr>
      </w:pPr>
    </w:p>
    <w:p w14:paraId="1C4638DC" w14:textId="77777777" w:rsidR="00CC25DE" w:rsidRPr="008E7C4C" w:rsidRDefault="00CC25DE" w:rsidP="00B46730">
      <w:pPr>
        <w:pStyle w:val="4-SubsectionHeading"/>
      </w:pPr>
      <w:bookmarkStart w:id="30" w:name="_Toc93487444"/>
      <w:r w:rsidRPr="008E7C4C">
        <w:t>Estimated PBS usage &amp; financial implications</w:t>
      </w:r>
      <w:bookmarkEnd w:id="30"/>
    </w:p>
    <w:p w14:paraId="4D0017ED" w14:textId="22D9F373" w:rsidR="00CC25DE" w:rsidRPr="008E7C4C" w:rsidRDefault="00CC25DE" w:rsidP="00CC25DE">
      <w:pPr>
        <w:numPr>
          <w:ilvl w:val="1"/>
          <w:numId w:val="1"/>
        </w:numPr>
        <w:spacing w:after="120"/>
        <w:rPr>
          <w:rFonts w:asciiTheme="minorHAnsi" w:hAnsiTheme="minorHAnsi"/>
          <w:snapToGrid w:val="0"/>
          <w:color w:val="0066FF"/>
        </w:rPr>
      </w:pPr>
      <w:r w:rsidRPr="008E7C4C">
        <w:rPr>
          <w:rFonts w:asciiTheme="minorHAnsi" w:hAnsiTheme="minorHAnsi"/>
          <w:snapToGrid w:val="0"/>
        </w:rPr>
        <w:t xml:space="preserve">This submission </w:t>
      </w:r>
      <w:r w:rsidR="00586D95" w:rsidRPr="008E7C4C">
        <w:rPr>
          <w:rFonts w:asciiTheme="minorHAnsi" w:hAnsiTheme="minorHAnsi"/>
          <w:snapToGrid w:val="0"/>
        </w:rPr>
        <w:t>was</w:t>
      </w:r>
      <w:r w:rsidRPr="008E7C4C">
        <w:rPr>
          <w:rFonts w:asciiTheme="minorHAnsi" w:hAnsiTheme="minorHAnsi"/>
          <w:snapToGrid w:val="0"/>
        </w:rPr>
        <w:t xml:space="preserve"> not considered by DUSC</w:t>
      </w:r>
      <w:r w:rsidRPr="008E7C4C">
        <w:rPr>
          <w:rFonts w:asciiTheme="minorHAnsi" w:hAnsiTheme="minorHAnsi"/>
          <w:snapToGrid w:val="0"/>
          <w:color w:val="0070C0"/>
        </w:rPr>
        <w:t>.</w:t>
      </w:r>
    </w:p>
    <w:p w14:paraId="17A2CE4B" w14:textId="11128236" w:rsidR="00CC25DE" w:rsidRPr="008E7C4C" w:rsidRDefault="00CC25DE" w:rsidP="00CC25DE">
      <w:pPr>
        <w:numPr>
          <w:ilvl w:val="1"/>
          <w:numId w:val="1"/>
        </w:numPr>
        <w:spacing w:after="120"/>
        <w:rPr>
          <w:rFonts w:asciiTheme="minorHAnsi" w:hAnsiTheme="minorHAnsi"/>
          <w:snapToGrid w:val="0"/>
          <w:color w:val="0066FF"/>
        </w:rPr>
      </w:pPr>
      <w:r w:rsidRPr="008E7C4C">
        <w:rPr>
          <w:rFonts w:asciiTheme="minorHAnsi" w:hAnsiTheme="minorHAnsi"/>
          <w:snapToGrid w:val="0"/>
        </w:rPr>
        <w:t xml:space="preserve">The resubmission utilised a combined epidemiological/market share approach to estimate the utilisation and financial impact of listing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for patients who have undergone at least two prior therapies. This seemed reasonable, given the assumption of superiority to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and non-inferiority to Cd. An overview of the data sources and assumptions used to populate the financial estimates is provided in Table </w:t>
      </w:r>
      <w:r w:rsidR="007E51A8" w:rsidRPr="008E7C4C">
        <w:rPr>
          <w:rFonts w:asciiTheme="minorHAnsi" w:hAnsiTheme="minorHAnsi"/>
          <w:snapToGrid w:val="0"/>
        </w:rPr>
        <w:t>17</w:t>
      </w:r>
      <w:r w:rsidRPr="008E7C4C">
        <w:rPr>
          <w:rFonts w:asciiTheme="minorHAnsi" w:hAnsiTheme="minorHAnsi"/>
          <w:snapToGrid w:val="0"/>
        </w:rPr>
        <w:t>.</w:t>
      </w:r>
    </w:p>
    <w:p w14:paraId="5BD0DC00" w14:textId="22CA58A7" w:rsidR="00A879D8" w:rsidRPr="008E7C4C" w:rsidRDefault="00A879D8" w:rsidP="00CC25DE">
      <w:pPr>
        <w:numPr>
          <w:ilvl w:val="1"/>
          <w:numId w:val="1"/>
        </w:numPr>
        <w:spacing w:after="120"/>
        <w:rPr>
          <w:rFonts w:asciiTheme="minorHAnsi" w:hAnsiTheme="minorHAnsi"/>
          <w:snapToGrid w:val="0"/>
          <w:color w:val="0066FF"/>
        </w:rPr>
      </w:pPr>
      <w:r w:rsidRPr="008E7C4C">
        <w:rPr>
          <w:rFonts w:asciiTheme="minorHAnsi" w:hAnsiTheme="minorHAnsi"/>
          <w:snapToGrid w:val="0"/>
        </w:rPr>
        <w:t xml:space="preserve">The duration of treatment used for both the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and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arms was 12.90 months. </w:t>
      </w:r>
      <w:proofErr w:type="gramStart"/>
      <w:r w:rsidRPr="008E7C4C">
        <w:rPr>
          <w:rFonts w:asciiTheme="minorHAnsi" w:hAnsiTheme="minorHAnsi"/>
          <w:snapToGrid w:val="0"/>
        </w:rPr>
        <w:t>This  reflected</w:t>
      </w:r>
      <w:proofErr w:type="gramEnd"/>
      <w:r w:rsidRPr="008E7C4C">
        <w:rPr>
          <w:rFonts w:asciiTheme="minorHAnsi" w:hAnsiTheme="minorHAnsi"/>
          <w:snapToGrid w:val="0"/>
        </w:rPr>
        <w:t xml:space="preserve"> the median PFS reported in TOURMALINE 1 (TMM-1) (IA1) from the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arm in the subgroup of interest (2-3 prior therapies). This underestimated the cost of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as the duration of treatment of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was assumed to be longer in TMM-1 given that although the median PFS for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was not estimable the lower bound 95% CI was 16.59 months. Furthermore, the median PFS in a later analysis from TMM-1 (IA2) reported a median PFS for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of 21.98 months and for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of 12.98 months</w:t>
      </w:r>
      <w:r w:rsidR="005E15C2" w:rsidRPr="008E7C4C">
        <w:rPr>
          <w:rFonts w:asciiTheme="minorHAnsi" w:hAnsiTheme="minorHAnsi"/>
          <w:snapToGrid w:val="0"/>
        </w:rPr>
        <w:t>.</w:t>
      </w:r>
      <w:r w:rsidR="007E51A8" w:rsidRPr="008E7C4C">
        <w:rPr>
          <w:rFonts w:asciiTheme="minorHAnsi" w:hAnsiTheme="minorHAnsi"/>
          <w:snapToGrid w:val="0"/>
        </w:rPr>
        <w:t xml:space="preserve"> These results were used in the economic model. </w:t>
      </w:r>
      <w:r w:rsidR="005E15C2" w:rsidRPr="008E7C4C">
        <w:rPr>
          <w:rFonts w:asciiTheme="minorHAnsi" w:hAnsiTheme="minorHAnsi"/>
          <w:snapToGrid w:val="0"/>
        </w:rPr>
        <w:t>A</w:t>
      </w:r>
      <w:r w:rsidRPr="008E7C4C">
        <w:rPr>
          <w:rFonts w:asciiTheme="minorHAnsi" w:hAnsiTheme="minorHAnsi"/>
          <w:snapToGrid w:val="0"/>
        </w:rPr>
        <w:t xml:space="preserve"> sensitivity analysis using duration of treatment of 21.98 months</w:t>
      </w:r>
      <w:r w:rsidR="007E51A8" w:rsidRPr="008E7C4C">
        <w:rPr>
          <w:rFonts w:asciiTheme="minorHAnsi" w:hAnsiTheme="minorHAnsi"/>
          <w:snapToGrid w:val="0"/>
        </w:rPr>
        <w:t xml:space="preserve"> (median PFS (23 months follow-up))</w:t>
      </w:r>
      <w:r w:rsidRPr="008E7C4C">
        <w:rPr>
          <w:rFonts w:asciiTheme="minorHAnsi" w:hAnsiTheme="minorHAnsi"/>
          <w:snapToGrid w:val="0"/>
        </w:rPr>
        <w:t xml:space="preserve"> for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arm as per TMM-1</w:t>
      </w:r>
      <w:r w:rsidR="005E15C2" w:rsidRPr="008E7C4C">
        <w:rPr>
          <w:rFonts w:asciiTheme="minorHAnsi" w:hAnsiTheme="minorHAnsi"/>
          <w:snapToGrid w:val="0"/>
        </w:rPr>
        <w:t xml:space="preserve"> was</w:t>
      </w:r>
      <w:r w:rsidRPr="008E7C4C">
        <w:rPr>
          <w:rFonts w:asciiTheme="minorHAnsi" w:hAnsiTheme="minorHAnsi"/>
          <w:snapToGrid w:val="0"/>
        </w:rPr>
        <w:t xml:space="preserve"> </w:t>
      </w:r>
      <w:r w:rsidR="002D6B06" w:rsidRPr="008E7C4C">
        <w:rPr>
          <w:rFonts w:asciiTheme="minorHAnsi" w:hAnsiTheme="minorHAnsi"/>
          <w:snapToGrid w:val="0"/>
        </w:rPr>
        <w:t>conducted by the evaluation</w:t>
      </w:r>
      <w:r w:rsidRPr="008E7C4C">
        <w:rPr>
          <w:rFonts w:asciiTheme="minorHAnsi" w:hAnsiTheme="minorHAnsi"/>
          <w:snapToGrid w:val="0"/>
        </w:rPr>
        <w:t>.</w:t>
      </w:r>
    </w:p>
    <w:p w14:paraId="7694D426" w14:textId="042DF729" w:rsidR="00CC25DE" w:rsidRPr="008E7C4C" w:rsidRDefault="00CC25DE" w:rsidP="00C04EB3">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 xml:space="preserve">Table </w:t>
      </w:r>
      <w:r w:rsidR="007E51A8" w:rsidRPr="008E7C4C">
        <w:rPr>
          <w:rFonts w:ascii="Arial Narrow" w:eastAsiaTheme="majorEastAsia" w:hAnsi="Arial Narrow" w:cstheme="majorBidi"/>
          <w:b/>
          <w:bCs/>
          <w:sz w:val="20"/>
        </w:rPr>
        <w:t>17</w:t>
      </w:r>
      <w:r w:rsidRPr="008E7C4C">
        <w:rPr>
          <w:rFonts w:ascii="Arial Narrow" w:eastAsiaTheme="majorEastAsia" w:hAnsi="Arial Narrow" w:cstheme="majorBidi"/>
          <w:b/>
          <w:bCs/>
          <w:sz w:val="20"/>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3"/>
        <w:gridCol w:w="3210"/>
      </w:tblGrid>
      <w:tr w:rsidR="00CC25DE" w:rsidRPr="008E7C4C" w14:paraId="7A0A6D97" w14:textId="77777777" w:rsidTr="006D7D90">
        <w:trPr>
          <w:tblHeader/>
        </w:trPr>
        <w:tc>
          <w:tcPr>
            <w:tcW w:w="950" w:type="pct"/>
            <w:shd w:val="clear" w:color="auto" w:fill="auto"/>
            <w:vAlign w:val="center"/>
          </w:tcPr>
          <w:p w14:paraId="469BA213" w14:textId="77777777" w:rsidR="00CC25DE" w:rsidRPr="008E7C4C" w:rsidRDefault="00CC25DE" w:rsidP="00C04EB3">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Parameter</w:t>
            </w:r>
          </w:p>
        </w:tc>
        <w:tc>
          <w:tcPr>
            <w:tcW w:w="2270" w:type="pct"/>
            <w:shd w:val="clear" w:color="auto" w:fill="auto"/>
            <w:vAlign w:val="center"/>
          </w:tcPr>
          <w:p w14:paraId="5BA59EDF" w14:textId="77777777" w:rsidR="00CC25DE" w:rsidRPr="008E7C4C" w:rsidRDefault="00CC25DE" w:rsidP="00C04EB3">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Value applied and source</w:t>
            </w:r>
          </w:p>
        </w:tc>
        <w:tc>
          <w:tcPr>
            <w:tcW w:w="1780" w:type="pct"/>
            <w:shd w:val="clear" w:color="auto" w:fill="auto"/>
            <w:vAlign w:val="center"/>
          </w:tcPr>
          <w:p w14:paraId="7BCCC765" w14:textId="77777777" w:rsidR="00CC25DE" w:rsidRPr="008E7C4C" w:rsidRDefault="00CC25DE" w:rsidP="00C04EB3">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Comment</w:t>
            </w:r>
          </w:p>
        </w:tc>
      </w:tr>
      <w:tr w:rsidR="00CC25DE" w:rsidRPr="008E7C4C" w14:paraId="0A1B3D8C" w14:textId="77777777" w:rsidTr="006D7D90">
        <w:tc>
          <w:tcPr>
            <w:tcW w:w="950" w:type="pct"/>
            <w:shd w:val="clear" w:color="auto" w:fill="auto"/>
            <w:vAlign w:val="center"/>
          </w:tcPr>
          <w:p w14:paraId="7D1B3C74" w14:textId="77777777" w:rsidR="00CC25DE" w:rsidRPr="008E7C4C" w:rsidRDefault="00CC25DE"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Prevalent population</w:t>
            </w:r>
          </w:p>
        </w:tc>
        <w:tc>
          <w:tcPr>
            <w:tcW w:w="2270" w:type="pct"/>
            <w:shd w:val="clear" w:color="auto" w:fill="auto"/>
            <w:vAlign w:val="center"/>
          </w:tcPr>
          <w:p w14:paraId="18EB1F0F" w14:textId="77777777" w:rsidR="00CC25DE" w:rsidRPr="008E7C4C" w:rsidRDefault="00CC25DE" w:rsidP="00C04EB3">
            <w:pPr>
              <w:keepNext/>
              <w:widowControl w:val="0"/>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Medicare data – 10% sample.</w:t>
            </w:r>
          </w:p>
          <w:p w14:paraId="0F13521A" w14:textId="77777777" w:rsidR="00CC25DE" w:rsidRPr="008E7C4C" w:rsidRDefault="00CC25DE"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The number of patients in RRMM (all lines) for year 2021 was 6,286.</w:t>
            </w:r>
          </w:p>
        </w:tc>
        <w:tc>
          <w:tcPr>
            <w:tcW w:w="1780" w:type="pct"/>
            <w:shd w:val="clear" w:color="auto" w:fill="auto"/>
            <w:vAlign w:val="center"/>
          </w:tcPr>
          <w:p w14:paraId="73416624" w14:textId="068B3DE0" w:rsidR="00CC25DE" w:rsidRPr="008E7C4C" w:rsidRDefault="00CC25DE"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The Year 1 estimate was presented for 2022. The estimates up to Year 6 were projected, however how the projections were c</w:t>
            </w:r>
            <w:r w:rsidR="00734C50" w:rsidRPr="008E7C4C">
              <w:rPr>
                <w:rFonts w:ascii="Arial Narrow" w:eastAsiaTheme="majorEastAsia" w:hAnsi="Arial Narrow" w:cstheme="majorBidi"/>
                <w:bCs/>
                <w:sz w:val="20"/>
                <w:szCs w:val="20"/>
              </w:rPr>
              <w:t>alculated</w:t>
            </w:r>
            <w:r w:rsidRPr="008E7C4C">
              <w:rPr>
                <w:rFonts w:ascii="Arial Narrow" w:eastAsiaTheme="majorEastAsia" w:hAnsi="Arial Narrow" w:cstheme="majorBidi"/>
                <w:bCs/>
                <w:sz w:val="20"/>
                <w:szCs w:val="20"/>
              </w:rPr>
              <w:t xml:space="preserve"> </w:t>
            </w:r>
            <w:r w:rsidR="00734C50" w:rsidRPr="008E7C4C">
              <w:rPr>
                <w:rFonts w:ascii="Arial Narrow" w:eastAsiaTheme="majorEastAsia" w:hAnsi="Arial Narrow" w:cstheme="majorBidi"/>
                <w:bCs/>
                <w:sz w:val="20"/>
                <w:szCs w:val="20"/>
              </w:rPr>
              <w:t>wa</w:t>
            </w:r>
            <w:r w:rsidRPr="008E7C4C">
              <w:rPr>
                <w:rFonts w:ascii="Arial Narrow" w:eastAsiaTheme="majorEastAsia" w:hAnsi="Arial Narrow" w:cstheme="majorBidi"/>
                <w:bCs/>
                <w:sz w:val="20"/>
                <w:szCs w:val="20"/>
              </w:rPr>
              <w:t>s unclear. The increase of patients per year ranged from 6.5% to 15.4%.</w:t>
            </w:r>
          </w:p>
          <w:p w14:paraId="2EF863D9" w14:textId="77777777" w:rsidR="00111582" w:rsidRPr="008E7C4C" w:rsidRDefault="00111582"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Given that </w:t>
            </w:r>
            <w:proofErr w:type="spellStart"/>
            <w:r w:rsidRPr="008E7C4C">
              <w:rPr>
                <w:rFonts w:ascii="Arial Narrow" w:eastAsiaTheme="majorEastAsia" w:hAnsi="Arial Narrow" w:cstheme="majorBidi"/>
                <w:bCs/>
                <w:sz w:val="20"/>
                <w:szCs w:val="20"/>
              </w:rPr>
              <w:t>DBd</w:t>
            </w:r>
            <w:proofErr w:type="spellEnd"/>
            <w:r w:rsidRPr="008E7C4C">
              <w:rPr>
                <w:rFonts w:ascii="Arial Narrow" w:eastAsiaTheme="majorEastAsia" w:hAnsi="Arial Narrow" w:cstheme="majorBidi"/>
                <w:bCs/>
                <w:sz w:val="20"/>
                <w:szCs w:val="20"/>
              </w:rPr>
              <w:t xml:space="preserve"> is available in 2</w:t>
            </w:r>
            <w:r w:rsidRPr="008E7C4C">
              <w:rPr>
                <w:rFonts w:ascii="Arial Narrow" w:eastAsiaTheme="majorEastAsia" w:hAnsi="Arial Narrow" w:cstheme="majorBidi"/>
                <w:bCs/>
                <w:sz w:val="20"/>
                <w:szCs w:val="20"/>
                <w:vertAlign w:val="superscript"/>
              </w:rPr>
              <w:t>nd</w:t>
            </w:r>
            <w:r w:rsidRPr="008E7C4C">
              <w:rPr>
                <w:rFonts w:ascii="Arial Narrow" w:eastAsiaTheme="majorEastAsia" w:hAnsi="Arial Narrow" w:cstheme="majorBidi"/>
                <w:bCs/>
                <w:sz w:val="20"/>
                <w:szCs w:val="20"/>
              </w:rPr>
              <w:t xml:space="preserve"> line, this will</w:t>
            </w:r>
            <w:r w:rsidR="0009341C" w:rsidRPr="008E7C4C">
              <w:rPr>
                <w:rFonts w:ascii="Arial Narrow" w:eastAsiaTheme="majorEastAsia" w:hAnsi="Arial Narrow" w:cstheme="majorBidi"/>
                <w:bCs/>
                <w:sz w:val="20"/>
                <w:szCs w:val="20"/>
              </w:rPr>
              <w:t xml:space="preserve"> </w:t>
            </w:r>
            <w:r w:rsidRPr="008E7C4C">
              <w:rPr>
                <w:rFonts w:ascii="Arial Narrow" w:eastAsiaTheme="majorEastAsia" w:hAnsi="Arial Narrow" w:cstheme="majorBidi"/>
                <w:bCs/>
                <w:sz w:val="20"/>
                <w:szCs w:val="20"/>
              </w:rPr>
              <w:t xml:space="preserve">impact the number of </w:t>
            </w:r>
            <w:r w:rsidR="006736A6" w:rsidRPr="008E7C4C">
              <w:rPr>
                <w:rFonts w:ascii="Arial Narrow" w:eastAsiaTheme="majorEastAsia" w:hAnsi="Arial Narrow" w:cstheme="majorBidi"/>
                <w:bCs/>
                <w:sz w:val="20"/>
                <w:szCs w:val="20"/>
              </w:rPr>
              <w:t>patients</w:t>
            </w:r>
            <w:r w:rsidRPr="008E7C4C">
              <w:rPr>
                <w:rFonts w:ascii="Arial Narrow" w:eastAsiaTheme="majorEastAsia" w:hAnsi="Arial Narrow" w:cstheme="majorBidi"/>
                <w:bCs/>
                <w:sz w:val="20"/>
                <w:szCs w:val="20"/>
              </w:rPr>
              <w:t xml:space="preserve"> that would progress to 3</w:t>
            </w:r>
            <w:r w:rsidRPr="008E7C4C">
              <w:rPr>
                <w:rFonts w:ascii="Arial Narrow" w:eastAsiaTheme="majorEastAsia" w:hAnsi="Arial Narrow" w:cstheme="majorBidi"/>
                <w:bCs/>
                <w:sz w:val="20"/>
                <w:szCs w:val="20"/>
                <w:vertAlign w:val="superscript"/>
              </w:rPr>
              <w:t>rd</w:t>
            </w:r>
            <w:r w:rsidRPr="008E7C4C">
              <w:rPr>
                <w:rFonts w:ascii="Arial Narrow" w:eastAsiaTheme="majorEastAsia" w:hAnsi="Arial Narrow" w:cstheme="majorBidi"/>
                <w:bCs/>
                <w:sz w:val="20"/>
                <w:szCs w:val="20"/>
              </w:rPr>
              <w:t xml:space="preserve"> line of </w:t>
            </w:r>
            <w:r w:rsidR="006736A6" w:rsidRPr="008E7C4C">
              <w:rPr>
                <w:rFonts w:ascii="Arial Narrow" w:eastAsiaTheme="majorEastAsia" w:hAnsi="Arial Narrow" w:cstheme="majorBidi"/>
                <w:bCs/>
                <w:sz w:val="20"/>
                <w:szCs w:val="20"/>
              </w:rPr>
              <w:t>treatment</w:t>
            </w:r>
            <w:r w:rsidRPr="008E7C4C">
              <w:rPr>
                <w:rFonts w:ascii="Arial Narrow" w:eastAsiaTheme="majorEastAsia" w:hAnsi="Arial Narrow" w:cstheme="majorBidi"/>
                <w:bCs/>
                <w:sz w:val="20"/>
                <w:szCs w:val="20"/>
              </w:rPr>
              <w:t xml:space="preserve">. However, this impact is unknown given that </w:t>
            </w:r>
            <w:proofErr w:type="spellStart"/>
            <w:r w:rsidRPr="008E7C4C">
              <w:rPr>
                <w:rFonts w:ascii="Arial Narrow" w:eastAsiaTheme="majorEastAsia" w:hAnsi="Arial Narrow" w:cstheme="majorBidi"/>
                <w:bCs/>
                <w:sz w:val="20"/>
                <w:szCs w:val="20"/>
              </w:rPr>
              <w:t>DBd</w:t>
            </w:r>
            <w:proofErr w:type="spellEnd"/>
            <w:r w:rsidRPr="008E7C4C">
              <w:rPr>
                <w:rFonts w:ascii="Arial Narrow" w:eastAsiaTheme="majorEastAsia" w:hAnsi="Arial Narrow" w:cstheme="majorBidi"/>
                <w:bCs/>
                <w:sz w:val="20"/>
                <w:szCs w:val="20"/>
              </w:rPr>
              <w:t xml:space="preserve"> was listed on PBS in </w:t>
            </w:r>
            <w:r w:rsidR="0009341C" w:rsidRPr="008E7C4C">
              <w:rPr>
                <w:rFonts w:ascii="Arial Narrow" w:eastAsiaTheme="majorEastAsia" w:hAnsi="Arial Narrow" w:cstheme="majorBidi"/>
                <w:bCs/>
                <w:sz w:val="20"/>
                <w:szCs w:val="20"/>
              </w:rPr>
              <w:t>January 2021 (</w:t>
            </w:r>
            <w:r w:rsidR="006736A6" w:rsidRPr="008E7C4C">
              <w:rPr>
                <w:rFonts w:ascii="Arial Narrow" w:eastAsiaTheme="majorEastAsia" w:hAnsi="Arial Narrow" w:cstheme="majorBidi"/>
                <w:bCs/>
                <w:sz w:val="20"/>
                <w:szCs w:val="20"/>
              </w:rPr>
              <w:t>p</w:t>
            </w:r>
            <w:r w:rsidR="0009341C" w:rsidRPr="008E7C4C">
              <w:rPr>
                <w:rFonts w:ascii="Arial Narrow" w:eastAsiaTheme="majorEastAsia" w:hAnsi="Arial Narrow" w:cstheme="majorBidi"/>
                <w:bCs/>
                <w:sz w:val="20"/>
                <w:szCs w:val="20"/>
              </w:rPr>
              <w:t>128 of the resubmission).</w:t>
            </w:r>
          </w:p>
        </w:tc>
      </w:tr>
      <w:tr w:rsidR="00CC25DE" w:rsidRPr="008E7C4C" w14:paraId="354E8F4E" w14:textId="77777777" w:rsidTr="006D7D90">
        <w:tc>
          <w:tcPr>
            <w:tcW w:w="950" w:type="pct"/>
            <w:shd w:val="clear" w:color="auto" w:fill="auto"/>
            <w:vAlign w:val="center"/>
          </w:tcPr>
          <w:p w14:paraId="5214E2CC" w14:textId="77777777" w:rsidR="00CC25DE" w:rsidRPr="008E7C4C" w:rsidRDefault="00CC25DE"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Eligible patients </w:t>
            </w:r>
          </w:p>
        </w:tc>
        <w:tc>
          <w:tcPr>
            <w:tcW w:w="2270" w:type="pct"/>
            <w:shd w:val="clear" w:color="auto" w:fill="auto"/>
            <w:vAlign w:val="center"/>
          </w:tcPr>
          <w:p w14:paraId="064D9C22" w14:textId="77777777" w:rsidR="00CC25DE" w:rsidRPr="008E7C4C" w:rsidRDefault="00CC25DE"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Medicare data – 10% sample: based on the projected proportion of eligible patients in 3+ line (33.96%), proportion of those patients receiving lenalidomide and proportion receiving lenalidomide with dexamethasone.</w:t>
            </w:r>
          </w:p>
        </w:tc>
        <w:tc>
          <w:tcPr>
            <w:tcW w:w="1780" w:type="pct"/>
            <w:shd w:val="clear" w:color="auto" w:fill="auto"/>
            <w:vAlign w:val="center"/>
          </w:tcPr>
          <w:p w14:paraId="6A6B66AB" w14:textId="77777777" w:rsidR="00CC25DE" w:rsidRPr="008E7C4C" w:rsidRDefault="00CC25DE"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The source could not be verified during evaluation.</w:t>
            </w:r>
          </w:p>
        </w:tc>
      </w:tr>
      <w:tr w:rsidR="00CC25DE" w:rsidRPr="008E7C4C" w14:paraId="79421893" w14:textId="77777777" w:rsidTr="006D7D90">
        <w:tc>
          <w:tcPr>
            <w:tcW w:w="950" w:type="pct"/>
            <w:shd w:val="clear" w:color="auto" w:fill="auto"/>
            <w:vAlign w:val="center"/>
          </w:tcPr>
          <w:p w14:paraId="21DC6D5E" w14:textId="77777777" w:rsidR="00CC25DE" w:rsidRPr="008E7C4C" w:rsidRDefault="00CC25DE"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Uptake rate</w:t>
            </w:r>
          </w:p>
        </w:tc>
        <w:tc>
          <w:tcPr>
            <w:tcW w:w="2270" w:type="pct"/>
            <w:shd w:val="clear" w:color="auto" w:fill="auto"/>
            <w:vAlign w:val="center"/>
          </w:tcPr>
          <w:p w14:paraId="205C744F" w14:textId="249C461A" w:rsidR="00CC25DE" w:rsidRPr="008E7C4C" w:rsidRDefault="00951174" w:rsidP="00C04EB3">
            <w:pPr>
              <w:keepNext/>
              <w:widowControl w:val="0"/>
              <w:jc w:val="left"/>
              <w:rPr>
                <w:rFonts w:ascii="Arial Narrow" w:eastAsiaTheme="majorEastAsia" w:hAnsi="Arial Narrow" w:cstheme="majorBidi"/>
                <w:bCs/>
                <w:sz w:val="20"/>
                <w:szCs w:val="20"/>
              </w:rPr>
            </w:pPr>
            <w:r w:rsidRPr="00951174">
              <w:rPr>
                <w:rFonts w:ascii="Arial Narrow" w:eastAsiaTheme="majorEastAsia" w:hAnsi="Arial Narrow" w:cstheme="majorBidi"/>
                <w:bCs/>
                <w:color w:val="000000"/>
                <w:spacing w:val="53"/>
                <w:sz w:val="20"/>
                <w:szCs w:val="20"/>
                <w:shd w:val="solid" w:color="000000" w:fill="000000"/>
                <w:fitText w:val="330" w:id="-1502411249"/>
                <w14:textFill>
                  <w14:solidFill>
                    <w14:srgbClr w14:val="000000">
                      <w14:alpha w14:val="100000"/>
                    </w14:srgbClr>
                  </w14:solidFill>
                </w14:textFill>
              </w:rPr>
              <w:t>|||</w:t>
            </w:r>
            <w:r w:rsidRPr="00951174">
              <w:rPr>
                <w:rFonts w:ascii="Arial Narrow" w:eastAsiaTheme="majorEastAsia" w:hAnsi="Arial Narrow" w:cstheme="majorBidi"/>
                <w:bCs/>
                <w:color w:val="000000"/>
                <w:spacing w:val="1"/>
                <w:sz w:val="20"/>
                <w:szCs w:val="20"/>
                <w:shd w:val="solid" w:color="000000" w:fill="000000"/>
                <w:fitText w:val="330" w:id="-1502411249"/>
                <w14:textFill>
                  <w14:solidFill>
                    <w14:srgbClr w14:val="000000">
                      <w14:alpha w14:val="100000"/>
                    </w14:srgbClr>
                  </w14:solidFill>
                </w14:textFill>
              </w:rPr>
              <w:t>|</w:t>
            </w:r>
            <w:r w:rsidR="00734C50" w:rsidRPr="008E7C4C">
              <w:rPr>
                <w:rFonts w:ascii="Arial Narrow" w:eastAsiaTheme="majorEastAsia" w:hAnsi="Arial Narrow" w:cstheme="majorBidi"/>
                <w:bCs/>
                <w:sz w:val="20"/>
                <w:szCs w:val="20"/>
              </w:rPr>
              <w:t>%</w:t>
            </w:r>
            <w:r w:rsidR="00CC25DE" w:rsidRPr="008E7C4C">
              <w:rPr>
                <w:rFonts w:ascii="Arial Narrow" w:eastAsiaTheme="majorEastAsia" w:hAnsi="Arial Narrow" w:cstheme="majorBidi"/>
                <w:bCs/>
                <w:sz w:val="20"/>
                <w:szCs w:val="20"/>
              </w:rPr>
              <w:t xml:space="preserve"> in Year 1 </w:t>
            </w:r>
            <w:r w:rsidR="00734C50" w:rsidRPr="008E7C4C">
              <w:rPr>
                <w:rFonts w:ascii="Arial Narrow" w:eastAsiaTheme="majorEastAsia" w:hAnsi="Arial Narrow" w:cstheme="majorBidi"/>
                <w:bCs/>
                <w:sz w:val="20"/>
                <w:szCs w:val="20"/>
              </w:rPr>
              <w:t xml:space="preserve">(based on Medicare data – 10% sample: </w:t>
            </w:r>
            <w:r w:rsidRPr="00951174">
              <w:rPr>
                <w:rFonts w:ascii="Arial Narrow" w:eastAsiaTheme="majorEastAsia" w:hAnsi="Arial Narrow" w:cstheme="majorBidi"/>
                <w:bCs/>
                <w:color w:val="000000"/>
                <w:spacing w:val="48"/>
                <w:sz w:val="20"/>
                <w:szCs w:val="20"/>
                <w:shd w:val="solid" w:color="000000" w:fill="000000"/>
                <w:fitText w:val="315" w:id="-1502411248"/>
                <w14:textFill>
                  <w14:solidFill>
                    <w14:srgbClr w14:val="000000">
                      <w14:alpha w14:val="100000"/>
                    </w14:srgbClr>
                  </w14:solidFill>
                </w14:textFill>
              </w:rPr>
              <w:t>|||</w:t>
            </w:r>
            <w:r w:rsidRPr="00951174">
              <w:rPr>
                <w:rFonts w:ascii="Arial Narrow" w:eastAsiaTheme="majorEastAsia" w:hAnsi="Arial Narrow" w:cstheme="majorBidi"/>
                <w:bCs/>
                <w:color w:val="000000"/>
                <w:spacing w:val="1"/>
                <w:sz w:val="20"/>
                <w:szCs w:val="20"/>
                <w:shd w:val="solid" w:color="000000" w:fill="000000"/>
                <w:fitText w:val="315" w:id="-1502411248"/>
                <w14:textFill>
                  <w14:solidFill>
                    <w14:srgbClr w14:val="000000">
                      <w14:alpha w14:val="100000"/>
                    </w14:srgbClr>
                  </w14:solidFill>
                </w14:textFill>
              </w:rPr>
              <w:t>|</w:t>
            </w:r>
            <w:r w:rsidR="00734C50" w:rsidRPr="008E7C4C">
              <w:rPr>
                <w:rFonts w:ascii="Arial Narrow" w:eastAsiaTheme="majorEastAsia" w:hAnsi="Arial Narrow" w:cstheme="majorBidi"/>
                <w:bCs/>
                <w:sz w:val="20"/>
                <w:szCs w:val="20"/>
              </w:rPr>
              <w:t xml:space="preserve">% of lenalidomide in 3+ lines corresponded to patients aged 70) </w:t>
            </w:r>
            <w:r w:rsidR="00CC25DE" w:rsidRPr="008E7C4C">
              <w:rPr>
                <w:rFonts w:ascii="Arial Narrow" w:eastAsiaTheme="majorEastAsia" w:hAnsi="Arial Narrow" w:cstheme="majorBidi"/>
                <w:bCs/>
                <w:sz w:val="20"/>
                <w:szCs w:val="20"/>
              </w:rPr>
              <w:t xml:space="preserve">increasing to </w:t>
            </w:r>
            <w:r w:rsidRPr="00951174">
              <w:rPr>
                <w:rFonts w:ascii="Arial Narrow" w:eastAsiaTheme="majorEastAsia" w:hAnsi="Arial Narrow" w:cstheme="majorBidi"/>
                <w:bCs/>
                <w:color w:val="000000"/>
                <w:spacing w:val="53"/>
                <w:sz w:val="20"/>
                <w:szCs w:val="20"/>
                <w:shd w:val="solid" w:color="000000" w:fill="000000"/>
                <w:fitText w:val="330" w:id="-1502411264"/>
                <w14:textFill>
                  <w14:solidFill>
                    <w14:srgbClr w14:val="000000">
                      <w14:alpha w14:val="100000"/>
                    </w14:srgbClr>
                  </w14:solidFill>
                </w14:textFill>
              </w:rPr>
              <w:t>|||</w:t>
            </w:r>
            <w:r w:rsidRPr="00951174">
              <w:rPr>
                <w:rFonts w:ascii="Arial Narrow" w:eastAsiaTheme="majorEastAsia" w:hAnsi="Arial Narrow" w:cstheme="majorBidi"/>
                <w:bCs/>
                <w:color w:val="000000"/>
                <w:spacing w:val="1"/>
                <w:sz w:val="20"/>
                <w:szCs w:val="20"/>
                <w:shd w:val="solid" w:color="000000" w:fill="000000"/>
                <w:fitText w:val="330" w:id="-1502411264"/>
                <w14:textFill>
                  <w14:solidFill>
                    <w14:srgbClr w14:val="000000">
                      <w14:alpha w14:val="100000"/>
                    </w14:srgbClr>
                  </w14:solidFill>
                </w14:textFill>
              </w:rPr>
              <w:t>|</w:t>
            </w:r>
            <w:r w:rsidR="00CC25DE" w:rsidRPr="008E7C4C">
              <w:rPr>
                <w:rFonts w:ascii="Arial Narrow" w:eastAsiaTheme="majorEastAsia" w:hAnsi="Arial Narrow" w:cstheme="majorBidi"/>
                <w:bCs/>
                <w:sz w:val="20"/>
                <w:szCs w:val="20"/>
              </w:rPr>
              <w:t>% in Year 6</w:t>
            </w:r>
            <w:r w:rsidR="00734C50" w:rsidRPr="008E7C4C">
              <w:rPr>
                <w:rFonts w:ascii="Arial Narrow" w:eastAsiaTheme="majorEastAsia" w:hAnsi="Arial Narrow" w:cstheme="majorBidi"/>
                <w:bCs/>
                <w:sz w:val="20"/>
                <w:szCs w:val="20"/>
              </w:rPr>
              <w:t xml:space="preserve"> (assumption)</w:t>
            </w:r>
            <w:r w:rsidR="00CC25DE" w:rsidRPr="008E7C4C">
              <w:rPr>
                <w:rFonts w:ascii="Arial Narrow" w:eastAsiaTheme="majorEastAsia" w:hAnsi="Arial Narrow" w:cstheme="majorBidi"/>
                <w:bCs/>
                <w:sz w:val="20"/>
                <w:szCs w:val="20"/>
              </w:rPr>
              <w:t xml:space="preserve">. </w:t>
            </w:r>
          </w:p>
          <w:p w14:paraId="15E6C747" w14:textId="040D8131" w:rsidR="00CC25DE" w:rsidRPr="008E7C4C" w:rsidRDefault="00CC25DE" w:rsidP="00C04EB3">
            <w:pPr>
              <w:keepNext/>
              <w:jc w:val="left"/>
              <w:rPr>
                <w:rFonts w:ascii="Arial Narrow" w:eastAsiaTheme="majorEastAsia" w:hAnsi="Arial Narrow" w:cstheme="majorBidi"/>
                <w:bCs/>
                <w:sz w:val="20"/>
                <w:szCs w:val="20"/>
              </w:rPr>
            </w:pPr>
          </w:p>
        </w:tc>
        <w:tc>
          <w:tcPr>
            <w:tcW w:w="1780" w:type="pct"/>
            <w:shd w:val="clear" w:color="auto" w:fill="auto"/>
            <w:vAlign w:val="center"/>
          </w:tcPr>
          <w:p w14:paraId="5177BAB2" w14:textId="09D61732" w:rsidR="00CC25DE" w:rsidRPr="008E7C4C" w:rsidRDefault="00CC25DE" w:rsidP="00C04EB3">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May be reasonable</w:t>
            </w:r>
            <w:r w:rsidR="00734C50" w:rsidRPr="008E7C4C">
              <w:rPr>
                <w:rFonts w:ascii="Arial Narrow" w:eastAsiaTheme="majorEastAsia" w:hAnsi="Arial Narrow" w:cstheme="majorBidi"/>
                <w:bCs/>
                <w:sz w:val="20"/>
                <w:szCs w:val="20"/>
              </w:rPr>
              <w:t>;</w:t>
            </w:r>
            <w:r w:rsidRPr="008E7C4C">
              <w:rPr>
                <w:rFonts w:ascii="Arial Narrow" w:eastAsiaTheme="majorEastAsia" w:hAnsi="Arial Narrow" w:cstheme="majorBidi"/>
                <w:bCs/>
                <w:sz w:val="20"/>
                <w:szCs w:val="20"/>
              </w:rPr>
              <w:t xml:space="preserve"> however</w:t>
            </w:r>
            <w:r w:rsidR="00734C50" w:rsidRPr="008E7C4C">
              <w:rPr>
                <w:rFonts w:ascii="Arial Narrow" w:eastAsiaTheme="majorEastAsia" w:hAnsi="Arial Narrow" w:cstheme="majorBidi"/>
                <w:bCs/>
                <w:sz w:val="20"/>
                <w:szCs w:val="20"/>
              </w:rPr>
              <w:t>,</w:t>
            </w:r>
            <w:r w:rsidRPr="008E7C4C">
              <w:rPr>
                <w:rFonts w:ascii="Arial Narrow" w:eastAsiaTheme="majorEastAsia" w:hAnsi="Arial Narrow" w:cstheme="majorBidi"/>
                <w:bCs/>
                <w:sz w:val="20"/>
                <w:szCs w:val="20"/>
              </w:rPr>
              <w:t xml:space="preserve"> due to </w:t>
            </w:r>
            <w:r w:rsidR="00734C50" w:rsidRPr="008E7C4C">
              <w:rPr>
                <w:rFonts w:ascii="Arial Narrow" w:eastAsiaTheme="majorEastAsia" w:hAnsi="Arial Narrow" w:cstheme="majorBidi"/>
                <w:bCs/>
                <w:sz w:val="20"/>
                <w:szCs w:val="20"/>
              </w:rPr>
              <w:t xml:space="preserve">the </w:t>
            </w:r>
            <w:r w:rsidRPr="008E7C4C">
              <w:rPr>
                <w:rFonts w:ascii="Arial Narrow" w:eastAsiaTheme="majorEastAsia" w:hAnsi="Arial Narrow" w:cstheme="majorBidi"/>
                <w:bCs/>
                <w:sz w:val="20"/>
                <w:szCs w:val="20"/>
              </w:rPr>
              <w:t xml:space="preserve">listing of lenalidomide in </w:t>
            </w:r>
            <w:r w:rsidR="00734C50" w:rsidRPr="008E7C4C">
              <w:rPr>
                <w:rFonts w:ascii="Arial Narrow" w:eastAsiaTheme="majorEastAsia" w:hAnsi="Arial Narrow" w:cstheme="majorBidi"/>
                <w:bCs/>
                <w:sz w:val="20"/>
                <w:szCs w:val="20"/>
              </w:rPr>
              <w:t xml:space="preserve">the </w:t>
            </w:r>
            <w:r w:rsidRPr="008E7C4C">
              <w:rPr>
                <w:rFonts w:ascii="Arial Narrow" w:eastAsiaTheme="majorEastAsia" w:hAnsi="Arial Narrow" w:cstheme="majorBidi"/>
                <w:bCs/>
                <w:sz w:val="20"/>
                <w:szCs w:val="20"/>
              </w:rPr>
              <w:t xml:space="preserve">newly diagnosed MM setting the use of lenalidomide-based regimens in </w:t>
            </w:r>
            <w:r w:rsidR="00734C50" w:rsidRPr="008E7C4C">
              <w:rPr>
                <w:rFonts w:ascii="Arial Narrow" w:eastAsiaTheme="majorEastAsia" w:hAnsi="Arial Narrow" w:cstheme="majorBidi"/>
                <w:bCs/>
                <w:sz w:val="20"/>
                <w:szCs w:val="20"/>
              </w:rPr>
              <w:t xml:space="preserve">later </w:t>
            </w:r>
            <w:r w:rsidRPr="008E7C4C">
              <w:rPr>
                <w:rFonts w:ascii="Arial Narrow" w:eastAsiaTheme="majorEastAsia" w:hAnsi="Arial Narrow" w:cstheme="majorBidi"/>
                <w:bCs/>
                <w:sz w:val="20"/>
                <w:szCs w:val="20"/>
              </w:rPr>
              <w:t>lines is not certain.</w:t>
            </w:r>
          </w:p>
        </w:tc>
      </w:tr>
      <w:tr w:rsidR="00CC25DE" w:rsidRPr="008E7C4C" w14:paraId="4C325D6E" w14:textId="77777777" w:rsidTr="006D7D90">
        <w:tc>
          <w:tcPr>
            <w:tcW w:w="950" w:type="pct"/>
            <w:shd w:val="clear" w:color="auto" w:fill="auto"/>
            <w:vAlign w:val="center"/>
          </w:tcPr>
          <w:p w14:paraId="77B5BE67"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Grandfathered patients</w:t>
            </w:r>
          </w:p>
        </w:tc>
        <w:tc>
          <w:tcPr>
            <w:tcW w:w="2270" w:type="pct"/>
            <w:shd w:val="clear" w:color="auto" w:fill="auto"/>
            <w:vAlign w:val="center"/>
          </w:tcPr>
          <w:p w14:paraId="12567121" w14:textId="6F5A0A7E" w:rsidR="00CC25DE" w:rsidRPr="008E7C4C" w:rsidRDefault="00951174" w:rsidP="00C83016">
            <w:pPr>
              <w:jc w:val="left"/>
              <w:rPr>
                <w:rFonts w:ascii="Arial Narrow" w:eastAsiaTheme="majorEastAsia" w:hAnsi="Arial Narrow" w:cstheme="majorBidi"/>
                <w:bCs/>
                <w:sz w:val="20"/>
                <w:szCs w:val="20"/>
              </w:rPr>
            </w:pPr>
            <w:r w:rsidRPr="00951174">
              <w:rPr>
                <w:rFonts w:ascii="Arial Narrow" w:eastAsiaTheme="majorEastAsia" w:hAnsi="Arial Narrow" w:cstheme="majorBidi"/>
                <w:bCs/>
                <w:color w:val="000000"/>
                <w:spacing w:val="53"/>
                <w:sz w:val="20"/>
                <w:szCs w:val="20"/>
                <w:shd w:val="solid" w:color="000000" w:fill="000000"/>
                <w:fitText w:val="330" w:id="-1502411263"/>
                <w14:textFill>
                  <w14:solidFill>
                    <w14:srgbClr w14:val="000000">
                      <w14:alpha w14:val="100000"/>
                    </w14:srgbClr>
                  </w14:solidFill>
                </w14:textFill>
              </w:rPr>
              <w:t>|||</w:t>
            </w:r>
            <w:r w:rsidRPr="00951174">
              <w:rPr>
                <w:rFonts w:ascii="Arial Narrow" w:eastAsiaTheme="majorEastAsia" w:hAnsi="Arial Narrow" w:cstheme="majorBidi"/>
                <w:bCs/>
                <w:color w:val="000000"/>
                <w:spacing w:val="1"/>
                <w:sz w:val="20"/>
                <w:szCs w:val="20"/>
                <w:shd w:val="solid" w:color="000000" w:fill="000000"/>
                <w:fitText w:val="330" w:id="-1502411263"/>
                <w14:textFill>
                  <w14:solidFill>
                    <w14:srgbClr w14:val="000000">
                      <w14:alpha w14:val="100000"/>
                    </w14:srgbClr>
                  </w14:solidFill>
                </w14:textFill>
              </w:rPr>
              <w:t>|</w:t>
            </w:r>
            <w:r w:rsidR="00CC25DE" w:rsidRPr="008E7C4C">
              <w:rPr>
                <w:rFonts w:ascii="Arial Narrow" w:eastAsiaTheme="majorEastAsia" w:hAnsi="Arial Narrow" w:cstheme="majorBidi"/>
                <w:bCs/>
                <w:sz w:val="20"/>
                <w:szCs w:val="20"/>
              </w:rPr>
              <w:t xml:space="preserve"> patients from </w:t>
            </w:r>
            <w:r w:rsidR="00CC25DE" w:rsidRPr="008E7C4C">
              <w:rPr>
                <w:rFonts w:ascii="Arial Narrow" w:eastAsiaTheme="majorEastAsia" w:hAnsi="Arial Narrow" w:cstheme="majorBidi"/>
                <w:bCs/>
                <w:sz w:val="18"/>
                <w:szCs w:val="18"/>
              </w:rPr>
              <w:t>Takeda Australia Named Patients Program</w:t>
            </w:r>
          </w:p>
        </w:tc>
        <w:tc>
          <w:tcPr>
            <w:tcW w:w="1780" w:type="pct"/>
            <w:shd w:val="clear" w:color="auto" w:fill="auto"/>
            <w:vAlign w:val="center"/>
          </w:tcPr>
          <w:p w14:paraId="193EAE45"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This is reasonable.</w:t>
            </w:r>
          </w:p>
          <w:p w14:paraId="14B05826"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There were no new patients in the program since 2019.</w:t>
            </w:r>
          </w:p>
        </w:tc>
      </w:tr>
      <w:tr w:rsidR="00CC25DE" w:rsidRPr="008E7C4C" w14:paraId="5540D00C" w14:textId="77777777" w:rsidTr="006D7D90">
        <w:tc>
          <w:tcPr>
            <w:tcW w:w="950" w:type="pct"/>
            <w:shd w:val="clear" w:color="auto" w:fill="auto"/>
            <w:vAlign w:val="center"/>
          </w:tcPr>
          <w:p w14:paraId="43372492"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Duration</w:t>
            </w:r>
          </w:p>
        </w:tc>
        <w:tc>
          <w:tcPr>
            <w:tcW w:w="2270" w:type="pct"/>
            <w:shd w:val="clear" w:color="auto" w:fill="auto"/>
            <w:vAlign w:val="center"/>
          </w:tcPr>
          <w:p w14:paraId="3582C630"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12.9 months for initiating patients (based on the median PFS in </w:t>
            </w:r>
            <w:proofErr w:type="spellStart"/>
            <w:r w:rsidRPr="008E7C4C">
              <w:rPr>
                <w:rFonts w:ascii="Arial Narrow" w:eastAsiaTheme="majorEastAsia" w:hAnsi="Arial Narrow" w:cstheme="majorBidi"/>
                <w:bCs/>
                <w:sz w:val="20"/>
                <w:szCs w:val="20"/>
              </w:rPr>
              <w:t>Ld</w:t>
            </w:r>
            <w:proofErr w:type="spellEnd"/>
            <w:r w:rsidRPr="008E7C4C">
              <w:rPr>
                <w:rFonts w:ascii="Arial Narrow" w:eastAsiaTheme="majorEastAsia" w:hAnsi="Arial Narrow" w:cstheme="majorBidi"/>
                <w:bCs/>
                <w:sz w:val="20"/>
                <w:szCs w:val="20"/>
              </w:rPr>
              <w:t xml:space="preserve"> arm in subgroup of prior 2 to 3 treatment lines).</w:t>
            </w:r>
          </w:p>
          <w:p w14:paraId="74F9EE69" w14:textId="540F9470"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21.3 months in grandfathered patients.</w:t>
            </w:r>
            <w:r w:rsidR="00A879D8" w:rsidRPr="008E7C4C">
              <w:rPr>
                <w:rFonts w:ascii="Arial Narrow" w:eastAsiaTheme="majorEastAsia" w:hAnsi="Arial Narrow" w:cstheme="majorBidi"/>
                <w:bCs/>
                <w:sz w:val="20"/>
                <w:szCs w:val="20"/>
              </w:rPr>
              <w:t xml:space="preserve"> </w:t>
            </w:r>
            <w:r w:rsidR="002D6B06" w:rsidRPr="008E7C4C">
              <w:rPr>
                <w:rFonts w:ascii="Arial Narrow" w:eastAsiaTheme="majorEastAsia" w:hAnsi="Arial Narrow" w:cstheme="majorBidi"/>
                <w:bCs/>
                <w:sz w:val="20"/>
                <w:szCs w:val="20"/>
              </w:rPr>
              <w:t>This corresponds to the remaining treatment estimated b</w:t>
            </w:r>
            <w:r w:rsidR="00A879D8" w:rsidRPr="008E7C4C">
              <w:rPr>
                <w:rFonts w:ascii="Arial Narrow" w:eastAsiaTheme="majorEastAsia" w:hAnsi="Arial Narrow" w:cstheme="majorBidi"/>
                <w:bCs/>
                <w:sz w:val="20"/>
                <w:szCs w:val="20"/>
              </w:rPr>
              <w:t>ased on the treatment duration from TMM-1 for patients who have remained on treatment for at least 48 months</w:t>
            </w:r>
            <w:r w:rsidR="002D6B06" w:rsidRPr="008E7C4C">
              <w:rPr>
                <w:rFonts w:ascii="Arial Narrow" w:eastAsiaTheme="majorEastAsia" w:hAnsi="Arial Narrow" w:cstheme="majorBidi"/>
                <w:bCs/>
                <w:sz w:val="20"/>
                <w:szCs w:val="20"/>
              </w:rPr>
              <w:t>, which was</w:t>
            </w:r>
            <w:r w:rsidR="00A879D8" w:rsidRPr="008E7C4C">
              <w:rPr>
                <w:rFonts w:ascii="Arial Narrow" w:eastAsiaTheme="majorEastAsia" w:hAnsi="Arial Narrow" w:cstheme="majorBidi"/>
                <w:bCs/>
                <w:sz w:val="20"/>
                <w:szCs w:val="20"/>
              </w:rPr>
              <w:t xml:space="preserve"> 69.3 months.</w:t>
            </w:r>
          </w:p>
          <w:p w14:paraId="333C1D38" w14:textId="77777777" w:rsidR="00CC25DE" w:rsidRPr="008E7C4C" w:rsidRDefault="00CC25DE" w:rsidP="00C83016">
            <w:pPr>
              <w:jc w:val="left"/>
              <w:rPr>
                <w:rFonts w:ascii="Arial Narrow" w:eastAsiaTheme="majorEastAsia" w:hAnsi="Arial Narrow" w:cstheme="majorBidi"/>
                <w:bCs/>
                <w:sz w:val="20"/>
                <w:szCs w:val="20"/>
              </w:rPr>
            </w:pPr>
          </w:p>
        </w:tc>
        <w:tc>
          <w:tcPr>
            <w:tcW w:w="1780" w:type="pct"/>
            <w:shd w:val="clear" w:color="auto" w:fill="auto"/>
            <w:vAlign w:val="center"/>
          </w:tcPr>
          <w:p w14:paraId="2439B68D" w14:textId="58F67DD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This is not consistent with </w:t>
            </w:r>
            <w:r w:rsidR="00B10403" w:rsidRPr="008E7C4C">
              <w:rPr>
                <w:rFonts w:ascii="Arial Narrow" w:eastAsiaTheme="majorEastAsia" w:hAnsi="Arial Narrow" w:cstheme="majorBidi"/>
                <w:bCs/>
                <w:sz w:val="20"/>
                <w:szCs w:val="20"/>
              </w:rPr>
              <w:t>data</w:t>
            </w:r>
            <w:r w:rsidR="00A879D8" w:rsidRPr="008E7C4C">
              <w:rPr>
                <w:rFonts w:ascii="Arial Narrow" w:eastAsiaTheme="majorEastAsia" w:hAnsi="Arial Narrow" w:cstheme="majorBidi"/>
                <w:bCs/>
                <w:sz w:val="20"/>
                <w:szCs w:val="20"/>
              </w:rPr>
              <w:t xml:space="preserve"> </w:t>
            </w:r>
            <w:r w:rsidR="00F45E8D" w:rsidRPr="008E7C4C">
              <w:rPr>
                <w:rFonts w:ascii="Arial Narrow" w:eastAsiaTheme="majorEastAsia" w:hAnsi="Arial Narrow" w:cstheme="majorBidi"/>
                <w:bCs/>
                <w:sz w:val="20"/>
                <w:szCs w:val="20"/>
              </w:rPr>
              <w:t xml:space="preserve">applied </w:t>
            </w:r>
            <w:r w:rsidRPr="008E7C4C">
              <w:rPr>
                <w:rFonts w:ascii="Arial Narrow" w:eastAsiaTheme="majorEastAsia" w:hAnsi="Arial Narrow" w:cstheme="majorBidi"/>
                <w:bCs/>
                <w:sz w:val="20"/>
                <w:szCs w:val="20"/>
              </w:rPr>
              <w:t>in the economic evaluation</w:t>
            </w:r>
            <w:r w:rsidR="00F45E8D" w:rsidRPr="008E7C4C">
              <w:rPr>
                <w:rFonts w:ascii="Arial Narrow" w:eastAsiaTheme="majorEastAsia" w:hAnsi="Arial Narrow" w:cstheme="majorBidi"/>
                <w:bCs/>
                <w:sz w:val="20"/>
                <w:szCs w:val="20"/>
              </w:rPr>
              <w:t xml:space="preserve"> of</w:t>
            </w:r>
            <w:r w:rsidR="00A879D8" w:rsidRPr="008E7C4C">
              <w:rPr>
                <w:rFonts w:ascii="Arial Narrow" w:eastAsiaTheme="majorEastAsia" w:hAnsi="Arial Narrow" w:cstheme="majorBidi"/>
                <w:bCs/>
                <w:sz w:val="20"/>
                <w:szCs w:val="20"/>
              </w:rPr>
              <w:t xml:space="preserve"> median PFS </w:t>
            </w:r>
            <w:r w:rsidR="002419B0" w:rsidRPr="008E7C4C">
              <w:rPr>
                <w:rFonts w:ascii="Arial Narrow" w:eastAsiaTheme="majorEastAsia" w:hAnsi="Arial Narrow" w:cstheme="majorBidi"/>
                <w:bCs/>
                <w:sz w:val="20"/>
                <w:szCs w:val="20"/>
              </w:rPr>
              <w:t>o</w:t>
            </w:r>
            <w:r w:rsidR="00E21251" w:rsidRPr="008E7C4C">
              <w:rPr>
                <w:rFonts w:ascii="Arial Narrow" w:eastAsiaTheme="majorEastAsia" w:hAnsi="Arial Narrow" w:cstheme="majorBidi"/>
                <w:bCs/>
                <w:sz w:val="20"/>
                <w:szCs w:val="20"/>
              </w:rPr>
              <w:t>f</w:t>
            </w:r>
            <w:r w:rsidR="002419B0" w:rsidRPr="008E7C4C">
              <w:rPr>
                <w:rFonts w:ascii="Arial Narrow" w:eastAsiaTheme="majorEastAsia" w:hAnsi="Arial Narrow" w:cstheme="majorBidi"/>
                <w:bCs/>
                <w:sz w:val="20"/>
                <w:szCs w:val="20"/>
              </w:rPr>
              <w:t xml:space="preserve"> 21.98 </w:t>
            </w:r>
            <w:proofErr w:type="gramStart"/>
            <w:r w:rsidR="002419B0" w:rsidRPr="008E7C4C">
              <w:rPr>
                <w:rFonts w:ascii="Arial Narrow" w:eastAsiaTheme="majorEastAsia" w:hAnsi="Arial Narrow" w:cstheme="majorBidi"/>
                <w:bCs/>
                <w:sz w:val="20"/>
                <w:szCs w:val="20"/>
              </w:rPr>
              <w:t xml:space="preserve">months  </w:t>
            </w:r>
            <w:r w:rsidR="00A879D8" w:rsidRPr="008E7C4C">
              <w:rPr>
                <w:rFonts w:ascii="Arial Narrow" w:eastAsiaTheme="majorEastAsia" w:hAnsi="Arial Narrow" w:cstheme="majorBidi"/>
                <w:bCs/>
                <w:sz w:val="20"/>
                <w:szCs w:val="20"/>
              </w:rPr>
              <w:t>(</w:t>
            </w:r>
            <w:proofErr w:type="gramEnd"/>
            <w:r w:rsidR="00A879D8" w:rsidRPr="008E7C4C">
              <w:rPr>
                <w:rFonts w:ascii="Arial Narrow" w:eastAsiaTheme="majorEastAsia" w:hAnsi="Arial Narrow" w:cstheme="majorBidi"/>
                <w:bCs/>
                <w:sz w:val="20"/>
                <w:szCs w:val="20"/>
              </w:rPr>
              <w:t xml:space="preserve">23 months follow-up) for </w:t>
            </w:r>
            <w:proofErr w:type="spellStart"/>
            <w:r w:rsidR="00A879D8" w:rsidRPr="008E7C4C">
              <w:rPr>
                <w:rFonts w:ascii="Arial Narrow" w:eastAsiaTheme="majorEastAsia" w:hAnsi="Arial Narrow" w:cstheme="majorBidi"/>
                <w:bCs/>
                <w:sz w:val="20"/>
                <w:szCs w:val="20"/>
              </w:rPr>
              <w:t>I</w:t>
            </w:r>
            <w:r w:rsidR="002419B0" w:rsidRPr="008E7C4C">
              <w:rPr>
                <w:rFonts w:ascii="Arial Narrow" w:eastAsiaTheme="majorEastAsia" w:hAnsi="Arial Narrow" w:cstheme="majorBidi"/>
                <w:bCs/>
                <w:sz w:val="20"/>
                <w:szCs w:val="20"/>
              </w:rPr>
              <w:t>L</w:t>
            </w:r>
            <w:r w:rsidR="00A879D8" w:rsidRPr="008E7C4C">
              <w:rPr>
                <w:rFonts w:ascii="Arial Narrow" w:eastAsiaTheme="majorEastAsia" w:hAnsi="Arial Narrow" w:cstheme="majorBidi"/>
                <w:bCs/>
                <w:sz w:val="20"/>
                <w:szCs w:val="20"/>
              </w:rPr>
              <w:t>d</w:t>
            </w:r>
            <w:proofErr w:type="spellEnd"/>
            <w:r w:rsidR="00A879D8" w:rsidRPr="008E7C4C">
              <w:rPr>
                <w:rFonts w:ascii="Arial Narrow" w:eastAsiaTheme="majorEastAsia" w:hAnsi="Arial Narrow" w:cstheme="majorBidi"/>
                <w:bCs/>
                <w:sz w:val="20"/>
                <w:szCs w:val="20"/>
              </w:rPr>
              <w:t xml:space="preserve"> and 12.98 months for Ld</w:t>
            </w:r>
            <w:r w:rsidRPr="008E7C4C">
              <w:rPr>
                <w:rFonts w:ascii="Arial Narrow" w:eastAsiaTheme="majorEastAsia" w:hAnsi="Arial Narrow" w:cstheme="majorBidi"/>
                <w:bCs/>
                <w:sz w:val="20"/>
                <w:szCs w:val="20"/>
              </w:rPr>
              <w:t xml:space="preserve">. Using duration of treatment from the </w:t>
            </w:r>
            <w:proofErr w:type="spellStart"/>
            <w:r w:rsidRPr="008E7C4C">
              <w:rPr>
                <w:rFonts w:ascii="Arial Narrow" w:eastAsiaTheme="majorEastAsia" w:hAnsi="Arial Narrow" w:cstheme="majorBidi"/>
                <w:bCs/>
                <w:sz w:val="20"/>
                <w:szCs w:val="20"/>
              </w:rPr>
              <w:t>Ld</w:t>
            </w:r>
            <w:proofErr w:type="spellEnd"/>
            <w:r w:rsidRPr="008E7C4C">
              <w:rPr>
                <w:rFonts w:ascii="Arial Narrow" w:eastAsiaTheme="majorEastAsia" w:hAnsi="Arial Narrow" w:cstheme="majorBidi"/>
                <w:bCs/>
                <w:sz w:val="20"/>
                <w:szCs w:val="20"/>
              </w:rPr>
              <w:t xml:space="preserve"> arm may lead to an underestimation from Year 2 to Year 6 underestimating the use of </w:t>
            </w:r>
            <w:proofErr w:type="spellStart"/>
            <w:r w:rsidRPr="008E7C4C">
              <w:rPr>
                <w:rFonts w:ascii="Arial Narrow" w:eastAsiaTheme="majorEastAsia" w:hAnsi="Arial Narrow" w:cstheme="majorBidi"/>
                <w:bCs/>
                <w:sz w:val="20"/>
                <w:szCs w:val="20"/>
              </w:rPr>
              <w:t>ILd</w:t>
            </w:r>
            <w:proofErr w:type="spellEnd"/>
            <w:r w:rsidR="00325030" w:rsidRPr="008E7C4C">
              <w:rPr>
                <w:rFonts w:ascii="Arial Narrow" w:eastAsiaTheme="majorEastAsia" w:hAnsi="Arial Narrow" w:cstheme="majorBidi"/>
                <w:bCs/>
                <w:sz w:val="20"/>
                <w:szCs w:val="20"/>
              </w:rPr>
              <w:t xml:space="preserve"> (refer</w:t>
            </w:r>
            <w:r w:rsidR="00325030" w:rsidRPr="008E7C4C">
              <w:t xml:space="preserve"> </w:t>
            </w:r>
            <w:r w:rsidR="00325030" w:rsidRPr="008E7C4C">
              <w:rPr>
                <w:rFonts w:ascii="Arial Narrow" w:eastAsiaTheme="majorEastAsia" w:hAnsi="Arial Narrow" w:cstheme="majorBidi"/>
                <w:bCs/>
                <w:sz w:val="20"/>
                <w:szCs w:val="20"/>
              </w:rPr>
              <w:t>SA conducted during evaluation, Table 19)</w:t>
            </w:r>
            <w:r w:rsidRPr="008E7C4C">
              <w:rPr>
                <w:rFonts w:ascii="Arial Narrow" w:eastAsiaTheme="majorEastAsia" w:hAnsi="Arial Narrow" w:cstheme="majorBidi"/>
                <w:bCs/>
                <w:sz w:val="20"/>
                <w:szCs w:val="20"/>
              </w:rPr>
              <w:t>.</w:t>
            </w:r>
          </w:p>
          <w:p w14:paraId="551D0475" w14:textId="5F71D04C" w:rsidR="00F45E8D" w:rsidRPr="008E7C4C" w:rsidRDefault="004A7F91"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It was also noted that </w:t>
            </w:r>
            <w:r w:rsidR="00F45E8D" w:rsidRPr="008E7C4C">
              <w:rPr>
                <w:rFonts w:ascii="Arial Narrow" w:eastAsiaTheme="majorEastAsia" w:hAnsi="Arial Narrow" w:cstheme="majorBidi"/>
                <w:bCs/>
                <w:sz w:val="20"/>
                <w:szCs w:val="20"/>
              </w:rPr>
              <w:t>Grandfathered patients remain</w:t>
            </w:r>
            <w:r w:rsidRPr="008E7C4C">
              <w:rPr>
                <w:rFonts w:ascii="Arial Narrow" w:eastAsiaTheme="majorEastAsia" w:hAnsi="Arial Narrow" w:cstheme="majorBidi"/>
                <w:bCs/>
                <w:sz w:val="20"/>
                <w:szCs w:val="20"/>
              </w:rPr>
              <w:t>ed</w:t>
            </w:r>
            <w:r w:rsidR="00F45E8D" w:rsidRPr="008E7C4C">
              <w:rPr>
                <w:rFonts w:ascii="Arial Narrow" w:eastAsiaTheme="majorEastAsia" w:hAnsi="Arial Narrow" w:cstheme="majorBidi"/>
                <w:bCs/>
                <w:sz w:val="20"/>
                <w:szCs w:val="20"/>
              </w:rPr>
              <w:t xml:space="preserve"> on treatment for longer compared to patients initiating treatment</w:t>
            </w:r>
            <w:r w:rsidR="00830A6F" w:rsidRPr="008E7C4C">
              <w:rPr>
                <w:rFonts w:ascii="Arial Narrow" w:eastAsiaTheme="majorEastAsia" w:hAnsi="Arial Narrow" w:cstheme="majorBidi"/>
                <w:bCs/>
                <w:sz w:val="20"/>
                <w:szCs w:val="20"/>
              </w:rPr>
              <w:t xml:space="preserve"> (all patient</w:t>
            </w:r>
            <w:r w:rsidR="002D6B06" w:rsidRPr="008E7C4C">
              <w:rPr>
                <w:rFonts w:ascii="Arial Narrow" w:eastAsiaTheme="majorEastAsia" w:hAnsi="Arial Narrow" w:cstheme="majorBidi"/>
                <w:bCs/>
                <w:sz w:val="20"/>
                <w:szCs w:val="20"/>
              </w:rPr>
              <w:t>s in the program that</w:t>
            </w:r>
            <w:r w:rsidR="00830A6F" w:rsidRPr="008E7C4C">
              <w:rPr>
                <w:rFonts w:ascii="Arial Narrow" w:eastAsiaTheme="majorEastAsia" w:hAnsi="Arial Narrow" w:cstheme="majorBidi"/>
                <w:bCs/>
                <w:sz w:val="20"/>
                <w:szCs w:val="20"/>
              </w:rPr>
              <w:t xml:space="preserve"> have received at least 2 years of treatment</w:t>
            </w:r>
            <w:r w:rsidR="002D6B06" w:rsidRPr="008E7C4C">
              <w:rPr>
                <w:rFonts w:ascii="Arial Narrow" w:eastAsiaTheme="majorEastAsia" w:hAnsi="Arial Narrow" w:cstheme="majorBidi"/>
                <w:bCs/>
                <w:sz w:val="20"/>
                <w:szCs w:val="20"/>
              </w:rPr>
              <w:t xml:space="preserve"> were estimated to receive 21.3</w:t>
            </w:r>
            <w:r w:rsidR="00830A6F" w:rsidRPr="008E7C4C">
              <w:rPr>
                <w:rFonts w:ascii="Arial Narrow" w:eastAsiaTheme="majorEastAsia" w:hAnsi="Arial Narrow" w:cstheme="majorBidi"/>
                <w:bCs/>
                <w:sz w:val="20"/>
                <w:szCs w:val="20"/>
              </w:rPr>
              <w:t xml:space="preserve"> additional months</w:t>
            </w:r>
            <w:r w:rsidR="002D6B06" w:rsidRPr="008E7C4C">
              <w:rPr>
                <w:rFonts w:ascii="Arial Narrow" w:eastAsiaTheme="majorEastAsia" w:hAnsi="Arial Narrow" w:cstheme="majorBidi"/>
                <w:bCs/>
                <w:sz w:val="20"/>
                <w:szCs w:val="20"/>
              </w:rPr>
              <w:t xml:space="preserve"> of treatment</w:t>
            </w:r>
            <w:r w:rsidR="00830A6F" w:rsidRPr="008E7C4C">
              <w:rPr>
                <w:rFonts w:ascii="Arial Narrow" w:eastAsiaTheme="majorEastAsia" w:hAnsi="Arial Narrow" w:cstheme="majorBidi"/>
                <w:bCs/>
                <w:sz w:val="20"/>
                <w:szCs w:val="20"/>
              </w:rPr>
              <w:t>)</w:t>
            </w:r>
            <w:r w:rsidR="00F45E8D" w:rsidRPr="008E7C4C">
              <w:rPr>
                <w:rFonts w:ascii="Arial Narrow" w:eastAsiaTheme="majorEastAsia" w:hAnsi="Arial Narrow" w:cstheme="majorBidi"/>
                <w:bCs/>
                <w:sz w:val="20"/>
                <w:szCs w:val="20"/>
              </w:rPr>
              <w:t xml:space="preserve">. </w:t>
            </w:r>
          </w:p>
        </w:tc>
      </w:tr>
      <w:tr w:rsidR="00CC25DE" w:rsidRPr="008E7C4C" w14:paraId="5ABA098B" w14:textId="77777777" w:rsidTr="006D7D90">
        <w:tc>
          <w:tcPr>
            <w:tcW w:w="950" w:type="pct"/>
            <w:shd w:val="clear" w:color="auto" w:fill="auto"/>
            <w:vAlign w:val="center"/>
          </w:tcPr>
          <w:p w14:paraId="327A4A81" w14:textId="3D9DA6F1"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Patients electing lenalidomide</w:t>
            </w:r>
            <w:r w:rsidR="00734C50" w:rsidRPr="008E7C4C">
              <w:rPr>
                <w:rFonts w:ascii="Arial Narrow" w:eastAsiaTheme="majorEastAsia" w:hAnsi="Arial Narrow" w:cstheme="majorBidi"/>
                <w:bCs/>
                <w:sz w:val="20"/>
                <w:szCs w:val="20"/>
              </w:rPr>
              <w:t>-based therapy</w:t>
            </w:r>
          </w:p>
        </w:tc>
        <w:tc>
          <w:tcPr>
            <w:tcW w:w="2270" w:type="pct"/>
            <w:shd w:val="clear" w:color="auto" w:fill="auto"/>
            <w:vAlign w:val="center"/>
          </w:tcPr>
          <w:p w14:paraId="18891128" w14:textId="24CF061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Year 1, </w:t>
            </w:r>
            <w:r w:rsidR="00951174" w:rsidRPr="00951174">
              <w:rPr>
                <w:rFonts w:ascii="Arial Narrow" w:eastAsiaTheme="majorEastAsia" w:hAnsi="Arial Narrow" w:cstheme="majorBidi"/>
                <w:bCs/>
                <w:color w:val="000000"/>
                <w:spacing w:val="48"/>
                <w:sz w:val="20"/>
                <w:szCs w:val="20"/>
                <w:shd w:val="solid" w:color="000000" w:fill="000000"/>
                <w:fitText w:val="315" w:id="-1502411262"/>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zCs w:val="20"/>
                <w:shd w:val="solid" w:color="000000" w:fill="000000"/>
                <w:fitText w:val="315" w:id="-1502411262"/>
                <w14:textFill>
                  <w14:solidFill>
                    <w14:srgbClr w14:val="000000">
                      <w14:alpha w14:val="100000"/>
                    </w14:srgbClr>
                  </w14:solidFill>
                </w14:textFill>
              </w:rPr>
              <w:t>|</w:t>
            </w:r>
            <w:r w:rsidRPr="008E7C4C">
              <w:rPr>
                <w:rFonts w:ascii="Arial Narrow" w:eastAsiaTheme="majorEastAsia" w:hAnsi="Arial Narrow" w:cstheme="majorBidi"/>
                <w:bCs/>
                <w:sz w:val="20"/>
                <w:szCs w:val="20"/>
              </w:rPr>
              <w:t xml:space="preserve">% to Year 6, </w:t>
            </w:r>
            <w:r w:rsidR="00951174" w:rsidRPr="00951174">
              <w:rPr>
                <w:rFonts w:ascii="Arial Narrow" w:eastAsiaTheme="majorEastAsia" w:hAnsi="Arial Narrow" w:cstheme="majorBidi"/>
                <w:bCs/>
                <w:color w:val="000000"/>
                <w:spacing w:val="53"/>
                <w:sz w:val="20"/>
                <w:szCs w:val="20"/>
                <w:shd w:val="solid" w:color="000000" w:fill="000000"/>
                <w:fitText w:val="330" w:id="-1502411261"/>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zCs w:val="20"/>
                <w:shd w:val="solid" w:color="000000" w:fill="000000"/>
                <w:fitText w:val="330" w:id="-1502411261"/>
                <w14:textFill>
                  <w14:solidFill>
                    <w14:srgbClr w14:val="000000">
                      <w14:alpha w14:val="100000"/>
                    </w14:srgbClr>
                  </w14:solidFill>
                </w14:textFill>
              </w:rPr>
              <w:t>|</w:t>
            </w:r>
            <w:r w:rsidRPr="008E7C4C">
              <w:rPr>
                <w:rFonts w:ascii="Arial Narrow" w:eastAsiaTheme="majorEastAsia" w:hAnsi="Arial Narrow" w:cstheme="majorBidi"/>
                <w:bCs/>
                <w:sz w:val="20"/>
                <w:szCs w:val="20"/>
              </w:rPr>
              <w:t>%.</w:t>
            </w:r>
          </w:p>
        </w:tc>
        <w:tc>
          <w:tcPr>
            <w:tcW w:w="1780" w:type="pct"/>
            <w:shd w:val="clear" w:color="auto" w:fill="auto"/>
            <w:vAlign w:val="center"/>
          </w:tcPr>
          <w:p w14:paraId="5D63DA49"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The resubmission estimated that the use of </w:t>
            </w:r>
            <w:proofErr w:type="spellStart"/>
            <w:r w:rsidRPr="008E7C4C">
              <w:rPr>
                <w:rFonts w:ascii="Arial Narrow" w:eastAsiaTheme="majorEastAsia" w:hAnsi="Arial Narrow" w:cstheme="majorBidi"/>
                <w:bCs/>
                <w:sz w:val="20"/>
                <w:szCs w:val="20"/>
              </w:rPr>
              <w:t>Ld</w:t>
            </w:r>
            <w:proofErr w:type="spellEnd"/>
            <w:r w:rsidRPr="008E7C4C">
              <w:rPr>
                <w:rFonts w:ascii="Arial Narrow" w:eastAsiaTheme="majorEastAsia" w:hAnsi="Arial Narrow" w:cstheme="majorBidi"/>
                <w:bCs/>
                <w:sz w:val="20"/>
                <w:szCs w:val="20"/>
              </w:rPr>
              <w:t xml:space="preserve"> will decline over time, thus the substitution of </w:t>
            </w:r>
            <w:proofErr w:type="spellStart"/>
            <w:r w:rsidRPr="008E7C4C">
              <w:rPr>
                <w:rFonts w:ascii="Arial Narrow" w:eastAsiaTheme="majorEastAsia" w:hAnsi="Arial Narrow" w:cstheme="majorBidi"/>
                <w:bCs/>
                <w:sz w:val="20"/>
                <w:szCs w:val="20"/>
              </w:rPr>
              <w:t>Ld</w:t>
            </w:r>
            <w:proofErr w:type="spellEnd"/>
            <w:r w:rsidRPr="008E7C4C">
              <w:rPr>
                <w:rFonts w:ascii="Arial Narrow" w:eastAsiaTheme="majorEastAsia" w:hAnsi="Arial Narrow" w:cstheme="majorBidi"/>
                <w:bCs/>
                <w:sz w:val="20"/>
                <w:szCs w:val="20"/>
              </w:rPr>
              <w:t xml:space="preserve"> by </w:t>
            </w:r>
            <w:proofErr w:type="spellStart"/>
            <w:r w:rsidRPr="008E7C4C">
              <w:rPr>
                <w:rFonts w:ascii="Arial Narrow" w:eastAsiaTheme="majorEastAsia" w:hAnsi="Arial Narrow" w:cstheme="majorBidi"/>
                <w:bCs/>
                <w:sz w:val="20"/>
                <w:szCs w:val="20"/>
              </w:rPr>
              <w:t>ILd</w:t>
            </w:r>
            <w:proofErr w:type="spellEnd"/>
            <w:r w:rsidRPr="008E7C4C">
              <w:rPr>
                <w:rFonts w:ascii="Arial Narrow" w:eastAsiaTheme="majorEastAsia" w:hAnsi="Arial Narrow" w:cstheme="majorBidi"/>
                <w:bCs/>
                <w:sz w:val="20"/>
                <w:szCs w:val="20"/>
              </w:rPr>
              <w:t xml:space="preserve"> will also decline.</w:t>
            </w:r>
          </w:p>
        </w:tc>
      </w:tr>
      <w:tr w:rsidR="00CC25DE" w:rsidRPr="008E7C4C" w14:paraId="2A91FDBC" w14:textId="77777777" w:rsidTr="00311D95">
        <w:trPr>
          <w:cantSplit/>
        </w:trPr>
        <w:tc>
          <w:tcPr>
            <w:tcW w:w="950" w:type="pct"/>
            <w:shd w:val="clear" w:color="auto" w:fill="auto"/>
            <w:vAlign w:val="center"/>
          </w:tcPr>
          <w:p w14:paraId="2E0D1055"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Substitution rate/ electing treatment</w:t>
            </w:r>
          </w:p>
        </w:tc>
        <w:tc>
          <w:tcPr>
            <w:tcW w:w="2270" w:type="pct"/>
            <w:shd w:val="clear" w:color="auto" w:fill="auto"/>
            <w:vAlign w:val="center"/>
          </w:tcPr>
          <w:p w14:paraId="463869DD" w14:textId="10B1203B"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Assumption of </w:t>
            </w:r>
            <w:proofErr w:type="spellStart"/>
            <w:r w:rsidR="00E21251" w:rsidRPr="008E7C4C">
              <w:rPr>
                <w:rFonts w:ascii="Arial Narrow" w:eastAsiaTheme="majorEastAsia" w:hAnsi="Arial Narrow" w:cstheme="majorBidi"/>
                <w:bCs/>
                <w:sz w:val="20"/>
                <w:szCs w:val="20"/>
              </w:rPr>
              <w:t>i</w:t>
            </w:r>
            <w:r w:rsidRPr="008E7C4C">
              <w:rPr>
                <w:rFonts w:ascii="Arial Narrow" w:eastAsiaTheme="majorEastAsia" w:hAnsi="Arial Narrow" w:cstheme="majorBidi"/>
                <w:bCs/>
                <w:sz w:val="20"/>
                <w:szCs w:val="20"/>
              </w:rPr>
              <w:t>xazomib</w:t>
            </w:r>
            <w:proofErr w:type="spellEnd"/>
            <w:r w:rsidRPr="008E7C4C">
              <w:rPr>
                <w:rFonts w:ascii="Arial Narrow" w:eastAsiaTheme="majorEastAsia" w:hAnsi="Arial Narrow" w:cstheme="majorBidi"/>
                <w:bCs/>
                <w:sz w:val="20"/>
                <w:szCs w:val="20"/>
              </w:rPr>
              <w:t xml:space="preserve"> being added to the </w:t>
            </w:r>
            <w:proofErr w:type="spellStart"/>
            <w:r w:rsidRPr="008E7C4C">
              <w:rPr>
                <w:rFonts w:ascii="Arial Narrow" w:eastAsiaTheme="majorEastAsia" w:hAnsi="Arial Narrow" w:cstheme="majorBidi"/>
                <w:bCs/>
                <w:sz w:val="20"/>
                <w:szCs w:val="20"/>
              </w:rPr>
              <w:t>Ld</w:t>
            </w:r>
            <w:proofErr w:type="spellEnd"/>
            <w:r w:rsidRPr="008E7C4C">
              <w:rPr>
                <w:rFonts w:ascii="Arial Narrow" w:eastAsiaTheme="majorEastAsia" w:hAnsi="Arial Narrow" w:cstheme="majorBidi"/>
                <w:bCs/>
                <w:sz w:val="20"/>
                <w:szCs w:val="20"/>
              </w:rPr>
              <w:t xml:space="preserve"> regime</w:t>
            </w:r>
            <w:r w:rsidR="00734C50" w:rsidRPr="008E7C4C">
              <w:rPr>
                <w:rFonts w:ascii="Arial Narrow" w:eastAsiaTheme="majorEastAsia" w:hAnsi="Arial Narrow" w:cstheme="majorBidi"/>
                <w:bCs/>
                <w:sz w:val="20"/>
                <w:szCs w:val="20"/>
              </w:rPr>
              <w:t>n</w:t>
            </w:r>
            <w:r w:rsidR="005A1623" w:rsidRPr="008E7C4C">
              <w:rPr>
                <w:rFonts w:ascii="Arial Narrow" w:eastAsiaTheme="majorEastAsia" w:hAnsi="Arial Narrow" w:cstheme="majorBidi"/>
                <w:bCs/>
                <w:sz w:val="20"/>
                <w:szCs w:val="20"/>
              </w:rPr>
              <w:t xml:space="preserve"> and </w:t>
            </w:r>
            <w:r w:rsidRPr="008E7C4C">
              <w:rPr>
                <w:rFonts w:ascii="Arial Narrow" w:eastAsiaTheme="majorEastAsia" w:hAnsi="Arial Narrow" w:cstheme="majorBidi"/>
                <w:bCs/>
                <w:sz w:val="20"/>
                <w:szCs w:val="20"/>
              </w:rPr>
              <w:t xml:space="preserve">equal duration of treatment </w:t>
            </w:r>
            <w:r w:rsidR="005A1623" w:rsidRPr="008E7C4C">
              <w:rPr>
                <w:rFonts w:ascii="Arial Narrow" w:eastAsiaTheme="majorEastAsia" w:hAnsi="Arial Narrow" w:cstheme="majorBidi"/>
                <w:bCs/>
                <w:sz w:val="20"/>
                <w:szCs w:val="20"/>
              </w:rPr>
              <w:t xml:space="preserve">for </w:t>
            </w:r>
            <w:proofErr w:type="spellStart"/>
            <w:r w:rsidRPr="008E7C4C">
              <w:rPr>
                <w:rFonts w:ascii="Arial Narrow" w:eastAsiaTheme="majorEastAsia" w:hAnsi="Arial Narrow" w:cstheme="majorBidi"/>
                <w:bCs/>
                <w:sz w:val="20"/>
                <w:szCs w:val="20"/>
              </w:rPr>
              <w:t>IL</w:t>
            </w:r>
            <w:r w:rsidR="00734C50" w:rsidRPr="008E7C4C">
              <w:rPr>
                <w:rFonts w:ascii="Arial Narrow" w:eastAsiaTheme="majorEastAsia" w:hAnsi="Arial Narrow" w:cstheme="majorBidi"/>
                <w:bCs/>
                <w:sz w:val="20"/>
                <w:szCs w:val="20"/>
              </w:rPr>
              <w:t>d</w:t>
            </w:r>
            <w:proofErr w:type="spellEnd"/>
            <w:r w:rsidRPr="008E7C4C">
              <w:rPr>
                <w:rFonts w:ascii="Arial Narrow" w:eastAsiaTheme="majorEastAsia" w:hAnsi="Arial Narrow" w:cstheme="majorBidi"/>
                <w:bCs/>
                <w:sz w:val="20"/>
                <w:szCs w:val="20"/>
              </w:rPr>
              <w:t xml:space="preserve"> and Ld.</w:t>
            </w:r>
          </w:p>
          <w:p w14:paraId="7D422D15" w14:textId="77777777" w:rsidR="00CC25DE" w:rsidRPr="008E7C4C" w:rsidRDefault="00CC25DE" w:rsidP="00C83016">
            <w:pPr>
              <w:jc w:val="left"/>
              <w:rPr>
                <w:rFonts w:ascii="Arial Narrow" w:eastAsiaTheme="majorEastAsia" w:hAnsi="Arial Narrow" w:cstheme="majorBidi"/>
                <w:bCs/>
                <w:sz w:val="20"/>
                <w:szCs w:val="20"/>
              </w:rPr>
            </w:pPr>
          </w:p>
          <w:p w14:paraId="6EC86ABF"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Assuming replacement of Cd.</w:t>
            </w:r>
          </w:p>
          <w:p w14:paraId="19B425CA" w14:textId="77777777" w:rsidR="00CC25DE" w:rsidRPr="008E7C4C" w:rsidRDefault="00CC25DE" w:rsidP="00C83016">
            <w:pPr>
              <w:jc w:val="left"/>
              <w:rPr>
                <w:rFonts w:ascii="Arial Narrow" w:eastAsiaTheme="majorEastAsia" w:hAnsi="Arial Narrow" w:cstheme="majorBidi"/>
                <w:bCs/>
                <w:sz w:val="20"/>
                <w:szCs w:val="20"/>
              </w:rPr>
            </w:pPr>
          </w:p>
          <w:p w14:paraId="2F1A685D"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Market share substitution rate:</w:t>
            </w:r>
          </w:p>
          <w:p w14:paraId="2322712F" w14:textId="77777777" w:rsidR="00CC25DE" w:rsidRPr="008E7C4C" w:rsidRDefault="00CC25DE" w:rsidP="00C83016">
            <w:pPr>
              <w:widowControl w:val="0"/>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 Carfilzomib </w:t>
            </w:r>
          </w:p>
          <w:p w14:paraId="7B5CD0CB" w14:textId="41961781" w:rsidR="00CC25DE" w:rsidRPr="008E7C4C" w:rsidRDefault="00CC25DE" w:rsidP="00C83016">
            <w:pPr>
              <w:widowControl w:val="0"/>
              <w:jc w:val="left"/>
              <w:rPr>
                <w:rFonts w:ascii="Arial Narrow" w:eastAsiaTheme="majorEastAsia" w:hAnsi="Arial Narrow" w:cstheme="majorBidi"/>
                <w:bCs/>
                <w:sz w:val="20"/>
                <w:szCs w:val="20"/>
              </w:rPr>
            </w:pPr>
            <w:proofErr w:type="spellStart"/>
            <w:r w:rsidRPr="008E7C4C">
              <w:rPr>
                <w:rFonts w:ascii="Arial Narrow" w:eastAsiaTheme="majorEastAsia" w:hAnsi="Arial Narrow" w:cstheme="majorBidi"/>
                <w:bCs/>
                <w:sz w:val="20"/>
                <w:szCs w:val="20"/>
              </w:rPr>
              <w:t>Yr</w:t>
            </w:r>
            <w:proofErr w:type="spellEnd"/>
            <w:r w:rsidRPr="008E7C4C">
              <w:rPr>
                <w:rFonts w:ascii="Arial Narrow" w:eastAsiaTheme="majorEastAsia" w:hAnsi="Arial Narrow" w:cstheme="majorBidi"/>
                <w:bCs/>
                <w:sz w:val="20"/>
                <w:szCs w:val="20"/>
              </w:rPr>
              <w:t xml:space="preserve"> 1: </w:t>
            </w:r>
            <w:r w:rsidR="00951174" w:rsidRPr="00951174">
              <w:rPr>
                <w:rFonts w:ascii="Arial Narrow" w:eastAsiaTheme="majorEastAsia" w:hAnsi="Arial Narrow" w:cstheme="majorBidi"/>
                <w:bCs/>
                <w:color w:val="000000"/>
                <w:spacing w:val="53"/>
                <w:sz w:val="20"/>
                <w:szCs w:val="20"/>
                <w:shd w:val="solid" w:color="000000" w:fill="000000"/>
                <w:fitText w:val="330" w:id="-1502411260"/>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zCs w:val="20"/>
                <w:shd w:val="solid" w:color="000000" w:fill="000000"/>
                <w:fitText w:val="330" w:id="-1502411260"/>
                <w14:textFill>
                  <w14:solidFill>
                    <w14:srgbClr w14:val="000000">
                      <w14:alpha w14:val="100000"/>
                    </w14:srgbClr>
                  </w14:solidFill>
                </w14:textFill>
              </w:rPr>
              <w:t>|</w:t>
            </w:r>
            <w:r w:rsidRPr="008E7C4C">
              <w:rPr>
                <w:rFonts w:ascii="Arial Narrow" w:eastAsiaTheme="majorEastAsia" w:hAnsi="Arial Narrow" w:cstheme="majorBidi"/>
                <w:bCs/>
                <w:sz w:val="20"/>
                <w:szCs w:val="20"/>
              </w:rPr>
              <w:t xml:space="preserve">% to </w:t>
            </w:r>
            <w:proofErr w:type="spellStart"/>
            <w:r w:rsidRPr="008E7C4C">
              <w:rPr>
                <w:rFonts w:ascii="Arial Narrow" w:eastAsiaTheme="majorEastAsia" w:hAnsi="Arial Narrow" w:cstheme="majorBidi"/>
                <w:bCs/>
                <w:sz w:val="20"/>
                <w:szCs w:val="20"/>
              </w:rPr>
              <w:t>Yr</w:t>
            </w:r>
            <w:proofErr w:type="spellEnd"/>
            <w:r w:rsidRPr="008E7C4C">
              <w:rPr>
                <w:rFonts w:ascii="Arial Narrow" w:eastAsiaTheme="majorEastAsia" w:hAnsi="Arial Narrow" w:cstheme="majorBidi"/>
                <w:bCs/>
                <w:sz w:val="20"/>
                <w:szCs w:val="20"/>
              </w:rPr>
              <w:t xml:space="preserve"> 6: </w:t>
            </w:r>
            <w:r w:rsidR="00951174" w:rsidRPr="00951174">
              <w:rPr>
                <w:rFonts w:ascii="Arial Narrow" w:eastAsiaTheme="majorEastAsia" w:hAnsi="Arial Narrow" w:cstheme="majorBidi"/>
                <w:bCs/>
                <w:color w:val="000000"/>
                <w:spacing w:val="53"/>
                <w:sz w:val="20"/>
                <w:szCs w:val="20"/>
                <w:shd w:val="solid" w:color="000000" w:fill="000000"/>
                <w:fitText w:val="330" w:id="-1502411259"/>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zCs w:val="20"/>
                <w:shd w:val="solid" w:color="000000" w:fill="000000"/>
                <w:fitText w:val="330" w:id="-1502411259"/>
                <w14:textFill>
                  <w14:solidFill>
                    <w14:srgbClr w14:val="000000">
                      <w14:alpha w14:val="100000"/>
                    </w14:srgbClr>
                  </w14:solidFill>
                </w14:textFill>
              </w:rPr>
              <w:t>|</w:t>
            </w:r>
            <w:r w:rsidRPr="008E7C4C">
              <w:rPr>
                <w:rFonts w:ascii="Arial Narrow" w:eastAsiaTheme="majorEastAsia" w:hAnsi="Arial Narrow" w:cstheme="majorBidi"/>
                <w:bCs/>
                <w:sz w:val="20"/>
                <w:szCs w:val="20"/>
              </w:rPr>
              <w:t>%</w:t>
            </w:r>
          </w:p>
          <w:p w14:paraId="32C2E8D8" w14:textId="77777777" w:rsidR="00CC25DE" w:rsidRPr="008E7C4C" w:rsidRDefault="005A1623" w:rsidP="00C83016">
            <w:pPr>
              <w:widowControl w:val="0"/>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 </w:t>
            </w:r>
            <w:r w:rsidR="00CC25DE" w:rsidRPr="008E7C4C">
              <w:rPr>
                <w:rFonts w:ascii="Arial Narrow" w:eastAsiaTheme="majorEastAsia" w:hAnsi="Arial Narrow" w:cstheme="majorBidi"/>
                <w:bCs/>
                <w:sz w:val="20"/>
                <w:szCs w:val="20"/>
              </w:rPr>
              <w:t>Lenalidomide</w:t>
            </w:r>
          </w:p>
          <w:p w14:paraId="7A6B6BED" w14:textId="5C54EAE5" w:rsidR="00CC25DE" w:rsidRPr="008E7C4C" w:rsidRDefault="00CC25DE" w:rsidP="00C83016">
            <w:pPr>
              <w:widowControl w:val="0"/>
              <w:jc w:val="left"/>
              <w:rPr>
                <w:rFonts w:ascii="Arial Narrow" w:eastAsiaTheme="majorEastAsia" w:hAnsi="Arial Narrow" w:cstheme="majorBidi"/>
                <w:bCs/>
                <w:sz w:val="20"/>
                <w:szCs w:val="20"/>
              </w:rPr>
            </w:pPr>
            <w:proofErr w:type="spellStart"/>
            <w:r w:rsidRPr="008E7C4C">
              <w:rPr>
                <w:rFonts w:ascii="Arial Narrow" w:eastAsiaTheme="majorEastAsia" w:hAnsi="Arial Narrow" w:cstheme="majorBidi"/>
                <w:bCs/>
                <w:sz w:val="20"/>
                <w:szCs w:val="20"/>
              </w:rPr>
              <w:t>Yr</w:t>
            </w:r>
            <w:proofErr w:type="spellEnd"/>
            <w:r w:rsidRPr="008E7C4C">
              <w:rPr>
                <w:rFonts w:ascii="Arial Narrow" w:eastAsiaTheme="majorEastAsia" w:hAnsi="Arial Narrow" w:cstheme="majorBidi"/>
                <w:bCs/>
                <w:sz w:val="20"/>
                <w:szCs w:val="20"/>
              </w:rPr>
              <w:t xml:space="preserve"> 1: </w:t>
            </w:r>
            <w:r w:rsidR="00311D95" w:rsidRPr="00311D95">
              <w:rPr>
                <w:rFonts w:ascii="Arial Narrow" w:eastAsiaTheme="majorEastAsia" w:hAnsi="Arial Narrow" w:cstheme="majorBidi"/>
                <w:bCs/>
                <w:color w:val="000000"/>
                <w:spacing w:val="50"/>
                <w:sz w:val="20"/>
                <w:szCs w:val="20"/>
                <w:shd w:val="solid" w:color="000000" w:fill="000000"/>
                <w:fitText w:val="321" w:id="-1498664192"/>
                <w14:textFill>
                  <w14:solidFill>
                    <w14:srgbClr w14:val="000000">
                      <w14:alpha w14:val="100000"/>
                    </w14:srgbClr>
                  </w14:solidFill>
                </w14:textFill>
              </w:rPr>
              <w:t>|||</w:t>
            </w:r>
            <w:r w:rsidR="00311D95" w:rsidRPr="00311D95">
              <w:rPr>
                <w:rFonts w:ascii="Arial Narrow" w:eastAsiaTheme="majorEastAsia" w:hAnsi="Arial Narrow" w:cstheme="majorBidi"/>
                <w:bCs/>
                <w:color w:val="000000"/>
                <w:spacing w:val="1"/>
                <w:sz w:val="20"/>
                <w:szCs w:val="20"/>
                <w:shd w:val="solid" w:color="000000" w:fill="000000"/>
                <w:fitText w:val="321" w:id="-1498664192"/>
                <w14:textFill>
                  <w14:solidFill>
                    <w14:srgbClr w14:val="000000">
                      <w14:alpha w14:val="100000"/>
                    </w14:srgbClr>
                  </w14:solidFill>
                </w14:textFill>
              </w:rPr>
              <w:t>|</w:t>
            </w:r>
            <w:r w:rsidRPr="008E7C4C">
              <w:rPr>
                <w:rFonts w:ascii="Arial Narrow" w:eastAsiaTheme="majorEastAsia" w:hAnsi="Arial Narrow" w:cstheme="majorBidi"/>
                <w:bCs/>
                <w:sz w:val="20"/>
                <w:szCs w:val="20"/>
              </w:rPr>
              <w:t xml:space="preserve">% to </w:t>
            </w:r>
            <w:proofErr w:type="spellStart"/>
            <w:r w:rsidRPr="008E7C4C">
              <w:rPr>
                <w:rFonts w:ascii="Arial Narrow" w:eastAsiaTheme="majorEastAsia" w:hAnsi="Arial Narrow" w:cstheme="majorBidi"/>
                <w:bCs/>
                <w:sz w:val="20"/>
                <w:szCs w:val="20"/>
              </w:rPr>
              <w:t>Yr</w:t>
            </w:r>
            <w:proofErr w:type="spellEnd"/>
            <w:r w:rsidRPr="008E7C4C">
              <w:rPr>
                <w:rFonts w:ascii="Arial Narrow" w:eastAsiaTheme="majorEastAsia" w:hAnsi="Arial Narrow" w:cstheme="majorBidi"/>
                <w:bCs/>
                <w:sz w:val="20"/>
                <w:szCs w:val="20"/>
              </w:rPr>
              <w:t xml:space="preserve"> 6: </w:t>
            </w:r>
            <w:r w:rsidR="00311D95" w:rsidRPr="00311D95">
              <w:rPr>
                <w:rFonts w:ascii="Arial Narrow" w:eastAsiaTheme="majorEastAsia" w:hAnsi="Arial Narrow" w:cstheme="majorBidi"/>
                <w:bCs/>
                <w:color w:val="000000"/>
                <w:spacing w:val="50"/>
                <w:sz w:val="20"/>
                <w:szCs w:val="20"/>
                <w:shd w:val="solid" w:color="000000" w:fill="000000"/>
                <w:fitText w:val="321" w:id="-1498664191"/>
                <w14:textFill>
                  <w14:solidFill>
                    <w14:srgbClr w14:val="000000">
                      <w14:alpha w14:val="100000"/>
                    </w14:srgbClr>
                  </w14:solidFill>
                </w14:textFill>
              </w:rPr>
              <w:t>|||</w:t>
            </w:r>
            <w:r w:rsidR="00311D95" w:rsidRPr="00311D95">
              <w:rPr>
                <w:rFonts w:ascii="Arial Narrow" w:eastAsiaTheme="majorEastAsia" w:hAnsi="Arial Narrow" w:cstheme="majorBidi"/>
                <w:bCs/>
                <w:color w:val="000000"/>
                <w:spacing w:val="1"/>
                <w:sz w:val="20"/>
                <w:szCs w:val="20"/>
                <w:shd w:val="solid" w:color="000000" w:fill="000000"/>
                <w:fitText w:val="321" w:id="-1498664191"/>
                <w14:textFill>
                  <w14:solidFill>
                    <w14:srgbClr w14:val="000000">
                      <w14:alpha w14:val="100000"/>
                    </w14:srgbClr>
                  </w14:solidFill>
                </w14:textFill>
              </w:rPr>
              <w:t>|</w:t>
            </w:r>
            <w:r w:rsidRPr="008E7C4C">
              <w:rPr>
                <w:rFonts w:ascii="Arial Narrow" w:eastAsiaTheme="majorEastAsia" w:hAnsi="Arial Narrow" w:cstheme="majorBidi"/>
                <w:bCs/>
                <w:sz w:val="20"/>
                <w:szCs w:val="20"/>
              </w:rPr>
              <w:t>%</w:t>
            </w:r>
          </w:p>
        </w:tc>
        <w:tc>
          <w:tcPr>
            <w:tcW w:w="1780" w:type="pct"/>
            <w:shd w:val="clear" w:color="auto" w:fill="auto"/>
            <w:vAlign w:val="center"/>
          </w:tcPr>
          <w:p w14:paraId="06184B8D" w14:textId="09DB2DC2"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The assumption </w:t>
            </w:r>
            <w:r w:rsidR="005A1623" w:rsidRPr="008E7C4C">
              <w:rPr>
                <w:rFonts w:ascii="Arial Narrow" w:eastAsiaTheme="majorEastAsia" w:hAnsi="Arial Narrow" w:cstheme="majorBidi"/>
                <w:bCs/>
                <w:sz w:val="20"/>
                <w:szCs w:val="20"/>
              </w:rPr>
              <w:t xml:space="preserve">that </w:t>
            </w:r>
            <w:r w:rsidR="00951174" w:rsidRPr="00951174">
              <w:rPr>
                <w:rFonts w:ascii="Arial Narrow" w:eastAsiaTheme="majorEastAsia" w:hAnsi="Arial Narrow" w:cstheme="majorBidi"/>
                <w:bCs/>
                <w:color w:val="000000"/>
                <w:spacing w:val="53"/>
                <w:sz w:val="20"/>
                <w:szCs w:val="20"/>
                <w:shd w:val="solid" w:color="000000" w:fill="000000"/>
                <w:fitText w:val="330" w:id="-1502411258"/>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zCs w:val="20"/>
                <w:shd w:val="solid" w:color="000000" w:fill="000000"/>
                <w:fitText w:val="330" w:id="-1502411258"/>
                <w14:textFill>
                  <w14:solidFill>
                    <w14:srgbClr w14:val="000000">
                      <w14:alpha w14:val="100000"/>
                    </w14:srgbClr>
                  </w14:solidFill>
                </w14:textFill>
              </w:rPr>
              <w:t>|</w:t>
            </w:r>
            <w:r w:rsidR="005A1623" w:rsidRPr="008E7C4C">
              <w:rPr>
                <w:rFonts w:ascii="Arial Narrow" w:eastAsiaTheme="majorEastAsia" w:hAnsi="Arial Narrow" w:cstheme="majorBidi"/>
                <w:bCs/>
                <w:sz w:val="20"/>
                <w:szCs w:val="20"/>
              </w:rPr>
              <w:t>-</w:t>
            </w:r>
            <w:r w:rsidR="00951174" w:rsidRPr="00951174">
              <w:rPr>
                <w:rFonts w:ascii="Arial Narrow" w:eastAsiaTheme="majorEastAsia" w:hAnsi="Arial Narrow" w:cstheme="majorBidi"/>
                <w:bCs/>
                <w:color w:val="000000"/>
                <w:spacing w:val="53"/>
                <w:sz w:val="20"/>
                <w:szCs w:val="20"/>
                <w:shd w:val="solid" w:color="000000" w:fill="000000"/>
                <w:fitText w:val="330" w:id="-1502411257"/>
                <w14:textFill>
                  <w14:solidFill>
                    <w14:srgbClr w14:val="000000">
                      <w14:alpha w14:val="100000"/>
                    </w14:srgbClr>
                  </w14:solidFill>
                </w14:textFill>
              </w:rPr>
              <w:t>|||</w:t>
            </w:r>
            <w:r w:rsidR="00951174" w:rsidRPr="00951174">
              <w:rPr>
                <w:rFonts w:ascii="Arial Narrow" w:eastAsiaTheme="majorEastAsia" w:hAnsi="Arial Narrow" w:cstheme="majorBidi"/>
                <w:bCs/>
                <w:color w:val="000000"/>
                <w:spacing w:val="1"/>
                <w:sz w:val="20"/>
                <w:szCs w:val="20"/>
                <w:shd w:val="solid" w:color="000000" w:fill="000000"/>
                <w:fitText w:val="330" w:id="-1502411257"/>
                <w14:textFill>
                  <w14:solidFill>
                    <w14:srgbClr w14:val="000000">
                      <w14:alpha w14:val="100000"/>
                    </w14:srgbClr>
                  </w14:solidFill>
                </w14:textFill>
              </w:rPr>
              <w:t>|</w:t>
            </w:r>
            <w:r w:rsidRPr="008E7C4C">
              <w:rPr>
                <w:rFonts w:ascii="Arial Narrow" w:eastAsiaTheme="majorEastAsia" w:hAnsi="Arial Narrow" w:cstheme="majorBidi"/>
                <w:bCs/>
                <w:sz w:val="20"/>
                <w:szCs w:val="20"/>
              </w:rPr>
              <w:t xml:space="preserve">% of carfilzomib scripts </w:t>
            </w:r>
            <w:r w:rsidR="005A1623" w:rsidRPr="008E7C4C">
              <w:rPr>
                <w:rFonts w:ascii="Arial Narrow" w:eastAsiaTheme="majorEastAsia" w:hAnsi="Arial Narrow" w:cstheme="majorBidi"/>
                <w:bCs/>
                <w:sz w:val="20"/>
                <w:szCs w:val="20"/>
              </w:rPr>
              <w:t xml:space="preserve">would be </w:t>
            </w:r>
            <w:r w:rsidRPr="008E7C4C">
              <w:rPr>
                <w:rFonts w:ascii="Arial Narrow" w:eastAsiaTheme="majorEastAsia" w:hAnsi="Arial Narrow" w:cstheme="majorBidi"/>
                <w:bCs/>
                <w:sz w:val="20"/>
                <w:szCs w:val="20"/>
              </w:rPr>
              <w:t xml:space="preserve">affected by </w:t>
            </w:r>
            <w:proofErr w:type="spellStart"/>
            <w:r w:rsidRPr="008E7C4C">
              <w:rPr>
                <w:rFonts w:ascii="Arial Narrow" w:eastAsiaTheme="majorEastAsia" w:hAnsi="Arial Narrow" w:cstheme="majorBidi"/>
                <w:bCs/>
                <w:sz w:val="20"/>
                <w:szCs w:val="20"/>
              </w:rPr>
              <w:t>ixazomib</w:t>
            </w:r>
            <w:proofErr w:type="spellEnd"/>
            <w:r w:rsidRPr="008E7C4C">
              <w:rPr>
                <w:rFonts w:ascii="Arial Narrow" w:eastAsiaTheme="majorEastAsia" w:hAnsi="Arial Narrow" w:cstheme="majorBidi"/>
                <w:bCs/>
                <w:sz w:val="20"/>
                <w:szCs w:val="20"/>
              </w:rPr>
              <w:t xml:space="preserve"> was not justified. </w:t>
            </w:r>
          </w:p>
          <w:p w14:paraId="6D171BCA" w14:textId="54912DD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The </w:t>
            </w:r>
            <w:r w:rsidR="005A1623" w:rsidRPr="008E7C4C">
              <w:rPr>
                <w:rFonts w:ascii="Arial Narrow" w:eastAsiaTheme="majorEastAsia" w:hAnsi="Arial Narrow" w:cstheme="majorBidi"/>
                <w:bCs/>
                <w:sz w:val="20"/>
                <w:szCs w:val="20"/>
              </w:rPr>
              <w:t xml:space="preserve">assumption that the number of </w:t>
            </w:r>
            <w:proofErr w:type="spellStart"/>
            <w:r w:rsidR="005A1623" w:rsidRPr="008E7C4C">
              <w:rPr>
                <w:rFonts w:ascii="Arial Narrow" w:eastAsiaTheme="majorEastAsia" w:hAnsi="Arial Narrow" w:cstheme="majorBidi"/>
                <w:bCs/>
                <w:sz w:val="20"/>
                <w:szCs w:val="20"/>
              </w:rPr>
              <w:t>ILd</w:t>
            </w:r>
            <w:proofErr w:type="spellEnd"/>
            <w:r w:rsidR="005A1623" w:rsidRPr="008E7C4C">
              <w:rPr>
                <w:rFonts w:ascii="Arial Narrow" w:eastAsiaTheme="majorEastAsia" w:hAnsi="Arial Narrow" w:cstheme="majorBidi"/>
                <w:bCs/>
                <w:sz w:val="20"/>
                <w:szCs w:val="20"/>
              </w:rPr>
              <w:t xml:space="preserve"> cycles would equal the number of </w:t>
            </w:r>
            <w:proofErr w:type="spellStart"/>
            <w:r w:rsidR="005A1623" w:rsidRPr="008E7C4C">
              <w:rPr>
                <w:rFonts w:ascii="Arial Narrow" w:eastAsiaTheme="majorEastAsia" w:hAnsi="Arial Narrow" w:cstheme="majorBidi"/>
                <w:bCs/>
                <w:sz w:val="20"/>
                <w:szCs w:val="20"/>
              </w:rPr>
              <w:t>Ld</w:t>
            </w:r>
            <w:proofErr w:type="spellEnd"/>
            <w:r w:rsidR="005A1623" w:rsidRPr="008E7C4C">
              <w:rPr>
                <w:rFonts w:ascii="Arial Narrow" w:eastAsiaTheme="majorEastAsia" w:hAnsi="Arial Narrow" w:cstheme="majorBidi"/>
                <w:bCs/>
                <w:sz w:val="20"/>
                <w:szCs w:val="20"/>
              </w:rPr>
              <w:t xml:space="preserve"> cycles wa</w:t>
            </w:r>
            <w:r w:rsidRPr="008E7C4C">
              <w:rPr>
                <w:rFonts w:ascii="Arial Narrow" w:eastAsiaTheme="majorEastAsia" w:hAnsi="Arial Narrow" w:cstheme="majorBidi"/>
                <w:bCs/>
                <w:sz w:val="20"/>
                <w:szCs w:val="20"/>
              </w:rPr>
              <w:t xml:space="preserve">s inconsistent with the difference in duration of treatment between </w:t>
            </w:r>
            <w:proofErr w:type="spellStart"/>
            <w:r w:rsidRPr="008E7C4C">
              <w:rPr>
                <w:rFonts w:ascii="Arial Narrow" w:eastAsiaTheme="majorEastAsia" w:hAnsi="Arial Narrow" w:cstheme="majorBidi"/>
                <w:bCs/>
                <w:sz w:val="20"/>
                <w:szCs w:val="20"/>
              </w:rPr>
              <w:t>ILd</w:t>
            </w:r>
            <w:proofErr w:type="spellEnd"/>
            <w:r w:rsidRPr="008E7C4C">
              <w:rPr>
                <w:rFonts w:ascii="Arial Narrow" w:eastAsiaTheme="majorEastAsia" w:hAnsi="Arial Narrow" w:cstheme="majorBidi"/>
                <w:bCs/>
                <w:sz w:val="20"/>
                <w:szCs w:val="20"/>
              </w:rPr>
              <w:t xml:space="preserve"> and </w:t>
            </w:r>
            <w:proofErr w:type="spellStart"/>
            <w:r w:rsidRPr="008E7C4C">
              <w:rPr>
                <w:rFonts w:ascii="Arial Narrow" w:eastAsiaTheme="majorEastAsia" w:hAnsi="Arial Narrow" w:cstheme="majorBidi"/>
                <w:bCs/>
                <w:sz w:val="20"/>
                <w:szCs w:val="20"/>
              </w:rPr>
              <w:t>Ld</w:t>
            </w:r>
            <w:proofErr w:type="spellEnd"/>
            <w:r w:rsidRPr="008E7C4C">
              <w:rPr>
                <w:rFonts w:ascii="Arial Narrow" w:eastAsiaTheme="majorEastAsia" w:hAnsi="Arial Narrow" w:cstheme="majorBidi"/>
                <w:bCs/>
                <w:sz w:val="20"/>
                <w:szCs w:val="20"/>
              </w:rPr>
              <w:t xml:space="preserve"> in TMM-1.</w:t>
            </w:r>
          </w:p>
        </w:tc>
      </w:tr>
      <w:tr w:rsidR="005A1623" w:rsidRPr="008E7C4C" w14:paraId="36978006" w14:textId="77777777" w:rsidTr="006D7D90">
        <w:tc>
          <w:tcPr>
            <w:tcW w:w="950" w:type="pct"/>
            <w:shd w:val="clear" w:color="auto" w:fill="auto"/>
            <w:vAlign w:val="center"/>
          </w:tcPr>
          <w:p w14:paraId="3DBFD7C2" w14:textId="52BCD5E9" w:rsidR="005A1623" w:rsidRPr="008E7C4C" w:rsidRDefault="005A1623" w:rsidP="00C83016">
            <w:pPr>
              <w:jc w:val="left"/>
              <w:rPr>
                <w:rFonts w:ascii="Arial Narrow" w:eastAsiaTheme="majorEastAsia" w:hAnsi="Arial Narrow" w:cstheme="majorBidi"/>
                <w:bCs/>
                <w:sz w:val="20"/>
                <w:szCs w:val="20"/>
              </w:rPr>
            </w:pPr>
            <w:proofErr w:type="spellStart"/>
            <w:r w:rsidRPr="008E7C4C">
              <w:rPr>
                <w:rFonts w:ascii="Arial Narrow" w:eastAsiaTheme="majorEastAsia" w:hAnsi="Arial Narrow" w:cstheme="majorBidi"/>
                <w:bCs/>
                <w:sz w:val="20"/>
                <w:szCs w:val="20"/>
              </w:rPr>
              <w:t>Ixazomib</w:t>
            </w:r>
            <w:proofErr w:type="spellEnd"/>
            <w:r w:rsidRPr="008E7C4C">
              <w:rPr>
                <w:rFonts w:ascii="Arial Narrow" w:eastAsiaTheme="majorEastAsia" w:hAnsi="Arial Narrow" w:cstheme="majorBidi"/>
                <w:bCs/>
                <w:sz w:val="20"/>
                <w:szCs w:val="20"/>
              </w:rPr>
              <w:t xml:space="preserve"> </w:t>
            </w:r>
            <w:r w:rsidR="00830A6F" w:rsidRPr="008E7C4C">
              <w:rPr>
                <w:rFonts w:ascii="Arial Narrow" w:eastAsiaTheme="majorEastAsia" w:hAnsi="Arial Narrow" w:cstheme="majorBidi"/>
                <w:bCs/>
                <w:sz w:val="20"/>
                <w:szCs w:val="20"/>
              </w:rPr>
              <w:t>price</w:t>
            </w:r>
          </w:p>
        </w:tc>
        <w:tc>
          <w:tcPr>
            <w:tcW w:w="2270" w:type="pct"/>
            <w:shd w:val="clear" w:color="auto" w:fill="auto"/>
            <w:vAlign w:val="center"/>
          </w:tcPr>
          <w:p w14:paraId="03C50BBE" w14:textId="6744D7D2" w:rsidR="005A1623" w:rsidRPr="008E7C4C" w:rsidRDefault="00A879D8" w:rsidP="00C83016">
            <w:pPr>
              <w:jc w:val="left"/>
              <w:rPr>
                <w:rFonts w:ascii="Arial Narrow" w:eastAsiaTheme="majorEastAsia" w:hAnsi="Arial Narrow" w:cstheme="majorBidi"/>
                <w:bCs/>
                <w:sz w:val="20"/>
                <w:szCs w:val="20"/>
              </w:rPr>
            </w:pPr>
            <w:r w:rsidRPr="008E7C4C">
              <w:rPr>
                <w:rFonts w:ascii="Arial Narrow" w:hAnsi="Arial Narrow" w:cs="Times New Roman"/>
                <w:sz w:val="20"/>
                <w:szCs w:val="20"/>
              </w:rPr>
              <w:t>$</w:t>
            </w:r>
            <w:r w:rsidR="00951174" w:rsidRPr="00951174">
              <w:rPr>
                <w:rFonts w:ascii="Arial Narrow" w:hAnsi="Arial Narrow" w:cs="Times New Roman"/>
                <w:color w:val="000000"/>
                <w:spacing w:val="53"/>
                <w:sz w:val="20"/>
                <w:szCs w:val="20"/>
                <w:shd w:val="solid" w:color="000000" w:fill="000000"/>
                <w:fitText w:val="330" w:id="-1502411256"/>
                <w14:textFill>
                  <w14:solidFill>
                    <w14:srgbClr w14:val="000000">
                      <w14:alpha w14:val="100000"/>
                    </w14:srgbClr>
                  </w14:solidFill>
                </w14:textFill>
              </w:rPr>
              <w:t>|||</w:t>
            </w:r>
            <w:r w:rsidR="00951174" w:rsidRPr="00951174">
              <w:rPr>
                <w:rFonts w:ascii="Arial Narrow" w:hAnsi="Arial Narrow" w:cs="Times New Roman"/>
                <w:color w:val="000000"/>
                <w:spacing w:val="1"/>
                <w:sz w:val="20"/>
                <w:szCs w:val="20"/>
                <w:shd w:val="solid" w:color="000000" w:fill="000000"/>
                <w:fitText w:val="330" w:id="-1502411256"/>
                <w14:textFill>
                  <w14:solidFill>
                    <w14:srgbClr w14:val="000000">
                      <w14:alpha w14:val="100000"/>
                    </w14:srgbClr>
                  </w14:solidFill>
                </w14:textFill>
              </w:rPr>
              <w:t>|</w:t>
            </w:r>
          </w:p>
        </w:tc>
        <w:tc>
          <w:tcPr>
            <w:tcW w:w="1780" w:type="pct"/>
            <w:shd w:val="clear" w:color="auto" w:fill="auto"/>
            <w:vAlign w:val="center"/>
          </w:tcPr>
          <w:p w14:paraId="39601878" w14:textId="77777777" w:rsidR="005A1623" w:rsidRPr="008E7C4C" w:rsidRDefault="00A879D8"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Published requested price of </w:t>
            </w:r>
            <w:proofErr w:type="spellStart"/>
            <w:r w:rsidRPr="008E7C4C">
              <w:rPr>
                <w:rFonts w:ascii="Arial Narrow" w:eastAsiaTheme="majorEastAsia" w:hAnsi="Arial Narrow" w:cstheme="majorBidi"/>
                <w:bCs/>
                <w:sz w:val="20"/>
                <w:szCs w:val="20"/>
              </w:rPr>
              <w:t>ixazomib</w:t>
            </w:r>
            <w:proofErr w:type="spellEnd"/>
          </w:p>
        </w:tc>
      </w:tr>
      <w:tr w:rsidR="005A1623" w:rsidRPr="008E7C4C" w14:paraId="1396D317" w14:textId="77777777" w:rsidTr="006D7D90">
        <w:tc>
          <w:tcPr>
            <w:tcW w:w="950" w:type="pct"/>
            <w:shd w:val="clear" w:color="auto" w:fill="auto"/>
            <w:vAlign w:val="center"/>
          </w:tcPr>
          <w:p w14:paraId="6D172425" w14:textId="74136213" w:rsidR="005A1623" w:rsidRPr="008E7C4C" w:rsidRDefault="005A1623"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Lenalidomide </w:t>
            </w:r>
            <w:r w:rsidR="00830A6F" w:rsidRPr="008E7C4C">
              <w:rPr>
                <w:rFonts w:ascii="Arial Narrow" w:eastAsiaTheme="majorEastAsia" w:hAnsi="Arial Narrow" w:cstheme="majorBidi"/>
                <w:bCs/>
                <w:sz w:val="20"/>
                <w:szCs w:val="20"/>
              </w:rPr>
              <w:t>price</w:t>
            </w:r>
          </w:p>
        </w:tc>
        <w:tc>
          <w:tcPr>
            <w:tcW w:w="2270" w:type="pct"/>
            <w:shd w:val="clear" w:color="auto" w:fill="auto"/>
            <w:vAlign w:val="center"/>
          </w:tcPr>
          <w:p w14:paraId="2BD28199" w14:textId="77777777" w:rsidR="00A879D8" w:rsidRPr="008E7C4C" w:rsidRDefault="00A879D8" w:rsidP="00C83016">
            <w:pPr>
              <w:pStyle w:val="TableText0"/>
              <w:keepNext w:val="0"/>
              <w:widowControl w:val="0"/>
              <w:rPr>
                <w:szCs w:val="20"/>
              </w:rPr>
            </w:pPr>
            <w:r w:rsidRPr="008E7C4C">
              <w:rPr>
                <w:szCs w:val="20"/>
              </w:rPr>
              <w:t xml:space="preserve">Lenalidomide: </w:t>
            </w:r>
          </w:p>
          <w:p w14:paraId="45C2A29F" w14:textId="77777777" w:rsidR="00A879D8" w:rsidRPr="008E7C4C" w:rsidRDefault="00A879D8" w:rsidP="00C83016">
            <w:pPr>
              <w:pStyle w:val="TableText0"/>
              <w:keepNext w:val="0"/>
              <w:widowControl w:val="0"/>
              <w:rPr>
                <w:szCs w:val="20"/>
              </w:rPr>
            </w:pPr>
            <w:r w:rsidRPr="008E7C4C">
              <w:rPr>
                <w:szCs w:val="20"/>
              </w:rPr>
              <w:t>5mg: 5783J, 9642L $4,495.22</w:t>
            </w:r>
          </w:p>
          <w:p w14:paraId="56E59802" w14:textId="77777777" w:rsidR="00A879D8" w:rsidRPr="008E7C4C" w:rsidRDefault="00A879D8" w:rsidP="00C83016">
            <w:pPr>
              <w:pStyle w:val="TableText0"/>
              <w:keepNext w:val="0"/>
              <w:widowControl w:val="0"/>
              <w:rPr>
                <w:szCs w:val="20"/>
              </w:rPr>
            </w:pPr>
            <w:r w:rsidRPr="008E7C4C">
              <w:rPr>
                <w:szCs w:val="20"/>
              </w:rPr>
              <w:t>10mg: 5784K, 9643M $4,704.42</w:t>
            </w:r>
          </w:p>
          <w:p w14:paraId="4105744C" w14:textId="77777777" w:rsidR="00A879D8" w:rsidRPr="008E7C4C" w:rsidRDefault="00A879D8" w:rsidP="00C83016">
            <w:pPr>
              <w:pStyle w:val="TableText0"/>
              <w:keepNext w:val="0"/>
              <w:widowControl w:val="0"/>
              <w:rPr>
                <w:szCs w:val="20"/>
              </w:rPr>
            </w:pPr>
            <w:r w:rsidRPr="008E7C4C">
              <w:rPr>
                <w:szCs w:val="20"/>
              </w:rPr>
              <w:t xml:space="preserve">15mg: 5785L, 9644N $5,486.60 </w:t>
            </w:r>
          </w:p>
          <w:p w14:paraId="28CFCE04" w14:textId="47DA8392" w:rsidR="005A1623" w:rsidRPr="008E7C4C" w:rsidRDefault="00A879D8" w:rsidP="00154D00">
            <w:pPr>
              <w:pStyle w:val="TableText0"/>
              <w:keepNext w:val="0"/>
              <w:widowControl w:val="0"/>
            </w:pPr>
            <w:r w:rsidRPr="008E7C4C">
              <w:rPr>
                <w:szCs w:val="20"/>
              </w:rPr>
              <w:t>25mg: 5786M, 9645P $5,928.74</w:t>
            </w:r>
          </w:p>
        </w:tc>
        <w:tc>
          <w:tcPr>
            <w:tcW w:w="1780" w:type="pct"/>
            <w:shd w:val="clear" w:color="auto" w:fill="auto"/>
            <w:vAlign w:val="center"/>
          </w:tcPr>
          <w:p w14:paraId="471F373C" w14:textId="77777777" w:rsidR="005A1623" w:rsidRPr="008E7C4C" w:rsidRDefault="00A879D8"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Used published DPMQ prices for lenalidomide</w:t>
            </w:r>
          </w:p>
        </w:tc>
      </w:tr>
      <w:tr w:rsidR="00CC25DE" w:rsidRPr="008E7C4C" w14:paraId="02E1FB17" w14:textId="77777777" w:rsidTr="006D7D90">
        <w:tc>
          <w:tcPr>
            <w:tcW w:w="950" w:type="pct"/>
            <w:shd w:val="clear" w:color="auto" w:fill="auto"/>
            <w:vAlign w:val="center"/>
          </w:tcPr>
          <w:p w14:paraId="1C2CC81D"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Carfilzomib cost</w:t>
            </w:r>
          </w:p>
        </w:tc>
        <w:tc>
          <w:tcPr>
            <w:tcW w:w="2270" w:type="pct"/>
            <w:shd w:val="clear" w:color="auto" w:fill="auto"/>
            <w:vAlign w:val="center"/>
          </w:tcPr>
          <w:p w14:paraId="7D05C132" w14:textId="2515DF94" w:rsidR="00A879D8" w:rsidRPr="008E7C4C" w:rsidRDefault="00A879D8"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Published DPMA: </w:t>
            </w:r>
          </w:p>
          <w:p w14:paraId="60D19200" w14:textId="77777777" w:rsidR="00CC25DE" w:rsidRPr="008E7C4C" w:rsidRDefault="00A879D8"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60mg: </w:t>
            </w:r>
            <w:r w:rsidR="00CC25DE" w:rsidRPr="008E7C4C">
              <w:rPr>
                <w:rFonts w:ascii="Arial Narrow" w:eastAsiaTheme="majorEastAsia" w:hAnsi="Arial Narrow" w:cstheme="majorBidi"/>
                <w:bCs/>
                <w:sz w:val="20"/>
                <w:szCs w:val="20"/>
              </w:rPr>
              <w:t>$1,268.94</w:t>
            </w:r>
            <w:r w:rsidRPr="008E7C4C">
              <w:rPr>
                <w:rFonts w:ascii="Arial Narrow" w:eastAsiaTheme="majorEastAsia" w:hAnsi="Arial Narrow" w:cstheme="majorBidi"/>
                <w:bCs/>
                <w:sz w:val="20"/>
                <w:szCs w:val="20"/>
              </w:rPr>
              <w:t>; 30 mg: $634.47; 10 mg: $211.</w:t>
            </w:r>
            <w:proofErr w:type="gramStart"/>
            <w:r w:rsidRPr="008E7C4C">
              <w:rPr>
                <w:rFonts w:ascii="Arial Narrow" w:eastAsiaTheme="majorEastAsia" w:hAnsi="Arial Narrow" w:cstheme="majorBidi"/>
                <w:bCs/>
                <w:sz w:val="20"/>
                <w:szCs w:val="20"/>
              </w:rPr>
              <w:t xml:space="preserve">49 </w:t>
            </w:r>
            <w:r w:rsidR="00CC25DE" w:rsidRPr="008E7C4C">
              <w:rPr>
                <w:rFonts w:ascii="Arial Narrow" w:eastAsiaTheme="majorEastAsia" w:hAnsi="Arial Narrow" w:cstheme="majorBidi"/>
                <w:bCs/>
                <w:sz w:val="20"/>
                <w:szCs w:val="20"/>
              </w:rPr>
              <w:t>.</w:t>
            </w:r>
            <w:proofErr w:type="gramEnd"/>
            <w:r w:rsidR="00CC25DE" w:rsidRPr="008E7C4C">
              <w:rPr>
                <w:rFonts w:ascii="Arial Narrow" w:eastAsiaTheme="majorEastAsia" w:hAnsi="Arial Narrow" w:cstheme="majorBidi"/>
                <w:bCs/>
                <w:sz w:val="20"/>
                <w:szCs w:val="20"/>
              </w:rPr>
              <w:t xml:space="preserve"> The resubmission assumed the same growth rate of carfilzomib scripts for twice weekly and once weekly injections, based on the PBS Statistics (PBS item reports)</w:t>
            </w:r>
          </w:p>
        </w:tc>
        <w:tc>
          <w:tcPr>
            <w:tcW w:w="1780" w:type="pct"/>
            <w:shd w:val="clear" w:color="auto" w:fill="auto"/>
            <w:vAlign w:val="center"/>
          </w:tcPr>
          <w:p w14:paraId="62DAE722" w14:textId="3FBBE60F"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The use of carfilzomib once weekly may be underestimated and </w:t>
            </w:r>
            <w:r w:rsidR="005A1623" w:rsidRPr="008E7C4C">
              <w:rPr>
                <w:rFonts w:ascii="Arial Narrow" w:eastAsiaTheme="majorEastAsia" w:hAnsi="Arial Narrow" w:cstheme="majorBidi"/>
                <w:bCs/>
                <w:sz w:val="20"/>
                <w:szCs w:val="20"/>
              </w:rPr>
              <w:t xml:space="preserve">hence, </w:t>
            </w:r>
            <w:r w:rsidRPr="008E7C4C">
              <w:rPr>
                <w:rFonts w:ascii="Arial Narrow" w:eastAsiaTheme="majorEastAsia" w:hAnsi="Arial Narrow" w:cstheme="majorBidi"/>
                <w:bCs/>
                <w:sz w:val="20"/>
                <w:szCs w:val="20"/>
              </w:rPr>
              <w:t xml:space="preserve">the use of carfilzomib twice weekly is likely overestimated by the resubmission. </w:t>
            </w:r>
            <w:r w:rsidR="005A1623" w:rsidRPr="008E7C4C">
              <w:rPr>
                <w:rFonts w:ascii="Arial Narrow" w:eastAsiaTheme="majorEastAsia" w:hAnsi="Arial Narrow" w:cstheme="majorBidi"/>
                <w:bCs/>
                <w:sz w:val="20"/>
                <w:szCs w:val="20"/>
              </w:rPr>
              <w:t>As</w:t>
            </w:r>
            <w:r w:rsidRPr="008E7C4C">
              <w:rPr>
                <w:rFonts w:ascii="Arial Narrow" w:eastAsiaTheme="majorEastAsia" w:hAnsi="Arial Narrow" w:cstheme="majorBidi"/>
                <w:bCs/>
                <w:sz w:val="20"/>
                <w:szCs w:val="20"/>
              </w:rPr>
              <w:t xml:space="preserve"> the assum</w:t>
            </w:r>
            <w:r w:rsidR="005A1623" w:rsidRPr="008E7C4C">
              <w:rPr>
                <w:rFonts w:ascii="Arial Narrow" w:eastAsiaTheme="majorEastAsia" w:hAnsi="Arial Narrow" w:cstheme="majorBidi"/>
                <w:bCs/>
                <w:sz w:val="20"/>
                <w:szCs w:val="20"/>
              </w:rPr>
              <w:t xml:space="preserve">ed substitution of </w:t>
            </w:r>
            <w:proofErr w:type="spellStart"/>
            <w:r w:rsidR="005A1623" w:rsidRPr="008E7C4C">
              <w:rPr>
                <w:rFonts w:ascii="Arial Narrow" w:eastAsiaTheme="majorEastAsia" w:hAnsi="Arial Narrow" w:cstheme="majorBidi"/>
                <w:bCs/>
                <w:sz w:val="20"/>
                <w:szCs w:val="20"/>
              </w:rPr>
              <w:t>ILd</w:t>
            </w:r>
            <w:proofErr w:type="spellEnd"/>
            <w:r w:rsidR="005A1623" w:rsidRPr="008E7C4C">
              <w:rPr>
                <w:rFonts w:ascii="Arial Narrow" w:eastAsiaTheme="majorEastAsia" w:hAnsi="Arial Narrow" w:cstheme="majorBidi"/>
                <w:bCs/>
                <w:sz w:val="20"/>
                <w:szCs w:val="20"/>
              </w:rPr>
              <w:t xml:space="preserve"> for Cd </w:t>
            </w:r>
            <w:r w:rsidRPr="008E7C4C">
              <w:rPr>
                <w:rFonts w:ascii="Arial Narrow" w:eastAsiaTheme="majorEastAsia" w:hAnsi="Arial Narrow" w:cstheme="majorBidi"/>
                <w:bCs/>
                <w:sz w:val="20"/>
                <w:szCs w:val="20"/>
              </w:rPr>
              <w:t>is low this may not have a major impact on the estimates</w:t>
            </w:r>
          </w:p>
        </w:tc>
      </w:tr>
      <w:tr w:rsidR="00CC25DE" w:rsidRPr="008E7C4C" w14:paraId="097ABF3B" w14:textId="77777777" w:rsidTr="006D7D90">
        <w:tc>
          <w:tcPr>
            <w:tcW w:w="950" w:type="pct"/>
            <w:shd w:val="clear" w:color="auto" w:fill="auto"/>
            <w:vAlign w:val="center"/>
          </w:tcPr>
          <w:p w14:paraId="326A5EDF"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MBS item</w:t>
            </w:r>
          </w:p>
        </w:tc>
        <w:tc>
          <w:tcPr>
            <w:tcW w:w="2270" w:type="pct"/>
            <w:shd w:val="clear" w:color="auto" w:fill="auto"/>
            <w:vAlign w:val="center"/>
          </w:tcPr>
          <w:p w14:paraId="35C66FB9"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$112.40 MBS item number 13950, used for infusion services for carfilzomib.</w:t>
            </w:r>
          </w:p>
        </w:tc>
        <w:tc>
          <w:tcPr>
            <w:tcW w:w="1780" w:type="pct"/>
            <w:shd w:val="clear" w:color="auto" w:fill="auto"/>
            <w:vAlign w:val="center"/>
          </w:tcPr>
          <w:p w14:paraId="18B8ED77" w14:textId="77777777" w:rsidR="00CC25DE" w:rsidRPr="008E7C4C" w:rsidRDefault="00CC25DE" w:rsidP="00C83016">
            <w:pPr>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Appropriate</w:t>
            </w:r>
          </w:p>
        </w:tc>
      </w:tr>
    </w:tbl>
    <w:p w14:paraId="4506FB79" w14:textId="77777777" w:rsidR="00CC25DE" w:rsidRPr="008E7C4C" w:rsidRDefault="00CC25DE" w:rsidP="00CC25DE">
      <w:pPr>
        <w:rPr>
          <w:rFonts w:ascii="Arial Narrow" w:hAnsi="Arial Narrow"/>
          <w:snapToGrid w:val="0"/>
          <w:sz w:val="18"/>
          <w:szCs w:val="22"/>
        </w:rPr>
      </w:pPr>
      <w:r w:rsidRPr="008E7C4C">
        <w:rPr>
          <w:rFonts w:ascii="Arial Narrow" w:hAnsi="Arial Narrow"/>
          <w:snapToGrid w:val="0"/>
          <w:sz w:val="18"/>
          <w:szCs w:val="22"/>
        </w:rPr>
        <w:t>Source: Compiled during evaluation</w:t>
      </w:r>
    </w:p>
    <w:p w14:paraId="37EA1DE9" w14:textId="7DF8313D" w:rsidR="00CC25DE" w:rsidRPr="008E7C4C" w:rsidRDefault="00111582" w:rsidP="00CC25DE">
      <w:pPr>
        <w:rPr>
          <w:rFonts w:ascii="Arial Narrow" w:hAnsi="Arial Narrow"/>
          <w:snapToGrid w:val="0"/>
          <w:color w:val="3366FF"/>
          <w:sz w:val="18"/>
          <w:szCs w:val="22"/>
        </w:rPr>
      </w:pPr>
      <w:proofErr w:type="spellStart"/>
      <w:r w:rsidRPr="008E7C4C">
        <w:rPr>
          <w:rFonts w:ascii="Arial Narrow" w:hAnsi="Arial Narrow"/>
          <w:snapToGrid w:val="0"/>
          <w:sz w:val="18"/>
          <w:szCs w:val="22"/>
        </w:rPr>
        <w:t>DBd</w:t>
      </w:r>
      <w:proofErr w:type="spellEnd"/>
      <w:r w:rsidRPr="008E7C4C">
        <w:rPr>
          <w:rFonts w:ascii="Arial Narrow" w:hAnsi="Arial Narrow"/>
          <w:snapToGrid w:val="0"/>
          <w:sz w:val="18"/>
          <w:szCs w:val="22"/>
        </w:rPr>
        <w:t xml:space="preserve"> = daratumumab</w:t>
      </w:r>
      <w:r w:rsidR="00D95A0C" w:rsidRPr="008E7C4C">
        <w:rPr>
          <w:rFonts w:ascii="Arial Narrow" w:hAnsi="Arial Narrow"/>
          <w:snapToGrid w:val="0"/>
          <w:sz w:val="18"/>
          <w:szCs w:val="22"/>
        </w:rPr>
        <w:t xml:space="preserve"> +</w:t>
      </w:r>
      <w:r w:rsidRPr="008E7C4C">
        <w:rPr>
          <w:rFonts w:ascii="Arial Narrow" w:hAnsi="Arial Narrow"/>
          <w:snapToGrid w:val="0"/>
          <w:sz w:val="18"/>
          <w:szCs w:val="22"/>
        </w:rPr>
        <w:t xml:space="preserve"> bortezomib </w:t>
      </w:r>
      <w:r w:rsidR="00D95A0C" w:rsidRPr="008E7C4C">
        <w:rPr>
          <w:rFonts w:ascii="Arial Narrow" w:hAnsi="Arial Narrow"/>
          <w:snapToGrid w:val="0"/>
          <w:sz w:val="18"/>
          <w:szCs w:val="22"/>
        </w:rPr>
        <w:t>+</w:t>
      </w:r>
      <w:r w:rsidRPr="008E7C4C">
        <w:rPr>
          <w:rFonts w:ascii="Arial Narrow" w:hAnsi="Arial Narrow"/>
          <w:snapToGrid w:val="0"/>
          <w:sz w:val="18"/>
          <w:szCs w:val="22"/>
        </w:rPr>
        <w:t xml:space="preserve"> dexamethasone;</w:t>
      </w:r>
      <w:r w:rsidR="00A879D8" w:rsidRPr="008E7C4C">
        <w:rPr>
          <w:rFonts w:ascii="Arial Narrow" w:hAnsi="Arial Narrow"/>
          <w:snapToGrid w:val="0"/>
          <w:sz w:val="18"/>
          <w:szCs w:val="22"/>
        </w:rPr>
        <w:t xml:space="preserve"> DPMA = dispensed price per maximum amount;</w:t>
      </w:r>
      <w:r w:rsidR="00C27B6E" w:rsidRPr="008E7C4C">
        <w:rPr>
          <w:rFonts w:ascii="Arial Narrow" w:hAnsi="Arial Narrow"/>
          <w:snapToGrid w:val="0"/>
          <w:sz w:val="18"/>
          <w:szCs w:val="22"/>
        </w:rPr>
        <w:t xml:space="preserve"> </w:t>
      </w:r>
      <w:r w:rsidR="00A879D8" w:rsidRPr="008E7C4C">
        <w:rPr>
          <w:rFonts w:ascii="Arial Narrow" w:hAnsi="Arial Narrow"/>
          <w:snapToGrid w:val="0"/>
          <w:sz w:val="18"/>
          <w:szCs w:val="22"/>
        </w:rPr>
        <w:t>DPMQ = dispensed price per maximum quantity</w:t>
      </w:r>
      <w:r w:rsidR="00D95A0C" w:rsidRPr="008E7C4C">
        <w:rPr>
          <w:rFonts w:ascii="Arial Narrow" w:hAnsi="Arial Narrow"/>
          <w:snapToGrid w:val="0"/>
          <w:sz w:val="18"/>
          <w:szCs w:val="22"/>
        </w:rPr>
        <w:t>;</w:t>
      </w:r>
      <w:r w:rsidR="00CC25DE" w:rsidRPr="008E7C4C">
        <w:rPr>
          <w:rFonts w:ascii="Arial Narrow" w:hAnsi="Arial Narrow"/>
          <w:snapToGrid w:val="0"/>
          <w:sz w:val="18"/>
          <w:szCs w:val="22"/>
        </w:rPr>
        <w:t xml:space="preserve"> </w:t>
      </w:r>
      <w:proofErr w:type="spellStart"/>
      <w:r w:rsidR="00CC25DE" w:rsidRPr="008E7C4C">
        <w:rPr>
          <w:rFonts w:ascii="Arial Narrow" w:hAnsi="Arial Narrow"/>
          <w:snapToGrid w:val="0"/>
          <w:sz w:val="18"/>
          <w:szCs w:val="22"/>
        </w:rPr>
        <w:t>ILd</w:t>
      </w:r>
      <w:proofErr w:type="spellEnd"/>
      <w:r w:rsidR="00CC25DE" w:rsidRPr="008E7C4C">
        <w:rPr>
          <w:rFonts w:ascii="Arial Narrow" w:hAnsi="Arial Narrow"/>
          <w:snapToGrid w:val="0"/>
          <w:sz w:val="18"/>
          <w:szCs w:val="22"/>
        </w:rPr>
        <w:t xml:space="preserve"> = </w:t>
      </w:r>
      <w:proofErr w:type="spellStart"/>
      <w:r w:rsidR="00CC25DE" w:rsidRPr="008E7C4C">
        <w:rPr>
          <w:rFonts w:ascii="Arial Narrow" w:hAnsi="Arial Narrow"/>
          <w:snapToGrid w:val="0"/>
          <w:sz w:val="18"/>
          <w:szCs w:val="22"/>
        </w:rPr>
        <w:t>ixazomib</w:t>
      </w:r>
      <w:proofErr w:type="spellEnd"/>
      <w:r w:rsidR="00D95A0C" w:rsidRPr="008E7C4C">
        <w:rPr>
          <w:rFonts w:ascii="Arial Narrow" w:hAnsi="Arial Narrow"/>
          <w:snapToGrid w:val="0"/>
          <w:sz w:val="18"/>
          <w:szCs w:val="22"/>
        </w:rPr>
        <w:t xml:space="preserve"> +</w:t>
      </w:r>
      <w:r w:rsidR="00CC25DE" w:rsidRPr="008E7C4C">
        <w:rPr>
          <w:rFonts w:ascii="Arial Narrow" w:hAnsi="Arial Narrow"/>
          <w:snapToGrid w:val="0"/>
          <w:sz w:val="18"/>
          <w:szCs w:val="22"/>
        </w:rPr>
        <w:t xml:space="preserve"> lenalidomide </w:t>
      </w:r>
      <w:r w:rsidR="00D95A0C" w:rsidRPr="008E7C4C">
        <w:rPr>
          <w:rFonts w:ascii="Arial Narrow" w:hAnsi="Arial Narrow"/>
          <w:snapToGrid w:val="0"/>
          <w:sz w:val="18"/>
          <w:szCs w:val="22"/>
        </w:rPr>
        <w:t>+</w:t>
      </w:r>
      <w:r w:rsidR="00CC25DE" w:rsidRPr="008E7C4C">
        <w:rPr>
          <w:rFonts w:ascii="Arial Narrow" w:hAnsi="Arial Narrow"/>
          <w:snapToGrid w:val="0"/>
          <w:sz w:val="18"/>
          <w:szCs w:val="22"/>
        </w:rPr>
        <w:t xml:space="preserve"> dexamethasone; </w:t>
      </w:r>
      <w:proofErr w:type="spellStart"/>
      <w:r w:rsidR="00CC25DE" w:rsidRPr="008E7C4C">
        <w:rPr>
          <w:rFonts w:ascii="Arial Narrow" w:hAnsi="Arial Narrow"/>
          <w:snapToGrid w:val="0"/>
          <w:sz w:val="18"/>
          <w:szCs w:val="22"/>
        </w:rPr>
        <w:t>Ld</w:t>
      </w:r>
      <w:proofErr w:type="spellEnd"/>
      <w:r w:rsidR="00CC25DE" w:rsidRPr="008E7C4C">
        <w:rPr>
          <w:rFonts w:ascii="Arial Narrow" w:hAnsi="Arial Narrow"/>
          <w:snapToGrid w:val="0"/>
          <w:sz w:val="18"/>
          <w:szCs w:val="22"/>
        </w:rPr>
        <w:t xml:space="preserve"> = lenalidomide </w:t>
      </w:r>
      <w:r w:rsidR="00D95A0C" w:rsidRPr="008E7C4C">
        <w:rPr>
          <w:rFonts w:ascii="Arial Narrow" w:hAnsi="Arial Narrow"/>
          <w:snapToGrid w:val="0"/>
          <w:sz w:val="18"/>
          <w:szCs w:val="22"/>
        </w:rPr>
        <w:t>+</w:t>
      </w:r>
      <w:r w:rsidR="00CC25DE" w:rsidRPr="008E7C4C">
        <w:rPr>
          <w:rFonts w:ascii="Arial Narrow" w:hAnsi="Arial Narrow"/>
          <w:snapToGrid w:val="0"/>
          <w:sz w:val="18"/>
          <w:szCs w:val="22"/>
        </w:rPr>
        <w:t xml:space="preserve"> dexamethasone; MBS = Medicare Benefits Schedule</w:t>
      </w:r>
    </w:p>
    <w:p w14:paraId="2B8A3C07" w14:textId="77777777" w:rsidR="00CC25DE" w:rsidRPr="008E7C4C" w:rsidRDefault="00CC25DE" w:rsidP="00CC25DE">
      <w:pPr>
        <w:rPr>
          <w:rFonts w:ascii="Arial Narrow" w:hAnsi="Arial Narrow"/>
          <w:snapToGrid w:val="0"/>
          <w:color w:val="3366FF"/>
          <w:sz w:val="18"/>
          <w:szCs w:val="22"/>
        </w:rPr>
      </w:pPr>
    </w:p>
    <w:p w14:paraId="712D9DD9" w14:textId="466217F6" w:rsidR="00CC25DE" w:rsidRPr="008E7C4C" w:rsidRDefault="00CC25DE" w:rsidP="00CC25DE">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 xml:space="preserve">A summary of financial implications of the proposed listing of </w:t>
      </w:r>
      <w:proofErr w:type="spellStart"/>
      <w:r w:rsidRPr="008E7C4C">
        <w:rPr>
          <w:rFonts w:asciiTheme="minorHAnsi" w:hAnsiTheme="minorHAnsi"/>
          <w:snapToGrid w:val="0"/>
          <w:color w:val="000000" w:themeColor="text1"/>
        </w:rPr>
        <w:t>ILd</w:t>
      </w:r>
      <w:proofErr w:type="spellEnd"/>
      <w:r w:rsidRPr="008E7C4C">
        <w:rPr>
          <w:rFonts w:asciiTheme="minorHAnsi" w:hAnsiTheme="minorHAnsi"/>
          <w:snapToGrid w:val="0"/>
          <w:color w:val="000000" w:themeColor="text1"/>
        </w:rPr>
        <w:t xml:space="preserve"> for the treatment of RRMM of patient</w:t>
      </w:r>
      <w:r w:rsidR="005A1623" w:rsidRPr="008E7C4C">
        <w:rPr>
          <w:rFonts w:asciiTheme="minorHAnsi" w:hAnsiTheme="minorHAnsi"/>
          <w:snapToGrid w:val="0"/>
          <w:color w:val="000000" w:themeColor="text1"/>
        </w:rPr>
        <w:t>s</w:t>
      </w:r>
      <w:r w:rsidRPr="008E7C4C">
        <w:rPr>
          <w:rFonts w:asciiTheme="minorHAnsi" w:hAnsiTheme="minorHAnsi"/>
          <w:snapToGrid w:val="0"/>
          <w:color w:val="000000" w:themeColor="text1"/>
        </w:rPr>
        <w:t xml:space="preserve"> who ha</w:t>
      </w:r>
      <w:r w:rsidR="005A1623" w:rsidRPr="008E7C4C">
        <w:rPr>
          <w:rFonts w:asciiTheme="minorHAnsi" w:hAnsiTheme="minorHAnsi"/>
          <w:snapToGrid w:val="0"/>
          <w:color w:val="000000" w:themeColor="text1"/>
        </w:rPr>
        <w:t>ve receive</w:t>
      </w:r>
      <w:r w:rsidRPr="008E7C4C">
        <w:rPr>
          <w:rFonts w:asciiTheme="minorHAnsi" w:hAnsiTheme="minorHAnsi"/>
          <w:snapToGrid w:val="0"/>
          <w:color w:val="000000" w:themeColor="text1"/>
        </w:rPr>
        <w:t xml:space="preserve">d at least 2 prior therapies is presented in Table </w:t>
      </w:r>
      <w:r w:rsidR="007E51A8" w:rsidRPr="008E7C4C">
        <w:rPr>
          <w:rFonts w:asciiTheme="minorHAnsi" w:hAnsiTheme="minorHAnsi"/>
          <w:snapToGrid w:val="0"/>
          <w:color w:val="000000" w:themeColor="text1"/>
        </w:rPr>
        <w:t>18</w:t>
      </w:r>
      <w:r w:rsidRPr="008E7C4C">
        <w:rPr>
          <w:rFonts w:asciiTheme="minorHAnsi" w:hAnsiTheme="minorHAnsi"/>
          <w:snapToGrid w:val="0"/>
          <w:color w:val="000000" w:themeColor="text1"/>
        </w:rPr>
        <w:t>.</w:t>
      </w:r>
      <w:r w:rsidR="005A1623" w:rsidRPr="008E7C4C">
        <w:rPr>
          <w:rFonts w:asciiTheme="minorHAnsi" w:hAnsiTheme="minorHAnsi"/>
          <w:snapToGrid w:val="0"/>
          <w:color w:val="000000" w:themeColor="text1"/>
        </w:rPr>
        <w:t xml:space="preserve"> </w:t>
      </w:r>
    </w:p>
    <w:p w14:paraId="5855A420" w14:textId="3E3B13A1" w:rsidR="00975178" w:rsidRPr="008E7C4C" w:rsidRDefault="00975178" w:rsidP="00B115E1">
      <w:pPr>
        <w:pStyle w:val="3-BodyText"/>
        <w:keepNext/>
        <w:rPr>
          <w:rFonts w:ascii="Calibri" w:hAnsi="Calibri"/>
          <w:snapToGrid/>
        </w:rPr>
      </w:pPr>
      <w:r w:rsidRPr="008E7C4C">
        <w:t xml:space="preserve">The resubmission estimated a </w:t>
      </w:r>
      <w:r w:rsidR="00AD03DC" w:rsidRPr="008E7C4C">
        <w:t xml:space="preserve">net </w:t>
      </w:r>
      <w:r w:rsidRPr="008E7C4C">
        <w:t xml:space="preserve">cost to the PBS/RPBS of listing </w:t>
      </w:r>
      <w:proofErr w:type="spellStart"/>
      <w:r w:rsidRPr="008E7C4C">
        <w:t>ILd</w:t>
      </w:r>
      <w:proofErr w:type="spellEnd"/>
      <w:r w:rsidRPr="008E7C4C">
        <w:t xml:space="preserve"> of $</w:t>
      </w:r>
      <w:r w:rsidR="00696753" w:rsidRPr="00462FBB">
        <w:rPr>
          <w:rFonts w:ascii="Arial" w:hAnsi="Arial"/>
          <w:color w:val="333333"/>
          <w:sz w:val="21"/>
          <w:szCs w:val="21"/>
        </w:rPr>
        <w:t>20 million to &lt; $30 </w:t>
      </w:r>
      <w:proofErr w:type="gramStart"/>
      <w:r w:rsidR="00696753" w:rsidRPr="00462FBB">
        <w:rPr>
          <w:rFonts w:ascii="Arial" w:hAnsi="Arial"/>
          <w:color w:val="333333"/>
          <w:sz w:val="21"/>
          <w:szCs w:val="21"/>
        </w:rPr>
        <w:t>million</w:t>
      </w:r>
      <w:r w:rsidR="00696753" w:rsidRPr="008E7C4C" w:rsidDel="00696753">
        <w:t xml:space="preserve"> </w:t>
      </w:r>
      <w:r w:rsidRPr="008E7C4C">
        <w:t xml:space="preserve"> in</w:t>
      </w:r>
      <w:proofErr w:type="gramEnd"/>
      <w:r w:rsidRPr="008E7C4C">
        <w:t xml:space="preserve"> Year 1, increasing to $</w:t>
      </w:r>
      <w:r w:rsidR="00696753">
        <w:t>30 million to &lt; $40 million</w:t>
      </w:r>
      <w:r w:rsidRPr="008E7C4C">
        <w:t xml:space="preserve"> in Year 6</w:t>
      </w:r>
      <w:r w:rsidR="00C36EBB" w:rsidRPr="008E7C4C">
        <w:t>, amounting to $</w:t>
      </w:r>
      <w:r w:rsidR="00412EF9">
        <w:t>100 million to &lt; $200,000 million</w:t>
      </w:r>
      <w:r w:rsidR="00C36EBB" w:rsidRPr="008E7C4C">
        <w:t xml:space="preserve"> over six years</w:t>
      </w:r>
      <w:r w:rsidR="00AD03DC" w:rsidRPr="008E7C4C">
        <w:t xml:space="preserve"> (published prices)</w:t>
      </w:r>
      <w:r w:rsidRPr="008E7C4C">
        <w:t xml:space="preserve">.  </w:t>
      </w:r>
      <w:r w:rsidR="009C7DD6" w:rsidRPr="008E7C4C">
        <w:t xml:space="preserve">Cost offsets were included for reduced use of lenalidomide and carfilzomib under current PBS item codes, for patients assumed to be treated with </w:t>
      </w:r>
      <w:proofErr w:type="spellStart"/>
      <w:r w:rsidR="009C7DD6" w:rsidRPr="008E7C4C">
        <w:t>ILd</w:t>
      </w:r>
      <w:proofErr w:type="spellEnd"/>
      <w:r w:rsidR="009C7DD6" w:rsidRPr="008E7C4C">
        <w:t>.  The resubmission did not consider the potential impact of displacement of other treatments, including Cd, to a further line in therapy.</w:t>
      </w:r>
    </w:p>
    <w:p w14:paraId="0E32B976" w14:textId="77777777" w:rsidR="00A403AE" w:rsidRPr="008E7C4C" w:rsidRDefault="00A403AE" w:rsidP="00A403AE"/>
    <w:p w14:paraId="7E0D8EB5" w14:textId="35D31F57" w:rsidR="00CC25DE" w:rsidRPr="008E7C4C" w:rsidRDefault="00CC25DE" w:rsidP="009723B4">
      <w:pPr>
        <w:keepNext/>
        <w:jc w:val="left"/>
        <w:rPr>
          <w:rFonts w:ascii="Arial Narrow" w:eastAsiaTheme="majorEastAsia" w:hAnsi="Arial Narrow" w:cstheme="majorBidi"/>
          <w:b/>
          <w:bCs/>
          <w:sz w:val="20"/>
        </w:rPr>
      </w:pPr>
      <w:r w:rsidRPr="008E7C4C">
        <w:rPr>
          <w:rFonts w:ascii="Arial Narrow" w:eastAsiaTheme="majorEastAsia" w:hAnsi="Arial Narrow" w:cstheme="majorBidi"/>
          <w:b/>
          <w:bCs/>
          <w:sz w:val="20"/>
        </w:rPr>
        <w:t xml:space="preserve">Table </w:t>
      </w:r>
      <w:r w:rsidR="007E51A8" w:rsidRPr="008E7C4C">
        <w:rPr>
          <w:rFonts w:ascii="Arial Narrow" w:eastAsiaTheme="majorEastAsia" w:hAnsi="Arial Narrow" w:cstheme="majorBidi"/>
          <w:b/>
          <w:bCs/>
          <w:sz w:val="20"/>
        </w:rPr>
        <w:t>18</w:t>
      </w:r>
      <w:r w:rsidRPr="008E7C4C">
        <w:rPr>
          <w:rFonts w:ascii="Arial Narrow" w:eastAsiaTheme="majorEastAsia" w:hAnsi="Arial Narrow" w:cstheme="majorBidi"/>
          <w:b/>
          <w:bCs/>
          <w:sz w:val="2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66"/>
        <w:gridCol w:w="1167"/>
        <w:gridCol w:w="1167"/>
        <w:gridCol w:w="1167"/>
        <w:gridCol w:w="1167"/>
        <w:gridCol w:w="1172"/>
      </w:tblGrid>
      <w:tr w:rsidR="00CC25DE" w:rsidRPr="008E7C4C" w14:paraId="762ED49F" w14:textId="77777777" w:rsidTr="006D7D90">
        <w:trPr>
          <w:tblHeader/>
        </w:trPr>
        <w:tc>
          <w:tcPr>
            <w:tcW w:w="1115" w:type="pct"/>
            <w:shd w:val="clear" w:color="auto" w:fill="auto"/>
            <w:vAlign w:val="center"/>
          </w:tcPr>
          <w:p w14:paraId="69289FC6" w14:textId="77777777" w:rsidR="00CC25DE" w:rsidRPr="008E7C4C" w:rsidRDefault="00CC25DE" w:rsidP="00CC25DE">
            <w:pPr>
              <w:keepNext/>
              <w:jc w:val="center"/>
              <w:rPr>
                <w:rFonts w:ascii="Arial Narrow" w:eastAsiaTheme="majorEastAsia" w:hAnsi="Arial Narrow" w:cs="Times New Roman"/>
                <w:b/>
                <w:sz w:val="20"/>
                <w:szCs w:val="20"/>
              </w:rPr>
            </w:pPr>
          </w:p>
        </w:tc>
        <w:tc>
          <w:tcPr>
            <w:tcW w:w="647" w:type="pct"/>
            <w:shd w:val="clear" w:color="auto" w:fill="auto"/>
            <w:vAlign w:val="center"/>
          </w:tcPr>
          <w:p w14:paraId="56867008" w14:textId="77777777" w:rsidR="00CC25DE" w:rsidRPr="008E7C4C" w:rsidRDefault="00CC25DE" w:rsidP="00CC25DE">
            <w:pPr>
              <w:keepNext/>
              <w:jc w:val="center"/>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Year 1</w:t>
            </w:r>
          </w:p>
        </w:tc>
        <w:tc>
          <w:tcPr>
            <w:tcW w:w="647" w:type="pct"/>
            <w:shd w:val="clear" w:color="auto" w:fill="auto"/>
            <w:vAlign w:val="center"/>
          </w:tcPr>
          <w:p w14:paraId="7E84BB78" w14:textId="77777777" w:rsidR="00CC25DE" w:rsidRPr="008E7C4C" w:rsidRDefault="00CC25DE" w:rsidP="00CC25DE">
            <w:pPr>
              <w:keepNext/>
              <w:jc w:val="center"/>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Year 2</w:t>
            </w:r>
          </w:p>
        </w:tc>
        <w:tc>
          <w:tcPr>
            <w:tcW w:w="647" w:type="pct"/>
            <w:shd w:val="clear" w:color="auto" w:fill="auto"/>
            <w:vAlign w:val="center"/>
          </w:tcPr>
          <w:p w14:paraId="4518DF42" w14:textId="77777777" w:rsidR="00CC25DE" w:rsidRPr="008E7C4C" w:rsidRDefault="00CC25DE" w:rsidP="00CC25DE">
            <w:pPr>
              <w:keepNext/>
              <w:jc w:val="center"/>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Year 3</w:t>
            </w:r>
          </w:p>
        </w:tc>
        <w:tc>
          <w:tcPr>
            <w:tcW w:w="647" w:type="pct"/>
            <w:shd w:val="clear" w:color="auto" w:fill="auto"/>
            <w:vAlign w:val="center"/>
          </w:tcPr>
          <w:p w14:paraId="6639B9C5" w14:textId="77777777" w:rsidR="00CC25DE" w:rsidRPr="008E7C4C" w:rsidRDefault="00CC25DE" w:rsidP="00CC25DE">
            <w:pPr>
              <w:keepNext/>
              <w:jc w:val="center"/>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Year 4</w:t>
            </w:r>
          </w:p>
        </w:tc>
        <w:tc>
          <w:tcPr>
            <w:tcW w:w="647" w:type="pct"/>
            <w:shd w:val="clear" w:color="auto" w:fill="auto"/>
            <w:vAlign w:val="center"/>
          </w:tcPr>
          <w:p w14:paraId="4F98AFC1" w14:textId="77777777" w:rsidR="00CC25DE" w:rsidRPr="008E7C4C" w:rsidRDefault="00CC25DE" w:rsidP="00CC25DE">
            <w:pPr>
              <w:keepNext/>
              <w:jc w:val="center"/>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Year 5</w:t>
            </w:r>
          </w:p>
        </w:tc>
        <w:tc>
          <w:tcPr>
            <w:tcW w:w="650" w:type="pct"/>
          </w:tcPr>
          <w:p w14:paraId="2F9B5C40" w14:textId="77777777" w:rsidR="00CC25DE" w:rsidRPr="008E7C4C" w:rsidRDefault="00CC25DE" w:rsidP="00CC25DE">
            <w:pPr>
              <w:keepNext/>
              <w:jc w:val="center"/>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Year 6</w:t>
            </w:r>
          </w:p>
        </w:tc>
      </w:tr>
      <w:tr w:rsidR="00CC25DE" w:rsidRPr="008E7C4C" w14:paraId="73EE615C" w14:textId="77777777" w:rsidTr="006D7D90">
        <w:tc>
          <w:tcPr>
            <w:tcW w:w="5000" w:type="pct"/>
            <w:gridSpan w:val="7"/>
            <w:shd w:val="clear" w:color="auto" w:fill="auto"/>
            <w:vAlign w:val="center"/>
          </w:tcPr>
          <w:p w14:paraId="7D9FBBA3" w14:textId="77777777" w:rsidR="00CC25DE" w:rsidRPr="008E7C4C" w:rsidRDefault="00CC25DE" w:rsidP="00CC25DE">
            <w:pPr>
              <w:keepNext/>
              <w:jc w:val="left"/>
              <w:rPr>
                <w:rFonts w:ascii="Arial Narrow" w:eastAsiaTheme="majorEastAsia" w:hAnsi="Arial Narrow" w:cs="Times New Roman"/>
                <w:b/>
                <w:bCs/>
                <w:color w:val="000000"/>
                <w:sz w:val="20"/>
                <w:szCs w:val="20"/>
              </w:rPr>
            </w:pPr>
            <w:r w:rsidRPr="008E7C4C">
              <w:rPr>
                <w:rFonts w:ascii="Arial Narrow" w:eastAsiaTheme="majorEastAsia" w:hAnsi="Arial Narrow" w:cs="Times New Roman"/>
                <w:b/>
                <w:bCs/>
                <w:color w:val="000000"/>
                <w:sz w:val="20"/>
                <w:szCs w:val="20"/>
              </w:rPr>
              <w:t>Estimated extent of use</w:t>
            </w:r>
          </w:p>
        </w:tc>
      </w:tr>
      <w:tr w:rsidR="00CC25DE" w:rsidRPr="008E7C4C" w14:paraId="193AB766" w14:textId="77777777" w:rsidTr="006D7D90">
        <w:tc>
          <w:tcPr>
            <w:tcW w:w="1115" w:type="pct"/>
            <w:shd w:val="clear" w:color="auto" w:fill="auto"/>
            <w:vAlign w:val="center"/>
          </w:tcPr>
          <w:p w14:paraId="1B19FE16" w14:textId="77777777" w:rsidR="00CC25DE" w:rsidRPr="008E7C4C" w:rsidRDefault="00CC25DE" w:rsidP="00CC25DE">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Number of patients treated</w:t>
            </w:r>
          </w:p>
        </w:tc>
        <w:tc>
          <w:tcPr>
            <w:tcW w:w="647" w:type="pct"/>
            <w:shd w:val="clear" w:color="auto" w:fill="auto"/>
            <w:vAlign w:val="center"/>
          </w:tcPr>
          <w:p w14:paraId="4F35489D" w14:textId="58918780" w:rsidR="00CC25DE" w:rsidRPr="00997FB1" w:rsidRDefault="00951174" w:rsidP="00CC25DE">
            <w:pPr>
              <w:keepNext/>
              <w:jc w:val="center"/>
              <w:rPr>
                <w:rFonts w:ascii="Arial Narrow" w:eastAsiaTheme="majorEastAsia" w:hAnsi="Arial Narrow" w:cstheme="majorBidi"/>
                <w:bCs/>
                <w:color w:val="000000"/>
                <w:sz w:val="20"/>
                <w:szCs w:val="20"/>
                <w:vertAlign w:val="superscript"/>
              </w:rPr>
            </w:pPr>
            <w:r w:rsidRPr="00951174">
              <w:rPr>
                <w:rFonts w:ascii="Arial Narrow" w:hAnsi="Arial Narrow" w:cstheme="majorBidi"/>
                <w:bCs/>
                <w:color w:val="000000"/>
                <w:w w:val="15"/>
                <w:sz w:val="20"/>
                <w:szCs w:val="20"/>
                <w:shd w:val="solid" w:color="000000" w:fill="000000"/>
                <w:fitText w:val="30" w:id="-1502411255"/>
                <w14:textFill>
                  <w14:solidFill>
                    <w14:srgbClr w14:val="000000">
                      <w14:alpha w14:val="100000"/>
                    </w14:srgbClr>
                  </w14:solidFill>
                </w14:textFill>
              </w:rPr>
              <w:t xml:space="preserve">　|</w:t>
            </w:r>
            <w:r w:rsidRPr="00951174">
              <w:rPr>
                <w:rFonts w:ascii="Arial Narrow" w:hAnsi="Arial Narrow" w:cstheme="majorBidi"/>
                <w:bCs/>
                <w:color w:val="000000"/>
                <w:spacing w:val="-35"/>
                <w:w w:val="15"/>
                <w:sz w:val="20"/>
                <w:szCs w:val="20"/>
                <w:shd w:val="solid" w:color="000000" w:fill="000000"/>
                <w:fitText w:val="30" w:id="-1502411255"/>
                <w14:textFill>
                  <w14:solidFill>
                    <w14:srgbClr w14:val="000000">
                      <w14:alpha w14:val="100000"/>
                    </w14:srgbClr>
                  </w14:solidFill>
                </w14:textFill>
              </w:rPr>
              <w:t xml:space="preserve">　</w:t>
            </w:r>
            <w:r w:rsidR="00997FB1">
              <w:rPr>
                <w:rFonts w:ascii="Arial Narrow" w:hAnsi="Arial Narrow" w:cstheme="majorBidi"/>
                <w:bCs/>
                <w:sz w:val="20"/>
                <w:szCs w:val="20"/>
                <w:vertAlign w:val="superscript"/>
              </w:rPr>
              <w:t>1</w:t>
            </w:r>
          </w:p>
        </w:tc>
        <w:tc>
          <w:tcPr>
            <w:tcW w:w="647" w:type="pct"/>
            <w:shd w:val="clear" w:color="auto" w:fill="auto"/>
            <w:vAlign w:val="center"/>
          </w:tcPr>
          <w:p w14:paraId="4A2F98D5" w14:textId="2F32C657" w:rsidR="00CC25DE" w:rsidRPr="008E7C4C" w:rsidRDefault="00951174" w:rsidP="00CC25DE">
            <w:pPr>
              <w:keepNext/>
              <w:jc w:val="center"/>
              <w:rPr>
                <w:rFonts w:ascii="Arial Narrow" w:eastAsiaTheme="majorEastAsia" w:hAnsi="Arial Narrow" w:cstheme="majorBidi"/>
                <w:bCs/>
                <w:color w:val="000000"/>
                <w:sz w:val="20"/>
                <w:szCs w:val="20"/>
              </w:rPr>
            </w:pPr>
            <w:r w:rsidRPr="00951174">
              <w:rPr>
                <w:rFonts w:ascii="Arial Narrow" w:hAnsi="Arial Narrow" w:cstheme="majorBidi"/>
                <w:bCs/>
                <w:color w:val="000000"/>
                <w:w w:val="15"/>
                <w:sz w:val="20"/>
                <w:szCs w:val="20"/>
                <w:shd w:val="solid" w:color="000000" w:fill="000000"/>
                <w:fitText w:val="30" w:id="-1502411254"/>
                <w14:textFill>
                  <w14:solidFill>
                    <w14:srgbClr w14:val="000000">
                      <w14:alpha w14:val="100000"/>
                    </w14:srgbClr>
                  </w14:solidFill>
                </w14:textFill>
              </w:rPr>
              <w:t xml:space="preserve">　|</w:t>
            </w:r>
            <w:r w:rsidRPr="00951174">
              <w:rPr>
                <w:rFonts w:ascii="Arial Narrow" w:hAnsi="Arial Narrow" w:cstheme="majorBidi"/>
                <w:bCs/>
                <w:color w:val="000000"/>
                <w:spacing w:val="-35"/>
                <w:w w:val="15"/>
                <w:sz w:val="20"/>
                <w:szCs w:val="20"/>
                <w:shd w:val="solid" w:color="000000" w:fill="000000"/>
                <w:fitText w:val="30" w:id="-1502411254"/>
                <w14:textFill>
                  <w14:solidFill>
                    <w14:srgbClr w14:val="000000">
                      <w14:alpha w14:val="100000"/>
                    </w14:srgbClr>
                  </w14:solidFill>
                </w14:textFill>
              </w:rPr>
              <w:t xml:space="preserve">　</w:t>
            </w:r>
            <w:r w:rsidR="00997FB1">
              <w:rPr>
                <w:rFonts w:ascii="Arial Narrow" w:hAnsi="Arial Narrow" w:cstheme="majorBidi"/>
                <w:bCs/>
                <w:sz w:val="20"/>
                <w:szCs w:val="20"/>
                <w:vertAlign w:val="superscript"/>
              </w:rPr>
              <w:t>1</w:t>
            </w:r>
          </w:p>
        </w:tc>
        <w:tc>
          <w:tcPr>
            <w:tcW w:w="647" w:type="pct"/>
            <w:shd w:val="clear" w:color="auto" w:fill="auto"/>
            <w:vAlign w:val="center"/>
          </w:tcPr>
          <w:p w14:paraId="1F070F81" w14:textId="2F33DB9A" w:rsidR="00CC25DE" w:rsidRPr="008E7C4C" w:rsidRDefault="00951174" w:rsidP="00CC25DE">
            <w:pPr>
              <w:keepNext/>
              <w:jc w:val="center"/>
              <w:rPr>
                <w:rFonts w:ascii="Arial Narrow" w:eastAsiaTheme="majorEastAsia" w:hAnsi="Arial Narrow" w:cstheme="majorBidi"/>
                <w:bCs/>
                <w:color w:val="000000"/>
                <w:sz w:val="20"/>
                <w:szCs w:val="20"/>
              </w:rPr>
            </w:pPr>
            <w:r w:rsidRPr="00951174">
              <w:rPr>
                <w:rFonts w:ascii="Arial Narrow" w:hAnsi="Arial Narrow" w:cstheme="majorBidi"/>
                <w:bCs/>
                <w:color w:val="000000"/>
                <w:w w:val="15"/>
                <w:sz w:val="20"/>
                <w:szCs w:val="20"/>
                <w:shd w:val="solid" w:color="000000" w:fill="000000"/>
                <w:fitText w:val="30" w:id="-1502411253"/>
                <w14:textFill>
                  <w14:solidFill>
                    <w14:srgbClr w14:val="000000">
                      <w14:alpha w14:val="100000"/>
                    </w14:srgbClr>
                  </w14:solidFill>
                </w14:textFill>
              </w:rPr>
              <w:t xml:space="preserve">　|</w:t>
            </w:r>
            <w:r w:rsidRPr="00951174">
              <w:rPr>
                <w:rFonts w:ascii="Arial Narrow" w:hAnsi="Arial Narrow" w:cstheme="majorBidi"/>
                <w:bCs/>
                <w:color w:val="000000"/>
                <w:spacing w:val="-35"/>
                <w:w w:val="15"/>
                <w:sz w:val="20"/>
                <w:szCs w:val="20"/>
                <w:shd w:val="solid" w:color="000000" w:fill="000000"/>
                <w:fitText w:val="30" w:id="-1502411253"/>
                <w14:textFill>
                  <w14:solidFill>
                    <w14:srgbClr w14:val="000000">
                      <w14:alpha w14:val="100000"/>
                    </w14:srgbClr>
                  </w14:solidFill>
                </w14:textFill>
              </w:rPr>
              <w:t xml:space="preserve">　</w:t>
            </w:r>
            <w:r w:rsidR="00997FB1">
              <w:rPr>
                <w:rFonts w:ascii="Arial Narrow" w:hAnsi="Arial Narrow" w:cstheme="majorBidi"/>
                <w:bCs/>
                <w:sz w:val="20"/>
                <w:szCs w:val="20"/>
                <w:vertAlign w:val="superscript"/>
              </w:rPr>
              <w:t>1</w:t>
            </w:r>
          </w:p>
        </w:tc>
        <w:tc>
          <w:tcPr>
            <w:tcW w:w="647" w:type="pct"/>
            <w:shd w:val="clear" w:color="auto" w:fill="auto"/>
            <w:vAlign w:val="center"/>
          </w:tcPr>
          <w:p w14:paraId="6CEA7F75" w14:textId="5A0BCF7D" w:rsidR="00CC25DE" w:rsidRPr="008E7C4C" w:rsidRDefault="00951174" w:rsidP="00CC25DE">
            <w:pPr>
              <w:keepNext/>
              <w:jc w:val="center"/>
              <w:rPr>
                <w:rFonts w:ascii="Arial Narrow" w:eastAsiaTheme="majorEastAsia" w:hAnsi="Arial Narrow" w:cstheme="majorBidi"/>
                <w:bCs/>
                <w:color w:val="000000"/>
                <w:sz w:val="20"/>
                <w:szCs w:val="20"/>
              </w:rPr>
            </w:pPr>
            <w:r w:rsidRPr="00951174">
              <w:rPr>
                <w:rFonts w:ascii="Arial Narrow" w:hAnsi="Arial Narrow" w:cstheme="majorBidi"/>
                <w:bCs/>
                <w:color w:val="000000"/>
                <w:w w:val="15"/>
                <w:sz w:val="20"/>
                <w:szCs w:val="20"/>
                <w:shd w:val="solid" w:color="000000" w:fill="000000"/>
                <w:fitText w:val="30" w:id="-1502411252"/>
                <w14:textFill>
                  <w14:solidFill>
                    <w14:srgbClr w14:val="000000">
                      <w14:alpha w14:val="100000"/>
                    </w14:srgbClr>
                  </w14:solidFill>
                </w14:textFill>
              </w:rPr>
              <w:t xml:space="preserve">　|</w:t>
            </w:r>
            <w:r w:rsidRPr="00951174">
              <w:rPr>
                <w:rFonts w:ascii="Arial Narrow" w:hAnsi="Arial Narrow" w:cstheme="majorBidi"/>
                <w:bCs/>
                <w:color w:val="000000"/>
                <w:spacing w:val="-35"/>
                <w:w w:val="15"/>
                <w:sz w:val="20"/>
                <w:szCs w:val="20"/>
                <w:shd w:val="solid" w:color="000000" w:fill="000000"/>
                <w:fitText w:val="30" w:id="-1502411252"/>
                <w14:textFill>
                  <w14:solidFill>
                    <w14:srgbClr w14:val="000000">
                      <w14:alpha w14:val="100000"/>
                    </w14:srgbClr>
                  </w14:solidFill>
                </w14:textFill>
              </w:rPr>
              <w:t xml:space="preserve">　</w:t>
            </w:r>
            <w:r w:rsidR="00997FB1">
              <w:rPr>
                <w:rFonts w:ascii="Arial Narrow" w:hAnsi="Arial Narrow" w:cstheme="majorBidi"/>
                <w:bCs/>
                <w:sz w:val="20"/>
                <w:szCs w:val="20"/>
                <w:vertAlign w:val="superscript"/>
              </w:rPr>
              <w:t>1</w:t>
            </w:r>
          </w:p>
        </w:tc>
        <w:tc>
          <w:tcPr>
            <w:tcW w:w="647" w:type="pct"/>
            <w:shd w:val="clear" w:color="auto" w:fill="auto"/>
            <w:vAlign w:val="center"/>
          </w:tcPr>
          <w:p w14:paraId="7B28A329" w14:textId="52B58E09" w:rsidR="00CC25DE" w:rsidRPr="008E7C4C" w:rsidRDefault="00951174" w:rsidP="00CC25DE">
            <w:pPr>
              <w:keepNext/>
              <w:jc w:val="center"/>
              <w:rPr>
                <w:rFonts w:ascii="Arial Narrow" w:eastAsiaTheme="majorEastAsia" w:hAnsi="Arial Narrow" w:cstheme="majorBidi"/>
                <w:bCs/>
                <w:color w:val="000000"/>
                <w:sz w:val="20"/>
                <w:szCs w:val="20"/>
              </w:rPr>
            </w:pPr>
            <w:r w:rsidRPr="00951174">
              <w:rPr>
                <w:rFonts w:ascii="Arial Narrow" w:hAnsi="Arial Narrow" w:cstheme="majorBidi"/>
                <w:bCs/>
                <w:color w:val="000000"/>
                <w:w w:val="15"/>
                <w:sz w:val="20"/>
                <w:szCs w:val="20"/>
                <w:shd w:val="solid" w:color="000000" w:fill="000000"/>
                <w:fitText w:val="30" w:id="-1502411251"/>
                <w14:textFill>
                  <w14:solidFill>
                    <w14:srgbClr w14:val="000000">
                      <w14:alpha w14:val="100000"/>
                    </w14:srgbClr>
                  </w14:solidFill>
                </w14:textFill>
              </w:rPr>
              <w:t xml:space="preserve">　|</w:t>
            </w:r>
            <w:r w:rsidRPr="00951174">
              <w:rPr>
                <w:rFonts w:ascii="Arial Narrow" w:hAnsi="Arial Narrow" w:cstheme="majorBidi"/>
                <w:bCs/>
                <w:color w:val="000000"/>
                <w:spacing w:val="-35"/>
                <w:w w:val="15"/>
                <w:sz w:val="20"/>
                <w:szCs w:val="20"/>
                <w:shd w:val="solid" w:color="000000" w:fill="000000"/>
                <w:fitText w:val="30" w:id="-1502411251"/>
                <w14:textFill>
                  <w14:solidFill>
                    <w14:srgbClr w14:val="000000">
                      <w14:alpha w14:val="100000"/>
                    </w14:srgbClr>
                  </w14:solidFill>
                </w14:textFill>
              </w:rPr>
              <w:t xml:space="preserve">　</w:t>
            </w:r>
            <w:r w:rsidR="00997FB1">
              <w:rPr>
                <w:rFonts w:ascii="Arial Narrow" w:hAnsi="Arial Narrow" w:cstheme="majorBidi"/>
                <w:bCs/>
                <w:sz w:val="20"/>
                <w:szCs w:val="20"/>
                <w:vertAlign w:val="superscript"/>
              </w:rPr>
              <w:t>1</w:t>
            </w:r>
          </w:p>
        </w:tc>
        <w:tc>
          <w:tcPr>
            <w:tcW w:w="650" w:type="pct"/>
            <w:vAlign w:val="center"/>
          </w:tcPr>
          <w:p w14:paraId="61085F3E" w14:textId="0D38E70B" w:rsidR="00CC25DE" w:rsidRPr="008E7C4C" w:rsidRDefault="00951174" w:rsidP="00CC25DE">
            <w:pPr>
              <w:keepNext/>
              <w:jc w:val="center"/>
              <w:rPr>
                <w:rFonts w:ascii="Arial Narrow" w:eastAsiaTheme="majorEastAsia" w:hAnsi="Arial Narrow" w:cstheme="majorBidi"/>
                <w:bCs/>
                <w:color w:val="000000"/>
                <w:sz w:val="20"/>
                <w:szCs w:val="20"/>
              </w:rPr>
            </w:pPr>
            <w:r w:rsidRPr="002D249B">
              <w:rPr>
                <w:rFonts w:ascii="Arial Narrow" w:hAnsi="Arial Narrow" w:cstheme="majorBidi"/>
                <w:bCs/>
                <w:color w:val="000000"/>
                <w:w w:val="15"/>
                <w:sz w:val="20"/>
                <w:szCs w:val="20"/>
                <w:shd w:val="solid" w:color="000000" w:fill="000000"/>
                <w:fitText w:val="15" w:id="-1502411250"/>
                <w14:textFill>
                  <w14:solidFill>
                    <w14:srgbClr w14:val="000000">
                      <w14:alpha w14:val="100000"/>
                    </w14:srgbClr>
                  </w14:solidFill>
                </w14:textFill>
              </w:rPr>
              <w:t xml:space="preserve">　|</w:t>
            </w:r>
            <w:r w:rsidRPr="002D249B">
              <w:rPr>
                <w:rFonts w:ascii="Arial Narrow" w:hAnsi="Arial Narrow" w:cstheme="majorBidi"/>
                <w:bCs/>
                <w:color w:val="000000"/>
                <w:spacing w:val="-50"/>
                <w:w w:val="15"/>
                <w:sz w:val="20"/>
                <w:szCs w:val="20"/>
                <w:shd w:val="solid" w:color="000000" w:fill="000000"/>
                <w:fitText w:val="15" w:id="-1502411250"/>
                <w14:textFill>
                  <w14:solidFill>
                    <w14:srgbClr w14:val="000000">
                      <w14:alpha w14:val="100000"/>
                    </w14:srgbClr>
                  </w14:solidFill>
                </w14:textFill>
              </w:rPr>
              <w:t xml:space="preserve">　</w:t>
            </w:r>
            <w:r w:rsidR="00997FB1">
              <w:rPr>
                <w:rFonts w:ascii="Arial Narrow" w:hAnsi="Arial Narrow" w:cstheme="majorBidi"/>
                <w:bCs/>
                <w:sz w:val="20"/>
                <w:szCs w:val="20"/>
                <w:vertAlign w:val="superscript"/>
              </w:rPr>
              <w:t>1</w:t>
            </w:r>
          </w:p>
        </w:tc>
      </w:tr>
      <w:tr w:rsidR="00CC25DE" w:rsidRPr="008E7C4C" w14:paraId="6187D98D" w14:textId="77777777" w:rsidTr="006D7D90">
        <w:tc>
          <w:tcPr>
            <w:tcW w:w="1115" w:type="pct"/>
            <w:shd w:val="clear" w:color="auto" w:fill="auto"/>
            <w:vAlign w:val="center"/>
          </w:tcPr>
          <w:p w14:paraId="7C9A90C7" w14:textId="77777777" w:rsidR="00CC25DE" w:rsidRPr="008E7C4C" w:rsidRDefault="00CC25DE" w:rsidP="00CC25DE">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Number of </w:t>
            </w:r>
            <w:proofErr w:type="spellStart"/>
            <w:r w:rsidR="00A879D8" w:rsidRPr="008E7C4C">
              <w:rPr>
                <w:rFonts w:ascii="Arial Narrow" w:eastAsiaTheme="majorEastAsia" w:hAnsi="Arial Narrow" w:cstheme="majorBidi"/>
                <w:bCs/>
                <w:sz w:val="20"/>
                <w:szCs w:val="20"/>
              </w:rPr>
              <w:t>ixazomib</w:t>
            </w:r>
            <w:proofErr w:type="spellEnd"/>
            <w:r w:rsidR="00A879D8" w:rsidRPr="008E7C4C">
              <w:rPr>
                <w:rFonts w:ascii="Arial Narrow" w:eastAsiaTheme="majorEastAsia" w:hAnsi="Arial Narrow" w:cstheme="majorBidi"/>
                <w:bCs/>
                <w:sz w:val="20"/>
                <w:szCs w:val="20"/>
              </w:rPr>
              <w:t xml:space="preserve"> </w:t>
            </w:r>
            <w:r w:rsidRPr="008E7C4C">
              <w:rPr>
                <w:rFonts w:ascii="Arial Narrow" w:eastAsiaTheme="majorEastAsia" w:hAnsi="Arial Narrow" w:cstheme="majorBidi"/>
                <w:bCs/>
                <w:sz w:val="20"/>
                <w:szCs w:val="20"/>
              </w:rPr>
              <w:t xml:space="preserve">scripts </w:t>
            </w:r>
            <w:proofErr w:type="spellStart"/>
            <w:r w:rsidRPr="008E7C4C">
              <w:rPr>
                <w:rFonts w:ascii="Arial Narrow" w:eastAsiaTheme="majorEastAsia" w:hAnsi="Arial Narrow" w:cstheme="majorBidi"/>
                <w:bCs/>
                <w:sz w:val="20"/>
                <w:szCs w:val="20"/>
              </w:rPr>
              <w:t>dispensed</w:t>
            </w:r>
            <w:r w:rsidRPr="008E7C4C">
              <w:rPr>
                <w:rFonts w:ascii="Arial Narrow" w:eastAsiaTheme="majorEastAsia" w:hAnsi="Arial Narrow" w:cstheme="majorBidi"/>
                <w:bCs/>
                <w:sz w:val="20"/>
                <w:szCs w:val="20"/>
                <w:vertAlign w:val="superscript"/>
              </w:rPr>
              <w:t>a</w:t>
            </w:r>
            <w:proofErr w:type="spellEnd"/>
          </w:p>
        </w:tc>
        <w:tc>
          <w:tcPr>
            <w:tcW w:w="647" w:type="pct"/>
            <w:shd w:val="clear" w:color="auto" w:fill="auto"/>
            <w:vAlign w:val="center"/>
          </w:tcPr>
          <w:p w14:paraId="50B1227F" w14:textId="0C01EB1A" w:rsidR="00CC25DE" w:rsidRPr="00997FB1" w:rsidRDefault="00951174" w:rsidP="00CC25DE">
            <w:pPr>
              <w:keepNext/>
              <w:jc w:val="center"/>
              <w:rPr>
                <w:rFonts w:ascii="Arial Narrow" w:eastAsiaTheme="majorEastAsia" w:hAnsi="Arial Narrow" w:cstheme="majorBidi"/>
                <w:bCs/>
                <w:color w:val="000000"/>
                <w:sz w:val="20"/>
                <w:szCs w:val="20"/>
                <w:vertAlign w:val="superscript"/>
              </w:rPr>
            </w:pPr>
            <w:r w:rsidRPr="00951174">
              <w:rPr>
                <w:rFonts w:ascii="Arial Narrow" w:eastAsiaTheme="majorEastAsia" w:hAnsi="Arial Narrow" w:cstheme="majorBidi" w:hint="eastAsia"/>
                <w:bCs/>
                <w:color w:val="000000" w:themeColor="text1"/>
                <w:w w:val="15"/>
                <w:sz w:val="20"/>
                <w:szCs w:val="20"/>
                <w:shd w:val="solid" w:color="000000" w:fill="000000"/>
                <w:fitText w:val="30" w:id="-1502411249"/>
                <w14:textFill>
                  <w14:solidFill>
                    <w14:schemeClr w14:val="tx1">
                      <w14:alpha w14:val="100000"/>
                    </w14:schemeClr>
                  </w14:solidFill>
                </w14:textFill>
              </w:rPr>
              <w:t xml:space="preserve">　</w:t>
            </w:r>
            <w:r w:rsidRPr="00951174">
              <w:rPr>
                <w:rFonts w:ascii="Arial Narrow" w:eastAsiaTheme="majorEastAsia" w:hAnsi="Arial Narrow" w:cstheme="majorBidi"/>
                <w:bCs/>
                <w:color w:val="000000" w:themeColor="text1"/>
                <w:w w:val="15"/>
                <w:sz w:val="20"/>
                <w:szCs w:val="20"/>
                <w:shd w:val="solid" w:color="000000" w:fill="000000"/>
                <w:fitText w:val="30" w:id="-1502411249"/>
                <w14:textFill>
                  <w14:solidFill>
                    <w14:schemeClr w14:val="tx1">
                      <w14:alpha w14:val="100000"/>
                    </w14:schemeClr>
                  </w14:solidFill>
                </w14:textFill>
              </w:rPr>
              <w:t>|</w:t>
            </w:r>
            <w:r w:rsidRPr="00951174">
              <w:rPr>
                <w:rFonts w:ascii="Arial Narrow" w:eastAsiaTheme="majorEastAsia" w:hAnsi="Arial Narrow" w:cstheme="majorBidi" w:hint="eastAsia"/>
                <w:bCs/>
                <w:color w:val="000000" w:themeColor="text1"/>
                <w:spacing w:val="-35"/>
                <w:w w:val="15"/>
                <w:sz w:val="20"/>
                <w:szCs w:val="20"/>
                <w:shd w:val="solid" w:color="000000" w:fill="000000"/>
                <w:fitText w:val="30" w:id="-1502411249"/>
                <w14:textFill>
                  <w14:solidFill>
                    <w14:schemeClr w14:val="tx1">
                      <w14:alpha w14:val="100000"/>
                    </w14:scheme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p>
        </w:tc>
        <w:tc>
          <w:tcPr>
            <w:tcW w:w="647" w:type="pct"/>
            <w:shd w:val="clear" w:color="auto" w:fill="auto"/>
            <w:vAlign w:val="center"/>
          </w:tcPr>
          <w:p w14:paraId="368533E2" w14:textId="0DBBA538" w:rsidR="00CC25DE" w:rsidRPr="008E7C4C" w:rsidRDefault="00951174" w:rsidP="00CC25DE">
            <w:pPr>
              <w:keepNext/>
              <w:jc w:val="center"/>
              <w:rPr>
                <w:rFonts w:ascii="Arial Narrow" w:eastAsiaTheme="majorEastAsia" w:hAnsi="Arial Narrow" w:cstheme="majorBidi"/>
                <w:bCs/>
                <w:color w:val="000000"/>
                <w:sz w:val="20"/>
                <w:szCs w:val="20"/>
              </w:rPr>
            </w:pPr>
            <w:r w:rsidRPr="00951174">
              <w:rPr>
                <w:rFonts w:ascii="Arial Narrow" w:eastAsiaTheme="majorEastAsia" w:hAnsi="Arial Narrow" w:cstheme="majorBidi" w:hint="eastAsia"/>
                <w:bCs/>
                <w:color w:val="000000" w:themeColor="text1"/>
                <w:w w:val="15"/>
                <w:sz w:val="20"/>
                <w:szCs w:val="20"/>
                <w:shd w:val="solid" w:color="000000" w:fill="000000"/>
                <w:fitText w:val="30" w:id="-1502411248"/>
                <w14:textFill>
                  <w14:solidFill>
                    <w14:schemeClr w14:val="tx1">
                      <w14:alpha w14:val="100000"/>
                    </w14:schemeClr>
                  </w14:solidFill>
                </w14:textFill>
              </w:rPr>
              <w:t xml:space="preserve">　</w:t>
            </w:r>
            <w:r w:rsidRPr="00951174">
              <w:rPr>
                <w:rFonts w:ascii="Arial Narrow" w:eastAsiaTheme="majorEastAsia" w:hAnsi="Arial Narrow" w:cstheme="majorBidi"/>
                <w:bCs/>
                <w:color w:val="000000" w:themeColor="text1"/>
                <w:w w:val="15"/>
                <w:sz w:val="20"/>
                <w:szCs w:val="20"/>
                <w:shd w:val="solid" w:color="000000" w:fill="000000"/>
                <w:fitText w:val="30" w:id="-1502411248"/>
                <w14:textFill>
                  <w14:solidFill>
                    <w14:schemeClr w14:val="tx1">
                      <w14:alpha w14:val="100000"/>
                    </w14:schemeClr>
                  </w14:solidFill>
                </w14:textFill>
              </w:rPr>
              <w:t>|</w:t>
            </w:r>
            <w:r w:rsidRPr="00951174">
              <w:rPr>
                <w:rFonts w:ascii="Arial Narrow" w:eastAsiaTheme="majorEastAsia" w:hAnsi="Arial Narrow" w:cstheme="majorBidi" w:hint="eastAsia"/>
                <w:bCs/>
                <w:color w:val="000000" w:themeColor="text1"/>
                <w:spacing w:val="-35"/>
                <w:w w:val="15"/>
                <w:sz w:val="20"/>
                <w:szCs w:val="20"/>
                <w:shd w:val="solid" w:color="000000" w:fill="000000"/>
                <w:fitText w:val="30" w:id="-1502411248"/>
                <w14:textFill>
                  <w14:solidFill>
                    <w14:schemeClr w14:val="tx1">
                      <w14:alpha w14:val="100000"/>
                    </w14:scheme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p>
        </w:tc>
        <w:tc>
          <w:tcPr>
            <w:tcW w:w="647" w:type="pct"/>
            <w:shd w:val="clear" w:color="auto" w:fill="auto"/>
            <w:vAlign w:val="center"/>
          </w:tcPr>
          <w:p w14:paraId="2F244576" w14:textId="0CF97017" w:rsidR="00CC25DE" w:rsidRPr="008E7C4C" w:rsidRDefault="00951174" w:rsidP="00CC25DE">
            <w:pPr>
              <w:keepNext/>
              <w:jc w:val="center"/>
              <w:rPr>
                <w:rFonts w:ascii="Arial Narrow" w:eastAsiaTheme="majorEastAsia" w:hAnsi="Arial Narrow" w:cstheme="majorBidi"/>
                <w:bCs/>
                <w:color w:val="000000"/>
                <w:sz w:val="20"/>
                <w:szCs w:val="20"/>
              </w:rPr>
            </w:pPr>
            <w:r w:rsidRPr="00951174">
              <w:rPr>
                <w:rFonts w:ascii="Arial Narrow" w:eastAsiaTheme="majorEastAsia" w:hAnsi="Arial Narrow" w:cstheme="majorBidi" w:hint="eastAsia"/>
                <w:bCs/>
                <w:color w:val="000000" w:themeColor="text1"/>
                <w:w w:val="15"/>
                <w:sz w:val="20"/>
                <w:szCs w:val="20"/>
                <w:shd w:val="solid" w:color="000000" w:fill="000000"/>
                <w:fitText w:val="30" w:id="-1502411264"/>
                <w14:textFill>
                  <w14:solidFill>
                    <w14:schemeClr w14:val="tx1">
                      <w14:alpha w14:val="100000"/>
                    </w14:schemeClr>
                  </w14:solidFill>
                </w14:textFill>
              </w:rPr>
              <w:t xml:space="preserve">　</w:t>
            </w:r>
            <w:r w:rsidRPr="00951174">
              <w:rPr>
                <w:rFonts w:ascii="Arial Narrow" w:eastAsiaTheme="majorEastAsia" w:hAnsi="Arial Narrow" w:cstheme="majorBidi"/>
                <w:bCs/>
                <w:color w:val="000000" w:themeColor="text1"/>
                <w:w w:val="15"/>
                <w:sz w:val="20"/>
                <w:szCs w:val="20"/>
                <w:shd w:val="solid" w:color="000000" w:fill="000000"/>
                <w:fitText w:val="30" w:id="-1502411264"/>
                <w14:textFill>
                  <w14:solidFill>
                    <w14:schemeClr w14:val="tx1">
                      <w14:alpha w14:val="100000"/>
                    </w14:schemeClr>
                  </w14:solidFill>
                </w14:textFill>
              </w:rPr>
              <w:t>|</w:t>
            </w:r>
            <w:r w:rsidRPr="00951174">
              <w:rPr>
                <w:rFonts w:ascii="Arial Narrow" w:eastAsiaTheme="majorEastAsia" w:hAnsi="Arial Narrow" w:cstheme="majorBidi" w:hint="eastAsia"/>
                <w:bCs/>
                <w:color w:val="000000" w:themeColor="text1"/>
                <w:spacing w:val="-35"/>
                <w:w w:val="15"/>
                <w:sz w:val="20"/>
                <w:szCs w:val="20"/>
                <w:shd w:val="solid" w:color="000000" w:fill="000000"/>
                <w:fitText w:val="30" w:id="-1502411264"/>
                <w14:textFill>
                  <w14:solidFill>
                    <w14:schemeClr w14:val="tx1">
                      <w14:alpha w14:val="100000"/>
                    </w14:scheme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p>
        </w:tc>
        <w:tc>
          <w:tcPr>
            <w:tcW w:w="647" w:type="pct"/>
            <w:shd w:val="clear" w:color="auto" w:fill="auto"/>
            <w:vAlign w:val="center"/>
          </w:tcPr>
          <w:p w14:paraId="1D8989F9" w14:textId="2D9E74EE" w:rsidR="00CC25DE" w:rsidRPr="008E7C4C" w:rsidRDefault="00951174" w:rsidP="00CC25DE">
            <w:pPr>
              <w:keepNext/>
              <w:jc w:val="center"/>
              <w:rPr>
                <w:rFonts w:ascii="Arial Narrow" w:eastAsiaTheme="majorEastAsia" w:hAnsi="Arial Narrow" w:cstheme="majorBidi"/>
                <w:bCs/>
                <w:color w:val="000000"/>
                <w:sz w:val="20"/>
                <w:szCs w:val="20"/>
              </w:rPr>
            </w:pPr>
            <w:r w:rsidRPr="00951174">
              <w:rPr>
                <w:rFonts w:ascii="Arial Narrow" w:eastAsiaTheme="majorEastAsia" w:hAnsi="Arial Narrow" w:cstheme="majorBidi" w:hint="eastAsia"/>
                <w:bCs/>
                <w:color w:val="000000" w:themeColor="text1"/>
                <w:w w:val="15"/>
                <w:sz w:val="20"/>
                <w:szCs w:val="20"/>
                <w:shd w:val="solid" w:color="000000" w:fill="000000"/>
                <w:fitText w:val="30" w:id="-1502411263"/>
                <w14:textFill>
                  <w14:solidFill>
                    <w14:schemeClr w14:val="tx1">
                      <w14:alpha w14:val="100000"/>
                    </w14:schemeClr>
                  </w14:solidFill>
                </w14:textFill>
              </w:rPr>
              <w:t xml:space="preserve">　</w:t>
            </w:r>
            <w:r w:rsidRPr="00951174">
              <w:rPr>
                <w:rFonts w:ascii="Arial Narrow" w:eastAsiaTheme="majorEastAsia" w:hAnsi="Arial Narrow" w:cstheme="majorBidi"/>
                <w:bCs/>
                <w:color w:val="000000" w:themeColor="text1"/>
                <w:w w:val="15"/>
                <w:sz w:val="20"/>
                <w:szCs w:val="20"/>
                <w:shd w:val="solid" w:color="000000" w:fill="000000"/>
                <w:fitText w:val="30" w:id="-1502411263"/>
                <w14:textFill>
                  <w14:solidFill>
                    <w14:schemeClr w14:val="tx1">
                      <w14:alpha w14:val="100000"/>
                    </w14:schemeClr>
                  </w14:solidFill>
                </w14:textFill>
              </w:rPr>
              <w:t>|</w:t>
            </w:r>
            <w:r w:rsidRPr="00951174">
              <w:rPr>
                <w:rFonts w:ascii="Arial Narrow" w:eastAsiaTheme="majorEastAsia" w:hAnsi="Arial Narrow" w:cstheme="majorBidi" w:hint="eastAsia"/>
                <w:bCs/>
                <w:color w:val="000000" w:themeColor="text1"/>
                <w:spacing w:val="-35"/>
                <w:w w:val="15"/>
                <w:sz w:val="20"/>
                <w:szCs w:val="20"/>
                <w:shd w:val="solid" w:color="000000" w:fill="000000"/>
                <w:fitText w:val="30" w:id="-1502411263"/>
                <w14:textFill>
                  <w14:solidFill>
                    <w14:schemeClr w14:val="tx1">
                      <w14:alpha w14:val="100000"/>
                    </w14:scheme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p>
        </w:tc>
        <w:tc>
          <w:tcPr>
            <w:tcW w:w="647" w:type="pct"/>
            <w:shd w:val="clear" w:color="auto" w:fill="auto"/>
            <w:vAlign w:val="center"/>
          </w:tcPr>
          <w:p w14:paraId="407EE196" w14:textId="7E22DCFA" w:rsidR="00CC25DE" w:rsidRPr="008E7C4C" w:rsidRDefault="00951174" w:rsidP="00CC25DE">
            <w:pPr>
              <w:keepNext/>
              <w:jc w:val="center"/>
              <w:rPr>
                <w:rFonts w:ascii="Arial Narrow" w:eastAsiaTheme="majorEastAsia" w:hAnsi="Arial Narrow" w:cstheme="majorBidi"/>
                <w:bCs/>
                <w:color w:val="000000"/>
                <w:sz w:val="20"/>
                <w:szCs w:val="20"/>
              </w:rPr>
            </w:pPr>
            <w:r w:rsidRPr="00951174">
              <w:rPr>
                <w:rFonts w:ascii="Arial Narrow" w:eastAsiaTheme="majorEastAsia" w:hAnsi="Arial Narrow" w:cstheme="majorBidi" w:hint="eastAsia"/>
                <w:bCs/>
                <w:color w:val="000000" w:themeColor="text1"/>
                <w:w w:val="15"/>
                <w:sz w:val="20"/>
                <w:szCs w:val="20"/>
                <w:shd w:val="solid" w:color="000000" w:fill="000000"/>
                <w:fitText w:val="30" w:id="-1502411262"/>
                <w14:textFill>
                  <w14:solidFill>
                    <w14:schemeClr w14:val="tx1">
                      <w14:alpha w14:val="100000"/>
                    </w14:schemeClr>
                  </w14:solidFill>
                </w14:textFill>
              </w:rPr>
              <w:t xml:space="preserve">　</w:t>
            </w:r>
            <w:r w:rsidRPr="00951174">
              <w:rPr>
                <w:rFonts w:ascii="Arial Narrow" w:eastAsiaTheme="majorEastAsia" w:hAnsi="Arial Narrow" w:cstheme="majorBidi"/>
                <w:bCs/>
                <w:color w:val="000000" w:themeColor="text1"/>
                <w:w w:val="15"/>
                <w:sz w:val="20"/>
                <w:szCs w:val="20"/>
                <w:shd w:val="solid" w:color="000000" w:fill="000000"/>
                <w:fitText w:val="30" w:id="-1502411262"/>
                <w14:textFill>
                  <w14:solidFill>
                    <w14:schemeClr w14:val="tx1">
                      <w14:alpha w14:val="100000"/>
                    </w14:schemeClr>
                  </w14:solidFill>
                </w14:textFill>
              </w:rPr>
              <w:t>|</w:t>
            </w:r>
            <w:r w:rsidRPr="00951174">
              <w:rPr>
                <w:rFonts w:ascii="Arial Narrow" w:eastAsiaTheme="majorEastAsia" w:hAnsi="Arial Narrow" w:cstheme="majorBidi" w:hint="eastAsia"/>
                <w:bCs/>
                <w:color w:val="000000" w:themeColor="text1"/>
                <w:spacing w:val="-35"/>
                <w:w w:val="15"/>
                <w:sz w:val="20"/>
                <w:szCs w:val="20"/>
                <w:shd w:val="solid" w:color="000000" w:fill="000000"/>
                <w:fitText w:val="30" w:id="-1502411262"/>
                <w14:textFill>
                  <w14:solidFill>
                    <w14:schemeClr w14:val="tx1">
                      <w14:alpha w14:val="100000"/>
                    </w14:scheme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p>
        </w:tc>
        <w:tc>
          <w:tcPr>
            <w:tcW w:w="650" w:type="pct"/>
            <w:vAlign w:val="center"/>
          </w:tcPr>
          <w:p w14:paraId="5EA0FFF2" w14:textId="18D84297" w:rsidR="00CC25DE" w:rsidRPr="008E7C4C" w:rsidRDefault="00951174" w:rsidP="00CC25DE">
            <w:pPr>
              <w:keepNext/>
              <w:jc w:val="center"/>
              <w:rPr>
                <w:rFonts w:ascii="Arial Narrow" w:eastAsiaTheme="majorEastAsia" w:hAnsi="Arial Narrow" w:cstheme="majorBidi"/>
                <w:bCs/>
                <w:color w:val="000000"/>
                <w:sz w:val="20"/>
                <w:szCs w:val="20"/>
              </w:rPr>
            </w:pPr>
            <w:r w:rsidRPr="002D249B">
              <w:rPr>
                <w:rFonts w:ascii="Arial Narrow" w:eastAsiaTheme="majorEastAsia" w:hAnsi="Arial Narrow" w:cstheme="majorBidi" w:hint="eastAsia"/>
                <w:bCs/>
                <w:color w:val="000000" w:themeColor="text1"/>
                <w:w w:val="15"/>
                <w:sz w:val="20"/>
                <w:szCs w:val="20"/>
                <w:shd w:val="solid" w:color="000000" w:fill="000000"/>
                <w:fitText w:val="15" w:id="-1502411261"/>
                <w14:textFill>
                  <w14:solidFill>
                    <w14:schemeClr w14:val="tx1">
                      <w14:alpha w14:val="100000"/>
                    </w14:schemeClr>
                  </w14:solidFill>
                </w14:textFill>
              </w:rPr>
              <w:t xml:space="preserve">　</w:t>
            </w:r>
            <w:r w:rsidRPr="002D249B">
              <w:rPr>
                <w:rFonts w:ascii="Arial Narrow" w:eastAsiaTheme="majorEastAsia" w:hAnsi="Arial Narrow" w:cstheme="majorBidi"/>
                <w:bCs/>
                <w:color w:val="000000" w:themeColor="text1"/>
                <w:w w:val="15"/>
                <w:sz w:val="20"/>
                <w:szCs w:val="20"/>
                <w:shd w:val="solid" w:color="000000" w:fill="000000"/>
                <w:fitText w:val="15" w:id="-1502411261"/>
                <w14:textFill>
                  <w14:solidFill>
                    <w14:schemeClr w14:val="tx1">
                      <w14:alpha w14:val="100000"/>
                    </w14:schemeClr>
                  </w14:solidFill>
                </w14:textFill>
              </w:rPr>
              <w:t>|</w:t>
            </w:r>
            <w:r w:rsidRPr="002D249B">
              <w:rPr>
                <w:rFonts w:ascii="Arial Narrow" w:eastAsiaTheme="majorEastAsia" w:hAnsi="Arial Narrow" w:cstheme="majorBidi" w:hint="eastAsia"/>
                <w:bCs/>
                <w:color w:val="000000" w:themeColor="text1"/>
                <w:spacing w:val="-50"/>
                <w:w w:val="15"/>
                <w:sz w:val="20"/>
                <w:szCs w:val="20"/>
                <w:shd w:val="solid" w:color="000000" w:fill="000000"/>
                <w:fitText w:val="15" w:id="-1502411261"/>
                <w14:textFill>
                  <w14:solidFill>
                    <w14:schemeClr w14:val="tx1">
                      <w14:alpha w14:val="100000"/>
                    </w14:scheme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p>
        </w:tc>
      </w:tr>
      <w:tr w:rsidR="00A879D8" w:rsidRPr="008E7C4C" w14:paraId="39974160" w14:textId="77777777" w:rsidTr="00A879D8">
        <w:tc>
          <w:tcPr>
            <w:tcW w:w="1115" w:type="pct"/>
            <w:shd w:val="clear" w:color="auto" w:fill="auto"/>
            <w:vAlign w:val="center"/>
          </w:tcPr>
          <w:p w14:paraId="33B1F2FB" w14:textId="77777777"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Number of lenalidomide scripts dispensed</w:t>
            </w:r>
          </w:p>
        </w:tc>
        <w:tc>
          <w:tcPr>
            <w:tcW w:w="647" w:type="pct"/>
            <w:shd w:val="clear" w:color="auto" w:fill="auto"/>
            <w:vAlign w:val="center"/>
          </w:tcPr>
          <w:p w14:paraId="4CC34B38" w14:textId="10BFA73B" w:rsidR="00A879D8" w:rsidRPr="008E7C4C" w:rsidRDefault="00951174" w:rsidP="00A879D8">
            <w:pPr>
              <w:keepNext/>
              <w:jc w:val="center"/>
              <w:rPr>
                <w:rFonts w:ascii="Arial Narrow" w:eastAsiaTheme="majorEastAsia" w:hAnsi="Arial Narrow" w:cstheme="majorBidi"/>
                <w:bCs/>
                <w:color w:val="000000" w:themeColor="text1"/>
                <w:sz w:val="20"/>
                <w:szCs w:val="20"/>
              </w:rPr>
            </w:pPr>
            <w:r w:rsidRPr="00951174">
              <w:rPr>
                <w:rFonts w:ascii="Arial Narrow" w:hAnsi="Arial Narrow" w:hint="eastAsia"/>
                <w:color w:val="000000"/>
                <w:w w:val="15"/>
                <w:sz w:val="20"/>
                <w:szCs w:val="20"/>
                <w:shd w:val="solid" w:color="000000" w:fill="000000"/>
                <w:fitText w:val="30" w:id="-1502411260"/>
                <w14:textFill>
                  <w14:solidFill>
                    <w14:srgbClr w14:val="000000">
                      <w14:alpha w14:val="100000"/>
                    </w14:srgbClr>
                  </w14:solidFill>
                </w14:textFill>
              </w:rPr>
              <w:t xml:space="preserve">　</w:t>
            </w:r>
            <w:r w:rsidRPr="00951174">
              <w:rPr>
                <w:rFonts w:ascii="Arial Narrow" w:hAnsi="Arial Narrow"/>
                <w:color w:val="000000"/>
                <w:w w:val="15"/>
                <w:sz w:val="20"/>
                <w:szCs w:val="20"/>
                <w:shd w:val="solid" w:color="000000" w:fill="000000"/>
                <w:fitText w:val="30" w:id="-1502411260"/>
                <w14:textFill>
                  <w14:solidFill>
                    <w14:srgbClr w14:val="000000">
                      <w14:alpha w14:val="100000"/>
                    </w14:srgbClr>
                  </w14:solidFill>
                </w14:textFill>
              </w:rPr>
              <w:t>|</w:t>
            </w:r>
            <w:r w:rsidRPr="00951174">
              <w:rPr>
                <w:rFonts w:ascii="Arial Narrow" w:hAnsi="Arial Narrow" w:hint="eastAsia"/>
                <w:color w:val="000000"/>
                <w:spacing w:val="-35"/>
                <w:w w:val="15"/>
                <w:sz w:val="20"/>
                <w:szCs w:val="20"/>
                <w:shd w:val="solid" w:color="000000" w:fill="000000"/>
                <w:fitText w:val="30" w:id="-1502411260"/>
                <w14:textFill>
                  <w14:solidFill>
                    <w14:srgbClr w14:val="000000">
                      <w14:alpha w14:val="100000"/>
                    </w14:srgb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r w:rsidR="00A879D8" w:rsidRPr="008E7C4C">
              <w:rPr>
                <w:rFonts w:ascii="Arial Narrow" w:hAnsi="Arial Narrow"/>
                <w:color w:val="000000"/>
                <w:sz w:val="20"/>
                <w:szCs w:val="20"/>
              </w:rPr>
              <w:t xml:space="preserve"> </w:t>
            </w:r>
          </w:p>
        </w:tc>
        <w:tc>
          <w:tcPr>
            <w:tcW w:w="647" w:type="pct"/>
            <w:shd w:val="clear" w:color="auto" w:fill="auto"/>
            <w:vAlign w:val="center"/>
          </w:tcPr>
          <w:p w14:paraId="7B297A7B" w14:textId="05BC1C5E" w:rsidR="00A879D8" w:rsidRPr="008E7C4C" w:rsidRDefault="00951174" w:rsidP="00A879D8">
            <w:pPr>
              <w:keepNext/>
              <w:jc w:val="center"/>
              <w:rPr>
                <w:rFonts w:ascii="Arial Narrow" w:eastAsiaTheme="majorEastAsia" w:hAnsi="Arial Narrow" w:cstheme="majorBidi"/>
                <w:bCs/>
                <w:color w:val="000000" w:themeColor="text1"/>
                <w:sz w:val="20"/>
                <w:szCs w:val="20"/>
              </w:rPr>
            </w:pPr>
            <w:r w:rsidRPr="00951174">
              <w:rPr>
                <w:rFonts w:ascii="Arial Narrow" w:hAnsi="Arial Narrow" w:hint="eastAsia"/>
                <w:color w:val="000000"/>
                <w:w w:val="15"/>
                <w:sz w:val="20"/>
                <w:szCs w:val="20"/>
                <w:shd w:val="solid" w:color="000000" w:fill="000000"/>
                <w:fitText w:val="30" w:id="-1502411259"/>
                <w14:textFill>
                  <w14:solidFill>
                    <w14:srgbClr w14:val="000000">
                      <w14:alpha w14:val="100000"/>
                    </w14:srgbClr>
                  </w14:solidFill>
                </w14:textFill>
              </w:rPr>
              <w:t xml:space="preserve">　</w:t>
            </w:r>
            <w:r w:rsidRPr="00951174">
              <w:rPr>
                <w:rFonts w:ascii="Arial Narrow" w:hAnsi="Arial Narrow"/>
                <w:color w:val="000000"/>
                <w:w w:val="15"/>
                <w:sz w:val="20"/>
                <w:szCs w:val="20"/>
                <w:shd w:val="solid" w:color="000000" w:fill="000000"/>
                <w:fitText w:val="30" w:id="-1502411259"/>
                <w14:textFill>
                  <w14:solidFill>
                    <w14:srgbClr w14:val="000000">
                      <w14:alpha w14:val="100000"/>
                    </w14:srgbClr>
                  </w14:solidFill>
                </w14:textFill>
              </w:rPr>
              <w:t>|</w:t>
            </w:r>
            <w:r w:rsidRPr="00951174">
              <w:rPr>
                <w:rFonts w:ascii="Arial Narrow" w:hAnsi="Arial Narrow" w:hint="eastAsia"/>
                <w:color w:val="000000"/>
                <w:spacing w:val="-35"/>
                <w:w w:val="15"/>
                <w:sz w:val="20"/>
                <w:szCs w:val="20"/>
                <w:shd w:val="solid" w:color="000000" w:fill="000000"/>
                <w:fitText w:val="30" w:id="-1502411259"/>
                <w14:textFill>
                  <w14:solidFill>
                    <w14:srgbClr w14:val="000000">
                      <w14:alpha w14:val="100000"/>
                    </w14:srgb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r w:rsidR="00A879D8" w:rsidRPr="008E7C4C">
              <w:rPr>
                <w:rFonts w:ascii="Arial Narrow" w:hAnsi="Arial Narrow"/>
                <w:color w:val="000000"/>
                <w:sz w:val="20"/>
                <w:szCs w:val="20"/>
              </w:rPr>
              <w:t xml:space="preserve"> </w:t>
            </w:r>
          </w:p>
        </w:tc>
        <w:tc>
          <w:tcPr>
            <w:tcW w:w="647" w:type="pct"/>
            <w:shd w:val="clear" w:color="auto" w:fill="auto"/>
            <w:vAlign w:val="center"/>
          </w:tcPr>
          <w:p w14:paraId="014CCA68" w14:textId="01C0D075" w:rsidR="00A879D8" w:rsidRPr="008E7C4C" w:rsidRDefault="00951174" w:rsidP="00A879D8">
            <w:pPr>
              <w:keepNext/>
              <w:jc w:val="center"/>
              <w:rPr>
                <w:rFonts w:ascii="Arial Narrow" w:eastAsiaTheme="majorEastAsia" w:hAnsi="Arial Narrow" w:cstheme="majorBidi"/>
                <w:bCs/>
                <w:color w:val="000000" w:themeColor="text1"/>
                <w:sz w:val="20"/>
                <w:szCs w:val="20"/>
              </w:rPr>
            </w:pPr>
            <w:r w:rsidRPr="00951174">
              <w:rPr>
                <w:rFonts w:ascii="Arial Narrow" w:hAnsi="Arial Narrow" w:hint="eastAsia"/>
                <w:color w:val="000000"/>
                <w:w w:val="15"/>
                <w:sz w:val="20"/>
                <w:szCs w:val="20"/>
                <w:shd w:val="solid" w:color="000000" w:fill="000000"/>
                <w:fitText w:val="30" w:id="-1502411258"/>
                <w14:textFill>
                  <w14:solidFill>
                    <w14:srgbClr w14:val="000000">
                      <w14:alpha w14:val="100000"/>
                    </w14:srgbClr>
                  </w14:solidFill>
                </w14:textFill>
              </w:rPr>
              <w:t xml:space="preserve">　</w:t>
            </w:r>
            <w:r w:rsidRPr="00951174">
              <w:rPr>
                <w:rFonts w:ascii="Arial Narrow" w:hAnsi="Arial Narrow"/>
                <w:color w:val="000000"/>
                <w:w w:val="15"/>
                <w:sz w:val="20"/>
                <w:szCs w:val="20"/>
                <w:shd w:val="solid" w:color="000000" w:fill="000000"/>
                <w:fitText w:val="30" w:id="-1502411258"/>
                <w14:textFill>
                  <w14:solidFill>
                    <w14:srgbClr w14:val="000000">
                      <w14:alpha w14:val="100000"/>
                    </w14:srgbClr>
                  </w14:solidFill>
                </w14:textFill>
              </w:rPr>
              <w:t>|</w:t>
            </w:r>
            <w:r w:rsidRPr="00951174">
              <w:rPr>
                <w:rFonts w:ascii="Arial Narrow" w:hAnsi="Arial Narrow" w:hint="eastAsia"/>
                <w:color w:val="000000"/>
                <w:spacing w:val="-35"/>
                <w:w w:val="15"/>
                <w:sz w:val="20"/>
                <w:szCs w:val="20"/>
                <w:shd w:val="solid" w:color="000000" w:fill="000000"/>
                <w:fitText w:val="30" w:id="-1502411258"/>
                <w14:textFill>
                  <w14:solidFill>
                    <w14:srgbClr w14:val="000000">
                      <w14:alpha w14:val="100000"/>
                    </w14:srgb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r w:rsidR="00A879D8" w:rsidRPr="008E7C4C">
              <w:rPr>
                <w:rFonts w:ascii="Arial Narrow" w:hAnsi="Arial Narrow"/>
                <w:color w:val="000000"/>
                <w:sz w:val="20"/>
                <w:szCs w:val="20"/>
              </w:rPr>
              <w:t xml:space="preserve"> </w:t>
            </w:r>
          </w:p>
        </w:tc>
        <w:tc>
          <w:tcPr>
            <w:tcW w:w="647" w:type="pct"/>
            <w:shd w:val="clear" w:color="auto" w:fill="auto"/>
            <w:vAlign w:val="center"/>
          </w:tcPr>
          <w:p w14:paraId="79FDA5DC" w14:textId="6ABDBC1E" w:rsidR="00A879D8" w:rsidRPr="008E7C4C" w:rsidRDefault="00951174" w:rsidP="00A879D8">
            <w:pPr>
              <w:keepNext/>
              <w:jc w:val="center"/>
              <w:rPr>
                <w:rFonts w:ascii="Arial Narrow" w:eastAsiaTheme="majorEastAsia" w:hAnsi="Arial Narrow" w:cstheme="majorBidi"/>
                <w:bCs/>
                <w:color w:val="000000" w:themeColor="text1"/>
                <w:sz w:val="20"/>
                <w:szCs w:val="20"/>
              </w:rPr>
            </w:pPr>
            <w:r w:rsidRPr="00951174">
              <w:rPr>
                <w:rFonts w:ascii="Arial Narrow" w:hAnsi="Arial Narrow" w:hint="eastAsia"/>
                <w:color w:val="000000"/>
                <w:w w:val="15"/>
                <w:sz w:val="20"/>
                <w:szCs w:val="20"/>
                <w:shd w:val="solid" w:color="000000" w:fill="000000"/>
                <w:fitText w:val="30" w:id="-1502411257"/>
                <w14:textFill>
                  <w14:solidFill>
                    <w14:srgbClr w14:val="000000">
                      <w14:alpha w14:val="100000"/>
                    </w14:srgbClr>
                  </w14:solidFill>
                </w14:textFill>
              </w:rPr>
              <w:t xml:space="preserve">　</w:t>
            </w:r>
            <w:r w:rsidRPr="00951174">
              <w:rPr>
                <w:rFonts w:ascii="Arial Narrow" w:hAnsi="Arial Narrow"/>
                <w:color w:val="000000"/>
                <w:w w:val="15"/>
                <w:sz w:val="20"/>
                <w:szCs w:val="20"/>
                <w:shd w:val="solid" w:color="000000" w:fill="000000"/>
                <w:fitText w:val="30" w:id="-1502411257"/>
                <w14:textFill>
                  <w14:solidFill>
                    <w14:srgbClr w14:val="000000">
                      <w14:alpha w14:val="100000"/>
                    </w14:srgbClr>
                  </w14:solidFill>
                </w14:textFill>
              </w:rPr>
              <w:t>|</w:t>
            </w:r>
            <w:r w:rsidRPr="00951174">
              <w:rPr>
                <w:rFonts w:ascii="Arial Narrow" w:hAnsi="Arial Narrow" w:hint="eastAsia"/>
                <w:color w:val="000000"/>
                <w:spacing w:val="-35"/>
                <w:w w:val="15"/>
                <w:sz w:val="20"/>
                <w:szCs w:val="20"/>
                <w:shd w:val="solid" w:color="000000" w:fill="000000"/>
                <w:fitText w:val="30" w:id="-1502411257"/>
                <w14:textFill>
                  <w14:solidFill>
                    <w14:srgbClr w14:val="000000">
                      <w14:alpha w14:val="100000"/>
                    </w14:srgb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r w:rsidR="00A879D8" w:rsidRPr="008E7C4C">
              <w:rPr>
                <w:rFonts w:ascii="Arial Narrow" w:hAnsi="Arial Narrow"/>
                <w:color w:val="000000"/>
                <w:sz w:val="20"/>
                <w:szCs w:val="20"/>
              </w:rPr>
              <w:t xml:space="preserve"> </w:t>
            </w:r>
          </w:p>
        </w:tc>
        <w:tc>
          <w:tcPr>
            <w:tcW w:w="647" w:type="pct"/>
            <w:shd w:val="clear" w:color="auto" w:fill="auto"/>
            <w:vAlign w:val="center"/>
          </w:tcPr>
          <w:p w14:paraId="12D0DDF7" w14:textId="5CEEB661" w:rsidR="00A879D8" w:rsidRPr="008E7C4C" w:rsidRDefault="00951174" w:rsidP="00A879D8">
            <w:pPr>
              <w:keepNext/>
              <w:jc w:val="center"/>
              <w:rPr>
                <w:rFonts w:ascii="Arial Narrow" w:eastAsiaTheme="majorEastAsia" w:hAnsi="Arial Narrow" w:cstheme="majorBidi"/>
                <w:bCs/>
                <w:color w:val="000000" w:themeColor="text1"/>
                <w:sz w:val="20"/>
                <w:szCs w:val="20"/>
              </w:rPr>
            </w:pPr>
            <w:r w:rsidRPr="00951174">
              <w:rPr>
                <w:rFonts w:ascii="Arial Narrow" w:hAnsi="Arial Narrow" w:hint="eastAsia"/>
                <w:color w:val="000000"/>
                <w:w w:val="15"/>
                <w:sz w:val="20"/>
                <w:szCs w:val="20"/>
                <w:shd w:val="solid" w:color="000000" w:fill="000000"/>
                <w:fitText w:val="30" w:id="-1502411256"/>
                <w14:textFill>
                  <w14:solidFill>
                    <w14:srgbClr w14:val="000000">
                      <w14:alpha w14:val="100000"/>
                    </w14:srgbClr>
                  </w14:solidFill>
                </w14:textFill>
              </w:rPr>
              <w:t xml:space="preserve">　</w:t>
            </w:r>
            <w:r w:rsidRPr="00951174">
              <w:rPr>
                <w:rFonts w:ascii="Arial Narrow" w:hAnsi="Arial Narrow"/>
                <w:color w:val="000000"/>
                <w:w w:val="15"/>
                <w:sz w:val="20"/>
                <w:szCs w:val="20"/>
                <w:shd w:val="solid" w:color="000000" w:fill="000000"/>
                <w:fitText w:val="30" w:id="-1502411256"/>
                <w14:textFill>
                  <w14:solidFill>
                    <w14:srgbClr w14:val="000000">
                      <w14:alpha w14:val="100000"/>
                    </w14:srgbClr>
                  </w14:solidFill>
                </w14:textFill>
              </w:rPr>
              <w:t>|</w:t>
            </w:r>
            <w:r w:rsidRPr="00951174">
              <w:rPr>
                <w:rFonts w:ascii="Arial Narrow" w:hAnsi="Arial Narrow" w:hint="eastAsia"/>
                <w:color w:val="000000"/>
                <w:spacing w:val="-35"/>
                <w:w w:val="15"/>
                <w:sz w:val="20"/>
                <w:szCs w:val="20"/>
                <w:shd w:val="solid" w:color="000000" w:fill="000000"/>
                <w:fitText w:val="30" w:id="-1502411256"/>
                <w14:textFill>
                  <w14:solidFill>
                    <w14:srgbClr w14:val="000000">
                      <w14:alpha w14:val="100000"/>
                    </w14:srgb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r w:rsidR="00A879D8" w:rsidRPr="008E7C4C">
              <w:rPr>
                <w:rFonts w:ascii="Arial Narrow" w:hAnsi="Arial Narrow"/>
                <w:color w:val="000000"/>
                <w:sz w:val="20"/>
                <w:szCs w:val="20"/>
              </w:rPr>
              <w:t xml:space="preserve"> </w:t>
            </w:r>
          </w:p>
        </w:tc>
        <w:tc>
          <w:tcPr>
            <w:tcW w:w="650" w:type="pct"/>
            <w:shd w:val="clear" w:color="auto" w:fill="auto"/>
            <w:vAlign w:val="center"/>
          </w:tcPr>
          <w:p w14:paraId="71E0011A" w14:textId="5FD09C1D" w:rsidR="00A879D8" w:rsidRPr="008E7C4C" w:rsidRDefault="00951174" w:rsidP="00A879D8">
            <w:pPr>
              <w:keepNext/>
              <w:jc w:val="center"/>
              <w:rPr>
                <w:rFonts w:ascii="Arial Narrow" w:eastAsiaTheme="majorEastAsia" w:hAnsi="Arial Narrow" w:cstheme="majorBidi"/>
                <w:bCs/>
                <w:color w:val="000000" w:themeColor="text1"/>
                <w:sz w:val="20"/>
                <w:szCs w:val="20"/>
              </w:rPr>
            </w:pPr>
            <w:r w:rsidRPr="002D249B">
              <w:rPr>
                <w:rFonts w:ascii="Arial Narrow" w:hAnsi="Arial Narrow" w:hint="eastAsia"/>
                <w:color w:val="000000"/>
                <w:w w:val="15"/>
                <w:sz w:val="20"/>
                <w:szCs w:val="20"/>
                <w:shd w:val="solid" w:color="000000" w:fill="000000"/>
                <w:fitText w:val="15" w:id="-1502411255"/>
                <w14:textFill>
                  <w14:solidFill>
                    <w14:srgbClr w14:val="000000">
                      <w14:alpha w14:val="100000"/>
                    </w14:srgbClr>
                  </w14:solidFill>
                </w14:textFill>
              </w:rPr>
              <w:t xml:space="preserve">　</w:t>
            </w:r>
            <w:r w:rsidRPr="002D249B">
              <w:rPr>
                <w:rFonts w:ascii="Arial Narrow" w:hAnsi="Arial Narrow"/>
                <w:color w:val="000000"/>
                <w:w w:val="15"/>
                <w:sz w:val="20"/>
                <w:szCs w:val="20"/>
                <w:shd w:val="solid" w:color="000000" w:fill="000000"/>
                <w:fitText w:val="15" w:id="-1502411255"/>
                <w14:textFill>
                  <w14:solidFill>
                    <w14:srgbClr w14:val="000000">
                      <w14:alpha w14:val="100000"/>
                    </w14:srgbClr>
                  </w14:solidFill>
                </w14:textFill>
              </w:rPr>
              <w:t>|</w:t>
            </w:r>
            <w:r w:rsidRPr="002D249B">
              <w:rPr>
                <w:rFonts w:ascii="Arial Narrow" w:hAnsi="Arial Narrow" w:hint="eastAsia"/>
                <w:color w:val="000000"/>
                <w:spacing w:val="-50"/>
                <w:w w:val="15"/>
                <w:sz w:val="20"/>
                <w:szCs w:val="20"/>
                <w:shd w:val="solid" w:color="000000" w:fill="000000"/>
                <w:fitText w:val="15" w:id="-1502411255"/>
                <w14:textFill>
                  <w14:solidFill>
                    <w14:srgbClr w14:val="000000">
                      <w14:alpha w14:val="100000"/>
                    </w14:srgbClr>
                  </w14:solidFill>
                </w14:textFill>
              </w:rPr>
              <w:t xml:space="preserve">　</w:t>
            </w:r>
            <w:r w:rsidR="00997FB1">
              <w:rPr>
                <w:rFonts w:ascii="Arial Narrow" w:eastAsiaTheme="majorEastAsia" w:hAnsi="Arial Narrow" w:cstheme="majorBidi"/>
                <w:bCs/>
                <w:color w:val="000000" w:themeColor="text1"/>
                <w:sz w:val="20"/>
                <w:szCs w:val="20"/>
                <w:vertAlign w:val="superscript"/>
              </w:rPr>
              <w:t>2</w:t>
            </w:r>
            <w:r w:rsidR="00A879D8" w:rsidRPr="008E7C4C">
              <w:rPr>
                <w:rFonts w:ascii="Arial Narrow" w:hAnsi="Arial Narrow"/>
                <w:color w:val="000000"/>
                <w:sz w:val="20"/>
                <w:szCs w:val="20"/>
              </w:rPr>
              <w:t xml:space="preserve"> </w:t>
            </w:r>
          </w:p>
        </w:tc>
      </w:tr>
      <w:tr w:rsidR="00CC25DE" w:rsidRPr="008E7C4C" w14:paraId="5EFF26CF" w14:textId="77777777" w:rsidTr="006D7D90">
        <w:tc>
          <w:tcPr>
            <w:tcW w:w="5000" w:type="pct"/>
            <w:gridSpan w:val="7"/>
            <w:shd w:val="clear" w:color="auto" w:fill="auto"/>
            <w:vAlign w:val="center"/>
          </w:tcPr>
          <w:p w14:paraId="7AB3CE52" w14:textId="77777777" w:rsidR="00CC25DE" w:rsidRPr="008E7C4C" w:rsidRDefault="00CC25DE" w:rsidP="00CC25DE">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 xml:space="preserve">Estimated financial implications of </w:t>
            </w:r>
            <w:proofErr w:type="spellStart"/>
            <w:r w:rsidRPr="008E7C4C">
              <w:rPr>
                <w:rFonts w:ascii="Arial Narrow" w:eastAsiaTheme="majorEastAsia" w:hAnsi="Arial Narrow" w:cs="Times New Roman"/>
                <w:b/>
                <w:sz w:val="20"/>
                <w:szCs w:val="20"/>
              </w:rPr>
              <w:t>ixazomib</w:t>
            </w:r>
            <w:proofErr w:type="spellEnd"/>
          </w:p>
        </w:tc>
      </w:tr>
      <w:tr w:rsidR="00A879D8" w:rsidRPr="008E7C4C" w14:paraId="20BBC26E" w14:textId="77777777" w:rsidTr="007E51A8">
        <w:tc>
          <w:tcPr>
            <w:tcW w:w="1115" w:type="pct"/>
            <w:shd w:val="clear" w:color="auto" w:fill="auto"/>
            <w:vAlign w:val="center"/>
          </w:tcPr>
          <w:p w14:paraId="7D80B953" w14:textId="77777777"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PBS/RPBS cost </w:t>
            </w:r>
            <w:proofErr w:type="spellStart"/>
            <w:r w:rsidRPr="008E7C4C">
              <w:rPr>
                <w:rFonts w:ascii="Arial Narrow" w:eastAsiaTheme="majorEastAsia" w:hAnsi="Arial Narrow" w:cstheme="majorBidi"/>
                <w:bCs/>
                <w:sz w:val="20"/>
                <w:szCs w:val="20"/>
              </w:rPr>
              <w:t>Ixazomib</w:t>
            </w:r>
            <w:proofErr w:type="spellEnd"/>
          </w:p>
        </w:tc>
        <w:tc>
          <w:tcPr>
            <w:tcW w:w="647" w:type="pct"/>
            <w:shd w:val="clear" w:color="auto" w:fill="auto"/>
            <w:vAlign w:val="center"/>
          </w:tcPr>
          <w:p w14:paraId="4E529518" w14:textId="04E0E0D3"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54"/>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54"/>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54"/>
                <w14:textFill>
                  <w14:solidFill>
                    <w14:schemeClr w14:val="tx1">
                      <w14:alpha w14:val="100000"/>
                    </w14:schemeClr>
                  </w14:solidFill>
                </w14:textFill>
              </w:rPr>
              <w:t xml:space="preserve">　</w:t>
            </w:r>
            <w:r w:rsidR="00D03CD3">
              <w:rPr>
                <w:rFonts w:ascii="Arial Narrow" w:eastAsiaTheme="majorEastAsia" w:hAnsi="Arial Narrow" w:cstheme="majorBidi"/>
                <w:color w:val="000000" w:themeColor="text1"/>
                <w:sz w:val="20"/>
                <w:szCs w:val="20"/>
                <w:vertAlign w:val="superscript"/>
              </w:rPr>
              <w:t>5</w:t>
            </w:r>
          </w:p>
        </w:tc>
        <w:tc>
          <w:tcPr>
            <w:tcW w:w="647" w:type="pct"/>
            <w:shd w:val="clear" w:color="auto" w:fill="auto"/>
            <w:vAlign w:val="center"/>
          </w:tcPr>
          <w:p w14:paraId="512EA1F1" w14:textId="11EAADA0"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53"/>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53"/>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53"/>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05078DCB" w14:textId="1EA80443"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52"/>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52"/>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52"/>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0DD76629" w14:textId="6372A3C4"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51"/>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51"/>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51"/>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1B76FC54" w14:textId="5B1D1063"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50"/>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50"/>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50"/>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6</w:t>
            </w:r>
          </w:p>
        </w:tc>
        <w:tc>
          <w:tcPr>
            <w:tcW w:w="650" w:type="pct"/>
            <w:shd w:val="clear" w:color="auto" w:fill="auto"/>
            <w:vAlign w:val="center"/>
          </w:tcPr>
          <w:p w14:paraId="3EBAD64B" w14:textId="5618B83A"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5"/>
                <w:sz w:val="20"/>
                <w:szCs w:val="20"/>
                <w:shd w:val="solid" w:color="000000" w:fill="000000"/>
                <w:fitText w:val="60" w:id="-1502411249"/>
                <w14:textFill>
                  <w14:solidFill>
                    <w14:schemeClr w14:val="tx1">
                      <w14:alpha w14:val="100000"/>
                    </w14:schemeClr>
                  </w14:solidFill>
                </w14:textFill>
              </w:rPr>
              <w:t xml:space="preserve">　</w:t>
            </w:r>
            <w:r w:rsidR="00951174" w:rsidRPr="00951174">
              <w:rPr>
                <w:rFonts w:ascii="Arial Narrow" w:hAnsi="Arial Narrow"/>
                <w:color w:val="000000" w:themeColor="text1"/>
                <w:w w:val="15"/>
                <w:sz w:val="20"/>
                <w:szCs w:val="20"/>
                <w:shd w:val="solid" w:color="000000" w:fill="000000"/>
                <w:fitText w:val="60" w:id="-1502411249"/>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5"/>
                <w:sz w:val="20"/>
                <w:szCs w:val="20"/>
                <w:shd w:val="solid" w:color="000000" w:fill="000000"/>
                <w:fitText w:val="60" w:id="-1502411249"/>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6</w:t>
            </w:r>
          </w:p>
        </w:tc>
      </w:tr>
      <w:tr w:rsidR="00A879D8" w:rsidRPr="008E7C4C" w14:paraId="0C40D39B" w14:textId="77777777" w:rsidTr="007D169B">
        <w:tc>
          <w:tcPr>
            <w:tcW w:w="1115" w:type="pct"/>
            <w:tcBorders>
              <w:bottom w:val="single" w:sz="4" w:space="0" w:color="auto"/>
            </w:tcBorders>
            <w:shd w:val="clear" w:color="auto" w:fill="auto"/>
            <w:vAlign w:val="center"/>
          </w:tcPr>
          <w:p w14:paraId="5E1EBEDD" w14:textId="14B9A5DC"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Less </w:t>
            </w:r>
            <w:r w:rsidR="005E79DD" w:rsidRPr="008E7C4C">
              <w:rPr>
                <w:rFonts w:ascii="Arial Narrow" w:eastAsiaTheme="majorEastAsia" w:hAnsi="Arial Narrow" w:cstheme="majorBidi"/>
                <w:bCs/>
                <w:sz w:val="20"/>
                <w:szCs w:val="20"/>
              </w:rPr>
              <w:t>c</w:t>
            </w:r>
            <w:r w:rsidRPr="008E7C4C">
              <w:rPr>
                <w:rFonts w:ascii="Arial Narrow" w:eastAsiaTheme="majorEastAsia" w:hAnsi="Arial Narrow" w:cstheme="majorBidi"/>
                <w:bCs/>
                <w:sz w:val="20"/>
                <w:szCs w:val="20"/>
              </w:rPr>
              <w:t xml:space="preserve">o-payment </w:t>
            </w:r>
          </w:p>
        </w:tc>
        <w:tc>
          <w:tcPr>
            <w:tcW w:w="647" w:type="pct"/>
            <w:tcBorders>
              <w:bottom w:val="single" w:sz="4" w:space="0" w:color="auto"/>
            </w:tcBorders>
            <w:shd w:val="clear" w:color="auto" w:fill="auto"/>
            <w:vAlign w:val="center"/>
          </w:tcPr>
          <w:p w14:paraId="5C8D1A5F" w14:textId="3F8B476B"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48"/>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48"/>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48"/>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3</w:t>
            </w:r>
          </w:p>
        </w:tc>
        <w:tc>
          <w:tcPr>
            <w:tcW w:w="647" w:type="pct"/>
            <w:tcBorders>
              <w:bottom w:val="single" w:sz="4" w:space="0" w:color="auto"/>
            </w:tcBorders>
            <w:shd w:val="clear" w:color="auto" w:fill="auto"/>
            <w:vAlign w:val="center"/>
          </w:tcPr>
          <w:p w14:paraId="2C39928B" w14:textId="430C2D78"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64"/>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64"/>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64"/>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3</w:t>
            </w:r>
          </w:p>
        </w:tc>
        <w:tc>
          <w:tcPr>
            <w:tcW w:w="647" w:type="pct"/>
            <w:tcBorders>
              <w:bottom w:val="single" w:sz="4" w:space="0" w:color="auto"/>
            </w:tcBorders>
            <w:shd w:val="clear" w:color="auto" w:fill="auto"/>
            <w:vAlign w:val="center"/>
          </w:tcPr>
          <w:p w14:paraId="37B7A4C8" w14:textId="595B70F1"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63"/>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63"/>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63"/>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3</w:t>
            </w:r>
          </w:p>
        </w:tc>
        <w:tc>
          <w:tcPr>
            <w:tcW w:w="647" w:type="pct"/>
            <w:tcBorders>
              <w:bottom w:val="single" w:sz="4" w:space="0" w:color="auto"/>
            </w:tcBorders>
            <w:shd w:val="clear" w:color="auto" w:fill="auto"/>
            <w:vAlign w:val="center"/>
          </w:tcPr>
          <w:p w14:paraId="1B394EAC" w14:textId="2CB524B0"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62"/>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62"/>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62"/>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3</w:t>
            </w:r>
          </w:p>
        </w:tc>
        <w:tc>
          <w:tcPr>
            <w:tcW w:w="647" w:type="pct"/>
            <w:tcBorders>
              <w:bottom w:val="single" w:sz="4" w:space="0" w:color="auto"/>
            </w:tcBorders>
            <w:shd w:val="clear" w:color="auto" w:fill="auto"/>
            <w:vAlign w:val="center"/>
          </w:tcPr>
          <w:p w14:paraId="008BD0F0" w14:textId="2DB04C00"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6"/>
                <w:sz w:val="20"/>
                <w:szCs w:val="20"/>
                <w:shd w:val="solid" w:color="000000" w:fill="000000"/>
                <w:fitText w:val="75" w:id="-1502411261"/>
                <w14:textFill>
                  <w14:solidFill>
                    <w14:schemeClr w14:val="tx1">
                      <w14:alpha w14:val="100000"/>
                    </w14:schemeClr>
                  </w14:solidFill>
                </w14:textFill>
              </w:rPr>
              <w:t xml:space="preserve">　</w:t>
            </w:r>
            <w:r w:rsidR="00951174" w:rsidRPr="00951174">
              <w:rPr>
                <w:rFonts w:ascii="Arial Narrow" w:hAnsi="Arial Narrow"/>
                <w:color w:val="000000" w:themeColor="text1"/>
                <w:w w:val="16"/>
                <w:sz w:val="20"/>
                <w:szCs w:val="20"/>
                <w:shd w:val="solid" w:color="000000" w:fill="000000"/>
                <w:fitText w:val="75" w:id="-1502411261"/>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6"/>
                <w:sz w:val="20"/>
                <w:szCs w:val="20"/>
                <w:shd w:val="solid" w:color="000000" w:fill="000000"/>
                <w:fitText w:val="75" w:id="-1502411261"/>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3</w:t>
            </w:r>
          </w:p>
        </w:tc>
        <w:tc>
          <w:tcPr>
            <w:tcW w:w="650" w:type="pct"/>
            <w:tcBorders>
              <w:bottom w:val="single" w:sz="4" w:space="0" w:color="auto"/>
            </w:tcBorders>
            <w:shd w:val="clear" w:color="auto" w:fill="auto"/>
            <w:vAlign w:val="center"/>
          </w:tcPr>
          <w:p w14:paraId="0EDB405C" w14:textId="7E215125"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olor w:val="000000" w:themeColor="text1"/>
                <w:sz w:val="20"/>
                <w:szCs w:val="20"/>
              </w:rPr>
              <w:t>$</w:t>
            </w:r>
            <w:r w:rsidR="00951174" w:rsidRPr="00951174">
              <w:rPr>
                <w:rFonts w:ascii="Arial Narrow" w:hAnsi="Arial Narrow" w:hint="eastAsia"/>
                <w:color w:val="000000" w:themeColor="text1"/>
                <w:w w:val="15"/>
                <w:sz w:val="20"/>
                <w:szCs w:val="20"/>
                <w:shd w:val="solid" w:color="000000" w:fill="000000"/>
                <w:fitText w:val="60" w:id="-1502411260"/>
                <w14:textFill>
                  <w14:solidFill>
                    <w14:schemeClr w14:val="tx1">
                      <w14:alpha w14:val="100000"/>
                    </w14:schemeClr>
                  </w14:solidFill>
                </w14:textFill>
              </w:rPr>
              <w:t xml:space="preserve">　</w:t>
            </w:r>
            <w:r w:rsidR="00951174" w:rsidRPr="00951174">
              <w:rPr>
                <w:rFonts w:ascii="Arial Narrow" w:hAnsi="Arial Narrow"/>
                <w:color w:val="000000" w:themeColor="text1"/>
                <w:w w:val="15"/>
                <w:sz w:val="20"/>
                <w:szCs w:val="20"/>
                <w:shd w:val="solid" w:color="000000" w:fill="000000"/>
                <w:fitText w:val="60" w:id="-1502411260"/>
                <w14:textFill>
                  <w14:solidFill>
                    <w14:schemeClr w14:val="tx1">
                      <w14:alpha w14:val="100000"/>
                    </w14:schemeClr>
                  </w14:solidFill>
                </w14:textFill>
              </w:rPr>
              <w:t>|</w:t>
            </w:r>
            <w:r w:rsidR="00951174" w:rsidRPr="00951174">
              <w:rPr>
                <w:rFonts w:ascii="Arial Narrow" w:hAnsi="Arial Narrow" w:hint="eastAsia"/>
                <w:color w:val="000000" w:themeColor="text1"/>
                <w:spacing w:val="-5"/>
                <w:w w:val="15"/>
                <w:sz w:val="20"/>
                <w:szCs w:val="20"/>
                <w:shd w:val="solid" w:color="000000" w:fill="000000"/>
                <w:fitText w:val="60" w:id="-1502411260"/>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3</w:t>
            </w:r>
          </w:p>
        </w:tc>
      </w:tr>
      <w:tr w:rsidR="00A879D8" w:rsidRPr="008E7C4C" w14:paraId="17170289" w14:textId="77777777" w:rsidTr="006D7D90">
        <w:tc>
          <w:tcPr>
            <w:tcW w:w="1115" w:type="pct"/>
            <w:shd w:val="clear" w:color="auto" w:fill="auto"/>
            <w:vAlign w:val="center"/>
          </w:tcPr>
          <w:p w14:paraId="2E02998B" w14:textId="77777777"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Cost to PBS/RPBS less co-payment of </w:t>
            </w:r>
            <w:proofErr w:type="spellStart"/>
            <w:r w:rsidRPr="008E7C4C">
              <w:rPr>
                <w:rFonts w:ascii="Arial Narrow" w:eastAsiaTheme="majorEastAsia" w:hAnsi="Arial Narrow" w:cstheme="majorBidi"/>
                <w:bCs/>
                <w:sz w:val="20"/>
                <w:szCs w:val="20"/>
              </w:rPr>
              <w:t>ixazomib</w:t>
            </w:r>
            <w:proofErr w:type="spellEnd"/>
          </w:p>
        </w:tc>
        <w:tc>
          <w:tcPr>
            <w:tcW w:w="647" w:type="pct"/>
            <w:shd w:val="clear" w:color="auto" w:fill="auto"/>
            <w:vAlign w:val="center"/>
          </w:tcPr>
          <w:p w14:paraId="34C93C7B" w14:textId="79104505"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bCs/>
                <w:color w:val="000000" w:themeColor="text1"/>
                <w:sz w:val="20"/>
                <w:szCs w:val="20"/>
              </w:rPr>
              <w:t>$</w:t>
            </w:r>
            <w:r w:rsidR="00951174" w:rsidRPr="00951174">
              <w:rPr>
                <w:rFonts w:ascii="Arial Narrow" w:eastAsiaTheme="majorEastAsia" w:hAnsi="Arial Narrow" w:hint="eastAsia"/>
                <w:bCs/>
                <w:color w:val="000000" w:themeColor="text1"/>
                <w:w w:val="16"/>
                <w:sz w:val="20"/>
                <w:szCs w:val="20"/>
                <w:shd w:val="solid" w:color="000000" w:fill="000000"/>
                <w:fitText w:val="75" w:id="-1502411259"/>
                <w14:textFill>
                  <w14:solidFill>
                    <w14:schemeClr w14:val="tx1">
                      <w14:alpha w14:val="100000"/>
                    </w14:schemeClr>
                  </w14:solidFill>
                </w14:textFill>
              </w:rPr>
              <w:t xml:space="preserve">　</w:t>
            </w:r>
            <w:r w:rsidR="00951174" w:rsidRPr="00951174">
              <w:rPr>
                <w:rFonts w:ascii="Arial Narrow" w:eastAsiaTheme="majorEastAsia" w:hAnsi="Arial Narrow"/>
                <w:bCs/>
                <w:color w:val="000000" w:themeColor="text1"/>
                <w:w w:val="16"/>
                <w:sz w:val="20"/>
                <w:szCs w:val="20"/>
                <w:shd w:val="solid" w:color="000000" w:fill="000000"/>
                <w:fitText w:val="75" w:id="-1502411259"/>
                <w14:textFill>
                  <w14:solidFill>
                    <w14:schemeClr w14:val="tx1">
                      <w14:alpha w14:val="100000"/>
                    </w14:schemeClr>
                  </w14:solidFill>
                </w14:textFill>
              </w:rPr>
              <w:t>|</w:t>
            </w:r>
            <w:r w:rsidR="00951174" w:rsidRPr="00951174">
              <w:rPr>
                <w:rFonts w:ascii="Arial Narrow" w:eastAsiaTheme="majorEastAsia" w:hAnsi="Arial Narrow" w:hint="eastAsia"/>
                <w:bCs/>
                <w:color w:val="000000" w:themeColor="text1"/>
                <w:spacing w:val="5"/>
                <w:w w:val="16"/>
                <w:sz w:val="20"/>
                <w:szCs w:val="20"/>
                <w:shd w:val="solid" w:color="000000" w:fill="000000"/>
                <w:fitText w:val="75" w:id="-1502411259"/>
                <w14:textFill>
                  <w14:solidFill>
                    <w14:schemeClr w14:val="tx1">
                      <w14:alpha w14:val="100000"/>
                    </w14:schemeClr>
                  </w14:solidFill>
                </w14:textFill>
              </w:rPr>
              <w:t xml:space="preserve">　</w:t>
            </w:r>
            <w:r w:rsidR="00D03CD3">
              <w:rPr>
                <w:rFonts w:ascii="Arial Narrow" w:eastAsiaTheme="majorEastAsia" w:hAnsi="Arial Narrow" w:cstheme="majorBidi"/>
                <w:color w:val="000000" w:themeColor="text1"/>
                <w:sz w:val="20"/>
                <w:szCs w:val="20"/>
                <w:vertAlign w:val="superscript"/>
              </w:rPr>
              <w:t>5</w:t>
            </w:r>
          </w:p>
        </w:tc>
        <w:tc>
          <w:tcPr>
            <w:tcW w:w="647" w:type="pct"/>
            <w:shd w:val="clear" w:color="auto" w:fill="auto"/>
            <w:vAlign w:val="center"/>
          </w:tcPr>
          <w:p w14:paraId="272207C0" w14:textId="4107ED83"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bCs/>
                <w:color w:val="000000" w:themeColor="text1"/>
                <w:sz w:val="20"/>
                <w:szCs w:val="20"/>
              </w:rPr>
              <w:t>$</w:t>
            </w:r>
            <w:r w:rsidR="00951174" w:rsidRPr="00951174">
              <w:rPr>
                <w:rFonts w:ascii="Arial Narrow" w:eastAsiaTheme="majorEastAsia" w:hAnsi="Arial Narrow" w:hint="eastAsia"/>
                <w:bCs/>
                <w:color w:val="000000" w:themeColor="text1"/>
                <w:w w:val="16"/>
                <w:sz w:val="20"/>
                <w:szCs w:val="20"/>
                <w:shd w:val="solid" w:color="000000" w:fill="000000"/>
                <w:fitText w:val="75" w:id="-1502411258"/>
                <w14:textFill>
                  <w14:solidFill>
                    <w14:schemeClr w14:val="tx1">
                      <w14:alpha w14:val="100000"/>
                    </w14:schemeClr>
                  </w14:solidFill>
                </w14:textFill>
              </w:rPr>
              <w:t xml:space="preserve">　</w:t>
            </w:r>
            <w:r w:rsidR="00951174" w:rsidRPr="00951174">
              <w:rPr>
                <w:rFonts w:ascii="Arial Narrow" w:eastAsiaTheme="majorEastAsia" w:hAnsi="Arial Narrow"/>
                <w:bCs/>
                <w:color w:val="000000" w:themeColor="text1"/>
                <w:w w:val="16"/>
                <w:sz w:val="20"/>
                <w:szCs w:val="20"/>
                <w:shd w:val="solid" w:color="000000" w:fill="000000"/>
                <w:fitText w:val="75" w:id="-1502411258"/>
                <w14:textFill>
                  <w14:solidFill>
                    <w14:schemeClr w14:val="tx1">
                      <w14:alpha w14:val="100000"/>
                    </w14:schemeClr>
                  </w14:solidFill>
                </w14:textFill>
              </w:rPr>
              <w:t>|</w:t>
            </w:r>
            <w:r w:rsidR="00951174" w:rsidRPr="00951174">
              <w:rPr>
                <w:rFonts w:ascii="Arial Narrow" w:eastAsiaTheme="majorEastAsia" w:hAnsi="Arial Narrow" w:hint="eastAsia"/>
                <w:bCs/>
                <w:color w:val="000000" w:themeColor="text1"/>
                <w:spacing w:val="5"/>
                <w:w w:val="16"/>
                <w:sz w:val="20"/>
                <w:szCs w:val="20"/>
                <w:shd w:val="solid" w:color="000000" w:fill="000000"/>
                <w:fitText w:val="75" w:id="-1502411258"/>
                <w14:textFill>
                  <w14:solidFill>
                    <w14:schemeClr w14:val="tx1">
                      <w14:alpha w14:val="100000"/>
                    </w14:schemeClr>
                  </w14:solidFill>
                </w14:textFill>
              </w:rPr>
              <w:t xml:space="preserve">　</w:t>
            </w:r>
            <w:r w:rsidR="00D03CD3">
              <w:rPr>
                <w:rFonts w:ascii="Arial Narrow" w:eastAsiaTheme="majorEastAsia" w:hAnsi="Arial Narrow" w:cstheme="majorBidi"/>
                <w:color w:val="000000" w:themeColor="text1"/>
                <w:sz w:val="20"/>
                <w:szCs w:val="20"/>
                <w:vertAlign w:val="superscript"/>
              </w:rPr>
              <w:t>5</w:t>
            </w:r>
          </w:p>
        </w:tc>
        <w:tc>
          <w:tcPr>
            <w:tcW w:w="647" w:type="pct"/>
            <w:shd w:val="clear" w:color="auto" w:fill="auto"/>
            <w:vAlign w:val="center"/>
          </w:tcPr>
          <w:p w14:paraId="5F901066" w14:textId="0861B335"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bCs/>
                <w:color w:val="000000" w:themeColor="text1"/>
                <w:sz w:val="20"/>
                <w:szCs w:val="20"/>
              </w:rPr>
              <w:t>$</w:t>
            </w:r>
            <w:r w:rsidR="00951174" w:rsidRPr="00951174">
              <w:rPr>
                <w:rFonts w:ascii="Arial Narrow" w:eastAsiaTheme="majorEastAsia" w:hAnsi="Arial Narrow" w:hint="eastAsia"/>
                <w:bCs/>
                <w:color w:val="000000" w:themeColor="text1"/>
                <w:w w:val="16"/>
                <w:sz w:val="20"/>
                <w:szCs w:val="20"/>
                <w:shd w:val="solid" w:color="000000" w:fill="000000"/>
                <w:fitText w:val="75" w:id="-1502411257"/>
                <w14:textFill>
                  <w14:solidFill>
                    <w14:schemeClr w14:val="tx1">
                      <w14:alpha w14:val="100000"/>
                    </w14:schemeClr>
                  </w14:solidFill>
                </w14:textFill>
              </w:rPr>
              <w:t xml:space="preserve">　</w:t>
            </w:r>
            <w:r w:rsidR="00951174" w:rsidRPr="00951174">
              <w:rPr>
                <w:rFonts w:ascii="Arial Narrow" w:eastAsiaTheme="majorEastAsia" w:hAnsi="Arial Narrow"/>
                <w:bCs/>
                <w:color w:val="000000" w:themeColor="text1"/>
                <w:w w:val="16"/>
                <w:sz w:val="20"/>
                <w:szCs w:val="20"/>
                <w:shd w:val="solid" w:color="000000" w:fill="000000"/>
                <w:fitText w:val="75" w:id="-1502411257"/>
                <w14:textFill>
                  <w14:solidFill>
                    <w14:schemeClr w14:val="tx1">
                      <w14:alpha w14:val="100000"/>
                    </w14:schemeClr>
                  </w14:solidFill>
                </w14:textFill>
              </w:rPr>
              <w:t>|</w:t>
            </w:r>
            <w:r w:rsidR="00951174" w:rsidRPr="00951174">
              <w:rPr>
                <w:rFonts w:ascii="Arial Narrow" w:eastAsiaTheme="majorEastAsia" w:hAnsi="Arial Narrow" w:hint="eastAsia"/>
                <w:bCs/>
                <w:color w:val="000000" w:themeColor="text1"/>
                <w:spacing w:val="5"/>
                <w:w w:val="16"/>
                <w:sz w:val="20"/>
                <w:szCs w:val="20"/>
                <w:shd w:val="solid" w:color="000000" w:fill="000000"/>
                <w:fitText w:val="75" w:id="-1502411257"/>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34D211BA" w14:textId="7AF37820"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bCs/>
                <w:color w:val="000000" w:themeColor="text1"/>
                <w:sz w:val="20"/>
                <w:szCs w:val="20"/>
              </w:rPr>
              <w:t>$</w:t>
            </w:r>
            <w:r w:rsidR="00951174" w:rsidRPr="00951174">
              <w:rPr>
                <w:rFonts w:ascii="Arial Narrow" w:eastAsiaTheme="majorEastAsia" w:hAnsi="Arial Narrow" w:hint="eastAsia"/>
                <w:bCs/>
                <w:color w:val="000000" w:themeColor="text1"/>
                <w:w w:val="16"/>
                <w:sz w:val="20"/>
                <w:szCs w:val="20"/>
                <w:shd w:val="solid" w:color="000000" w:fill="000000"/>
                <w:fitText w:val="75" w:id="-1502411256"/>
                <w14:textFill>
                  <w14:solidFill>
                    <w14:schemeClr w14:val="tx1">
                      <w14:alpha w14:val="100000"/>
                    </w14:schemeClr>
                  </w14:solidFill>
                </w14:textFill>
              </w:rPr>
              <w:t xml:space="preserve">　</w:t>
            </w:r>
            <w:r w:rsidR="00951174" w:rsidRPr="00951174">
              <w:rPr>
                <w:rFonts w:ascii="Arial Narrow" w:eastAsiaTheme="majorEastAsia" w:hAnsi="Arial Narrow"/>
                <w:bCs/>
                <w:color w:val="000000" w:themeColor="text1"/>
                <w:w w:val="16"/>
                <w:sz w:val="20"/>
                <w:szCs w:val="20"/>
                <w:shd w:val="solid" w:color="000000" w:fill="000000"/>
                <w:fitText w:val="75" w:id="-1502411256"/>
                <w14:textFill>
                  <w14:solidFill>
                    <w14:schemeClr w14:val="tx1">
                      <w14:alpha w14:val="100000"/>
                    </w14:schemeClr>
                  </w14:solidFill>
                </w14:textFill>
              </w:rPr>
              <w:t>|</w:t>
            </w:r>
            <w:r w:rsidR="00951174" w:rsidRPr="00951174">
              <w:rPr>
                <w:rFonts w:ascii="Arial Narrow" w:eastAsiaTheme="majorEastAsia" w:hAnsi="Arial Narrow" w:hint="eastAsia"/>
                <w:bCs/>
                <w:color w:val="000000" w:themeColor="text1"/>
                <w:spacing w:val="5"/>
                <w:w w:val="16"/>
                <w:sz w:val="20"/>
                <w:szCs w:val="20"/>
                <w:shd w:val="solid" w:color="000000" w:fill="000000"/>
                <w:fitText w:val="75" w:id="-1502411256"/>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79FEE7AE" w14:textId="60CCAE48"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bCs/>
                <w:color w:val="000000" w:themeColor="text1"/>
                <w:sz w:val="20"/>
                <w:szCs w:val="20"/>
              </w:rPr>
              <w:t>$</w:t>
            </w:r>
            <w:r w:rsidR="00951174" w:rsidRPr="00951174">
              <w:rPr>
                <w:rFonts w:ascii="Arial Narrow" w:eastAsiaTheme="majorEastAsia" w:hAnsi="Arial Narrow" w:hint="eastAsia"/>
                <w:bCs/>
                <w:color w:val="000000" w:themeColor="text1"/>
                <w:w w:val="16"/>
                <w:sz w:val="20"/>
                <w:szCs w:val="20"/>
                <w:shd w:val="solid" w:color="000000" w:fill="000000"/>
                <w:fitText w:val="75" w:id="-1502411255"/>
                <w14:textFill>
                  <w14:solidFill>
                    <w14:schemeClr w14:val="tx1">
                      <w14:alpha w14:val="100000"/>
                    </w14:schemeClr>
                  </w14:solidFill>
                </w14:textFill>
              </w:rPr>
              <w:t xml:space="preserve">　</w:t>
            </w:r>
            <w:r w:rsidR="00951174" w:rsidRPr="00951174">
              <w:rPr>
                <w:rFonts w:ascii="Arial Narrow" w:eastAsiaTheme="majorEastAsia" w:hAnsi="Arial Narrow"/>
                <w:bCs/>
                <w:color w:val="000000" w:themeColor="text1"/>
                <w:w w:val="16"/>
                <w:sz w:val="20"/>
                <w:szCs w:val="20"/>
                <w:shd w:val="solid" w:color="000000" w:fill="000000"/>
                <w:fitText w:val="75" w:id="-1502411255"/>
                <w14:textFill>
                  <w14:solidFill>
                    <w14:schemeClr w14:val="tx1">
                      <w14:alpha w14:val="100000"/>
                    </w14:schemeClr>
                  </w14:solidFill>
                </w14:textFill>
              </w:rPr>
              <w:t>|</w:t>
            </w:r>
            <w:r w:rsidR="00951174" w:rsidRPr="00951174">
              <w:rPr>
                <w:rFonts w:ascii="Arial Narrow" w:eastAsiaTheme="majorEastAsia" w:hAnsi="Arial Narrow" w:hint="eastAsia"/>
                <w:bCs/>
                <w:color w:val="000000" w:themeColor="text1"/>
                <w:spacing w:val="5"/>
                <w:w w:val="16"/>
                <w:sz w:val="20"/>
                <w:szCs w:val="20"/>
                <w:shd w:val="solid" w:color="000000" w:fill="000000"/>
                <w:fitText w:val="75" w:id="-1502411255"/>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6</w:t>
            </w:r>
          </w:p>
        </w:tc>
        <w:tc>
          <w:tcPr>
            <w:tcW w:w="650" w:type="pct"/>
            <w:vAlign w:val="center"/>
          </w:tcPr>
          <w:p w14:paraId="430AF99E" w14:textId="44CF6DDF"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bCs/>
                <w:color w:val="000000" w:themeColor="text1"/>
                <w:sz w:val="20"/>
                <w:szCs w:val="20"/>
              </w:rPr>
              <w:t>$</w:t>
            </w:r>
            <w:r w:rsidR="00951174" w:rsidRPr="00951174">
              <w:rPr>
                <w:rFonts w:ascii="Arial Narrow" w:eastAsiaTheme="majorEastAsia" w:hAnsi="Arial Narrow" w:hint="eastAsia"/>
                <w:bCs/>
                <w:color w:val="000000" w:themeColor="text1"/>
                <w:w w:val="15"/>
                <w:sz w:val="20"/>
                <w:szCs w:val="20"/>
                <w:shd w:val="solid" w:color="000000" w:fill="000000"/>
                <w:fitText w:val="60" w:id="-1502411254"/>
                <w14:textFill>
                  <w14:solidFill>
                    <w14:schemeClr w14:val="tx1">
                      <w14:alpha w14:val="100000"/>
                    </w14:schemeClr>
                  </w14:solidFill>
                </w14:textFill>
              </w:rPr>
              <w:t xml:space="preserve">　</w:t>
            </w:r>
            <w:r w:rsidR="00951174" w:rsidRPr="00951174">
              <w:rPr>
                <w:rFonts w:ascii="Arial Narrow" w:eastAsiaTheme="majorEastAsia" w:hAnsi="Arial Narrow"/>
                <w:bCs/>
                <w:color w:val="000000" w:themeColor="text1"/>
                <w:w w:val="15"/>
                <w:sz w:val="20"/>
                <w:szCs w:val="20"/>
                <w:shd w:val="solid" w:color="000000" w:fill="000000"/>
                <w:fitText w:val="60" w:id="-1502411254"/>
                <w14:textFill>
                  <w14:solidFill>
                    <w14:schemeClr w14:val="tx1">
                      <w14:alpha w14:val="100000"/>
                    </w14:schemeClr>
                  </w14:solidFill>
                </w14:textFill>
              </w:rPr>
              <w:t>|</w:t>
            </w:r>
            <w:r w:rsidR="00951174" w:rsidRPr="00951174">
              <w:rPr>
                <w:rFonts w:ascii="Arial Narrow" w:eastAsiaTheme="majorEastAsia" w:hAnsi="Arial Narrow" w:hint="eastAsia"/>
                <w:bCs/>
                <w:color w:val="000000" w:themeColor="text1"/>
                <w:spacing w:val="-5"/>
                <w:w w:val="15"/>
                <w:sz w:val="20"/>
                <w:szCs w:val="20"/>
                <w:shd w:val="solid" w:color="000000" w:fill="000000"/>
                <w:fitText w:val="60" w:id="-1502411254"/>
                <w14:textFill>
                  <w14:solidFill>
                    <w14:schemeClr w14:val="tx1">
                      <w14:alpha w14:val="100000"/>
                    </w14:schemeClr>
                  </w14:solidFill>
                </w14:textFill>
              </w:rPr>
              <w:t xml:space="preserve">　</w:t>
            </w:r>
            <w:r w:rsidR="00D03CD3">
              <w:rPr>
                <w:rFonts w:ascii="Arial Narrow" w:eastAsiaTheme="majorEastAsia" w:hAnsi="Arial Narrow" w:cstheme="majorBidi"/>
                <w:sz w:val="20"/>
                <w:szCs w:val="20"/>
                <w:vertAlign w:val="superscript"/>
              </w:rPr>
              <w:t>6</w:t>
            </w:r>
          </w:p>
        </w:tc>
      </w:tr>
      <w:tr w:rsidR="00A879D8" w:rsidRPr="008E7C4C" w14:paraId="00B76097" w14:textId="77777777" w:rsidTr="00A879D8">
        <w:tc>
          <w:tcPr>
            <w:tcW w:w="5000" w:type="pct"/>
            <w:gridSpan w:val="7"/>
            <w:shd w:val="clear" w:color="auto" w:fill="auto"/>
            <w:vAlign w:val="center"/>
          </w:tcPr>
          <w:p w14:paraId="68C8F6F7" w14:textId="5D822674" w:rsidR="00A879D8" w:rsidRPr="008E7C4C" w:rsidRDefault="00A879D8" w:rsidP="00A879D8">
            <w:pPr>
              <w:keepNext/>
              <w:jc w:val="left"/>
              <w:rPr>
                <w:rFonts w:ascii="Arial Narrow" w:eastAsiaTheme="majorEastAsia" w:hAnsi="Arial Narrow"/>
                <w:b/>
                <w:color w:val="000000" w:themeColor="text1"/>
                <w:sz w:val="20"/>
                <w:szCs w:val="20"/>
              </w:rPr>
            </w:pPr>
            <w:r w:rsidRPr="008E7C4C">
              <w:rPr>
                <w:rFonts w:ascii="Arial Narrow" w:eastAsiaTheme="majorEastAsia" w:hAnsi="Arial Narrow" w:cstheme="majorBidi"/>
                <w:b/>
                <w:sz w:val="20"/>
                <w:szCs w:val="20"/>
              </w:rPr>
              <w:t xml:space="preserve">Estimated </w:t>
            </w:r>
            <w:r w:rsidR="00EA1D98" w:rsidRPr="008E7C4C">
              <w:rPr>
                <w:rFonts w:ascii="Arial Narrow" w:eastAsiaTheme="majorEastAsia" w:hAnsi="Arial Narrow" w:cstheme="majorBidi"/>
                <w:b/>
                <w:sz w:val="20"/>
                <w:szCs w:val="20"/>
              </w:rPr>
              <w:t>financial</w:t>
            </w:r>
            <w:r w:rsidRPr="008E7C4C">
              <w:rPr>
                <w:rFonts w:ascii="Arial Narrow" w:eastAsiaTheme="majorEastAsia" w:hAnsi="Arial Narrow" w:cstheme="majorBidi"/>
                <w:b/>
                <w:sz w:val="20"/>
                <w:szCs w:val="20"/>
              </w:rPr>
              <w:t xml:space="preserve"> implications for lenalidomide (as part of </w:t>
            </w:r>
            <w:proofErr w:type="spellStart"/>
            <w:r w:rsidRPr="008E7C4C">
              <w:rPr>
                <w:rFonts w:ascii="Arial Narrow" w:eastAsiaTheme="majorEastAsia" w:hAnsi="Arial Narrow" w:cstheme="majorBidi"/>
                <w:b/>
                <w:sz w:val="20"/>
                <w:szCs w:val="20"/>
              </w:rPr>
              <w:t>ILd</w:t>
            </w:r>
            <w:proofErr w:type="spellEnd"/>
            <w:r w:rsidRPr="008E7C4C">
              <w:rPr>
                <w:rFonts w:ascii="Arial Narrow" w:eastAsiaTheme="majorEastAsia" w:hAnsi="Arial Narrow" w:cstheme="majorBidi"/>
                <w:b/>
                <w:sz w:val="20"/>
                <w:szCs w:val="20"/>
              </w:rPr>
              <w:t>)</w:t>
            </w:r>
          </w:p>
        </w:tc>
      </w:tr>
      <w:tr w:rsidR="00A879D8" w:rsidRPr="008E7C4C" w14:paraId="48964DA4" w14:textId="77777777" w:rsidTr="005E79DD">
        <w:tc>
          <w:tcPr>
            <w:tcW w:w="1115" w:type="pct"/>
            <w:tcBorders>
              <w:top w:val="single" w:sz="4" w:space="0" w:color="auto"/>
              <w:bottom w:val="single" w:sz="4" w:space="0" w:color="auto"/>
              <w:right w:val="single" w:sz="4" w:space="0" w:color="auto"/>
            </w:tcBorders>
            <w:shd w:val="clear" w:color="auto" w:fill="auto"/>
            <w:vAlign w:val="center"/>
          </w:tcPr>
          <w:p w14:paraId="160121D4" w14:textId="77777777"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PBS/RPBS cost Lenalidomide (as part of </w:t>
            </w:r>
            <w:proofErr w:type="spellStart"/>
            <w:r w:rsidRPr="008E7C4C">
              <w:rPr>
                <w:rFonts w:ascii="Arial Narrow" w:eastAsiaTheme="majorEastAsia" w:hAnsi="Arial Narrow" w:cstheme="majorBidi"/>
                <w:bCs/>
                <w:sz w:val="20"/>
                <w:szCs w:val="20"/>
              </w:rPr>
              <w:t>ILd</w:t>
            </w:r>
            <w:proofErr w:type="spellEnd"/>
            <w:r w:rsidRPr="008E7C4C">
              <w:rPr>
                <w:rFonts w:ascii="Arial Narrow" w:eastAsiaTheme="majorEastAsia" w:hAnsi="Arial Narrow" w:cstheme="majorBidi"/>
                <w:bCs/>
                <w:sz w:val="20"/>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47B727F" w14:textId="2FF33C70" w:rsidR="00A879D8" w:rsidRPr="00D03CD3" w:rsidRDefault="00A879D8" w:rsidP="005E79DD">
            <w:pPr>
              <w:keepNext/>
              <w:jc w:val="center"/>
              <w:rPr>
                <w:rFonts w:ascii="Arial Narrow" w:eastAsiaTheme="majorEastAsia" w:hAnsi="Arial Narrow"/>
                <w:bCs/>
                <w:color w:val="000000" w:themeColor="text1"/>
                <w:sz w:val="20"/>
                <w:szCs w:val="20"/>
                <w:vertAlign w:val="superscript"/>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53"/>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53"/>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53"/>
                <w14:textFill>
                  <w14:solidFill>
                    <w14:srgbClr w14:val="000000">
                      <w14:alpha w14:val="100000"/>
                    </w14:srgbClr>
                  </w14:solidFill>
                </w14:textFill>
              </w:rPr>
              <w:t xml:space="preserve">　</w:t>
            </w:r>
            <w:r w:rsidR="00D03CD3">
              <w:rPr>
                <w:rFonts w:ascii="Arial Narrow" w:hAnsi="Arial Narrow" w:cs="Calibri"/>
                <w:color w:val="000000"/>
                <w:sz w:val="20"/>
                <w:szCs w:val="20"/>
                <w:vertAlign w:val="superscript"/>
              </w:rPr>
              <w:t>4</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EE4451F" w14:textId="4399DFD5" w:rsidR="00A879D8" w:rsidRPr="008E7C4C" w:rsidRDefault="00A879D8" w:rsidP="005E79DD">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52"/>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52"/>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52"/>
                <w14:textFill>
                  <w14:solidFill>
                    <w14:srgbClr w14:val="000000">
                      <w14:alpha w14:val="100000"/>
                    </w14:srgbClr>
                  </w14:solidFill>
                </w14:textFill>
              </w:rPr>
              <w:t xml:space="preserve">　</w:t>
            </w:r>
            <w:r w:rsidR="00D03CD3">
              <w:rPr>
                <w:rFonts w:ascii="Arial Narrow" w:hAnsi="Arial Narrow" w:cs="Calibri"/>
                <w:color w:val="000000"/>
                <w:sz w:val="20"/>
                <w:szCs w:val="20"/>
                <w:vertAlign w:val="superscript"/>
              </w:rPr>
              <w:t>4</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63C834A" w14:textId="27240F0E" w:rsidR="00A879D8" w:rsidRPr="008E7C4C" w:rsidRDefault="00A879D8" w:rsidP="005E79DD">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51"/>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51"/>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51"/>
                <w14:textFill>
                  <w14:solidFill>
                    <w14:srgbClr w14:val="000000">
                      <w14:alpha w14:val="100000"/>
                    </w14:srgbClr>
                  </w14:solidFill>
                </w14:textFill>
              </w:rPr>
              <w:t xml:space="preserve">　</w:t>
            </w:r>
            <w:r w:rsidR="00C63C9A">
              <w:rPr>
                <w:rFonts w:ascii="Arial Narrow" w:eastAsiaTheme="majorEastAsia" w:hAnsi="Arial Narrow" w:cstheme="majorBidi"/>
                <w:bCs/>
                <w:color w:val="000000"/>
                <w:sz w:val="20"/>
                <w:szCs w:val="2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A857D3B" w14:textId="2134BDB1" w:rsidR="00A879D8" w:rsidRPr="008E7C4C" w:rsidRDefault="00A879D8" w:rsidP="005E79DD">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50"/>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50"/>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50"/>
                <w14:textFill>
                  <w14:solidFill>
                    <w14:srgbClr w14:val="000000">
                      <w14:alpha w14:val="100000"/>
                    </w14:srgbClr>
                  </w14:solidFill>
                </w14:textFill>
              </w:rPr>
              <w:t xml:space="preserve">　</w:t>
            </w:r>
            <w:r w:rsidR="00C63C9A">
              <w:rPr>
                <w:rFonts w:ascii="Arial Narrow" w:eastAsiaTheme="majorEastAsia" w:hAnsi="Arial Narrow" w:cstheme="majorBidi"/>
                <w:bCs/>
                <w:color w:val="000000"/>
                <w:sz w:val="20"/>
                <w:szCs w:val="2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E2227FB" w14:textId="53B96BA3" w:rsidR="00A879D8" w:rsidRPr="008E7C4C" w:rsidRDefault="00A879D8" w:rsidP="005E79DD">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49"/>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49"/>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49"/>
                <w14:textFill>
                  <w14:solidFill>
                    <w14:srgbClr w14:val="000000">
                      <w14:alpha w14:val="100000"/>
                    </w14:srgbClr>
                  </w14:solidFill>
                </w14:textFill>
              </w:rPr>
              <w:t xml:space="preserve">　</w:t>
            </w:r>
            <w:r w:rsidR="00C63C9A">
              <w:rPr>
                <w:rFonts w:ascii="Arial Narrow" w:eastAsiaTheme="majorEastAsia" w:hAnsi="Arial Narrow" w:cstheme="majorBidi"/>
                <w:bCs/>
                <w:color w:val="000000"/>
                <w:sz w:val="20"/>
                <w:szCs w:val="20"/>
                <w:vertAlign w:val="superscript"/>
              </w:rPr>
              <w:t>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F64C996" w14:textId="737058E3" w:rsidR="00A879D8" w:rsidRPr="008E7C4C" w:rsidRDefault="00A879D8" w:rsidP="005E79DD">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5"/>
                <w:sz w:val="20"/>
                <w:szCs w:val="20"/>
                <w:shd w:val="solid" w:color="000000" w:fill="000000"/>
                <w:fitText w:val="60" w:id="-1502411248"/>
                <w14:textFill>
                  <w14:solidFill>
                    <w14:srgbClr w14:val="000000">
                      <w14:alpha w14:val="100000"/>
                    </w14:srgbClr>
                  </w14:solidFill>
                </w14:textFill>
              </w:rPr>
              <w:t xml:space="preserve">　</w:t>
            </w:r>
            <w:r w:rsidR="00951174" w:rsidRPr="00951174">
              <w:rPr>
                <w:rFonts w:ascii="Arial Narrow" w:hAnsi="Arial Narrow" w:cs="Calibri"/>
                <w:color w:val="000000"/>
                <w:w w:val="15"/>
                <w:sz w:val="20"/>
                <w:szCs w:val="20"/>
                <w:shd w:val="solid" w:color="000000" w:fill="000000"/>
                <w:fitText w:val="60" w:id="-1502411248"/>
                <w14:textFill>
                  <w14:solidFill>
                    <w14:srgbClr w14:val="000000">
                      <w14:alpha w14:val="100000"/>
                    </w14:srgbClr>
                  </w14:solidFill>
                </w14:textFill>
              </w:rPr>
              <w:t>|</w:t>
            </w:r>
            <w:r w:rsidR="00951174" w:rsidRPr="00951174">
              <w:rPr>
                <w:rFonts w:ascii="Arial Narrow" w:hAnsi="Arial Narrow" w:cs="Calibri" w:hint="eastAsia"/>
                <w:color w:val="000000"/>
                <w:spacing w:val="-5"/>
                <w:w w:val="15"/>
                <w:sz w:val="20"/>
                <w:szCs w:val="20"/>
                <w:shd w:val="solid" w:color="000000" w:fill="000000"/>
                <w:fitText w:val="60" w:id="-1502411248"/>
                <w14:textFill>
                  <w14:solidFill>
                    <w14:srgbClr w14:val="000000">
                      <w14:alpha w14:val="100000"/>
                    </w14:srgbClr>
                  </w14:solidFill>
                </w14:textFill>
              </w:rPr>
              <w:t xml:space="preserve">　</w:t>
            </w:r>
            <w:r w:rsidR="00C63C9A">
              <w:rPr>
                <w:rFonts w:ascii="Arial Narrow" w:eastAsiaTheme="majorEastAsia" w:hAnsi="Arial Narrow" w:cstheme="majorBidi"/>
                <w:bCs/>
                <w:color w:val="000000"/>
                <w:sz w:val="20"/>
                <w:szCs w:val="20"/>
                <w:vertAlign w:val="superscript"/>
              </w:rPr>
              <w:t>5</w:t>
            </w:r>
          </w:p>
        </w:tc>
      </w:tr>
      <w:tr w:rsidR="00A879D8" w:rsidRPr="008E7C4C" w14:paraId="70E9A26B" w14:textId="77777777" w:rsidTr="007D169B">
        <w:tc>
          <w:tcPr>
            <w:tcW w:w="1115" w:type="pct"/>
            <w:tcBorders>
              <w:top w:val="single" w:sz="4" w:space="0" w:color="auto"/>
              <w:bottom w:val="single" w:sz="4" w:space="0" w:color="auto"/>
              <w:right w:val="single" w:sz="4" w:space="0" w:color="auto"/>
            </w:tcBorders>
            <w:shd w:val="clear" w:color="auto" w:fill="auto"/>
            <w:vAlign w:val="center"/>
          </w:tcPr>
          <w:p w14:paraId="492D77BA" w14:textId="0E3D2E2C" w:rsidR="00A879D8" w:rsidRPr="008E7C4C" w:rsidRDefault="00830A6F"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C</w:t>
            </w:r>
            <w:r w:rsidR="00A879D8" w:rsidRPr="008E7C4C">
              <w:rPr>
                <w:rFonts w:ascii="Arial Narrow" w:eastAsiaTheme="majorEastAsia" w:hAnsi="Arial Narrow" w:cstheme="majorBidi"/>
                <w:bCs/>
                <w:sz w:val="20"/>
                <w:szCs w:val="20"/>
              </w:rPr>
              <w:t>o-payment</w:t>
            </w:r>
            <w:r w:rsidRPr="008E7C4C">
              <w:rPr>
                <w:rFonts w:ascii="Arial Narrow" w:eastAsiaTheme="majorEastAsia" w:hAnsi="Arial Narrow" w:cstheme="majorBidi"/>
                <w:bCs/>
                <w:sz w:val="20"/>
                <w:szCs w:val="20"/>
              </w:rPr>
              <w:t>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7056EAAB" w14:textId="15E6C2BC"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64"/>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64"/>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64"/>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517582A1" w14:textId="6CAEF579"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63"/>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63"/>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63"/>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4213288" w14:textId="462D8D37"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62"/>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62"/>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62"/>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89C4F4B" w14:textId="59B942E2"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61"/>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61"/>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61"/>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0F9AB974" w14:textId="70CDEA04"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6"/>
                <w:sz w:val="20"/>
                <w:szCs w:val="20"/>
                <w:shd w:val="solid" w:color="000000" w:fill="000000"/>
                <w:fitText w:val="75" w:id="-1502411260"/>
                <w14:textFill>
                  <w14:solidFill>
                    <w14:srgbClr w14:val="000000">
                      <w14:alpha w14:val="100000"/>
                    </w14:srgbClr>
                  </w14:solidFill>
                </w14:textFill>
              </w:rPr>
              <w:t xml:space="preserve">　</w:t>
            </w:r>
            <w:r w:rsidR="00951174" w:rsidRPr="00951174">
              <w:rPr>
                <w:rFonts w:ascii="Arial Narrow" w:hAnsi="Arial Narrow" w:cs="Calibri"/>
                <w:color w:val="000000"/>
                <w:w w:val="16"/>
                <w:sz w:val="20"/>
                <w:szCs w:val="20"/>
                <w:shd w:val="solid" w:color="000000" w:fill="000000"/>
                <w:fitText w:val="75" w:id="-1502411260"/>
                <w14:textFill>
                  <w14:solidFill>
                    <w14:srgbClr w14:val="000000">
                      <w14:alpha w14:val="100000"/>
                    </w14:srgbClr>
                  </w14:solidFill>
                </w14:textFill>
              </w:rPr>
              <w:t>|</w:t>
            </w:r>
            <w:r w:rsidR="00951174" w:rsidRPr="00951174">
              <w:rPr>
                <w:rFonts w:ascii="Arial Narrow" w:hAnsi="Arial Narrow" w:cs="Calibri" w:hint="eastAsia"/>
                <w:color w:val="000000"/>
                <w:spacing w:val="5"/>
                <w:w w:val="16"/>
                <w:sz w:val="20"/>
                <w:szCs w:val="20"/>
                <w:shd w:val="solid" w:color="000000" w:fill="000000"/>
                <w:fitText w:val="75" w:id="-1502411260"/>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tcPr>
          <w:p w14:paraId="3DC95C60" w14:textId="229C7F43"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hAnsi="Arial Narrow" w:cs="Calibri"/>
                <w:color w:val="000000"/>
                <w:sz w:val="20"/>
                <w:szCs w:val="20"/>
              </w:rPr>
              <w:t>$</w:t>
            </w:r>
            <w:r w:rsidR="00951174" w:rsidRPr="00951174">
              <w:rPr>
                <w:rFonts w:ascii="Arial Narrow" w:hAnsi="Arial Narrow" w:cs="Calibri" w:hint="eastAsia"/>
                <w:color w:val="000000"/>
                <w:w w:val="15"/>
                <w:sz w:val="20"/>
                <w:szCs w:val="20"/>
                <w:shd w:val="solid" w:color="000000" w:fill="000000"/>
                <w:fitText w:val="60" w:id="-1502411259"/>
                <w14:textFill>
                  <w14:solidFill>
                    <w14:srgbClr w14:val="000000">
                      <w14:alpha w14:val="100000"/>
                    </w14:srgbClr>
                  </w14:solidFill>
                </w14:textFill>
              </w:rPr>
              <w:t xml:space="preserve">　</w:t>
            </w:r>
            <w:r w:rsidR="00951174" w:rsidRPr="00951174">
              <w:rPr>
                <w:rFonts w:ascii="Arial Narrow" w:hAnsi="Arial Narrow" w:cs="Calibri"/>
                <w:color w:val="000000"/>
                <w:w w:val="15"/>
                <w:sz w:val="20"/>
                <w:szCs w:val="20"/>
                <w:shd w:val="solid" w:color="000000" w:fill="000000"/>
                <w:fitText w:val="60" w:id="-1502411259"/>
                <w14:textFill>
                  <w14:solidFill>
                    <w14:srgbClr w14:val="000000">
                      <w14:alpha w14:val="100000"/>
                    </w14:srgbClr>
                  </w14:solidFill>
                </w14:textFill>
              </w:rPr>
              <w:t>|</w:t>
            </w:r>
            <w:r w:rsidR="00951174" w:rsidRPr="00951174">
              <w:rPr>
                <w:rFonts w:ascii="Arial Narrow" w:hAnsi="Arial Narrow" w:cs="Calibri" w:hint="eastAsia"/>
                <w:color w:val="000000"/>
                <w:spacing w:val="-5"/>
                <w:w w:val="15"/>
                <w:sz w:val="20"/>
                <w:szCs w:val="20"/>
                <w:shd w:val="solid" w:color="000000" w:fill="000000"/>
                <w:fitText w:val="60" w:id="-1502411259"/>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r>
      <w:tr w:rsidR="00A879D8" w:rsidRPr="008E7C4C" w14:paraId="5FA560CE" w14:textId="77777777" w:rsidTr="006D7D90">
        <w:tc>
          <w:tcPr>
            <w:tcW w:w="1115" w:type="pct"/>
            <w:shd w:val="clear" w:color="auto" w:fill="auto"/>
            <w:vAlign w:val="center"/>
          </w:tcPr>
          <w:p w14:paraId="4E08D104" w14:textId="50DC8336"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Cost to PBS/RPBS for lenalidomide (as part of </w:t>
            </w:r>
            <w:proofErr w:type="spellStart"/>
            <w:r w:rsidRPr="008E7C4C">
              <w:rPr>
                <w:rFonts w:ascii="Arial Narrow" w:eastAsiaTheme="majorEastAsia" w:hAnsi="Arial Narrow" w:cstheme="majorBidi"/>
                <w:bCs/>
                <w:sz w:val="20"/>
                <w:szCs w:val="20"/>
              </w:rPr>
              <w:t>ILd</w:t>
            </w:r>
            <w:proofErr w:type="spellEnd"/>
            <w:r w:rsidR="00830A6F" w:rsidRPr="008E7C4C">
              <w:rPr>
                <w:rFonts w:ascii="Arial Narrow" w:eastAsiaTheme="majorEastAsia" w:hAnsi="Arial Narrow" w:cstheme="majorBidi"/>
                <w:bCs/>
                <w:sz w:val="20"/>
                <w:szCs w:val="20"/>
              </w:rPr>
              <w:t>, less co</w:t>
            </w:r>
            <w:r w:rsidR="00D21D03" w:rsidRPr="008E7C4C">
              <w:rPr>
                <w:rFonts w:ascii="Arial Narrow" w:eastAsiaTheme="majorEastAsia" w:hAnsi="Arial Narrow" w:cstheme="majorBidi"/>
                <w:bCs/>
                <w:sz w:val="20"/>
                <w:szCs w:val="20"/>
              </w:rPr>
              <w:t>-</w:t>
            </w:r>
            <w:r w:rsidR="00830A6F" w:rsidRPr="008E7C4C">
              <w:rPr>
                <w:rFonts w:ascii="Arial Narrow" w:eastAsiaTheme="majorEastAsia" w:hAnsi="Arial Narrow" w:cstheme="majorBidi"/>
                <w:bCs/>
                <w:sz w:val="20"/>
                <w:szCs w:val="20"/>
              </w:rPr>
              <w:t>payments</w:t>
            </w:r>
            <w:r w:rsidRPr="008E7C4C">
              <w:rPr>
                <w:rFonts w:ascii="Arial Narrow" w:eastAsiaTheme="majorEastAsia" w:hAnsi="Arial Narrow" w:cstheme="majorBidi"/>
                <w:bCs/>
                <w:sz w:val="20"/>
                <w:szCs w:val="20"/>
              </w:rPr>
              <w:t>)</w:t>
            </w:r>
          </w:p>
        </w:tc>
        <w:tc>
          <w:tcPr>
            <w:tcW w:w="647" w:type="pct"/>
            <w:shd w:val="clear" w:color="auto" w:fill="auto"/>
            <w:vAlign w:val="center"/>
          </w:tcPr>
          <w:p w14:paraId="434760E4" w14:textId="25DE0BB6"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cstheme="majorBidi"/>
                <w:bCs/>
                <w:color w:val="000000"/>
                <w:sz w:val="20"/>
                <w:szCs w:val="20"/>
              </w:rPr>
              <w:t>$</w:t>
            </w:r>
            <w:r w:rsidR="00951174" w:rsidRPr="00951174">
              <w:rPr>
                <w:rFonts w:ascii="Arial Narrow" w:eastAsiaTheme="majorEastAsia" w:hAnsi="Arial Narrow" w:cstheme="majorBidi" w:hint="eastAsia"/>
                <w:bCs/>
                <w:color w:val="000000"/>
                <w:w w:val="16"/>
                <w:sz w:val="20"/>
                <w:szCs w:val="20"/>
                <w:shd w:val="solid" w:color="000000" w:fill="000000"/>
                <w:fitText w:val="75" w:id="-1502411258"/>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6"/>
                <w:sz w:val="20"/>
                <w:szCs w:val="20"/>
                <w:shd w:val="solid" w:color="000000" w:fill="000000"/>
                <w:fitText w:val="75" w:id="-1502411258"/>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6"/>
                <w:sz w:val="20"/>
                <w:szCs w:val="20"/>
                <w:shd w:val="solid" w:color="000000" w:fill="000000"/>
                <w:fitText w:val="75" w:id="-1502411258"/>
                <w14:textFill>
                  <w14:solidFill>
                    <w14:srgbClr w14:val="000000">
                      <w14:alpha w14:val="100000"/>
                    </w14:srgbClr>
                  </w14:solidFill>
                </w14:textFill>
              </w:rPr>
              <w:t xml:space="preserve">　</w:t>
            </w:r>
            <w:r w:rsidR="00D03CD3">
              <w:rPr>
                <w:rFonts w:ascii="Arial Narrow" w:eastAsiaTheme="majorEastAsia" w:hAnsi="Arial Narrow" w:cstheme="majorBidi"/>
                <w:bCs/>
                <w:color w:val="000000"/>
                <w:sz w:val="20"/>
                <w:szCs w:val="20"/>
                <w:vertAlign w:val="superscript"/>
              </w:rPr>
              <w:t>4</w:t>
            </w:r>
            <w:r w:rsidRPr="008E7C4C">
              <w:rPr>
                <w:rFonts w:ascii="Arial Narrow" w:eastAsiaTheme="majorEastAsia" w:hAnsi="Arial Narrow" w:cstheme="majorBidi"/>
                <w:bCs/>
                <w:color w:val="000000"/>
                <w:sz w:val="20"/>
                <w:szCs w:val="20"/>
              </w:rPr>
              <w:t xml:space="preserve"> </w:t>
            </w:r>
          </w:p>
        </w:tc>
        <w:tc>
          <w:tcPr>
            <w:tcW w:w="647" w:type="pct"/>
            <w:shd w:val="clear" w:color="auto" w:fill="auto"/>
            <w:vAlign w:val="center"/>
          </w:tcPr>
          <w:p w14:paraId="245CEDE3" w14:textId="03DCE31F"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cstheme="majorBidi"/>
                <w:bCs/>
                <w:color w:val="000000"/>
                <w:sz w:val="20"/>
                <w:szCs w:val="20"/>
              </w:rPr>
              <w:t>$</w:t>
            </w:r>
            <w:r w:rsidR="00951174" w:rsidRPr="00951174">
              <w:rPr>
                <w:rFonts w:ascii="Arial Narrow" w:eastAsiaTheme="majorEastAsia" w:hAnsi="Arial Narrow" w:cstheme="majorBidi" w:hint="eastAsia"/>
                <w:bCs/>
                <w:color w:val="000000"/>
                <w:w w:val="16"/>
                <w:sz w:val="20"/>
                <w:szCs w:val="20"/>
                <w:shd w:val="solid" w:color="000000" w:fill="000000"/>
                <w:fitText w:val="75" w:id="-1502411257"/>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6"/>
                <w:sz w:val="20"/>
                <w:szCs w:val="20"/>
                <w:shd w:val="solid" w:color="000000" w:fill="000000"/>
                <w:fitText w:val="75" w:id="-1502411257"/>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6"/>
                <w:sz w:val="20"/>
                <w:szCs w:val="20"/>
                <w:shd w:val="solid" w:color="000000" w:fill="000000"/>
                <w:fitText w:val="75" w:id="-1502411257"/>
                <w14:textFill>
                  <w14:solidFill>
                    <w14:srgbClr w14:val="000000">
                      <w14:alpha w14:val="100000"/>
                    </w14:srgbClr>
                  </w14:solidFill>
                </w14:textFill>
              </w:rPr>
              <w:t xml:space="preserve">　</w:t>
            </w:r>
            <w:r w:rsidR="00D03CD3">
              <w:rPr>
                <w:rFonts w:ascii="Arial Narrow" w:eastAsiaTheme="majorEastAsia" w:hAnsi="Arial Narrow" w:cstheme="majorBidi"/>
                <w:bCs/>
                <w:color w:val="000000"/>
                <w:sz w:val="20"/>
                <w:szCs w:val="20"/>
                <w:vertAlign w:val="superscript"/>
              </w:rPr>
              <w:t>4</w:t>
            </w:r>
            <w:r w:rsidRPr="008E7C4C">
              <w:rPr>
                <w:rFonts w:ascii="Arial Narrow" w:eastAsiaTheme="majorEastAsia" w:hAnsi="Arial Narrow" w:cstheme="majorBidi"/>
                <w:bCs/>
                <w:color w:val="000000"/>
                <w:sz w:val="20"/>
                <w:szCs w:val="20"/>
              </w:rPr>
              <w:t xml:space="preserve"> </w:t>
            </w:r>
          </w:p>
        </w:tc>
        <w:tc>
          <w:tcPr>
            <w:tcW w:w="647" w:type="pct"/>
            <w:shd w:val="clear" w:color="auto" w:fill="auto"/>
            <w:vAlign w:val="center"/>
          </w:tcPr>
          <w:p w14:paraId="1C1ED5E3" w14:textId="54A98A29"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cstheme="majorBidi"/>
                <w:bCs/>
                <w:color w:val="000000"/>
                <w:sz w:val="20"/>
                <w:szCs w:val="20"/>
              </w:rPr>
              <w:t>$</w:t>
            </w:r>
            <w:r w:rsidR="00951174" w:rsidRPr="00951174">
              <w:rPr>
                <w:rFonts w:ascii="Arial Narrow" w:eastAsiaTheme="majorEastAsia" w:hAnsi="Arial Narrow" w:cstheme="majorBidi" w:hint="eastAsia"/>
                <w:bCs/>
                <w:color w:val="000000"/>
                <w:w w:val="16"/>
                <w:sz w:val="20"/>
                <w:szCs w:val="20"/>
                <w:shd w:val="solid" w:color="000000" w:fill="000000"/>
                <w:fitText w:val="75" w:id="-1502411256"/>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6"/>
                <w:sz w:val="20"/>
                <w:szCs w:val="20"/>
                <w:shd w:val="solid" w:color="000000" w:fill="000000"/>
                <w:fitText w:val="75" w:id="-1502411256"/>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6"/>
                <w:sz w:val="20"/>
                <w:szCs w:val="20"/>
                <w:shd w:val="solid" w:color="000000" w:fill="000000"/>
                <w:fitText w:val="75" w:id="-1502411256"/>
                <w14:textFill>
                  <w14:solidFill>
                    <w14:srgbClr w14:val="000000">
                      <w14:alpha w14:val="100000"/>
                    </w14:srgbClr>
                  </w14:solidFill>
                </w14:textFill>
              </w:rPr>
              <w:t xml:space="preserve">　</w:t>
            </w:r>
            <w:r w:rsidR="00D03CD3">
              <w:rPr>
                <w:rFonts w:ascii="Arial Narrow" w:eastAsiaTheme="majorEastAsia" w:hAnsi="Arial Narrow" w:cstheme="majorBidi"/>
                <w:bCs/>
                <w:color w:val="000000"/>
                <w:sz w:val="20"/>
                <w:szCs w:val="20"/>
                <w:vertAlign w:val="superscript"/>
              </w:rPr>
              <w:t>5</w:t>
            </w:r>
            <w:r w:rsidRPr="008E7C4C">
              <w:rPr>
                <w:rFonts w:ascii="Arial Narrow" w:eastAsiaTheme="majorEastAsia" w:hAnsi="Arial Narrow" w:cstheme="majorBidi"/>
                <w:bCs/>
                <w:color w:val="000000"/>
                <w:sz w:val="20"/>
                <w:szCs w:val="20"/>
              </w:rPr>
              <w:t xml:space="preserve"> </w:t>
            </w:r>
          </w:p>
        </w:tc>
        <w:tc>
          <w:tcPr>
            <w:tcW w:w="647" w:type="pct"/>
            <w:shd w:val="clear" w:color="auto" w:fill="auto"/>
            <w:vAlign w:val="center"/>
          </w:tcPr>
          <w:p w14:paraId="660036AF" w14:textId="5FD7B3E9"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cstheme="majorBidi"/>
                <w:bCs/>
                <w:color w:val="000000"/>
                <w:sz w:val="20"/>
                <w:szCs w:val="20"/>
              </w:rPr>
              <w:t>$</w:t>
            </w:r>
            <w:r w:rsidR="00951174" w:rsidRPr="00951174">
              <w:rPr>
                <w:rFonts w:ascii="Arial Narrow" w:eastAsiaTheme="majorEastAsia" w:hAnsi="Arial Narrow" w:cstheme="majorBidi" w:hint="eastAsia"/>
                <w:bCs/>
                <w:color w:val="000000"/>
                <w:w w:val="16"/>
                <w:sz w:val="20"/>
                <w:szCs w:val="20"/>
                <w:shd w:val="solid" w:color="000000" w:fill="000000"/>
                <w:fitText w:val="75" w:id="-1502411255"/>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6"/>
                <w:sz w:val="20"/>
                <w:szCs w:val="20"/>
                <w:shd w:val="solid" w:color="000000" w:fill="000000"/>
                <w:fitText w:val="75" w:id="-1502411255"/>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6"/>
                <w:sz w:val="20"/>
                <w:szCs w:val="20"/>
                <w:shd w:val="solid" w:color="000000" w:fill="000000"/>
                <w:fitText w:val="75" w:id="-1502411255"/>
                <w14:textFill>
                  <w14:solidFill>
                    <w14:srgbClr w14:val="000000">
                      <w14:alpha w14:val="100000"/>
                    </w14:srgbClr>
                  </w14:solidFill>
                </w14:textFill>
              </w:rPr>
              <w:t xml:space="preserve">　</w:t>
            </w:r>
            <w:r w:rsidR="00D03CD3">
              <w:rPr>
                <w:rFonts w:ascii="Arial Narrow" w:eastAsiaTheme="majorEastAsia" w:hAnsi="Arial Narrow" w:cstheme="majorBidi"/>
                <w:bCs/>
                <w:color w:val="000000"/>
                <w:sz w:val="20"/>
                <w:szCs w:val="20"/>
                <w:vertAlign w:val="superscript"/>
              </w:rPr>
              <w:t>5</w:t>
            </w:r>
            <w:r w:rsidRPr="008E7C4C">
              <w:rPr>
                <w:rFonts w:ascii="Arial Narrow" w:eastAsiaTheme="majorEastAsia" w:hAnsi="Arial Narrow" w:cstheme="majorBidi"/>
                <w:bCs/>
                <w:color w:val="000000"/>
                <w:sz w:val="20"/>
                <w:szCs w:val="20"/>
              </w:rPr>
              <w:t xml:space="preserve"> </w:t>
            </w:r>
          </w:p>
        </w:tc>
        <w:tc>
          <w:tcPr>
            <w:tcW w:w="647" w:type="pct"/>
            <w:shd w:val="clear" w:color="auto" w:fill="auto"/>
            <w:vAlign w:val="center"/>
          </w:tcPr>
          <w:p w14:paraId="313ED3E2" w14:textId="4D6C6DA9"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cstheme="majorBidi"/>
                <w:bCs/>
                <w:color w:val="000000"/>
                <w:sz w:val="20"/>
                <w:szCs w:val="20"/>
              </w:rPr>
              <w:t>$</w:t>
            </w:r>
            <w:r w:rsidR="00951174" w:rsidRPr="00951174">
              <w:rPr>
                <w:rFonts w:ascii="Arial Narrow" w:eastAsiaTheme="majorEastAsia" w:hAnsi="Arial Narrow" w:cstheme="majorBidi" w:hint="eastAsia"/>
                <w:bCs/>
                <w:color w:val="000000"/>
                <w:w w:val="16"/>
                <w:sz w:val="20"/>
                <w:szCs w:val="20"/>
                <w:shd w:val="solid" w:color="000000" w:fill="000000"/>
                <w:fitText w:val="75" w:id="-1502411254"/>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6"/>
                <w:sz w:val="20"/>
                <w:szCs w:val="20"/>
                <w:shd w:val="solid" w:color="000000" w:fill="000000"/>
                <w:fitText w:val="75" w:id="-1502411254"/>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6"/>
                <w:sz w:val="20"/>
                <w:szCs w:val="20"/>
                <w:shd w:val="solid" w:color="000000" w:fill="000000"/>
                <w:fitText w:val="75" w:id="-1502411254"/>
                <w14:textFill>
                  <w14:solidFill>
                    <w14:srgbClr w14:val="000000">
                      <w14:alpha w14:val="100000"/>
                    </w14:srgbClr>
                  </w14:solidFill>
                </w14:textFill>
              </w:rPr>
              <w:t xml:space="preserve">　</w:t>
            </w:r>
            <w:r w:rsidR="00D03CD3">
              <w:rPr>
                <w:rFonts w:ascii="Arial Narrow" w:eastAsiaTheme="majorEastAsia" w:hAnsi="Arial Narrow" w:cstheme="majorBidi"/>
                <w:bCs/>
                <w:color w:val="000000"/>
                <w:sz w:val="20"/>
                <w:szCs w:val="20"/>
                <w:vertAlign w:val="superscript"/>
              </w:rPr>
              <w:t>5</w:t>
            </w:r>
            <w:r w:rsidRPr="008E7C4C">
              <w:rPr>
                <w:rFonts w:ascii="Arial Narrow" w:eastAsiaTheme="majorEastAsia" w:hAnsi="Arial Narrow" w:cstheme="majorBidi"/>
                <w:bCs/>
                <w:color w:val="000000"/>
                <w:sz w:val="20"/>
                <w:szCs w:val="20"/>
              </w:rPr>
              <w:t xml:space="preserve"> </w:t>
            </w:r>
          </w:p>
        </w:tc>
        <w:tc>
          <w:tcPr>
            <w:tcW w:w="650" w:type="pct"/>
            <w:vAlign w:val="center"/>
          </w:tcPr>
          <w:p w14:paraId="525345B0" w14:textId="60ECA6CC" w:rsidR="00A879D8" w:rsidRPr="008E7C4C" w:rsidRDefault="00A879D8" w:rsidP="00A879D8">
            <w:pPr>
              <w:keepNext/>
              <w:jc w:val="center"/>
              <w:rPr>
                <w:rFonts w:ascii="Arial Narrow" w:eastAsiaTheme="majorEastAsia" w:hAnsi="Arial Narrow"/>
                <w:bCs/>
                <w:color w:val="000000" w:themeColor="text1"/>
                <w:sz w:val="20"/>
                <w:szCs w:val="20"/>
              </w:rPr>
            </w:pPr>
            <w:r w:rsidRPr="008E7C4C">
              <w:rPr>
                <w:rFonts w:ascii="Arial Narrow" w:eastAsiaTheme="majorEastAsia" w:hAnsi="Arial Narrow" w:cstheme="majorBidi"/>
                <w:bCs/>
                <w:color w:val="000000"/>
                <w:sz w:val="20"/>
                <w:szCs w:val="20"/>
              </w:rPr>
              <w:t>$</w:t>
            </w:r>
            <w:r w:rsidR="00951174" w:rsidRPr="00951174">
              <w:rPr>
                <w:rFonts w:ascii="Arial Narrow" w:eastAsiaTheme="majorEastAsia" w:hAnsi="Arial Narrow" w:cstheme="majorBidi" w:hint="eastAsia"/>
                <w:bCs/>
                <w:color w:val="000000"/>
                <w:w w:val="15"/>
                <w:sz w:val="20"/>
                <w:szCs w:val="20"/>
                <w:shd w:val="solid" w:color="000000" w:fill="000000"/>
                <w:fitText w:val="60" w:id="-1502411253"/>
                <w14:textFill>
                  <w14:solidFill>
                    <w14:srgbClr w14:val="000000">
                      <w14:alpha w14:val="100000"/>
                    </w14:srgbClr>
                  </w14:solidFill>
                </w14:textFill>
              </w:rPr>
              <w:t xml:space="preserve">　</w:t>
            </w:r>
            <w:r w:rsidR="00951174" w:rsidRPr="00951174">
              <w:rPr>
                <w:rFonts w:ascii="Arial Narrow" w:eastAsiaTheme="majorEastAsia" w:hAnsi="Arial Narrow" w:cstheme="majorBidi"/>
                <w:bCs/>
                <w:color w:val="000000"/>
                <w:w w:val="15"/>
                <w:sz w:val="20"/>
                <w:szCs w:val="20"/>
                <w:shd w:val="solid" w:color="000000" w:fill="000000"/>
                <w:fitText w:val="60" w:id="-1502411253"/>
                <w14:textFill>
                  <w14:solidFill>
                    <w14:srgbClr w14:val="000000">
                      <w14:alpha w14:val="100000"/>
                    </w14:srgbClr>
                  </w14:solidFill>
                </w14:textFill>
              </w:rPr>
              <w:t>|</w:t>
            </w:r>
            <w:r w:rsidR="00951174" w:rsidRPr="00951174">
              <w:rPr>
                <w:rFonts w:ascii="Arial Narrow" w:eastAsiaTheme="majorEastAsia" w:hAnsi="Arial Narrow" w:cstheme="majorBidi" w:hint="eastAsia"/>
                <w:bCs/>
                <w:color w:val="000000"/>
                <w:spacing w:val="-5"/>
                <w:w w:val="15"/>
                <w:sz w:val="20"/>
                <w:szCs w:val="20"/>
                <w:shd w:val="solid" w:color="000000" w:fill="000000"/>
                <w:fitText w:val="60" w:id="-1502411253"/>
                <w14:textFill>
                  <w14:solidFill>
                    <w14:srgbClr w14:val="000000">
                      <w14:alpha w14:val="100000"/>
                    </w14:srgbClr>
                  </w14:solidFill>
                </w14:textFill>
              </w:rPr>
              <w:t xml:space="preserve">　</w:t>
            </w:r>
            <w:r w:rsidR="00D03CD3">
              <w:rPr>
                <w:rFonts w:ascii="Arial Narrow" w:eastAsiaTheme="majorEastAsia" w:hAnsi="Arial Narrow" w:cstheme="majorBidi"/>
                <w:bCs/>
                <w:color w:val="000000"/>
                <w:sz w:val="20"/>
                <w:szCs w:val="20"/>
                <w:vertAlign w:val="superscript"/>
              </w:rPr>
              <w:t>5</w:t>
            </w:r>
            <w:r w:rsidRPr="008E7C4C">
              <w:rPr>
                <w:rFonts w:ascii="Arial Narrow" w:eastAsiaTheme="majorEastAsia" w:hAnsi="Arial Narrow" w:cstheme="majorBidi"/>
                <w:bCs/>
                <w:color w:val="000000"/>
                <w:sz w:val="20"/>
                <w:szCs w:val="20"/>
              </w:rPr>
              <w:t xml:space="preserve"> </w:t>
            </w:r>
          </w:p>
        </w:tc>
      </w:tr>
      <w:tr w:rsidR="00444536" w:rsidRPr="008E7C4C" w14:paraId="364B331C" w14:textId="77777777" w:rsidTr="00AD65F1">
        <w:tc>
          <w:tcPr>
            <w:tcW w:w="1" w:type="pct"/>
            <w:gridSpan w:val="7"/>
            <w:shd w:val="clear" w:color="auto" w:fill="auto"/>
            <w:vAlign w:val="center"/>
          </w:tcPr>
          <w:p w14:paraId="49A767F0" w14:textId="1740172F" w:rsidR="00444536" w:rsidRPr="008E7C4C" w:rsidRDefault="00444536" w:rsidP="00444536">
            <w:pPr>
              <w:keepNext/>
              <w:jc w:val="left"/>
              <w:rPr>
                <w:rFonts w:ascii="Arial Narrow" w:eastAsiaTheme="majorEastAsia" w:hAnsi="Arial Narrow" w:cstheme="majorBidi"/>
                <w:b/>
                <w:bCs/>
                <w:color w:val="000000"/>
                <w:sz w:val="20"/>
                <w:szCs w:val="20"/>
              </w:rPr>
            </w:pPr>
            <w:r w:rsidRPr="008E7C4C">
              <w:rPr>
                <w:rFonts w:ascii="Arial Narrow" w:eastAsiaTheme="majorEastAsia" w:hAnsi="Arial Narrow" w:cstheme="majorBidi"/>
                <w:b/>
                <w:sz w:val="20"/>
                <w:szCs w:val="20"/>
              </w:rPr>
              <w:t xml:space="preserve">Estimated financial implications for </w:t>
            </w:r>
            <w:proofErr w:type="spellStart"/>
            <w:r w:rsidRPr="008E7C4C">
              <w:rPr>
                <w:rFonts w:ascii="Arial Narrow" w:eastAsiaTheme="majorEastAsia" w:hAnsi="Arial Narrow" w:cstheme="majorBidi"/>
                <w:b/>
                <w:sz w:val="20"/>
                <w:szCs w:val="20"/>
              </w:rPr>
              <w:t>ILd</w:t>
            </w:r>
            <w:proofErr w:type="spellEnd"/>
          </w:p>
        </w:tc>
      </w:tr>
      <w:tr w:rsidR="00A879D8" w:rsidRPr="008E7C4C" w14:paraId="1EF59C24" w14:textId="77777777" w:rsidTr="006D7D90">
        <w:tc>
          <w:tcPr>
            <w:tcW w:w="1115" w:type="pct"/>
            <w:shd w:val="clear" w:color="auto" w:fill="auto"/>
            <w:vAlign w:val="center"/>
          </w:tcPr>
          <w:p w14:paraId="667F9FF1" w14:textId="77777777"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 xml:space="preserve">PBS/RPBS cost </w:t>
            </w:r>
            <w:proofErr w:type="spellStart"/>
            <w:r w:rsidRPr="008E7C4C">
              <w:rPr>
                <w:rFonts w:ascii="Arial Narrow" w:eastAsiaTheme="majorEastAsia" w:hAnsi="Arial Narrow" w:cstheme="majorBidi"/>
                <w:bCs/>
                <w:sz w:val="20"/>
                <w:szCs w:val="20"/>
              </w:rPr>
              <w:t>ixazomib</w:t>
            </w:r>
            <w:proofErr w:type="spellEnd"/>
            <w:r w:rsidRPr="008E7C4C">
              <w:rPr>
                <w:rFonts w:ascii="Arial Narrow" w:eastAsiaTheme="majorEastAsia" w:hAnsi="Arial Narrow" w:cstheme="majorBidi"/>
                <w:bCs/>
                <w:sz w:val="20"/>
                <w:szCs w:val="20"/>
              </w:rPr>
              <w:t xml:space="preserve"> plus lenalidomide (as part of </w:t>
            </w:r>
            <w:proofErr w:type="spellStart"/>
            <w:r w:rsidRPr="008E7C4C">
              <w:rPr>
                <w:rFonts w:ascii="Arial Narrow" w:eastAsiaTheme="majorEastAsia" w:hAnsi="Arial Narrow" w:cstheme="majorBidi"/>
                <w:bCs/>
                <w:sz w:val="20"/>
                <w:szCs w:val="20"/>
              </w:rPr>
              <w:t>ILd</w:t>
            </w:r>
            <w:proofErr w:type="spellEnd"/>
            <w:r w:rsidRPr="008E7C4C">
              <w:rPr>
                <w:rFonts w:ascii="Arial Narrow" w:eastAsiaTheme="majorEastAsia" w:hAnsi="Arial Narrow" w:cstheme="majorBidi"/>
                <w:bCs/>
                <w:sz w:val="20"/>
                <w:szCs w:val="20"/>
              </w:rPr>
              <w:t>)</w:t>
            </w:r>
          </w:p>
        </w:tc>
        <w:tc>
          <w:tcPr>
            <w:tcW w:w="647" w:type="pct"/>
            <w:shd w:val="clear" w:color="auto" w:fill="auto"/>
            <w:vAlign w:val="center"/>
          </w:tcPr>
          <w:p w14:paraId="4927C9FA" w14:textId="260802C6" w:rsidR="00A879D8" w:rsidRPr="00C63C9A" w:rsidRDefault="00A879D8" w:rsidP="00A879D8">
            <w:pPr>
              <w:keepNext/>
              <w:jc w:val="center"/>
              <w:rPr>
                <w:rFonts w:ascii="Arial Narrow" w:eastAsiaTheme="majorEastAsia" w:hAnsi="Arial Narrow" w:cstheme="majorBidi"/>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hint="eastAsia"/>
                <w:color w:val="000000"/>
                <w:w w:val="16"/>
                <w:sz w:val="20"/>
                <w:szCs w:val="20"/>
                <w:shd w:val="solid" w:color="000000" w:fill="000000"/>
                <w:fitText w:val="75" w:id="-1502411252"/>
                <w14:textFill>
                  <w14:solidFill>
                    <w14:srgbClr w14:val="000000">
                      <w14:alpha w14:val="100000"/>
                    </w14:srgbClr>
                  </w14:solidFill>
                </w14:textFill>
              </w:rPr>
              <w:t xml:space="preserve">　</w:t>
            </w:r>
            <w:r w:rsidR="00951174" w:rsidRPr="00951174">
              <w:rPr>
                <w:rFonts w:ascii="Arial Narrow" w:hAnsi="Arial Narrow" w:cs="Times New Roman"/>
                <w:color w:val="000000"/>
                <w:w w:val="16"/>
                <w:sz w:val="20"/>
                <w:szCs w:val="20"/>
                <w:shd w:val="solid" w:color="000000" w:fill="000000"/>
                <w:fitText w:val="75" w:id="-1502411252"/>
                <w14:textFill>
                  <w14:solidFill>
                    <w14:srgbClr w14:val="000000">
                      <w14:alpha w14:val="100000"/>
                    </w14:srgbClr>
                  </w14:solidFill>
                </w14:textFill>
              </w:rPr>
              <w:t>|</w:t>
            </w:r>
            <w:r w:rsidR="00951174" w:rsidRPr="00951174">
              <w:rPr>
                <w:rFonts w:ascii="Arial Narrow" w:hAnsi="Arial Narrow" w:cs="Times New Roman" w:hint="eastAsia"/>
                <w:color w:val="000000"/>
                <w:spacing w:val="5"/>
                <w:w w:val="16"/>
                <w:sz w:val="20"/>
                <w:szCs w:val="20"/>
                <w:shd w:val="solid" w:color="000000" w:fill="000000"/>
                <w:fitText w:val="75" w:id="-1502411252"/>
                <w14:textFill>
                  <w14:solidFill>
                    <w14:srgbClr w14:val="000000">
                      <w14:alpha w14:val="100000"/>
                    </w14:srgbClr>
                  </w14:solidFill>
                </w14:textFill>
              </w:rPr>
              <w:t xml:space="preserve">　</w:t>
            </w:r>
            <w:r w:rsidR="00C63C9A">
              <w:rPr>
                <w:rFonts w:ascii="Arial Narrow" w:hAnsi="Arial Narrow" w:cs="Times New Roman"/>
                <w:sz w:val="20"/>
                <w:szCs w:val="20"/>
                <w:vertAlign w:val="superscript"/>
              </w:rPr>
              <w:t>6</w:t>
            </w:r>
          </w:p>
        </w:tc>
        <w:tc>
          <w:tcPr>
            <w:tcW w:w="647" w:type="pct"/>
            <w:shd w:val="clear" w:color="auto" w:fill="auto"/>
            <w:vAlign w:val="center"/>
          </w:tcPr>
          <w:p w14:paraId="167C451A" w14:textId="33ED507A" w:rsidR="00A879D8" w:rsidRPr="00C63C9A" w:rsidRDefault="00A879D8" w:rsidP="00A879D8">
            <w:pPr>
              <w:keepNext/>
              <w:jc w:val="center"/>
              <w:rPr>
                <w:rFonts w:ascii="Arial Narrow" w:eastAsiaTheme="majorEastAsia" w:hAnsi="Arial Narrow" w:cstheme="majorBidi"/>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hint="eastAsia"/>
                <w:color w:val="000000"/>
                <w:w w:val="16"/>
                <w:sz w:val="20"/>
                <w:szCs w:val="20"/>
                <w:shd w:val="solid" w:color="000000" w:fill="000000"/>
                <w:fitText w:val="75" w:id="-1502411251"/>
                <w14:textFill>
                  <w14:solidFill>
                    <w14:srgbClr w14:val="000000">
                      <w14:alpha w14:val="100000"/>
                    </w14:srgbClr>
                  </w14:solidFill>
                </w14:textFill>
              </w:rPr>
              <w:t xml:space="preserve">　</w:t>
            </w:r>
            <w:r w:rsidR="00951174" w:rsidRPr="00951174">
              <w:rPr>
                <w:rFonts w:ascii="Arial Narrow" w:hAnsi="Arial Narrow" w:cs="Times New Roman"/>
                <w:color w:val="000000"/>
                <w:w w:val="16"/>
                <w:sz w:val="20"/>
                <w:szCs w:val="20"/>
                <w:shd w:val="solid" w:color="000000" w:fill="000000"/>
                <w:fitText w:val="75" w:id="-1502411251"/>
                <w14:textFill>
                  <w14:solidFill>
                    <w14:srgbClr w14:val="000000">
                      <w14:alpha w14:val="100000"/>
                    </w14:srgbClr>
                  </w14:solidFill>
                </w14:textFill>
              </w:rPr>
              <w:t>|</w:t>
            </w:r>
            <w:r w:rsidR="00951174" w:rsidRPr="00951174">
              <w:rPr>
                <w:rFonts w:ascii="Arial Narrow" w:hAnsi="Arial Narrow" w:cs="Times New Roman" w:hint="eastAsia"/>
                <w:color w:val="000000"/>
                <w:spacing w:val="5"/>
                <w:w w:val="16"/>
                <w:sz w:val="20"/>
                <w:szCs w:val="20"/>
                <w:shd w:val="solid" w:color="000000" w:fill="000000"/>
                <w:fitText w:val="75" w:id="-1502411251"/>
                <w14:textFill>
                  <w14:solidFill>
                    <w14:srgbClr w14:val="000000">
                      <w14:alpha w14:val="100000"/>
                    </w14:srgbClr>
                  </w14:solidFill>
                </w14:textFill>
              </w:rPr>
              <w:t xml:space="preserve">　</w:t>
            </w:r>
            <w:r w:rsidR="00C63C9A">
              <w:rPr>
                <w:rFonts w:ascii="Arial Narrow" w:hAnsi="Arial Narrow" w:cs="Times New Roman"/>
                <w:sz w:val="20"/>
                <w:szCs w:val="20"/>
                <w:vertAlign w:val="superscript"/>
              </w:rPr>
              <w:t>6</w:t>
            </w:r>
          </w:p>
        </w:tc>
        <w:tc>
          <w:tcPr>
            <w:tcW w:w="647" w:type="pct"/>
            <w:shd w:val="clear" w:color="auto" w:fill="auto"/>
            <w:vAlign w:val="center"/>
          </w:tcPr>
          <w:p w14:paraId="3873C2A6" w14:textId="60C3C3C3" w:rsidR="00A879D8" w:rsidRPr="00C63C9A" w:rsidRDefault="00A879D8" w:rsidP="00A879D8">
            <w:pPr>
              <w:keepNext/>
              <w:jc w:val="center"/>
              <w:rPr>
                <w:rFonts w:ascii="Arial Narrow" w:eastAsiaTheme="majorEastAsia" w:hAnsi="Arial Narrow" w:cstheme="majorBidi"/>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hint="eastAsia"/>
                <w:color w:val="000000"/>
                <w:w w:val="16"/>
                <w:sz w:val="20"/>
                <w:szCs w:val="20"/>
                <w:shd w:val="solid" w:color="000000" w:fill="000000"/>
                <w:fitText w:val="75" w:id="-1502411250"/>
                <w14:textFill>
                  <w14:solidFill>
                    <w14:srgbClr w14:val="000000">
                      <w14:alpha w14:val="100000"/>
                    </w14:srgbClr>
                  </w14:solidFill>
                </w14:textFill>
              </w:rPr>
              <w:t xml:space="preserve">　</w:t>
            </w:r>
            <w:r w:rsidR="00951174" w:rsidRPr="00951174">
              <w:rPr>
                <w:rFonts w:ascii="Arial Narrow" w:hAnsi="Arial Narrow" w:cs="Times New Roman"/>
                <w:color w:val="000000"/>
                <w:w w:val="16"/>
                <w:sz w:val="20"/>
                <w:szCs w:val="20"/>
                <w:shd w:val="solid" w:color="000000" w:fill="000000"/>
                <w:fitText w:val="75" w:id="-1502411250"/>
                <w14:textFill>
                  <w14:solidFill>
                    <w14:srgbClr w14:val="000000">
                      <w14:alpha w14:val="100000"/>
                    </w14:srgbClr>
                  </w14:solidFill>
                </w14:textFill>
              </w:rPr>
              <w:t>|</w:t>
            </w:r>
            <w:r w:rsidR="00951174" w:rsidRPr="00951174">
              <w:rPr>
                <w:rFonts w:ascii="Arial Narrow" w:hAnsi="Arial Narrow" w:cs="Times New Roman" w:hint="eastAsia"/>
                <w:color w:val="000000"/>
                <w:spacing w:val="5"/>
                <w:w w:val="16"/>
                <w:sz w:val="20"/>
                <w:szCs w:val="20"/>
                <w:shd w:val="solid" w:color="000000" w:fill="000000"/>
                <w:fitText w:val="75" w:id="-1502411250"/>
                <w14:textFill>
                  <w14:solidFill>
                    <w14:srgbClr w14:val="000000">
                      <w14:alpha w14:val="100000"/>
                    </w14:srgbClr>
                  </w14:solidFill>
                </w14:textFill>
              </w:rPr>
              <w:t xml:space="preserve">　</w:t>
            </w:r>
            <w:r w:rsidR="00C63C9A">
              <w:rPr>
                <w:rFonts w:ascii="Arial Narrow" w:hAnsi="Arial Narrow" w:cs="Times New Roman"/>
                <w:sz w:val="20"/>
                <w:szCs w:val="20"/>
                <w:vertAlign w:val="superscript"/>
              </w:rPr>
              <w:t>7</w:t>
            </w:r>
          </w:p>
        </w:tc>
        <w:tc>
          <w:tcPr>
            <w:tcW w:w="647" w:type="pct"/>
            <w:shd w:val="clear" w:color="auto" w:fill="auto"/>
            <w:vAlign w:val="center"/>
          </w:tcPr>
          <w:p w14:paraId="4BFF29BA" w14:textId="04017526" w:rsidR="00A879D8" w:rsidRPr="00C63C9A" w:rsidRDefault="00A879D8" w:rsidP="00A879D8">
            <w:pPr>
              <w:keepNext/>
              <w:jc w:val="center"/>
              <w:rPr>
                <w:rFonts w:ascii="Arial Narrow" w:eastAsiaTheme="majorEastAsia" w:hAnsi="Arial Narrow" w:cstheme="majorBidi"/>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hint="eastAsia"/>
                <w:color w:val="000000"/>
                <w:w w:val="16"/>
                <w:sz w:val="20"/>
                <w:szCs w:val="20"/>
                <w:shd w:val="solid" w:color="000000" w:fill="000000"/>
                <w:fitText w:val="75" w:id="-1502411249"/>
                <w14:textFill>
                  <w14:solidFill>
                    <w14:srgbClr w14:val="000000">
                      <w14:alpha w14:val="100000"/>
                    </w14:srgbClr>
                  </w14:solidFill>
                </w14:textFill>
              </w:rPr>
              <w:t xml:space="preserve">　</w:t>
            </w:r>
            <w:r w:rsidR="00951174" w:rsidRPr="00951174">
              <w:rPr>
                <w:rFonts w:ascii="Arial Narrow" w:hAnsi="Arial Narrow" w:cs="Times New Roman"/>
                <w:color w:val="000000"/>
                <w:w w:val="16"/>
                <w:sz w:val="20"/>
                <w:szCs w:val="20"/>
                <w:shd w:val="solid" w:color="000000" w:fill="000000"/>
                <w:fitText w:val="75" w:id="-1502411249"/>
                <w14:textFill>
                  <w14:solidFill>
                    <w14:srgbClr w14:val="000000">
                      <w14:alpha w14:val="100000"/>
                    </w14:srgbClr>
                  </w14:solidFill>
                </w14:textFill>
              </w:rPr>
              <w:t>|</w:t>
            </w:r>
            <w:r w:rsidR="00951174" w:rsidRPr="00951174">
              <w:rPr>
                <w:rFonts w:ascii="Arial Narrow" w:hAnsi="Arial Narrow" w:cs="Times New Roman" w:hint="eastAsia"/>
                <w:color w:val="000000"/>
                <w:spacing w:val="5"/>
                <w:w w:val="16"/>
                <w:sz w:val="20"/>
                <w:szCs w:val="20"/>
                <w:shd w:val="solid" w:color="000000" w:fill="000000"/>
                <w:fitText w:val="75" w:id="-1502411249"/>
                <w14:textFill>
                  <w14:solidFill>
                    <w14:srgbClr w14:val="000000">
                      <w14:alpha w14:val="100000"/>
                    </w14:srgbClr>
                  </w14:solidFill>
                </w14:textFill>
              </w:rPr>
              <w:t xml:space="preserve">　</w:t>
            </w:r>
            <w:r w:rsidR="00C63C9A">
              <w:rPr>
                <w:rFonts w:ascii="Arial Narrow" w:hAnsi="Arial Narrow" w:cs="Times New Roman"/>
                <w:sz w:val="20"/>
                <w:szCs w:val="20"/>
                <w:vertAlign w:val="superscript"/>
              </w:rPr>
              <w:t>7</w:t>
            </w:r>
          </w:p>
        </w:tc>
        <w:tc>
          <w:tcPr>
            <w:tcW w:w="647" w:type="pct"/>
            <w:shd w:val="clear" w:color="auto" w:fill="auto"/>
            <w:vAlign w:val="center"/>
          </w:tcPr>
          <w:p w14:paraId="16F0B318" w14:textId="2B68712E" w:rsidR="00A879D8" w:rsidRPr="00C63C9A" w:rsidRDefault="00A879D8" w:rsidP="00A879D8">
            <w:pPr>
              <w:keepNext/>
              <w:jc w:val="center"/>
              <w:rPr>
                <w:rFonts w:ascii="Arial Narrow" w:eastAsiaTheme="majorEastAsia" w:hAnsi="Arial Narrow" w:cstheme="majorBidi"/>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hint="eastAsia"/>
                <w:color w:val="000000"/>
                <w:w w:val="16"/>
                <w:sz w:val="20"/>
                <w:szCs w:val="20"/>
                <w:shd w:val="solid" w:color="000000" w:fill="000000"/>
                <w:fitText w:val="75" w:id="-1502411248"/>
                <w14:textFill>
                  <w14:solidFill>
                    <w14:srgbClr w14:val="000000">
                      <w14:alpha w14:val="100000"/>
                    </w14:srgbClr>
                  </w14:solidFill>
                </w14:textFill>
              </w:rPr>
              <w:t xml:space="preserve">　</w:t>
            </w:r>
            <w:r w:rsidR="00951174" w:rsidRPr="00951174">
              <w:rPr>
                <w:rFonts w:ascii="Arial Narrow" w:hAnsi="Arial Narrow" w:cs="Times New Roman"/>
                <w:color w:val="000000"/>
                <w:w w:val="16"/>
                <w:sz w:val="20"/>
                <w:szCs w:val="20"/>
                <w:shd w:val="solid" w:color="000000" w:fill="000000"/>
                <w:fitText w:val="75" w:id="-1502411248"/>
                <w14:textFill>
                  <w14:solidFill>
                    <w14:srgbClr w14:val="000000">
                      <w14:alpha w14:val="100000"/>
                    </w14:srgbClr>
                  </w14:solidFill>
                </w14:textFill>
              </w:rPr>
              <w:t>|</w:t>
            </w:r>
            <w:r w:rsidR="00951174" w:rsidRPr="00951174">
              <w:rPr>
                <w:rFonts w:ascii="Arial Narrow" w:hAnsi="Arial Narrow" w:cs="Times New Roman" w:hint="eastAsia"/>
                <w:color w:val="000000"/>
                <w:spacing w:val="5"/>
                <w:w w:val="16"/>
                <w:sz w:val="20"/>
                <w:szCs w:val="20"/>
                <w:shd w:val="solid" w:color="000000" w:fill="000000"/>
                <w:fitText w:val="75" w:id="-1502411248"/>
                <w14:textFill>
                  <w14:solidFill>
                    <w14:srgbClr w14:val="000000">
                      <w14:alpha w14:val="100000"/>
                    </w14:srgbClr>
                  </w14:solidFill>
                </w14:textFill>
              </w:rPr>
              <w:t xml:space="preserve">　</w:t>
            </w:r>
            <w:r w:rsidR="00C63C9A">
              <w:rPr>
                <w:rFonts w:ascii="Arial Narrow" w:hAnsi="Arial Narrow" w:cs="Times New Roman"/>
                <w:sz w:val="20"/>
                <w:szCs w:val="20"/>
                <w:vertAlign w:val="superscript"/>
              </w:rPr>
              <w:t>8</w:t>
            </w:r>
          </w:p>
        </w:tc>
        <w:tc>
          <w:tcPr>
            <w:tcW w:w="650" w:type="pct"/>
            <w:vAlign w:val="center"/>
          </w:tcPr>
          <w:p w14:paraId="2B135020" w14:textId="678EC656" w:rsidR="00A879D8" w:rsidRPr="00C63C9A" w:rsidRDefault="00A879D8" w:rsidP="00A879D8">
            <w:pPr>
              <w:keepNext/>
              <w:jc w:val="center"/>
              <w:rPr>
                <w:rFonts w:ascii="Arial Narrow" w:eastAsiaTheme="majorEastAsia" w:hAnsi="Arial Narrow" w:cstheme="majorBidi"/>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hint="eastAsia"/>
                <w:color w:val="000000"/>
                <w:w w:val="15"/>
                <w:sz w:val="20"/>
                <w:szCs w:val="20"/>
                <w:shd w:val="solid" w:color="000000" w:fill="000000"/>
                <w:fitText w:val="60" w:id="-1502411264"/>
                <w14:textFill>
                  <w14:solidFill>
                    <w14:srgbClr w14:val="000000">
                      <w14:alpha w14:val="100000"/>
                    </w14:srgbClr>
                  </w14:solidFill>
                </w14:textFill>
              </w:rPr>
              <w:t xml:space="preserve">　</w:t>
            </w:r>
            <w:r w:rsidR="00951174" w:rsidRPr="00951174">
              <w:rPr>
                <w:rFonts w:ascii="Arial Narrow" w:hAnsi="Arial Narrow" w:cs="Times New Roman"/>
                <w:color w:val="000000"/>
                <w:w w:val="15"/>
                <w:sz w:val="20"/>
                <w:szCs w:val="20"/>
                <w:shd w:val="solid" w:color="000000" w:fill="000000"/>
                <w:fitText w:val="60" w:id="-1502411264"/>
                <w14:textFill>
                  <w14:solidFill>
                    <w14:srgbClr w14:val="000000">
                      <w14:alpha w14:val="100000"/>
                    </w14:srgbClr>
                  </w14:solidFill>
                </w14:textFill>
              </w:rPr>
              <w:t>|</w:t>
            </w:r>
            <w:r w:rsidR="00951174" w:rsidRPr="00951174">
              <w:rPr>
                <w:rFonts w:ascii="Arial Narrow" w:hAnsi="Arial Narrow" w:cs="Times New Roman" w:hint="eastAsia"/>
                <w:color w:val="000000"/>
                <w:spacing w:val="-5"/>
                <w:w w:val="15"/>
                <w:sz w:val="20"/>
                <w:szCs w:val="20"/>
                <w:shd w:val="solid" w:color="000000" w:fill="000000"/>
                <w:fitText w:val="60" w:id="-1502411264"/>
                <w14:textFill>
                  <w14:solidFill>
                    <w14:srgbClr w14:val="000000">
                      <w14:alpha w14:val="100000"/>
                    </w14:srgbClr>
                  </w14:solidFill>
                </w14:textFill>
              </w:rPr>
              <w:t xml:space="preserve">　</w:t>
            </w:r>
            <w:r w:rsidR="00C63C9A">
              <w:rPr>
                <w:rFonts w:ascii="Arial Narrow" w:hAnsi="Arial Narrow" w:cs="Times New Roman"/>
                <w:sz w:val="20"/>
                <w:szCs w:val="20"/>
                <w:vertAlign w:val="superscript"/>
              </w:rPr>
              <w:t>8</w:t>
            </w:r>
          </w:p>
        </w:tc>
      </w:tr>
      <w:tr w:rsidR="00A879D8" w:rsidRPr="008E7C4C" w14:paraId="298A1344" w14:textId="77777777" w:rsidTr="006D7D90">
        <w:tc>
          <w:tcPr>
            <w:tcW w:w="5000" w:type="pct"/>
            <w:gridSpan w:val="7"/>
            <w:shd w:val="clear" w:color="auto" w:fill="auto"/>
            <w:vAlign w:val="center"/>
          </w:tcPr>
          <w:p w14:paraId="4F73D39D" w14:textId="2E209C81" w:rsidR="00A879D8" w:rsidRPr="008E7C4C" w:rsidRDefault="00A879D8" w:rsidP="00F53EA8">
            <w:pPr>
              <w:keepNext/>
              <w:jc w:val="left"/>
              <w:rPr>
                <w:rFonts w:ascii="Arial Narrow" w:eastAsiaTheme="majorEastAsia" w:hAnsi="Arial Narrow" w:cstheme="majorBidi"/>
                <w:b/>
                <w:sz w:val="20"/>
                <w:szCs w:val="20"/>
              </w:rPr>
            </w:pPr>
            <w:r w:rsidRPr="008E7C4C">
              <w:rPr>
                <w:rFonts w:ascii="Arial Narrow" w:eastAsiaTheme="majorEastAsia" w:hAnsi="Arial Narrow" w:cstheme="majorBidi"/>
                <w:b/>
                <w:sz w:val="20"/>
                <w:szCs w:val="20"/>
              </w:rPr>
              <w:t xml:space="preserve">Estimated financial implications for </w:t>
            </w:r>
            <w:r w:rsidR="00AD03DC" w:rsidRPr="008E7C4C">
              <w:rPr>
                <w:rFonts w:ascii="Arial Narrow" w:eastAsiaTheme="majorEastAsia" w:hAnsi="Arial Narrow" w:cstheme="majorBidi"/>
                <w:b/>
                <w:sz w:val="20"/>
                <w:szCs w:val="20"/>
              </w:rPr>
              <w:t>medicines</w:t>
            </w:r>
            <w:r w:rsidR="00F53EA8" w:rsidRPr="008E7C4C">
              <w:rPr>
                <w:rFonts w:ascii="Arial Narrow" w:eastAsiaTheme="majorEastAsia" w:hAnsi="Arial Narrow" w:cstheme="majorBidi"/>
                <w:b/>
                <w:sz w:val="20"/>
                <w:szCs w:val="20"/>
              </w:rPr>
              <w:t xml:space="preserve"> with reduced use</w:t>
            </w:r>
            <w:r w:rsidR="00444536" w:rsidRPr="008E7C4C">
              <w:rPr>
                <w:rFonts w:ascii="Arial Narrow" w:eastAsiaTheme="majorEastAsia" w:hAnsi="Arial Narrow" w:cstheme="majorBidi"/>
                <w:b/>
                <w:sz w:val="20"/>
                <w:szCs w:val="20"/>
              </w:rPr>
              <w:t xml:space="preserve">: </w:t>
            </w:r>
            <w:proofErr w:type="spellStart"/>
            <w:r w:rsidRPr="008E7C4C">
              <w:rPr>
                <w:rFonts w:ascii="Arial Narrow" w:eastAsiaTheme="majorEastAsia" w:hAnsi="Arial Narrow" w:cstheme="majorBidi"/>
                <w:b/>
                <w:sz w:val="20"/>
                <w:szCs w:val="20"/>
              </w:rPr>
              <w:t>Ld</w:t>
            </w:r>
            <w:proofErr w:type="spellEnd"/>
            <w:r w:rsidRPr="008E7C4C">
              <w:rPr>
                <w:rFonts w:ascii="Arial Narrow" w:eastAsiaTheme="majorEastAsia" w:hAnsi="Arial Narrow" w:cstheme="majorBidi"/>
                <w:b/>
                <w:sz w:val="20"/>
                <w:szCs w:val="20"/>
              </w:rPr>
              <w:t xml:space="preserve"> and Cd (not including dexamethasone)</w:t>
            </w:r>
          </w:p>
        </w:tc>
      </w:tr>
      <w:tr w:rsidR="00A879D8" w:rsidRPr="008E7C4C" w14:paraId="4A19E3AA" w14:textId="77777777" w:rsidTr="006D7D90">
        <w:tc>
          <w:tcPr>
            <w:tcW w:w="1115" w:type="pct"/>
            <w:shd w:val="clear" w:color="auto" w:fill="auto"/>
            <w:vAlign w:val="center"/>
          </w:tcPr>
          <w:p w14:paraId="3111DA64" w14:textId="10FFDED6"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Cost offsets to PBS/RPBS less co</w:t>
            </w:r>
            <w:r w:rsidR="00D21D03" w:rsidRPr="008E7C4C">
              <w:rPr>
                <w:rFonts w:ascii="Arial Narrow" w:eastAsiaTheme="majorEastAsia" w:hAnsi="Arial Narrow" w:cstheme="majorBidi"/>
                <w:bCs/>
                <w:sz w:val="20"/>
                <w:szCs w:val="20"/>
              </w:rPr>
              <w:t>-</w:t>
            </w:r>
            <w:r w:rsidRPr="008E7C4C">
              <w:rPr>
                <w:rFonts w:ascii="Arial Narrow" w:eastAsiaTheme="majorEastAsia" w:hAnsi="Arial Narrow" w:cstheme="majorBidi"/>
                <w:bCs/>
                <w:sz w:val="20"/>
                <w:szCs w:val="20"/>
              </w:rPr>
              <w:t>payments</w:t>
            </w:r>
          </w:p>
        </w:tc>
        <w:tc>
          <w:tcPr>
            <w:tcW w:w="647" w:type="pct"/>
            <w:shd w:val="clear" w:color="auto" w:fill="auto"/>
            <w:vAlign w:val="center"/>
          </w:tcPr>
          <w:p w14:paraId="14F3FB22" w14:textId="0674AF84"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color w:val="000000" w:themeColor="text1"/>
                <w:sz w:val="20"/>
                <w:szCs w:val="20"/>
              </w:rPr>
              <w:t>$</w:t>
            </w:r>
            <w:r w:rsidR="00951174" w:rsidRPr="00951174">
              <w:rPr>
                <w:rFonts w:ascii="Arial Narrow" w:eastAsiaTheme="majorEastAsia" w:hAnsi="Arial Narrow" w:cstheme="majorBidi" w:hint="eastAsia"/>
                <w:color w:val="000000" w:themeColor="text1"/>
                <w:w w:val="16"/>
                <w:sz w:val="20"/>
                <w:szCs w:val="20"/>
                <w:shd w:val="solid" w:color="000000" w:fill="000000"/>
                <w:fitText w:val="75" w:id="-1502411263"/>
                <w14:textFill>
                  <w14:solidFill>
                    <w14:schemeClr w14:val="tx1">
                      <w14:alpha w14:val="100000"/>
                    </w14:schemeClr>
                  </w14:solidFill>
                </w14:textFill>
              </w:rPr>
              <w:t xml:space="preserve">　</w:t>
            </w:r>
            <w:r w:rsidR="00951174" w:rsidRPr="00951174">
              <w:rPr>
                <w:rFonts w:ascii="Arial Narrow" w:eastAsiaTheme="majorEastAsia" w:hAnsi="Arial Narrow" w:cstheme="majorBidi"/>
                <w:color w:val="000000" w:themeColor="text1"/>
                <w:w w:val="16"/>
                <w:sz w:val="20"/>
                <w:szCs w:val="20"/>
                <w:shd w:val="solid" w:color="000000" w:fill="000000"/>
                <w:fitText w:val="75" w:id="-1502411263"/>
                <w14:textFill>
                  <w14:solidFill>
                    <w14:schemeClr w14:val="tx1">
                      <w14:alpha w14:val="100000"/>
                    </w14:schemeClr>
                  </w14:solidFill>
                </w14:textFill>
              </w:rPr>
              <w:t>|</w:t>
            </w:r>
            <w:r w:rsidR="00951174" w:rsidRPr="00951174">
              <w:rPr>
                <w:rFonts w:ascii="Arial Narrow" w:eastAsiaTheme="majorEastAsia" w:hAnsi="Arial Narrow" w:cstheme="majorBidi" w:hint="eastAsia"/>
                <w:color w:val="000000" w:themeColor="text1"/>
                <w:spacing w:val="5"/>
                <w:w w:val="16"/>
                <w:sz w:val="20"/>
                <w:szCs w:val="20"/>
                <w:shd w:val="solid" w:color="000000" w:fill="000000"/>
                <w:fitText w:val="75" w:id="-1502411263"/>
                <w14:textFill>
                  <w14:solidFill>
                    <w14:schemeClr w14:val="tx1">
                      <w14:alpha w14:val="100000"/>
                    </w14:schemeClr>
                  </w14:solidFill>
                </w14:textFill>
              </w:rPr>
              <w:t xml:space="preserve">　</w:t>
            </w:r>
            <w:r w:rsidR="00D03CD3">
              <w:rPr>
                <w:rFonts w:ascii="Arial Narrow" w:hAnsi="Arial Narrow" w:cs="Calibri"/>
                <w:color w:val="000000"/>
                <w:sz w:val="20"/>
                <w:szCs w:val="20"/>
                <w:vertAlign w:val="superscript"/>
              </w:rPr>
              <w:t>4</w:t>
            </w:r>
          </w:p>
        </w:tc>
        <w:tc>
          <w:tcPr>
            <w:tcW w:w="647" w:type="pct"/>
            <w:shd w:val="clear" w:color="auto" w:fill="auto"/>
            <w:vAlign w:val="center"/>
          </w:tcPr>
          <w:p w14:paraId="6EF601CB" w14:textId="7B2EB847"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color w:val="000000" w:themeColor="text1"/>
                <w:sz w:val="20"/>
                <w:szCs w:val="20"/>
              </w:rPr>
              <w:t>$</w:t>
            </w:r>
            <w:r w:rsidR="00951174" w:rsidRPr="00951174">
              <w:rPr>
                <w:rFonts w:ascii="Arial Narrow" w:eastAsiaTheme="majorEastAsia" w:hAnsi="Arial Narrow" w:cstheme="majorBidi" w:hint="eastAsia"/>
                <w:color w:val="000000" w:themeColor="text1"/>
                <w:w w:val="16"/>
                <w:sz w:val="20"/>
                <w:szCs w:val="20"/>
                <w:shd w:val="solid" w:color="000000" w:fill="000000"/>
                <w:fitText w:val="75" w:id="-1502411262"/>
                <w14:textFill>
                  <w14:solidFill>
                    <w14:schemeClr w14:val="tx1">
                      <w14:alpha w14:val="100000"/>
                    </w14:schemeClr>
                  </w14:solidFill>
                </w14:textFill>
              </w:rPr>
              <w:t xml:space="preserve">　</w:t>
            </w:r>
            <w:r w:rsidR="00951174" w:rsidRPr="00951174">
              <w:rPr>
                <w:rFonts w:ascii="Arial Narrow" w:eastAsiaTheme="majorEastAsia" w:hAnsi="Arial Narrow" w:cstheme="majorBidi"/>
                <w:color w:val="000000" w:themeColor="text1"/>
                <w:w w:val="16"/>
                <w:sz w:val="20"/>
                <w:szCs w:val="20"/>
                <w:shd w:val="solid" w:color="000000" w:fill="000000"/>
                <w:fitText w:val="75" w:id="-1502411262"/>
                <w14:textFill>
                  <w14:solidFill>
                    <w14:schemeClr w14:val="tx1">
                      <w14:alpha w14:val="100000"/>
                    </w14:schemeClr>
                  </w14:solidFill>
                </w14:textFill>
              </w:rPr>
              <w:t>|</w:t>
            </w:r>
            <w:r w:rsidR="00951174" w:rsidRPr="00951174">
              <w:rPr>
                <w:rFonts w:ascii="Arial Narrow" w:eastAsiaTheme="majorEastAsia" w:hAnsi="Arial Narrow" w:cstheme="majorBidi" w:hint="eastAsia"/>
                <w:color w:val="000000" w:themeColor="text1"/>
                <w:spacing w:val="5"/>
                <w:w w:val="16"/>
                <w:sz w:val="20"/>
                <w:szCs w:val="20"/>
                <w:shd w:val="solid" w:color="000000" w:fill="000000"/>
                <w:fitText w:val="75" w:id="-1502411262"/>
                <w14:textFill>
                  <w14:solidFill>
                    <w14:schemeClr w14:val="tx1">
                      <w14:alpha w14:val="100000"/>
                    </w14:schemeClr>
                  </w14:solidFill>
                </w14:textFill>
              </w:rPr>
              <w:t xml:space="preserve">　</w:t>
            </w:r>
            <w:r w:rsidR="00D03CD3">
              <w:rPr>
                <w:rFonts w:ascii="Arial Narrow" w:hAnsi="Arial Narrow" w:cs="Calibri"/>
                <w:color w:val="000000"/>
                <w:sz w:val="20"/>
                <w:szCs w:val="20"/>
                <w:vertAlign w:val="superscript"/>
              </w:rPr>
              <w:t>4</w:t>
            </w:r>
          </w:p>
        </w:tc>
        <w:tc>
          <w:tcPr>
            <w:tcW w:w="647" w:type="pct"/>
            <w:shd w:val="clear" w:color="auto" w:fill="auto"/>
            <w:vAlign w:val="center"/>
          </w:tcPr>
          <w:p w14:paraId="6EAFBCA8" w14:textId="34B34CDF" w:rsidR="00A879D8" w:rsidRPr="00D03CD3"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color w:val="000000" w:themeColor="text1"/>
                <w:sz w:val="20"/>
                <w:szCs w:val="20"/>
              </w:rPr>
              <w:t>$</w:t>
            </w:r>
            <w:r w:rsidR="00951174" w:rsidRPr="00951174">
              <w:rPr>
                <w:rFonts w:ascii="Arial Narrow" w:eastAsiaTheme="majorEastAsia" w:hAnsi="Arial Narrow" w:cstheme="majorBidi" w:hint="eastAsia"/>
                <w:color w:val="000000" w:themeColor="text1"/>
                <w:w w:val="16"/>
                <w:sz w:val="20"/>
                <w:szCs w:val="20"/>
                <w:shd w:val="solid" w:color="000000" w:fill="000000"/>
                <w:fitText w:val="75" w:id="-1502411261"/>
                <w14:textFill>
                  <w14:solidFill>
                    <w14:schemeClr w14:val="tx1">
                      <w14:alpha w14:val="100000"/>
                    </w14:schemeClr>
                  </w14:solidFill>
                </w14:textFill>
              </w:rPr>
              <w:t xml:space="preserve">　</w:t>
            </w:r>
            <w:r w:rsidR="00951174" w:rsidRPr="00951174">
              <w:rPr>
                <w:rFonts w:ascii="Arial Narrow" w:eastAsiaTheme="majorEastAsia" w:hAnsi="Arial Narrow" w:cstheme="majorBidi"/>
                <w:color w:val="000000" w:themeColor="text1"/>
                <w:w w:val="16"/>
                <w:sz w:val="20"/>
                <w:szCs w:val="20"/>
                <w:shd w:val="solid" w:color="000000" w:fill="000000"/>
                <w:fitText w:val="75" w:id="-1502411261"/>
                <w14:textFill>
                  <w14:solidFill>
                    <w14:schemeClr w14:val="tx1">
                      <w14:alpha w14:val="100000"/>
                    </w14:schemeClr>
                  </w14:solidFill>
                </w14:textFill>
              </w:rPr>
              <w:t>|</w:t>
            </w:r>
            <w:r w:rsidR="00951174" w:rsidRPr="00951174">
              <w:rPr>
                <w:rFonts w:ascii="Arial Narrow" w:eastAsiaTheme="majorEastAsia" w:hAnsi="Arial Narrow" w:cstheme="majorBidi" w:hint="eastAsia"/>
                <w:color w:val="000000" w:themeColor="text1"/>
                <w:spacing w:val="5"/>
                <w:w w:val="16"/>
                <w:sz w:val="20"/>
                <w:szCs w:val="20"/>
                <w:shd w:val="solid" w:color="000000" w:fill="000000"/>
                <w:fitText w:val="75" w:id="-1502411261"/>
                <w14:textFill>
                  <w14:solidFill>
                    <w14:schemeClr w14:val="tx1">
                      <w14:alpha w14:val="100000"/>
                    </w14:schemeClr>
                  </w14:solidFill>
                </w14:textFill>
              </w:rPr>
              <w:t xml:space="preserve">　</w:t>
            </w:r>
            <w:r w:rsidR="00D03CD3">
              <w:rPr>
                <w:rFonts w:ascii="Arial Narrow" w:eastAsiaTheme="majorEastAsia" w:hAnsi="Arial Narrow" w:cstheme="majorBidi"/>
                <w:color w:val="000000" w:themeColor="text1"/>
                <w:sz w:val="20"/>
                <w:szCs w:val="20"/>
                <w:vertAlign w:val="superscript"/>
              </w:rPr>
              <w:t>5</w:t>
            </w:r>
          </w:p>
        </w:tc>
        <w:tc>
          <w:tcPr>
            <w:tcW w:w="647" w:type="pct"/>
            <w:shd w:val="clear" w:color="auto" w:fill="auto"/>
            <w:vAlign w:val="center"/>
          </w:tcPr>
          <w:p w14:paraId="66E5793B" w14:textId="29FCDA35"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color w:val="000000" w:themeColor="text1"/>
                <w:sz w:val="20"/>
                <w:szCs w:val="20"/>
              </w:rPr>
              <w:t>$</w:t>
            </w:r>
            <w:r w:rsidR="00951174" w:rsidRPr="00951174">
              <w:rPr>
                <w:rFonts w:ascii="Arial Narrow" w:eastAsiaTheme="majorEastAsia" w:hAnsi="Arial Narrow" w:cstheme="majorBidi" w:hint="eastAsia"/>
                <w:color w:val="000000" w:themeColor="text1"/>
                <w:w w:val="16"/>
                <w:sz w:val="20"/>
                <w:szCs w:val="20"/>
                <w:shd w:val="solid" w:color="000000" w:fill="000000"/>
                <w:fitText w:val="75" w:id="-1502411260"/>
                <w14:textFill>
                  <w14:solidFill>
                    <w14:schemeClr w14:val="tx1">
                      <w14:alpha w14:val="100000"/>
                    </w14:schemeClr>
                  </w14:solidFill>
                </w14:textFill>
              </w:rPr>
              <w:t xml:space="preserve">　</w:t>
            </w:r>
            <w:r w:rsidR="00951174" w:rsidRPr="00951174">
              <w:rPr>
                <w:rFonts w:ascii="Arial Narrow" w:eastAsiaTheme="majorEastAsia" w:hAnsi="Arial Narrow" w:cstheme="majorBidi"/>
                <w:color w:val="000000" w:themeColor="text1"/>
                <w:w w:val="16"/>
                <w:sz w:val="20"/>
                <w:szCs w:val="20"/>
                <w:shd w:val="solid" w:color="000000" w:fill="000000"/>
                <w:fitText w:val="75" w:id="-1502411260"/>
                <w14:textFill>
                  <w14:solidFill>
                    <w14:schemeClr w14:val="tx1">
                      <w14:alpha w14:val="100000"/>
                    </w14:schemeClr>
                  </w14:solidFill>
                </w14:textFill>
              </w:rPr>
              <w:t>|</w:t>
            </w:r>
            <w:r w:rsidR="00951174" w:rsidRPr="00951174">
              <w:rPr>
                <w:rFonts w:ascii="Arial Narrow" w:eastAsiaTheme="majorEastAsia" w:hAnsi="Arial Narrow" w:cstheme="majorBidi" w:hint="eastAsia"/>
                <w:color w:val="000000" w:themeColor="text1"/>
                <w:spacing w:val="5"/>
                <w:w w:val="16"/>
                <w:sz w:val="20"/>
                <w:szCs w:val="20"/>
                <w:shd w:val="solid" w:color="000000" w:fill="000000"/>
                <w:fitText w:val="75" w:id="-1502411260"/>
                <w14:textFill>
                  <w14:solidFill>
                    <w14:schemeClr w14:val="tx1">
                      <w14:alpha w14:val="100000"/>
                    </w14:schemeClr>
                  </w14:solidFill>
                </w14:textFill>
              </w:rPr>
              <w:t xml:space="preserve">　</w:t>
            </w:r>
            <w:r w:rsidR="00D03CD3">
              <w:rPr>
                <w:rFonts w:ascii="Arial Narrow" w:eastAsiaTheme="majorEastAsia" w:hAnsi="Arial Narrow" w:cstheme="majorBidi"/>
                <w:color w:val="000000" w:themeColor="text1"/>
                <w:sz w:val="20"/>
                <w:szCs w:val="20"/>
                <w:vertAlign w:val="superscript"/>
              </w:rPr>
              <w:t>5</w:t>
            </w:r>
          </w:p>
        </w:tc>
        <w:tc>
          <w:tcPr>
            <w:tcW w:w="647" w:type="pct"/>
            <w:shd w:val="clear" w:color="auto" w:fill="auto"/>
            <w:vAlign w:val="center"/>
          </w:tcPr>
          <w:p w14:paraId="0C68C48C" w14:textId="1E8895D8"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color w:val="000000" w:themeColor="text1"/>
                <w:sz w:val="20"/>
                <w:szCs w:val="20"/>
              </w:rPr>
              <w:t>$</w:t>
            </w:r>
            <w:r w:rsidR="00951174" w:rsidRPr="00951174">
              <w:rPr>
                <w:rFonts w:ascii="Arial Narrow" w:eastAsiaTheme="majorEastAsia" w:hAnsi="Arial Narrow" w:cstheme="majorBidi" w:hint="eastAsia"/>
                <w:color w:val="000000" w:themeColor="text1"/>
                <w:w w:val="16"/>
                <w:sz w:val="20"/>
                <w:szCs w:val="20"/>
                <w:shd w:val="solid" w:color="000000" w:fill="000000"/>
                <w:fitText w:val="75" w:id="-1502411259"/>
                <w14:textFill>
                  <w14:solidFill>
                    <w14:schemeClr w14:val="tx1">
                      <w14:alpha w14:val="100000"/>
                    </w14:schemeClr>
                  </w14:solidFill>
                </w14:textFill>
              </w:rPr>
              <w:t xml:space="preserve">　</w:t>
            </w:r>
            <w:r w:rsidR="00951174" w:rsidRPr="00951174">
              <w:rPr>
                <w:rFonts w:ascii="Arial Narrow" w:eastAsiaTheme="majorEastAsia" w:hAnsi="Arial Narrow" w:cstheme="majorBidi"/>
                <w:color w:val="000000" w:themeColor="text1"/>
                <w:w w:val="16"/>
                <w:sz w:val="20"/>
                <w:szCs w:val="20"/>
                <w:shd w:val="solid" w:color="000000" w:fill="000000"/>
                <w:fitText w:val="75" w:id="-1502411259"/>
                <w14:textFill>
                  <w14:solidFill>
                    <w14:schemeClr w14:val="tx1">
                      <w14:alpha w14:val="100000"/>
                    </w14:schemeClr>
                  </w14:solidFill>
                </w14:textFill>
              </w:rPr>
              <w:t>|</w:t>
            </w:r>
            <w:r w:rsidR="00951174" w:rsidRPr="00951174">
              <w:rPr>
                <w:rFonts w:ascii="Arial Narrow" w:eastAsiaTheme="majorEastAsia" w:hAnsi="Arial Narrow" w:cstheme="majorBidi" w:hint="eastAsia"/>
                <w:color w:val="000000" w:themeColor="text1"/>
                <w:spacing w:val="5"/>
                <w:w w:val="16"/>
                <w:sz w:val="20"/>
                <w:szCs w:val="20"/>
                <w:shd w:val="solid" w:color="000000" w:fill="000000"/>
                <w:fitText w:val="75" w:id="-1502411259"/>
                <w14:textFill>
                  <w14:solidFill>
                    <w14:schemeClr w14:val="tx1">
                      <w14:alpha w14:val="100000"/>
                    </w14:schemeClr>
                  </w14:solidFill>
                </w14:textFill>
              </w:rPr>
              <w:t xml:space="preserve">　</w:t>
            </w:r>
            <w:r w:rsidR="00D03CD3">
              <w:rPr>
                <w:rFonts w:ascii="Arial Narrow" w:eastAsiaTheme="majorEastAsia" w:hAnsi="Arial Narrow" w:cstheme="majorBidi"/>
                <w:color w:val="000000" w:themeColor="text1"/>
                <w:sz w:val="20"/>
                <w:szCs w:val="20"/>
                <w:vertAlign w:val="superscript"/>
              </w:rPr>
              <w:t>5</w:t>
            </w:r>
          </w:p>
        </w:tc>
        <w:tc>
          <w:tcPr>
            <w:tcW w:w="650" w:type="pct"/>
            <w:vAlign w:val="center"/>
          </w:tcPr>
          <w:p w14:paraId="2A48E8DB" w14:textId="483E4A27"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color w:val="000000" w:themeColor="text1"/>
                <w:sz w:val="20"/>
                <w:szCs w:val="20"/>
              </w:rPr>
              <w:t>$</w:t>
            </w:r>
            <w:r w:rsidR="00951174" w:rsidRPr="00951174">
              <w:rPr>
                <w:rFonts w:ascii="Arial Narrow" w:eastAsiaTheme="majorEastAsia" w:hAnsi="Arial Narrow" w:cstheme="majorBidi" w:hint="eastAsia"/>
                <w:color w:val="000000" w:themeColor="text1"/>
                <w:w w:val="15"/>
                <w:sz w:val="20"/>
                <w:szCs w:val="20"/>
                <w:shd w:val="solid" w:color="000000" w:fill="000000"/>
                <w:fitText w:val="60" w:id="-1502411258"/>
                <w14:textFill>
                  <w14:solidFill>
                    <w14:schemeClr w14:val="tx1">
                      <w14:alpha w14:val="100000"/>
                    </w14:schemeClr>
                  </w14:solidFill>
                </w14:textFill>
              </w:rPr>
              <w:t xml:space="preserve">　</w:t>
            </w:r>
            <w:r w:rsidR="00951174" w:rsidRPr="00951174">
              <w:rPr>
                <w:rFonts w:ascii="Arial Narrow" w:eastAsiaTheme="majorEastAsia" w:hAnsi="Arial Narrow" w:cstheme="majorBidi"/>
                <w:color w:val="000000" w:themeColor="text1"/>
                <w:w w:val="15"/>
                <w:sz w:val="20"/>
                <w:szCs w:val="20"/>
                <w:shd w:val="solid" w:color="000000" w:fill="000000"/>
                <w:fitText w:val="60" w:id="-1502411258"/>
                <w14:textFill>
                  <w14:solidFill>
                    <w14:schemeClr w14:val="tx1">
                      <w14:alpha w14:val="100000"/>
                    </w14:schemeClr>
                  </w14:solidFill>
                </w14:textFill>
              </w:rPr>
              <w:t>|</w:t>
            </w:r>
            <w:r w:rsidR="00951174" w:rsidRPr="00951174">
              <w:rPr>
                <w:rFonts w:ascii="Arial Narrow" w:eastAsiaTheme="majorEastAsia" w:hAnsi="Arial Narrow" w:cstheme="majorBidi" w:hint="eastAsia"/>
                <w:color w:val="000000" w:themeColor="text1"/>
                <w:spacing w:val="-5"/>
                <w:w w:val="15"/>
                <w:sz w:val="20"/>
                <w:szCs w:val="20"/>
                <w:shd w:val="solid" w:color="000000" w:fill="000000"/>
                <w:fitText w:val="60" w:id="-1502411258"/>
                <w14:textFill>
                  <w14:solidFill>
                    <w14:schemeClr w14:val="tx1">
                      <w14:alpha w14:val="100000"/>
                    </w14:schemeClr>
                  </w14:solidFill>
                </w14:textFill>
              </w:rPr>
              <w:t xml:space="preserve">　</w:t>
            </w:r>
            <w:r w:rsidR="00D03CD3">
              <w:rPr>
                <w:rFonts w:ascii="Arial Narrow" w:eastAsiaTheme="majorEastAsia" w:hAnsi="Arial Narrow" w:cstheme="majorBidi"/>
                <w:color w:val="000000" w:themeColor="text1"/>
                <w:sz w:val="20"/>
                <w:szCs w:val="20"/>
                <w:vertAlign w:val="superscript"/>
              </w:rPr>
              <w:t>5</w:t>
            </w:r>
          </w:p>
        </w:tc>
      </w:tr>
      <w:tr w:rsidR="00A879D8" w:rsidRPr="008E7C4C" w14:paraId="4E3E18EC" w14:textId="77777777" w:rsidTr="006D7D90">
        <w:tc>
          <w:tcPr>
            <w:tcW w:w="5000" w:type="pct"/>
            <w:gridSpan w:val="7"/>
            <w:shd w:val="clear" w:color="auto" w:fill="auto"/>
            <w:vAlign w:val="center"/>
          </w:tcPr>
          <w:p w14:paraId="5E3FBCE2" w14:textId="77777777" w:rsidR="00A879D8" w:rsidRPr="008E7C4C" w:rsidRDefault="00A879D8" w:rsidP="00A879D8">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Net financial implications</w:t>
            </w:r>
          </w:p>
        </w:tc>
      </w:tr>
      <w:tr w:rsidR="00A879D8" w:rsidRPr="008E7C4C" w14:paraId="2D0F3E96" w14:textId="77777777" w:rsidTr="006D7D90">
        <w:tc>
          <w:tcPr>
            <w:tcW w:w="1115" w:type="pct"/>
            <w:shd w:val="clear" w:color="auto" w:fill="auto"/>
            <w:vAlign w:val="center"/>
          </w:tcPr>
          <w:p w14:paraId="3F4EE203" w14:textId="77777777"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Net cost to PBS/RPBS</w:t>
            </w:r>
          </w:p>
        </w:tc>
        <w:tc>
          <w:tcPr>
            <w:tcW w:w="647" w:type="pct"/>
            <w:shd w:val="clear" w:color="auto" w:fill="auto"/>
            <w:vAlign w:val="center"/>
          </w:tcPr>
          <w:p w14:paraId="5041637B" w14:textId="627505E1"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57"/>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57"/>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57"/>
                <w14:textFill>
                  <w14:solidFill>
                    <w14:srgbClr w14:val="000000">
                      <w14:alpha w14:val="100000"/>
                    </w14:srgbClr>
                  </w14:solidFill>
                </w14:textFill>
              </w:rPr>
              <w:t xml:space="preserve">　</w:t>
            </w:r>
            <w:r w:rsidR="00D03CD3">
              <w:rPr>
                <w:rFonts w:ascii="Arial Narrow" w:eastAsiaTheme="majorEastAsia" w:hAnsi="Arial Narrow" w:cstheme="majorBidi"/>
                <w:color w:val="000000" w:themeColor="text1"/>
                <w:sz w:val="20"/>
                <w:szCs w:val="20"/>
                <w:vertAlign w:val="superscript"/>
              </w:rPr>
              <w:t>5</w:t>
            </w:r>
          </w:p>
        </w:tc>
        <w:tc>
          <w:tcPr>
            <w:tcW w:w="647" w:type="pct"/>
            <w:shd w:val="clear" w:color="auto" w:fill="auto"/>
            <w:vAlign w:val="center"/>
          </w:tcPr>
          <w:p w14:paraId="77925014" w14:textId="343181A6"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56"/>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56"/>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56"/>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43170CC5" w14:textId="5F9AA41F"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55"/>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55"/>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55"/>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6651C4FF" w14:textId="1478C3EE"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54"/>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54"/>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54"/>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69FF45E6" w14:textId="44344189"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53"/>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53"/>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53"/>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c>
          <w:tcPr>
            <w:tcW w:w="650" w:type="pct"/>
            <w:vAlign w:val="center"/>
          </w:tcPr>
          <w:p w14:paraId="01296B8A" w14:textId="522FDBA1"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5"/>
                <w:sz w:val="20"/>
                <w:szCs w:val="20"/>
                <w:shd w:val="solid" w:color="000000" w:fill="000000"/>
                <w:fitText w:val="60" w:id="-1502411252"/>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5"/>
                <w:sz w:val="20"/>
                <w:szCs w:val="20"/>
                <w:shd w:val="solid" w:color="000000" w:fill="000000"/>
                <w:fitText w:val="60" w:id="-1502411252"/>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5"/>
                <w:sz w:val="20"/>
                <w:szCs w:val="20"/>
                <w:shd w:val="solid" w:color="000000" w:fill="000000"/>
                <w:fitText w:val="60" w:id="-1502411252"/>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r>
      <w:tr w:rsidR="00A879D8" w:rsidRPr="008E7C4C" w14:paraId="70E0B407" w14:textId="77777777" w:rsidTr="006D7D90">
        <w:tc>
          <w:tcPr>
            <w:tcW w:w="1115" w:type="pct"/>
            <w:shd w:val="clear" w:color="auto" w:fill="auto"/>
            <w:vAlign w:val="center"/>
          </w:tcPr>
          <w:p w14:paraId="3CE0D5D6" w14:textId="77777777"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Net cost to MBS</w:t>
            </w:r>
          </w:p>
        </w:tc>
        <w:tc>
          <w:tcPr>
            <w:tcW w:w="647" w:type="pct"/>
            <w:shd w:val="clear" w:color="auto" w:fill="auto"/>
            <w:vAlign w:val="center"/>
          </w:tcPr>
          <w:p w14:paraId="187853D1" w14:textId="07389DEA" w:rsidR="00A879D8" w:rsidRPr="00997FB1"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51"/>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51"/>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51"/>
                <w14:textFill>
                  <w14:solidFill>
                    <w14:srgbClr w14:val="000000">
                      <w14:alpha w14:val="100000"/>
                    </w14:srgbClr>
                  </w14:solidFill>
                </w14:textFill>
              </w:rPr>
              <w:t xml:space="preserve">　</w:t>
            </w:r>
            <w:r w:rsidR="00997FB1">
              <w:rPr>
                <w:rFonts w:ascii="Arial Narrow" w:eastAsiaTheme="majorEastAsia" w:hAnsi="Arial Narrow" w:cstheme="majorBidi"/>
                <w:sz w:val="20"/>
                <w:szCs w:val="20"/>
                <w:vertAlign w:val="superscript"/>
              </w:rPr>
              <w:t>3</w:t>
            </w:r>
          </w:p>
        </w:tc>
        <w:tc>
          <w:tcPr>
            <w:tcW w:w="647" w:type="pct"/>
            <w:shd w:val="clear" w:color="auto" w:fill="auto"/>
            <w:vAlign w:val="center"/>
          </w:tcPr>
          <w:p w14:paraId="5B342548" w14:textId="070DCD33" w:rsidR="00A879D8" w:rsidRPr="00997FB1"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20"/>
                <w:sz w:val="20"/>
                <w:szCs w:val="20"/>
                <w:shd w:val="solid" w:color="000000" w:fill="000000"/>
                <w:fitText w:val="90" w:id="-1502411250"/>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20"/>
                <w:sz w:val="20"/>
                <w:szCs w:val="20"/>
                <w:shd w:val="solid" w:color="000000" w:fill="000000"/>
                <w:fitText w:val="90" w:id="-1502411250"/>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3"/>
                <w:w w:val="20"/>
                <w:sz w:val="20"/>
                <w:szCs w:val="20"/>
                <w:shd w:val="solid" w:color="000000" w:fill="000000"/>
                <w:fitText w:val="90" w:id="-1502411250"/>
                <w14:textFill>
                  <w14:solidFill>
                    <w14:srgbClr w14:val="000000">
                      <w14:alpha w14:val="100000"/>
                    </w14:srgbClr>
                  </w14:solidFill>
                </w14:textFill>
              </w:rPr>
              <w:t xml:space="preserve">　</w:t>
            </w:r>
            <w:r w:rsidR="00997FB1">
              <w:rPr>
                <w:rFonts w:ascii="Arial Narrow" w:eastAsiaTheme="majorEastAsia" w:hAnsi="Arial Narrow" w:cstheme="majorBidi"/>
                <w:sz w:val="20"/>
                <w:szCs w:val="20"/>
                <w:vertAlign w:val="superscript"/>
              </w:rPr>
              <w:t>3</w:t>
            </w:r>
          </w:p>
        </w:tc>
        <w:tc>
          <w:tcPr>
            <w:tcW w:w="647" w:type="pct"/>
            <w:shd w:val="clear" w:color="auto" w:fill="auto"/>
            <w:vAlign w:val="center"/>
          </w:tcPr>
          <w:p w14:paraId="7A87295F" w14:textId="4D2822B7" w:rsidR="00A879D8" w:rsidRPr="00997FB1"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20"/>
                <w:sz w:val="20"/>
                <w:szCs w:val="20"/>
                <w:shd w:val="solid" w:color="000000" w:fill="000000"/>
                <w:fitText w:val="90" w:id="-1502411249"/>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20"/>
                <w:sz w:val="20"/>
                <w:szCs w:val="20"/>
                <w:shd w:val="solid" w:color="000000" w:fill="000000"/>
                <w:fitText w:val="90" w:id="-1502411249"/>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3"/>
                <w:w w:val="20"/>
                <w:sz w:val="20"/>
                <w:szCs w:val="20"/>
                <w:shd w:val="solid" w:color="000000" w:fill="000000"/>
                <w:fitText w:val="90" w:id="-1502411249"/>
                <w14:textFill>
                  <w14:solidFill>
                    <w14:srgbClr w14:val="000000">
                      <w14:alpha w14:val="100000"/>
                    </w14:srgbClr>
                  </w14:solidFill>
                </w14:textFill>
              </w:rPr>
              <w:t xml:space="preserve">　</w:t>
            </w:r>
            <w:r w:rsidR="00997FB1">
              <w:rPr>
                <w:rFonts w:ascii="Arial Narrow" w:eastAsiaTheme="majorEastAsia" w:hAnsi="Arial Narrow" w:cstheme="majorBidi"/>
                <w:sz w:val="20"/>
                <w:szCs w:val="20"/>
                <w:vertAlign w:val="superscript"/>
              </w:rPr>
              <w:t>3</w:t>
            </w:r>
          </w:p>
        </w:tc>
        <w:tc>
          <w:tcPr>
            <w:tcW w:w="647" w:type="pct"/>
            <w:shd w:val="clear" w:color="auto" w:fill="auto"/>
            <w:vAlign w:val="center"/>
          </w:tcPr>
          <w:p w14:paraId="2E4B2922" w14:textId="69AE4EB1" w:rsidR="00A879D8" w:rsidRPr="00997FB1"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20"/>
                <w:sz w:val="20"/>
                <w:szCs w:val="20"/>
                <w:shd w:val="solid" w:color="000000" w:fill="000000"/>
                <w:fitText w:val="90" w:id="-1502411248"/>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20"/>
                <w:sz w:val="20"/>
                <w:szCs w:val="20"/>
                <w:shd w:val="solid" w:color="000000" w:fill="000000"/>
                <w:fitText w:val="90" w:id="-1502411248"/>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3"/>
                <w:w w:val="20"/>
                <w:sz w:val="20"/>
                <w:szCs w:val="20"/>
                <w:shd w:val="solid" w:color="000000" w:fill="000000"/>
                <w:fitText w:val="90" w:id="-1502411248"/>
                <w14:textFill>
                  <w14:solidFill>
                    <w14:srgbClr w14:val="000000">
                      <w14:alpha w14:val="100000"/>
                    </w14:srgbClr>
                  </w14:solidFill>
                </w14:textFill>
              </w:rPr>
              <w:t xml:space="preserve">　</w:t>
            </w:r>
            <w:r w:rsidR="00997FB1">
              <w:rPr>
                <w:rFonts w:ascii="Arial Narrow" w:eastAsiaTheme="majorEastAsia" w:hAnsi="Arial Narrow" w:cstheme="majorBidi"/>
                <w:sz w:val="20"/>
                <w:szCs w:val="20"/>
                <w:vertAlign w:val="superscript"/>
              </w:rPr>
              <w:t>3</w:t>
            </w:r>
          </w:p>
        </w:tc>
        <w:tc>
          <w:tcPr>
            <w:tcW w:w="647" w:type="pct"/>
            <w:shd w:val="clear" w:color="auto" w:fill="auto"/>
            <w:vAlign w:val="center"/>
          </w:tcPr>
          <w:p w14:paraId="1475CE80" w14:textId="3020C884" w:rsidR="00A879D8" w:rsidRPr="00997FB1"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20"/>
                <w:sz w:val="20"/>
                <w:szCs w:val="20"/>
                <w:shd w:val="solid" w:color="000000" w:fill="000000"/>
                <w:fitText w:val="90" w:id="-1502411264"/>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20"/>
                <w:sz w:val="20"/>
                <w:szCs w:val="20"/>
                <w:shd w:val="solid" w:color="000000" w:fill="000000"/>
                <w:fitText w:val="90" w:id="-1502411264"/>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3"/>
                <w:w w:val="20"/>
                <w:sz w:val="20"/>
                <w:szCs w:val="20"/>
                <w:shd w:val="solid" w:color="000000" w:fill="000000"/>
                <w:fitText w:val="90" w:id="-1502411264"/>
                <w14:textFill>
                  <w14:solidFill>
                    <w14:srgbClr w14:val="000000">
                      <w14:alpha w14:val="100000"/>
                    </w14:srgbClr>
                  </w14:solidFill>
                </w14:textFill>
              </w:rPr>
              <w:t xml:space="preserve">　</w:t>
            </w:r>
            <w:r w:rsidR="00997FB1">
              <w:rPr>
                <w:rFonts w:ascii="Arial Narrow" w:eastAsiaTheme="majorEastAsia" w:hAnsi="Arial Narrow" w:cstheme="majorBidi"/>
                <w:sz w:val="20"/>
                <w:szCs w:val="20"/>
                <w:vertAlign w:val="superscript"/>
              </w:rPr>
              <w:t>3</w:t>
            </w:r>
          </w:p>
        </w:tc>
        <w:tc>
          <w:tcPr>
            <w:tcW w:w="650" w:type="pct"/>
            <w:vAlign w:val="center"/>
          </w:tcPr>
          <w:p w14:paraId="067FD37A" w14:textId="680CB8E7" w:rsidR="00A879D8" w:rsidRPr="00997FB1"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20"/>
                <w:sz w:val="20"/>
                <w:szCs w:val="20"/>
                <w:shd w:val="solid" w:color="000000" w:fill="000000"/>
                <w:fitText w:val="90" w:id="-1502411263"/>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20"/>
                <w:sz w:val="20"/>
                <w:szCs w:val="20"/>
                <w:shd w:val="solid" w:color="000000" w:fill="000000"/>
                <w:fitText w:val="90" w:id="-1502411263"/>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3"/>
                <w:w w:val="20"/>
                <w:sz w:val="20"/>
                <w:szCs w:val="20"/>
                <w:shd w:val="solid" w:color="000000" w:fill="000000"/>
                <w:fitText w:val="90" w:id="-1502411263"/>
                <w14:textFill>
                  <w14:solidFill>
                    <w14:srgbClr w14:val="000000">
                      <w14:alpha w14:val="100000"/>
                    </w14:srgbClr>
                  </w14:solidFill>
                </w14:textFill>
              </w:rPr>
              <w:t xml:space="preserve">　</w:t>
            </w:r>
            <w:r w:rsidR="00997FB1">
              <w:rPr>
                <w:rFonts w:ascii="Arial Narrow" w:eastAsiaTheme="majorEastAsia" w:hAnsi="Arial Narrow" w:cstheme="majorBidi"/>
                <w:sz w:val="20"/>
                <w:szCs w:val="20"/>
                <w:vertAlign w:val="superscript"/>
              </w:rPr>
              <w:t>3</w:t>
            </w:r>
          </w:p>
        </w:tc>
      </w:tr>
      <w:tr w:rsidR="00A879D8" w:rsidRPr="008E7C4C" w14:paraId="5BBC6904" w14:textId="77777777" w:rsidTr="006D7D90">
        <w:tc>
          <w:tcPr>
            <w:tcW w:w="1115" w:type="pct"/>
            <w:shd w:val="clear" w:color="auto" w:fill="auto"/>
            <w:vAlign w:val="center"/>
          </w:tcPr>
          <w:p w14:paraId="77676009" w14:textId="77777777"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Net cost to PBS/RPBS/MBS</w:t>
            </w:r>
          </w:p>
        </w:tc>
        <w:tc>
          <w:tcPr>
            <w:tcW w:w="647" w:type="pct"/>
            <w:shd w:val="clear" w:color="auto" w:fill="auto"/>
            <w:vAlign w:val="center"/>
          </w:tcPr>
          <w:p w14:paraId="53DC1DE6" w14:textId="4EA13F8D"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62"/>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62"/>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62"/>
                <w14:textFill>
                  <w14:solidFill>
                    <w14:srgbClr w14:val="000000">
                      <w14:alpha w14:val="100000"/>
                    </w14:srgbClr>
                  </w14:solidFill>
                </w14:textFill>
              </w:rPr>
              <w:t xml:space="preserve">　</w:t>
            </w:r>
            <w:r w:rsidR="00D03CD3">
              <w:rPr>
                <w:rFonts w:ascii="Arial Narrow" w:eastAsiaTheme="majorEastAsia" w:hAnsi="Arial Narrow" w:cstheme="majorBidi"/>
                <w:color w:val="000000" w:themeColor="text1"/>
                <w:sz w:val="20"/>
                <w:szCs w:val="20"/>
                <w:vertAlign w:val="superscript"/>
              </w:rPr>
              <w:t>5</w:t>
            </w:r>
          </w:p>
        </w:tc>
        <w:tc>
          <w:tcPr>
            <w:tcW w:w="647" w:type="pct"/>
            <w:shd w:val="clear" w:color="auto" w:fill="auto"/>
            <w:vAlign w:val="center"/>
          </w:tcPr>
          <w:p w14:paraId="3E73D84C" w14:textId="52F1C93C" w:rsidR="00A879D8" w:rsidRPr="00D03CD3"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61"/>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61"/>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61"/>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7D3DA9FB" w14:textId="28D9F28E" w:rsidR="00A879D8" w:rsidRPr="00D03CD3"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60"/>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60"/>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60"/>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41AF023C" w14:textId="36EE011D" w:rsidR="00A879D8" w:rsidRPr="00D03CD3" w:rsidRDefault="00A879D8" w:rsidP="00A879D8">
            <w:pPr>
              <w:keepNext/>
              <w:jc w:val="center"/>
              <w:rPr>
                <w:rFonts w:ascii="Arial Narrow" w:eastAsiaTheme="majorEastAsia" w:hAnsi="Arial Narrow" w:cstheme="majorBidi"/>
                <w:sz w:val="20"/>
                <w:szCs w:val="20"/>
                <w:vertAlign w:val="superscript"/>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59"/>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59"/>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59"/>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c>
          <w:tcPr>
            <w:tcW w:w="647" w:type="pct"/>
            <w:shd w:val="clear" w:color="auto" w:fill="auto"/>
            <w:vAlign w:val="center"/>
          </w:tcPr>
          <w:p w14:paraId="71F5A1F8" w14:textId="46F5BBD6"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6"/>
                <w:sz w:val="20"/>
                <w:szCs w:val="20"/>
                <w:shd w:val="solid" w:color="000000" w:fill="000000"/>
                <w:fitText w:val="75" w:id="-1502411258"/>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6"/>
                <w:sz w:val="20"/>
                <w:szCs w:val="20"/>
                <w:shd w:val="solid" w:color="000000" w:fill="000000"/>
                <w:fitText w:val="75" w:id="-1502411258"/>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6"/>
                <w:sz w:val="20"/>
                <w:szCs w:val="20"/>
                <w:shd w:val="solid" w:color="000000" w:fill="000000"/>
                <w:fitText w:val="75" w:id="-1502411258"/>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c>
          <w:tcPr>
            <w:tcW w:w="650" w:type="pct"/>
            <w:vAlign w:val="center"/>
          </w:tcPr>
          <w:p w14:paraId="77538FB1" w14:textId="644A62C1" w:rsidR="00A879D8" w:rsidRPr="008E7C4C" w:rsidRDefault="00A879D8" w:rsidP="00A879D8">
            <w:pPr>
              <w:keepNext/>
              <w:jc w:val="center"/>
              <w:rPr>
                <w:rFonts w:ascii="Arial Narrow" w:eastAsiaTheme="majorEastAsia" w:hAnsi="Arial Narrow" w:cstheme="majorBidi"/>
                <w:sz w:val="20"/>
                <w:szCs w:val="20"/>
              </w:rPr>
            </w:pPr>
            <w:r w:rsidRPr="008E7C4C">
              <w:rPr>
                <w:rFonts w:ascii="Arial Narrow" w:eastAsiaTheme="majorEastAsia" w:hAnsi="Arial Narrow" w:cstheme="majorBidi"/>
                <w:sz w:val="20"/>
                <w:szCs w:val="20"/>
              </w:rPr>
              <w:t>$</w:t>
            </w:r>
            <w:r w:rsidR="00951174" w:rsidRPr="00951174">
              <w:rPr>
                <w:rFonts w:ascii="Arial Narrow" w:eastAsiaTheme="majorEastAsia" w:hAnsi="Arial Narrow" w:cstheme="majorBidi" w:hint="eastAsia"/>
                <w:color w:val="000000"/>
                <w:w w:val="15"/>
                <w:sz w:val="20"/>
                <w:szCs w:val="20"/>
                <w:shd w:val="solid" w:color="000000" w:fill="000000"/>
                <w:fitText w:val="60" w:id="-1502411257"/>
                <w14:textFill>
                  <w14:solidFill>
                    <w14:srgbClr w14:val="000000">
                      <w14:alpha w14:val="100000"/>
                    </w14:srgbClr>
                  </w14:solidFill>
                </w14:textFill>
              </w:rPr>
              <w:t xml:space="preserve">　</w:t>
            </w:r>
            <w:r w:rsidR="00951174" w:rsidRPr="00951174">
              <w:rPr>
                <w:rFonts w:ascii="Arial Narrow" w:eastAsiaTheme="majorEastAsia" w:hAnsi="Arial Narrow" w:cstheme="majorBidi"/>
                <w:color w:val="000000"/>
                <w:w w:val="15"/>
                <w:sz w:val="20"/>
                <w:szCs w:val="20"/>
                <w:shd w:val="solid" w:color="000000" w:fill="000000"/>
                <w:fitText w:val="60" w:id="-1502411257"/>
                <w14:textFill>
                  <w14:solidFill>
                    <w14:srgbClr w14:val="000000">
                      <w14:alpha w14:val="100000"/>
                    </w14:srgbClr>
                  </w14:solidFill>
                </w14:textFill>
              </w:rPr>
              <w:t>|</w:t>
            </w:r>
            <w:r w:rsidR="00951174" w:rsidRPr="00951174">
              <w:rPr>
                <w:rFonts w:ascii="Arial Narrow" w:eastAsiaTheme="majorEastAsia" w:hAnsi="Arial Narrow" w:cstheme="majorBidi" w:hint="eastAsia"/>
                <w:color w:val="000000"/>
                <w:spacing w:val="-5"/>
                <w:w w:val="15"/>
                <w:sz w:val="20"/>
                <w:szCs w:val="20"/>
                <w:shd w:val="solid" w:color="000000" w:fill="000000"/>
                <w:fitText w:val="60" w:id="-1502411257"/>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6</w:t>
            </w:r>
          </w:p>
        </w:tc>
      </w:tr>
      <w:tr w:rsidR="00A879D8" w:rsidRPr="008E7C4C" w14:paraId="6A431015" w14:textId="77777777" w:rsidTr="006D7D90">
        <w:tc>
          <w:tcPr>
            <w:tcW w:w="5000" w:type="pct"/>
            <w:gridSpan w:val="7"/>
            <w:shd w:val="clear" w:color="auto" w:fill="B8CCE4" w:themeFill="accent1" w:themeFillTint="66"/>
            <w:vAlign w:val="center"/>
          </w:tcPr>
          <w:p w14:paraId="6615B80F" w14:textId="77777777" w:rsidR="00A879D8" w:rsidRPr="008E7C4C" w:rsidRDefault="00A879D8" w:rsidP="00A879D8">
            <w:pPr>
              <w:keepNext/>
              <w:jc w:val="left"/>
              <w:rPr>
                <w:rFonts w:ascii="Arial Narrow" w:eastAsiaTheme="majorEastAsia" w:hAnsi="Arial Narrow" w:cs="Times New Roman"/>
                <w:b/>
                <w:sz w:val="20"/>
                <w:szCs w:val="20"/>
              </w:rPr>
            </w:pPr>
            <w:r w:rsidRPr="008E7C4C">
              <w:rPr>
                <w:rFonts w:ascii="Arial Narrow" w:eastAsiaTheme="majorEastAsia" w:hAnsi="Arial Narrow" w:cs="Times New Roman"/>
                <w:b/>
                <w:sz w:val="20"/>
                <w:szCs w:val="20"/>
              </w:rPr>
              <w:t>Previous submission November 2020</w:t>
            </w:r>
          </w:p>
        </w:tc>
      </w:tr>
      <w:tr w:rsidR="00A879D8" w:rsidRPr="008E7C4C" w14:paraId="3399E2DF" w14:textId="77777777" w:rsidTr="006D7D90">
        <w:tc>
          <w:tcPr>
            <w:tcW w:w="1115" w:type="pct"/>
            <w:shd w:val="clear" w:color="auto" w:fill="B8CCE4" w:themeFill="accent1" w:themeFillTint="66"/>
            <w:vAlign w:val="center"/>
          </w:tcPr>
          <w:p w14:paraId="29CCE067" w14:textId="77777777" w:rsidR="00A879D8" w:rsidRPr="008E7C4C" w:rsidRDefault="00A879D8" w:rsidP="00A879D8">
            <w:pPr>
              <w:keepNext/>
              <w:jc w:val="left"/>
              <w:rPr>
                <w:rFonts w:ascii="Arial Narrow" w:eastAsiaTheme="majorEastAsia" w:hAnsi="Arial Narrow" w:cstheme="majorBidi"/>
                <w:bCs/>
                <w:sz w:val="20"/>
                <w:szCs w:val="20"/>
              </w:rPr>
            </w:pPr>
            <w:r w:rsidRPr="008E7C4C">
              <w:rPr>
                <w:rFonts w:ascii="Arial Narrow" w:eastAsiaTheme="majorEastAsia" w:hAnsi="Arial Narrow" w:cstheme="majorBidi"/>
                <w:bCs/>
                <w:sz w:val="20"/>
                <w:szCs w:val="20"/>
              </w:rPr>
              <w:t>Net cost to PBS/RPBS</w:t>
            </w:r>
          </w:p>
        </w:tc>
        <w:tc>
          <w:tcPr>
            <w:tcW w:w="647" w:type="pct"/>
            <w:shd w:val="clear" w:color="auto" w:fill="B8CCE4" w:themeFill="accent1" w:themeFillTint="66"/>
          </w:tcPr>
          <w:p w14:paraId="33C9A30A" w14:textId="60690B80"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
                <w:sz w:val="20"/>
              </w:rPr>
              <w:t>$</w:t>
            </w:r>
            <w:r w:rsidR="00951174" w:rsidRPr="00951174">
              <w:rPr>
                <w:rFonts w:ascii="Arial Narrow" w:eastAsiaTheme="majorEastAsia" w:hAnsi="Arial Narrow" w:cstheme="majorBidi" w:hint="eastAsia"/>
                <w:b/>
                <w:color w:val="000000"/>
                <w:w w:val="26"/>
                <w:sz w:val="20"/>
                <w:shd w:val="solid" w:color="000000" w:fill="000000"/>
                <w:fitText w:val="120" w:id="-1502411256"/>
                <w14:textFill>
                  <w14:solidFill>
                    <w14:srgbClr w14:val="000000">
                      <w14:alpha w14:val="100000"/>
                    </w14:srgbClr>
                  </w14:solidFill>
                </w14:textFill>
              </w:rPr>
              <w:t xml:space="preserve">　</w:t>
            </w:r>
            <w:r w:rsidR="00951174" w:rsidRPr="00951174">
              <w:rPr>
                <w:rFonts w:ascii="Arial Narrow" w:eastAsiaTheme="majorEastAsia" w:hAnsi="Arial Narrow" w:cstheme="majorBidi"/>
                <w:b/>
                <w:color w:val="000000"/>
                <w:w w:val="26"/>
                <w:sz w:val="20"/>
                <w:shd w:val="solid" w:color="000000" w:fill="000000"/>
                <w:fitText w:val="120" w:id="-1502411256"/>
                <w14:textFill>
                  <w14:solidFill>
                    <w14:srgbClr w14:val="000000">
                      <w14:alpha w14:val="100000"/>
                    </w14:srgbClr>
                  </w14:solidFill>
                </w14:textFill>
              </w:rPr>
              <w:t>|</w:t>
            </w:r>
            <w:r w:rsidR="00951174" w:rsidRPr="00951174">
              <w:rPr>
                <w:rFonts w:ascii="Arial Narrow" w:eastAsiaTheme="majorEastAsia" w:hAnsi="Arial Narrow" w:cstheme="majorBidi" w:hint="eastAsia"/>
                <w:b/>
                <w:color w:val="000000"/>
                <w:spacing w:val="4"/>
                <w:w w:val="26"/>
                <w:sz w:val="20"/>
                <w:shd w:val="solid" w:color="000000" w:fill="000000"/>
                <w:fitText w:val="120" w:id="-1502411256"/>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47" w:type="pct"/>
            <w:shd w:val="clear" w:color="auto" w:fill="B8CCE4" w:themeFill="accent1" w:themeFillTint="66"/>
          </w:tcPr>
          <w:p w14:paraId="59808562" w14:textId="5BC2CEB4"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
                <w:sz w:val="20"/>
              </w:rPr>
              <w:t>$</w:t>
            </w:r>
            <w:r w:rsidR="00951174" w:rsidRPr="00951174">
              <w:rPr>
                <w:rFonts w:ascii="Arial Narrow" w:eastAsiaTheme="majorEastAsia" w:hAnsi="Arial Narrow" w:cstheme="majorBidi" w:hint="eastAsia"/>
                <w:b/>
                <w:color w:val="000000"/>
                <w:w w:val="26"/>
                <w:sz w:val="20"/>
                <w:shd w:val="solid" w:color="000000" w:fill="000000"/>
                <w:fitText w:val="120" w:id="-1502411255"/>
                <w14:textFill>
                  <w14:solidFill>
                    <w14:srgbClr w14:val="000000">
                      <w14:alpha w14:val="100000"/>
                    </w14:srgbClr>
                  </w14:solidFill>
                </w14:textFill>
              </w:rPr>
              <w:t xml:space="preserve">　</w:t>
            </w:r>
            <w:r w:rsidR="00951174" w:rsidRPr="00951174">
              <w:rPr>
                <w:rFonts w:ascii="Arial Narrow" w:eastAsiaTheme="majorEastAsia" w:hAnsi="Arial Narrow" w:cstheme="majorBidi"/>
                <w:b/>
                <w:color w:val="000000"/>
                <w:w w:val="26"/>
                <w:sz w:val="20"/>
                <w:shd w:val="solid" w:color="000000" w:fill="000000"/>
                <w:fitText w:val="120" w:id="-1502411255"/>
                <w14:textFill>
                  <w14:solidFill>
                    <w14:srgbClr w14:val="000000">
                      <w14:alpha w14:val="100000"/>
                    </w14:srgbClr>
                  </w14:solidFill>
                </w14:textFill>
              </w:rPr>
              <w:t>|</w:t>
            </w:r>
            <w:r w:rsidR="00951174" w:rsidRPr="00951174">
              <w:rPr>
                <w:rFonts w:ascii="Arial Narrow" w:eastAsiaTheme="majorEastAsia" w:hAnsi="Arial Narrow" w:cstheme="majorBidi" w:hint="eastAsia"/>
                <w:b/>
                <w:color w:val="000000"/>
                <w:spacing w:val="4"/>
                <w:w w:val="26"/>
                <w:sz w:val="20"/>
                <w:shd w:val="solid" w:color="000000" w:fill="000000"/>
                <w:fitText w:val="120" w:id="-1502411255"/>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47" w:type="pct"/>
            <w:shd w:val="clear" w:color="auto" w:fill="B8CCE4" w:themeFill="accent1" w:themeFillTint="66"/>
          </w:tcPr>
          <w:p w14:paraId="3289D6C5" w14:textId="079DE10D"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
                <w:sz w:val="20"/>
              </w:rPr>
              <w:t>$</w:t>
            </w:r>
            <w:r w:rsidR="00951174" w:rsidRPr="00951174">
              <w:rPr>
                <w:rFonts w:ascii="Arial Narrow" w:eastAsiaTheme="majorEastAsia" w:hAnsi="Arial Narrow" w:cstheme="majorBidi" w:hint="eastAsia"/>
                <w:b/>
                <w:color w:val="000000"/>
                <w:w w:val="26"/>
                <w:sz w:val="20"/>
                <w:shd w:val="solid" w:color="000000" w:fill="000000"/>
                <w:fitText w:val="120" w:id="-1502411254"/>
                <w14:textFill>
                  <w14:solidFill>
                    <w14:srgbClr w14:val="000000">
                      <w14:alpha w14:val="100000"/>
                    </w14:srgbClr>
                  </w14:solidFill>
                </w14:textFill>
              </w:rPr>
              <w:t xml:space="preserve">　</w:t>
            </w:r>
            <w:r w:rsidR="00951174" w:rsidRPr="00951174">
              <w:rPr>
                <w:rFonts w:ascii="Arial Narrow" w:eastAsiaTheme="majorEastAsia" w:hAnsi="Arial Narrow" w:cstheme="majorBidi"/>
                <w:b/>
                <w:color w:val="000000"/>
                <w:w w:val="26"/>
                <w:sz w:val="20"/>
                <w:shd w:val="solid" w:color="000000" w:fill="000000"/>
                <w:fitText w:val="120" w:id="-1502411254"/>
                <w14:textFill>
                  <w14:solidFill>
                    <w14:srgbClr w14:val="000000">
                      <w14:alpha w14:val="100000"/>
                    </w14:srgbClr>
                  </w14:solidFill>
                </w14:textFill>
              </w:rPr>
              <w:t>|</w:t>
            </w:r>
            <w:r w:rsidR="00951174" w:rsidRPr="00951174">
              <w:rPr>
                <w:rFonts w:ascii="Arial Narrow" w:eastAsiaTheme="majorEastAsia" w:hAnsi="Arial Narrow" w:cstheme="majorBidi" w:hint="eastAsia"/>
                <w:b/>
                <w:color w:val="000000"/>
                <w:spacing w:val="4"/>
                <w:w w:val="26"/>
                <w:sz w:val="20"/>
                <w:shd w:val="solid" w:color="000000" w:fill="000000"/>
                <w:fitText w:val="120" w:id="-1502411254"/>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47" w:type="pct"/>
            <w:shd w:val="clear" w:color="auto" w:fill="B8CCE4" w:themeFill="accent1" w:themeFillTint="66"/>
          </w:tcPr>
          <w:p w14:paraId="6D01190F" w14:textId="5019281A"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
                <w:sz w:val="20"/>
              </w:rPr>
              <w:t>$</w:t>
            </w:r>
            <w:r w:rsidR="00951174" w:rsidRPr="00951174">
              <w:rPr>
                <w:rFonts w:ascii="Arial Narrow" w:eastAsiaTheme="majorEastAsia" w:hAnsi="Arial Narrow" w:cstheme="majorBidi" w:hint="eastAsia"/>
                <w:b/>
                <w:color w:val="000000"/>
                <w:w w:val="26"/>
                <w:sz w:val="20"/>
                <w:shd w:val="solid" w:color="000000" w:fill="000000"/>
                <w:fitText w:val="120" w:id="-1502411253"/>
                <w14:textFill>
                  <w14:solidFill>
                    <w14:srgbClr w14:val="000000">
                      <w14:alpha w14:val="100000"/>
                    </w14:srgbClr>
                  </w14:solidFill>
                </w14:textFill>
              </w:rPr>
              <w:t xml:space="preserve">　</w:t>
            </w:r>
            <w:r w:rsidR="00951174" w:rsidRPr="00951174">
              <w:rPr>
                <w:rFonts w:ascii="Arial Narrow" w:eastAsiaTheme="majorEastAsia" w:hAnsi="Arial Narrow" w:cstheme="majorBidi"/>
                <w:b/>
                <w:color w:val="000000"/>
                <w:w w:val="26"/>
                <w:sz w:val="20"/>
                <w:shd w:val="solid" w:color="000000" w:fill="000000"/>
                <w:fitText w:val="120" w:id="-1502411253"/>
                <w14:textFill>
                  <w14:solidFill>
                    <w14:srgbClr w14:val="000000">
                      <w14:alpha w14:val="100000"/>
                    </w14:srgbClr>
                  </w14:solidFill>
                </w14:textFill>
              </w:rPr>
              <w:t>|</w:t>
            </w:r>
            <w:r w:rsidR="00951174" w:rsidRPr="00951174">
              <w:rPr>
                <w:rFonts w:ascii="Arial Narrow" w:eastAsiaTheme="majorEastAsia" w:hAnsi="Arial Narrow" w:cstheme="majorBidi" w:hint="eastAsia"/>
                <w:b/>
                <w:color w:val="000000"/>
                <w:spacing w:val="4"/>
                <w:w w:val="26"/>
                <w:sz w:val="20"/>
                <w:shd w:val="solid" w:color="000000" w:fill="000000"/>
                <w:fitText w:val="120" w:id="-1502411253"/>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47" w:type="pct"/>
            <w:shd w:val="clear" w:color="auto" w:fill="B8CCE4" w:themeFill="accent1" w:themeFillTint="66"/>
          </w:tcPr>
          <w:p w14:paraId="5E2B37F4" w14:textId="5AECFD0D"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
                <w:sz w:val="20"/>
              </w:rPr>
              <w:t>$</w:t>
            </w:r>
            <w:r w:rsidR="00951174" w:rsidRPr="00951174">
              <w:rPr>
                <w:rFonts w:ascii="Arial Narrow" w:eastAsiaTheme="majorEastAsia" w:hAnsi="Arial Narrow" w:cstheme="majorBidi" w:hint="eastAsia"/>
                <w:b/>
                <w:color w:val="000000"/>
                <w:w w:val="26"/>
                <w:sz w:val="20"/>
                <w:shd w:val="solid" w:color="000000" w:fill="000000"/>
                <w:fitText w:val="120" w:id="-1502411252"/>
                <w14:textFill>
                  <w14:solidFill>
                    <w14:srgbClr w14:val="000000">
                      <w14:alpha w14:val="100000"/>
                    </w14:srgbClr>
                  </w14:solidFill>
                </w14:textFill>
              </w:rPr>
              <w:t xml:space="preserve">　</w:t>
            </w:r>
            <w:r w:rsidR="00951174" w:rsidRPr="00951174">
              <w:rPr>
                <w:rFonts w:ascii="Arial Narrow" w:eastAsiaTheme="majorEastAsia" w:hAnsi="Arial Narrow" w:cstheme="majorBidi"/>
                <w:b/>
                <w:color w:val="000000"/>
                <w:w w:val="26"/>
                <w:sz w:val="20"/>
                <w:shd w:val="solid" w:color="000000" w:fill="000000"/>
                <w:fitText w:val="120" w:id="-1502411252"/>
                <w14:textFill>
                  <w14:solidFill>
                    <w14:srgbClr w14:val="000000">
                      <w14:alpha w14:val="100000"/>
                    </w14:srgbClr>
                  </w14:solidFill>
                </w14:textFill>
              </w:rPr>
              <w:t>|</w:t>
            </w:r>
            <w:r w:rsidR="00951174" w:rsidRPr="00951174">
              <w:rPr>
                <w:rFonts w:ascii="Arial Narrow" w:eastAsiaTheme="majorEastAsia" w:hAnsi="Arial Narrow" w:cstheme="majorBidi" w:hint="eastAsia"/>
                <w:b/>
                <w:color w:val="000000"/>
                <w:spacing w:val="4"/>
                <w:w w:val="26"/>
                <w:sz w:val="20"/>
                <w:shd w:val="solid" w:color="000000" w:fill="000000"/>
                <w:fitText w:val="120" w:id="-1502411252"/>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c>
          <w:tcPr>
            <w:tcW w:w="650" w:type="pct"/>
            <w:shd w:val="clear" w:color="auto" w:fill="B8CCE4" w:themeFill="accent1" w:themeFillTint="66"/>
          </w:tcPr>
          <w:p w14:paraId="3B0E6DDF" w14:textId="1FA6C100" w:rsidR="00A879D8" w:rsidRPr="008E7C4C" w:rsidRDefault="00A879D8" w:rsidP="00A879D8">
            <w:pPr>
              <w:keepNext/>
              <w:jc w:val="center"/>
              <w:rPr>
                <w:rFonts w:ascii="Arial Narrow" w:eastAsiaTheme="majorEastAsia" w:hAnsi="Arial Narrow" w:cstheme="majorBidi"/>
                <w:bCs/>
                <w:sz w:val="20"/>
                <w:szCs w:val="20"/>
              </w:rPr>
            </w:pPr>
            <w:r w:rsidRPr="008E7C4C">
              <w:rPr>
                <w:rFonts w:ascii="Arial Narrow" w:eastAsiaTheme="majorEastAsia" w:hAnsi="Arial Narrow" w:cstheme="majorBidi"/>
                <w:b/>
                <w:sz w:val="20"/>
              </w:rPr>
              <w:t>-$</w:t>
            </w:r>
            <w:r w:rsidR="00951174" w:rsidRPr="00951174">
              <w:rPr>
                <w:rFonts w:ascii="Arial Narrow" w:eastAsiaTheme="majorEastAsia" w:hAnsi="Arial Narrow" w:cstheme="majorBidi" w:hint="eastAsia"/>
                <w:b/>
                <w:color w:val="000000"/>
                <w:w w:val="30"/>
                <w:sz w:val="20"/>
                <w:shd w:val="solid" w:color="000000" w:fill="000000"/>
                <w:fitText w:val="135" w:id="-1502411251"/>
                <w14:textFill>
                  <w14:solidFill>
                    <w14:srgbClr w14:val="000000">
                      <w14:alpha w14:val="100000"/>
                    </w14:srgbClr>
                  </w14:solidFill>
                </w14:textFill>
              </w:rPr>
              <w:t xml:space="preserve">　</w:t>
            </w:r>
            <w:r w:rsidR="00951174" w:rsidRPr="00951174">
              <w:rPr>
                <w:rFonts w:ascii="Arial Narrow" w:eastAsiaTheme="majorEastAsia" w:hAnsi="Arial Narrow" w:cstheme="majorBidi"/>
                <w:b/>
                <w:color w:val="000000"/>
                <w:w w:val="30"/>
                <w:sz w:val="20"/>
                <w:shd w:val="solid" w:color="000000" w:fill="000000"/>
                <w:fitText w:val="135" w:id="-1502411251"/>
                <w14:textFill>
                  <w14:solidFill>
                    <w14:srgbClr w14:val="000000">
                      <w14:alpha w14:val="100000"/>
                    </w14:srgbClr>
                  </w14:solidFill>
                </w14:textFill>
              </w:rPr>
              <w:t>|</w:t>
            </w:r>
            <w:r w:rsidR="00951174" w:rsidRPr="00951174">
              <w:rPr>
                <w:rFonts w:ascii="Arial Narrow" w:eastAsiaTheme="majorEastAsia" w:hAnsi="Arial Narrow" w:cstheme="majorBidi" w:hint="eastAsia"/>
                <w:b/>
                <w:color w:val="000000"/>
                <w:spacing w:val="2"/>
                <w:w w:val="30"/>
                <w:sz w:val="20"/>
                <w:shd w:val="solid" w:color="000000" w:fill="000000"/>
                <w:fitText w:val="135" w:id="-1502411251"/>
                <w14:textFill>
                  <w14:solidFill>
                    <w14:srgbClr w14:val="000000">
                      <w14:alpha w14:val="100000"/>
                    </w14:srgbClr>
                  </w14:solidFill>
                </w14:textFill>
              </w:rPr>
              <w:t xml:space="preserve">　</w:t>
            </w:r>
            <w:r w:rsidR="00D03CD3">
              <w:rPr>
                <w:rFonts w:ascii="Arial Narrow" w:eastAsiaTheme="majorEastAsia" w:hAnsi="Arial Narrow" w:cstheme="majorBidi"/>
                <w:sz w:val="20"/>
                <w:szCs w:val="20"/>
                <w:vertAlign w:val="superscript"/>
              </w:rPr>
              <w:t>3</w:t>
            </w:r>
          </w:p>
        </w:tc>
      </w:tr>
    </w:tbl>
    <w:p w14:paraId="31A15D34" w14:textId="77777777" w:rsidR="00CC25DE" w:rsidRPr="008E7C4C" w:rsidRDefault="00CC25DE"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Source: Table 4-4, p126 of the resubmission; and Utilisation and cost model – ‘2b. Patients – prevalent’.</w:t>
      </w:r>
    </w:p>
    <w:p w14:paraId="168165B7" w14:textId="0ECF19B2" w:rsidR="00CC25DE" w:rsidRPr="008E7C4C" w:rsidRDefault="00CC25DE" w:rsidP="00CC25DE">
      <w:pPr>
        <w:spacing w:after="120"/>
        <w:contextualSpacing/>
        <w:rPr>
          <w:rFonts w:ascii="Arial Narrow" w:hAnsi="Arial Narrow"/>
          <w:snapToGrid w:val="0"/>
          <w:sz w:val="18"/>
          <w:szCs w:val="22"/>
        </w:rPr>
      </w:pPr>
      <w:r w:rsidRPr="008E7C4C">
        <w:rPr>
          <w:rFonts w:ascii="Arial Narrow" w:eastAsiaTheme="minorHAnsi" w:hAnsi="Arial Narrow"/>
          <w:snapToGrid w:val="0"/>
          <w:sz w:val="18"/>
          <w:szCs w:val="22"/>
        </w:rPr>
        <w:t>PBS</w:t>
      </w:r>
      <w:r w:rsidR="002100EA" w:rsidRPr="008E7C4C">
        <w:rPr>
          <w:rFonts w:ascii="Arial Narrow" w:eastAsiaTheme="minorHAnsi" w:hAnsi="Arial Narrow"/>
          <w:snapToGrid w:val="0"/>
          <w:sz w:val="18"/>
          <w:szCs w:val="22"/>
        </w:rPr>
        <w:t xml:space="preserve"> </w:t>
      </w:r>
      <w:r w:rsidRPr="008E7C4C">
        <w:rPr>
          <w:rFonts w:ascii="Arial Narrow" w:eastAsiaTheme="minorHAnsi" w:hAnsi="Arial Narrow"/>
          <w:snapToGrid w:val="0"/>
          <w:sz w:val="18"/>
          <w:szCs w:val="22"/>
        </w:rPr>
        <w:t xml:space="preserve">= </w:t>
      </w:r>
      <w:r w:rsidR="002100EA" w:rsidRPr="008E7C4C">
        <w:rPr>
          <w:rFonts w:ascii="Arial Narrow" w:eastAsiaTheme="minorHAnsi" w:hAnsi="Arial Narrow"/>
          <w:snapToGrid w:val="0"/>
          <w:sz w:val="18"/>
          <w:szCs w:val="22"/>
        </w:rPr>
        <w:t>P</w:t>
      </w:r>
      <w:r w:rsidRPr="008E7C4C">
        <w:rPr>
          <w:rFonts w:ascii="Arial Narrow" w:eastAsiaTheme="minorHAnsi" w:hAnsi="Arial Narrow"/>
          <w:snapToGrid w:val="0"/>
          <w:sz w:val="18"/>
          <w:szCs w:val="22"/>
        </w:rPr>
        <w:t xml:space="preserve">harmaceutical </w:t>
      </w:r>
      <w:r w:rsidR="002100EA" w:rsidRPr="008E7C4C">
        <w:rPr>
          <w:rFonts w:ascii="Arial Narrow" w:eastAsiaTheme="minorHAnsi" w:hAnsi="Arial Narrow"/>
          <w:snapToGrid w:val="0"/>
          <w:sz w:val="18"/>
          <w:szCs w:val="22"/>
        </w:rPr>
        <w:t>B</w:t>
      </w:r>
      <w:r w:rsidRPr="008E7C4C">
        <w:rPr>
          <w:rFonts w:ascii="Arial Narrow" w:eastAsiaTheme="minorHAnsi" w:hAnsi="Arial Narrow"/>
          <w:snapToGrid w:val="0"/>
          <w:sz w:val="18"/>
          <w:szCs w:val="22"/>
        </w:rPr>
        <w:t>enefit</w:t>
      </w:r>
      <w:r w:rsidR="002100EA" w:rsidRPr="008E7C4C">
        <w:rPr>
          <w:rFonts w:ascii="Arial Narrow" w:eastAsiaTheme="minorHAnsi" w:hAnsi="Arial Narrow"/>
          <w:snapToGrid w:val="0"/>
          <w:sz w:val="18"/>
          <w:szCs w:val="22"/>
        </w:rPr>
        <w:t>s</w:t>
      </w:r>
      <w:r w:rsidRPr="008E7C4C">
        <w:rPr>
          <w:rFonts w:ascii="Arial Narrow" w:eastAsiaTheme="minorHAnsi" w:hAnsi="Arial Narrow"/>
          <w:snapToGrid w:val="0"/>
          <w:sz w:val="18"/>
          <w:szCs w:val="22"/>
        </w:rPr>
        <w:t xml:space="preserve"> </w:t>
      </w:r>
      <w:r w:rsidR="002100EA" w:rsidRPr="008E7C4C">
        <w:rPr>
          <w:rFonts w:ascii="Arial Narrow" w:eastAsiaTheme="minorHAnsi" w:hAnsi="Arial Narrow"/>
          <w:snapToGrid w:val="0"/>
          <w:sz w:val="18"/>
          <w:szCs w:val="22"/>
        </w:rPr>
        <w:t>S</w:t>
      </w:r>
      <w:r w:rsidRPr="008E7C4C">
        <w:rPr>
          <w:rFonts w:ascii="Arial Narrow" w:eastAsiaTheme="minorHAnsi" w:hAnsi="Arial Narrow"/>
          <w:snapToGrid w:val="0"/>
          <w:sz w:val="18"/>
          <w:szCs w:val="22"/>
        </w:rPr>
        <w:t>cheme; RPBS</w:t>
      </w:r>
      <w:r w:rsidR="002100EA" w:rsidRPr="008E7C4C">
        <w:rPr>
          <w:rFonts w:ascii="Arial Narrow" w:eastAsiaTheme="minorHAnsi" w:hAnsi="Arial Narrow"/>
          <w:snapToGrid w:val="0"/>
          <w:sz w:val="18"/>
          <w:szCs w:val="22"/>
        </w:rPr>
        <w:t xml:space="preserve"> </w:t>
      </w:r>
      <w:r w:rsidRPr="008E7C4C">
        <w:rPr>
          <w:rFonts w:ascii="Arial Narrow" w:eastAsiaTheme="minorHAnsi" w:hAnsi="Arial Narrow"/>
          <w:snapToGrid w:val="0"/>
          <w:sz w:val="18"/>
          <w:szCs w:val="22"/>
        </w:rPr>
        <w:t>= Repatriation Pharmaceutical Benefits Scheme</w:t>
      </w:r>
    </w:p>
    <w:p w14:paraId="7D27DE71" w14:textId="466D77C7" w:rsidR="00CC25DE" w:rsidRPr="008E7C4C" w:rsidRDefault="002100EA" w:rsidP="00CC25DE">
      <w:pPr>
        <w:spacing w:after="120"/>
        <w:contextualSpacing/>
        <w:rPr>
          <w:rFonts w:ascii="Arial Narrow" w:hAnsi="Arial Narrow"/>
          <w:snapToGrid w:val="0"/>
          <w:sz w:val="18"/>
          <w:szCs w:val="22"/>
        </w:rPr>
      </w:pPr>
      <w:r w:rsidRPr="008E7C4C">
        <w:rPr>
          <w:rFonts w:ascii="Arial Narrow" w:hAnsi="Arial Narrow"/>
          <w:snapToGrid w:val="0"/>
          <w:sz w:val="18"/>
          <w:szCs w:val="22"/>
        </w:rPr>
        <w:t xml:space="preserve">a. </w:t>
      </w:r>
      <w:r w:rsidR="00CC25DE" w:rsidRPr="008E7C4C">
        <w:rPr>
          <w:rFonts w:ascii="Arial Narrow" w:hAnsi="Arial Narrow"/>
          <w:snapToGrid w:val="0"/>
          <w:sz w:val="18"/>
          <w:szCs w:val="22"/>
        </w:rPr>
        <w:t>Assuming 13 per year as estimated by the submission.</w:t>
      </w:r>
    </w:p>
    <w:p w14:paraId="7D8D8165" w14:textId="5286658B" w:rsidR="005C4A6E" w:rsidRDefault="005C4A6E" w:rsidP="002100EA">
      <w:pPr>
        <w:rPr>
          <w:snapToGrid w:val="0"/>
        </w:rPr>
      </w:pPr>
    </w:p>
    <w:p w14:paraId="48432929" w14:textId="77777777" w:rsidR="00997FB1" w:rsidRDefault="00997FB1" w:rsidP="00997FB1">
      <w:pPr>
        <w:ind w:right="147"/>
        <w:rPr>
          <w:rFonts w:ascii="Arial Narrow" w:hAnsi="Arial Narrow"/>
          <w:b/>
          <w:bCs/>
          <w:i/>
          <w:sz w:val="18"/>
          <w:szCs w:val="18"/>
        </w:rPr>
      </w:pPr>
      <w:r w:rsidRPr="009A6D58">
        <w:rPr>
          <w:rFonts w:ascii="Arial Narrow" w:hAnsi="Arial Narrow"/>
          <w:i/>
          <w:sz w:val="18"/>
          <w:szCs w:val="18"/>
        </w:rPr>
        <w:t xml:space="preserve">The redacted values correspond to the following ranges: </w:t>
      </w:r>
    </w:p>
    <w:p w14:paraId="566E0A55" w14:textId="4A9CBFC5" w:rsidR="00997FB1" w:rsidRPr="00997FB1" w:rsidRDefault="00C63C9A" w:rsidP="00997FB1">
      <w:pPr>
        <w:ind w:right="147"/>
        <w:rPr>
          <w:rFonts w:ascii="Arial Narrow" w:hAnsi="Arial Narrow"/>
          <w:i/>
          <w:sz w:val="18"/>
          <w:szCs w:val="18"/>
        </w:rPr>
      </w:pPr>
      <w:r>
        <w:rPr>
          <w:rFonts w:ascii="Arial Narrow" w:hAnsi="Arial Narrow"/>
          <w:i/>
          <w:sz w:val="18"/>
          <w:szCs w:val="18"/>
          <w:vertAlign w:val="superscript"/>
        </w:rPr>
        <w:t>1</w:t>
      </w:r>
      <w:r w:rsidR="00997FB1" w:rsidRPr="00997FB1">
        <w:rPr>
          <w:rFonts w:ascii="Arial Narrow" w:hAnsi="Arial Narrow"/>
          <w:i/>
          <w:sz w:val="18"/>
          <w:szCs w:val="18"/>
        </w:rPr>
        <w:t>&lt; 500</w:t>
      </w:r>
    </w:p>
    <w:p w14:paraId="568F53EA" w14:textId="7A75BFB4" w:rsidR="00997FB1" w:rsidRPr="00997FB1" w:rsidRDefault="00C63C9A" w:rsidP="00997FB1">
      <w:pPr>
        <w:ind w:right="147"/>
        <w:rPr>
          <w:rFonts w:ascii="Arial Narrow" w:hAnsi="Arial Narrow"/>
          <w:i/>
          <w:sz w:val="18"/>
          <w:szCs w:val="18"/>
        </w:rPr>
      </w:pPr>
      <w:r>
        <w:rPr>
          <w:rFonts w:ascii="Arial Narrow" w:hAnsi="Arial Narrow"/>
          <w:i/>
          <w:sz w:val="18"/>
          <w:szCs w:val="18"/>
          <w:vertAlign w:val="superscript"/>
        </w:rPr>
        <w:t>2</w:t>
      </w:r>
      <w:r w:rsidR="00997FB1" w:rsidRPr="00997FB1">
        <w:rPr>
          <w:rFonts w:ascii="Arial Narrow" w:hAnsi="Arial Narrow"/>
          <w:i/>
          <w:sz w:val="18"/>
          <w:szCs w:val="18"/>
        </w:rPr>
        <w:t>500 to &lt; 5,000</w:t>
      </w:r>
    </w:p>
    <w:p w14:paraId="0F9DD5E6" w14:textId="1248661D" w:rsidR="00997FB1" w:rsidRPr="00997FB1" w:rsidRDefault="00C63C9A" w:rsidP="00997FB1">
      <w:pPr>
        <w:ind w:right="150"/>
        <w:rPr>
          <w:rFonts w:ascii="Arial Narrow" w:hAnsi="Arial Narrow"/>
          <w:i/>
          <w:sz w:val="18"/>
          <w:szCs w:val="18"/>
        </w:rPr>
      </w:pPr>
      <w:r>
        <w:rPr>
          <w:rFonts w:ascii="Arial Narrow" w:hAnsi="Arial Narrow"/>
          <w:i/>
          <w:sz w:val="18"/>
          <w:szCs w:val="18"/>
          <w:vertAlign w:val="superscript"/>
        </w:rPr>
        <w:t>3</w:t>
      </w:r>
      <w:r w:rsidR="00997FB1" w:rsidRPr="00997FB1">
        <w:rPr>
          <w:rFonts w:ascii="Arial Narrow" w:hAnsi="Arial Narrow"/>
          <w:i/>
          <w:sz w:val="18"/>
          <w:szCs w:val="18"/>
        </w:rPr>
        <w:t>$0 to &lt; $10 million</w:t>
      </w:r>
    </w:p>
    <w:p w14:paraId="35239972" w14:textId="7E82149D" w:rsidR="00997FB1" w:rsidRPr="00997FB1" w:rsidRDefault="00C63C9A" w:rsidP="00997FB1">
      <w:pPr>
        <w:ind w:right="150"/>
        <w:rPr>
          <w:rFonts w:ascii="Arial Narrow" w:hAnsi="Arial Narrow"/>
          <w:i/>
          <w:sz w:val="18"/>
          <w:szCs w:val="18"/>
        </w:rPr>
      </w:pPr>
      <w:r>
        <w:rPr>
          <w:rFonts w:ascii="Arial Narrow" w:hAnsi="Arial Narrow"/>
          <w:i/>
          <w:sz w:val="18"/>
          <w:szCs w:val="18"/>
          <w:vertAlign w:val="superscript"/>
        </w:rPr>
        <w:t>4</w:t>
      </w:r>
      <w:r w:rsidR="00997FB1" w:rsidRPr="00997FB1">
        <w:rPr>
          <w:rFonts w:ascii="Arial Narrow" w:hAnsi="Arial Narrow"/>
          <w:i/>
          <w:sz w:val="18"/>
          <w:szCs w:val="18"/>
        </w:rPr>
        <w:t>$10 million to &lt; $20 million</w:t>
      </w:r>
    </w:p>
    <w:p w14:paraId="31C2696E" w14:textId="5F5DC012" w:rsidR="00997FB1" w:rsidRPr="00997FB1" w:rsidRDefault="00C63C9A" w:rsidP="00997FB1">
      <w:pPr>
        <w:ind w:right="150"/>
        <w:rPr>
          <w:rFonts w:ascii="Arial Narrow" w:hAnsi="Arial Narrow"/>
          <w:i/>
          <w:sz w:val="18"/>
          <w:szCs w:val="18"/>
        </w:rPr>
      </w:pPr>
      <w:r>
        <w:rPr>
          <w:rFonts w:ascii="Arial Narrow" w:hAnsi="Arial Narrow"/>
          <w:i/>
          <w:sz w:val="18"/>
          <w:szCs w:val="18"/>
          <w:vertAlign w:val="superscript"/>
        </w:rPr>
        <w:t>5</w:t>
      </w:r>
      <w:r w:rsidR="00997FB1" w:rsidRPr="00997FB1">
        <w:rPr>
          <w:rFonts w:ascii="Arial Narrow" w:hAnsi="Arial Narrow"/>
          <w:i/>
          <w:sz w:val="18"/>
          <w:szCs w:val="18"/>
        </w:rPr>
        <w:t>$20 million to &lt; $30 million</w:t>
      </w:r>
    </w:p>
    <w:p w14:paraId="0A537196" w14:textId="2A9E6841" w:rsidR="00997FB1" w:rsidRPr="00997FB1" w:rsidRDefault="00C63C9A" w:rsidP="00997FB1">
      <w:pPr>
        <w:ind w:right="150"/>
        <w:rPr>
          <w:rFonts w:ascii="Arial Narrow" w:hAnsi="Arial Narrow"/>
          <w:i/>
          <w:sz w:val="18"/>
          <w:szCs w:val="18"/>
        </w:rPr>
      </w:pPr>
      <w:r>
        <w:rPr>
          <w:rFonts w:ascii="Arial Narrow" w:hAnsi="Arial Narrow"/>
          <w:i/>
          <w:sz w:val="18"/>
          <w:szCs w:val="18"/>
          <w:vertAlign w:val="superscript"/>
        </w:rPr>
        <w:t>5</w:t>
      </w:r>
      <w:r w:rsidR="00997FB1" w:rsidRPr="00997FB1">
        <w:rPr>
          <w:rFonts w:ascii="Arial Narrow" w:hAnsi="Arial Narrow"/>
          <w:i/>
          <w:sz w:val="18"/>
          <w:szCs w:val="18"/>
        </w:rPr>
        <w:t>$30 million to &lt; $40 million</w:t>
      </w:r>
    </w:p>
    <w:p w14:paraId="3E394C0D" w14:textId="1A1246CE" w:rsidR="00997FB1" w:rsidRPr="00997FB1" w:rsidRDefault="00C63C9A" w:rsidP="00997FB1">
      <w:pPr>
        <w:ind w:right="150"/>
        <w:rPr>
          <w:rFonts w:ascii="Arial Narrow" w:hAnsi="Arial Narrow"/>
          <w:i/>
          <w:sz w:val="18"/>
          <w:szCs w:val="18"/>
        </w:rPr>
      </w:pPr>
      <w:r>
        <w:rPr>
          <w:rFonts w:ascii="Arial Narrow" w:hAnsi="Arial Narrow"/>
          <w:i/>
          <w:sz w:val="18"/>
          <w:szCs w:val="18"/>
          <w:vertAlign w:val="superscript"/>
        </w:rPr>
        <w:t>6</w:t>
      </w:r>
      <w:r w:rsidR="00997FB1" w:rsidRPr="00997FB1">
        <w:rPr>
          <w:rFonts w:ascii="Arial Narrow" w:hAnsi="Arial Narrow"/>
          <w:i/>
          <w:sz w:val="18"/>
          <w:szCs w:val="18"/>
        </w:rPr>
        <w:t>$40 million to &lt; $50 million</w:t>
      </w:r>
    </w:p>
    <w:p w14:paraId="37277048" w14:textId="4148E7DA" w:rsidR="00997FB1" w:rsidRPr="00997FB1" w:rsidRDefault="00C63C9A" w:rsidP="00997FB1">
      <w:pPr>
        <w:ind w:right="150"/>
        <w:rPr>
          <w:rFonts w:ascii="Arial Narrow" w:hAnsi="Arial Narrow"/>
          <w:i/>
          <w:sz w:val="18"/>
          <w:szCs w:val="18"/>
        </w:rPr>
      </w:pPr>
      <w:r>
        <w:rPr>
          <w:rFonts w:ascii="Arial Narrow" w:hAnsi="Arial Narrow"/>
          <w:i/>
          <w:sz w:val="18"/>
          <w:szCs w:val="18"/>
          <w:vertAlign w:val="superscript"/>
        </w:rPr>
        <w:t>7</w:t>
      </w:r>
      <w:r w:rsidR="00997FB1" w:rsidRPr="00997FB1">
        <w:rPr>
          <w:rFonts w:ascii="Arial Narrow" w:hAnsi="Arial Narrow"/>
          <w:i/>
          <w:sz w:val="18"/>
          <w:szCs w:val="18"/>
        </w:rPr>
        <w:t>$50 million to &lt; $60 million</w:t>
      </w:r>
    </w:p>
    <w:p w14:paraId="7F0B40A9" w14:textId="24F37428" w:rsidR="00997FB1" w:rsidRPr="00997FB1" w:rsidRDefault="00C63C9A" w:rsidP="00997FB1">
      <w:pPr>
        <w:ind w:right="150"/>
        <w:rPr>
          <w:rFonts w:ascii="Arial Narrow" w:hAnsi="Arial Narrow"/>
          <w:i/>
          <w:sz w:val="18"/>
          <w:szCs w:val="18"/>
        </w:rPr>
      </w:pPr>
      <w:r>
        <w:rPr>
          <w:rFonts w:ascii="Arial Narrow" w:hAnsi="Arial Narrow"/>
          <w:i/>
          <w:sz w:val="18"/>
          <w:szCs w:val="18"/>
          <w:vertAlign w:val="superscript"/>
        </w:rPr>
        <w:t>8</w:t>
      </w:r>
      <w:r w:rsidR="00997FB1" w:rsidRPr="00997FB1">
        <w:rPr>
          <w:rFonts w:ascii="Arial Narrow" w:hAnsi="Arial Narrow"/>
          <w:i/>
          <w:sz w:val="18"/>
          <w:szCs w:val="18"/>
        </w:rPr>
        <w:t>$60 million to &lt; $70 million</w:t>
      </w:r>
    </w:p>
    <w:p w14:paraId="59D65C3F" w14:textId="77777777" w:rsidR="00997FB1" w:rsidRPr="00997FB1" w:rsidRDefault="00997FB1" w:rsidP="00997FB1">
      <w:pPr>
        <w:ind w:right="147"/>
        <w:rPr>
          <w:rFonts w:ascii="Arial Narrow" w:hAnsi="Arial Narrow"/>
          <w:i/>
          <w:sz w:val="18"/>
          <w:szCs w:val="18"/>
        </w:rPr>
      </w:pPr>
    </w:p>
    <w:p w14:paraId="08F26735" w14:textId="77777777" w:rsidR="00997FB1" w:rsidRPr="008E7C4C" w:rsidRDefault="00997FB1" w:rsidP="002100EA">
      <w:pPr>
        <w:rPr>
          <w:snapToGrid w:val="0"/>
        </w:rPr>
      </w:pPr>
    </w:p>
    <w:p w14:paraId="7B96FC9D" w14:textId="4901B584" w:rsidR="00B115E1" w:rsidRPr="008E7C4C" w:rsidRDefault="00DC05BD" w:rsidP="00CC25DE">
      <w:pPr>
        <w:numPr>
          <w:ilvl w:val="1"/>
          <w:numId w:val="1"/>
        </w:numPr>
        <w:spacing w:after="120"/>
        <w:rPr>
          <w:rFonts w:asciiTheme="minorHAnsi" w:hAnsiTheme="minorHAnsi"/>
          <w:snapToGrid w:val="0"/>
        </w:rPr>
      </w:pPr>
      <w:r w:rsidRPr="008E7C4C">
        <w:t>Th</w:t>
      </w:r>
      <w:r w:rsidR="00967BD5" w:rsidRPr="008E7C4C">
        <w:t xml:space="preserve">e resubmissions estimates </w:t>
      </w:r>
      <w:r w:rsidRPr="008E7C4C">
        <w:t xml:space="preserve">differed significantly from the November 2020 submission, </w:t>
      </w:r>
      <w:r w:rsidR="00967BD5" w:rsidRPr="008E7C4C">
        <w:t xml:space="preserve">in which the net cost to PBS/RPBS of listing </w:t>
      </w:r>
      <w:proofErr w:type="spellStart"/>
      <w:r w:rsidR="00967BD5" w:rsidRPr="008E7C4C">
        <w:t>ILd</w:t>
      </w:r>
      <w:proofErr w:type="spellEnd"/>
      <w:r w:rsidR="00967BD5" w:rsidRPr="008E7C4C">
        <w:t xml:space="preserve"> was estimated to be $</w:t>
      </w:r>
      <w:r w:rsidR="00C63C9A">
        <w:t>0 to &lt; 10 million</w:t>
      </w:r>
      <w:r w:rsidRPr="008E7C4C">
        <w:t xml:space="preserve"> over six years (Table 18). </w:t>
      </w:r>
    </w:p>
    <w:p w14:paraId="69AF9BC9" w14:textId="6E2F4D31" w:rsidR="00CC25DE" w:rsidRPr="008E7C4C" w:rsidRDefault="00DC05BD" w:rsidP="00CC25DE">
      <w:pPr>
        <w:numPr>
          <w:ilvl w:val="1"/>
          <w:numId w:val="1"/>
        </w:numPr>
        <w:spacing w:after="120"/>
        <w:rPr>
          <w:rFonts w:asciiTheme="minorHAnsi" w:hAnsiTheme="minorHAnsi"/>
          <w:snapToGrid w:val="0"/>
        </w:rPr>
      </w:pPr>
      <w:r w:rsidRPr="008E7C4C">
        <w:t xml:space="preserve">In November 2020, the PBAC considered the net financial impact of listing </w:t>
      </w:r>
      <w:proofErr w:type="spellStart"/>
      <w:r w:rsidRPr="008E7C4C">
        <w:t>ILd</w:t>
      </w:r>
      <w:proofErr w:type="spellEnd"/>
      <w:r w:rsidRPr="008E7C4C">
        <w:t xml:space="preserve"> w</w:t>
      </w:r>
      <w:r w:rsidRPr="008E7C4C">
        <w:rPr>
          <w:bCs/>
        </w:rPr>
        <w:t>as underestimated (</w:t>
      </w:r>
      <w:r w:rsidRPr="008E7C4C">
        <w:t xml:space="preserve">paragraph 7.12, </w:t>
      </w:r>
      <w:proofErr w:type="spellStart"/>
      <w:r w:rsidRPr="008E7C4C">
        <w:t>ixazomib</w:t>
      </w:r>
      <w:proofErr w:type="spellEnd"/>
      <w:r w:rsidRPr="008E7C4C">
        <w:t xml:space="preserve"> PSD, November 2020).</w:t>
      </w:r>
      <w:r w:rsidR="00967BD5" w:rsidRPr="008E7C4C">
        <w:t xml:space="preserve">  </w:t>
      </w:r>
      <w:r w:rsidR="00CC25DE" w:rsidRPr="008E7C4C">
        <w:t xml:space="preserve">The November 2020 submission </w:t>
      </w:r>
      <w:r w:rsidR="009C7DD6" w:rsidRPr="008E7C4C">
        <w:t xml:space="preserve">had </w:t>
      </w:r>
      <w:r w:rsidR="00CC25DE" w:rsidRPr="008E7C4C">
        <w:t xml:space="preserve">assumed a higher substitution rate for Cd compared to </w:t>
      </w:r>
      <w:proofErr w:type="spellStart"/>
      <w:r w:rsidR="00CC25DE" w:rsidRPr="008E7C4C">
        <w:t>Ld</w:t>
      </w:r>
      <w:proofErr w:type="spellEnd"/>
      <w:r w:rsidR="00CC25DE" w:rsidRPr="008E7C4C">
        <w:t xml:space="preserve">, and </w:t>
      </w:r>
      <w:proofErr w:type="gramStart"/>
      <w:r w:rsidR="009C7DD6" w:rsidRPr="008E7C4C">
        <w:t>similar to</w:t>
      </w:r>
      <w:proofErr w:type="gramEnd"/>
      <w:r w:rsidR="009C7DD6" w:rsidRPr="008E7C4C">
        <w:t xml:space="preserve"> the resubmission, </w:t>
      </w:r>
      <w:r w:rsidR="00CC25DE" w:rsidRPr="008E7C4C">
        <w:t xml:space="preserve">did not incorporate displacement to Cd, but rather included replacement. </w:t>
      </w:r>
      <w:r w:rsidR="00CC25DE" w:rsidRPr="008E7C4C">
        <w:rPr>
          <w:rFonts w:asciiTheme="minorHAnsi" w:hAnsiTheme="minorHAnsi"/>
          <w:snapToGrid w:val="0"/>
        </w:rPr>
        <w:t xml:space="preserve">The resubmission provided two </w:t>
      </w:r>
      <w:r w:rsidR="005A1623" w:rsidRPr="008E7C4C">
        <w:rPr>
          <w:rFonts w:asciiTheme="minorHAnsi" w:hAnsiTheme="minorHAnsi"/>
          <w:snapToGrid w:val="0"/>
        </w:rPr>
        <w:t xml:space="preserve">sensitivity analyses based on the following </w:t>
      </w:r>
      <w:r w:rsidR="00CC25DE" w:rsidRPr="008E7C4C">
        <w:rPr>
          <w:rFonts w:asciiTheme="minorHAnsi" w:hAnsiTheme="minorHAnsi"/>
          <w:snapToGrid w:val="0"/>
        </w:rPr>
        <w:t>assumption</w:t>
      </w:r>
      <w:r w:rsidR="00940D6A" w:rsidRPr="008E7C4C">
        <w:rPr>
          <w:rFonts w:asciiTheme="minorHAnsi" w:hAnsiTheme="minorHAnsi"/>
          <w:snapToGrid w:val="0"/>
        </w:rPr>
        <w:t>s</w:t>
      </w:r>
      <w:r w:rsidR="005A1623" w:rsidRPr="008E7C4C">
        <w:rPr>
          <w:rFonts w:asciiTheme="minorHAnsi" w:hAnsiTheme="minorHAnsi"/>
          <w:snapToGrid w:val="0"/>
        </w:rPr>
        <w:t xml:space="preserve"> relating to the </w:t>
      </w:r>
      <w:r w:rsidR="00940D6A" w:rsidRPr="008E7C4C">
        <w:rPr>
          <w:rFonts w:asciiTheme="minorHAnsi" w:hAnsiTheme="minorHAnsi"/>
          <w:snapToGrid w:val="0"/>
        </w:rPr>
        <w:t>proportion of patients electing to receive lenalidomide-based therapy</w:t>
      </w:r>
      <w:r w:rsidR="005A1623" w:rsidRPr="008E7C4C">
        <w:rPr>
          <w:rFonts w:asciiTheme="minorHAnsi" w:hAnsiTheme="minorHAnsi"/>
          <w:snapToGrid w:val="0"/>
        </w:rPr>
        <w:t>:</w:t>
      </w:r>
      <w:r w:rsidR="00CC25DE" w:rsidRPr="008E7C4C">
        <w:rPr>
          <w:rFonts w:asciiTheme="minorHAnsi" w:hAnsiTheme="minorHAnsi"/>
          <w:snapToGrid w:val="0"/>
        </w:rPr>
        <w:t xml:space="preserve"> </w:t>
      </w:r>
      <w:r w:rsidR="005A1623" w:rsidRPr="008E7C4C">
        <w:rPr>
          <w:rFonts w:asciiTheme="minorHAnsi" w:hAnsiTheme="minorHAnsi"/>
          <w:snapToGrid w:val="0"/>
        </w:rPr>
        <w:t>(</w:t>
      </w:r>
      <w:proofErr w:type="spellStart"/>
      <w:r w:rsidR="005A1623" w:rsidRPr="008E7C4C">
        <w:rPr>
          <w:rFonts w:asciiTheme="minorHAnsi" w:hAnsiTheme="minorHAnsi"/>
          <w:snapToGrid w:val="0"/>
        </w:rPr>
        <w:t>i</w:t>
      </w:r>
      <w:proofErr w:type="spellEnd"/>
      <w:r w:rsidR="005A1623" w:rsidRPr="008E7C4C">
        <w:rPr>
          <w:rFonts w:asciiTheme="minorHAnsi" w:hAnsiTheme="minorHAnsi"/>
          <w:snapToGrid w:val="0"/>
        </w:rPr>
        <w:t xml:space="preserve">) </w:t>
      </w:r>
      <w:r w:rsidR="00CC25DE" w:rsidRPr="008E7C4C">
        <w:rPr>
          <w:rFonts w:asciiTheme="minorHAnsi" w:hAnsiTheme="minorHAnsi"/>
          <w:snapToGrid w:val="0"/>
        </w:rPr>
        <w:t>that there will be no change to the proportion</w:t>
      </w:r>
      <w:r w:rsidR="00940D6A" w:rsidRPr="008E7C4C">
        <w:rPr>
          <w:rFonts w:asciiTheme="minorHAnsi" w:hAnsiTheme="minorHAnsi"/>
          <w:snapToGrid w:val="0"/>
        </w:rPr>
        <w:t xml:space="preserve"> (i.e. it will remain constant at </w:t>
      </w:r>
      <w:proofErr w:type="gramStart"/>
      <w:r w:rsidR="00951174" w:rsidRPr="002D249B">
        <w:rPr>
          <w:rFonts w:asciiTheme="minorHAnsi" w:hAnsiTheme="minorHAnsi"/>
          <w:snapToGrid w:val="0"/>
          <w:color w:val="000000"/>
          <w:w w:val="15"/>
          <w:shd w:val="solid" w:color="000000" w:fill="000000"/>
          <w:fitText w:val="-20" w:id="-1502411250"/>
          <w14:textFill>
            <w14:solidFill>
              <w14:srgbClr w14:val="000000">
                <w14:alpha w14:val="100000"/>
              </w14:srgbClr>
            </w14:solidFill>
          </w14:textFill>
        </w:rPr>
        <w:t xml:space="preserve">|  </w:t>
      </w:r>
      <w:r w:rsidR="00951174" w:rsidRPr="002D249B">
        <w:rPr>
          <w:rFonts w:asciiTheme="minorHAnsi" w:hAnsiTheme="minorHAnsi"/>
          <w:snapToGrid w:val="0"/>
          <w:color w:val="000000"/>
          <w:spacing w:val="-69"/>
          <w:w w:val="15"/>
          <w:shd w:val="solid" w:color="000000" w:fill="000000"/>
          <w:fitText w:val="-20" w:id="-1502411250"/>
          <w14:textFill>
            <w14:solidFill>
              <w14:srgbClr w14:val="000000">
                <w14:alpha w14:val="100000"/>
              </w14:srgbClr>
            </w14:solidFill>
          </w14:textFill>
        </w:rPr>
        <w:t>|</w:t>
      </w:r>
      <w:proofErr w:type="gramEnd"/>
      <w:r w:rsidR="00940D6A" w:rsidRPr="008E7C4C">
        <w:rPr>
          <w:rFonts w:asciiTheme="minorHAnsi" w:hAnsiTheme="minorHAnsi"/>
          <w:snapToGrid w:val="0"/>
        </w:rPr>
        <w:t>%)</w:t>
      </w:r>
      <w:r w:rsidR="005A1623" w:rsidRPr="008E7C4C">
        <w:rPr>
          <w:rFonts w:asciiTheme="minorHAnsi" w:hAnsiTheme="minorHAnsi"/>
          <w:snapToGrid w:val="0"/>
        </w:rPr>
        <w:t>;</w:t>
      </w:r>
      <w:r w:rsidR="00CC25DE" w:rsidRPr="008E7C4C">
        <w:rPr>
          <w:rFonts w:asciiTheme="minorHAnsi" w:hAnsiTheme="minorHAnsi"/>
          <w:snapToGrid w:val="0"/>
        </w:rPr>
        <w:t xml:space="preserve"> and </w:t>
      </w:r>
      <w:r w:rsidR="005A1623" w:rsidRPr="008E7C4C">
        <w:rPr>
          <w:rFonts w:asciiTheme="minorHAnsi" w:hAnsiTheme="minorHAnsi"/>
          <w:snapToGrid w:val="0"/>
        </w:rPr>
        <w:t xml:space="preserve">(ii) </w:t>
      </w:r>
      <w:r w:rsidR="00CC25DE" w:rsidRPr="008E7C4C">
        <w:rPr>
          <w:rFonts w:asciiTheme="minorHAnsi" w:hAnsiTheme="minorHAnsi"/>
          <w:snapToGrid w:val="0"/>
        </w:rPr>
        <w:t xml:space="preserve">that there will be a steeper decline. The results are summarised in Table </w:t>
      </w:r>
      <w:r w:rsidR="007E51A8" w:rsidRPr="008E7C4C">
        <w:rPr>
          <w:rFonts w:asciiTheme="minorHAnsi" w:hAnsiTheme="minorHAnsi"/>
          <w:snapToGrid w:val="0"/>
        </w:rPr>
        <w:t>19</w:t>
      </w:r>
      <w:r w:rsidR="00CC25DE" w:rsidRPr="008E7C4C">
        <w:rPr>
          <w:rFonts w:asciiTheme="minorHAnsi" w:hAnsiTheme="minorHAnsi"/>
          <w:snapToGrid w:val="0"/>
        </w:rPr>
        <w:t>.</w:t>
      </w:r>
    </w:p>
    <w:p w14:paraId="10F8696E" w14:textId="681F1FA5" w:rsidR="00CC25DE" w:rsidRPr="008E7C4C" w:rsidRDefault="00CC25DE" w:rsidP="005E79DD">
      <w:pPr>
        <w:keepNext/>
        <w:jc w:val="left"/>
        <w:rPr>
          <w:rFonts w:ascii="Arial Narrow" w:eastAsiaTheme="majorEastAsia" w:hAnsi="Arial Narrow" w:cstheme="majorBidi"/>
          <w:b/>
          <w:bCs/>
          <w:color w:val="000000" w:themeColor="text1"/>
          <w:sz w:val="20"/>
        </w:rPr>
      </w:pPr>
      <w:r w:rsidRPr="008E7C4C">
        <w:rPr>
          <w:rFonts w:ascii="Arial Narrow" w:eastAsiaTheme="majorEastAsia" w:hAnsi="Arial Narrow" w:cstheme="majorBidi"/>
          <w:b/>
          <w:bCs/>
          <w:color w:val="000000" w:themeColor="text1"/>
          <w:sz w:val="20"/>
        </w:rPr>
        <w:t xml:space="preserve">Table </w:t>
      </w:r>
      <w:r w:rsidR="007E51A8" w:rsidRPr="008E7C4C">
        <w:rPr>
          <w:rFonts w:ascii="Arial Narrow" w:eastAsiaTheme="majorEastAsia" w:hAnsi="Arial Narrow" w:cstheme="majorBidi"/>
          <w:b/>
          <w:bCs/>
          <w:color w:val="000000" w:themeColor="text1"/>
          <w:sz w:val="20"/>
        </w:rPr>
        <w:t>19</w:t>
      </w:r>
      <w:r w:rsidRPr="008E7C4C">
        <w:rPr>
          <w:rFonts w:ascii="Arial Narrow" w:eastAsiaTheme="majorEastAsia" w:hAnsi="Arial Narrow" w:cstheme="majorBidi"/>
          <w:b/>
          <w:bCs/>
          <w:color w:val="000000" w:themeColor="text1"/>
          <w:sz w:val="20"/>
        </w:rPr>
        <w:t>: Sensitivity analyses results (Net Impact PBS/RPBS)</w:t>
      </w:r>
    </w:p>
    <w:tbl>
      <w:tblPr>
        <w:tblStyle w:val="TableGrid"/>
        <w:tblW w:w="5000" w:type="pct"/>
        <w:tblLook w:val="04A0" w:firstRow="1" w:lastRow="0" w:firstColumn="1" w:lastColumn="0" w:noHBand="0" w:noVBand="1"/>
      </w:tblPr>
      <w:tblGrid>
        <w:gridCol w:w="2266"/>
        <w:gridCol w:w="1132"/>
        <w:gridCol w:w="1134"/>
        <w:gridCol w:w="1134"/>
        <w:gridCol w:w="1134"/>
        <w:gridCol w:w="1132"/>
        <w:gridCol w:w="1084"/>
      </w:tblGrid>
      <w:tr w:rsidR="005E79DD" w:rsidRPr="008E7C4C" w14:paraId="5F9E83B6" w14:textId="77777777" w:rsidTr="005C273F">
        <w:tc>
          <w:tcPr>
            <w:tcW w:w="1256" w:type="pct"/>
            <w:tcMar>
              <w:left w:w="28" w:type="dxa"/>
              <w:right w:w="28" w:type="dxa"/>
            </w:tcMar>
            <w:vAlign w:val="center"/>
          </w:tcPr>
          <w:p w14:paraId="24F15AA8" w14:textId="77777777" w:rsidR="00CC25DE" w:rsidRPr="008E7C4C" w:rsidRDefault="00CC25DE" w:rsidP="005E79DD">
            <w:pPr>
              <w:keepNext/>
              <w:jc w:val="left"/>
              <w:rPr>
                <w:rFonts w:ascii="Arial Narrow" w:hAnsi="Arial Narrow"/>
                <w:sz w:val="20"/>
                <w:szCs w:val="20"/>
              </w:rPr>
            </w:pPr>
          </w:p>
        </w:tc>
        <w:tc>
          <w:tcPr>
            <w:tcW w:w="628" w:type="pct"/>
            <w:tcMar>
              <w:left w:w="28" w:type="dxa"/>
              <w:right w:w="28" w:type="dxa"/>
            </w:tcMar>
            <w:vAlign w:val="center"/>
          </w:tcPr>
          <w:p w14:paraId="5A2FB3A0" w14:textId="77777777" w:rsidR="00CC25DE" w:rsidRPr="008E7C4C" w:rsidRDefault="00CC25DE" w:rsidP="005E79DD">
            <w:pPr>
              <w:keepNext/>
              <w:rPr>
                <w:rFonts w:ascii="Arial Narrow" w:hAnsi="Arial Narrow"/>
                <w:sz w:val="20"/>
                <w:szCs w:val="20"/>
              </w:rPr>
            </w:pPr>
            <w:r w:rsidRPr="008E7C4C">
              <w:rPr>
                <w:rFonts w:ascii="Arial Narrow" w:hAnsi="Arial Narrow" w:cs="Tahoma"/>
                <w:b/>
                <w:sz w:val="20"/>
                <w:szCs w:val="20"/>
              </w:rPr>
              <w:t>2022</w:t>
            </w:r>
          </w:p>
        </w:tc>
        <w:tc>
          <w:tcPr>
            <w:tcW w:w="629" w:type="pct"/>
            <w:tcMar>
              <w:left w:w="28" w:type="dxa"/>
              <w:right w:w="28" w:type="dxa"/>
            </w:tcMar>
            <w:vAlign w:val="center"/>
          </w:tcPr>
          <w:p w14:paraId="730ADDBC" w14:textId="77777777" w:rsidR="00CC25DE" w:rsidRPr="008E7C4C" w:rsidRDefault="00CC25DE" w:rsidP="005E79DD">
            <w:pPr>
              <w:keepNext/>
              <w:rPr>
                <w:rFonts w:ascii="Arial Narrow" w:hAnsi="Arial Narrow"/>
                <w:sz w:val="20"/>
                <w:szCs w:val="20"/>
              </w:rPr>
            </w:pPr>
            <w:r w:rsidRPr="008E7C4C">
              <w:rPr>
                <w:rFonts w:ascii="Arial Narrow" w:hAnsi="Arial Narrow" w:cs="Tahoma"/>
                <w:b/>
                <w:sz w:val="20"/>
                <w:szCs w:val="20"/>
              </w:rPr>
              <w:t>2023</w:t>
            </w:r>
          </w:p>
        </w:tc>
        <w:tc>
          <w:tcPr>
            <w:tcW w:w="629" w:type="pct"/>
            <w:tcMar>
              <w:left w:w="28" w:type="dxa"/>
              <w:right w:w="28" w:type="dxa"/>
            </w:tcMar>
            <w:vAlign w:val="center"/>
          </w:tcPr>
          <w:p w14:paraId="02E9629F" w14:textId="77777777" w:rsidR="00CC25DE" w:rsidRPr="008E7C4C" w:rsidRDefault="00CC25DE" w:rsidP="005E79DD">
            <w:pPr>
              <w:keepNext/>
              <w:rPr>
                <w:rFonts w:ascii="Arial Narrow" w:hAnsi="Arial Narrow"/>
                <w:sz w:val="20"/>
                <w:szCs w:val="20"/>
              </w:rPr>
            </w:pPr>
            <w:r w:rsidRPr="008E7C4C">
              <w:rPr>
                <w:rFonts w:ascii="Arial Narrow" w:hAnsi="Arial Narrow" w:cs="Tahoma"/>
                <w:b/>
                <w:sz w:val="20"/>
                <w:szCs w:val="20"/>
              </w:rPr>
              <w:t>2024</w:t>
            </w:r>
          </w:p>
        </w:tc>
        <w:tc>
          <w:tcPr>
            <w:tcW w:w="629" w:type="pct"/>
            <w:tcMar>
              <w:left w:w="28" w:type="dxa"/>
              <w:right w:w="28" w:type="dxa"/>
            </w:tcMar>
            <w:vAlign w:val="center"/>
          </w:tcPr>
          <w:p w14:paraId="4E7921D6" w14:textId="77777777" w:rsidR="00CC25DE" w:rsidRPr="008E7C4C" w:rsidRDefault="00CC25DE" w:rsidP="005E79DD">
            <w:pPr>
              <w:keepNext/>
              <w:rPr>
                <w:rFonts w:ascii="Arial Narrow" w:hAnsi="Arial Narrow"/>
                <w:sz w:val="20"/>
                <w:szCs w:val="20"/>
              </w:rPr>
            </w:pPr>
            <w:r w:rsidRPr="008E7C4C">
              <w:rPr>
                <w:rFonts w:ascii="Arial Narrow" w:hAnsi="Arial Narrow" w:cs="Tahoma"/>
                <w:b/>
                <w:sz w:val="20"/>
                <w:szCs w:val="20"/>
              </w:rPr>
              <w:t>2025</w:t>
            </w:r>
          </w:p>
        </w:tc>
        <w:tc>
          <w:tcPr>
            <w:tcW w:w="628" w:type="pct"/>
            <w:tcMar>
              <w:left w:w="28" w:type="dxa"/>
              <w:right w:w="28" w:type="dxa"/>
            </w:tcMar>
            <w:vAlign w:val="center"/>
          </w:tcPr>
          <w:p w14:paraId="1813F1CD" w14:textId="77777777" w:rsidR="00CC25DE" w:rsidRPr="008E7C4C" w:rsidRDefault="00CC25DE" w:rsidP="005E79DD">
            <w:pPr>
              <w:keepNext/>
              <w:rPr>
                <w:rFonts w:ascii="Arial Narrow" w:hAnsi="Arial Narrow"/>
                <w:sz w:val="20"/>
                <w:szCs w:val="20"/>
              </w:rPr>
            </w:pPr>
            <w:r w:rsidRPr="008E7C4C">
              <w:rPr>
                <w:rFonts w:ascii="Arial Narrow" w:hAnsi="Arial Narrow" w:cs="Tahoma"/>
                <w:b/>
                <w:sz w:val="20"/>
                <w:szCs w:val="20"/>
              </w:rPr>
              <w:t>2026</w:t>
            </w:r>
          </w:p>
        </w:tc>
        <w:tc>
          <w:tcPr>
            <w:tcW w:w="602" w:type="pct"/>
            <w:tcMar>
              <w:left w:w="28" w:type="dxa"/>
              <w:right w:w="28" w:type="dxa"/>
            </w:tcMar>
            <w:vAlign w:val="center"/>
          </w:tcPr>
          <w:p w14:paraId="503014E5" w14:textId="77777777" w:rsidR="00CC25DE" w:rsidRPr="008E7C4C" w:rsidRDefault="00CC25DE" w:rsidP="005E79DD">
            <w:pPr>
              <w:keepNext/>
              <w:rPr>
                <w:rFonts w:ascii="Arial Narrow" w:hAnsi="Arial Narrow"/>
                <w:sz w:val="20"/>
                <w:szCs w:val="20"/>
              </w:rPr>
            </w:pPr>
            <w:r w:rsidRPr="008E7C4C">
              <w:rPr>
                <w:rFonts w:ascii="Arial Narrow" w:hAnsi="Arial Narrow" w:cs="Tahoma"/>
                <w:b/>
                <w:sz w:val="20"/>
                <w:szCs w:val="20"/>
              </w:rPr>
              <w:t>2027</w:t>
            </w:r>
          </w:p>
        </w:tc>
      </w:tr>
      <w:tr w:rsidR="00CC25DE" w:rsidRPr="008E7C4C" w14:paraId="4414CBFA" w14:textId="77777777" w:rsidTr="005E79DD">
        <w:tc>
          <w:tcPr>
            <w:tcW w:w="5000" w:type="pct"/>
            <w:gridSpan w:val="7"/>
            <w:tcMar>
              <w:left w:w="28" w:type="dxa"/>
              <w:right w:w="28" w:type="dxa"/>
            </w:tcMar>
            <w:vAlign w:val="center"/>
          </w:tcPr>
          <w:p w14:paraId="5F2FB3E2" w14:textId="77777777" w:rsidR="00CC25DE" w:rsidRPr="008E7C4C" w:rsidRDefault="00CC25DE" w:rsidP="005E79DD">
            <w:pPr>
              <w:keepNext/>
              <w:jc w:val="left"/>
              <w:rPr>
                <w:rFonts w:ascii="Arial Narrow" w:hAnsi="Arial Narrow" w:cs="Tahoma"/>
                <w:b/>
                <w:sz w:val="20"/>
                <w:szCs w:val="20"/>
              </w:rPr>
            </w:pPr>
            <w:proofErr w:type="spellStart"/>
            <w:r w:rsidRPr="008E7C4C">
              <w:rPr>
                <w:rFonts w:ascii="Arial Narrow" w:hAnsi="Arial Narrow"/>
                <w:b/>
                <w:bCs/>
                <w:sz w:val="20"/>
                <w:szCs w:val="20"/>
              </w:rPr>
              <w:t>ILd</w:t>
            </w:r>
            <w:proofErr w:type="spellEnd"/>
            <w:r w:rsidRPr="008E7C4C">
              <w:rPr>
                <w:rFonts w:ascii="Arial Narrow" w:hAnsi="Arial Narrow"/>
                <w:b/>
                <w:bCs/>
                <w:sz w:val="20"/>
                <w:szCs w:val="20"/>
              </w:rPr>
              <w:t xml:space="preserve"> patients electing treatment (based on patients treated with lenalidomide in 3L+)</w:t>
            </w:r>
          </w:p>
        </w:tc>
      </w:tr>
      <w:tr w:rsidR="005E79DD" w:rsidRPr="008E7C4C" w14:paraId="16CC0F9D" w14:textId="77777777" w:rsidTr="00951174">
        <w:tc>
          <w:tcPr>
            <w:tcW w:w="1256" w:type="pct"/>
            <w:tcMar>
              <w:left w:w="28" w:type="dxa"/>
              <w:right w:w="28" w:type="dxa"/>
            </w:tcMar>
            <w:vAlign w:val="center"/>
          </w:tcPr>
          <w:p w14:paraId="6CE21EB8" w14:textId="197FB70F" w:rsidR="00CC25DE" w:rsidRPr="008E7C4C" w:rsidRDefault="00CC25DE" w:rsidP="005E79DD">
            <w:pPr>
              <w:keepNext/>
              <w:jc w:val="left"/>
              <w:rPr>
                <w:rFonts w:ascii="Arial Narrow" w:hAnsi="Arial Narrow"/>
                <w:sz w:val="20"/>
                <w:szCs w:val="20"/>
              </w:rPr>
            </w:pPr>
            <w:r w:rsidRPr="008E7C4C">
              <w:rPr>
                <w:rFonts w:ascii="Arial Narrow" w:hAnsi="Arial Narrow"/>
                <w:sz w:val="20"/>
                <w:szCs w:val="20"/>
              </w:rPr>
              <w:t xml:space="preserve">Base case </w:t>
            </w:r>
            <w:r w:rsidR="00587B76">
              <w:rPr>
                <w:rFonts w:ascii="Arial Narrow" w:hAnsi="Arial Narrow"/>
                <w:sz w:val="20"/>
                <w:szCs w:val="20"/>
              </w:rPr>
              <w:t>(%)</w:t>
            </w:r>
          </w:p>
        </w:tc>
        <w:tc>
          <w:tcPr>
            <w:tcW w:w="628" w:type="pct"/>
            <w:shd w:val="solid" w:color="000000" w:fill="000000"/>
            <w:tcMar>
              <w:left w:w="28" w:type="dxa"/>
              <w:right w:w="28" w:type="dxa"/>
            </w:tcMar>
            <w:vAlign w:val="center"/>
          </w:tcPr>
          <w:p w14:paraId="39C15E13" w14:textId="5C259317"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49"/>
                <w14:textFill>
                  <w14:solidFill>
                    <w14:srgbClr w14:val="000000">
                      <w14:alpha w14:val="100000"/>
                    </w14:srgbClr>
                  </w14:solidFill>
                </w14:textFill>
              </w:rPr>
              <w:t>||  |</w:t>
            </w:r>
            <w:r w:rsidRPr="00951174">
              <w:rPr>
                <w:rFonts w:ascii="Arial Narrow" w:hAnsi="Arial Narrow"/>
                <w:color w:val="000000"/>
                <w:spacing w:val="4"/>
                <w:sz w:val="20"/>
                <w:szCs w:val="20"/>
                <w:fitText w:val="310" w:id="-1502411249"/>
                <w14:textFill>
                  <w14:solidFill>
                    <w14:srgbClr w14:val="000000">
                      <w14:alpha w14:val="100000"/>
                    </w14:srgbClr>
                  </w14:solidFill>
                </w14:textFill>
              </w:rPr>
              <w:t>|</w:t>
            </w:r>
          </w:p>
        </w:tc>
        <w:tc>
          <w:tcPr>
            <w:tcW w:w="629" w:type="pct"/>
            <w:shd w:val="solid" w:color="000000" w:fill="000000"/>
            <w:tcMar>
              <w:left w:w="28" w:type="dxa"/>
              <w:right w:w="28" w:type="dxa"/>
            </w:tcMar>
            <w:vAlign w:val="center"/>
          </w:tcPr>
          <w:p w14:paraId="4A42C1AA" w14:textId="0698662D"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48"/>
                <w14:textFill>
                  <w14:solidFill>
                    <w14:srgbClr w14:val="000000">
                      <w14:alpha w14:val="100000"/>
                    </w14:srgbClr>
                  </w14:solidFill>
                </w14:textFill>
              </w:rPr>
              <w:t>||  |</w:t>
            </w:r>
            <w:r w:rsidRPr="00951174">
              <w:rPr>
                <w:rFonts w:ascii="Arial Narrow" w:hAnsi="Arial Narrow"/>
                <w:color w:val="000000"/>
                <w:spacing w:val="4"/>
                <w:sz w:val="20"/>
                <w:szCs w:val="20"/>
                <w:fitText w:val="310" w:id="-1502411248"/>
                <w14:textFill>
                  <w14:solidFill>
                    <w14:srgbClr w14:val="000000">
                      <w14:alpha w14:val="100000"/>
                    </w14:srgbClr>
                  </w14:solidFill>
                </w14:textFill>
              </w:rPr>
              <w:t>|</w:t>
            </w:r>
          </w:p>
        </w:tc>
        <w:tc>
          <w:tcPr>
            <w:tcW w:w="629" w:type="pct"/>
            <w:shd w:val="solid" w:color="000000" w:fill="000000"/>
            <w:tcMar>
              <w:left w:w="28" w:type="dxa"/>
              <w:right w:w="28" w:type="dxa"/>
            </w:tcMar>
            <w:vAlign w:val="center"/>
          </w:tcPr>
          <w:p w14:paraId="7E0C6A86" w14:textId="5C7D30A3"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64"/>
                <w14:textFill>
                  <w14:solidFill>
                    <w14:srgbClr w14:val="000000">
                      <w14:alpha w14:val="100000"/>
                    </w14:srgbClr>
                  </w14:solidFill>
                </w14:textFill>
              </w:rPr>
              <w:t>||  |</w:t>
            </w:r>
            <w:r w:rsidRPr="00951174">
              <w:rPr>
                <w:rFonts w:ascii="Arial Narrow" w:hAnsi="Arial Narrow"/>
                <w:color w:val="000000"/>
                <w:spacing w:val="4"/>
                <w:sz w:val="20"/>
                <w:szCs w:val="20"/>
                <w:fitText w:val="310" w:id="-1502411264"/>
                <w14:textFill>
                  <w14:solidFill>
                    <w14:srgbClr w14:val="000000">
                      <w14:alpha w14:val="100000"/>
                    </w14:srgbClr>
                  </w14:solidFill>
                </w14:textFill>
              </w:rPr>
              <w:t>|</w:t>
            </w:r>
          </w:p>
        </w:tc>
        <w:tc>
          <w:tcPr>
            <w:tcW w:w="629" w:type="pct"/>
            <w:shd w:val="solid" w:color="000000" w:fill="000000"/>
            <w:tcMar>
              <w:left w:w="28" w:type="dxa"/>
              <w:right w:w="28" w:type="dxa"/>
            </w:tcMar>
            <w:vAlign w:val="center"/>
          </w:tcPr>
          <w:p w14:paraId="3D5F99BB" w14:textId="59A5F72C"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63"/>
                <w14:textFill>
                  <w14:solidFill>
                    <w14:srgbClr w14:val="000000">
                      <w14:alpha w14:val="100000"/>
                    </w14:srgbClr>
                  </w14:solidFill>
                </w14:textFill>
              </w:rPr>
              <w:t>||  |</w:t>
            </w:r>
            <w:r w:rsidRPr="00951174">
              <w:rPr>
                <w:rFonts w:ascii="Arial Narrow" w:hAnsi="Arial Narrow"/>
                <w:color w:val="000000"/>
                <w:spacing w:val="4"/>
                <w:sz w:val="20"/>
                <w:szCs w:val="20"/>
                <w:fitText w:val="310" w:id="-1502411263"/>
                <w14:textFill>
                  <w14:solidFill>
                    <w14:srgbClr w14:val="000000">
                      <w14:alpha w14:val="100000"/>
                    </w14:srgbClr>
                  </w14:solidFill>
                </w14:textFill>
              </w:rPr>
              <w:t>|</w:t>
            </w:r>
          </w:p>
        </w:tc>
        <w:tc>
          <w:tcPr>
            <w:tcW w:w="628" w:type="pct"/>
            <w:shd w:val="solid" w:color="000000" w:fill="000000"/>
            <w:tcMar>
              <w:left w:w="28" w:type="dxa"/>
              <w:right w:w="28" w:type="dxa"/>
            </w:tcMar>
            <w:vAlign w:val="center"/>
          </w:tcPr>
          <w:p w14:paraId="179968F0" w14:textId="4A6D91FB"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62"/>
                <w14:textFill>
                  <w14:solidFill>
                    <w14:srgbClr w14:val="000000">
                      <w14:alpha w14:val="100000"/>
                    </w14:srgbClr>
                  </w14:solidFill>
                </w14:textFill>
              </w:rPr>
              <w:t>||  |</w:t>
            </w:r>
            <w:r w:rsidRPr="00951174">
              <w:rPr>
                <w:rFonts w:ascii="Arial Narrow" w:hAnsi="Arial Narrow"/>
                <w:color w:val="000000"/>
                <w:spacing w:val="4"/>
                <w:sz w:val="20"/>
                <w:szCs w:val="20"/>
                <w:fitText w:val="310" w:id="-1502411262"/>
                <w14:textFill>
                  <w14:solidFill>
                    <w14:srgbClr w14:val="000000">
                      <w14:alpha w14:val="100000"/>
                    </w14:srgbClr>
                  </w14:solidFill>
                </w14:textFill>
              </w:rPr>
              <w:t>|</w:t>
            </w:r>
          </w:p>
        </w:tc>
        <w:tc>
          <w:tcPr>
            <w:tcW w:w="602" w:type="pct"/>
            <w:shd w:val="solid" w:color="000000" w:fill="000000"/>
            <w:tcMar>
              <w:left w:w="28" w:type="dxa"/>
              <w:right w:w="28" w:type="dxa"/>
            </w:tcMar>
            <w:vAlign w:val="center"/>
          </w:tcPr>
          <w:p w14:paraId="735B7608" w14:textId="4E4F1378"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61"/>
                <w14:textFill>
                  <w14:solidFill>
                    <w14:srgbClr w14:val="000000">
                      <w14:alpha w14:val="100000"/>
                    </w14:srgbClr>
                  </w14:solidFill>
                </w14:textFill>
              </w:rPr>
              <w:t>||  |</w:t>
            </w:r>
            <w:r w:rsidRPr="00951174">
              <w:rPr>
                <w:rFonts w:ascii="Arial Narrow" w:hAnsi="Arial Narrow"/>
                <w:color w:val="000000"/>
                <w:spacing w:val="4"/>
                <w:sz w:val="20"/>
                <w:szCs w:val="20"/>
                <w:fitText w:val="310" w:id="-1502411261"/>
                <w14:textFill>
                  <w14:solidFill>
                    <w14:srgbClr w14:val="000000">
                      <w14:alpha w14:val="100000"/>
                    </w14:srgbClr>
                  </w14:solidFill>
                </w14:textFill>
              </w:rPr>
              <w:t>|</w:t>
            </w:r>
          </w:p>
        </w:tc>
      </w:tr>
      <w:tr w:rsidR="005E79DD" w:rsidRPr="008E7C4C" w14:paraId="2D609FBE" w14:textId="77777777" w:rsidTr="00951174">
        <w:tc>
          <w:tcPr>
            <w:tcW w:w="1256" w:type="pct"/>
            <w:tcMar>
              <w:left w:w="28" w:type="dxa"/>
              <w:right w:w="28" w:type="dxa"/>
            </w:tcMar>
            <w:vAlign w:val="center"/>
          </w:tcPr>
          <w:p w14:paraId="2D7FB382" w14:textId="77777777" w:rsidR="00CC25DE" w:rsidRPr="008E7C4C" w:rsidRDefault="00CC25DE" w:rsidP="005E79DD">
            <w:pPr>
              <w:keepNext/>
              <w:jc w:val="left"/>
              <w:rPr>
                <w:rFonts w:ascii="Arial Narrow" w:hAnsi="Arial Narrow"/>
                <w:sz w:val="20"/>
                <w:szCs w:val="20"/>
              </w:rPr>
            </w:pPr>
            <w:r w:rsidRPr="008E7C4C">
              <w:rPr>
                <w:rFonts w:ascii="Arial Narrow" w:hAnsi="Arial Narrow" w:cs="Times New Roman"/>
                <w:sz w:val="20"/>
                <w:szCs w:val="20"/>
              </w:rPr>
              <w:t>Net cost to PBS/RPBS</w:t>
            </w:r>
          </w:p>
        </w:tc>
        <w:tc>
          <w:tcPr>
            <w:tcW w:w="628" w:type="pct"/>
            <w:tcBorders>
              <w:bottom w:val="single" w:sz="4" w:space="0" w:color="auto"/>
            </w:tcBorders>
            <w:tcMar>
              <w:left w:w="28" w:type="dxa"/>
              <w:right w:w="28" w:type="dxa"/>
            </w:tcMar>
            <w:vAlign w:val="center"/>
          </w:tcPr>
          <w:p w14:paraId="171641EB" w14:textId="077F2EE9"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60"/>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60"/>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60"/>
                <w14:textFill>
                  <w14:solidFill>
                    <w14:srgbClr w14:val="000000">
                      <w14:alpha w14:val="100000"/>
                    </w14:srgbClr>
                  </w14:solidFill>
                </w14:textFill>
              </w:rPr>
              <w:t>|</w:t>
            </w:r>
            <w:r w:rsidR="00C63C9A">
              <w:rPr>
                <w:rFonts w:ascii="Arial Narrow" w:hAnsi="Arial Narrow" w:cs="Times New Roman"/>
                <w:sz w:val="20"/>
                <w:szCs w:val="20"/>
                <w:vertAlign w:val="superscript"/>
              </w:rPr>
              <w:t>1</w:t>
            </w:r>
          </w:p>
        </w:tc>
        <w:tc>
          <w:tcPr>
            <w:tcW w:w="629" w:type="pct"/>
            <w:tcBorders>
              <w:bottom w:val="single" w:sz="4" w:space="0" w:color="auto"/>
            </w:tcBorders>
            <w:tcMar>
              <w:left w:w="28" w:type="dxa"/>
              <w:right w:w="28" w:type="dxa"/>
            </w:tcMar>
            <w:vAlign w:val="center"/>
          </w:tcPr>
          <w:p w14:paraId="4BEB96FB" w14:textId="7A3EF9F0"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59"/>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59"/>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59"/>
                <w14:textFill>
                  <w14:solidFill>
                    <w14:srgbClr w14:val="000000">
                      <w14:alpha w14:val="100000"/>
                    </w14:srgbClr>
                  </w14:solidFill>
                </w14:textFill>
              </w:rPr>
              <w:t>|</w:t>
            </w:r>
            <w:r w:rsidR="00C63C9A">
              <w:rPr>
                <w:rFonts w:ascii="Arial Narrow" w:hAnsi="Arial Narrow" w:cs="Times New Roman"/>
                <w:sz w:val="20"/>
                <w:szCs w:val="20"/>
                <w:vertAlign w:val="superscript"/>
              </w:rPr>
              <w:t>2</w:t>
            </w:r>
          </w:p>
        </w:tc>
        <w:tc>
          <w:tcPr>
            <w:tcW w:w="629" w:type="pct"/>
            <w:tcBorders>
              <w:bottom w:val="single" w:sz="4" w:space="0" w:color="auto"/>
            </w:tcBorders>
            <w:tcMar>
              <w:left w:w="28" w:type="dxa"/>
              <w:right w:w="28" w:type="dxa"/>
            </w:tcMar>
            <w:vAlign w:val="center"/>
          </w:tcPr>
          <w:p w14:paraId="280C0762" w14:textId="7C5D043B"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58"/>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58"/>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58"/>
                <w14:textFill>
                  <w14:solidFill>
                    <w14:srgbClr w14:val="000000">
                      <w14:alpha w14:val="100000"/>
                    </w14:srgbClr>
                  </w14:solidFill>
                </w14:textFill>
              </w:rPr>
              <w:t>|</w:t>
            </w:r>
            <w:r w:rsidR="00C63C9A">
              <w:rPr>
                <w:rFonts w:ascii="Arial Narrow" w:hAnsi="Arial Narrow" w:cs="Times New Roman"/>
                <w:sz w:val="20"/>
                <w:szCs w:val="20"/>
                <w:vertAlign w:val="superscript"/>
              </w:rPr>
              <w:t>2</w:t>
            </w:r>
          </w:p>
        </w:tc>
        <w:tc>
          <w:tcPr>
            <w:tcW w:w="629" w:type="pct"/>
            <w:tcBorders>
              <w:bottom w:val="single" w:sz="4" w:space="0" w:color="auto"/>
            </w:tcBorders>
            <w:tcMar>
              <w:left w:w="28" w:type="dxa"/>
              <w:right w:w="28" w:type="dxa"/>
            </w:tcMar>
            <w:vAlign w:val="center"/>
          </w:tcPr>
          <w:p w14:paraId="7083F92A" w14:textId="7CDBC5D3"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57"/>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57"/>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57"/>
                <w14:textFill>
                  <w14:solidFill>
                    <w14:srgbClr w14:val="000000">
                      <w14:alpha w14:val="100000"/>
                    </w14:srgbClr>
                  </w14:solidFill>
                </w14:textFill>
              </w:rPr>
              <w:t>|</w:t>
            </w:r>
            <w:r w:rsidR="00C63C9A">
              <w:rPr>
                <w:rFonts w:ascii="Arial Narrow" w:hAnsi="Arial Narrow" w:cs="Times New Roman"/>
                <w:sz w:val="20"/>
                <w:szCs w:val="20"/>
                <w:vertAlign w:val="superscript"/>
              </w:rPr>
              <w:t>2</w:t>
            </w:r>
          </w:p>
        </w:tc>
        <w:tc>
          <w:tcPr>
            <w:tcW w:w="628" w:type="pct"/>
            <w:tcBorders>
              <w:bottom w:val="single" w:sz="4" w:space="0" w:color="auto"/>
            </w:tcBorders>
            <w:tcMar>
              <w:left w:w="28" w:type="dxa"/>
              <w:right w:w="28" w:type="dxa"/>
            </w:tcMar>
            <w:vAlign w:val="center"/>
          </w:tcPr>
          <w:p w14:paraId="11FAB3CD" w14:textId="468E0E0C"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56"/>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56"/>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56"/>
                <w14:textFill>
                  <w14:solidFill>
                    <w14:srgbClr w14:val="000000">
                      <w14:alpha w14:val="100000"/>
                    </w14:srgbClr>
                  </w14:solidFill>
                </w14:textFill>
              </w:rPr>
              <w:t>|</w:t>
            </w:r>
            <w:r w:rsidR="00C63C9A">
              <w:rPr>
                <w:rFonts w:ascii="Arial Narrow" w:hAnsi="Arial Narrow" w:cs="Times New Roman"/>
                <w:sz w:val="20"/>
                <w:szCs w:val="20"/>
                <w:vertAlign w:val="superscript"/>
              </w:rPr>
              <w:t>2</w:t>
            </w:r>
          </w:p>
        </w:tc>
        <w:tc>
          <w:tcPr>
            <w:tcW w:w="602" w:type="pct"/>
            <w:tcBorders>
              <w:bottom w:val="single" w:sz="4" w:space="0" w:color="auto"/>
            </w:tcBorders>
            <w:tcMar>
              <w:left w:w="28" w:type="dxa"/>
              <w:right w:w="28" w:type="dxa"/>
            </w:tcMar>
            <w:vAlign w:val="center"/>
          </w:tcPr>
          <w:p w14:paraId="59D0768B" w14:textId="79F4D7F3"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55"/>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55"/>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55"/>
                <w14:textFill>
                  <w14:solidFill>
                    <w14:srgbClr w14:val="000000">
                      <w14:alpha w14:val="100000"/>
                    </w14:srgbClr>
                  </w14:solidFill>
                </w14:textFill>
              </w:rPr>
              <w:t>|</w:t>
            </w:r>
            <w:r w:rsidR="00C63C9A">
              <w:rPr>
                <w:rFonts w:ascii="Arial Narrow" w:hAnsi="Arial Narrow" w:cs="Times New Roman"/>
                <w:sz w:val="20"/>
                <w:szCs w:val="20"/>
                <w:vertAlign w:val="superscript"/>
              </w:rPr>
              <w:t>2</w:t>
            </w:r>
          </w:p>
        </w:tc>
      </w:tr>
      <w:tr w:rsidR="005E79DD" w:rsidRPr="008E7C4C" w14:paraId="62743101" w14:textId="77777777" w:rsidTr="00951174">
        <w:tc>
          <w:tcPr>
            <w:tcW w:w="1256" w:type="pct"/>
            <w:tcMar>
              <w:left w:w="28" w:type="dxa"/>
              <w:right w:w="28" w:type="dxa"/>
            </w:tcMar>
            <w:vAlign w:val="center"/>
          </w:tcPr>
          <w:p w14:paraId="31A55C15" w14:textId="50D64EE8" w:rsidR="00CC25DE" w:rsidRPr="008E7C4C" w:rsidRDefault="005F02CC" w:rsidP="005E79DD">
            <w:pPr>
              <w:keepNext/>
              <w:jc w:val="left"/>
              <w:rPr>
                <w:rFonts w:ascii="Arial Narrow" w:hAnsi="Arial Narrow"/>
                <w:sz w:val="20"/>
                <w:szCs w:val="20"/>
              </w:rPr>
            </w:pPr>
            <w:r w:rsidRPr="008E7C4C">
              <w:rPr>
                <w:rFonts w:ascii="Arial Narrow" w:hAnsi="Arial Narrow"/>
                <w:sz w:val="20"/>
                <w:szCs w:val="20"/>
              </w:rPr>
              <w:t xml:space="preserve">SA 1: </w:t>
            </w:r>
            <w:r w:rsidR="00CC25DE" w:rsidRPr="008E7C4C">
              <w:rPr>
                <w:rFonts w:ascii="Arial Narrow" w:hAnsi="Arial Narrow"/>
                <w:sz w:val="20"/>
                <w:szCs w:val="20"/>
              </w:rPr>
              <w:t>Status Quo</w:t>
            </w:r>
            <w:r w:rsidR="00587B76">
              <w:rPr>
                <w:rFonts w:ascii="Arial Narrow" w:hAnsi="Arial Narrow"/>
                <w:sz w:val="20"/>
                <w:szCs w:val="20"/>
              </w:rPr>
              <w:t xml:space="preserve"> (%)</w:t>
            </w:r>
          </w:p>
        </w:tc>
        <w:tc>
          <w:tcPr>
            <w:tcW w:w="628" w:type="pct"/>
            <w:shd w:val="solid" w:color="000000" w:fill="000000"/>
            <w:tcMar>
              <w:left w:w="28" w:type="dxa"/>
              <w:right w:w="28" w:type="dxa"/>
            </w:tcMar>
            <w:vAlign w:val="center"/>
          </w:tcPr>
          <w:p w14:paraId="2FCA4DCC" w14:textId="382F909A"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4"/>
                <w14:textFill>
                  <w14:solidFill>
                    <w14:srgbClr w14:val="000000">
                      <w14:alpha w14:val="100000"/>
                    </w14:srgbClr>
                  </w14:solidFill>
                </w14:textFill>
              </w:rPr>
              <w:t>||  |</w:t>
            </w:r>
            <w:r w:rsidRPr="00951174">
              <w:rPr>
                <w:rFonts w:ascii="Arial Narrow" w:hAnsi="Arial Narrow"/>
                <w:color w:val="000000"/>
                <w:spacing w:val="4"/>
                <w:sz w:val="20"/>
                <w:szCs w:val="20"/>
                <w:fitText w:val="310" w:id="-1502411254"/>
                <w14:textFill>
                  <w14:solidFill>
                    <w14:srgbClr w14:val="000000">
                      <w14:alpha w14:val="100000"/>
                    </w14:srgbClr>
                  </w14:solidFill>
                </w14:textFill>
              </w:rPr>
              <w:t>|</w:t>
            </w:r>
          </w:p>
        </w:tc>
        <w:tc>
          <w:tcPr>
            <w:tcW w:w="629" w:type="pct"/>
            <w:shd w:val="solid" w:color="000000" w:fill="000000"/>
            <w:tcMar>
              <w:left w:w="28" w:type="dxa"/>
              <w:right w:w="28" w:type="dxa"/>
            </w:tcMar>
            <w:vAlign w:val="center"/>
          </w:tcPr>
          <w:p w14:paraId="7F175F7A" w14:textId="412C2468"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3"/>
                <w14:textFill>
                  <w14:solidFill>
                    <w14:srgbClr w14:val="000000">
                      <w14:alpha w14:val="100000"/>
                    </w14:srgbClr>
                  </w14:solidFill>
                </w14:textFill>
              </w:rPr>
              <w:t>||  |</w:t>
            </w:r>
            <w:r w:rsidRPr="00951174">
              <w:rPr>
                <w:rFonts w:ascii="Arial Narrow" w:hAnsi="Arial Narrow"/>
                <w:color w:val="000000"/>
                <w:spacing w:val="4"/>
                <w:sz w:val="20"/>
                <w:szCs w:val="20"/>
                <w:fitText w:val="310" w:id="-1502411253"/>
                <w14:textFill>
                  <w14:solidFill>
                    <w14:srgbClr w14:val="000000">
                      <w14:alpha w14:val="100000"/>
                    </w14:srgbClr>
                  </w14:solidFill>
                </w14:textFill>
              </w:rPr>
              <w:t>|</w:t>
            </w:r>
          </w:p>
        </w:tc>
        <w:tc>
          <w:tcPr>
            <w:tcW w:w="629" w:type="pct"/>
            <w:shd w:val="solid" w:color="000000" w:fill="000000"/>
            <w:tcMar>
              <w:left w:w="28" w:type="dxa"/>
              <w:right w:w="28" w:type="dxa"/>
            </w:tcMar>
            <w:vAlign w:val="center"/>
          </w:tcPr>
          <w:p w14:paraId="3EB6B964" w14:textId="649C6D03"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2"/>
                <w14:textFill>
                  <w14:solidFill>
                    <w14:srgbClr w14:val="000000">
                      <w14:alpha w14:val="100000"/>
                    </w14:srgbClr>
                  </w14:solidFill>
                </w14:textFill>
              </w:rPr>
              <w:t>||  |</w:t>
            </w:r>
            <w:r w:rsidRPr="00951174">
              <w:rPr>
                <w:rFonts w:ascii="Arial Narrow" w:hAnsi="Arial Narrow"/>
                <w:color w:val="000000"/>
                <w:spacing w:val="4"/>
                <w:sz w:val="20"/>
                <w:szCs w:val="20"/>
                <w:fitText w:val="310" w:id="-1502411252"/>
                <w14:textFill>
                  <w14:solidFill>
                    <w14:srgbClr w14:val="000000">
                      <w14:alpha w14:val="100000"/>
                    </w14:srgbClr>
                  </w14:solidFill>
                </w14:textFill>
              </w:rPr>
              <w:t>|</w:t>
            </w:r>
          </w:p>
        </w:tc>
        <w:tc>
          <w:tcPr>
            <w:tcW w:w="629" w:type="pct"/>
            <w:shd w:val="solid" w:color="000000" w:fill="000000"/>
            <w:tcMar>
              <w:left w:w="28" w:type="dxa"/>
              <w:right w:w="28" w:type="dxa"/>
            </w:tcMar>
            <w:vAlign w:val="center"/>
          </w:tcPr>
          <w:p w14:paraId="02F304BA" w14:textId="57C0C037"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1"/>
                <w14:textFill>
                  <w14:solidFill>
                    <w14:srgbClr w14:val="000000">
                      <w14:alpha w14:val="100000"/>
                    </w14:srgbClr>
                  </w14:solidFill>
                </w14:textFill>
              </w:rPr>
              <w:t>||  |</w:t>
            </w:r>
            <w:r w:rsidRPr="00951174">
              <w:rPr>
                <w:rFonts w:ascii="Arial Narrow" w:hAnsi="Arial Narrow"/>
                <w:color w:val="000000"/>
                <w:spacing w:val="4"/>
                <w:sz w:val="20"/>
                <w:szCs w:val="20"/>
                <w:fitText w:val="310" w:id="-1502411251"/>
                <w14:textFill>
                  <w14:solidFill>
                    <w14:srgbClr w14:val="000000">
                      <w14:alpha w14:val="100000"/>
                    </w14:srgbClr>
                  </w14:solidFill>
                </w14:textFill>
              </w:rPr>
              <w:t>|</w:t>
            </w:r>
          </w:p>
        </w:tc>
        <w:tc>
          <w:tcPr>
            <w:tcW w:w="628" w:type="pct"/>
            <w:shd w:val="solid" w:color="000000" w:fill="000000"/>
            <w:tcMar>
              <w:left w:w="28" w:type="dxa"/>
              <w:right w:w="28" w:type="dxa"/>
            </w:tcMar>
            <w:vAlign w:val="center"/>
          </w:tcPr>
          <w:p w14:paraId="40090D6A" w14:textId="32AA7A12"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0"/>
                <w14:textFill>
                  <w14:solidFill>
                    <w14:srgbClr w14:val="000000">
                      <w14:alpha w14:val="100000"/>
                    </w14:srgbClr>
                  </w14:solidFill>
                </w14:textFill>
              </w:rPr>
              <w:t>||  |</w:t>
            </w:r>
            <w:r w:rsidRPr="00951174">
              <w:rPr>
                <w:rFonts w:ascii="Arial Narrow" w:hAnsi="Arial Narrow"/>
                <w:color w:val="000000"/>
                <w:spacing w:val="4"/>
                <w:sz w:val="20"/>
                <w:szCs w:val="20"/>
                <w:fitText w:val="310" w:id="-1502411250"/>
                <w14:textFill>
                  <w14:solidFill>
                    <w14:srgbClr w14:val="000000">
                      <w14:alpha w14:val="100000"/>
                    </w14:srgbClr>
                  </w14:solidFill>
                </w14:textFill>
              </w:rPr>
              <w:t>|</w:t>
            </w:r>
          </w:p>
        </w:tc>
        <w:tc>
          <w:tcPr>
            <w:tcW w:w="602" w:type="pct"/>
            <w:shd w:val="solid" w:color="000000" w:fill="000000"/>
            <w:tcMar>
              <w:left w:w="28" w:type="dxa"/>
              <w:right w:w="28" w:type="dxa"/>
            </w:tcMar>
            <w:vAlign w:val="center"/>
          </w:tcPr>
          <w:p w14:paraId="36547E0B" w14:textId="6F88AEDC"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49"/>
                <w14:textFill>
                  <w14:solidFill>
                    <w14:srgbClr w14:val="000000">
                      <w14:alpha w14:val="100000"/>
                    </w14:srgbClr>
                  </w14:solidFill>
                </w14:textFill>
              </w:rPr>
              <w:t>||  |</w:t>
            </w:r>
            <w:r w:rsidRPr="00951174">
              <w:rPr>
                <w:rFonts w:ascii="Arial Narrow" w:hAnsi="Arial Narrow"/>
                <w:color w:val="000000"/>
                <w:spacing w:val="4"/>
                <w:sz w:val="20"/>
                <w:szCs w:val="20"/>
                <w:fitText w:val="310" w:id="-1502411249"/>
                <w14:textFill>
                  <w14:solidFill>
                    <w14:srgbClr w14:val="000000">
                      <w14:alpha w14:val="100000"/>
                    </w14:srgbClr>
                  </w14:solidFill>
                </w14:textFill>
              </w:rPr>
              <w:t>|</w:t>
            </w:r>
          </w:p>
        </w:tc>
      </w:tr>
      <w:tr w:rsidR="005E79DD" w:rsidRPr="008E7C4C" w14:paraId="251FE28A" w14:textId="77777777" w:rsidTr="00951174">
        <w:tc>
          <w:tcPr>
            <w:tcW w:w="1256" w:type="pct"/>
            <w:shd w:val="clear" w:color="auto" w:fill="auto"/>
            <w:tcMar>
              <w:left w:w="28" w:type="dxa"/>
              <w:right w:w="28" w:type="dxa"/>
            </w:tcMar>
            <w:vAlign w:val="center"/>
          </w:tcPr>
          <w:p w14:paraId="1E88D85E" w14:textId="77777777" w:rsidR="00CC25DE" w:rsidRPr="008E7C4C" w:rsidRDefault="00CC25DE" w:rsidP="005E79DD">
            <w:pPr>
              <w:keepNext/>
              <w:jc w:val="left"/>
              <w:rPr>
                <w:rFonts w:ascii="Arial Narrow" w:hAnsi="Arial Narrow"/>
                <w:sz w:val="20"/>
                <w:szCs w:val="20"/>
              </w:rPr>
            </w:pPr>
            <w:r w:rsidRPr="008E7C4C">
              <w:rPr>
                <w:rFonts w:ascii="Arial Narrow" w:hAnsi="Arial Narrow" w:cs="Times New Roman"/>
                <w:sz w:val="20"/>
                <w:szCs w:val="20"/>
              </w:rPr>
              <w:t>Net cost to PBS/RPBS</w:t>
            </w:r>
          </w:p>
        </w:tc>
        <w:tc>
          <w:tcPr>
            <w:tcW w:w="628" w:type="pct"/>
            <w:tcBorders>
              <w:bottom w:val="single" w:sz="4" w:space="0" w:color="auto"/>
            </w:tcBorders>
            <w:shd w:val="clear" w:color="auto" w:fill="auto"/>
            <w:tcMar>
              <w:left w:w="28" w:type="dxa"/>
              <w:right w:w="28" w:type="dxa"/>
            </w:tcMar>
            <w:vAlign w:val="center"/>
          </w:tcPr>
          <w:p w14:paraId="02E1624C" w14:textId="6EA8ABB6"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48"/>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48"/>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48"/>
                <w14:textFill>
                  <w14:solidFill>
                    <w14:srgbClr w14:val="000000">
                      <w14:alpha w14:val="100000"/>
                    </w14:srgbClr>
                  </w14:solidFill>
                </w14:textFill>
              </w:rPr>
              <w:t>|</w:t>
            </w:r>
            <w:r w:rsidR="00C63C9A">
              <w:rPr>
                <w:rFonts w:ascii="Arial Narrow" w:hAnsi="Arial Narrow" w:cs="Times New Roman"/>
                <w:sz w:val="20"/>
                <w:szCs w:val="20"/>
                <w:vertAlign w:val="superscript"/>
              </w:rPr>
              <w:t>1</w:t>
            </w:r>
          </w:p>
        </w:tc>
        <w:tc>
          <w:tcPr>
            <w:tcW w:w="629" w:type="pct"/>
            <w:tcBorders>
              <w:bottom w:val="single" w:sz="4" w:space="0" w:color="auto"/>
            </w:tcBorders>
            <w:shd w:val="clear" w:color="auto" w:fill="auto"/>
            <w:tcMar>
              <w:left w:w="28" w:type="dxa"/>
              <w:right w:w="28" w:type="dxa"/>
            </w:tcMar>
            <w:vAlign w:val="center"/>
          </w:tcPr>
          <w:p w14:paraId="1B84B06A" w14:textId="16C27745"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64"/>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64"/>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64"/>
                <w14:textFill>
                  <w14:solidFill>
                    <w14:srgbClr w14:val="000000">
                      <w14:alpha w14:val="100000"/>
                    </w14:srgbClr>
                  </w14:solidFill>
                </w14:textFill>
              </w:rPr>
              <w:t>|</w:t>
            </w:r>
            <w:r w:rsidR="00C63C9A">
              <w:rPr>
                <w:rFonts w:ascii="Arial Narrow" w:hAnsi="Arial Narrow" w:cs="Times New Roman"/>
                <w:sz w:val="20"/>
                <w:szCs w:val="20"/>
                <w:vertAlign w:val="superscript"/>
              </w:rPr>
              <w:t>2</w:t>
            </w:r>
          </w:p>
        </w:tc>
        <w:tc>
          <w:tcPr>
            <w:tcW w:w="629" w:type="pct"/>
            <w:tcBorders>
              <w:bottom w:val="single" w:sz="4" w:space="0" w:color="auto"/>
            </w:tcBorders>
            <w:shd w:val="clear" w:color="auto" w:fill="auto"/>
            <w:tcMar>
              <w:left w:w="28" w:type="dxa"/>
              <w:right w:w="28" w:type="dxa"/>
            </w:tcMar>
            <w:vAlign w:val="center"/>
          </w:tcPr>
          <w:p w14:paraId="4C708BD4" w14:textId="4EC9E4E0"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63"/>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63"/>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63"/>
                <w14:textFill>
                  <w14:solidFill>
                    <w14:srgbClr w14:val="000000">
                      <w14:alpha w14:val="100000"/>
                    </w14:srgbClr>
                  </w14:solidFill>
                </w14:textFill>
              </w:rPr>
              <w:t>|</w:t>
            </w:r>
            <w:r w:rsidR="00C63C9A">
              <w:rPr>
                <w:rFonts w:ascii="Arial Narrow" w:hAnsi="Arial Narrow" w:cs="Times New Roman"/>
                <w:sz w:val="20"/>
                <w:szCs w:val="20"/>
                <w:vertAlign w:val="superscript"/>
              </w:rPr>
              <w:t>2</w:t>
            </w:r>
          </w:p>
        </w:tc>
        <w:tc>
          <w:tcPr>
            <w:tcW w:w="629" w:type="pct"/>
            <w:tcBorders>
              <w:bottom w:val="single" w:sz="4" w:space="0" w:color="auto"/>
            </w:tcBorders>
            <w:shd w:val="clear" w:color="auto" w:fill="auto"/>
            <w:tcMar>
              <w:left w:w="28" w:type="dxa"/>
              <w:right w:w="28" w:type="dxa"/>
            </w:tcMar>
            <w:vAlign w:val="center"/>
          </w:tcPr>
          <w:p w14:paraId="14B13323" w14:textId="14FE5ECF"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62"/>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62"/>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62"/>
                <w14:textFill>
                  <w14:solidFill>
                    <w14:srgbClr w14:val="000000">
                      <w14:alpha w14:val="100000"/>
                    </w14:srgbClr>
                  </w14:solidFill>
                </w14:textFill>
              </w:rPr>
              <w:t>|</w:t>
            </w:r>
            <w:r w:rsidR="00C63C9A">
              <w:rPr>
                <w:rFonts w:ascii="Arial Narrow" w:hAnsi="Arial Narrow" w:cs="Times New Roman"/>
                <w:sz w:val="20"/>
                <w:szCs w:val="20"/>
                <w:vertAlign w:val="superscript"/>
              </w:rPr>
              <w:t>3</w:t>
            </w:r>
          </w:p>
        </w:tc>
        <w:tc>
          <w:tcPr>
            <w:tcW w:w="628" w:type="pct"/>
            <w:tcBorders>
              <w:bottom w:val="single" w:sz="4" w:space="0" w:color="auto"/>
            </w:tcBorders>
            <w:shd w:val="clear" w:color="auto" w:fill="auto"/>
            <w:tcMar>
              <w:left w:w="28" w:type="dxa"/>
              <w:right w:w="28" w:type="dxa"/>
            </w:tcMar>
            <w:vAlign w:val="center"/>
          </w:tcPr>
          <w:p w14:paraId="6D038780" w14:textId="4D8FBB7A"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61"/>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61"/>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61"/>
                <w14:textFill>
                  <w14:solidFill>
                    <w14:srgbClr w14:val="000000">
                      <w14:alpha w14:val="100000"/>
                    </w14:srgbClr>
                  </w14:solidFill>
                </w14:textFill>
              </w:rPr>
              <w:t>|</w:t>
            </w:r>
            <w:r w:rsidR="00C63C9A">
              <w:rPr>
                <w:rFonts w:ascii="Arial Narrow" w:hAnsi="Arial Narrow" w:cs="Times New Roman"/>
                <w:sz w:val="20"/>
                <w:szCs w:val="20"/>
                <w:vertAlign w:val="superscript"/>
              </w:rPr>
              <w:t>3</w:t>
            </w:r>
          </w:p>
        </w:tc>
        <w:tc>
          <w:tcPr>
            <w:tcW w:w="602" w:type="pct"/>
            <w:tcBorders>
              <w:bottom w:val="single" w:sz="4" w:space="0" w:color="auto"/>
            </w:tcBorders>
            <w:shd w:val="clear" w:color="auto" w:fill="auto"/>
            <w:tcMar>
              <w:left w:w="28" w:type="dxa"/>
              <w:right w:w="28" w:type="dxa"/>
            </w:tcMar>
            <w:vAlign w:val="center"/>
          </w:tcPr>
          <w:p w14:paraId="3B7225C6" w14:textId="2A9944F4"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60"/>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60"/>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60"/>
                <w14:textFill>
                  <w14:solidFill>
                    <w14:srgbClr w14:val="000000">
                      <w14:alpha w14:val="100000"/>
                    </w14:srgbClr>
                  </w14:solidFill>
                </w14:textFill>
              </w:rPr>
              <w:t>|</w:t>
            </w:r>
            <w:r w:rsidR="00C63C9A">
              <w:rPr>
                <w:rFonts w:ascii="Arial Narrow" w:hAnsi="Arial Narrow" w:cs="Times New Roman"/>
                <w:sz w:val="20"/>
                <w:szCs w:val="20"/>
                <w:vertAlign w:val="superscript"/>
              </w:rPr>
              <w:t>4</w:t>
            </w:r>
          </w:p>
        </w:tc>
      </w:tr>
      <w:tr w:rsidR="005E79DD" w:rsidRPr="008E7C4C" w14:paraId="34970D0E" w14:textId="77777777" w:rsidTr="00951174">
        <w:tc>
          <w:tcPr>
            <w:tcW w:w="1256" w:type="pct"/>
            <w:tcMar>
              <w:left w:w="28" w:type="dxa"/>
              <w:right w:w="28" w:type="dxa"/>
            </w:tcMar>
            <w:vAlign w:val="center"/>
          </w:tcPr>
          <w:p w14:paraId="53429828" w14:textId="712EFDF6" w:rsidR="00CC25DE" w:rsidRPr="008E7C4C" w:rsidRDefault="005F02CC" w:rsidP="005E79DD">
            <w:pPr>
              <w:keepNext/>
              <w:jc w:val="left"/>
              <w:rPr>
                <w:rFonts w:ascii="Arial Narrow" w:hAnsi="Arial Narrow"/>
                <w:sz w:val="20"/>
                <w:szCs w:val="20"/>
              </w:rPr>
            </w:pPr>
            <w:r w:rsidRPr="008E7C4C">
              <w:rPr>
                <w:rFonts w:ascii="Arial Narrow" w:hAnsi="Arial Narrow"/>
                <w:sz w:val="20"/>
                <w:szCs w:val="20"/>
              </w:rPr>
              <w:t xml:space="preserve">SA 2: </w:t>
            </w:r>
            <w:r w:rsidR="00CC25DE" w:rsidRPr="008E7C4C">
              <w:rPr>
                <w:rFonts w:ascii="Arial Narrow" w:hAnsi="Arial Narrow"/>
                <w:sz w:val="20"/>
                <w:szCs w:val="20"/>
              </w:rPr>
              <w:t>Accelerated decline</w:t>
            </w:r>
            <w:r w:rsidR="00587B76">
              <w:rPr>
                <w:rFonts w:ascii="Arial Narrow" w:hAnsi="Arial Narrow"/>
                <w:sz w:val="20"/>
                <w:szCs w:val="20"/>
              </w:rPr>
              <w:t xml:space="preserve"> (%)</w:t>
            </w:r>
          </w:p>
        </w:tc>
        <w:tc>
          <w:tcPr>
            <w:tcW w:w="628" w:type="pct"/>
            <w:shd w:val="solid" w:color="000000" w:fill="000000"/>
            <w:tcMar>
              <w:left w:w="28" w:type="dxa"/>
              <w:right w:w="28" w:type="dxa"/>
            </w:tcMar>
            <w:vAlign w:val="center"/>
          </w:tcPr>
          <w:p w14:paraId="3CD41012" w14:textId="614F5627"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9"/>
                <w14:textFill>
                  <w14:solidFill>
                    <w14:srgbClr w14:val="000000">
                      <w14:alpha w14:val="100000"/>
                    </w14:srgbClr>
                  </w14:solidFill>
                </w14:textFill>
              </w:rPr>
              <w:t>||  |</w:t>
            </w:r>
            <w:r w:rsidRPr="00951174">
              <w:rPr>
                <w:rFonts w:ascii="Arial Narrow" w:hAnsi="Arial Narrow"/>
                <w:color w:val="000000"/>
                <w:spacing w:val="4"/>
                <w:sz w:val="20"/>
                <w:szCs w:val="20"/>
                <w:fitText w:val="310" w:id="-1502411259"/>
                <w14:textFill>
                  <w14:solidFill>
                    <w14:srgbClr w14:val="000000">
                      <w14:alpha w14:val="100000"/>
                    </w14:srgbClr>
                  </w14:solidFill>
                </w14:textFill>
              </w:rPr>
              <w:t>|</w:t>
            </w:r>
          </w:p>
        </w:tc>
        <w:tc>
          <w:tcPr>
            <w:tcW w:w="629" w:type="pct"/>
            <w:shd w:val="solid" w:color="000000" w:fill="000000"/>
            <w:tcMar>
              <w:left w:w="28" w:type="dxa"/>
              <w:right w:w="28" w:type="dxa"/>
            </w:tcMar>
            <w:vAlign w:val="center"/>
          </w:tcPr>
          <w:p w14:paraId="2E795EB4" w14:textId="75BBA8D2"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8"/>
                <w14:textFill>
                  <w14:solidFill>
                    <w14:srgbClr w14:val="000000">
                      <w14:alpha w14:val="100000"/>
                    </w14:srgbClr>
                  </w14:solidFill>
                </w14:textFill>
              </w:rPr>
              <w:t>||  |</w:t>
            </w:r>
            <w:r w:rsidRPr="00951174">
              <w:rPr>
                <w:rFonts w:ascii="Arial Narrow" w:hAnsi="Arial Narrow"/>
                <w:color w:val="000000"/>
                <w:spacing w:val="4"/>
                <w:sz w:val="20"/>
                <w:szCs w:val="20"/>
                <w:fitText w:val="310" w:id="-1502411258"/>
                <w14:textFill>
                  <w14:solidFill>
                    <w14:srgbClr w14:val="000000">
                      <w14:alpha w14:val="100000"/>
                    </w14:srgbClr>
                  </w14:solidFill>
                </w14:textFill>
              </w:rPr>
              <w:t>|</w:t>
            </w:r>
          </w:p>
        </w:tc>
        <w:tc>
          <w:tcPr>
            <w:tcW w:w="629" w:type="pct"/>
            <w:shd w:val="solid" w:color="000000" w:fill="000000"/>
            <w:tcMar>
              <w:left w:w="28" w:type="dxa"/>
              <w:right w:w="28" w:type="dxa"/>
            </w:tcMar>
            <w:vAlign w:val="center"/>
          </w:tcPr>
          <w:p w14:paraId="0132E2E8" w14:textId="483803BC"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7"/>
                <w14:textFill>
                  <w14:solidFill>
                    <w14:srgbClr w14:val="000000">
                      <w14:alpha w14:val="100000"/>
                    </w14:srgbClr>
                  </w14:solidFill>
                </w14:textFill>
              </w:rPr>
              <w:t>||  |</w:t>
            </w:r>
            <w:r w:rsidRPr="00951174">
              <w:rPr>
                <w:rFonts w:ascii="Arial Narrow" w:hAnsi="Arial Narrow"/>
                <w:color w:val="000000"/>
                <w:spacing w:val="4"/>
                <w:sz w:val="20"/>
                <w:szCs w:val="20"/>
                <w:fitText w:val="310" w:id="-1502411257"/>
                <w14:textFill>
                  <w14:solidFill>
                    <w14:srgbClr w14:val="000000">
                      <w14:alpha w14:val="100000"/>
                    </w14:srgbClr>
                  </w14:solidFill>
                </w14:textFill>
              </w:rPr>
              <w:t>|</w:t>
            </w:r>
          </w:p>
        </w:tc>
        <w:tc>
          <w:tcPr>
            <w:tcW w:w="629" w:type="pct"/>
            <w:shd w:val="solid" w:color="000000" w:fill="000000"/>
            <w:tcMar>
              <w:left w:w="28" w:type="dxa"/>
              <w:right w:w="28" w:type="dxa"/>
            </w:tcMar>
            <w:vAlign w:val="center"/>
          </w:tcPr>
          <w:p w14:paraId="183784A6" w14:textId="102CB11E"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6"/>
                <w14:textFill>
                  <w14:solidFill>
                    <w14:srgbClr w14:val="000000">
                      <w14:alpha w14:val="100000"/>
                    </w14:srgbClr>
                  </w14:solidFill>
                </w14:textFill>
              </w:rPr>
              <w:t>||  |</w:t>
            </w:r>
            <w:r w:rsidRPr="00951174">
              <w:rPr>
                <w:rFonts w:ascii="Arial Narrow" w:hAnsi="Arial Narrow"/>
                <w:color w:val="000000"/>
                <w:spacing w:val="4"/>
                <w:sz w:val="20"/>
                <w:szCs w:val="20"/>
                <w:fitText w:val="310" w:id="-1502411256"/>
                <w14:textFill>
                  <w14:solidFill>
                    <w14:srgbClr w14:val="000000">
                      <w14:alpha w14:val="100000"/>
                    </w14:srgbClr>
                  </w14:solidFill>
                </w14:textFill>
              </w:rPr>
              <w:t>|</w:t>
            </w:r>
          </w:p>
        </w:tc>
        <w:tc>
          <w:tcPr>
            <w:tcW w:w="628" w:type="pct"/>
            <w:shd w:val="solid" w:color="000000" w:fill="000000"/>
            <w:tcMar>
              <w:left w:w="28" w:type="dxa"/>
              <w:right w:w="28" w:type="dxa"/>
            </w:tcMar>
            <w:vAlign w:val="center"/>
          </w:tcPr>
          <w:p w14:paraId="24E887C9" w14:textId="35A4D20F"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5"/>
                <w14:textFill>
                  <w14:solidFill>
                    <w14:srgbClr w14:val="000000">
                      <w14:alpha w14:val="100000"/>
                    </w14:srgbClr>
                  </w14:solidFill>
                </w14:textFill>
              </w:rPr>
              <w:t>||  |</w:t>
            </w:r>
            <w:r w:rsidRPr="00951174">
              <w:rPr>
                <w:rFonts w:ascii="Arial Narrow" w:hAnsi="Arial Narrow"/>
                <w:color w:val="000000"/>
                <w:spacing w:val="4"/>
                <w:sz w:val="20"/>
                <w:szCs w:val="20"/>
                <w:fitText w:val="310" w:id="-1502411255"/>
                <w14:textFill>
                  <w14:solidFill>
                    <w14:srgbClr w14:val="000000">
                      <w14:alpha w14:val="100000"/>
                    </w14:srgbClr>
                  </w14:solidFill>
                </w14:textFill>
              </w:rPr>
              <w:t>|</w:t>
            </w:r>
          </w:p>
        </w:tc>
        <w:tc>
          <w:tcPr>
            <w:tcW w:w="602" w:type="pct"/>
            <w:shd w:val="solid" w:color="000000" w:fill="000000"/>
            <w:tcMar>
              <w:left w:w="28" w:type="dxa"/>
              <w:right w:w="28" w:type="dxa"/>
            </w:tcMar>
            <w:vAlign w:val="center"/>
          </w:tcPr>
          <w:p w14:paraId="07ADE0D5" w14:textId="30513972" w:rsidR="00CC25DE" w:rsidRPr="00951174" w:rsidRDefault="00951174" w:rsidP="005E79DD">
            <w:pPr>
              <w:keepNext/>
              <w:rPr>
                <w:rFonts w:ascii="Arial Narrow" w:hAnsi="Arial Narrow"/>
                <w:sz w:val="20"/>
                <w:szCs w:val="20"/>
              </w:rPr>
            </w:pPr>
            <w:r w:rsidRPr="00951174">
              <w:rPr>
                <w:rFonts w:ascii="Arial Narrow" w:hAnsi="Arial Narrow"/>
                <w:color w:val="000000"/>
                <w:spacing w:val="9"/>
                <w:sz w:val="20"/>
                <w:szCs w:val="20"/>
                <w:fitText w:val="310" w:id="-1502411254"/>
                <w14:textFill>
                  <w14:solidFill>
                    <w14:srgbClr w14:val="000000">
                      <w14:alpha w14:val="100000"/>
                    </w14:srgbClr>
                  </w14:solidFill>
                </w14:textFill>
              </w:rPr>
              <w:t>||  |</w:t>
            </w:r>
            <w:r w:rsidRPr="00951174">
              <w:rPr>
                <w:rFonts w:ascii="Arial Narrow" w:hAnsi="Arial Narrow"/>
                <w:color w:val="000000"/>
                <w:spacing w:val="4"/>
                <w:sz w:val="20"/>
                <w:szCs w:val="20"/>
                <w:fitText w:val="310" w:id="-1502411254"/>
                <w14:textFill>
                  <w14:solidFill>
                    <w14:srgbClr w14:val="000000">
                      <w14:alpha w14:val="100000"/>
                    </w14:srgbClr>
                  </w14:solidFill>
                </w14:textFill>
              </w:rPr>
              <w:t>|</w:t>
            </w:r>
          </w:p>
        </w:tc>
      </w:tr>
      <w:tr w:rsidR="005E79DD" w:rsidRPr="008E7C4C" w14:paraId="519716F2" w14:textId="77777777" w:rsidTr="005C273F">
        <w:tc>
          <w:tcPr>
            <w:tcW w:w="1256" w:type="pct"/>
            <w:tcMar>
              <w:left w:w="28" w:type="dxa"/>
              <w:right w:w="28" w:type="dxa"/>
            </w:tcMar>
            <w:vAlign w:val="center"/>
          </w:tcPr>
          <w:p w14:paraId="21DCA0BA" w14:textId="77777777" w:rsidR="00CC25DE" w:rsidRPr="008E7C4C" w:rsidRDefault="00CC25DE" w:rsidP="005E79DD">
            <w:pPr>
              <w:keepNext/>
              <w:jc w:val="left"/>
              <w:rPr>
                <w:rFonts w:ascii="Arial Narrow" w:hAnsi="Arial Narrow"/>
                <w:sz w:val="20"/>
                <w:szCs w:val="20"/>
              </w:rPr>
            </w:pPr>
            <w:r w:rsidRPr="008E7C4C">
              <w:rPr>
                <w:rFonts w:ascii="Arial Narrow" w:hAnsi="Arial Narrow" w:cs="Times New Roman"/>
                <w:sz w:val="20"/>
                <w:szCs w:val="20"/>
              </w:rPr>
              <w:t>Net cost to PBS/RPBS</w:t>
            </w:r>
          </w:p>
        </w:tc>
        <w:tc>
          <w:tcPr>
            <w:tcW w:w="628" w:type="pct"/>
            <w:shd w:val="clear" w:color="auto" w:fill="auto"/>
            <w:tcMar>
              <w:left w:w="28" w:type="dxa"/>
              <w:right w:w="28" w:type="dxa"/>
            </w:tcMar>
            <w:vAlign w:val="center"/>
          </w:tcPr>
          <w:p w14:paraId="280EB81B" w14:textId="55663B5E"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53"/>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53"/>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53"/>
                <w14:textFill>
                  <w14:solidFill>
                    <w14:srgbClr w14:val="000000">
                      <w14:alpha w14:val="100000"/>
                    </w14:srgbClr>
                  </w14:solidFill>
                </w14:textFill>
              </w:rPr>
              <w:t>|</w:t>
            </w:r>
            <w:r w:rsidR="00C63C9A">
              <w:rPr>
                <w:rFonts w:ascii="Arial Narrow" w:hAnsi="Arial Narrow" w:cs="Times New Roman"/>
                <w:sz w:val="20"/>
                <w:szCs w:val="20"/>
                <w:vertAlign w:val="superscript"/>
              </w:rPr>
              <w:t>1</w:t>
            </w:r>
          </w:p>
        </w:tc>
        <w:tc>
          <w:tcPr>
            <w:tcW w:w="629" w:type="pct"/>
            <w:shd w:val="clear" w:color="auto" w:fill="auto"/>
            <w:tcMar>
              <w:left w:w="28" w:type="dxa"/>
              <w:right w:w="28" w:type="dxa"/>
            </w:tcMar>
            <w:vAlign w:val="center"/>
          </w:tcPr>
          <w:p w14:paraId="57B9AC4D" w14:textId="6AACBC59"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52"/>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52"/>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52"/>
                <w14:textFill>
                  <w14:solidFill>
                    <w14:srgbClr w14:val="000000">
                      <w14:alpha w14:val="100000"/>
                    </w14:srgbClr>
                  </w14:solidFill>
                </w14:textFill>
              </w:rPr>
              <w:t>|</w:t>
            </w:r>
            <w:r w:rsidR="00C63C9A">
              <w:rPr>
                <w:rFonts w:ascii="Arial Narrow" w:hAnsi="Arial Narrow" w:cs="Times New Roman"/>
                <w:sz w:val="20"/>
                <w:szCs w:val="20"/>
                <w:vertAlign w:val="superscript"/>
              </w:rPr>
              <w:t>1</w:t>
            </w:r>
          </w:p>
        </w:tc>
        <w:tc>
          <w:tcPr>
            <w:tcW w:w="629" w:type="pct"/>
            <w:shd w:val="clear" w:color="auto" w:fill="auto"/>
            <w:tcMar>
              <w:left w:w="28" w:type="dxa"/>
              <w:right w:w="28" w:type="dxa"/>
            </w:tcMar>
            <w:vAlign w:val="center"/>
          </w:tcPr>
          <w:p w14:paraId="0913E8EB" w14:textId="385ACC9E"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51"/>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51"/>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51"/>
                <w14:textFill>
                  <w14:solidFill>
                    <w14:srgbClr w14:val="000000">
                      <w14:alpha w14:val="100000"/>
                    </w14:srgbClr>
                  </w14:solidFill>
                </w14:textFill>
              </w:rPr>
              <w:t>|</w:t>
            </w:r>
            <w:r w:rsidR="00C63C9A">
              <w:rPr>
                <w:rFonts w:ascii="Arial Narrow" w:hAnsi="Arial Narrow" w:cs="Times New Roman"/>
                <w:sz w:val="20"/>
                <w:szCs w:val="20"/>
                <w:vertAlign w:val="superscript"/>
              </w:rPr>
              <w:t>1</w:t>
            </w:r>
          </w:p>
        </w:tc>
        <w:tc>
          <w:tcPr>
            <w:tcW w:w="629" w:type="pct"/>
            <w:shd w:val="clear" w:color="auto" w:fill="auto"/>
            <w:tcMar>
              <w:left w:w="28" w:type="dxa"/>
              <w:right w:w="28" w:type="dxa"/>
            </w:tcMar>
            <w:vAlign w:val="center"/>
          </w:tcPr>
          <w:p w14:paraId="5BDB408F" w14:textId="09869B6D"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250"/>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250"/>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250"/>
                <w14:textFill>
                  <w14:solidFill>
                    <w14:srgbClr w14:val="000000">
                      <w14:alpha w14:val="100000"/>
                    </w14:srgbClr>
                  </w14:solidFill>
                </w14:textFill>
              </w:rPr>
              <w:t>|</w:t>
            </w:r>
            <w:r w:rsidR="00C63C9A">
              <w:rPr>
                <w:rFonts w:ascii="Arial Narrow" w:hAnsi="Arial Narrow" w:cs="Times New Roman"/>
                <w:sz w:val="20"/>
                <w:szCs w:val="20"/>
                <w:vertAlign w:val="superscript"/>
              </w:rPr>
              <w:t>1</w:t>
            </w:r>
          </w:p>
        </w:tc>
        <w:tc>
          <w:tcPr>
            <w:tcW w:w="628" w:type="pct"/>
            <w:shd w:val="clear" w:color="auto" w:fill="auto"/>
            <w:tcMar>
              <w:left w:w="28" w:type="dxa"/>
              <w:right w:w="28" w:type="dxa"/>
            </w:tcMar>
            <w:vAlign w:val="center"/>
          </w:tcPr>
          <w:p w14:paraId="054888D7" w14:textId="23AABDCA"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008"/>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008"/>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008"/>
                <w14:textFill>
                  <w14:solidFill>
                    <w14:srgbClr w14:val="000000">
                      <w14:alpha w14:val="100000"/>
                    </w14:srgbClr>
                  </w14:solidFill>
                </w14:textFill>
              </w:rPr>
              <w:t>|</w:t>
            </w:r>
            <w:r w:rsidR="00C63C9A">
              <w:rPr>
                <w:rFonts w:ascii="Arial Narrow" w:hAnsi="Arial Narrow" w:cs="Times New Roman"/>
                <w:sz w:val="20"/>
                <w:szCs w:val="20"/>
                <w:vertAlign w:val="superscript"/>
              </w:rPr>
              <w:t>1</w:t>
            </w:r>
          </w:p>
        </w:tc>
        <w:tc>
          <w:tcPr>
            <w:tcW w:w="602" w:type="pct"/>
            <w:shd w:val="clear" w:color="auto" w:fill="auto"/>
            <w:tcMar>
              <w:left w:w="28" w:type="dxa"/>
              <w:right w:w="28" w:type="dxa"/>
            </w:tcMar>
            <w:vAlign w:val="center"/>
          </w:tcPr>
          <w:p w14:paraId="4AB6603E" w14:textId="32C534DA" w:rsidR="00CC25DE" w:rsidRPr="00C63C9A" w:rsidRDefault="00CC25DE" w:rsidP="005E79DD">
            <w:pPr>
              <w:keepNext/>
              <w:rPr>
                <w:rFonts w:ascii="Arial Narrow" w:hAnsi="Arial Narrow"/>
                <w:color w:val="000000"/>
                <w:sz w:val="20"/>
                <w:szCs w:val="20"/>
                <w:vertAlign w:val="superscript"/>
              </w:rPr>
            </w:pPr>
            <w:r w:rsidRPr="008E7C4C">
              <w:rPr>
                <w:rFonts w:ascii="Arial Narrow" w:hAnsi="Arial Narrow" w:cs="Times New Roman"/>
                <w:sz w:val="20"/>
                <w:szCs w:val="20"/>
              </w:rPr>
              <w:t>$</w:t>
            </w:r>
            <w:r w:rsidR="00951174" w:rsidRPr="00951174">
              <w:rPr>
                <w:rFonts w:ascii="Arial Narrow" w:hAnsi="Arial Narrow" w:cs="Times New Roman"/>
                <w:color w:val="000000"/>
                <w:spacing w:val="9"/>
                <w:sz w:val="20"/>
                <w:szCs w:val="20"/>
                <w:shd w:val="solid" w:color="000000" w:fill="000000"/>
                <w:fitText w:val="310" w:id="-1502411007"/>
                <w14:textFill>
                  <w14:solidFill>
                    <w14:srgbClr w14:val="000000">
                      <w14:alpha w14:val="100000"/>
                    </w14:srgbClr>
                  </w14:solidFill>
                </w14:textFill>
              </w:rPr>
              <w:t>|</w:t>
            </w:r>
            <w:proofErr w:type="gramStart"/>
            <w:r w:rsidR="00951174" w:rsidRPr="00951174">
              <w:rPr>
                <w:rFonts w:ascii="Arial Narrow" w:hAnsi="Arial Narrow" w:cs="Times New Roman"/>
                <w:color w:val="000000"/>
                <w:spacing w:val="9"/>
                <w:sz w:val="20"/>
                <w:szCs w:val="20"/>
                <w:shd w:val="solid" w:color="000000" w:fill="000000"/>
                <w:fitText w:val="310" w:id="-1502411007"/>
                <w14:textFill>
                  <w14:solidFill>
                    <w14:srgbClr w14:val="000000">
                      <w14:alpha w14:val="100000"/>
                    </w14:srgbClr>
                  </w14:solidFill>
                </w14:textFill>
              </w:rPr>
              <w:t>|  |</w:t>
            </w:r>
            <w:proofErr w:type="gramEnd"/>
            <w:r w:rsidR="00951174" w:rsidRPr="00951174">
              <w:rPr>
                <w:rFonts w:ascii="Arial Narrow" w:hAnsi="Arial Narrow" w:cs="Times New Roman"/>
                <w:color w:val="000000"/>
                <w:spacing w:val="4"/>
                <w:sz w:val="20"/>
                <w:szCs w:val="20"/>
                <w:shd w:val="solid" w:color="000000" w:fill="000000"/>
                <w:fitText w:val="310" w:id="-1502411007"/>
                <w14:textFill>
                  <w14:solidFill>
                    <w14:srgbClr w14:val="000000">
                      <w14:alpha w14:val="100000"/>
                    </w14:srgbClr>
                  </w14:solidFill>
                </w14:textFill>
              </w:rPr>
              <w:t>|</w:t>
            </w:r>
            <w:r w:rsidR="00C63C9A">
              <w:rPr>
                <w:rFonts w:ascii="Arial Narrow" w:hAnsi="Arial Narrow" w:cs="Times New Roman"/>
                <w:sz w:val="20"/>
                <w:szCs w:val="20"/>
                <w:vertAlign w:val="superscript"/>
              </w:rPr>
              <w:t>1</w:t>
            </w:r>
          </w:p>
        </w:tc>
      </w:tr>
    </w:tbl>
    <w:p w14:paraId="0AF0BC5E" w14:textId="3F955717" w:rsidR="00CC25DE" w:rsidRPr="008E7C4C" w:rsidRDefault="00CC25DE" w:rsidP="00136562">
      <w:pPr>
        <w:pStyle w:val="PBACTableSource"/>
      </w:pPr>
      <w:r w:rsidRPr="008E7C4C">
        <w:t xml:space="preserve">Source: Table 4-20, p146 of the resubmission. Source: Adapted </w:t>
      </w:r>
      <w:r w:rsidR="003D4762" w:rsidRPr="008E7C4C">
        <w:t>from</w:t>
      </w:r>
      <w:r w:rsidRPr="008E7C4C">
        <w:t xml:space="preserve"> Section 4 Excel file during evaluation</w:t>
      </w:r>
    </w:p>
    <w:p w14:paraId="5077297B" w14:textId="04553B56" w:rsidR="00CC25DE" w:rsidRPr="008E7C4C" w:rsidRDefault="00CC25DE" w:rsidP="00136562">
      <w:pPr>
        <w:pStyle w:val="PBACTableSource"/>
      </w:pPr>
      <w:r w:rsidRPr="008E7C4C">
        <w:t>PBS</w:t>
      </w:r>
      <w:r w:rsidR="002100EA" w:rsidRPr="008E7C4C">
        <w:t xml:space="preserve"> </w:t>
      </w:r>
      <w:r w:rsidRPr="008E7C4C">
        <w:t xml:space="preserve">= </w:t>
      </w:r>
      <w:r w:rsidR="002100EA" w:rsidRPr="008E7C4C">
        <w:t>P</w:t>
      </w:r>
      <w:r w:rsidRPr="008E7C4C">
        <w:t xml:space="preserve">harmaceutical </w:t>
      </w:r>
      <w:r w:rsidR="002100EA" w:rsidRPr="008E7C4C">
        <w:t>B</w:t>
      </w:r>
      <w:r w:rsidRPr="008E7C4C">
        <w:t>enefit</w:t>
      </w:r>
      <w:r w:rsidR="002100EA" w:rsidRPr="008E7C4C">
        <w:t>s</w:t>
      </w:r>
      <w:r w:rsidRPr="008E7C4C">
        <w:t xml:space="preserve"> </w:t>
      </w:r>
      <w:r w:rsidR="002100EA" w:rsidRPr="008E7C4C">
        <w:t>S</w:t>
      </w:r>
      <w:r w:rsidRPr="008E7C4C">
        <w:t>cheme; RPBS</w:t>
      </w:r>
      <w:r w:rsidR="002100EA" w:rsidRPr="008E7C4C">
        <w:t xml:space="preserve"> </w:t>
      </w:r>
      <w:r w:rsidRPr="008E7C4C">
        <w:t>= Repatriation Pharmaceutical Benefits Scheme; SA = sensitivity analysis.</w:t>
      </w:r>
    </w:p>
    <w:p w14:paraId="14F04CE2" w14:textId="61C246FA" w:rsidR="00C63C9A" w:rsidRDefault="00C63C9A" w:rsidP="00C63C9A">
      <w:pPr>
        <w:ind w:right="150"/>
        <w:rPr>
          <w:rFonts w:ascii="Arial" w:hAnsi="Arial"/>
          <w:color w:val="333333"/>
          <w:sz w:val="21"/>
          <w:szCs w:val="21"/>
        </w:rPr>
      </w:pPr>
    </w:p>
    <w:p w14:paraId="7529CC98" w14:textId="659B704D" w:rsidR="00C63C9A" w:rsidRPr="00C63C9A" w:rsidRDefault="00C63C9A" w:rsidP="00C63C9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76EC6CA" w14:textId="4D5FFCDE" w:rsidR="00C63C9A" w:rsidRPr="00C63C9A" w:rsidRDefault="00C63C9A" w:rsidP="00C63C9A">
      <w:pPr>
        <w:ind w:right="150"/>
        <w:rPr>
          <w:rFonts w:ascii="Arial Narrow" w:hAnsi="Arial Narrow"/>
          <w:i/>
          <w:sz w:val="18"/>
          <w:szCs w:val="18"/>
        </w:rPr>
      </w:pPr>
      <w:r>
        <w:rPr>
          <w:rFonts w:ascii="Arial Narrow" w:hAnsi="Arial Narrow"/>
          <w:i/>
          <w:sz w:val="18"/>
          <w:szCs w:val="18"/>
          <w:vertAlign w:val="superscript"/>
        </w:rPr>
        <w:t>1</w:t>
      </w:r>
      <w:r w:rsidRPr="00C63C9A">
        <w:rPr>
          <w:rFonts w:ascii="Arial Narrow" w:hAnsi="Arial Narrow"/>
          <w:i/>
          <w:sz w:val="18"/>
          <w:szCs w:val="18"/>
        </w:rPr>
        <w:t>$20 million to &lt; $30 million</w:t>
      </w:r>
    </w:p>
    <w:p w14:paraId="2FCCFDDD" w14:textId="7674AEC1" w:rsidR="00C63C9A" w:rsidRPr="00C63C9A" w:rsidRDefault="00C63C9A" w:rsidP="00C63C9A">
      <w:pPr>
        <w:ind w:right="150"/>
        <w:rPr>
          <w:rFonts w:ascii="Arial Narrow" w:hAnsi="Arial Narrow"/>
          <w:i/>
          <w:sz w:val="18"/>
          <w:szCs w:val="18"/>
        </w:rPr>
      </w:pPr>
      <w:r>
        <w:rPr>
          <w:rFonts w:ascii="Arial Narrow" w:hAnsi="Arial Narrow"/>
          <w:i/>
          <w:sz w:val="18"/>
          <w:szCs w:val="18"/>
          <w:vertAlign w:val="superscript"/>
        </w:rPr>
        <w:t>2</w:t>
      </w:r>
      <w:r w:rsidRPr="00C63C9A">
        <w:rPr>
          <w:rFonts w:ascii="Arial Narrow" w:hAnsi="Arial Narrow"/>
          <w:i/>
          <w:sz w:val="18"/>
          <w:szCs w:val="18"/>
        </w:rPr>
        <w:t>$30 million to &lt; $40 million</w:t>
      </w:r>
    </w:p>
    <w:p w14:paraId="6633CFE3" w14:textId="756127B5" w:rsidR="00C63C9A" w:rsidRPr="00C63C9A" w:rsidRDefault="00C63C9A" w:rsidP="00C63C9A">
      <w:pPr>
        <w:ind w:right="150"/>
        <w:rPr>
          <w:rFonts w:ascii="Arial Narrow" w:hAnsi="Arial Narrow"/>
          <w:i/>
          <w:sz w:val="18"/>
          <w:szCs w:val="18"/>
        </w:rPr>
      </w:pPr>
      <w:r>
        <w:rPr>
          <w:rFonts w:ascii="Arial Narrow" w:hAnsi="Arial Narrow"/>
          <w:i/>
          <w:sz w:val="18"/>
          <w:szCs w:val="18"/>
          <w:vertAlign w:val="superscript"/>
        </w:rPr>
        <w:t>3</w:t>
      </w:r>
      <w:r w:rsidRPr="00C63C9A">
        <w:rPr>
          <w:rFonts w:ascii="Arial Narrow" w:hAnsi="Arial Narrow"/>
          <w:i/>
          <w:sz w:val="18"/>
          <w:szCs w:val="18"/>
        </w:rPr>
        <w:t>$40 million to &lt; $50 million</w:t>
      </w:r>
    </w:p>
    <w:p w14:paraId="6CBB380A" w14:textId="2B3D45DD" w:rsidR="00C63C9A" w:rsidRPr="00C63C9A" w:rsidRDefault="00C63C9A" w:rsidP="00C63C9A">
      <w:pPr>
        <w:ind w:right="150"/>
        <w:rPr>
          <w:rFonts w:ascii="Arial Narrow" w:hAnsi="Arial Narrow"/>
          <w:i/>
          <w:sz w:val="18"/>
          <w:szCs w:val="18"/>
        </w:rPr>
      </w:pPr>
      <w:r>
        <w:rPr>
          <w:rFonts w:ascii="Arial Narrow" w:hAnsi="Arial Narrow"/>
          <w:i/>
          <w:sz w:val="18"/>
          <w:szCs w:val="18"/>
          <w:vertAlign w:val="superscript"/>
        </w:rPr>
        <w:t>4</w:t>
      </w:r>
      <w:r w:rsidRPr="00C63C9A">
        <w:rPr>
          <w:rFonts w:ascii="Arial Narrow" w:hAnsi="Arial Narrow"/>
          <w:i/>
          <w:sz w:val="18"/>
          <w:szCs w:val="18"/>
        </w:rPr>
        <w:t>$50 million to &lt; $60 million</w:t>
      </w:r>
    </w:p>
    <w:p w14:paraId="2842DB3D" w14:textId="77777777" w:rsidR="00605285" w:rsidRPr="00C63C9A" w:rsidRDefault="00605285" w:rsidP="00C63C9A">
      <w:pPr>
        <w:ind w:right="150"/>
        <w:rPr>
          <w:rFonts w:ascii="Arial" w:hAnsi="Arial"/>
          <w:color w:val="333333"/>
          <w:sz w:val="21"/>
          <w:szCs w:val="21"/>
        </w:rPr>
      </w:pPr>
    </w:p>
    <w:p w14:paraId="067F2A88" w14:textId="77777777" w:rsidR="00CC25DE" w:rsidRPr="008E7C4C" w:rsidRDefault="00CC25DE" w:rsidP="00B46730">
      <w:pPr>
        <w:pStyle w:val="4-SubsectionHeading"/>
      </w:pPr>
      <w:bookmarkStart w:id="31" w:name="_Toc93487445"/>
      <w:r w:rsidRPr="008E7C4C">
        <w:t>Quality Use of Medicines</w:t>
      </w:r>
      <w:bookmarkEnd w:id="31"/>
    </w:p>
    <w:p w14:paraId="768A1918" w14:textId="31B3659D" w:rsidR="003F4E26" w:rsidRPr="008E7C4C" w:rsidRDefault="00CC25DE" w:rsidP="003F4E26">
      <w:pPr>
        <w:numPr>
          <w:ilvl w:val="1"/>
          <w:numId w:val="1"/>
        </w:numPr>
        <w:spacing w:after="120"/>
        <w:rPr>
          <w:rFonts w:asciiTheme="minorHAnsi" w:hAnsiTheme="minorHAnsi"/>
          <w:snapToGrid w:val="0"/>
          <w:color w:val="000000" w:themeColor="text1"/>
        </w:rPr>
      </w:pPr>
      <w:r w:rsidRPr="008E7C4C">
        <w:rPr>
          <w:rFonts w:asciiTheme="minorHAnsi" w:hAnsiTheme="minorHAnsi"/>
          <w:snapToGrid w:val="0"/>
          <w:color w:val="000000" w:themeColor="text1"/>
        </w:rPr>
        <w:t xml:space="preserve">The resubmission did not present a quality use of medicines section. However, a planned strategy for the safe and effective use of </w:t>
      </w:r>
      <w:proofErr w:type="spellStart"/>
      <w:r w:rsidRPr="008E7C4C">
        <w:rPr>
          <w:rFonts w:asciiTheme="minorHAnsi" w:hAnsiTheme="minorHAnsi"/>
          <w:snapToGrid w:val="0"/>
          <w:color w:val="000000" w:themeColor="text1"/>
        </w:rPr>
        <w:t>ixazomib</w:t>
      </w:r>
      <w:proofErr w:type="spellEnd"/>
      <w:r w:rsidRPr="008E7C4C">
        <w:rPr>
          <w:rFonts w:asciiTheme="minorHAnsi" w:hAnsiTheme="minorHAnsi"/>
          <w:snapToGrid w:val="0"/>
          <w:color w:val="000000" w:themeColor="text1"/>
        </w:rPr>
        <w:t xml:space="preserve"> would be important with respect to the new safety concerns, specifically regarding accidental overdose. Thus, health care professional education on the mechanism of action, identification and management of adverse effect symptoms, dose modifications </w:t>
      </w:r>
      <w:proofErr w:type="gramStart"/>
      <w:r w:rsidRPr="008E7C4C">
        <w:rPr>
          <w:rFonts w:asciiTheme="minorHAnsi" w:hAnsiTheme="minorHAnsi"/>
          <w:snapToGrid w:val="0"/>
          <w:color w:val="000000" w:themeColor="text1"/>
        </w:rPr>
        <w:t>in light of</w:t>
      </w:r>
      <w:proofErr w:type="gramEnd"/>
      <w:r w:rsidRPr="008E7C4C">
        <w:rPr>
          <w:rFonts w:asciiTheme="minorHAnsi" w:hAnsiTheme="minorHAnsi"/>
          <w:snapToGrid w:val="0"/>
          <w:color w:val="000000" w:themeColor="text1"/>
        </w:rPr>
        <w:t xml:space="preserve"> laboratory results are considered necessary at the prescribing and dispensing stage. Further patient information, outlining the administration schedule of </w:t>
      </w:r>
      <w:proofErr w:type="spellStart"/>
      <w:r w:rsidRPr="008E7C4C">
        <w:rPr>
          <w:rFonts w:asciiTheme="minorHAnsi" w:hAnsiTheme="minorHAnsi"/>
          <w:snapToGrid w:val="0"/>
          <w:color w:val="000000" w:themeColor="text1"/>
        </w:rPr>
        <w:t>ILd</w:t>
      </w:r>
      <w:proofErr w:type="spellEnd"/>
      <w:r w:rsidRPr="008E7C4C">
        <w:rPr>
          <w:rFonts w:asciiTheme="minorHAnsi" w:hAnsiTheme="minorHAnsi"/>
          <w:snapToGrid w:val="0"/>
          <w:color w:val="000000" w:themeColor="text1"/>
        </w:rPr>
        <w:t xml:space="preserve"> with clear instructions would also be important in ensuring patient compliance and avoiding dosing misadventures.</w:t>
      </w:r>
    </w:p>
    <w:p w14:paraId="10C1E1F2" w14:textId="57C9DF58" w:rsidR="003F4E26" w:rsidRPr="008E7C4C" w:rsidRDefault="003F4E26" w:rsidP="003F4E26">
      <w:pPr>
        <w:spacing w:after="120"/>
        <w:ind w:left="720"/>
        <w:rPr>
          <w:rFonts w:asciiTheme="minorHAnsi" w:hAnsiTheme="minorHAnsi"/>
          <w:i/>
          <w:iCs/>
          <w:snapToGrid w:val="0"/>
          <w:color w:val="000000" w:themeColor="text1"/>
        </w:rPr>
      </w:pPr>
      <w:r w:rsidRPr="008E7C4C">
        <w:rPr>
          <w:i/>
          <w:iCs/>
        </w:rPr>
        <w:t>For more detail on PBAC’s view, see section 7 PBAC outcome.</w:t>
      </w:r>
    </w:p>
    <w:p w14:paraId="22415C23" w14:textId="77777777" w:rsidR="003F4E26" w:rsidRPr="008E7C4C" w:rsidRDefault="003F4E26" w:rsidP="00AA4C97">
      <w:pPr>
        <w:pStyle w:val="2-SectionHeading"/>
      </w:pPr>
      <w:bookmarkStart w:id="32" w:name="_Hlk76381249"/>
      <w:bookmarkStart w:id="33" w:name="_Hlk76377955"/>
      <w:r w:rsidRPr="008E7C4C">
        <w:t>PBAC Outcome</w:t>
      </w:r>
    </w:p>
    <w:p w14:paraId="2F7D329A" w14:textId="34468EE2" w:rsidR="00B51245" w:rsidRPr="008E7C4C" w:rsidRDefault="00FA7DF8" w:rsidP="003F4E26">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The PBAC did not recommend </w:t>
      </w:r>
      <w:proofErr w:type="spellStart"/>
      <w:r w:rsidRPr="008E7C4C">
        <w:rPr>
          <w:rFonts w:asciiTheme="minorHAnsi" w:hAnsiTheme="minorHAnsi"/>
          <w:snapToGrid w:val="0"/>
        </w:rPr>
        <w:t>ixazomib</w:t>
      </w:r>
      <w:proofErr w:type="spellEnd"/>
      <w:r w:rsidRPr="008E7C4C">
        <w:rPr>
          <w:rFonts w:asciiTheme="minorHAnsi" w:hAnsiTheme="minorHAnsi"/>
          <w:snapToGrid w:val="0"/>
        </w:rPr>
        <w:t>, in combination with lenalidomide and dexamethasone (</w:t>
      </w:r>
      <w:proofErr w:type="spellStart"/>
      <w:r w:rsidRPr="008E7C4C">
        <w:rPr>
          <w:rFonts w:asciiTheme="minorHAnsi" w:hAnsiTheme="minorHAnsi"/>
          <w:snapToGrid w:val="0"/>
        </w:rPr>
        <w:t>ILd</w:t>
      </w:r>
      <w:proofErr w:type="spellEnd"/>
      <w:r w:rsidRPr="008E7C4C">
        <w:rPr>
          <w:rFonts w:asciiTheme="minorHAnsi" w:hAnsiTheme="minorHAnsi"/>
          <w:snapToGrid w:val="0"/>
        </w:rPr>
        <w:t>), for the treatment of relap</w:t>
      </w:r>
      <w:r w:rsidR="00A57298" w:rsidRPr="008E7C4C">
        <w:rPr>
          <w:rFonts w:asciiTheme="minorHAnsi" w:hAnsiTheme="minorHAnsi"/>
          <w:snapToGrid w:val="0"/>
        </w:rPr>
        <w:t>s</w:t>
      </w:r>
      <w:r w:rsidRPr="008E7C4C">
        <w:rPr>
          <w:rFonts w:asciiTheme="minorHAnsi" w:hAnsiTheme="minorHAnsi"/>
          <w:snapToGrid w:val="0"/>
        </w:rPr>
        <w:t xml:space="preserve">ed and/or refractory multiple myeloma (RRMM) after at least two prior therapies. The PBAC considered that although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appeared to have a benefit in terms of progression free survival (PFS) over the nominated comparator, lenalidomide plus dexamethasone (</w:t>
      </w:r>
      <w:proofErr w:type="spellStart"/>
      <w:r w:rsidRPr="008E7C4C">
        <w:rPr>
          <w:rFonts w:asciiTheme="minorHAnsi" w:hAnsiTheme="minorHAnsi"/>
          <w:snapToGrid w:val="0"/>
        </w:rPr>
        <w:t>Ld</w:t>
      </w:r>
      <w:proofErr w:type="spellEnd"/>
      <w:r w:rsidRPr="008E7C4C">
        <w:rPr>
          <w:rFonts w:asciiTheme="minorHAnsi" w:hAnsiTheme="minorHAnsi"/>
          <w:snapToGrid w:val="0"/>
        </w:rPr>
        <w:t>), the</w:t>
      </w:r>
      <w:r w:rsidR="00D9055F" w:rsidRPr="008E7C4C">
        <w:rPr>
          <w:rFonts w:asciiTheme="minorHAnsi" w:hAnsiTheme="minorHAnsi"/>
          <w:snapToGrid w:val="0"/>
        </w:rPr>
        <w:t xml:space="preserve"> impact on </w:t>
      </w:r>
      <w:r w:rsidRPr="008E7C4C">
        <w:rPr>
          <w:rFonts w:asciiTheme="minorHAnsi" w:hAnsiTheme="minorHAnsi"/>
          <w:snapToGrid w:val="0"/>
        </w:rPr>
        <w:t>overall survival (OS)</w:t>
      </w:r>
      <w:r w:rsidR="00D9055F" w:rsidRPr="008E7C4C">
        <w:rPr>
          <w:rFonts w:asciiTheme="minorHAnsi" w:hAnsiTheme="minorHAnsi"/>
          <w:snapToGrid w:val="0"/>
        </w:rPr>
        <w:t xml:space="preserve"> was uncertain</w:t>
      </w:r>
      <w:r w:rsidRPr="008E7C4C">
        <w:rPr>
          <w:rFonts w:asciiTheme="minorHAnsi" w:hAnsiTheme="minorHAnsi"/>
          <w:snapToGrid w:val="0"/>
        </w:rPr>
        <w:t>. In addition, the PBAC considered that the incremental cost effectiveness ratio was uncertain</w:t>
      </w:r>
      <w:r w:rsidR="00A15DC9" w:rsidRPr="008E7C4C">
        <w:rPr>
          <w:rFonts w:asciiTheme="minorHAnsi" w:hAnsiTheme="minorHAnsi"/>
          <w:snapToGrid w:val="0"/>
        </w:rPr>
        <w:t>,</w:t>
      </w:r>
      <w:r w:rsidR="00B51E8D" w:rsidRPr="008E7C4C">
        <w:rPr>
          <w:rFonts w:asciiTheme="minorHAnsi" w:hAnsiTheme="minorHAnsi"/>
          <w:snapToGrid w:val="0"/>
        </w:rPr>
        <w:t xml:space="preserve"> as it relied on a gain in OS, and </w:t>
      </w:r>
      <w:r w:rsidR="00121E0C" w:rsidRPr="008E7C4C">
        <w:rPr>
          <w:rFonts w:asciiTheme="minorHAnsi" w:hAnsiTheme="minorHAnsi"/>
          <w:snapToGrid w:val="0"/>
        </w:rPr>
        <w:t xml:space="preserve">was </w:t>
      </w:r>
      <w:r w:rsidR="00B51E8D" w:rsidRPr="008E7C4C">
        <w:rPr>
          <w:rFonts w:asciiTheme="minorHAnsi" w:hAnsiTheme="minorHAnsi"/>
          <w:snapToGrid w:val="0"/>
        </w:rPr>
        <w:t>unacceptably high</w:t>
      </w:r>
      <w:r w:rsidRPr="008E7C4C">
        <w:rPr>
          <w:rFonts w:asciiTheme="minorHAnsi" w:hAnsiTheme="minorHAnsi"/>
          <w:snapToGrid w:val="0"/>
        </w:rPr>
        <w:t xml:space="preserve">. </w:t>
      </w:r>
    </w:p>
    <w:p w14:paraId="5C5BC286" w14:textId="77777777" w:rsidR="00B51245" w:rsidRPr="008E7C4C" w:rsidRDefault="00B51245" w:rsidP="003F4E26">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The PBAC noted that the comments from consumers and from Myeloma Australia, Myeloma Australia’s Medical and Scientific Group (MSAG) and The Leukaemia Foundation were all in support of the requested listing for </w:t>
      </w:r>
      <w:proofErr w:type="spellStart"/>
      <w:r w:rsidRPr="008E7C4C">
        <w:rPr>
          <w:rFonts w:asciiTheme="minorHAnsi" w:hAnsiTheme="minorHAnsi"/>
          <w:snapToGrid w:val="0"/>
        </w:rPr>
        <w:t>ILd</w:t>
      </w:r>
      <w:proofErr w:type="spellEnd"/>
      <w:r w:rsidRPr="008E7C4C">
        <w:rPr>
          <w:rFonts w:asciiTheme="minorHAnsi" w:hAnsiTheme="minorHAnsi"/>
          <w:snapToGrid w:val="0"/>
        </w:rPr>
        <w:t>, describing the ongoing need for additional treatment options for RRMM patients.</w:t>
      </w:r>
    </w:p>
    <w:p w14:paraId="7E8A53A9" w14:textId="77777777" w:rsidR="00B51245" w:rsidRPr="008E7C4C" w:rsidRDefault="00B51245" w:rsidP="003F4E26">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The PBAC noted that as </w:t>
      </w:r>
      <w:proofErr w:type="spellStart"/>
      <w:r w:rsidRPr="008E7C4C">
        <w:rPr>
          <w:rFonts w:asciiTheme="minorHAnsi" w:hAnsiTheme="minorHAnsi"/>
          <w:snapToGrid w:val="0"/>
        </w:rPr>
        <w:t>ixazomib</w:t>
      </w:r>
      <w:proofErr w:type="spellEnd"/>
      <w:r w:rsidRPr="008E7C4C">
        <w:rPr>
          <w:rFonts w:asciiTheme="minorHAnsi" w:hAnsiTheme="minorHAnsi"/>
          <w:snapToGrid w:val="0"/>
        </w:rPr>
        <w:t xml:space="preserve"> was an oral capsule,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was an entirely oral triple therapy which may have advantages for rural and remote patients.</w:t>
      </w:r>
    </w:p>
    <w:p w14:paraId="0B7AB64A" w14:textId="36B957BD" w:rsidR="00B51245" w:rsidRPr="008E7C4C" w:rsidRDefault="00B51245" w:rsidP="003F4E26">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The PBAC noted that the proposed </w:t>
      </w:r>
      <w:r w:rsidR="0029443F" w:rsidRPr="008E7C4C">
        <w:rPr>
          <w:rFonts w:asciiTheme="minorHAnsi" w:hAnsiTheme="minorHAnsi"/>
          <w:snapToGrid w:val="0"/>
        </w:rPr>
        <w:t xml:space="preserve">PBS restriction limited the </w:t>
      </w:r>
      <w:r w:rsidRPr="008E7C4C">
        <w:rPr>
          <w:rFonts w:asciiTheme="minorHAnsi" w:hAnsiTheme="minorHAnsi"/>
          <w:snapToGrid w:val="0"/>
        </w:rPr>
        <w:t>use</w:t>
      </w:r>
      <w:r w:rsidR="0029443F" w:rsidRPr="008E7C4C">
        <w:rPr>
          <w:rFonts w:asciiTheme="minorHAnsi" w:hAnsiTheme="minorHAnsi"/>
          <w:snapToGrid w:val="0"/>
        </w:rPr>
        <w:t xml:space="preserve"> of </w:t>
      </w:r>
      <w:proofErr w:type="spellStart"/>
      <w:r w:rsidR="0029443F" w:rsidRPr="008E7C4C">
        <w:rPr>
          <w:rFonts w:asciiTheme="minorHAnsi" w:hAnsiTheme="minorHAnsi"/>
          <w:snapToGrid w:val="0"/>
        </w:rPr>
        <w:t>ILd</w:t>
      </w:r>
      <w:proofErr w:type="spellEnd"/>
      <w:r w:rsidRPr="008E7C4C">
        <w:rPr>
          <w:rFonts w:asciiTheme="minorHAnsi" w:hAnsiTheme="minorHAnsi"/>
          <w:snapToGrid w:val="0"/>
        </w:rPr>
        <w:t xml:space="preserve"> </w:t>
      </w:r>
      <w:r w:rsidR="0029443F" w:rsidRPr="008E7C4C">
        <w:rPr>
          <w:rFonts w:asciiTheme="minorHAnsi" w:hAnsiTheme="minorHAnsi"/>
          <w:snapToGrid w:val="0"/>
        </w:rPr>
        <w:t>to</w:t>
      </w:r>
      <w:r w:rsidRPr="008E7C4C">
        <w:rPr>
          <w:rFonts w:asciiTheme="minorHAnsi" w:hAnsiTheme="minorHAnsi"/>
          <w:snapToGrid w:val="0"/>
        </w:rPr>
        <w:t xml:space="preserve"> patients who had received at least two prior lines of treatment</w:t>
      </w:r>
      <w:r w:rsidR="0029443F" w:rsidRPr="008E7C4C">
        <w:rPr>
          <w:rFonts w:asciiTheme="minorHAnsi" w:hAnsiTheme="minorHAnsi"/>
          <w:snapToGrid w:val="0"/>
        </w:rPr>
        <w:t xml:space="preserve">, and that this was narrower than the registered indication, and the PBS listings for other </w:t>
      </w:r>
      <w:r w:rsidR="00B51E8D" w:rsidRPr="008E7C4C">
        <w:rPr>
          <w:rFonts w:asciiTheme="minorHAnsi" w:hAnsiTheme="minorHAnsi"/>
          <w:snapToGrid w:val="0"/>
        </w:rPr>
        <w:t xml:space="preserve">RRMM </w:t>
      </w:r>
      <w:r w:rsidR="0029443F" w:rsidRPr="008E7C4C">
        <w:rPr>
          <w:rFonts w:asciiTheme="minorHAnsi" w:hAnsiTheme="minorHAnsi"/>
          <w:snapToGrid w:val="0"/>
        </w:rPr>
        <w:t>treatments</w:t>
      </w:r>
      <w:r w:rsidR="00B51E8D" w:rsidRPr="008E7C4C">
        <w:rPr>
          <w:rFonts w:asciiTheme="minorHAnsi" w:hAnsiTheme="minorHAnsi"/>
          <w:snapToGrid w:val="0"/>
        </w:rPr>
        <w:t xml:space="preserve"> </w:t>
      </w:r>
      <w:r w:rsidR="0029443F" w:rsidRPr="008E7C4C">
        <w:rPr>
          <w:rFonts w:asciiTheme="minorHAnsi" w:hAnsiTheme="minorHAnsi"/>
          <w:snapToGrid w:val="0"/>
        </w:rPr>
        <w:t>which require only one prior line of treatment.</w:t>
      </w:r>
      <w:r w:rsidR="00A210AC" w:rsidRPr="008E7C4C">
        <w:rPr>
          <w:rFonts w:asciiTheme="minorHAnsi" w:hAnsiTheme="minorHAnsi"/>
          <w:snapToGrid w:val="0"/>
        </w:rPr>
        <w:t xml:space="preserve"> The PBAC </w:t>
      </w:r>
      <w:r w:rsidR="007E5257" w:rsidRPr="008E7C4C">
        <w:rPr>
          <w:rFonts w:asciiTheme="minorHAnsi" w:hAnsiTheme="minorHAnsi"/>
          <w:snapToGrid w:val="0"/>
        </w:rPr>
        <w:t>acknowledged</w:t>
      </w:r>
      <w:r w:rsidR="00A210AC" w:rsidRPr="008E7C4C">
        <w:rPr>
          <w:rFonts w:asciiTheme="minorHAnsi" w:hAnsiTheme="minorHAnsi"/>
          <w:snapToGrid w:val="0"/>
        </w:rPr>
        <w:t xml:space="preserve"> the proposed PBS restriction reflected </w:t>
      </w:r>
      <w:proofErr w:type="spellStart"/>
      <w:r w:rsidR="00A210AC" w:rsidRPr="008E7C4C">
        <w:rPr>
          <w:rFonts w:asciiTheme="minorHAnsi" w:hAnsiTheme="minorHAnsi"/>
          <w:snapToGrid w:val="0"/>
        </w:rPr>
        <w:t>ILd’s</w:t>
      </w:r>
      <w:proofErr w:type="spellEnd"/>
      <w:r w:rsidR="00A210AC" w:rsidRPr="008E7C4C">
        <w:rPr>
          <w:rFonts w:asciiTheme="minorHAnsi" w:hAnsiTheme="minorHAnsi"/>
          <w:snapToGrid w:val="0"/>
        </w:rPr>
        <w:t xml:space="preserve"> likely use in practice given</w:t>
      </w:r>
      <w:r w:rsidRPr="008E7C4C">
        <w:rPr>
          <w:rFonts w:asciiTheme="minorHAnsi" w:hAnsiTheme="minorHAnsi"/>
          <w:snapToGrid w:val="0"/>
        </w:rPr>
        <w:t xml:space="preserve"> that daratumumab plus bortezomib and dexamethasone (</w:t>
      </w:r>
      <w:proofErr w:type="spellStart"/>
      <w:r w:rsidRPr="008E7C4C">
        <w:rPr>
          <w:rFonts w:asciiTheme="minorHAnsi" w:hAnsiTheme="minorHAnsi"/>
          <w:snapToGrid w:val="0"/>
        </w:rPr>
        <w:t>DBd</w:t>
      </w:r>
      <w:proofErr w:type="spellEnd"/>
      <w:r w:rsidRPr="008E7C4C">
        <w:rPr>
          <w:rFonts w:asciiTheme="minorHAnsi" w:hAnsiTheme="minorHAnsi"/>
          <w:snapToGrid w:val="0"/>
        </w:rPr>
        <w:t xml:space="preserve">) </w:t>
      </w:r>
      <w:r w:rsidR="005064E4" w:rsidRPr="008E7C4C">
        <w:rPr>
          <w:rFonts w:asciiTheme="minorHAnsi" w:hAnsiTheme="minorHAnsi"/>
          <w:snapToGrid w:val="0"/>
        </w:rPr>
        <w:t>i</w:t>
      </w:r>
      <w:r w:rsidRPr="008E7C4C">
        <w:rPr>
          <w:rFonts w:asciiTheme="minorHAnsi" w:hAnsiTheme="minorHAnsi"/>
          <w:snapToGrid w:val="0"/>
        </w:rPr>
        <w:t>s listed on the PBS as a second-line therapy only and w</w:t>
      </w:r>
      <w:r w:rsidR="00FB0CD3" w:rsidRPr="008E7C4C">
        <w:rPr>
          <w:rFonts w:asciiTheme="minorHAnsi" w:hAnsiTheme="minorHAnsi"/>
          <w:snapToGrid w:val="0"/>
        </w:rPr>
        <w:t>ill</w:t>
      </w:r>
      <w:r w:rsidRPr="008E7C4C">
        <w:rPr>
          <w:rFonts w:asciiTheme="minorHAnsi" w:hAnsiTheme="minorHAnsi"/>
          <w:snapToGrid w:val="0"/>
        </w:rPr>
        <w:t xml:space="preserve"> likely displace the other RRMM treatments to the third </w:t>
      </w:r>
      <w:r w:rsidR="00A210AC" w:rsidRPr="008E7C4C">
        <w:rPr>
          <w:rFonts w:asciiTheme="minorHAnsi" w:hAnsiTheme="minorHAnsi"/>
          <w:snapToGrid w:val="0"/>
        </w:rPr>
        <w:t xml:space="preserve">and later </w:t>
      </w:r>
      <w:r w:rsidRPr="008E7C4C">
        <w:rPr>
          <w:rFonts w:asciiTheme="minorHAnsi" w:hAnsiTheme="minorHAnsi"/>
          <w:snapToGrid w:val="0"/>
        </w:rPr>
        <w:t>line setting</w:t>
      </w:r>
      <w:r w:rsidR="00FB0CD3" w:rsidRPr="008E7C4C">
        <w:rPr>
          <w:rFonts w:asciiTheme="minorHAnsi" w:hAnsiTheme="minorHAnsi"/>
          <w:snapToGrid w:val="0"/>
        </w:rPr>
        <w:t xml:space="preserve">; </w:t>
      </w:r>
      <w:r w:rsidR="00A210AC" w:rsidRPr="008E7C4C">
        <w:rPr>
          <w:rFonts w:asciiTheme="minorHAnsi" w:hAnsiTheme="minorHAnsi"/>
          <w:snapToGrid w:val="0"/>
        </w:rPr>
        <w:t>however</w:t>
      </w:r>
      <w:r w:rsidR="00FB0CD3" w:rsidRPr="008E7C4C">
        <w:rPr>
          <w:rFonts w:asciiTheme="minorHAnsi" w:hAnsiTheme="minorHAnsi"/>
          <w:snapToGrid w:val="0"/>
        </w:rPr>
        <w:t>,</w:t>
      </w:r>
      <w:r w:rsidR="00A210AC" w:rsidRPr="008E7C4C">
        <w:rPr>
          <w:rFonts w:asciiTheme="minorHAnsi" w:hAnsiTheme="minorHAnsi"/>
          <w:snapToGrid w:val="0"/>
        </w:rPr>
        <w:t xml:space="preserve"> considered a </w:t>
      </w:r>
      <w:r w:rsidR="00A55F7D" w:rsidRPr="008E7C4C">
        <w:rPr>
          <w:rFonts w:asciiTheme="minorHAnsi" w:hAnsiTheme="minorHAnsi"/>
          <w:snapToGrid w:val="0"/>
        </w:rPr>
        <w:t>restriction</w:t>
      </w:r>
      <w:r w:rsidR="00A210AC" w:rsidRPr="008E7C4C">
        <w:rPr>
          <w:rFonts w:asciiTheme="minorHAnsi" w:hAnsiTheme="minorHAnsi"/>
          <w:snapToGrid w:val="0"/>
        </w:rPr>
        <w:t xml:space="preserve"> </w:t>
      </w:r>
      <w:r w:rsidR="00FB0CD3" w:rsidRPr="008E7C4C">
        <w:rPr>
          <w:rFonts w:asciiTheme="minorHAnsi" w:hAnsiTheme="minorHAnsi"/>
          <w:snapToGrid w:val="0"/>
        </w:rPr>
        <w:t xml:space="preserve">that was </w:t>
      </w:r>
      <w:r w:rsidR="00A210AC" w:rsidRPr="008E7C4C">
        <w:rPr>
          <w:rFonts w:asciiTheme="minorHAnsi" w:hAnsiTheme="minorHAnsi"/>
          <w:snapToGrid w:val="0"/>
        </w:rPr>
        <w:t xml:space="preserve">consistent with the other RRMM treatments </w:t>
      </w:r>
      <w:r w:rsidR="00FB0CD3" w:rsidRPr="008E7C4C">
        <w:rPr>
          <w:rFonts w:asciiTheme="minorHAnsi" w:hAnsiTheme="minorHAnsi"/>
          <w:snapToGrid w:val="0"/>
        </w:rPr>
        <w:t xml:space="preserve">and </w:t>
      </w:r>
      <w:r w:rsidR="00A210AC" w:rsidRPr="008E7C4C">
        <w:rPr>
          <w:rFonts w:asciiTheme="minorHAnsi" w:hAnsiTheme="minorHAnsi"/>
          <w:snapToGrid w:val="0"/>
        </w:rPr>
        <w:t>which require</w:t>
      </w:r>
      <w:r w:rsidR="00FB0CD3" w:rsidRPr="008E7C4C">
        <w:rPr>
          <w:rFonts w:asciiTheme="minorHAnsi" w:hAnsiTheme="minorHAnsi"/>
          <w:snapToGrid w:val="0"/>
        </w:rPr>
        <w:t>s</w:t>
      </w:r>
      <w:r w:rsidR="00A210AC" w:rsidRPr="008E7C4C">
        <w:rPr>
          <w:rFonts w:asciiTheme="minorHAnsi" w:hAnsiTheme="minorHAnsi"/>
          <w:snapToGrid w:val="0"/>
        </w:rPr>
        <w:t xml:space="preserve"> only one prior line of treatment would be appropriate</w:t>
      </w:r>
      <w:r w:rsidRPr="008E7C4C">
        <w:rPr>
          <w:rFonts w:asciiTheme="minorHAnsi" w:hAnsiTheme="minorHAnsi"/>
          <w:snapToGrid w:val="0"/>
        </w:rPr>
        <w:t xml:space="preserve">. </w:t>
      </w:r>
    </w:p>
    <w:p w14:paraId="5FCC6114" w14:textId="540F77BC" w:rsidR="0057389E" w:rsidRPr="008E7C4C" w:rsidRDefault="00E9362D" w:rsidP="003F4E26">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The PBAC noted </w:t>
      </w:r>
      <w:r w:rsidR="005064E4" w:rsidRPr="008E7C4C">
        <w:rPr>
          <w:rFonts w:asciiTheme="minorHAnsi" w:hAnsiTheme="minorHAnsi"/>
          <w:snapToGrid w:val="0"/>
        </w:rPr>
        <w:t xml:space="preserve">that </w:t>
      </w:r>
      <w:r w:rsidRPr="008E7C4C">
        <w:rPr>
          <w:rFonts w:asciiTheme="minorHAnsi" w:hAnsiTheme="minorHAnsi"/>
          <w:snapToGrid w:val="0"/>
        </w:rPr>
        <w:t>the multiple treatment options for RRMM</w:t>
      </w:r>
      <w:r w:rsidR="00B906C5" w:rsidRPr="008E7C4C">
        <w:rPr>
          <w:rFonts w:asciiTheme="minorHAnsi" w:hAnsiTheme="minorHAnsi"/>
          <w:snapToGrid w:val="0"/>
        </w:rPr>
        <w:t>, and the changing treatment algorithm</w:t>
      </w:r>
      <w:r w:rsidR="001A708B" w:rsidRPr="008E7C4C">
        <w:rPr>
          <w:rFonts w:asciiTheme="minorHAnsi" w:hAnsiTheme="minorHAnsi"/>
          <w:snapToGrid w:val="0"/>
        </w:rPr>
        <w:t>,</w:t>
      </w:r>
      <w:r w:rsidRPr="008E7C4C">
        <w:rPr>
          <w:rFonts w:asciiTheme="minorHAnsi" w:hAnsiTheme="minorHAnsi"/>
          <w:snapToGrid w:val="0"/>
        </w:rPr>
        <w:t xml:space="preserve"> complicate</w:t>
      </w:r>
      <w:r w:rsidR="00FB0CD3" w:rsidRPr="008E7C4C">
        <w:rPr>
          <w:rFonts w:asciiTheme="minorHAnsi" w:hAnsiTheme="minorHAnsi"/>
          <w:snapToGrid w:val="0"/>
        </w:rPr>
        <w:t>d</w:t>
      </w:r>
      <w:r w:rsidRPr="008E7C4C">
        <w:rPr>
          <w:rFonts w:asciiTheme="minorHAnsi" w:hAnsiTheme="minorHAnsi"/>
          <w:snapToGrid w:val="0"/>
        </w:rPr>
        <w:t xml:space="preserve"> the selection of a </w:t>
      </w:r>
      <w:r w:rsidR="00CB740A" w:rsidRPr="008E7C4C">
        <w:rPr>
          <w:rFonts w:asciiTheme="minorHAnsi" w:hAnsiTheme="minorHAnsi"/>
          <w:snapToGrid w:val="0"/>
        </w:rPr>
        <w:t xml:space="preserve">main </w:t>
      </w:r>
      <w:r w:rsidRPr="008E7C4C">
        <w:rPr>
          <w:rFonts w:asciiTheme="minorHAnsi" w:hAnsiTheme="minorHAnsi"/>
          <w:snapToGrid w:val="0"/>
        </w:rPr>
        <w:t xml:space="preserve">comparator(s). The PBAC recalled the November 2020 submission nominated Cd as the primary comparator and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a secondary comparator and</w:t>
      </w:r>
      <w:r w:rsidR="00FB0CD3" w:rsidRPr="008E7C4C">
        <w:rPr>
          <w:rFonts w:asciiTheme="minorHAnsi" w:hAnsiTheme="minorHAnsi"/>
          <w:snapToGrid w:val="0"/>
        </w:rPr>
        <w:t>,</w:t>
      </w:r>
      <w:r w:rsidRPr="008E7C4C">
        <w:rPr>
          <w:rFonts w:asciiTheme="minorHAnsi" w:hAnsiTheme="minorHAnsi"/>
          <w:snapToGrid w:val="0"/>
        </w:rPr>
        <w:t xml:space="preserve"> at that time</w:t>
      </w:r>
      <w:r w:rsidR="00FB0CD3" w:rsidRPr="008E7C4C">
        <w:rPr>
          <w:rFonts w:asciiTheme="minorHAnsi" w:hAnsiTheme="minorHAnsi"/>
          <w:snapToGrid w:val="0"/>
        </w:rPr>
        <w:t>,</w:t>
      </w:r>
      <w:r w:rsidRPr="008E7C4C">
        <w:rPr>
          <w:rFonts w:asciiTheme="minorHAnsi" w:hAnsiTheme="minorHAnsi"/>
          <w:snapToGrid w:val="0"/>
        </w:rPr>
        <w:t xml:space="preserve"> the</w:t>
      </w:r>
      <w:r w:rsidR="00CB740A" w:rsidRPr="008E7C4C">
        <w:rPr>
          <w:rFonts w:asciiTheme="minorHAnsi" w:hAnsiTheme="minorHAnsi"/>
          <w:snapToGrid w:val="0"/>
        </w:rPr>
        <w:t xml:space="preserve"> Committee</w:t>
      </w:r>
      <w:r w:rsidRPr="008E7C4C">
        <w:rPr>
          <w:rFonts w:asciiTheme="minorHAnsi" w:hAnsiTheme="minorHAnsi"/>
          <w:snapToGrid w:val="0"/>
        </w:rPr>
        <w:t xml:space="preserve"> considered </w:t>
      </w:r>
      <w:proofErr w:type="spellStart"/>
      <w:proofErr w:type="gramStart"/>
      <w:r w:rsidRPr="008E7C4C">
        <w:rPr>
          <w:rFonts w:asciiTheme="minorHAnsi" w:hAnsiTheme="minorHAnsi"/>
          <w:bCs/>
          <w:snapToGrid w:val="0"/>
        </w:rPr>
        <w:t>Ld</w:t>
      </w:r>
      <w:proofErr w:type="spellEnd"/>
      <w:proofErr w:type="gramEnd"/>
      <w:r w:rsidRPr="008E7C4C">
        <w:rPr>
          <w:rFonts w:asciiTheme="minorHAnsi" w:hAnsiTheme="minorHAnsi"/>
          <w:bCs/>
          <w:snapToGrid w:val="0"/>
        </w:rPr>
        <w:t xml:space="preserve"> and Cd were relevant comparators. </w:t>
      </w:r>
      <w:r w:rsidR="00B51245" w:rsidRPr="008E7C4C">
        <w:rPr>
          <w:rFonts w:asciiTheme="minorHAnsi" w:hAnsiTheme="minorHAnsi"/>
          <w:snapToGrid w:val="0"/>
        </w:rPr>
        <w:t xml:space="preserve">The PBAC noted that the resubmission nominated </w:t>
      </w:r>
      <w:proofErr w:type="spellStart"/>
      <w:r w:rsidR="00B51245" w:rsidRPr="008E7C4C">
        <w:rPr>
          <w:rFonts w:asciiTheme="minorHAnsi" w:hAnsiTheme="minorHAnsi"/>
          <w:snapToGrid w:val="0"/>
        </w:rPr>
        <w:t>Ld</w:t>
      </w:r>
      <w:proofErr w:type="spellEnd"/>
      <w:r w:rsidR="00B51245" w:rsidRPr="008E7C4C">
        <w:rPr>
          <w:rFonts w:asciiTheme="minorHAnsi" w:hAnsiTheme="minorHAnsi"/>
          <w:snapToGrid w:val="0"/>
        </w:rPr>
        <w:t xml:space="preserve"> as the primary comparator and Cd as a secondary comparator.</w:t>
      </w:r>
      <w:r w:rsidR="00CB740A" w:rsidRPr="008E7C4C">
        <w:rPr>
          <w:rFonts w:asciiTheme="minorHAnsi" w:hAnsiTheme="minorHAnsi"/>
          <w:snapToGrid w:val="0"/>
        </w:rPr>
        <w:t xml:space="preserve"> The resubmission did not present any new clinical evidence to support the clinical claim</w:t>
      </w:r>
      <w:r w:rsidR="00B51245" w:rsidRPr="008E7C4C">
        <w:rPr>
          <w:rFonts w:asciiTheme="minorHAnsi" w:hAnsiTheme="minorHAnsi"/>
          <w:snapToGrid w:val="0"/>
        </w:rPr>
        <w:t xml:space="preserve"> </w:t>
      </w:r>
      <w:r w:rsidR="00CB740A" w:rsidRPr="008E7C4C">
        <w:rPr>
          <w:rFonts w:asciiTheme="minorHAnsi" w:hAnsiTheme="minorHAnsi"/>
          <w:snapToGrid w:val="0"/>
        </w:rPr>
        <w:t xml:space="preserve">that </w:t>
      </w:r>
      <w:proofErr w:type="spellStart"/>
      <w:r w:rsidR="00CB740A" w:rsidRPr="008E7C4C">
        <w:rPr>
          <w:rFonts w:asciiTheme="minorHAnsi" w:hAnsiTheme="minorHAnsi"/>
          <w:snapToGrid w:val="0"/>
        </w:rPr>
        <w:t>ILd</w:t>
      </w:r>
      <w:proofErr w:type="spellEnd"/>
      <w:r w:rsidR="00CB740A" w:rsidRPr="008E7C4C">
        <w:rPr>
          <w:rFonts w:asciiTheme="minorHAnsi" w:hAnsiTheme="minorHAnsi"/>
          <w:snapToGrid w:val="0"/>
        </w:rPr>
        <w:t xml:space="preserve"> was non-inferior in terms of effectiveness and safety compared to Cd, and the PBAC therefore maintained its previous view that this claim was not supported. The resubmission therefore relied </w:t>
      </w:r>
      <w:r w:rsidR="005064E4" w:rsidRPr="008E7C4C">
        <w:rPr>
          <w:rFonts w:asciiTheme="minorHAnsi" w:hAnsiTheme="minorHAnsi"/>
          <w:snapToGrid w:val="0"/>
        </w:rPr>
        <w:t>sole</w:t>
      </w:r>
      <w:r w:rsidR="00AA3BED" w:rsidRPr="008E7C4C">
        <w:rPr>
          <w:rFonts w:asciiTheme="minorHAnsi" w:hAnsiTheme="minorHAnsi"/>
          <w:snapToGrid w:val="0"/>
        </w:rPr>
        <w:t>l</w:t>
      </w:r>
      <w:r w:rsidR="005064E4" w:rsidRPr="008E7C4C">
        <w:rPr>
          <w:rFonts w:asciiTheme="minorHAnsi" w:hAnsiTheme="minorHAnsi"/>
          <w:snapToGrid w:val="0"/>
        </w:rPr>
        <w:t xml:space="preserve">y </w:t>
      </w:r>
      <w:r w:rsidR="00CB740A" w:rsidRPr="008E7C4C">
        <w:rPr>
          <w:rFonts w:asciiTheme="minorHAnsi" w:hAnsiTheme="minorHAnsi"/>
          <w:snapToGrid w:val="0"/>
        </w:rPr>
        <w:t xml:space="preserve">on </w:t>
      </w:r>
      <w:r w:rsidR="00AC6A3C" w:rsidRPr="008E7C4C">
        <w:rPr>
          <w:rFonts w:asciiTheme="minorHAnsi" w:hAnsiTheme="minorHAnsi"/>
          <w:snapToGrid w:val="0"/>
        </w:rPr>
        <w:t>the</w:t>
      </w:r>
      <w:r w:rsidR="00CB740A" w:rsidRPr="008E7C4C">
        <w:rPr>
          <w:rFonts w:asciiTheme="minorHAnsi" w:hAnsiTheme="minorHAnsi"/>
          <w:snapToGrid w:val="0"/>
        </w:rPr>
        <w:t xml:space="preserve"> comparison of </w:t>
      </w:r>
      <w:proofErr w:type="spellStart"/>
      <w:r w:rsidR="00CB740A" w:rsidRPr="008E7C4C">
        <w:rPr>
          <w:rFonts w:asciiTheme="minorHAnsi" w:hAnsiTheme="minorHAnsi"/>
          <w:snapToGrid w:val="0"/>
        </w:rPr>
        <w:t>ILd</w:t>
      </w:r>
      <w:proofErr w:type="spellEnd"/>
      <w:r w:rsidR="00CB740A" w:rsidRPr="008E7C4C">
        <w:rPr>
          <w:rFonts w:asciiTheme="minorHAnsi" w:hAnsiTheme="minorHAnsi"/>
          <w:snapToGrid w:val="0"/>
        </w:rPr>
        <w:t xml:space="preserve"> and Ld</w:t>
      </w:r>
      <w:r w:rsidR="00AC6A3C" w:rsidRPr="008E7C4C">
        <w:rPr>
          <w:rFonts w:asciiTheme="minorHAnsi" w:hAnsiTheme="minorHAnsi"/>
          <w:snapToGrid w:val="0"/>
        </w:rPr>
        <w:t>.</w:t>
      </w:r>
      <w:r w:rsidR="00CB740A" w:rsidRPr="008E7C4C">
        <w:rPr>
          <w:rFonts w:asciiTheme="minorHAnsi" w:hAnsiTheme="minorHAnsi"/>
          <w:snapToGrid w:val="0"/>
        </w:rPr>
        <w:t xml:space="preserve"> </w:t>
      </w:r>
      <w:r w:rsidR="0057389E" w:rsidRPr="008E7C4C">
        <w:rPr>
          <w:rFonts w:asciiTheme="minorHAnsi" w:hAnsiTheme="minorHAnsi"/>
          <w:snapToGrid w:val="0"/>
        </w:rPr>
        <w:t xml:space="preserve">The PBAC considered that </w:t>
      </w:r>
      <w:proofErr w:type="spellStart"/>
      <w:r w:rsidR="00AC6A3C" w:rsidRPr="008E7C4C">
        <w:rPr>
          <w:rFonts w:asciiTheme="minorHAnsi" w:hAnsiTheme="minorHAnsi"/>
          <w:snapToGrid w:val="0"/>
        </w:rPr>
        <w:t>Ld</w:t>
      </w:r>
      <w:proofErr w:type="spellEnd"/>
      <w:r w:rsidR="00AC6A3C" w:rsidRPr="008E7C4C">
        <w:rPr>
          <w:rFonts w:asciiTheme="minorHAnsi" w:hAnsiTheme="minorHAnsi"/>
          <w:snapToGrid w:val="0"/>
        </w:rPr>
        <w:t xml:space="preserve"> was a relevant comparator</w:t>
      </w:r>
      <w:r w:rsidR="00FB0CD3" w:rsidRPr="008E7C4C">
        <w:rPr>
          <w:rFonts w:asciiTheme="minorHAnsi" w:hAnsiTheme="minorHAnsi"/>
          <w:snapToGrid w:val="0"/>
        </w:rPr>
        <w:t>;</w:t>
      </w:r>
      <w:r w:rsidR="0057389E" w:rsidRPr="008E7C4C">
        <w:rPr>
          <w:rFonts w:asciiTheme="minorHAnsi" w:hAnsiTheme="minorHAnsi"/>
          <w:snapToGrid w:val="0"/>
        </w:rPr>
        <w:t xml:space="preserve"> </w:t>
      </w:r>
      <w:r w:rsidR="00AC6A3C" w:rsidRPr="008E7C4C">
        <w:rPr>
          <w:rFonts w:asciiTheme="minorHAnsi" w:hAnsiTheme="minorHAnsi"/>
          <w:snapToGrid w:val="0"/>
        </w:rPr>
        <w:t>however</w:t>
      </w:r>
      <w:r w:rsidR="00FB0CD3" w:rsidRPr="008E7C4C">
        <w:rPr>
          <w:rFonts w:asciiTheme="minorHAnsi" w:hAnsiTheme="minorHAnsi"/>
          <w:snapToGrid w:val="0"/>
        </w:rPr>
        <w:t>,</w:t>
      </w:r>
      <w:r w:rsidR="00AC6A3C" w:rsidRPr="008E7C4C">
        <w:rPr>
          <w:rFonts w:asciiTheme="minorHAnsi" w:hAnsiTheme="minorHAnsi"/>
          <w:snapToGrid w:val="0"/>
        </w:rPr>
        <w:t xml:space="preserve"> noted </w:t>
      </w:r>
      <w:r w:rsidR="00AA3BED" w:rsidRPr="008E7C4C">
        <w:rPr>
          <w:rFonts w:asciiTheme="minorHAnsi" w:hAnsiTheme="minorHAnsi"/>
          <w:snapToGrid w:val="0"/>
        </w:rPr>
        <w:t xml:space="preserve">Cd </w:t>
      </w:r>
      <w:proofErr w:type="gramStart"/>
      <w:r w:rsidR="00FB0CD3" w:rsidRPr="008E7C4C">
        <w:rPr>
          <w:rFonts w:asciiTheme="minorHAnsi" w:hAnsiTheme="minorHAnsi"/>
          <w:snapToGrid w:val="0"/>
        </w:rPr>
        <w:t xml:space="preserve">remained </w:t>
      </w:r>
      <w:r w:rsidR="00AA3BED" w:rsidRPr="008E7C4C">
        <w:rPr>
          <w:rFonts w:asciiTheme="minorHAnsi" w:hAnsiTheme="minorHAnsi"/>
          <w:snapToGrid w:val="0"/>
        </w:rPr>
        <w:t xml:space="preserve"> an</w:t>
      </w:r>
      <w:proofErr w:type="gramEnd"/>
      <w:r w:rsidR="00AA3BED" w:rsidRPr="008E7C4C">
        <w:rPr>
          <w:rFonts w:asciiTheme="minorHAnsi" w:hAnsiTheme="minorHAnsi"/>
          <w:snapToGrid w:val="0"/>
        </w:rPr>
        <w:t xml:space="preserve"> important comparator with it having been previously accepted as the comparator for </w:t>
      </w:r>
      <w:proofErr w:type="spellStart"/>
      <w:r w:rsidR="00AA3BED" w:rsidRPr="008E7C4C">
        <w:rPr>
          <w:rFonts w:asciiTheme="minorHAnsi" w:hAnsiTheme="minorHAnsi"/>
          <w:snapToGrid w:val="0"/>
        </w:rPr>
        <w:t>ELd</w:t>
      </w:r>
      <w:proofErr w:type="spellEnd"/>
      <w:r w:rsidR="00AA3BED" w:rsidRPr="008E7C4C">
        <w:rPr>
          <w:rFonts w:asciiTheme="minorHAnsi" w:hAnsiTheme="minorHAnsi"/>
          <w:snapToGrid w:val="0"/>
        </w:rPr>
        <w:t xml:space="preserve">. </w:t>
      </w:r>
      <w:r w:rsidR="0057389E" w:rsidRPr="008E7C4C">
        <w:rPr>
          <w:rFonts w:asciiTheme="minorHAnsi" w:hAnsiTheme="minorHAnsi"/>
          <w:snapToGrid w:val="0"/>
        </w:rPr>
        <w:t>Noting international guidelines indicate a preference for triple combination therapi</w:t>
      </w:r>
      <w:r w:rsidR="00D9055F" w:rsidRPr="008E7C4C">
        <w:rPr>
          <w:rFonts w:asciiTheme="minorHAnsi" w:hAnsiTheme="minorHAnsi"/>
          <w:snapToGrid w:val="0"/>
        </w:rPr>
        <w:t>e</w:t>
      </w:r>
      <w:r w:rsidR="0057389E" w:rsidRPr="008E7C4C">
        <w:rPr>
          <w:rFonts w:asciiTheme="minorHAnsi" w:hAnsiTheme="minorHAnsi"/>
          <w:snapToGrid w:val="0"/>
        </w:rPr>
        <w:t>s,</w:t>
      </w:r>
      <w:r w:rsidR="00297B3B" w:rsidRPr="008E7C4C">
        <w:rPr>
          <w:rFonts w:asciiTheme="minorHAnsi" w:hAnsiTheme="minorHAnsi"/>
          <w:snapToGrid w:val="0"/>
        </w:rPr>
        <w:t xml:space="preserve"> </w:t>
      </w:r>
      <w:r w:rsidR="0057389E" w:rsidRPr="008E7C4C">
        <w:rPr>
          <w:rFonts w:asciiTheme="minorHAnsi" w:hAnsiTheme="minorHAnsi"/>
          <w:snapToGrid w:val="0"/>
        </w:rPr>
        <w:t>the PBAC considered that</w:t>
      </w:r>
      <w:r w:rsidR="00F92DC0" w:rsidRPr="008E7C4C">
        <w:rPr>
          <w:rFonts w:asciiTheme="minorHAnsi" w:hAnsiTheme="minorHAnsi"/>
          <w:snapToGrid w:val="0"/>
        </w:rPr>
        <w:t xml:space="preserve"> PBS listed triple therap</w:t>
      </w:r>
      <w:r w:rsidR="00681EFD" w:rsidRPr="008E7C4C">
        <w:rPr>
          <w:rFonts w:asciiTheme="minorHAnsi" w:hAnsiTheme="minorHAnsi"/>
          <w:snapToGrid w:val="0"/>
        </w:rPr>
        <w:t>ies</w:t>
      </w:r>
      <w:r w:rsidR="00FB0CD3" w:rsidRPr="008E7C4C">
        <w:rPr>
          <w:rFonts w:asciiTheme="minorHAnsi" w:hAnsiTheme="minorHAnsi"/>
          <w:snapToGrid w:val="0"/>
        </w:rPr>
        <w:t xml:space="preserve">, such as </w:t>
      </w:r>
      <w:proofErr w:type="spellStart"/>
      <w:r w:rsidR="00FB0CD3" w:rsidRPr="008E7C4C">
        <w:rPr>
          <w:rFonts w:asciiTheme="minorHAnsi" w:hAnsiTheme="minorHAnsi"/>
          <w:snapToGrid w:val="0"/>
        </w:rPr>
        <w:t>ELd</w:t>
      </w:r>
      <w:proofErr w:type="spellEnd"/>
      <w:r w:rsidR="00FB0CD3" w:rsidRPr="008E7C4C">
        <w:rPr>
          <w:rFonts w:asciiTheme="minorHAnsi" w:hAnsiTheme="minorHAnsi"/>
          <w:snapToGrid w:val="0"/>
        </w:rPr>
        <w:t xml:space="preserve"> which was nominated as a near market comparator,</w:t>
      </w:r>
      <w:r w:rsidR="00F92DC0" w:rsidRPr="008E7C4C">
        <w:rPr>
          <w:rFonts w:asciiTheme="minorHAnsi" w:hAnsiTheme="minorHAnsi"/>
          <w:snapToGrid w:val="0"/>
        </w:rPr>
        <w:t xml:space="preserve"> may increasingly become relevant comparators</w:t>
      </w:r>
      <w:r w:rsidR="0057389E" w:rsidRPr="008E7C4C">
        <w:rPr>
          <w:rFonts w:asciiTheme="minorHAnsi" w:hAnsiTheme="minorHAnsi"/>
          <w:snapToGrid w:val="0"/>
        </w:rPr>
        <w:t>.</w:t>
      </w:r>
    </w:p>
    <w:p w14:paraId="1B248ECC" w14:textId="5B3A734D" w:rsidR="00297B3B" w:rsidRPr="008E7C4C" w:rsidRDefault="00297B3B" w:rsidP="003F4E26">
      <w:pPr>
        <w:widowControl w:val="0"/>
        <w:numPr>
          <w:ilvl w:val="1"/>
          <w:numId w:val="1"/>
        </w:numPr>
        <w:spacing w:after="120"/>
        <w:rPr>
          <w:rFonts w:asciiTheme="minorHAnsi" w:hAnsiTheme="minorHAnsi"/>
          <w:snapToGrid w:val="0"/>
        </w:rPr>
      </w:pPr>
      <w:r w:rsidRPr="008E7C4C">
        <w:rPr>
          <w:rFonts w:asciiTheme="minorHAnsi" w:hAnsiTheme="minorHAnsi"/>
          <w:snapToGrid w:val="0"/>
        </w:rPr>
        <w:t>The PBAC noted that the resubmission presented data from the TOURMALINE MM-</w:t>
      </w:r>
      <w:r w:rsidR="00D9055F" w:rsidRPr="008E7C4C">
        <w:rPr>
          <w:rFonts w:asciiTheme="minorHAnsi" w:hAnsiTheme="minorHAnsi"/>
          <w:snapToGrid w:val="0"/>
        </w:rPr>
        <w:t>1</w:t>
      </w:r>
      <w:r w:rsidRPr="008E7C4C">
        <w:rPr>
          <w:rFonts w:asciiTheme="minorHAnsi" w:hAnsiTheme="minorHAnsi"/>
          <w:snapToGrid w:val="0"/>
        </w:rPr>
        <w:t xml:space="preserve"> (TMM-</w:t>
      </w:r>
      <w:r w:rsidR="00D9055F" w:rsidRPr="008E7C4C">
        <w:rPr>
          <w:rFonts w:asciiTheme="minorHAnsi" w:hAnsiTheme="minorHAnsi"/>
          <w:snapToGrid w:val="0"/>
        </w:rPr>
        <w:t>1</w:t>
      </w:r>
      <w:r w:rsidRPr="008E7C4C">
        <w:rPr>
          <w:rFonts w:asciiTheme="minorHAnsi" w:hAnsiTheme="minorHAnsi"/>
          <w:snapToGrid w:val="0"/>
        </w:rPr>
        <w:t xml:space="preserve">) trial (N = 722) that compared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with Ld. The resubmission presented updated OS data from the intention to treat (ITT) population and a subgroup analysis for patients who had received 2-3 prior lines of therapy which reflected the proposed PBS population.</w:t>
      </w:r>
    </w:p>
    <w:p w14:paraId="73965BC6" w14:textId="63CE2B02" w:rsidR="00297B3B" w:rsidRPr="008E7C4C" w:rsidRDefault="005B4B23" w:rsidP="003F4E26">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For the ITT population the PBAC noted that median PFS was statistically significantly longer in the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arm compared to the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arm (HR = 0.74; 95% CI: 0.59, 0.94). The OS results did not demonstrate a statistically significant difference at 23 months </w:t>
      </w:r>
      <w:r w:rsidR="001A708B" w:rsidRPr="008E7C4C">
        <w:rPr>
          <w:rFonts w:asciiTheme="minorHAnsi" w:hAnsiTheme="minorHAnsi"/>
          <w:snapToGrid w:val="0"/>
        </w:rPr>
        <w:t xml:space="preserve">follow-up </w:t>
      </w:r>
      <w:r w:rsidRPr="008E7C4C">
        <w:rPr>
          <w:rFonts w:asciiTheme="minorHAnsi" w:hAnsiTheme="minorHAnsi"/>
          <w:snapToGrid w:val="0"/>
        </w:rPr>
        <w:t>(HR = 0.87; 95% CI: 0.64, 1.75) or at 85 months follow-up (HR = 0.94; 95% CI: 0.78, 1.13).</w:t>
      </w:r>
    </w:p>
    <w:p w14:paraId="08748401" w14:textId="2D11DB5B" w:rsidR="00150793" w:rsidRPr="008E7C4C" w:rsidRDefault="001A708B" w:rsidP="00C97ADA">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The PBAC noted the point estimate for the </w:t>
      </w:r>
      <w:r w:rsidR="00FB0CD3" w:rsidRPr="008E7C4C">
        <w:rPr>
          <w:rFonts w:asciiTheme="minorHAnsi" w:hAnsiTheme="minorHAnsi"/>
          <w:snapToGrid w:val="0"/>
        </w:rPr>
        <w:t>hazard ratio</w:t>
      </w:r>
      <w:r w:rsidRPr="008E7C4C">
        <w:rPr>
          <w:rFonts w:asciiTheme="minorHAnsi" w:hAnsiTheme="minorHAnsi"/>
          <w:snapToGrid w:val="0"/>
        </w:rPr>
        <w:t xml:space="preserve"> for PFS</w:t>
      </w:r>
      <w:r w:rsidR="001E2767" w:rsidRPr="008E7C4C">
        <w:rPr>
          <w:rFonts w:asciiTheme="minorHAnsi" w:hAnsiTheme="minorHAnsi"/>
          <w:snapToGrid w:val="0"/>
        </w:rPr>
        <w:t xml:space="preserve"> suggested </w:t>
      </w:r>
      <w:proofErr w:type="spellStart"/>
      <w:r w:rsidR="001E2767" w:rsidRPr="008E7C4C">
        <w:rPr>
          <w:rFonts w:asciiTheme="minorHAnsi" w:hAnsiTheme="minorHAnsi"/>
          <w:snapToGrid w:val="0"/>
        </w:rPr>
        <w:t>ILd</w:t>
      </w:r>
      <w:proofErr w:type="spellEnd"/>
      <w:r w:rsidR="001E2767" w:rsidRPr="008E7C4C">
        <w:rPr>
          <w:rFonts w:asciiTheme="minorHAnsi" w:hAnsiTheme="minorHAnsi"/>
          <w:snapToGrid w:val="0"/>
        </w:rPr>
        <w:t xml:space="preserve"> was more effective in</w:t>
      </w:r>
      <w:r w:rsidR="005B4B23" w:rsidRPr="008E7C4C">
        <w:rPr>
          <w:rFonts w:asciiTheme="minorHAnsi" w:hAnsiTheme="minorHAnsi"/>
          <w:snapToGrid w:val="0"/>
        </w:rPr>
        <w:t xml:space="preserve"> the subgroup of patients who had received 2-3 prior lines of </w:t>
      </w:r>
      <w:proofErr w:type="gramStart"/>
      <w:r w:rsidR="005B4B23" w:rsidRPr="008E7C4C">
        <w:rPr>
          <w:rFonts w:asciiTheme="minorHAnsi" w:hAnsiTheme="minorHAnsi"/>
          <w:snapToGrid w:val="0"/>
        </w:rPr>
        <w:t>therapy</w:t>
      </w:r>
      <w:r w:rsidRPr="008E7C4C">
        <w:rPr>
          <w:rFonts w:asciiTheme="minorHAnsi" w:hAnsiTheme="minorHAnsi"/>
          <w:snapToGrid w:val="0"/>
        </w:rPr>
        <w:t xml:space="preserve"> </w:t>
      </w:r>
      <w:r w:rsidR="00150793" w:rsidRPr="008E7C4C">
        <w:rPr>
          <w:rFonts w:asciiTheme="minorHAnsi" w:hAnsiTheme="minorHAnsi"/>
          <w:snapToGrid w:val="0"/>
        </w:rPr>
        <w:t xml:space="preserve"> </w:t>
      </w:r>
      <w:r w:rsidR="005B4B23" w:rsidRPr="008E7C4C">
        <w:rPr>
          <w:rFonts w:asciiTheme="minorHAnsi" w:hAnsiTheme="minorHAnsi"/>
          <w:snapToGrid w:val="0"/>
        </w:rPr>
        <w:t>(</w:t>
      </w:r>
      <w:proofErr w:type="gramEnd"/>
      <w:r w:rsidR="005B4B23" w:rsidRPr="008E7C4C">
        <w:rPr>
          <w:rFonts w:asciiTheme="minorHAnsi" w:hAnsiTheme="minorHAnsi"/>
          <w:snapToGrid w:val="0"/>
        </w:rPr>
        <w:t>HR = 0.58; 95% CI: 0.40, 0.84)</w:t>
      </w:r>
      <w:r w:rsidR="001111BC" w:rsidRPr="008E7C4C">
        <w:rPr>
          <w:rFonts w:asciiTheme="minorHAnsi" w:hAnsiTheme="minorHAnsi"/>
          <w:snapToGrid w:val="0"/>
        </w:rPr>
        <w:t xml:space="preserve"> </w:t>
      </w:r>
      <w:r w:rsidR="005E56F9" w:rsidRPr="008E7C4C">
        <w:rPr>
          <w:rFonts w:asciiTheme="minorHAnsi" w:hAnsiTheme="minorHAnsi"/>
          <w:snapToGrid w:val="0"/>
        </w:rPr>
        <w:t>compared with</w:t>
      </w:r>
      <w:r w:rsidR="001111BC" w:rsidRPr="008E7C4C">
        <w:rPr>
          <w:rFonts w:asciiTheme="minorHAnsi" w:hAnsiTheme="minorHAnsi"/>
          <w:snapToGrid w:val="0"/>
        </w:rPr>
        <w:t xml:space="preserve"> those who had received 1 prior line of therapy (HR</w:t>
      </w:r>
      <w:r w:rsidR="00FB0CD3" w:rsidRPr="008E7C4C">
        <w:rPr>
          <w:rFonts w:asciiTheme="minorHAnsi" w:hAnsiTheme="minorHAnsi"/>
          <w:snapToGrid w:val="0"/>
        </w:rPr>
        <w:t xml:space="preserve"> </w:t>
      </w:r>
      <w:r w:rsidR="001111BC" w:rsidRPr="008E7C4C">
        <w:rPr>
          <w:rFonts w:asciiTheme="minorHAnsi" w:hAnsiTheme="minorHAnsi"/>
          <w:snapToGrid w:val="0"/>
        </w:rPr>
        <w:t>=</w:t>
      </w:r>
      <w:r w:rsidR="00FB0CD3" w:rsidRPr="008E7C4C">
        <w:rPr>
          <w:rFonts w:asciiTheme="minorHAnsi" w:hAnsiTheme="minorHAnsi"/>
          <w:snapToGrid w:val="0"/>
        </w:rPr>
        <w:t xml:space="preserve"> </w:t>
      </w:r>
      <w:r w:rsidR="001111BC" w:rsidRPr="008E7C4C">
        <w:rPr>
          <w:rFonts w:asciiTheme="minorHAnsi" w:hAnsiTheme="minorHAnsi"/>
          <w:snapToGrid w:val="0"/>
        </w:rPr>
        <w:t>0.88; 95% CI: 0.65, 1.20)</w:t>
      </w:r>
      <w:r w:rsidR="00F92DC0" w:rsidRPr="008E7C4C">
        <w:rPr>
          <w:rFonts w:asciiTheme="minorHAnsi" w:hAnsiTheme="minorHAnsi"/>
          <w:snapToGrid w:val="0"/>
        </w:rPr>
        <w:t>. H</w:t>
      </w:r>
      <w:r w:rsidRPr="008E7C4C">
        <w:rPr>
          <w:rFonts w:asciiTheme="minorHAnsi" w:hAnsiTheme="minorHAnsi"/>
          <w:snapToGrid w:val="0"/>
        </w:rPr>
        <w:t>owever</w:t>
      </w:r>
      <w:r w:rsidR="00FB0CD3" w:rsidRPr="008E7C4C">
        <w:rPr>
          <w:rFonts w:asciiTheme="minorHAnsi" w:hAnsiTheme="minorHAnsi"/>
          <w:snapToGrid w:val="0"/>
        </w:rPr>
        <w:t>,</w:t>
      </w:r>
      <w:r w:rsidR="00F92DC0" w:rsidRPr="008E7C4C">
        <w:rPr>
          <w:rFonts w:asciiTheme="minorHAnsi" w:hAnsiTheme="minorHAnsi"/>
          <w:snapToGrid w:val="0"/>
        </w:rPr>
        <w:t xml:space="preserve"> the PBAC</w:t>
      </w:r>
      <w:r w:rsidRPr="008E7C4C">
        <w:rPr>
          <w:rFonts w:asciiTheme="minorHAnsi" w:hAnsiTheme="minorHAnsi"/>
          <w:snapToGrid w:val="0"/>
        </w:rPr>
        <w:t xml:space="preserve"> noted that a test for interaction</w:t>
      </w:r>
      <w:r w:rsidR="00587B76">
        <w:rPr>
          <w:rFonts w:asciiTheme="minorHAnsi" w:hAnsiTheme="minorHAnsi"/>
          <w:snapToGrid w:val="0"/>
        </w:rPr>
        <w:t xml:space="preserve"> was not presented in the resubmission</w:t>
      </w:r>
      <w:r w:rsidRPr="008E7C4C">
        <w:rPr>
          <w:rFonts w:asciiTheme="minorHAnsi" w:hAnsiTheme="minorHAnsi"/>
          <w:snapToGrid w:val="0"/>
        </w:rPr>
        <w:t xml:space="preserve"> and the biological plausibility of a larger relative effect in </w:t>
      </w:r>
      <w:r w:rsidR="005E56F9" w:rsidRPr="008E7C4C">
        <w:rPr>
          <w:rFonts w:asciiTheme="minorHAnsi" w:hAnsiTheme="minorHAnsi"/>
          <w:snapToGrid w:val="0"/>
        </w:rPr>
        <w:t>patients with more lines of prior treatment</w:t>
      </w:r>
      <w:r w:rsidRPr="008E7C4C">
        <w:rPr>
          <w:rFonts w:asciiTheme="minorHAnsi" w:hAnsiTheme="minorHAnsi"/>
          <w:snapToGrid w:val="0"/>
        </w:rPr>
        <w:t xml:space="preserve"> was not </w:t>
      </w:r>
      <w:r w:rsidR="001111BC" w:rsidRPr="008E7C4C">
        <w:rPr>
          <w:rFonts w:asciiTheme="minorHAnsi" w:hAnsiTheme="minorHAnsi"/>
          <w:snapToGrid w:val="0"/>
        </w:rPr>
        <w:t>addressed</w:t>
      </w:r>
      <w:r w:rsidR="00A55F7D" w:rsidRPr="008E7C4C">
        <w:rPr>
          <w:rFonts w:asciiTheme="minorHAnsi" w:hAnsiTheme="minorHAnsi"/>
          <w:snapToGrid w:val="0"/>
        </w:rPr>
        <w:t xml:space="preserve"> in the resubmission</w:t>
      </w:r>
      <w:r w:rsidR="001111BC" w:rsidRPr="008E7C4C">
        <w:rPr>
          <w:rFonts w:asciiTheme="minorHAnsi" w:hAnsiTheme="minorHAnsi"/>
          <w:snapToGrid w:val="0"/>
        </w:rPr>
        <w:t xml:space="preserve">. The PBAC noted the </w:t>
      </w:r>
      <w:r w:rsidR="00FB0CD3" w:rsidRPr="008E7C4C">
        <w:rPr>
          <w:rFonts w:asciiTheme="minorHAnsi" w:hAnsiTheme="minorHAnsi"/>
          <w:snapToGrid w:val="0"/>
        </w:rPr>
        <w:t>hazard ratio</w:t>
      </w:r>
      <w:r w:rsidR="001111BC" w:rsidRPr="008E7C4C">
        <w:rPr>
          <w:rFonts w:asciiTheme="minorHAnsi" w:hAnsiTheme="minorHAnsi"/>
          <w:snapToGrid w:val="0"/>
        </w:rPr>
        <w:t xml:space="preserve"> for OS was also more favourable for the </w:t>
      </w:r>
      <w:r w:rsidR="005E56F9" w:rsidRPr="008E7C4C">
        <w:rPr>
          <w:rFonts w:asciiTheme="minorHAnsi" w:hAnsiTheme="minorHAnsi"/>
          <w:snapToGrid w:val="0"/>
        </w:rPr>
        <w:t>patients with 2-3 prior lines of therapy</w:t>
      </w:r>
      <w:r w:rsidR="00150793" w:rsidRPr="008E7C4C">
        <w:rPr>
          <w:rFonts w:asciiTheme="minorHAnsi" w:hAnsiTheme="minorHAnsi"/>
          <w:snapToGrid w:val="0"/>
        </w:rPr>
        <w:t xml:space="preserve"> but </w:t>
      </w:r>
      <w:r w:rsidR="00217AD8" w:rsidRPr="008E7C4C">
        <w:rPr>
          <w:rFonts w:asciiTheme="minorHAnsi" w:hAnsiTheme="minorHAnsi"/>
          <w:snapToGrid w:val="0"/>
        </w:rPr>
        <w:t>it</w:t>
      </w:r>
      <w:r w:rsidR="001111BC" w:rsidRPr="008E7C4C">
        <w:rPr>
          <w:rFonts w:asciiTheme="minorHAnsi" w:hAnsiTheme="minorHAnsi"/>
          <w:snapToGrid w:val="0"/>
        </w:rPr>
        <w:t xml:space="preserve"> </w:t>
      </w:r>
      <w:r w:rsidR="00730E97" w:rsidRPr="008E7C4C">
        <w:rPr>
          <w:rFonts w:asciiTheme="minorHAnsi" w:hAnsiTheme="minorHAnsi"/>
          <w:snapToGrid w:val="0"/>
        </w:rPr>
        <w:t>did not demonstrate</w:t>
      </w:r>
      <w:r w:rsidR="001111BC" w:rsidRPr="008E7C4C">
        <w:rPr>
          <w:rFonts w:asciiTheme="minorHAnsi" w:hAnsiTheme="minorHAnsi"/>
          <w:snapToGrid w:val="0"/>
        </w:rPr>
        <w:t xml:space="preserve"> statistical significan</w:t>
      </w:r>
      <w:r w:rsidR="00730E97" w:rsidRPr="008E7C4C">
        <w:rPr>
          <w:rFonts w:asciiTheme="minorHAnsi" w:hAnsiTheme="minorHAnsi"/>
          <w:snapToGrid w:val="0"/>
        </w:rPr>
        <w:t>ce</w:t>
      </w:r>
      <w:r w:rsidR="00150793" w:rsidRPr="008E7C4C">
        <w:rPr>
          <w:rFonts w:asciiTheme="minorHAnsi" w:hAnsiTheme="minorHAnsi"/>
          <w:snapToGrid w:val="0"/>
        </w:rPr>
        <w:t xml:space="preserve"> (HR = 0</w:t>
      </w:r>
      <w:r w:rsidR="00B17FC5" w:rsidRPr="008E7C4C">
        <w:rPr>
          <w:rFonts w:asciiTheme="minorHAnsi" w:hAnsiTheme="minorHAnsi"/>
          <w:snapToGrid w:val="0"/>
        </w:rPr>
        <w:t>.</w:t>
      </w:r>
      <w:r w:rsidR="00150793" w:rsidRPr="008E7C4C">
        <w:rPr>
          <w:rFonts w:asciiTheme="minorHAnsi" w:hAnsiTheme="minorHAnsi"/>
          <w:snapToGrid w:val="0"/>
        </w:rPr>
        <w:t>85; 95% CI: 0.64, 1.11).</w:t>
      </w:r>
    </w:p>
    <w:p w14:paraId="79823F5B" w14:textId="050DCB43" w:rsidR="00150793" w:rsidRPr="008E7C4C" w:rsidRDefault="00150793" w:rsidP="00C97ADA">
      <w:pPr>
        <w:widowControl w:val="0"/>
        <w:numPr>
          <w:ilvl w:val="1"/>
          <w:numId w:val="1"/>
        </w:numPr>
        <w:spacing w:after="120"/>
        <w:rPr>
          <w:rFonts w:asciiTheme="minorHAnsi" w:hAnsiTheme="minorHAnsi"/>
          <w:snapToGrid w:val="0"/>
        </w:rPr>
      </w:pPr>
      <w:r w:rsidRPr="008E7C4C">
        <w:rPr>
          <w:rFonts w:asciiTheme="minorHAnsi" w:hAnsiTheme="minorHAnsi"/>
          <w:snapToGrid w:val="0"/>
        </w:rPr>
        <w:t>The PBAC noted that the resubmission presented OS results for the subgroup of pat</w:t>
      </w:r>
      <w:r w:rsidR="00C53EE4" w:rsidRPr="008E7C4C">
        <w:rPr>
          <w:rFonts w:asciiTheme="minorHAnsi" w:hAnsiTheme="minorHAnsi"/>
          <w:snapToGrid w:val="0"/>
        </w:rPr>
        <w:t>ie</w:t>
      </w:r>
      <w:r w:rsidRPr="008E7C4C">
        <w:rPr>
          <w:rFonts w:asciiTheme="minorHAnsi" w:hAnsiTheme="minorHAnsi"/>
          <w:snapToGrid w:val="0"/>
        </w:rPr>
        <w:t xml:space="preserve">nts who had received 2-3 prior lines of therapy adjusted for </w:t>
      </w:r>
      <w:r w:rsidR="00257A88" w:rsidRPr="008E7C4C">
        <w:rPr>
          <w:rFonts w:asciiTheme="minorHAnsi" w:hAnsiTheme="minorHAnsi"/>
          <w:snapToGrid w:val="0"/>
        </w:rPr>
        <w:t>subsequent treatments received</w:t>
      </w:r>
      <w:r w:rsidRPr="008E7C4C">
        <w:rPr>
          <w:rFonts w:asciiTheme="minorHAnsi" w:hAnsiTheme="minorHAnsi"/>
          <w:snapToGrid w:val="0"/>
        </w:rPr>
        <w:t xml:space="preserve">. </w:t>
      </w:r>
      <w:r w:rsidR="0074032E" w:rsidRPr="008E7C4C">
        <w:rPr>
          <w:rFonts w:asciiTheme="minorHAnsi" w:hAnsiTheme="minorHAnsi"/>
          <w:snapToGrid w:val="0"/>
        </w:rPr>
        <w:t xml:space="preserve">The PBAC noted that the resubmission applied a two-stage method with </w:t>
      </w:r>
      <w:proofErr w:type="spellStart"/>
      <w:r w:rsidR="0074032E" w:rsidRPr="008E7C4C">
        <w:rPr>
          <w:rFonts w:asciiTheme="minorHAnsi" w:hAnsiTheme="minorHAnsi"/>
          <w:snapToGrid w:val="0"/>
        </w:rPr>
        <w:t>recensoring</w:t>
      </w:r>
      <w:proofErr w:type="spellEnd"/>
      <w:r w:rsidR="009E1C1C" w:rsidRPr="008E7C4C">
        <w:rPr>
          <w:rFonts w:asciiTheme="minorHAnsi" w:hAnsiTheme="minorHAnsi"/>
          <w:snapToGrid w:val="0"/>
        </w:rPr>
        <w:t xml:space="preserve"> </w:t>
      </w:r>
      <w:r w:rsidR="00257A88" w:rsidRPr="008E7C4C">
        <w:rPr>
          <w:rFonts w:asciiTheme="minorHAnsi" w:hAnsiTheme="minorHAnsi"/>
          <w:snapToGrid w:val="0"/>
        </w:rPr>
        <w:t>to</w:t>
      </w:r>
      <w:r w:rsidR="0074032E" w:rsidRPr="008E7C4C">
        <w:rPr>
          <w:rFonts w:asciiTheme="minorHAnsi" w:hAnsiTheme="minorHAnsi"/>
          <w:snapToGrid w:val="0"/>
        </w:rPr>
        <w:t xml:space="preserve"> </w:t>
      </w:r>
      <w:r w:rsidR="004F5239" w:rsidRPr="008E7C4C">
        <w:rPr>
          <w:rFonts w:asciiTheme="minorHAnsi" w:hAnsiTheme="minorHAnsi"/>
          <w:snapToGrid w:val="0"/>
        </w:rPr>
        <w:t>adjust the OS results for subsequent treatments which were defined as not available in Australia</w:t>
      </w:r>
      <w:r w:rsidR="0074032E" w:rsidRPr="008E7C4C">
        <w:rPr>
          <w:rFonts w:asciiTheme="minorHAnsi" w:hAnsiTheme="minorHAnsi"/>
          <w:snapToGrid w:val="0"/>
        </w:rPr>
        <w:t xml:space="preserve">. </w:t>
      </w:r>
      <w:r w:rsidR="00257A88" w:rsidRPr="008E7C4C">
        <w:rPr>
          <w:rFonts w:asciiTheme="minorHAnsi" w:hAnsiTheme="minorHAnsi"/>
          <w:snapToGrid w:val="0"/>
        </w:rPr>
        <w:t>However,</w:t>
      </w:r>
      <w:r w:rsidR="0074032E" w:rsidRPr="008E7C4C">
        <w:rPr>
          <w:rFonts w:asciiTheme="minorHAnsi" w:hAnsiTheme="minorHAnsi"/>
          <w:snapToGrid w:val="0"/>
        </w:rPr>
        <w:t xml:space="preserve"> </w:t>
      </w:r>
      <w:r w:rsidR="0084763D" w:rsidRPr="008E7C4C">
        <w:rPr>
          <w:rFonts w:asciiTheme="minorHAnsi" w:hAnsiTheme="minorHAnsi"/>
          <w:snapToGrid w:val="0"/>
        </w:rPr>
        <w:t>many of the subsequent therapies were in</w:t>
      </w:r>
      <w:r w:rsidR="004F5239" w:rsidRPr="008E7C4C">
        <w:rPr>
          <w:rFonts w:asciiTheme="minorHAnsi" w:hAnsiTheme="minorHAnsi"/>
          <w:snapToGrid w:val="0"/>
        </w:rPr>
        <w:t>correctly specified</w:t>
      </w:r>
      <w:r w:rsidR="0084763D" w:rsidRPr="008E7C4C">
        <w:rPr>
          <w:rFonts w:asciiTheme="minorHAnsi" w:hAnsiTheme="minorHAnsi"/>
          <w:snapToGrid w:val="0"/>
        </w:rPr>
        <w:t xml:space="preserve"> as not being available in Australia</w:t>
      </w:r>
      <w:r w:rsidR="004F5239" w:rsidRPr="008E7C4C">
        <w:rPr>
          <w:rFonts w:asciiTheme="minorHAnsi" w:hAnsiTheme="minorHAnsi"/>
          <w:snapToGrid w:val="0"/>
        </w:rPr>
        <w:t xml:space="preserve"> </w:t>
      </w:r>
      <w:r w:rsidR="00257A88" w:rsidRPr="008E7C4C">
        <w:rPr>
          <w:rFonts w:asciiTheme="minorHAnsi" w:hAnsiTheme="minorHAnsi"/>
          <w:snapToGrid w:val="0"/>
        </w:rPr>
        <w:t>and thus</w:t>
      </w:r>
      <w:r w:rsidR="009E1C1C" w:rsidRPr="008E7C4C">
        <w:rPr>
          <w:rFonts w:asciiTheme="minorHAnsi" w:hAnsiTheme="minorHAnsi"/>
          <w:snapToGrid w:val="0"/>
        </w:rPr>
        <w:t>,</w:t>
      </w:r>
      <w:r w:rsidR="00257A88" w:rsidRPr="008E7C4C">
        <w:rPr>
          <w:rFonts w:asciiTheme="minorHAnsi" w:hAnsiTheme="minorHAnsi"/>
          <w:snapToGrid w:val="0"/>
        </w:rPr>
        <w:t xml:space="preserve"> the adjustment</w:t>
      </w:r>
      <w:r w:rsidR="00FB22C6" w:rsidRPr="008E7C4C">
        <w:rPr>
          <w:rFonts w:asciiTheme="minorHAnsi" w:hAnsiTheme="minorHAnsi"/>
          <w:snapToGrid w:val="0"/>
        </w:rPr>
        <w:t xml:space="preserve"> was inappropriate</w:t>
      </w:r>
      <w:r w:rsidR="009E1C1C" w:rsidRPr="008E7C4C">
        <w:rPr>
          <w:rFonts w:asciiTheme="minorHAnsi" w:hAnsiTheme="minorHAnsi"/>
          <w:snapToGrid w:val="0"/>
        </w:rPr>
        <w:t>ly</w:t>
      </w:r>
      <w:r w:rsidR="00257A88" w:rsidRPr="008E7C4C">
        <w:rPr>
          <w:rFonts w:asciiTheme="minorHAnsi" w:hAnsiTheme="minorHAnsi"/>
          <w:snapToGrid w:val="0"/>
        </w:rPr>
        <w:t xml:space="preserve"> applied</w:t>
      </w:r>
      <w:r w:rsidR="00FB22C6" w:rsidRPr="008E7C4C">
        <w:rPr>
          <w:rFonts w:asciiTheme="minorHAnsi" w:hAnsiTheme="minorHAnsi"/>
          <w:snapToGrid w:val="0"/>
        </w:rPr>
        <w:t xml:space="preserve"> and most likely </w:t>
      </w:r>
      <w:r w:rsidR="0084763D" w:rsidRPr="008E7C4C">
        <w:rPr>
          <w:rFonts w:asciiTheme="minorHAnsi" w:hAnsiTheme="minorHAnsi"/>
          <w:snapToGrid w:val="0"/>
        </w:rPr>
        <w:t>overest</w:t>
      </w:r>
      <w:r w:rsidR="00257A88" w:rsidRPr="008E7C4C">
        <w:rPr>
          <w:rFonts w:asciiTheme="minorHAnsi" w:hAnsiTheme="minorHAnsi"/>
          <w:snapToGrid w:val="0"/>
        </w:rPr>
        <w:t>imat</w:t>
      </w:r>
      <w:r w:rsidR="00FB22C6" w:rsidRPr="008E7C4C">
        <w:rPr>
          <w:rFonts w:asciiTheme="minorHAnsi" w:hAnsiTheme="minorHAnsi"/>
          <w:snapToGrid w:val="0"/>
        </w:rPr>
        <w:t>ed</w:t>
      </w:r>
      <w:r w:rsidR="0084763D" w:rsidRPr="008E7C4C">
        <w:rPr>
          <w:rFonts w:asciiTheme="minorHAnsi" w:hAnsiTheme="minorHAnsi"/>
          <w:snapToGrid w:val="0"/>
        </w:rPr>
        <w:t xml:space="preserve"> the survival benefit</w:t>
      </w:r>
      <w:r w:rsidR="0074032E" w:rsidRPr="008E7C4C">
        <w:rPr>
          <w:rFonts w:asciiTheme="minorHAnsi" w:hAnsiTheme="minorHAnsi"/>
          <w:snapToGrid w:val="0"/>
        </w:rPr>
        <w:t xml:space="preserve"> (HR = 0.71; 95% CI: 0.54, 0.95</w:t>
      </w:r>
      <w:r w:rsidR="0084763D" w:rsidRPr="008E7C4C">
        <w:rPr>
          <w:rFonts w:asciiTheme="minorHAnsi" w:hAnsiTheme="minorHAnsi"/>
          <w:snapToGrid w:val="0"/>
        </w:rPr>
        <w:t>)</w:t>
      </w:r>
      <w:r w:rsidR="0074032E" w:rsidRPr="008E7C4C">
        <w:rPr>
          <w:rFonts w:asciiTheme="minorHAnsi" w:hAnsiTheme="minorHAnsi"/>
          <w:snapToGrid w:val="0"/>
        </w:rPr>
        <w:t>.</w:t>
      </w:r>
    </w:p>
    <w:p w14:paraId="35766F3B" w14:textId="6B45B7EC" w:rsidR="0084763D" w:rsidRPr="008E7C4C" w:rsidRDefault="0084763D" w:rsidP="00C97ADA">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Overall, in terms of efficacy, the PBAC considered that the claim </w:t>
      </w:r>
      <w:r w:rsidR="00993556" w:rsidRPr="008E7C4C">
        <w:rPr>
          <w:rFonts w:asciiTheme="minorHAnsi" w:hAnsiTheme="minorHAnsi"/>
          <w:snapToGrid w:val="0"/>
        </w:rPr>
        <w:t xml:space="preserve">that </w:t>
      </w:r>
      <w:proofErr w:type="spellStart"/>
      <w:r w:rsidR="00993556" w:rsidRPr="008E7C4C">
        <w:rPr>
          <w:rFonts w:asciiTheme="minorHAnsi" w:hAnsiTheme="minorHAnsi"/>
          <w:snapToGrid w:val="0"/>
        </w:rPr>
        <w:t>ILd</w:t>
      </w:r>
      <w:proofErr w:type="spellEnd"/>
      <w:r w:rsidR="00993556" w:rsidRPr="008E7C4C">
        <w:rPr>
          <w:rFonts w:asciiTheme="minorHAnsi" w:hAnsiTheme="minorHAnsi"/>
          <w:snapToGrid w:val="0"/>
        </w:rPr>
        <w:t xml:space="preserve"> was</w:t>
      </w:r>
      <w:r w:rsidRPr="008E7C4C">
        <w:rPr>
          <w:rFonts w:asciiTheme="minorHAnsi" w:hAnsiTheme="minorHAnsi"/>
          <w:snapToGrid w:val="0"/>
        </w:rPr>
        <w:t xml:space="preserve"> superior </w:t>
      </w:r>
      <w:r w:rsidR="00993556" w:rsidRPr="008E7C4C">
        <w:rPr>
          <w:rFonts w:asciiTheme="minorHAnsi" w:hAnsiTheme="minorHAnsi"/>
          <w:snapToGrid w:val="0"/>
        </w:rPr>
        <w:t>to</w:t>
      </w:r>
      <w:r w:rsidRPr="008E7C4C">
        <w:rPr>
          <w:rFonts w:asciiTheme="minorHAnsi" w:hAnsiTheme="minorHAnsi"/>
          <w:snapToGrid w:val="0"/>
        </w:rPr>
        <w:t xml:space="preserve">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was </w:t>
      </w:r>
      <w:r w:rsidR="00AA4C97" w:rsidRPr="008E7C4C">
        <w:rPr>
          <w:rFonts w:asciiTheme="minorHAnsi" w:hAnsiTheme="minorHAnsi"/>
          <w:snapToGrid w:val="0"/>
        </w:rPr>
        <w:t>not supported</w:t>
      </w:r>
      <w:r w:rsidRPr="008E7C4C">
        <w:rPr>
          <w:rFonts w:asciiTheme="minorHAnsi" w:hAnsiTheme="minorHAnsi"/>
          <w:snapToGrid w:val="0"/>
        </w:rPr>
        <w:t xml:space="preserve">. The PBAC noted that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resulted in a statistically significant improvement in PFS for </w:t>
      </w:r>
      <w:r w:rsidR="006B253D" w:rsidRPr="008E7C4C">
        <w:rPr>
          <w:rFonts w:asciiTheme="minorHAnsi" w:hAnsiTheme="minorHAnsi"/>
          <w:snapToGrid w:val="0"/>
        </w:rPr>
        <w:t xml:space="preserve">the ITT population and for </w:t>
      </w:r>
      <w:r w:rsidRPr="008E7C4C">
        <w:rPr>
          <w:rFonts w:asciiTheme="minorHAnsi" w:hAnsiTheme="minorHAnsi"/>
          <w:snapToGrid w:val="0"/>
        </w:rPr>
        <w:t xml:space="preserve">patients who had received 2-3 prior lines of therapy, but that the </w:t>
      </w:r>
      <w:r w:rsidR="006B253D" w:rsidRPr="008E7C4C">
        <w:rPr>
          <w:rFonts w:asciiTheme="minorHAnsi" w:hAnsiTheme="minorHAnsi"/>
          <w:snapToGrid w:val="0"/>
        </w:rPr>
        <w:t xml:space="preserve">ITT and subgroup </w:t>
      </w:r>
      <w:r w:rsidRPr="008E7C4C">
        <w:rPr>
          <w:rFonts w:asciiTheme="minorHAnsi" w:hAnsiTheme="minorHAnsi"/>
          <w:snapToGrid w:val="0"/>
        </w:rPr>
        <w:t xml:space="preserve">unadjusted OS results were not statistically </w:t>
      </w:r>
      <w:proofErr w:type="gramStart"/>
      <w:r w:rsidRPr="008E7C4C">
        <w:rPr>
          <w:rFonts w:asciiTheme="minorHAnsi" w:hAnsiTheme="minorHAnsi"/>
          <w:snapToGrid w:val="0"/>
        </w:rPr>
        <w:t>significant</w:t>
      </w:r>
      <w:proofErr w:type="gramEnd"/>
      <w:r w:rsidRPr="008E7C4C">
        <w:rPr>
          <w:rFonts w:asciiTheme="minorHAnsi" w:hAnsiTheme="minorHAnsi"/>
          <w:snapToGrid w:val="0"/>
        </w:rPr>
        <w:t xml:space="preserve"> and the adjustment of the OS data</w:t>
      </w:r>
      <w:r w:rsidR="006B253D" w:rsidRPr="008E7C4C">
        <w:rPr>
          <w:rFonts w:asciiTheme="minorHAnsi" w:hAnsiTheme="minorHAnsi"/>
          <w:snapToGrid w:val="0"/>
        </w:rPr>
        <w:t xml:space="preserve"> as presented</w:t>
      </w:r>
      <w:r w:rsidRPr="008E7C4C">
        <w:rPr>
          <w:rFonts w:asciiTheme="minorHAnsi" w:hAnsiTheme="minorHAnsi"/>
          <w:snapToGrid w:val="0"/>
        </w:rPr>
        <w:t xml:space="preserve"> </w:t>
      </w:r>
      <w:r w:rsidR="00FB22C6" w:rsidRPr="008E7C4C">
        <w:rPr>
          <w:rFonts w:asciiTheme="minorHAnsi" w:hAnsiTheme="minorHAnsi"/>
          <w:snapToGrid w:val="0"/>
        </w:rPr>
        <w:t xml:space="preserve">was </w:t>
      </w:r>
      <w:r w:rsidRPr="008E7C4C">
        <w:rPr>
          <w:rFonts w:asciiTheme="minorHAnsi" w:hAnsiTheme="minorHAnsi"/>
          <w:snapToGrid w:val="0"/>
        </w:rPr>
        <w:t>not appropriate.</w:t>
      </w:r>
    </w:p>
    <w:p w14:paraId="082D1019" w14:textId="4EFC7005" w:rsidR="0074032E" w:rsidRPr="008E7C4C" w:rsidRDefault="00C53EE4" w:rsidP="00C97ADA">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The PBAC noted that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was associated with similar rates of any adverse event</w:t>
      </w:r>
      <w:r w:rsidR="00BF29D2" w:rsidRPr="008E7C4C">
        <w:rPr>
          <w:rFonts w:asciiTheme="minorHAnsi" w:hAnsiTheme="minorHAnsi"/>
          <w:snapToGrid w:val="0"/>
        </w:rPr>
        <w:t>,</w:t>
      </w:r>
      <w:r w:rsidRPr="008E7C4C">
        <w:rPr>
          <w:rFonts w:asciiTheme="minorHAnsi" w:hAnsiTheme="minorHAnsi"/>
          <w:snapToGrid w:val="0"/>
        </w:rPr>
        <w:t xml:space="preserve"> serious adverse events</w:t>
      </w:r>
      <w:r w:rsidR="00993556" w:rsidRPr="008E7C4C">
        <w:rPr>
          <w:rFonts w:asciiTheme="minorHAnsi" w:hAnsiTheme="minorHAnsi"/>
          <w:snapToGrid w:val="0"/>
        </w:rPr>
        <w:t xml:space="preserve"> and </w:t>
      </w:r>
      <w:r w:rsidR="00BF29D2" w:rsidRPr="008E7C4C">
        <w:rPr>
          <w:rFonts w:asciiTheme="minorHAnsi" w:hAnsiTheme="minorHAnsi"/>
          <w:snapToGrid w:val="0"/>
        </w:rPr>
        <w:t xml:space="preserve">adverse events resulting in discontinuation from the trial </w:t>
      </w:r>
      <w:r w:rsidRPr="008E7C4C">
        <w:rPr>
          <w:rFonts w:asciiTheme="minorHAnsi" w:hAnsiTheme="minorHAnsi"/>
          <w:snapToGrid w:val="0"/>
        </w:rPr>
        <w:t>a</w:t>
      </w:r>
      <w:r w:rsidR="004B1747" w:rsidRPr="008E7C4C">
        <w:rPr>
          <w:rFonts w:asciiTheme="minorHAnsi" w:hAnsiTheme="minorHAnsi"/>
          <w:snapToGrid w:val="0"/>
        </w:rPr>
        <w:t>s</w:t>
      </w:r>
      <w:r w:rsidRPr="008E7C4C">
        <w:rPr>
          <w:rFonts w:asciiTheme="minorHAnsi" w:hAnsiTheme="minorHAnsi"/>
          <w:snapToGrid w:val="0"/>
        </w:rPr>
        <w:t xml:space="preserve"> Ld</w:t>
      </w:r>
      <w:r w:rsidR="00BF29D2" w:rsidRPr="008E7C4C">
        <w:rPr>
          <w:rFonts w:asciiTheme="minorHAnsi" w:hAnsiTheme="minorHAnsi"/>
          <w:snapToGrid w:val="0"/>
        </w:rPr>
        <w:t xml:space="preserve">. The PBAC did note that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result</w:t>
      </w:r>
      <w:r w:rsidR="00BF29D2" w:rsidRPr="008E7C4C">
        <w:rPr>
          <w:rFonts w:asciiTheme="minorHAnsi" w:hAnsiTheme="minorHAnsi"/>
          <w:snapToGrid w:val="0"/>
        </w:rPr>
        <w:t>ed</w:t>
      </w:r>
      <w:r w:rsidRPr="008E7C4C">
        <w:rPr>
          <w:rFonts w:asciiTheme="minorHAnsi" w:hAnsiTheme="minorHAnsi"/>
          <w:snapToGrid w:val="0"/>
        </w:rPr>
        <w:t xml:space="preserve"> in a higher incidence of Grade </w:t>
      </w:r>
      <w:r w:rsidRPr="008E7C4C">
        <w:rPr>
          <w:rFonts w:asciiTheme="minorHAnsi" w:hAnsiTheme="minorHAnsi" w:cstheme="minorHAnsi"/>
          <w:snapToGrid w:val="0"/>
        </w:rPr>
        <w:t>≥</w:t>
      </w:r>
      <w:r w:rsidRPr="008E7C4C">
        <w:rPr>
          <w:rFonts w:asciiTheme="minorHAnsi" w:hAnsiTheme="minorHAnsi"/>
          <w:snapToGrid w:val="0"/>
        </w:rPr>
        <w:t xml:space="preserve"> 3 adverse events, including thrombocytopenia, </w:t>
      </w:r>
      <w:proofErr w:type="gramStart"/>
      <w:r w:rsidRPr="008E7C4C">
        <w:rPr>
          <w:rFonts w:asciiTheme="minorHAnsi" w:hAnsiTheme="minorHAnsi"/>
          <w:snapToGrid w:val="0"/>
        </w:rPr>
        <w:t>diarrhoea</w:t>
      </w:r>
      <w:proofErr w:type="gramEnd"/>
      <w:r w:rsidRPr="008E7C4C">
        <w:rPr>
          <w:rFonts w:asciiTheme="minorHAnsi" w:hAnsiTheme="minorHAnsi"/>
          <w:snapToGrid w:val="0"/>
        </w:rPr>
        <w:t xml:space="preserve"> and hypokalaemia</w:t>
      </w:r>
      <w:r w:rsidR="00D8352A" w:rsidRPr="008E7C4C">
        <w:rPr>
          <w:rFonts w:asciiTheme="minorHAnsi" w:hAnsiTheme="minorHAnsi"/>
          <w:snapToGrid w:val="0"/>
        </w:rPr>
        <w:t>;</w:t>
      </w:r>
      <w:r w:rsidR="006B253D" w:rsidRPr="008E7C4C">
        <w:rPr>
          <w:rFonts w:asciiTheme="minorHAnsi" w:hAnsiTheme="minorHAnsi"/>
          <w:snapToGrid w:val="0"/>
        </w:rPr>
        <w:t xml:space="preserve"> however</w:t>
      </w:r>
      <w:r w:rsidR="00D8352A" w:rsidRPr="008E7C4C">
        <w:rPr>
          <w:rFonts w:asciiTheme="minorHAnsi" w:hAnsiTheme="minorHAnsi"/>
          <w:snapToGrid w:val="0"/>
        </w:rPr>
        <w:t>,</w:t>
      </w:r>
      <w:r w:rsidR="006B253D" w:rsidRPr="008E7C4C">
        <w:rPr>
          <w:rFonts w:asciiTheme="minorHAnsi" w:hAnsiTheme="minorHAnsi"/>
          <w:snapToGrid w:val="0"/>
        </w:rPr>
        <w:t xml:space="preserve"> considered these were generally manageable</w:t>
      </w:r>
      <w:r w:rsidRPr="008E7C4C">
        <w:rPr>
          <w:rFonts w:asciiTheme="minorHAnsi" w:hAnsiTheme="minorHAnsi"/>
          <w:snapToGrid w:val="0"/>
        </w:rPr>
        <w:t xml:space="preserve">. </w:t>
      </w:r>
      <w:r w:rsidR="004B1747" w:rsidRPr="008E7C4C">
        <w:rPr>
          <w:rFonts w:asciiTheme="minorHAnsi" w:hAnsiTheme="minorHAnsi"/>
          <w:snapToGrid w:val="0"/>
        </w:rPr>
        <w:t>Overall, the PBAC considered th</w:t>
      </w:r>
      <w:r w:rsidR="00220BDA" w:rsidRPr="008E7C4C">
        <w:rPr>
          <w:rFonts w:asciiTheme="minorHAnsi" w:hAnsiTheme="minorHAnsi"/>
          <w:snapToGrid w:val="0"/>
        </w:rPr>
        <w:t xml:space="preserve">at </w:t>
      </w:r>
      <w:r w:rsidR="00BF29D2" w:rsidRPr="008E7C4C">
        <w:rPr>
          <w:rFonts w:asciiTheme="minorHAnsi" w:hAnsiTheme="minorHAnsi"/>
          <w:snapToGrid w:val="0"/>
        </w:rPr>
        <w:t xml:space="preserve">the safety of </w:t>
      </w:r>
      <w:proofErr w:type="spellStart"/>
      <w:r w:rsidR="00BF29D2" w:rsidRPr="008E7C4C">
        <w:rPr>
          <w:rFonts w:asciiTheme="minorHAnsi" w:hAnsiTheme="minorHAnsi"/>
          <w:snapToGrid w:val="0"/>
        </w:rPr>
        <w:t>ILd</w:t>
      </w:r>
      <w:proofErr w:type="spellEnd"/>
      <w:r w:rsidR="00BF29D2" w:rsidRPr="008E7C4C">
        <w:rPr>
          <w:rFonts w:asciiTheme="minorHAnsi" w:hAnsiTheme="minorHAnsi"/>
          <w:snapToGrid w:val="0"/>
        </w:rPr>
        <w:t xml:space="preserve"> was </w:t>
      </w:r>
      <w:proofErr w:type="gramStart"/>
      <w:r w:rsidR="00BF29D2" w:rsidRPr="008E7C4C">
        <w:rPr>
          <w:rFonts w:asciiTheme="minorHAnsi" w:hAnsiTheme="minorHAnsi"/>
          <w:snapToGrid w:val="0"/>
        </w:rPr>
        <w:t>similar to</w:t>
      </w:r>
      <w:proofErr w:type="gramEnd"/>
      <w:r w:rsidR="00BF29D2" w:rsidRPr="008E7C4C">
        <w:rPr>
          <w:rFonts w:asciiTheme="minorHAnsi" w:hAnsiTheme="minorHAnsi"/>
          <w:snapToGrid w:val="0"/>
        </w:rPr>
        <w:t xml:space="preserve"> that of </w:t>
      </w:r>
      <w:r w:rsidR="004B1747" w:rsidRPr="008E7C4C">
        <w:rPr>
          <w:rFonts w:asciiTheme="minorHAnsi" w:hAnsiTheme="minorHAnsi"/>
          <w:snapToGrid w:val="0"/>
        </w:rPr>
        <w:t>Ld.</w:t>
      </w:r>
    </w:p>
    <w:p w14:paraId="2FDAF23B" w14:textId="211905FB" w:rsidR="00EF1006" w:rsidRPr="008E7C4C" w:rsidRDefault="00AE41BD" w:rsidP="00C97ADA">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The PBAC noted that the resubmission presented a cost utility analysis </w:t>
      </w:r>
      <w:r w:rsidR="00763DFF" w:rsidRPr="008E7C4C">
        <w:rPr>
          <w:rFonts w:asciiTheme="minorHAnsi" w:hAnsiTheme="minorHAnsi"/>
          <w:snapToGrid w:val="0"/>
        </w:rPr>
        <w:t xml:space="preserve">comparing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and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based on the </w:t>
      </w:r>
      <w:r w:rsidR="00763DFF" w:rsidRPr="008E7C4C">
        <w:rPr>
          <w:rFonts w:asciiTheme="minorHAnsi" w:hAnsiTheme="minorHAnsi"/>
          <w:snapToGrid w:val="0"/>
        </w:rPr>
        <w:t xml:space="preserve">results from TMM-1 for the </w:t>
      </w:r>
      <w:r w:rsidRPr="008E7C4C">
        <w:rPr>
          <w:rFonts w:asciiTheme="minorHAnsi" w:hAnsiTheme="minorHAnsi"/>
          <w:snapToGrid w:val="0"/>
        </w:rPr>
        <w:t>2-3 prior lines of therapy subgroup</w:t>
      </w:r>
      <w:r w:rsidR="00264513" w:rsidRPr="008E7C4C">
        <w:rPr>
          <w:rFonts w:asciiTheme="minorHAnsi" w:hAnsiTheme="minorHAnsi"/>
          <w:snapToGrid w:val="0"/>
        </w:rPr>
        <w:t xml:space="preserve"> and </w:t>
      </w:r>
      <w:r w:rsidR="00763DFF" w:rsidRPr="008E7C4C">
        <w:rPr>
          <w:rFonts w:asciiTheme="minorHAnsi" w:hAnsiTheme="minorHAnsi"/>
          <w:snapToGrid w:val="0"/>
        </w:rPr>
        <w:t>the</w:t>
      </w:r>
      <w:r w:rsidR="00264513" w:rsidRPr="008E7C4C">
        <w:rPr>
          <w:rFonts w:asciiTheme="minorHAnsi" w:hAnsiTheme="minorHAnsi"/>
          <w:snapToGrid w:val="0"/>
        </w:rPr>
        <w:t xml:space="preserve"> </w:t>
      </w:r>
      <w:r w:rsidR="001702B4" w:rsidRPr="008E7C4C">
        <w:rPr>
          <w:rFonts w:asciiTheme="minorHAnsi" w:hAnsiTheme="minorHAnsi"/>
          <w:snapToGrid w:val="0"/>
        </w:rPr>
        <w:t xml:space="preserve">incremental cost effectiveness ratio (ICER) </w:t>
      </w:r>
      <w:r w:rsidR="00763DFF" w:rsidRPr="008E7C4C">
        <w:rPr>
          <w:rFonts w:asciiTheme="minorHAnsi" w:hAnsiTheme="minorHAnsi"/>
          <w:snapToGrid w:val="0"/>
        </w:rPr>
        <w:t xml:space="preserve">was </w:t>
      </w:r>
      <w:r w:rsidR="00264513" w:rsidRPr="008E7C4C">
        <w:rPr>
          <w:rFonts w:asciiTheme="minorHAnsi" w:hAnsiTheme="minorHAnsi"/>
          <w:snapToGrid w:val="0"/>
        </w:rPr>
        <w:t>$</w:t>
      </w:r>
      <w:r w:rsidR="00050735">
        <w:rPr>
          <w:rFonts w:asciiTheme="minorHAnsi" w:hAnsiTheme="minorHAnsi"/>
          <w:snapToGrid w:val="0"/>
        </w:rPr>
        <w:t>75,000 to &lt; $95,000</w:t>
      </w:r>
      <w:r w:rsidR="00264513" w:rsidRPr="008E7C4C">
        <w:rPr>
          <w:rFonts w:asciiTheme="minorHAnsi" w:hAnsiTheme="minorHAnsi"/>
          <w:snapToGrid w:val="0"/>
        </w:rPr>
        <w:t xml:space="preserve"> per quality adjusted life year (QALY). </w:t>
      </w:r>
      <w:r w:rsidR="00BC1927" w:rsidRPr="008E7C4C">
        <w:rPr>
          <w:rFonts w:asciiTheme="minorHAnsi" w:hAnsiTheme="minorHAnsi"/>
          <w:snapToGrid w:val="0"/>
          <w:color w:val="000000" w:themeColor="text1"/>
        </w:rPr>
        <w:t xml:space="preserve">The PBAC noted </w:t>
      </w:r>
      <w:r w:rsidR="00993556" w:rsidRPr="008E7C4C">
        <w:rPr>
          <w:rFonts w:asciiTheme="minorHAnsi" w:hAnsiTheme="minorHAnsi"/>
          <w:snapToGrid w:val="0"/>
          <w:color w:val="000000" w:themeColor="text1"/>
        </w:rPr>
        <w:t xml:space="preserve">the </w:t>
      </w:r>
      <w:r w:rsidR="00BC1927" w:rsidRPr="008E7C4C">
        <w:rPr>
          <w:rFonts w:asciiTheme="minorHAnsi" w:hAnsiTheme="minorHAnsi"/>
          <w:snapToGrid w:val="0"/>
          <w:color w:val="000000" w:themeColor="text1"/>
        </w:rPr>
        <w:t xml:space="preserve">use of subgroup data increased </w:t>
      </w:r>
      <w:r w:rsidR="00993556" w:rsidRPr="008E7C4C">
        <w:rPr>
          <w:rFonts w:asciiTheme="minorHAnsi" w:hAnsiTheme="minorHAnsi"/>
          <w:snapToGrid w:val="0"/>
          <w:color w:val="000000" w:themeColor="text1"/>
        </w:rPr>
        <w:t xml:space="preserve">the </w:t>
      </w:r>
      <w:r w:rsidR="00BC1927" w:rsidRPr="008E7C4C">
        <w:rPr>
          <w:rFonts w:asciiTheme="minorHAnsi" w:hAnsiTheme="minorHAnsi"/>
          <w:snapToGrid w:val="0"/>
          <w:color w:val="000000" w:themeColor="text1"/>
        </w:rPr>
        <w:t xml:space="preserve">uncertainty compared with a model based on the ITT population. </w:t>
      </w:r>
      <w:r w:rsidR="00EF1006" w:rsidRPr="008E7C4C">
        <w:rPr>
          <w:rFonts w:asciiTheme="minorHAnsi" w:hAnsiTheme="minorHAnsi"/>
          <w:snapToGrid w:val="0"/>
        </w:rPr>
        <w:t>The PBAC noted the following issues with the base case economic model:</w:t>
      </w:r>
    </w:p>
    <w:p w14:paraId="6CEDDF56" w14:textId="4C9A5AB7" w:rsidR="00EF1006" w:rsidRPr="008E7C4C" w:rsidRDefault="00EF1006" w:rsidP="000C347C">
      <w:pPr>
        <w:widowControl w:val="0"/>
        <w:numPr>
          <w:ilvl w:val="1"/>
          <w:numId w:val="23"/>
        </w:numPr>
        <w:spacing w:after="120"/>
        <w:ind w:left="1077" w:hanging="357"/>
        <w:rPr>
          <w:rFonts w:asciiTheme="minorHAnsi" w:hAnsiTheme="minorHAnsi"/>
          <w:snapToGrid w:val="0"/>
        </w:rPr>
      </w:pPr>
      <w:r w:rsidRPr="008E7C4C">
        <w:rPr>
          <w:rFonts w:asciiTheme="minorHAnsi" w:hAnsiTheme="minorHAnsi"/>
          <w:snapToGrid w:val="0"/>
        </w:rPr>
        <w:t>The time horizon applied was 20 years. The PBAC recalled that it had previously accepted a time horizon of 15 years in the second-line MM setting when considering daratumumab and therefore considered that 20 years was too long for a listing in the third and later line settings. The PBAC noted that the time horizon was reduced to 15 years in the PSCR and pre-PBAC respecified base cases.</w:t>
      </w:r>
    </w:p>
    <w:p w14:paraId="07176B03" w14:textId="18E8497C" w:rsidR="00EF1006" w:rsidRPr="008E7C4C" w:rsidRDefault="00EF1006" w:rsidP="000C347C">
      <w:pPr>
        <w:widowControl w:val="0"/>
        <w:numPr>
          <w:ilvl w:val="1"/>
          <w:numId w:val="23"/>
        </w:numPr>
        <w:spacing w:after="120"/>
        <w:ind w:left="1077" w:hanging="357"/>
        <w:rPr>
          <w:rFonts w:asciiTheme="minorHAnsi" w:hAnsiTheme="minorHAnsi"/>
          <w:snapToGrid w:val="0"/>
        </w:rPr>
      </w:pPr>
      <w:r w:rsidRPr="008E7C4C">
        <w:rPr>
          <w:rFonts w:asciiTheme="minorHAnsi" w:hAnsiTheme="minorHAnsi"/>
          <w:snapToGrid w:val="0"/>
        </w:rPr>
        <w:t xml:space="preserve">The model applied the adjusted OS hazard ratio. The PBAC noted that the unadjusted hazard ratio was applied in </w:t>
      </w:r>
      <w:r w:rsidR="000C347C" w:rsidRPr="008E7C4C">
        <w:rPr>
          <w:rFonts w:asciiTheme="minorHAnsi" w:hAnsiTheme="minorHAnsi"/>
          <w:snapToGrid w:val="0"/>
        </w:rPr>
        <w:t xml:space="preserve">the </w:t>
      </w:r>
      <w:r w:rsidRPr="008E7C4C">
        <w:rPr>
          <w:rFonts w:asciiTheme="minorHAnsi" w:hAnsiTheme="minorHAnsi"/>
          <w:snapToGrid w:val="0"/>
        </w:rPr>
        <w:t>respecified base cases.</w:t>
      </w:r>
    </w:p>
    <w:p w14:paraId="2AE645B2" w14:textId="5859EEDE" w:rsidR="00EF1006" w:rsidRPr="008E7C4C" w:rsidRDefault="00EF1006" w:rsidP="000C347C">
      <w:pPr>
        <w:widowControl w:val="0"/>
        <w:numPr>
          <w:ilvl w:val="1"/>
          <w:numId w:val="23"/>
        </w:numPr>
        <w:spacing w:after="120"/>
        <w:ind w:left="1077" w:hanging="357"/>
        <w:rPr>
          <w:rFonts w:asciiTheme="minorHAnsi" w:hAnsiTheme="minorHAnsi"/>
          <w:snapToGrid w:val="0"/>
        </w:rPr>
      </w:pPr>
      <w:r w:rsidRPr="008E7C4C">
        <w:rPr>
          <w:rFonts w:asciiTheme="minorHAnsi" w:hAnsiTheme="minorHAnsi"/>
          <w:snapToGrid w:val="0"/>
        </w:rPr>
        <w:t xml:space="preserve">For OS, the </w:t>
      </w:r>
      <w:r w:rsidR="00430C56" w:rsidRPr="008E7C4C">
        <w:rPr>
          <w:rFonts w:asciiTheme="minorHAnsi" w:hAnsiTheme="minorHAnsi"/>
          <w:snapToGrid w:val="0"/>
        </w:rPr>
        <w:t>fitted function</w:t>
      </w:r>
      <w:r w:rsidRPr="008E7C4C">
        <w:rPr>
          <w:rFonts w:asciiTheme="minorHAnsi" w:hAnsiTheme="minorHAnsi"/>
          <w:snapToGrid w:val="0"/>
        </w:rPr>
        <w:t xml:space="preserve"> was used for the entire time horizon</w:t>
      </w:r>
      <w:r w:rsidR="00430C56" w:rsidRPr="008E7C4C">
        <w:rPr>
          <w:rFonts w:asciiTheme="minorHAnsi" w:hAnsiTheme="minorHAnsi"/>
          <w:snapToGrid w:val="0"/>
        </w:rPr>
        <w:t xml:space="preserve"> rather than </w:t>
      </w:r>
      <w:proofErr w:type="gramStart"/>
      <w:r w:rsidR="00430C56" w:rsidRPr="008E7C4C">
        <w:rPr>
          <w:rFonts w:asciiTheme="minorHAnsi" w:hAnsiTheme="minorHAnsi"/>
          <w:snapToGrid w:val="0"/>
        </w:rPr>
        <w:t>us</w:t>
      </w:r>
      <w:r w:rsidR="00993556" w:rsidRPr="008E7C4C">
        <w:rPr>
          <w:rFonts w:asciiTheme="minorHAnsi" w:hAnsiTheme="minorHAnsi"/>
          <w:snapToGrid w:val="0"/>
        </w:rPr>
        <w:t>ing</w:t>
      </w:r>
      <w:r w:rsidR="00430C56" w:rsidRPr="008E7C4C">
        <w:rPr>
          <w:rFonts w:asciiTheme="minorHAnsi" w:hAnsiTheme="minorHAnsi"/>
          <w:snapToGrid w:val="0"/>
        </w:rPr>
        <w:t xml:space="preserve">  the</w:t>
      </w:r>
      <w:proofErr w:type="gramEnd"/>
      <w:r w:rsidR="00430C56" w:rsidRPr="008E7C4C">
        <w:rPr>
          <w:rFonts w:asciiTheme="minorHAnsi" w:hAnsiTheme="minorHAnsi"/>
          <w:snapToGrid w:val="0"/>
        </w:rPr>
        <w:t xml:space="preserve"> observed Kaplan Meier data followed by extrapolation with the fitted function</w:t>
      </w:r>
      <w:r w:rsidRPr="008E7C4C">
        <w:rPr>
          <w:rFonts w:asciiTheme="minorHAnsi" w:hAnsiTheme="minorHAnsi"/>
          <w:snapToGrid w:val="0"/>
        </w:rPr>
        <w:t xml:space="preserve">. The PSCR presented a respecified base case in which the generalised gamma distribution was applied </w:t>
      </w:r>
      <w:r w:rsidR="000C347C" w:rsidRPr="008E7C4C">
        <w:rPr>
          <w:rFonts w:asciiTheme="minorHAnsi" w:hAnsiTheme="minorHAnsi"/>
          <w:snapToGrid w:val="0"/>
        </w:rPr>
        <w:t>t</w:t>
      </w:r>
      <w:r w:rsidR="00763DFF" w:rsidRPr="008E7C4C">
        <w:rPr>
          <w:rFonts w:asciiTheme="minorHAnsi" w:hAnsiTheme="minorHAnsi"/>
          <w:snapToGrid w:val="0"/>
        </w:rPr>
        <w:t>o</w:t>
      </w:r>
      <w:r w:rsidR="000C347C" w:rsidRPr="008E7C4C">
        <w:rPr>
          <w:rFonts w:asciiTheme="minorHAnsi" w:hAnsiTheme="minorHAnsi"/>
          <w:snapToGrid w:val="0"/>
        </w:rPr>
        <w:t xml:space="preserve"> the </w:t>
      </w:r>
      <w:r w:rsidRPr="008E7C4C">
        <w:rPr>
          <w:rFonts w:asciiTheme="minorHAnsi" w:hAnsiTheme="minorHAnsi"/>
          <w:snapToGrid w:val="0"/>
        </w:rPr>
        <w:t>OS Kaplan Meier curves from 50 m</w:t>
      </w:r>
      <w:r w:rsidR="000C347C" w:rsidRPr="008E7C4C">
        <w:rPr>
          <w:rFonts w:asciiTheme="minorHAnsi" w:hAnsiTheme="minorHAnsi"/>
          <w:snapToGrid w:val="0"/>
        </w:rPr>
        <w:t xml:space="preserve">onths, despite median survival in the 2-3 prior therapy subgroup being 53 months and median follow up being 85 months. The PBAC noted the ESC considered that the application of the curve from 50 months favoured </w:t>
      </w:r>
      <w:proofErr w:type="spellStart"/>
      <w:r w:rsidR="000C347C" w:rsidRPr="008E7C4C">
        <w:rPr>
          <w:rFonts w:asciiTheme="minorHAnsi" w:hAnsiTheme="minorHAnsi"/>
          <w:snapToGrid w:val="0"/>
        </w:rPr>
        <w:t>ILd</w:t>
      </w:r>
      <w:proofErr w:type="spellEnd"/>
      <w:r w:rsidR="000C347C" w:rsidRPr="008E7C4C">
        <w:rPr>
          <w:rFonts w:asciiTheme="minorHAnsi" w:hAnsiTheme="minorHAnsi"/>
          <w:snapToGrid w:val="0"/>
        </w:rPr>
        <w:t xml:space="preserve"> and noted that the revised base case in the pre-PBAC response appl</w:t>
      </w:r>
      <w:r w:rsidR="00430C56" w:rsidRPr="008E7C4C">
        <w:rPr>
          <w:rFonts w:asciiTheme="minorHAnsi" w:hAnsiTheme="minorHAnsi"/>
          <w:snapToGrid w:val="0"/>
        </w:rPr>
        <w:t>i</w:t>
      </w:r>
      <w:r w:rsidR="000C347C" w:rsidRPr="008E7C4C">
        <w:rPr>
          <w:rFonts w:asciiTheme="minorHAnsi" w:hAnsiTheme="minorHAnsi"/>
          <w:snapToGrid w:val="0"/>
        </w:rPr>
        <w:t>ed extrapolation from 53 months.</w:t>
      </w:r>
    </w:p>
    <w:p w14:paraId="7B758F04" w14:textId="0D2D9E3B" w:rsidR="000C347C" w:rsidRPr="008E7C4C" w:rsidRDefault="000C347C" w:rsidP="000C347C">
      <w:pPr>
        <w:widowControl w:val="0"/>
        <w:numPr>
          <w:ilvl w:val="1"/>
          <w:numId w:val="23"/>
        </w:numPr>
        <w:spacing w:after="120"/>
        <w:ind w:left="1077" w:hanging="357"/>
        <w:rPr>
          <w:rFonts w:asciiTheme="minorHAnsi" w:hAnsiTheme="minorHAnsi"/>
          <w:snapToGrid w:val="0"/>
        </w:rPr>
      </w:pPr>
      <w:r w:rsidRPr="008E7C4C">
        <w:rPr>
          <w:rFonts w:asciiTheme="minorHAnsi" w:hAnsiTheme="minorHAnsi"/>
          <w:snapToGrid w:val="0"/>
        </w:rPr>
        <w:t xml:space="preserve">The generalised gamma distribution was applied to the OS curves. The PBAC noted that the ESC considered that the </w:t>
      </w:r>
      <w:proofErr w:type="spellStart"/>
      <w:r w:rsidRPr="008E7C4C">
        <w:rPr>
          <w:rFonts w:asciiTheme="minorHAnsi" w:hAnsiTheme="minorHAnsi"/>
          <w:snapToGrid w:val="0"/>
        </w:rPr>
        <w:t>Gompertz</w:t>
      </w:r>
      <w:proofErr w:type="spellEnd"/>
      <w:r w:rsidRPr="008E7C4C">
        <w:rPr>
          <w:rFonts w:asciiTheme="minorHAnsi" w:hAnsiTheme="minorHAnsi"/>
          <w:snapToGrid w:val="0"/>
        </w:rPr>
        <w:t xml:space="preserve"> distribution, which predicted no patients alive after 15 years</w:t>
      </w:r>
      <w:r w:rsidR="00993556" w:rsidRPr="008E7C4C">
        <w:rPr>
          <w:rFonts w:asciiTheme="minorHAnsi" w:hAnsiTheme="minorHAnsi"/>
          <w:snapToGrid w:val="0"/>
        </w:rPr>
        <w:t>,</w:t>
      </w:r>
      <w:r w:rsidRPr="008E7C4C">
        <w:rPr>
          <w:rFonts w:asciiTheme="minorHAnsi" w:hAnsiTheme="minorHAnsi"/>
          <w:snapToGrid w:val="0"/>
        </w:rPr>
        <w:t xml:space="preserve"> was the more clinically plausible option.</w:t>
      </w:r>
    </w:p>
    <w:p w14:paraId="469A1314" w14:textId="5004951E" w:rsidR="000C347C" w:rsidRPr="008E7C4C" w:rsidRDefault="000C347C" w:rsidP="000C347C">
      <w:pPr>
        <w:widowControl w:val="0"/>
        <w:numPr>
          <w:ilvl w:val="1"/>
          <w:numId w:val="23"/>
        </w:numPr>
        <w:spacing w:after="120"/>
        <w:ind w:left="1077" w:hanging="357"/>
        <w:rPr>
          <w:rFonts w:asciiTheme="minorHAnsi" w:hAnsiTheme="minorHAnsi"/>
          <w:snapToGrid w:val="0"/>
        </w:rPr>
      </w:pPr>
      <w:r w:rsidRPr="008E7C4C">
        <w:rPr>
          <w:rFonts w:asciiTheme="minorHAnsi" w:hAnsiTheme="minorHAnsi"/>
          <w:snapToGrid w:val="0"/>
        </w:rPr>
        <w:t>The unnecessary extrapolation of the time on treatment (</w:t>
      </w:r>
      <w:proofErr w:type="spellStart"/>
      <w:r w:rsidRPr="008E7C4C">
        <w:rPr>
          <w:rFonts w:asciiTheme="minorHAnsi" w:hAnsiTheme="minorHAnsi"/>
          <w:snapToGrid w:val="0"/>
        </w:rPr>
        <w:t>ToT</w:t>
      </w:r>
      <w:proofErr w:type="spellEnd"/>
      <w:r w:rsidRPr="008E7C4C">
        <w:rPr>
          <w:rFonts w:asciiTheme="minorHAnsi" w:hAnsiTheme="minorHAnsi"/>
          <w:snapToGrid w:val="0"/>
        </w:rPr>
        <w:t xml:space="preserve">) curves may have added additional uncertainty to the results. The PBAC noted that the extrapolation of the </w:t>
      </w:r>
      <w:proofErr w:type="spellStart"/>
      <w:r w:rsidRPr="008E7C4C">
        <w:rPr>
          <w:rFonts w:asciiTheme="minorHAnsi" w:hAnsiTheme="minorHAnsi"/>
          <w:snapToGrid w:val="0"/>
        </w:rPr>
        <w:t>ToT</w:t>
      </w:r>
      <w:proofErr w:type="spellEnd"/>
      <w:r w:rsidRPr="008E7C4C">
        <w:rPr>
          <w:rFonts w:asciiTheme="minorHAnsi" w:hAnsiTheme="minorHAnsi"/>
          <w:snapToGrid w:val="0"/>
        </w:rPr>
        <w:t xml:space="preserve"> curves was removed from the respecified base case presented in the pre-PBAC response</w:t>
      </w:r>
      <w:r w:rsidR="00993556" w:rsidRPr="008E7C4C">
        <w:rPr>
          <w:rFonts w:asciiTheme="minorHAnsi" w:hAnsiTheme="minorHAnsi"/>
          <w:snapToGrid w:val="0"/>
        </w:rPr>
        <w:t xml:space="preserve"> </w:t>
      </w:r>
      <w:r w:rsidR="005C273F" w:rsidRPr="008E7C4C">
        <w:rPr>
          <w:rFonts w:asciiTheme="minorHAnsi" w:hAnsiTheme="minorHAnsi"/>
          <w:snapToGrid w:val="0"/>
        </w:rPr>
        <w:t>consistent with advice from ESC</w:t>
      </w:r>
      <w:r w:rsidRPr="008E7C4C">
        <w:rPr>
          <w:rFonts w:asciiTheme="minorHAnsi" w:hAnsiTheme="minorHAnsi"/>
          <w:snapToGrid w:val="0"/>
        </w:rPr>
        <w:t>.</w:t>
      </w:r>
    </w:p>
    <w:p w14:paraId="681A73E6" w14:textId="27270519" w:rsidR="00667C19" w:rsidRPr="008E7C4C" w:rsidRDefault="00220BDA" w:rsidP="00EB1AEB">
      <w:pPr>
        <w:numPr>
          <w:ilvl w:val="1"/>
          <w:numId w:val="1"/>
        </w:numPr>
        <w:spacing w:after="120"/>
        <w:rPr>
          <w:rFonts w:asciiTheme="minorHAnsi" w:hAnsiTheme="minorHAnsi"/>
          <w:snapToGrid w:val="0"/>
        </w:rPr>
      </w:pPr>
      <w:r w:rsidRPr="008E7C4C">
        <w:rPr>
          <w:rFonts w:asciiTheme="minorHAnsi" w:hAnsiTheme="minorHAnsi"/>
          <w:snapToGrid w:val="0"/>
        </w:rPr>
        <w:t xml:space="preserve">The PBAC noted that a respecified base case was presented in the pre-PBAC response which applied a 15 year time horizon, did not extrapolate the </w:t>
      </w:r>
      <w:proofErr w:type="spellStart"/>
      <w:r w:rsidRPr="008E7C4C">
        <w:rPr>
          <w:rFonts w:asciiTheme="minorHAnsi" w:hAnsiTheme="minorHAnsi"/>
          <w:snapToGrid w:val="0"/>
        </w:rPr>
        <w:t>ToT</w:t>
      </w:r>
      <w:proofErr w:type="spellEnd"/>
      <w:r w:rsidRPr="008E7C4C">
        <w:rPr>
          <w:rFonts w:asciiTheme="minorHAnsi" w:hAnsiTheme="minorHAnsi"/>
          <w:snapToGrid w:val="0"/>
        </w:rPr>
        <w:t xml:space="preserve"> curves, </w:t>
      </w:r>
      <w:r w:rsidR="00D64E13" w:rsidRPr="008E7C4C">
        <w:rPr>
          <w:rFonts w:asciiTheme="minorHAnsi" w:hAnsiTheme="minorHAnsi"/>
          <w:snapToGrid w:val="0"/>
        </w:rPr>
        <w:t xml:space="preserve">applied the unadjusted OS hazard ratio and </w:t>
      </w:r>
      <w:r w:rsidRPr="008E7C4C">
        <w:rPr>
          <w:rFonts w:asciiTheme="minorHAnsi" w:hAnsiTheme="minorHAnsi"/>
          <w:snapToGrid w:val="0"/>
        </w:rPr>
        <w:t>extrapolated the OS Kaplan Meier curves</w:t>
      </w:r>
      <w:r w:rsidR="00D64E13" w:rsidRPr="008E7C4C">
        <w:rPr>
          <w:rFonts w:asciiTheme="minorHAnsi" w:hAnsiTheme="minorHAnsi"/>
          <w:snapToGrid w:val="0"/>
        </w:rPr>
        <w:t xml:space="preserve"> </w:t>
      </w:r>
      <w:r w:rsidRPr="008E7C4C">
        <w:rPr>
          <w:rFonts w:asciiTheme="minorHAnsi" w:hAnsiTheme="minorHAnsi"/>
          <w:snapToGrid w:val="0"/>
        </w:rPr>
        <w:t xml:space="preserve">from 53 months follow-up </w:t>
      </w:r>
      <w:r w:rsidR="00D64E13" w:rsidRPr="008E7C4C">
        <w:rPr>
          <w:rFonts w:asciiTheme="minorHAnsi" w:hAnsiTheme="minorHAnsi"/>
          <w:snapToGrid w:val="0"/>
        </w:rPr>
        <w:t xml:space="preserve">using a generalised gamma </w:t>
      </w:r>
      <w:proofErr w:type="gramStart"/>
      <w:r w:rsidR="00D64E13" w:rsidRPr="008E7C4C">
        <w:rPr>
          <w:rFonts w:asciiTheme="minorHAnsi" w:hAnsiTheme="minorHAnsi"/>
          <w:snapToGrid w:val="0"/>
        </w:rPr>
        <w:t xml:space="preserve">distribution </w:t>
      </w:r>
      <w:r w:rsidRPr="008E7C4C">
        <w:rPr>
          <w:rFonts w:asciiTheme="minorHAnsi" w:hAnsiTheme="minorHAnsi"/>
          <w:snapToGrid w:val="0"/>
        </w:rPr>
        <w:t>.</w:t>
      </w:r>
      <w:proofErr w:type="gramEnd"/>
      <w:r w:rsidRPr="008E7C4C">
        <w:rPr>
          <w:rFonts w:asciiTheme="minorHAnsi" w:hAnsiTheme="minorHAnsi"/>
          <w:snapToGrid w:val="0"/>
        </w:rPr>
        <w:t xml:space="preserve"> The PBAC noted that </w:t>
      </w:r>
      <w:r w:rsidR="0054302C" w:rsidRPr="008E7C4C">
        <w:rPr>
          <w:rFonts w:asciiTheme="minorHAnsi" w:hAnsiTheme="minorHAnsi"/>
          <w:snapToGrid w:val="0"/>
        </w:rPr>
        <w:t xml:space="preserve">this differed from the ESC multivariate analysis in </w:t>
      </w:r>
      <w:r w:rsidR="00D64E13" w:rsidRPr="008E7C4C">
        <w:rPr>
          <w:rFonts w:asciiTheme="minorHAnsi" w:hAnsiTheme="minorHAnsi"/>
          <w:snapToGrid w:val="0"/>
        </w:rPr>
        <w:t xml:space="preserve">which the OS curves were extrapolated from 60 months using a </w:t>
      </w:r>
      <w:proofErr w:type="spellStart"/>
      <w:r w:rsidR="00D8352A" w:rsidRPr="008E7C4C">
        <w:rPr>
          <w:rFonts w:asciiTheme="minorHAnsi" w:hAnsiTheme="minorHAnsi"/>
          <w:snapToGrid w:val="0"/>
        </w:rPr>
        <w:t>G</w:t>
      </w:r>
      <w:r w:rsidR="00D64E13" w:rsidRPr="008E7C4C">
        <w:rPr>
          <w:rFonts w:asciiTheme="minorHAnsi" w:hAnsiTheme="minorHAnsi"/>
          <w:snapToGrid w:val="0"/>
        </w:rPr>
        <w:t>ompertz</w:t>
      </w:r>
      <w:proofErr w:type="spellEnd"/>
      <w:r w:rsidR="00D64E13" w:rsidRPr="008E7C4C">
        <w:rPr>
          <w:rFonts w:asciiTheme="minorHAnsi" w:hAnsiTheme="minorHAnsi"/>
          <w:snapToGrid w:val="0"/>
        </w:rPr>
        <w:t xml:space="preserve"> distribution.</w:t>
      </w:r>
      <w:r w:rsidR="0054302C" w:rsidRPr="008E7C4C">
        <w:rPr>
          <w:rFonts w:asciiTheme="minorHAnsi" w:hAnsiTheme="minorHAnsi"/>
          <w:snapToGrid w:val="0"/>
        </w:rPr>
        <w:t xml:space="preserve"> </w:t>
      </w:r>
      <w:r w:rsidR="00D64E13" w:rsidRPr="008E7C4C">
        <w:rPr>
          <w:rFonts w:asciiTheme="minorHAnsi" w:hAnsiTheme="minorHAnsi"/>
          <w:snapToGrid w:val="0"/>
        </w:rPr>
        <w:t>The pre</w:t>
      </w:r>
      <w:r w:rsidR="00D8352A" w:rsidRPr="008E7C4C">
        <w:rPr>
          <w:rFonts w:asciiTheme="minorHAnsi" w:hAnsiTheme="minorHAnsi"/>
          <w:snapToGrid w:val="0"/>
        </w:rPr>
        <w:t>-</w:t>
      </w:r>
      <w:r w:rsidR="00D64E13" w:rsidRPr="008E7C4C">
        <w:rPr>
          <w:rFonts w:asciiTheme="minorHAnsi" w:hAnsiTheme="minorHAnsi"/>
          <w:snapToGrid w:val="0"/>
        </w:rPr>
        <w:t>PBAC</w:t>
      </w:r>
      <w:r w:rsidR="00D8352A" w:rsidRPr="008E7C4C">
        <w:rPr>
          <w:rFonts w:asciiTheme="minorHAnsi" w:hAnsiTheme="minorHAnsi"/>
          <w:snapToGrid w:val="0"/>
        </w:rPr>
        <w:t xml:space="preserve"> response</w:t>
      </w:r>
      <w:r w:rsidR="00D64E13" w:rsidRPr="008E7C4C">
        <w:rPr>
          <w:rFonts w:asciiTheme="minorHAnsi" w:hAnsiTheme="minorHAnsi"/>
          <w:snapToGrid w:val="0"/>
        </w:rPr>
        <w:t xml:space="preserve"> stated that </w:t>
      </w:r>
      <w:r w:rsidRPr="008E7C4C">
        <w:rPr>
          <w:rFonts w:asciiTheme="minorHAnsi" w:hAnsiTheme="minorHAnsi"/>
          <w:snapToGrid w:val="0"/>
        </w:rPr>
        <w:t xml:space="preserve">the </w:t>
      </w:r>
      <w:r w:rsidR="00D8352A" w:rsidRPr="008E7C4C">
        <w:rPr>
          <w:rFonts w:asciiTheme="minorHAnsi" w:hAnsiTheme="minorHAnsi"/>
          <w:snapToGrid w:val="0"/>
        </w:rPr>
        <w:t xml:space="preserve">generalised gamma </w:t>
      </w:r>
      <w:r w:rsidRPr="008E7C4C">
        <w:rPr>
          <w:rFonts w:asciiTheme="minorHAnsi" w:hAnsiTheme="minorHAnsi"/>
          <w:snapToGrid w:val="0"/>
        </w:rPr>
        <w:t xml:space="preserve">distribution </w:t>
      </w:r>
      <w:r w:rsidR="00D64E13" w:rsidRPr="008E7C4C">
        <w:rPr>
          <w:rFonts w:asciiTheme="minorHAnsi" w:hAnsiTheme="minorHAnsi"/>
          <w:snapToGrid w:val="0"/>
        </w:rPr>
        <w:t>was reasonable as</w:t>
      </w:r>
      <w:r w:rsidRPr="008E7C4C">
        <w:rPr>
          <w:rFonts w:asciiTheme="minorHAnsi" w:hAnsiTheme="minorHAnsi"/>
          <w:snapToGrid w:val="0"/>
        </w:rPr>
        <w:t xml:space="preserve"> it was not implausible that a small propo</w:t>
      </w:r>
      <w:r w:rsidR="00B17FC5" w:rsidRPr="008E7C4C">
        <w:rPr>
          <w:rFonts w:asciiTheme="minorHAnsi" w:hAnsiTheme="minorHAnsi"/>
          <w:snapToGrid w:val="0"/>
        </w:rPr>
        <w:t>r</w:t>
      </w:r>
      <w:r w:rsidRPr="008E7C4C">
        <w:rPr>
          <w:rFonts w:asciiTheme="minorHAnsi" w:hAnsiTheme="minorHAnsi"/>
          <w:snapToGrid w:val="0"/>
        </w:rPr>
        <w:t>tion of patients would remain alive after 15 years</w:t>
      </w:r>
      <w:r w:rsidR="00BF29D2" w:rsidRPr="008E7C4C">
        <w:rPr>
          <w:rFonts w:asciiTheme="minorHAnsi" w:hAnsiTheme="minorHAnsi"/>
          <w:snapToGrid w:val="0"/>
        </w:rPr>
        <w:t xml:space="preserve">. The respecified base case </w:t>
      </w:r>
      <w:r w:rsidR="00D64E13" w:rsidRPr="008E7C4C">
        <w:rPr>
          <w:rFonts w:asciiTheme="minorHAnsi" w:hAnsiTheme="minorHAnsi"/>
          <w:snapToGrid w:val="0"/>
        </w:rPr>
        <w:t>in the pre</w:t>
      </w:r>
      <w:r w:rsidR="00D8352A" w:rsidRPr="008E7C4C">
        <w:rPr>
          <w:rFonts w:asciiTheme="minorHAnsi" w:hAnsiTheme="minorHAnsi"/>
          <w:snapToGrid w:val="0"/>
        </w:rPr>
        <w:t>-</w:t>
      </w:r>
      <w:r w:rsidR="00D64E13" w:rsidRPr="008E7C4C">
        <w:rPr>
          <w:rFonts w:asciiTheme="minorHAnsi" w:hAnsiTheme="minorHAnsi"/>
          <w:snapToGrid w:val="0"/>
        </w:rPr>
        <w:t xml:space="preserve">PBAC response </w:t>
      </w:r>
      <w:r w:rsidR="00BF29D2" w:rsidRPr="008E7C4C">
        <w:rPr>
          <w:rFonts w:asciiTheme="minorHAnsi" w:hAnsiTheme="minorHAnsi"/>
          <w:snapToGrid w:val="0"/>
        </w:rPr>
        <w:t>resulted in an ICER of $</w:t>
      </w:r>
      <w:r w:rsidR="00050735">
        <w:rPr>
          <w:rFonts w:asciiTheme="minorHAnsi" w:hAnsiTheme="minorHAnsi"/>
          <w:snapToGrid w:val="0"/>
        </w:rPr>
        <w:t>115,000 to &lt; $135,000</w:t>
      </w:r>
      <w:r w:rsidR="00BF29D2" w:rsidRPr="008E7C4C">
        <w:rPr>
          <w:rFonts w:asciiTheme="minorHAnsi" w:hAnsiTheme="minorHAnsi"/>
          <w:snapToGrid w:val="0"/>
        </w:rPr>
        <w:t xml:space="preserve"> per QALY</w:t>
      </w:r>
      <w:r w:rsidR="00340557" w:rsidRPr="008E7C4C">
        <w:rPr>
          <w:rFonts w:asciiTheme="minorHAnsi" w:hAnsiTheme="minorHAnsi"/>
          <w:snapToGrid w:val="0"/>
        </w:rPr>
        <w:t xml:space="preserve"> based on the published lenalidomide price</w:t>
      </w:r>
      <w:r w:rsidR="00BF29D2" w:rsidRPr="008E7C4C">
        <w:rPr>
          <w:rFonts w:asciiTheme="minorHAnsi" w:hAnsiTheme="minorHAnsi"/>
          <w:snapToGrid w:val="0"/>
        </w:rPr>
        <w:t>.</w:t>
      </w:r>
      <w:r w:rsidR="00D64E13" w:rsidRPr="008E7C4C">
        <w:rPr>
          <w:rFonts w:asciiTheme="minorHAnsi" w:hAnsiTheme="minorHAnsi"/>
          <w:snapToGrid w:val="0"/>
        </w:rPr>
        <w:t xml:space="preserve"> The ICER for the ESC multivariate sensitivity analysis was $</w:t>
      </w:r>
      <w:r w:rsidR="00050735">
        <w:rPr>
          <w:rFonts w:asciiTheme="minorHAnsi" w:hAnsiTheme="minorHAnsi"/>
          <w:snapToGrid w:val="0"/>
        </w:rPr>
        <w:t>135,000 to &lt; $155,000</w:t>
      </w:r>
      <w:r w:rsidR="00D64E13" w:rsidRPr="008E7C4C">
        <w:rPr>
          <w:rFonts w:asciiTheme="minorHAnsi" w:hAnsiTheme="minorHAnsi"/>
          <w:snapToGrid w:val="0"/>
        </w:rPr>
        <w:t xml:space="preserve"> per QALY.</w:t>
      </w:r>
      <w:r w:rsidR="00E5641F" w:rsidRPr="008E7C4C">
        <w:rPr>
          <w:rFonts w:asciiTheme="minorHAnsi" w:hAnsiTheme="minorHAnsi"/>
          <w:snapToGrid w:val="0"/>
        </w:rPr>
        <w:t xml:space="preserve"> </w:t>
      </w:r>
      <w:r w:rsidR="00E04832" w:rsidRPr="008E7C4C">
        <w:rPr>
          <w:rFonts w:asciiTheme="minorHAnsi" w:hAnsiTheme="minorHAnsi"/>
          <w:snapToGrid w:val="0"/>
        </w:rPr>
        <w:t xml:space="preserve">The PBAC considered that </w:t>
      </w:r>
      <w:r w:rsidR="00867702" w:rsidRPr="008E7C4C">
        <w:rPr>
          <w:rFonts w:asciiTheme="minorHAnsi" w:hAnsiTheme="minorHAnsi"/>
          <w:snapToGrid w:val="0"/>
        </w:rPr>
        <w:t>these</w:t>
      </w:r>
      <w:r w:rsidR="00E04832" w:rsidRPr="008E7C4C">
        <w:rPr>
          <w:rFonts w:asciiTheme="minorHAnsi" w:hAnsiTheme="minorHAnsi"/>
          <w:snapToGrid w:val="0"/>
        </w:rPr>
        <w:t xml:space="preserve"> ICER</w:t>
      </w:r>
      <w:r w:rsidR="00867702" w:rsidRPr="008E7C4C">
        <w:rPr>
          <w:rFonts w:asciiTheme="minorHAnsi" w:hAnsiTheme="minorHAnsi"/>
          <w:snapToGrid w:val="0"/>
        </w:rPr>
        <w:t>s were</w:t>
      </w:r>
      <w:r w:rsidR="00E04832" w:rsidRPr="008E7C4C">
        <w:rPr>
          <w:rFonts w:asciiTheme="minorHAnsi" w:hAnsiTheme="minorHAnsi"/>
          <w:snapToGrid w:val="0"/>
        </w:rPr>
        <w:t xml:space="preserve"> unacceptably high</w:t>
      </w:r>
      <w:r w:rsidR="00667C19" w:rsidRPr="008E7C4C">
        <w:rPr>
          <w:rFonts w:asciiTheme="minorHAnsi" w:hAnsiTheme="minorHAnsi"/>
          <w:snapToGrid w:val="0"/>
        </w:rPr>
        <w:t>, and this conclusion was unchanged when the effective lenalidomide price was applied in the economic model</w:t>
      </w:r>
      <w:r w:rsidR="00C97ADA" w:rsidRPr="008E7C4C">
        <w:rPr>
          <w:rFonts w:asciiTheme="minorHAnsi" w:hAnsiTheme="minorHAnsi"/>
          <w:snapToGrid w:val="0"/>
        </w:rPr>
        <w:t xml:space="preserve">. </w:t>
      </w:r>
    </w:p>
    <w:p w14:paraId="1F9182BD" w14:textId="47DB6B9D" w:rsidR="00C56525" w:rsidRPr="008E7C4C" w:rsidRDefault="00C97ADA" w:rsidP="00C56525">
      <w:pPr>
        <w:widowControl w:val="0"/>
        <w:numPr>
          <w:ilvl w:val="1"/>
          <w:numId w:val="1"/>
        </w:numPr>
        <w:spacing w:after="120"/>
        <w:rPr>
          <w:rFonts w:asciiTheme="minorHAnsi" w:hAnsiTheme="minorHAnsi"/>
          <w:snapToGrid w:val="0"/>
        </w:rPr>
      </w:pPr>
      <w:r w:rsidRPr="008E7C4C">
        <w:rPr>
          <w:rFonts w:asciiTheme="minorHAnsi" w:hAnsiTheme="minorHAnsi"/>
          <w:snapToGrid w:val="0"/>
        </w:rPr>
        <w:t xml:space="preserve">The PBAC considered that the financial estimates were underestimated as the resubmission </w:t>
      </w:r>
      <w:r w:rsidR="00D8352A" w:rsidRPr="008E7C4C">
        <w:rPr>
          <w:rFonts w:asciiTheme="minorHAnsi" w:hAnsiTheme="minorHAnsi"/>
          <w:snapToGrid w:val="0"/>
        </w:rPr>
        <w:t>(</w:t>
      </w:r>
      <w:proofErr w:type="spellStart"/>
      <w:r w:rsidR="00D8352A" w:rsidRPr="008E7C4C">
        <w:rPr>
          <w:rFonts w:asciiTheme="minorHAnsi" w:hAnsiTheme="minorHAnsi"/>
          <w:snapToGrid w:val="0"/>
        </w:rPr>
        <w:t>i</w:t>
      </w:r>
      <w:proofErr w:type="spellEnd"/>
      <w:r w:rsidR="00D8352A" w:rsidRPr="008E7C4C">
        <w:rPr>
          <w:rFonts w:asciiTheme="minorHAnsi" w:hAnsiTheme="minorHAnsi"/>
          <w:snapToGrid w:val="0"/>
        </w:rPr>
        <w:t xml:space="preserve">) </w:t>
      </w:r>
      <w:r w:rsidRPr="008E7C4C">
        <w:rPr>
          <w:rFonts w:asciiTheme="minorHAnsi" w:hAnsiTheme="minorHAnsi"/>
          <w:snapToGrid w:val="0"/>
        </w:rPr>
        <w:t xml:space="preserve">applied an equal duration of treatment for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and </w:t>
      </w:r>
      <w:proofErr w:type="spellStart"/>
      <w:r w:rsidRPr="008E7C4C">
        <w:rPr>
          <w:rFonts w:asciiTheme="minorHAnsi" w:hAnsiTheme="minorHAnsi"/>
          <w:snapToGrid w:val="0"/>
        </w:rPr>
        <w:t>Ld</w:t>
      </w:r>
      <w:proofErr w:type="spellEnd"/>
      <w:r w:rsidRPr="008E7C4C">
        <w:rPr>
          <w:rFonts w:asciiTheme="minorHAnsi" w:hAnsiTheme="minorHAnsi"/>
          <w:snapToGrid w:val="0"/>
        </w:rPr>
        <w:t xml:space="preserve"> despite </w:t>
      </w:r>
      <w:proofErr w:type="spellStart"/>
      <w:r w:rsidRPr="008E7C4C">
        <w:rPr>
          <w:rFonts w:asciiTheme="minorHAnsi" w:hAnsiTheme="minorHAnsi"/>
          <w:snapToGrid w:val="0"/>
        </w:rPr>
        <w:t>ILd</w:t>
      </w:r>
      <w:proofErr w:type="spellEnd"/>
      <w:r w:rsidRPr="008E7C4C">
        <w:rPr>
          <w:rFonts w:asciiTheme="minorHAnsi" w:hAnsiTheme="minorHAnsi"/>
          <w:snapToGrid w:val="0"/>
        </w:rPr>
        <w:t xml:space="preserve"> treatment resulting in a statistically longer PFS</w:t>
      </w:r>
      <w:r w:rsidR="00D8352A" w:rsidRPr="008E7C4C">
        <w:rPr>
          <w:rFonts w:asciiTheme="minorHAnsi" w:hAnsiTheme="minorHAnsi"/>
          <w:snapToGrid w:val="0"/>
        </w:rPr>
        <w:t>;</w:t>
      </w:r>
      <w:r w:rsidR="0012410C" w:rsidRPr="008E7C4C">
        <w:rPr>
          <w:rFonts w:asciiTheme="minorHAnsi" w:hAnsiTheme="minorHAnsi"/>
          <w:snapToGrid w:val="0"/>
        </w:rPr>
        <w:t xml:space="preserve"> and </w:t>
      </w:r>
      <w:r w:rsidR="00D8352A" w:rsidRPr="008E7C4C">
        <w:rPr>
          <w:rFonts w:asciiTheme="minorHAnsi" w:hAnsiTheme="minorHAnsi"/>
          <w:snapToGrid w:val="0"/>
        </w:rPr>
        <w:t xml:space="preserve">(ii) </w:t>
      </w:r>
      <w:r w:rsidR="0012410C" w:rsidRPr="008E7C4C">
        <w:rPr>
          <w:rFonts w:asciiTheme="minorHAnsi" w:hAnsiTheme="minorHAnsi"/>
          <w:snapToGrid w:val="0"/>
        </w:rPr>
        <w:t>did not consider the potential impact of displacement of other treatments.</w:t>
      </w:r>
    </w:p>
    <w:p w14:paraId="7B79DBF2" w14:textId="37E4645F" w:rsidR="003F4E26" w:rsidRPr="008E7C4C" w:rsidRDefault="003F4E26" w:rsidP="009D243E">
      <w:pPr>
        <w:widowControl w:val="0"/>
        <w:numPr>
          <w:ilvl w:val="1"/>
          <w:numId w:val="1"/>
        </w:numPr>
        <w:spacing w:after="120"/>
        <w:rPr>
          <w:rFonts w:asciiTheme="minorHAnsi" w:hAnsiTheme="minorHAnsi"/>
          <w:bCs/>
          <w:snapToGrid w:val="0"/>
        </w:rPr>
      </w:pPr>
      <w:r w:rsidRPr="008E7C4C">
        <w:rPr>
          <w:rFonts w:asciiTheme="minorHAnsi" w:hAnsiTheme="minorHAnsi"/>
          <w:bCs/>
          <w:snapToGrid w:val="0"/>
        </w:rPr>
        <w:t xml:space="preserve">The PBAC considered a resubmission for </w:t>
      </w:r>
      <w:proofErr w:type="spellStart"/>
      <w:r w:rsidR="00C56525" w:rsidRPr="008E7C4C">
        <w:rPr>
          <w:rFonts w:asciiTheme="minorHAnsi" w:hAnsiTheme="minorHAnsi"/>
          <w:bCs/>
          <w:snapToGrid w:val="0"/>
        </w:rPr>
        <w:t>ILd</w:t>
      </w:r>
      <w:proofErr w:type="spellEnd"/>
      <w:r w:rsidRPr="008E7C4C">
        <w:rPr>
          <w:rFonts w:asciiTheme="minorHAnsi" w:hAnsiTheme="minorHAnsi"/>
          <w:bCs/>
          <w:snapToGrid w:val="0"/>
        </w:rPr>
        <w:t xml:space="preserve"> should address the </w:t>
      </w:r>
      <w:r w:rsidR="00681EFD" w:rsidRPr="008E7C4C">
        <w:rPr>
          <w:rFonts w:asciiTheme="minorHAnsi" w:hAnsiTheme="minorHAnsi"/>
          <w:bCs/>
          <w:snapToGrid w:val="0"/>
        </w:rPr>
        <w:t xml:space="preserve">uncertainties relating to the comparator, </w:t>
      </w:r>
      <w:r w:rsidR="0091457D" w:rsidRPr="008E7C4C">
        <w:rPr>
          <w:rFonts w:asciiTheme="minorHAnsi" w:hAnsiTheme="minorHAnsi"/>
          <w:bCs/>
          <w:snapToGrid w:val="0"/>
        </w:rPr>
        <w:t xml:space="preserve">and the efficacy clinical claim.  The PBAC </w:t>
      </w:r>
      <w:r w:rsidR="00681EFD" w:rsidRPr="008E7C4C">
        <w:rPr>
          <w:rFonts w:asciiTheme="minorHAnsi" w:hAnsiTheme="minorHAnsi"/>
          <w:bCs/>
          <w:snapToGrid w:val="0"/>
        </w:rPr>
        <w:t>not</w:t>
      </w:r>
      <w:r w:rsidR="0091457D" w:rsidRPr="008E7C4C">
        <w:rPr>
          <w:rFonts w:asciiTheme="minorHAnsi" w:hAnsiTheme="minorHAnsi"/>
          <w:bCs/>
          <w:snapToGrid w:val="0"/>
        </w:rPr>
        <w:t>ed</w:t>
      </w:r>
      <w:r w:rsidR="00681EFD" w:rsidRPr="008E7C4C">
        <w:rPr>
          <w:rFonts w:asciiTheme="minorHAnsi" w:hAnsiTheme="minorHAnsi"/>
          <w:bCs/>
          <w:snapToGrid w:val="0"/>
        </w:rPr>
        <w:t xml:space="preserve"> that the clinical algorithm in RRMM is rapidly evolving and that international guidelines indicate a preference for triple therapies. </w:t>
      </w:r>
    </w:p>
    <w:p w14:paraId="31C7D235" w14:textId="25657AFE" w:rsidR="0018295A" w:rsidRPr="008E7C4C" w:rsidRDefault="003F4E26" w:rsidP="00B17FC5">
      <w:pPr>
        <w:widowControl w:val="0"/>
        <w:numPr>
          <w:ilvl w:val="1"/>
          <w:numId w:val="1"/>
        </w:numPr>
        <w:spacing w:after="120"/>
        <w:rPr>
          <w:rFonts w:asciiTheme="minorHAnsi" w:hAnsiTheme="minorHAnsi"/>
          <w:bCs/>
          <w:snapToGrid w:val="0"/>
        </w:rPr>
      </w:pPr>
      <w:r w:rsidRPr="008E7C4C">
        <w:rPr>
          <w:rFonts w:asciiTheme="minorHAnsi" w:hAnsiTheme="minorHAnsi"/>
          <w:bCs/>
          <w:snapToGrid w:val="0"/>
        </w:rPr>
        <w:t>The resubmission may be lodged at any future standard due date for PBAC submissions using the standard re-entry pathway.</w:t>
      </w:r>
    </w:p>
    <w:p w14:paraId="6B0F741F" w14:textId="66D26DB6" w:rsidR="0018295A" w:rsidRPr="008E7C4C" w:rsidRDefault="003F4E26" w:rsidP="00B17FC5">
      <w:pPr>
        <w:widowControl w:val="0"/>
        <w:numPr>
          <w:ilvl w:val="1"/>
          <w:numId w:val="1"/>
        </w:numPr>
        <w:spacing w:after="120"/>
        <w:rPr>
          <w:rFonts w:asciiTheme="minorHAnsi" w:hAnsiTheme="minorHAnsi"/>
          <w:bCs/>
          <w:snapToGrid w:val="0"/>
        </w:rPr>
      </w:pPr>
      <w:r w:rsidRPr="008E7C4C">
        <w:rPr>
          <w:rFonts w:asciiTheme="minorHAnsi" w:hAnsiTheme="minorHAnsi"/>
          <w:bCs/>
          <w:snapToGrid w:val="0"/>
        </w:rPr>
        <w:t xml:space="preserve">The PBAC noted that this submission is eligible for an Independent Review. </w:t>
      </w:r>
    </w:p>
    <w:p w14:paraId="226AE57F" w14:textId="3E8763E1" w:rsidR="003F4E26" w:rsidRPr="008E7C4C" w:rsidRDefault="003F4E26" w:rsidP="0018295A">
      <w:pPr>
        <w:widowControl w:val="0"/>
        <w:spacing w:before="240" w:after="120"/>
        <w:rPr>
          <w:rFonts w:asciiTheme="minorHAnsi" w:hAnsiTheme="minorHAnsi"/>
          <w:b/>
          <w:bCs/>
          <w:snapToGrid w:val="0"/>
        </w:rPr>
      </w:pPr>
      <w:r w:rsidRPr="008E7C4C">
        <w:rPr>
          <w:rFonts w:asciiTheme="minorHAnsi" w:hAnsiTheme="minorHAnsi"/>
          <w:b/>
          <w:bCs/>
          <w:snapToGrid w:val="0"/>
        </w:rPr>
        <w:t>Outcome:</w:t>
      </w:r>
    </w:p>
    <w:p w14:paraId="48D09D06" w14:textId="0C100903" w:rsidR="00C42140" w:rsidRDefault="003F4E26" w:rsidP="003A632A">
      <w:pPr>
        <w:rPr>
          <w:rFonts w:asciiTheme="minorHAnsi" w:hAnsiTheme="minorHAnsi"/>
          <w:bCs/>
          <w:snapToGrid w:val="0"/>
        </w:rPr>
      </w:pPr>
      <w:r w:rsidRPr="008E7C4C">
        <w:rPr>
          <w:rFonts w:asciiTheme="minorHAnsi" w:hAnsiTheme="minorHAnsi"/>
          <w:bCs/>
          <w:snapToGrid w:val="0"/>
        </w:rPr>
        <w:t>Not recommended</w:t>
      </w:r>
      <w:bookmarkEnd w:id="32"/>
      <w:bookmarkEnd w:id="33"/>
    </w:p>
    <w:p w14:paraId="698D95F6" w14:textId="77777777" w:rsidR="00AB241C" w:rsidRPr="00AB241C" w:rsidRDefault="00AB241C" w:rsidP="00AB241C">
      <w:pPr>
        <w:pStyle w:val="2-SectionHeading"/>
      </w:pPr>
      <w:bookmarkStart w:id="34" w:name="_Hlk102658826"/>
      <w:r w:rsidRPr="00AB241C">
        <w:t>Context for Decision</w:t>
      </w:r>
    </w:p>
    <w:p w14:paraId="77BEEA69" w14:textId="77777777" w:rsidR="00AB241C" w:rsidRDefault="00AB241C" w:rsidP="00AB241C">
      <w:pPr>
        <w:spacing w:after="120"/>
        <w:ind w:left="720"/>
        <w:rPr>
          <w:rFonts w:asciiTheme="minorHAnsi" w:hAnsiTheme="minorHAnsi"/>
          <w:bCs/>
          <w:lang w:val="en-GB"/>
        </w:rPr>
      </w:pPr>
      <w:r>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233C6F6" w14:textId="77777777" w:rsidR="00AB241C" w:rsidRPr="00AB241C" w:rsidRDefault="00AB241C" w:rsidP="00AB241C">
      <w:pPr>
        <w:pStyle w:val="2-SectionHeading"/>
      </w:pPr>
      <w:bookmarkStart w:id="35" w:name="_Hlk102733998"/>
      <w:r w:rsidRPr="00AB241C">
        <w:t>Sponsor’s Comment</w:t>
      </w:r>
    </w:p>
    <w:p w14:paraId="7F0B06FE" w14:textId="4F49BEF9" w:rsidR="00AB241C" w:rsidRDefault="00951174" w:rsidP="00AB241C">
      <w:pPr>
        <w:spacing w:after="120"/>
        <w:ind w:firstLine="720"/>
        <w:rPr>
          <w:rFonts w:asciiTheme="minorHAnsi" w:hAnsiTheme="minorHAnsi"/>
          <w:bCs/>
        </w:rPr>
      </w:pPr>
      <w:proofErr w:type="gramStart"/>
      <w:r w:rsidRPr="00EB1AEB">
        <w:rPr>
          <w:rFonts w:asciiTheme="minorHAnsi" w:hAnsiTheme="minorHAnsi"/>
          <w:bCs/>
          <w:color w:val="000000"/>
          <w:w w:val="15"/>
          <w:shd w:val="solid" w:color="000000" w:fill="000000"/>
          <w:fitText w:val="-20" w:id="-1502411006"/>
          <w:lang w:val="en-GB"/>
          <w14:textFill>
            <w14:solidFill>
              <w14:srgbClr w14:val="000000">
                <w14:alpha w14:val="100000"/>
              </w14:srgbClr>
            </w14:solidFill>
          </w14:textFill>
        </w:rPr>
        <w:t xml:space="preserve">|  </w:t>
      </w:r>
      <w:r w:rsidRPr="00EB1AEB">
        <w:rPr>
          <w:rFonts w:asciiTheme="minorHAnsi" w:hAnsiTheme="minorHAnsi"/>
          <w:bCs/>
          <w:color w:val="000000"/>
          <w:spacing w:val="-69"/>
          <w:w w:val="15"/>
          <w:shd w:val="solid" w:color="000000" w:fill="000000"/>
          <w:fitText w:val="-20" w:id="-1502411006"/>
          <w:lang w:val="en-GB"/>
          <w14:textFill>
            <w14:solidFill>
              <w14:srgbClr w14:val="000000">
                <w14:alpha w14:val="100000"/>
              </w14:srgbClr>
            </w14:solidFill>
          </w14:textFill>
        </w:rPr>
        <w:t>|</w:t>
      </w:r>
      <w:proofErr w:type="gramEnd"/>
      <w:r w:rsidR="00AB241C">
        <w:rPr>
          <w:rFonts w:asciiTheme="minorHAnsi" w:hAnsiTheme="minorHAnsi"/>
          <w:bCs/>
        </w:rPr>
        <w:t>The sponsor had no comment.</w:t>
      </w:r>
      <w:bookmarkEnd w:id="34"/>
      <w:bookmarkEnd w:id="35"/>
    </w:p>
    <w:p w14:paraId="5E3676A7" w14:textId="77777777" w:rsidR="00AB241C" w:rsidRPr="003A632A" w:rsidRDefault="00AB241C" w:rsidP="003A632A">
      <w:pPr>
        <w:rPr>
          <w:rFonts w:asciiTheme="minorHAnsi" w:hAnsiTheme="minorHAnsi"/>
          <w:bCs/>
          <w:snapToGrid w:val="0"/>
        </w:rPr>
      </w:pPr>
    </w:p>
    <w:sectPr w:rsidR="00AB241C" w:rsidRPr="003A632A" w:rsidSect="007D169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B9AC2" w14:textId="77777777" w:rsidR="009A6884" w:rsidRDefault="009A6884" w:rsidP="00124A51">
      <w:r>
        <w:separator/>
      </w:r>
    </w:p>
    <w:p w14:paraId="1BCCF47F" w14:textId="77777777" w:rsidR="009A6884" w:rsidRDefault="009A6884"/>
  </w:endnote>
  <w:endnote w:type="continuationSeparator" w:id="0">
    <w:p w14:paraId="5EAD36FA" w14:textId="77777777" w:rsidR="009A6884" w:rsidRDefault="009A6884" w:rsidP="00124A51">
      <w:r>
        <w:continuationSeparator/>
      </w:r>
    </w:p>
    <w:p w14:paraId="36230118" w14:textId="77777777" w:rsidR="009A6884" w:rsidRDefault="009A6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B54EE" w14:textId="77777777" w:rsidR="00951174" w:rsidRDefault="00951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2036A" w14:textId="77777777" w:rsidR="009A6884" w:rsidRDefault="009A6884">
    <w:pPr>
      <w:pStyle w:val="Footer"/>
      <w:jc w:val="center"/>
    </w:pPr>
  </w:p>
  <w:sdt>
    <w:sdtPr>
      <w:id w:val="-737094467"/>
      <w:docPartObj>
        <w:docPartGallery w:val="Page Numbers (Bottom of Page)"/>
        <w:docPartUnique/>
      </w:docPartObj>
    </w:sdtPr>
    <w:sdtEndPr>
      <w:rPr>
        <w:b/>
        <w:bCs/>
        <w:noProof/>
      </w:rPr>
    </w:sdtEndPr>
    <w:sdtContent>
      <w:p w14:paraId="6CD05EB3" w14:textId="471CAD69" w:rsidR="009A6884" w:rsidRPr="003F4E26" w:rsidRDefault="009A6884">
        <w:pPr>
          <w:pStyle w:val="Footer"/>
          <w:jc w:val="center"/>
          <w:rPr>
            <w:b/>
            <w:bCs/>
          </w:rPr>
        </w:pPr>
        <w:r w:rsidRPr="003F4E26">
          <w:rPr>
            <w:b/>
            <w:bCs/>
          </w:rPr>
          <w:fldChar w:fldCharType="begin"/>
        </w:r>
        <w:r w:rsidRPr="003F4E26">
          <w:rPr>
            <w:b/>
            <w:bCs/>
          </w:rPr>
          <w:instrText xml:space="preserve"> PAGE   \* MERGEFORMAT </w:instrText>
        </w:r>
        <w:r w:rsidRPr="003F4E26">
          <w:rPr>
            <w:b/>
            <w:bCs/>
          </w:rPr>
          <w:fldChar w:fldCharType="separate"/>
        </w:r>
        <w:r>
          <w:rPr>
            <w:b/>
            <w:bCs/>
            <w:noProof/>
          </w:rPr>
          <w:t>41</w:t>
        </w:r>
        <w:r w:rsidRPr="003F4E26">
          <w:rPr>
            <w:b/>
            <w:bCs/>
            <w:noProof/>
          </w:rPr>
          <w:fldChar w:fldCharType="end"/>
        </w:r>
      </w:p>
    </w:sdtContent>
  </w:sdt>
  <w:p w14:paraId="61159375" w14:textId="1A752D2B" w:rsidR="009A6884" w:rsidRDefault="009A6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041BB" w14:textId="77777777" w:rsidR="00951174" w:rsidRDefault="00951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81FFB" w14:textId="77777777" w:rsidR="009A6884" w:rsidRDefault="009A6884" w:rsidP="00124A51">
      <w:r>
        <w:separator/>
      </w:r>
    </w:p>
    <w:p w14:paraId="701FDE0F" w14:textId="77777777" w:rsidR="009A6884" w:rsidRDefault="009A6884"/>
  </w:footnote>
  <w:footnote w:type="continuationSeparator" w:id="0">
    <w:p w14:paraId="65DAFF11" w14:textId="77777777" w:rsidR="009A6884" w:rsidRDefault="009A6884" w:rsidP="00124A51">
      <w:r>
        <w:continuationSeparator/>
      </w:r>
    </w:p>
    <w:p w14:paraId="1D781F1F" w14:textId="77777777" w:rsidR="009A6884" w:rsidRDefault="009A6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DF11" w14:textId="77777777" w:rsidR="00951174" w:rsidRDefault="00951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25E45" w14:textId="784FD106" w:rsidR="009A6884" w:rsidRPr="003F4E26" w:rsidRDefault="009A6884" w:rsidP="003F4E26">
    <w:pPr>
      <w:pStyle w:val="Header"/>
      <w:rPr>
        <w:i/>
        <w:iCs/>
      </w:rPr>
    </w:pPr>
    <w:r>
      <w:rPr>
        <w:i/>
        <w:iCs/>
      </w:rPr>
      <w:t>Public Summary Document</w:t>
    </w:r>
    <w:r w:rsidRPr="003F4E26">
      <w:rPr>
        <w:i/>
        <w:iCs/>
      </w:rPr>
      <w:t xml:space="preserve"> – March 2022 PBAC Meeting</w:t>
    </w:r>
  </w:p>
  <w:p w14:paraId="13B5E079" w14:textId="77777777" w:rsidR="009A6884" w:rsidRPr="003F4E26" w:rsidRDefault="009A6884" w:rsidP="003F4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5351B" w14:textId="77777777" w:rsidR="00951174" w:rsidRDefault="0095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A32EF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DC6175"/>
    <w:multiLevelType w:val="multilevel"/>
    <w:tmpl w:val="FBC8D3F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15797"/>
    <w:multiLevelType w:val="hybridMultilevel"/>
    <w:tmpl w:val="9DF414E8"/>
    <w:lvl w:ilvl="0" w:tplc="6A022CB6">
      <w:start w:val="1"/>
      <w:numFmt w:val="decimal"/>
      <w:pStyle w:val="Paragraph"/>
      <w:lvlText w:val="%1."/>
      <w:lvlJc w:val="left"/>
      <w:pPr>
        <w:ind w:left="1656" w:hanging="360"/>
      </w:pPr>
    </w:lvl>
    <w:lvl w:ilvl="1" w:tplc="08090019">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6" w15:restartNumberingAfterBreak="0">
    <w:nsid w:val="14E83B44"/>
    <w:multiLevelType w:val="multilevel"/>
    <w:tmpl w:val="B7BC1CA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A0295"/>
    <w:multiLevelType w:val="hybridMultilevel"/>
    <w:tmpl w:val="7BF4CE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0C2AB2"/>
    <w:multiLevelType w:val="hybridMultilevel"/>
    <w:tmpl w:val="6C7C5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0D526E"/>
    <w:multiLevelType w:val="hybridMultilevel"/>
    <w:tmpl w:val="35FC7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18F25FDC"/>
    <w:lvl w:ilvl="0" w:tplc="04090001">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F0EDC"/>
    <w:multiLevelType w:val="hybridMultilevel"/>
    <w:tmpl w:val="006C7192"/>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5D6C24"/>
    <w:multiLevelType w:val="hybridMultilevel"/>
    <w:tmpl w:val="024099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7CA5DAD"/>
    <w:multiLevelType w:val="multilevel"/>
    <w:tmpl w:val="E9CCBBAA"/>
    <w:styleLink w:val="PBAC"/>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2"/>
  </w:num>
  <w:num w:numId="2">
    <w:abstractNumId w:val="13"/>
  </w:num>
  <w:num w:numId="3">
    <w:abstractNumId w:val="14"/>
  </w:num>
  <w:num w:numId="4">
    <w:abstractNumId w:val="0"/>
  </w:num>
  <w:num w:numId="5">
    <w:abstractNumId w:val="5"/>
  </w:num>
  <w:num w:numId="6">
    <w:abstractNumId w:val="15"/>
  </w:num>
  <w:num w:numId="7">
    <w:abstractNumId w:val="11"/>
  </w:num>
  <w:num w:numId="8">
    <w:abstractNumId w:val="12"/>
  </w:num>
  <w:num w:numId="9">
    <w:abstractNumId w:val="20"/>
  </w:num>
  <w:num w:numId="10">
    <w:abstractNumId w:val="23"/>
  </w:num>
  <w:num w:numId="11">
    <w:abstractNumId w:val="21"/>
  </w:num>
  <w:num w:numId="12">
    <w:abstractNumId w:val="9"/>
  </w:num>
  <w:num w:numId="13">
    <w:abstractNumId w:val="18"/>
  </w:num>
  <w:num w:numId="14">
    <w:abstractNumId w:val="3"/>
  </w:num>
  <w:num w:numId="15">
    <w:abstractNumId w:val="16"/>
  </w:num>
  <w:num w:numId="16">
    <w:abstractNumId w:val="4"/>
  </w:num>
  <w:num w:numId="17">
    <w:abstractNumId w:val="1"/>
  </w:num>
  <w:num w:numId="18">
    <w:abstractNumId w:val="8"/>
  </w:num>
  <w:num w:numId="19">
    <w:abstractNumId w:val="10"/>
  </w:num>
  <w:num w:numId="20">
    <w:abstractNumId w:val="7"/>
  </w:num>
  <w:num w:numId="2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
  </w:num>
  <w:num w:numId="24">
    <w:abstractNumId w:val="6"/>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1MDMwMzcwMTQwsjRX0lEKTi0uzszPAymwqAUAJVMSnCwAAAA="/>
  </w:docVars>
  <w:rsids>
    <w:rsidRoot w:val="00E65E79"/>
    <w:rsid w:val="00000790"/>
    <w:rsid w:val="00000806"/>
    <w:rsid w:val="000009C3"/>
    <w:rsid w:val="00000F43"/>
    <w:rsid w:val="0000110B"/>
    <w:rsid w:val="000011B5"/>
    <w:rsid w:val="00003499"/>
    <w:rsid w:val="0000354E"/>
    <w:rsid w:val="000039B7"/>
    <w:rsid w:val="00005B36"/>
    <w:rsid w:val="0000639A"/>
    <w:rsid w:val="000073B4"/>
    <w:rsid w:val="0000760E"/>
    <w:rsid w:val="000079D9"/>
    <w:rsid w:val="00007A83"/>
    <w:rsid w:val="0001025C"/>
    <w:rsid w:val="000105E2"/>
    <w:rsid w:val="00010C80"/>
    <w:rsid w:val="00011FD9"/>
    <w:rsid w:val="00013247"/>
    <w:rsid w:val="000133DE"/>
    <w:rsid w:val="00013D01"/>
    <w:rsid w:val="000141D0"/>
    <w:rsid w:val="00014D85"/>
    <w:rsid w:val="00015886"/>
    <w:rsid w:val="000160A4"/>
    <w:rsid w:val="000162EF"/>
    <w:rsid w:val="00016321"/>
    <w:rsid w:val="00016340"/>
    <w:rsid w:val="00016E70"/>
    <w:rsid w:val="00017A18"/>
    <w:rsid w:val="00017B02"/>
    <w:rsid w:val="00020063"/>
    <w:rsid w:val="000201FD"/>
    <w:rsid w:val="00020211"/>
    <w:rsid w:val="000207C9"/>
    <w:rsid w:val="00020F98"/>
    <w:rsid w:val="00021121"/>
    <w:rsid w:val="0002152F"/>
    <w:rsid w:val="000219A0"/>
    <w:rsid w:val="0002225F"/>
    <w:rsid w:val="00022AAA"/>
    <w:rsid w:val="00023324"/>
    <w:rsid w:val="00023763"/>
    <w:rsid w:val="000243B3"/>
    <w:rsid w:val="00024C59"/>
    <w:rsid w:val="000274B8"/>
    <w:rsid w:val="00031E19"/>
    <w:rsid w:val="00032BC1"/>
    <w:rsid w:val="000331F7"/>
    <w:rsid w:val="00033863"/>
    <w:rsid w:val="00033DCF"/>
    <w:rsid w:val="00034123"/>
    <w:rsid w:val="00034D80"/>
    <w:rsid w:val="00035D6E"/>
    <w:rsid w:val="00035DC0"/>
    <w:rsid w:val="00036829"/>
    <w:rsid w:val="00036DB6"/>
    <w:rsid w:val="00036EC9"/>
    <w:rsid w:val="00037BF5"/>
    <w:rsid w:val="00040895"/>
    <w:rsid w:val="00041F12"/>
    <w:rsid w:val="0004323F"/>
    <w:rsid w:val="000435EE"/>
    <w:rsid w:val="00043813"/>
    <w:rsid w:val="00043AC6"/>
    <w:rsid w:val="00043C37"/>
    <w:rsid w:val="00043DFD"/>
    <w:rsid w:val="000440A5"/>
    <w:rsid w:val="00045017"/>
    <w:rsid w:val="0004566D"/>
    <w:rsid w:val="0004571C"/>
    <w:rsid w:val="0004587A"/>
    <w:rsid w:val="00045915"/>
    <w:rsid w:val="00045A2B"/>
    <w:rsid w:val="000462BF"/>
    <w:rsid w:val="0004633C"/>
    <w:rsid w:val="0004698F"/>
    <w:rsid w:val="00047099"/>
    <w:rsid w:val="00047834"/>
    <w:rsid w:val="000505B2"/>
    <w:rsid w:val="00050600"/>
    <w:rsid w:val="00050719"/>
    <w:rsid w:val="00050735"/>
    <w:rsid w:val="00052367"/>
    <w:rsid w:val="0005279E"/>
    <w:rsid w:val="00052D03"/>
    <w:rsid w:val="000539D0"/>
    <w:rsid w:val="00054377"/>
    <w:rsid w:val="00054621"/>
    <w:rsid w:val="000546D7"/>
    <w:rsid w:val="00054739"/>
    <w:rsid w:val="00055E10"/>
    <w:rsid w:val="00056670"/>
    <w:rsid w:val="00056ECF"/>
    <w:rsid w:val="000570CA"/>
    <w:rsid w:val="0005716E"/>
    <w:rsid w:val="0005721B"/>
    <w:rsid w:val="0005748F"/>
    <w:rsid w:val="000575D1"/>
    <w:rsid w:val="0006049A"/>
    <w:rsid w:val="000604DF"/>
    <w:rsid w:val="000624B6"/>
    <w:rsid w:val="00062DCA"/>
    <w:rsid w:val="0006308E"/>
    <w:rsid w:val="000653B5"/>
    <w:rsid w:val="0006615F"/>
    <w:rsid w:val="000661EE"/>
    <w:rsid w:val="00066360"/>
    <w:rsid w:val="000663BE"/>
    <w:rsid w:val="00066AF8"/>
    <w:rsid w:val="00067A1E"/>
    <w:rsid w:val="00070660"/>
    <w:rsid w:val="000709C5"/>
    <w:rsid w:val="000709FF"/>
    <w:rsid w:val="00071248"/>
    <w:rsid w:val="000720B9"/>
    <w:rsid w:val="000737F7"/>
    <w:rsid w:val="000743AE"/>
    <w:rsid w:val="00075E3D"/>
    <w:rsid w:val="000760E3"/>
    <w:rsid w:val="0007672F"/>
    <w:rsid w:val="00076B54"/>
    <w:rsid w:val="000774F0"/>
    <w:rsid w:val="000775F5"/>
    <w:rsid w:val="00077B3E"/>
    <w:rsid w:val="00080046"/>
    <w:rsid w:val="00080909"/>
    <w:rsid w:val="00080F69"/>
    <w:rsid w:val="000811C4"/>
    <w:rsid w:val="000812CA"/>
    <w:rsid w:val="00081E63"/>
    <w:rsid w:val="0008258D"/>
    <w:rsid w:val="00082B03"/>
    <w:rsid w:val="00083179"/>
    <w:rsid w:val="00083677"/>
    <w:rsid w:val="00083A36"/>
    <w:rsid w:val="00083C9D"/>
    <w:rsid w:val="00083E99"/>
    <w:rsid w:val="0008440F"/>
    <w:rsid w:val="00084E20"/>
    <w:rsid w:val="00084FA8"/>
    <w:rsid w:val="00085395"/>
    <w:rsid w:val="000856C5"/>
    <w:rsid w:val="00085C0D"/>
    <w:rsid w:val="00085C31"/>
    <w:rsid w:val="00086066"/>
    <w:rsid w:val="00087507"/>
    <w:rsid w:val="000902D9"/>
    <w:rsid w:val="00090C7E"/>
    <w:rsid w:val="00090F6F"/>
    <w:rsid w:val="00091524"/>
    <w:rsid w:val="00092600"/>
    <w:rsid w:val="0009262B"/>
    <w:rsid w:val="00093310"/>
    <w:rsid w:val="0009341C"/>
    <w:rsid w:val="000942A8"/>
    <w:rsid w:val="0009445C"/>
    <w:rsid w:val="0009480D"/>
    <w:rsid w:val="00095200"/>
    <w:rsid w:val="0009537C"/>
    <w:rsid w:val="00095FE5"/>
    <w:rsid w:val="00096284"/>
    <w:rsid w:val="000965EC"/>
    <w:rsid w:val="00096BFA"/>
    <w:rsid w:val="000970FA"/>
    <w:rsid w:val="000972D4"/>
    <w:rsid w:val="00097830"/>
    <w:rsid w:val="000A05D8"/>
    <w:rsid w:val="000A18B9"/>
    <w:rsid w:val="000A1BC0"/>
    <w:rsid w:val="000A1D18"/>
    <w:rsid w:val="000A263B"/>
    <w:rsid w:val="000A2685"/>
    <w:rsid w:val="000A2A18"/>
    <w:rsid w:val="000A2E30"/>
    <w:rsid w:val="000A3FF5"/>
    <w:rsid w:val="000A4AC1"/>
    <w:rsid w:val="000A4D2F"/>
    <w:rsid w:val="000A5AE9"/>
    <w:rsid w:val="000A5F6C"/>
    <w:rsid w:val="000A6039"/>
    <w:rsid w:val="000A6D64"/>
    <w:rsid w:val="000A7453"/>
    <w:rsid w:val="000A7494"/>
    <w:rsid w:val="000A7D08"/>
    <w:rsid w:val="000B0121"/>
    <w:rsid w:val="000B0670"/>
    <w:rsid w:val="000B0E75"/>
    <w:rsid w:val="000B1545"/>
    <w:rsid w:val="000B27DA"/>
    <w:rsid w:val="000B2936"/>
    <w:rsid w:val="000B2AF5"/>
    <w:rsid w:val="000B2DCB"/>
    <w:rsid w:val="000B312B"/>
    <w:rsid w:val="000B441D"/>
    <w:rsid w:val="000B5CE0"/>
    <w:rsid w:val="000B6CAC"/>
    <w:rsid w:val="000B7422"/>
    <w:rsid w:val="000B7612"/>
    <w:rsid w:val="000B78AE"/>
    <w:rsid w:val="000C0543"/>
    <w:rsid w:val="000C1222"/>
    <w:rsid w:val="000C272D"/>
    <w:rsid w:val="000C2D35"/>
    <w:rsid w:val="000C30B4"/>
    <w:rsid w:val="000C347C"/>
    <w:rsid w:val="000C34D8"/>
    <w:rsid w:val="000C3DF9"/>
    <w:rsid w:val="000C3F4B"/>
    <w:rsid w:val="000C4838"/>
    <w:rsid w:val="000C4FB0"/>
    <w:rsid w:val="000C6713"/>
    <w:rsid w:val="000C690E"/>
    <w:rsid w:val="000D0EA5"/>
    <w:rsid w:val="000D13B1"/>
    <w:rsid w:val="000D1777"/>
    <w:rsid w:val="000D1BFC"/>
    <w:rsid w:val="000D1D5D"/>
    <w:rsid w:val="000D25E5"/>
    <w:rsid w:val="000D281A"/>
    <w:rsid w:val="000D2848"/>
    <w:rsid w:val="000D2A31"/>
    <w:rsid w:val="000D2B6F"/>
    <w:rsid w:val="000D326A"/>
    <w:rsid w:val="000D3B1F"/>
    <w:rsid w:val="000D4C0D"/>
    <w:rsid w:val="000D51FB"/>
    <w:rsid w:val="000D681A"/>
    <w:rsid w:val="000D7570"/>
    <w:rsid w:val="000E0640"/>
    <w:rsid w:val="000E135D"/>
    <w:rsid w:val="000E17CD"/>
    <w:rsid w:val="000E2314"/>
    <w:rsid w:val="000E280A"/>
    <w:rsid w:val="000E43E2"/>
    <w:rsid w:val="000E48BF"/>
    <w:rsid w:val="000E57E0"/>
    <w:rsid w:val="000E72D1"/>
    <w:rsid w:val="000E7A62"/>
    <w:rsid w:val="000E7B64"/>
    <w:rsid w:val="000F00BA"/>
    <w:rsid w:val="000F1FC1"/>
    <w:rsid w:val="000F2B86"/>
    <w:rsid w:val="000F2F6C"/>
    <w:rsid w:val="000F316A"/>
    <w:rsid w:val="000F3C74"/>
    <w:rsid w:val="000F49F8"/>
    <w:rsid w:val="000F4BB8"/>
    <w:rsid w:val="000F4FA9"/>
    <w:rsid w:val="000F53FB"/>
    <w:rsid w:val="000F6475"/>
    <w:rsid w:val="000F7127"/>
    <w:rsid w:val="000F7B54"/>
    <w:rsid w:val="00100383"/>
    <w:rsid w:val="00100F8A"/>
    <w:rsid w:val="001015D5"/>
    <w:rsid w:val="0010197F"/>
    <w:rsid w:val="00101E53"/>
    <w:rsid w:val="0010317A"/>
    <w:rsid w:val="00103F3C"/>
    <w:rsid w:val="00104201"/>
    <w:rsid w:val="0010452E"/>
    <w:rsid w:val="001047DD"/>
    <w:rsid w:val="001057FB"/>
    <w:rsid w:val="00105AE2"/>
    <w:rsid w:val="001060C6"/>
    <w:rsid w:val="001068BF"/>
    <w:rsid w:val="00106B80"/>
    <w:rsid w:val="00106D07"/>
    <w:rsid w:val="001072D2"/>
    <w:rsid w:val="001077DC"/>
    <w:rsid w:val="0011032E"/>
    <w:rsid w:val="001111BC"/>
    <w:rsid w:val="0011130E"/>
    <w:rsid w:val="00111582"/>
    <w:rsid w:val="00112748"/>
    <w:rsid w:val="001133A0"/>
    <w:rsid w:val="0011348B"/>
    <w:rsid w:val="001144AE"/>
    <w:rsid w:val="00115369"/>
    <w:rsid w:val="00115782"/>
    <w:rsid w:val="00115982"/>
    <w:rsid w:val="00115A81"/>
    <w:rsid w:val="00116C53"/>
    <w:rsid w:val="0011740E"/>
    <w:rsid w:val="001209D0"/>
    <w:rsid w:val="00120C87"/>
    <w:rsid w:val="00121799"/>
    <w:rsid w:val="00121E0C"/>
    <w:rsid w:val="001222FC"/>
    <w:rsid w:val="00123902"/>
    <w:rsid w:val="0012410C"/>
    <w:rsid w:val="00124A51"/>
    <w:rsid w:val="00126621"/>
    <w:rsid w:val="00126B1D"/>
    <w:rsid w:val="00127F30"/>
    <w:rsid w:val="00127FDA"/>
    <w:rsid w:val="001301A0"/>
    <w:rsid w:val="001301E9"/>
    <w:rsid w:val="00130AE3"/>
    <w:rsid w:val="00131D82"/>
    <w:rsid w:val="00132A67"/>
    <w:rsid w:val="00132B22"/>
    <w:rsid w:val="00132CBD"/>
    <w:rsid w:val="00133CFE"/>
    <w:rsid w:val="00133D36"/>
    <w:rsid w:val="00133EE6"/>
    <w:rsid w:val="00135620"/>
    <w:rsid w:val="001362BD"/>
    <w:rsid w:val="00136562"/>
    <w:rsid w:val="00137645"/>
    <w:rsid w:val="0014015A"/>
    <w:rsid w:val="00140BAE"/>
    <w:rsid w:val="00140E99"/>
    <w:rsid w:val="00142074"/>
    <w:rsid w:val="001421A9"/>
    <w:rsid w:val="00142ACB"/>
    <w:rsid w:val="00143C20"/>
    <w:rsid w:val="00143F67"/>
    <w:rsid w:val="00144E32"/>
    <w:rsid w:val="00145537"/>
    <w:rsid w:val="00145540"/>
    <w:rsid w:val="001456B0"/>
    <w:rsid w:val="00145B1D"/>
    <w:rsid w:val="001469FE"/>
    <w:rsid w:val="0015062E"/>
    <w:rsid w:val="00150793"/>
    <w:rsid w:val="00151B3B"/>
    <w:rsid w:val="00152170"/>
    <w:rsid w:val="00152353"/>
    <w:rsid w:val="001526EA"/>
    <w:rsid w:val="00152898"/>
    <w:rsid w:val="00152923"/>
    <w:rsid w:val="001530A4"/>
    <w:rsid w:val="001533DC"/>
    <w:rsid w:val="001534CD"/>
    <w:rsid w:val="00153B0C"/>
    <w:rsid w:val="00154D00"/>
    <w:rsid w:val="001551D8"/>
    <w:rsid w:val="00155379"/>
    <w:rsid w:val="00156F8F"/>
    <w:rsid w:val="00157130"/>
    <w:rsid w:val="00157261"/>
    <w:rsid w:val="001576B1"/>
    <w:rsid w:val="0016047B"/>
    <w:rsid w:val="0016073E"/>
    <w:rsid w:val="00160A4C"/>
    <w:rsid w:val="0016256C"/>
    <w:rsid w:val="00162913"/>
    <w:rsid w:val="00163EFF"/>
    <w:rsid w:val="00163F66"/>
    <w:rsid w:val="001650B8"/>
    <w:rsid w:val="00165E9E"/>
    <w:rsid w:val="001661FB"/>
    <w:rsid w:val="00166882"/>
    <w:rsid w:val="001671A0"/>
    <w:rsid w:val="0016767F"/>
    <w:rsid w:val="00167F6D"/>
    <w:rsid w:val="001702B4"/>
    <w:rsid w:val="00170543"/>
    <w:rsid w:val="001723AD"/>
    <w:rsid w:val="001728B9"/>
    <w:rsid w:val="00173565"/>
    <w:rsid w:val="0017370C"/>
    <w:rsid w:val="00173951"/>
    <w:rsid w:val="00173B07"/>
    <w:rsid w:val="0017484E"/>
    <w:rsid w:val="001751FA"/>
    <w:rsid w:val="0017548B"/>
    <w:rsid w:val="0017558D"/>
    <w:rsid w:val="001757D1"/>
    <w:rsid w:val="00177188"/>
    <w:rsid w:val="001773E7"/>
    <w:rsid w:val="00177E03"/>
    <w:rsid w:val="00181D9C"/>
    <w:rsid w:val="00181F4E"/>
    <w:rsid w:val="0018295A"/>
    <w:rsid w:val="00182FEF"/>
    <w:rsid w:val="001845F7"/>
    <w:rsid w:val="00184B0E"/>
    <w:rsid w:val="00184C40"/>
    <w:rsid w:val="00184F37"/>
    <w:rsid w:val="0018599E"/>
    <w:rsid w:val="001861A6"/>
    <w:rsid w:val="001864FC"/>
    <w:rsid w:val="00186B78"/>
    <w:rsid w:val="00187246"/>
    <w:rsid w:val="0018752F"/>
    <w:rsid w:val="001900F4"/>
    <w:rsid w:val="0019101D"/>
    <w:rsid w:val="0019202E"/>
    <w:rsid w:val="0019307D"/>
    <w:rsid w:val="00193704"/>
    <w:rsid w:val="00193838"/>
    <w:rsid w:val="00194800"/>
    <w:rsid w:val="00194AD8"/>
    <w:rsid w:val="00195222"/>
    <w:rsid w:val="0019530F"/>
    <w:rsid w:val="001954A5"/>
    <w:rsid w:val="00195ABE"/>
    <w:rsid w:val="001963ED"/>
    <w:rsid w:val="00196C04"/>
    <w:rsid w:val="00196F72"/>
    <w:rsid w:val="001975D8"/>
    <w:rsid w:val="001A01E3"/>
    <w:rsid w:val="001A0D4F"/>
    <w:rsid w:val="001A178E"/>
    <w:rsid w:val="001A2198"/>
    <w:rsid w:val="001A3A36"/>
    <w:rsid w:val="001A4299"/>
    <w:rsid w:val="001A43FA"/>
    <w:rsid w:val="001A4799"/>
    <w:rsid w:val="001A47C5"/>
    <w:rsid w:val="001A5186"/>
    <w:rsid w:val="001A546F"/>
    <w:rsid w:val="001A5678"/>
    <w:rsid w:val="001A59FB"/>
    <w:rsid w:val="001A5D02"/>
    <w:rsid w:val="001A5E9E"/>
    <w:rsid w:val="001A6354"/>
    <w:rsid w:val="001A6366"/>
    <w:rsid w:val="001A674C"/>
    <w:rsid w:val="001A708B"/>
    <w:rsid w:val="001A7AE8"/>
    <w:rsid w:val="001B0C2E"/>
    <w:rsid w:val="001B204E"/>
    <w:rsid w:val="001B2372"/>
    <w:rsid w:val="001B258E"/>
    <w:rsid w:val="001B260D"/>
    <w:rsid w:val="001B2746"/>
    <w:rsid w:val="001B28F0"/>
    <w:rsid w:val="001B3443"/>
    <w:rsid w:val="001B3BD9"/>
    <w:rsid w:val="001B408F"/>
    <w:rsid w:val="001B4D20"/>
    <w:rsid w:val="001B4E2B"/>
    <w:rsid w:val="001B56D9"/>
    <w:rsid w:val="001B68DD"/>
    <w:rsid w:val="001B6CDD"/>
    <w:rsid w:val="001B7002"/>
    <w:rsid w:val="001C01A8"/>
    <w:rsid w:val="001C06DC"/>
    <w:rsid w:val="001C0958"/>
    <w:rsid w:val="001C2A9B"/>
    <w:rsid w:val="001C2EA6"/>
    <w:rsid w:val="001C2F71"/>
    <w:rsid w:val="001C340E"/>
    <w:rsid w:val="001C4299"/>
    <w:rsid w:val="001C4874"/>
    <w:rsid w:val="001C50BB"/>
    <w:rsid w:val="001C590B"/>
    <w:rsid w:val="001C5D8A"/>
    <w:rsid w:val="001C5E09"/>
    <w:rsid w:val="001C5F94"/>
    <w:rsid w:val="001C6E66"/>
    <w:rsid w:val="001C7FBF"/>
    <w:rsid w:val="001D051C"/>
    <w:rsid w:val="001D1100"/>
    <w:rsid w:val="001D1391"/>
    <w:rsid w:val="001D1690"/>
    <w:rsid w:val="001D25D7"/>
    <w:rsid w:val="001D2973"/>
    <w:rsid w:val="001D2A87"/>
    <w:rsid w:val="001D3735"/>
    <w:rsid w:val="001D43A2"/>
    <w:rsid w:val="001D50B2"/>
    <w:rsid w:val="001D50E7"/>
    <w:rsid w:val="001D57E6"/>
    <w:rsid w:val="001D5C9C"/>
    <w:rsid w:val="001D6218"/>
    <w:rsid w:val="001D7645"/>
    <w:rsid w:val="001E1E86"/>
    <w:rsid w:val="001E238E"/>
    <w:rsid w:val="001E2483"/>
    <w:rsid w:val="001E2767"/>
    <w:rsid w:val="001E2B1E"/>
    <w:rsid w:val="001E2CFF"/>
    <w:rsid w:val="001E2F24"/>
    <w:rsid w:val="001E30D4"/>
    <w:rsid w:val="001E31E5"/>
    <w:rsid w:val="001E34DF"/>
    <w:rsid w:val="001E3B10"/>
    <w:rsid w:val="001E4AF4"/>
    <w:rsid w:val="001E5025"/>
    <w:rsid w:val="001E52EB"/>
    <w:rsid w:val="001E583B"/>
    <w:rsid w:val="001E61D2"/>
    <w:rsid w:val="001E740C"/>
    <w:rsid w:val="001E77BB"/>
    <w:rsid w:val="001F06EB"/>
    <w:rsid w:val="001F1235"/>
    <w:rsid w:val="001F1829"/>
    <w:rsid w:val="001F1987"/>
    <w:rsid w:val="001F1B19"/>
    <w:rsid w:val="001F1BBE"/>
    <w:rsid w:val="001F1CB3"/>
    <w:rsid w:val="001F2757"/>
    <w:rsid w:val="001F32F7"/>
    <w:rsid w:val="001F33D0"/>
    <w:rsid w:val="001F38B5"/>
    <w:rsid w:val="001F3AF0"/>
    <w:rsid w:val="001F3D37"/>
    <w:rsid w:val="001F4081"/>
    <w:rsid w:val="001F488C"/>
    <w:rsid w:val="001F67BD"/>
    <w:rsid w:val="001F7361"/>
    <w:rsid w:val="001F7BC3"/>
    <w:rsid w:val="002011B0"/>
    <w:rsid w:val="00201503"/>
    <w:rsid w:val="00201BFB"/>
    <w:rsid w:val="00202493"/>
    <w:rsid w:val="00203181"/>
    <w:rsid w:val="002032FA"/>
    <w:rsid w:val="00203783"/>
    <w:rsid w:val="0020385F"/>
    <w:rsid w:val="00203BBA"/>
    <w:rsid w:val="00204850"/>
    <w:rsid w:val="002052AF"/>
    <w:rsid w:val="002060A0"/>
    <w:rsid w:val="0020679E"/>
    <w:rsid w:val="0020686A"/>
    <w:rsid w:val="002068A0"/>
    <w:rsid w:val="00207021"/>
    <w:rsid w:val="0020732F"/>
    <w:rsid w:val="002076F8"/>
    <w:rsid w:val="00207D00"/>
    <w:rsid w:val="002100EA"/>
    <w:rsid w:val="002105C1"/>
    <w:rsid w:val="00211002"/>
    <w:rsid w:val="00212898"/>
    <w:rsid w:val="00213A01"/>
    <w:rsid w:val="00213EEA"/>
    <w:rsid w:val="00213EF5"/>
    <w:rsid w:val="0021403D"/>
    <w:rsid w:val="002156DA"/>
    <w:rsid w:val="00216BF5"/>
    <w:rsid w:val="00217732"/>
    <w:rsid w:val="00217AD8"/>
    <w:rsid w:val="00217C13"/>
    <w:rsid w:val="00220BDA"/>
    <w:rsid w:val="00220DF2"/>
    <w:rsid w:val="00223B49"/>
    <w:rsid w:val="00223D5A"/>
    <w:rsid w:val="00223E3F"/>
    <w:rsid w:val="00224DD4"/>
    <w:rsid w:val="00225332"/>
    <w:rsid w:val="00225EC6"/>
    <w:rsid w:val="00226C2E"/>
    <w:rsid w:val="002278A0"/>
    <w:rsid w:val="002309CC"/>
    <w:rsid w:val="00230F37"/>
    <w:rsid w:val="0023169B"/>
    <w:rsid w:val="00231D03"/>
    <w:rsid w:val="0023209F"/>
    <w:rsid w:val="00232944"/>
    <w:rsid w:val="00233C01"/>
    <w:rsid w:val="0023413C"/>
    <w:rsid w:val="002346F0"/>
    <w:rsid w:val="00234D77"/>
    <w:rsid w:val="002354FE"/>
    <w:rsid w:val="0023629D"/>
    <w:rsid w:val="00236F6B"/>
    <w:rsid w:val="00237255"/>
    <w:rsid w:val="0024037D"/>
    <w:rsid w:val="0024102F"/>
    <w:rsid w:val="00241352"/>
    <w:rsid w:val="002419B0"/>
    <w:rsid w:val="002424AF"/>
    <w:rsid w:val="002426AF"/>
    <w:rsid w:val="0024279C"/>
    <w:rsid w:val="00243232"/>
    <w:rsid w:val="002434B7"/>
    <w:rsid w:val="0024353C"/>
    <w:rsid w:val="002439DC"/>
    <w:rsid w:val="002441D2"/>
    <w:rsid w:val="002444A4"/>
    <w:rsid w:val="00244DC8"/>
    <w:rsid w:val="002452C0"/>
    <w:rsid w:val="002458BA"/>
    <w:rsid w:val="00245AE8"/>
    <w:rsid w:val="00245CE9"/>
    <w:rsid w:val="0024636C"/>
    <w:rsid w:val="0024685F"/>
    <w:rsid w:val="002471BD"/>
    <w:rsid w:val="00247925"/>
    <w:rsid w:val="00251006"/>
    <w:rsid w:val="00251058"/>
    <w:rsid w:val="002512AB"/>
    <w:rsid w:val="002524D5"/>
    <w:rsid w:val="00252FBB"/>
    <w:rsid w:val="00253B1D"/>
    <w:rsid w:val="00254378"/>
    <w:rsid w:val="002547B8"/>
    <w:rsid w:val="00254DCF"/>
    <w:rsid w:val="0025534B"/>
    <w:rsid w:val="00255BA0"/>
    <w:rsid w:val="00255BB7"/>
    <w:rsid w:val="00256C7B"/>
    <w:rsid w:val="00256CB8"/>
    <w:rsid w:val="00256CE9"/>
    <w:rsid w:val="00257541"/>
    <w:rsid w:val="00257865"/>
    <w:rsid w:val="00257A39"/>
    <w:rsid w:val="00257A88"/>
    <w:rsid w:val="00257AC4"/>
    <w:rsid w:val="00260049"/>
    <w:rsid w:val="0026044A"/>
    <w:rsid w:val="00261016"/>
    <w:rsid w:val="0026112D"/>
    <w:rsid w:val="00261EEF"/>
    <w:rsid w:val="002622EC"/>
    <w:rsid w:val="00262301"/>
    <w:rsid w:val="00262A1A"/>
    <w:rsid w:val="00262A87"/>
    <w:rsid w:val="00264359"/>
    <w:rsid w:val="00264513"/>
    <w:rsid w:val="00264D26"/>
    <w:rsid w:val="00265478"/>
    <w:rsid w:val="002656C1"/>
    <w:rsid w:val="00266245"/>
    <w:rsid w:val="00266441"/>
    <w:rsid w:val="002664B3"/>
    <w:rsid w:val="00267642"/>
    <w:rsid w:val="00267AEA"/>
    <w:rsid w:val="00267BD2"/>
    <w:rsid w:val="00267EC0"/>
    <w:rsid w:val="002700E6"/>
    <w:rsid w:val="002702DC"/>
    <w:rsid w:val="002707C0"/>
    <w:rsid w:val="0027086D"/>
    <w:rsid w:val="002715F7"/>
    <w:rsid w:val="00271AA8"/>
    <w:rsid w:val="0027294B"/>
    <w:rsid w:val="00272F1E"/>
    <w:rsid w:val="00273A97"/>
    <w:rsid w:val="00273EB4"/>
    <w:rsid w:val="00274682"/>
    <w:rsid w:val="00274787"/>
    <w:rsid w:val="0027549B"/>
    <w:rsid w:val="00275C5A"/>
    <w:rsid w:val="0027601C"/>
    <w:rsid w:val="0027666D"/>
    <w:rsid w:val="0028023B"/>
    <w:rsid w:val="00281014"/>
    <w:rsid w:val="0028140C"/>
    <w:rsid w:val="00281B4F"/>
    <w:rsid w:val="00282637"/>
    <w:rsid w:val="00282898"/>
    <w:rsid w:val="00283F16"/>
    <w:rsid w:val="0028639B"/>
    <w:rsid w:val="0028665D"/>
    <w:rsid w:val="00286FB8"/>
    <w:rsid w:val="002871B6"/>
    <w:rsid w:val="00287EBE"/>
    <w:rsid w:val="002909AA"/>
    <w:rsid w:val="002919F9"/>
    <w:rsid w:val="00293806"/>
    <w:rsid w:val="0029443F"/>
    <w:rsid w:val="00294ACE"/>
    <w:rsid w:val="0029585F"/>
    <w:rsid w:val="00297513"/>
    <w:rsid w:val="00297B3B"/>
    <w:rsid w:val="002A033B"/>
    <w:rsid w:val="002A0C27"/>
    <w:rsid w:val="002A13DF"/>
    <w:rsid w:val="002A14AB"/>
    <w:rsid w:val="002A1E65"/>
    <w:rsid w:val="002A25C3"/>
    <w:rsid w:val="002A25EA"/>
    <w:rsid w:val="002A2699"/>
    <w:rsid w:val="002A2ADE"/>
    <w:rsid w:val="002A2F50"/>
    <w:rsid w:val="002A4D69"/>
    <w:rsid w:val="002A701B"/>
    <w:rsid w:val="002A779E"/>
    <w:rsid w:val="002A7B49"/>
    <w:rsid w:val="002A7FC1"/>
    <w:rsid w:val="002B05A1"/>
    <w:rsid w:val="002B09A4"/>
    <w:rsid w:val="002B1C1F"/>
    <w:rsid w:val="002B26B3"/>
    <w:rsid w:val="002B2F8A"/>
    <w:rsid w:val="002B3C2A"/>
    <w:rsid w:val="002B3D02"/>
    <w:rsid w:val="002B432F"/>
    <w:rsid w:val="002B62B3"/>
    <w:rsid w:val="002B6754"/>
    <w:rsid w:val="002B6CCE"/>
    <w:rsid w:val="002B7165"/>
    <w:rsid w:val="002B76BA"/>
    <w:rsid w:val="002C2510"/>
    <w:rsid w:val="002C2775"/>
    <w:rsid w:val="002C27C1"/>
    <w:rsid w:val="002C2CE1"/>
    <w:rsid w:val="002C3112"/>
    <w:rsid w:val="002C35DD"/>
    <w:rsid w:val="002C3D28"/>
    <w:rsid w:val="002C5099"/>
    <w:rsid w:val="002C5889"/>
    <w:rsid w:val="002C6187"/>
    <w:rsid w:val="002C64C2"/>
    <w:rsid w:val="002C68A0"/>
    <w:rsid w:val="002C6E52"/>
    <w:rsid w:val="002C6F44"/>
    <w:rsid w:val="002C6FA1"/>
    <w:rsid w:val="002C71CE"/>
    <w:rsid w:val="002D08F8"/>
    <w:rsid w:val="002D249B"/>
    <w:rsid w:val="002D2A49"/>
    <w:rsid w:val="002D2CA5"/>
    <w:rsid w:val="002D3DE3"/>
    <w:rsid w:val="002D4A31"/>
    <w:rsid w:val="002D4B5E"/>
    <w:rsid w:val="002D577C"/>
    <w:rsid w:val="002D5B71"/>
    <w:rsid w:val="002D6514"/>
    <w:rsid w:val="002D6555"/>
    <w:rsid w:val="002D6B06"/>
    <w:rsid w:val="002E03E4"/>
    <w:rsid w:val="002E0CBE"/>
    <w:rsid w:val="002E1071"/>
    <w:rsid w:val="002E1101"/>
    <w:rsid w:val="002E15B9"/>
    <w:rsid w:val="002E18DF"/>
    <w:rsid w:val="002E2158"/>
    <w:rsid w:val="002E217F"/>
    <w:rsid w:val="002E2846"/>
    <w:rsid w:val="002E4F02"/>
    <w:rsid w:val="002E5E8E"/>
    <w:rsid w:val="002E5F1A"/>
    <w:rsid w:val="002E60FC"/>
    <w:rsid w:val="002E6114"/>
    <w:rsid w:val="002E632F"/>
    <w:rsid w:val="002E71ED"/>
    <w:rsid w:val="002E7722"/>
    <w:rsid w:val="002E78D6"/>
    <w:rsid w:val="002F07BA"/>
    <w:rsid w:val="002F0DA9"/>
    <w:rsid w:val="002F0EE9"/>
    <w:rsid w:val="002F1014"/>
    <w:rsid w:val="002F318E"/>
    <w:rsid w:val="002F3448"/>
    <w:rsid w:val="002F4130"/>
    <w:rsid w:val="002F417D"/>
    <w:rsid w:val="002F4EEE"/>
    <w:rsid w:val="002F5096"/>
    <w:rsid w:val="002F5E4E"/>
    <w:rsid w:val="002F643C"/>
    <w:rsid w:val="002F6656"/>
    <w:rsid w:val="002F71C0"/>
    <w:rsid w:val="002F74F1"/>
    <w:rsid w:val="002F75FF"/>
    <w:rsid w:val="002F77CA"/>
    <w:rsid w:val="002F7896"/>
    <w:rsid w:val="00300929"/>
    <w:rsid w:val="00300B04"/>
    <w:rsid w:val="00301017"/>
    <w:rsid w:val="0030155F"/>
    <w:rsid w:val="00301855"/>
    <w:rsid w:val="003028B3"/>
    <w:rsid w:val="00303893"/>
    <w:rsid w:val="00304F02"/>
    <w:rsid w:val="0030516B"/>
    <w:rsid w:val="0030587B"/>
    <w:rsid w:val="00306C10"/>
    <w:rsid w:val="00306D98"/>
    <w:rsid w:val="0030763E"/>
    <w:rsid w:val="0030786C"/>
    <w:rsid w:val="0031031A"/>
    <w:rsid w:val="00310981"/>
    <w:rsid w:val="003114D6"/>
    <w:rsid w:val="00311D95"/>
    <w:rsid w:val="003120D4"/>
    <w:rsid w:val="003124D9"/>
    <w:rsid w:val="00312594"/>
    <w:rsid w:val="00312650"/>
    <w:rsid w:val="00315498"/>
    <w:rsid w:val="00316474"/>
    <w:rsid w:val="00317BCB"/>
    <w:rsid w:val="00317FB3"/>
    <w:rsid w:val="003201A5"/>
    <w:rsid w:val="00320C69"/>
    <w:rsid w:val="003214C2"/>
    <w:rsid w:val="003217DA"/>
    <w:rsid w:val="003218FD"/>
    <w:rsid w:val="00322107"/>
    <w:rsid w:val="00322355"/>
    <w:rsid w:val="00322846"/>
    <w:rsid w:val="00322A81"/>
    <w:rsid w:val="003239F9"/>
    <w:rsid w:val="00324C2A"/>
    <w:rsid w:val="00325030"/>
    <w:rsid w:val="003264A1"/>
    <w:rsid w:val="00326682"/>
    <w:rsid w:val="00326DA7"/>
    <w:rsid w:val="003270E4"/>
    <w:rsid w:val="003309F5"/>
    <w:rsid w:val="00330DAA"/>
    <w:rsid w:val="00330F5C"/>
    <w:rsid w:val="00331BC5"/>
    <w:rsid w:val="003330C0"/>
    <w:rsid w:val="00333A34"/>
    <w:rsid w:val="003366C9"/>
    <w:rsid w:val="00336C46"/>
    <w:rsid w:val="00336E4D"/>
    <w:rsid w:val="003371B0"/>
    <w:rsid w:val="00337971"/>
    <w:rsid w:val="003403BF"/>
    <w:rsid w:val="00340557"/>
    <w:rsid w:val="003406D8"/>
    <w:rsid w:val="00340D6B"/>
    <w:rsid w:val="00340DF1"/>
    <w:rsid w:val="00342019"/>
    <w:rsid w:val="00344BF5"/>
    <w:rsid w:val="00346A82"/>
    <w:rsid w:val="00346CC4"/>
    <w:rsid w:val="00346EDF"/>
    <w:rsid w:val="00350990"/>
    <w:rsid w:val="003509B2"/>
    <w:rsid w:val="00350F4C"/>
    <w:rsid w:val="003517F9"/>
    <w:rsid w:val="00351BA9"/>
    <w:rsid w:val="00352635"/>
    <w:rsid w:val="00353CFD"/>
    <w:rsid w:val="003549DD"/>
    <w:rsid w:val="00354F64"/>
    <w:rsid w:val="003554A1"/>
    <w:rsid w:val="00355CA4"/>
    <w:rsid w:val="0035620E"/>
    <w:rsid w:val="00356250"/>
    <w:rsid w:val="0035765D"/>
    <w:rsid w:val="00360345"/>
    <w:rsid w:val="003603B0"/>
    <w:rsid w:val="003604AC"/>
    <w:rsid w:val="00360BEE"/>
    <w:rsid w:val="00361A05"/>
    <w:rsid w:val="003624C4"/>
    <w:rsid w:val="00363B00"/>
    <w:rsid w:val="00364E94"/>
    <w:rsid w:val="00365018"/>
    <w:rsid w:val="003654AC"/>
    <w:rsid w:val="003666A9"/>
    <w:rsid w:val="00366A64"/>
    <w:rsid w:val="00367489"/>
    <w:rsid w:val="003676B0"/>
    <w:rsid w:val="00370126"/>
    <w:rsid w:val="003710CF"/>
    <w:rsid w:val="003714DA"/>
    <w:rsid w:val="0037358A"/>
    <w:rsid w:val="00374B73"/>
    <w:rsid w:val="003750F6"/>
    <w:rsid w:val="003760D3"/>
    <w:rsid w:val="003760FC"/>
    <w:rsid w:val="003766AB"/>
    <w:rsid w:val="00376848"/>
    <w:rsid w:val="00376A80"/>
    <w:rsid w:val="003771E6"/>
    <w:rsid w:val="003777F7"/>
    <w:rsid w:val="0037788E"/>
    <w:rsid w:val="003803E6"/>
    <w:rsid w:val="00382186"/>
    <w:rsid w:val="00383593"/>
    <w:rsid w:val="0038365C"/>
    <w:rsid w:val="0038369B"/>
    <w:rsid w:val="0038384C"/>
    <w:rsid w:val="00383B78"/>
    <w:rsid w:val="0038490C"/>
    <w:rsid w:val="00384FF0"/>
    <w:rsid w:val="003850D5"/>
    <w:rsid w:val="0038538D"/>
    <w:rsid w:val="00385924"/>
    <w:rsid w:val="003859DF"/>
    <w:rsid w:val="00385A9D"/>
    <w:rsid w:val="00386EEA"/>
    <w:rsid w:val="0038782E"/>
    <w:rsid w:val="00387895"/>
    <w:rsid w:val="003902B1"/>
    <w:rsid w:val="0039179C"/>
    <w:rsid w:val="003917A7"/>
    <w:rsid w:val="0039498E"/>
    <w:rsid w:val="0039657C"/>
    <w:rsid w:val="00396896"/>
    <w:rsid w:val="00396FD0"/>
    <w:rsid w:val="00397415"/>
    <w:rsid w:val="003975BA"/>
    <w:rsid w:val="003A10EC"/>
    <w:rsid w:val="003A1A7A"/>
    <w:rsid w:val="003A1BCD"/>
    <w:rsid w:val="003A2347"/>
    <w:rsid w:val="003A2392"/>
    <w:rsid w:val="003A2831"/>
    <w:rsid w:val="003A299C"/>
    <w:rsid w:val="003A2EFA"/>
    <w:rsid w:val="003A3CB6"/>
    <w:rsid w:val="003A3DFF"/>
    <w:rsid w:val="003A3E40"/>
    <w:rsid w:val="003A3ED1"/>
    <w:rsid w:val="003A44DB"/>
    <w:rsid w:val="003A4D9F"/>
    <w:rsid w:val="003A4EC7"/>
    <w:rsid w:val="003A51EB"/>
    <w:rsid w:val="003A632A"/>
    <w:rsid w:val="003A6E27"/>
    <w:rsid w:val="003A6EF6"/>
    <w:rsid w:val="003A729C"/>
    <w:rsid w:val="003A785F"/>
    <w:rsid w:val="003B019C"/>
    <w:rsid w:val="003B02C8"/>
    <w:rsid w:val="003B0CA2"/>
    <w:rsid w:val="003B0D70"/>
    <w:rsid w:val="003B1F7E"/>
    <w:rsid w:val="003B2119"/>
    <w:rsid w:val="003B3971"/>
    <w:rsid w:val="003B3B31"/>
    <w:rsid w:val="003B5514"/>
    <w:rsid w:val="003B55D1"/>
    <w:rsid w:val="003B5B34"/>
    <w:rsid w:val="003B5B61"/>
    <w:rsid w:val="003B63B4"/>
    <w:rsid w:val="003B6548"/>
    <w:rsid w:val="003B68E7"/>
    <w:rsid w:val="003B7916"/>
    <w:rsid w:val="003B7D89"/>
    <w:rsid w:val="003B7DE8"/>
    <w:rsid w:val="003C009F"/>
    <w:rsid w:val="003C0B92"/>
    <w:rsid w:val="003C1654"/>
    <w:rsid w:val="003C287D"/>
    <w:rsid w:val="003C3D7F"/>
    <w:rsid w:val="003C418A"/>
    <w:rsid w:val="003C5542"/>
    <w:rsid w:val="003C758A"/>
    <w:rsid w:val="003C7D19"/>
    <w:rsid w:val="003C7D2F"/>
    <w:rsid w:val="003D0562"/>
    <w:rsid w:val="003D1828"/>
    <w:rsid w:val="003D1DE4"/>
    <w:rsid w:val="003D1E9A"/>
    <w:rsid w:val="003D1F4D"/>
    <w:rsid w:val="003D2422"/>
    <w:rsid w:val="003D2B15"/>
    <w:rsid w:val="003D329D"/>
    <w:rsid w:val="003D32DB"/>
    <w:rsid w:val="003D39A1"/>
    <w:rsid w:val="003D3F23"/>
    <w:rsid w:val="003D3FBF"/>
    <w:rsid w:val="003D4762"/>
    <w:rsid w:val="003D4A30"/>
    <w:rsid w:val="003D4C51"/>
    <w:rsid w:val="003D5618"/>
    <w:rsid w:val="003D5A2D"/>
    <w:rsid w:val="003D6C89"/>
    <w:rsid w:val="003D7452"/>
    <w:rsid w:val="003D76F5"/>
    <w:rsid w:val="003D79BB"/>
    <w:rsid w:val="003D7C98"/>
    <w:rsid w:val="003D7D9D"/>
    <w:rsid w:val="003E03F3"/>
    <w:rsid w:val="003E0543"/>
    <w:rsid w:val="003E0796"/>
    <w:rsid w:val="003E0800"/>
    <w:rsid w:val="003E0ECA"/>
    <w:rsid w:val="003E15C8"/>
    <w:rsid w:val="003E1E08"/>
    <w:rsid w:val="003E2A28"/>
    <w:rsid w:val="003E304D"/>
    <w:rsid w:val="003E33EC"/>
    <w:rsid w:val="003E3C66"/>
    <w:rsid w:val="003E4333"/>
    <w:rsid w:val="003E749E"/>
    <w:rsid w:val="003F0BA8"/>
    <w:rsid w:val="003F13AE"/>
    <w:rsid w:val="003F15EE"/>
    <w:rsid w:val="003F38A3"/>
    <w:rsid w:val="003F4156"/>
    <w:rsid w:val="003F472F"/>
    <w:rsid w:val="003F4E26"/>
    <w:rsid w:val="003F5ADF"/>
    <w:rsid w:val="003F6073"/>
    <w:rsid w:val="003F67C7"/>
    <w:rsid w:val="003F6DEF"/>
    <w:rsid w:val="003F7884"/>
    <w:rsid w:val="003F78B4"/>
    <w:rsid w:val="003F7BF6"/>
    <w:rsid w:val="00400B29"/>
    <w:rsid w:val="00401516"/>
    <w:rsid w:val="0040178D"/>
    <w:rsid w:val="00402A9B"/>
    <w:rsid w:val="0040396C"/>
    <w:rsid w:val="0040405D"/>
    <w:rsid w:val="004044CB"/>
    <w:rsid w:val="0040504B"/>
    <w:rsid w:val="004059F4"/>
    <w:rsid w:val="0040619A"/>
    <w:rsid w:val="00406268"/>
    <w:rsid w:val="004068D3"/>
    <w:rsid w:val="004077F5"/>
    <w:rsid w:val="0040783A"/>
    <w:rsid w:val="00407B16"/>
    <w:rsid w:val="00407FE5"/>
    <w:rsid w:val="00410049"/>
    <w:rsid w:val="004101B0"/>
    <w:rsid w:val="00410326"/>
    <w:rsid w:val="00410708"/>
    <w:rsid w:val="00410822"/>
    <w:rsid w:val="00410EC7"/>
    <w:rsid w:val="004112FF"/>
    <w:rsid w:val="00411B39"/>
    <w:rsid w:val="00411D95"/>
    <w:rsid w:val="00411E08"/>
    <w:rsid w:val="004127A7"/>
    <w:rsid w:val="00412EF9"/>
    <w:rsid w:val="004132C1"/>
    <w:rsid w:val="00413506"/>
    <w:rsid w:val="00413A1E"/>
    <w:rsid w:val="00413D35"/>
    <w:rsid w:val="00413E61"/>
    <w:rsid w:val="00414476"/>
    <w:rsid w:val="0041471C"/>
    <w:rsid w:val="00414B4E"/>
    <w:rsid w:val="00414C2E"/>
    <w:rsid w:val="004151CF"/>
    <w:rsid w:val="00416364"/>
    <w:rsid w:val="004177BC"/>
    <w:rsid w:val="00417ADA"/>
    <w:rsid w:val="00417DC4"/>
    <w:rsid w:val="0042047F"/>
    <w:rsid w:val="00420A9B"/>
    <w:rsid w:val="00420AA6"/>
    <w:rsid w:val="00420B9F"/>
    <w:rsid w:val="0042128C"/>
    <w:rsid w:val="004215A9"/>
    <w:rsid w:val="0042192C"/>
    <w:rsid w:val="00421CC5"/>
    <w:rsid w:val="0042222E"/>
    <w:rsid w:val="00422260"/>
    <w:rsid w:val="00422DE8"/>
    <w:rsid w:val="004234DD"/>
    <w:rsid w:val="00423EF8"/>
    <w:rsid w:val="00423FD7"/>
    <w:rsid w:val="0042413F"/>
    <w:rsid w:val="00425ABE"/>
    <w:rsid w:val="004267AE"/>
    <w:rsid w:val="004277F7"/>
    <w:rsid w:val="00430C56"/>
    <w:rsid w:val="004319F8"/>
    <w:rsid w:val="00431E55"/>
    <w:rsid w:val="004321F6"/>
    <w:rsid w:val="00433044"/>
    <w:rsid w:val="00434000"/>
    <w:rsid w:val="00434088"/>
    <w:rsid w:val="0043522C"/>
    <w:rsid w:val="004375B9"/>
    <w:rsid w:val="00437928"/>
    <w:rsid w:val="00441208"/>
    <w:rsid w:val="00441982"/>
    <w:rsid w:val="004420F2"/>
    <w:rsid w:val="0044228F"/>
    <w:rsid w:val="004428D0"/>
    <w:rsid w:val="004428FC"/>
    <w:rsid w:val="00443243"/>
    <w:rsid w:val="00443CAF"/>
    <w:rsid w:val="00444185"/>
    <w:rsid w:val="004443A7"/>
    <w:rsid w:val="0044442C"/>
    <w:rsid w:val="00444536"/>
    <w:rsid w:val="0044525E"/>
    <w:rsid w:val="00445941"/>
    <w:rsid w:val="00445FEC"/>
    <w:rsid w:val="004464EB"/>
    <w:rsid w:val="00447931"/>
    <w:rsid w:val="00447C2A"/>
    <w:rsid w:val="00447D26"/>
    <w:rsid w:val="00447DFC"/>
    <w:rsid w:val="00447F79"/>
    <w:rsid w:val="00451567"/>
    <w:rsid w:val="00451C52"/>
    <w:rsid w:val="004528B8"/>
    <w:rsid w:val="004532A2"/>
    <w:rsid w:val="00455A43"/>
    <w:rsid w:val="00455D45"/>
    <w:rsid w:val="00457EA7"/>
    <w:rsid w:val="00460C15"/>
    <w:rsid w:val="00461A2F"/>
    <w:rsid w:val="00462DD3"/>
    <w:rsid w:val="004637D2"/>
    <w:rsid w:val="00463C92"/>
    <w:rsid w:val="004641D0"/>
    <w:rsid w:val="00464595"/>
    <w:rsid w:val="004650A8"/>
    <w:rsid w:val="00465493"/>
    <w:rsid w:val="004658B5"/>
    <w:rsid w:val="004661B2"/>
    <w:rsid w:val="00466497"/>
    <w:rsid w:val="004675B7"/>
    <w:rsid w:val="004679EE"/>
    <w:rsid w:val="0047022F"/>
    <w:rsid w:val="00470C10"/>
    <w:rsid w:val="00471EA5"/>
    <w:rsid w:val="0047262F"/>
    <w:rsid w:val="00472A79"/>
    <w:rsid w:val="00472F3E"/>
    <w:rsid w:val="00473F19"/>
    <w:rsid w:val="00474F35"/>
    <w:rsid w:val="004751CD"/>
    <w:rsid w:val="00475E22"/>
    <w:rsid w:val="004765F4"/>
    <w:rsid w:val="00476C64"/>
    <w:rsid w:val="00476ECF"/>
    <w:rsid w:val="00477509"/>
    <w:rsid w:val="004803C7"/>
    <w:rsid w:val="00480404"/>
    <w:rsid w:val="0048071B"/>
    <w:rsid w:val="0048088E"/>
    <w:rsid w:val="00480F2B"/>
    <w:rsid w:val="00481807"/>
    <w:rsid w:val="00481B35"/>
    <w:rsid w:val="004820AA"/>
    <w:rsid w:val="00482720"/>
    <w:rsid w:val="00482D8C"/>
    <w:rsid w:val="00483260"/>
    <w:rsid w:val="004835E7"/>
    <w:rsid w:val="00483EB6"/>
    <w:rsid w:val="00484F39"/>
    <w:rsid w:val="00484FE3"/>
    <w:rsid w:val="004867E2"/>
    <w:rsid w:val="0048771D"/>
    <w:rsid w:val="00487E92"/>
    <w:rsid w:val="00490B17"/>
    <w:rsid w:val="00490E77"/>
    <w:rsid w:val="004915CC"/>
    <w:rsid w:val="004918E8"/>
    <w:rsid w:val="00491B3A"/>
    <w:rsid w:val="00492089"/>
    <w:rsid w:val="0049218C"/>
    <w:rsid w:val="004926C6"/>
    <w:rsid w:val="00492CFD"/>
    <w:rsid w:val="004938DC"/>
    <w:rsid w:val="004938FF"/>
    <w:rsid w:val="00494207"/>
    <w:rsid w:val="00494666"/>
    <w:rsid w:val="004948F8"/>
    <w:rsid w:val="00494DD5"/>
    <w:rsid w:val="00494F35"/>
    <w:rsid w:val="004959BD"/>
    <w:rsid w:val="004962D2"/>
    <w:rsid w:val="00496B8F"/>
    <w:rsid w:val="00497048"/>
    <w:rsid w:val="00497F76"/>
    <w:rsid w:val="004A04C2"/>
    <w:rsid w:val="004A0DA1"/>
    <w:rsid w:val="004A13D6"/>
    <w:rsid w:val="004A148A"/>
    <w:rsid w:val="004A2AD9"/>
    <w:rsid w:val="004A2BEA"/>
    <w:rsid w:val="004A3152"/>
    <w:rsid w:val="004A3D0F"/>
    <w:rsid w:val="004A41FC"/>
    <w:rsid w:val="004A45B7"/>
    <w:rsid w:val="004A46A5"/>
    <w:rsid w:val="004A52E9"/>
    <w:rsid w:val="004A56C5"/>
    <w:rsid w:val="004A571A"/>
    <w:rsid w:val="004A6040"/>
    <w:rsid w:val="004A6597"/>
    <w:rsid w:val="004A7556"/>
    <w:rsid w:val="004A7848"/>
    <w:rsid w:val="004A7F58"/>
    <w:rsid w:val="004A7F91"/>
    <w:rsid w:val="004B1242"/>
    <w:rsid w:val="004B13C8"/>
    <w:rsid w:val="004B15CB"/>
    <w:rsid w:val="004B1747"/>
    <w:rsid w:val="004B1944"/>
    <w:rsid w:val="004B1CB4"/>
    <w:rsid w:val="004B2087"/>
    <w:rsid w:val="004B20CE"/>
    <w:rsid w:val="004B2300"/>
    <w:rsid w:val="004B2F18"/>
    <w:rsid w:val="004B3DDB"/>
    <w:rsid w:val="004B3FE0"/>
    <w:rsid w:val="004B44FD"/>
    <w:rsid w:val="004B5AE6"/>
    <w:rsid w:val="004B5CFA"/>
    <w:rsid w:val="004B5CFC"/>
    <w:rsid w:val="004B6AA6"/>
    <w:rsid w:val="004B6F79"/>
    <w:rsid w:val="004B774D"/>
    <w:rsid w:val="004C0E6D"/>
    <w:rsid w:val="004C2D45"/>
    <w:rsid w:val="004C4AED"/>
    <w:rsid w:val="004C4F78"/>
    <w:rsid w:val="004C61D5"/>
    <w:rsid w:val="004C6230"/>
    <w:rsid w:val="004C655C"/>
    <w:rsid w:val="004C6DA1"/>
    <w:rsid w:val="004C7266"/>
    <w:rsid w:val="004C7DA1"/>
    <w:rsid w:val="004D01C5"/>
    <w:rsid w:val="004D0D13"/>
    <w:rsid w:val="004D1176"/>
    <w:rsid w:val="004D1285"/>
    <w:rsid w:val="004D18F0"/>
    <w:rsid w:val="004D197B"/>
    <w:rsid w:val="004D1E9C"/>
    <w:rsid w:val="004D293B"/>
    <w:rsid w:val="004D2B09"/>
    <w:rsid w:val="004D2C2D"/>
    <w:rsid w:val="004D374C"/>
    <w:rsid w:val="004D4006"/>
    <w:rsid w:val="004D4B6E"/>
    <w:rsid w:val="004D4C2D"/>
    <w:rsid w:val="004D4FBD"/>
    <w:rsid w:val="004D5A84"/>
    <w:rsid w:val="004D69B5"/>
    <w:rsid w:val="004D7227"/>
    <w:rsid w:val="004D74DC"/>
    <w:rsid w:val="004D7653"/>
    <w:rsid w:val="004E0E7F"/>
    <w:rsid w:val="004E0EB8"/>
    <w:rsid w:val="004E1122"/>
    <w:rsid w:val="004E14CA"/>
    <w:rsid w:val="004E18E9"/>
    <w:rsid w:val="004E27D3"/>
    <w:rsid w:val="004E2ADC"/>
    <w:rsid w:val="004E2CFA"/>
    <w:rsid w:val="004E2EF2"/>
    <w:rsid w:val="004E3B56"/>
    <w:rsid w:val="004E4111"/>
    <w:rsid w:val="004E43B2"/>
    <w:rsid w:val="004E47C4"/>
    <w:rsid w:val="004E50A9"/>
    <w:rsid w:val="004E5999"/>
    <w:rsid w:val="004E68A5"/>
    <w:rsid w:val="004E78FD"/>
    <w:rsid w:val="004F0386"/>
    <w:rsid w:val="004F0461"/>
    <w:rsid w:val="004F1B98"/>
    <w:rsid w:val="004F1D02"/>
    <w:rsid w:val="004F1D81"/>
    <w:rsid w:val="004F2679"/>
    <w:rsid w:val="004F2F21"/>
    <w:rsid w:val="004F3DE5"/>
    <w:rsid w:val="004F3F1F"/>
    <w:rsid w:val="004F4745"/>
    <w:rsid w:val="004F5239"/>
    <w:rsid w:val="004F59E7"/>
    <w:rsid w:val="004F5C79"/>
    <w:rsid w:val="004F6913"/>
    <w:rsid w:val="004F737D"/>
    <w:rsid w:val="004F75F2"/>
    <w:rsid w:val="004F7865"/>
    <w:rsid w:val="004F7F51"/>
    <w:rsid w:val="0050054F"/>
    <w:rsid w:val="005006E1"/>
    <w:rsid w:val="00500BF6"/>
    <w:rsid w:val="00501697"/>
    <w:rsid w:val="00501744"/>
    <w:rsid w:val="0050174E"/>
    <w:rsid w:val="00501854"/>
    <w:rsid w:val="00501A39"/>
    <w:rsid w:val="0050219B"/>
    <w:rsid w:val="005023F8"/>
    <w:rsid w:val="00503F17"/>
    <w:rsid w:val="00504772"/>
    <w:rsid w:val="00504F44"/>
    <w:rsid w:val="005052BD"/>
    <w:rsid w:val="00505B17"/>
    <w:rsid w:val="00506474"/>
    <w:rsid w:val="005064E4"/>
    <w:rsid w:val="00506928"/>
    <w:rsid w:val="00507277"/>
    <w:rsid w:val="00507473"/>
    <w:rsid w:val="005077EF"/>
    <w:rsid w:val="00507801"/>
    <w:rsid w:val="00507BCE"/>
    <w:rsid w:val="00511837"/>
    <w:rsid w:val="00511AD5"/>
    <w:rsid w:val="00511DC7"/>
    <w:rsid w:val="005120B8"/>
    <w:rsid w:val="005121DE"/>
    <w:rsid w:val="0051374E"/>
    <w:rsid w:val="00513DC1"/>
    <w:rsid w:val="005142C5"/>
    <w:rsid w:val="0051501B"/>
    <w:rsid w:val="005152B5"/>
    <w:rsid w:val="005164C6"/>
    <w:rsid w:val="0051686C"/>
    <w:rsid w:val="00516A05"/>
    <w:rsid w:val="0052079E"/>
    <w:rsid w:val="00520DC7"/>
    <w:rsid w:val="0052123C"/>
    <w:rsid w:val="00521319"/>
    <w:rsid w:val="0052170D"/>
    <w:rsid w:val="00522BC8"/>
    <w:rsid w:val="005238EC"/>
    <w:rsid w:val="00523C28"/>
    <w:rsid w:val="00526511"/>
    <w:rsid w:val="00526687"/>
    <w:rsid w:val="00526D8D"/>
    <w:rsid w:val="005279BE"/>
    <w:rsid w:val="005303FA"/>
    <w:rsid w:val="0053176B"/>
    <w:rsid w:val="00532176"/>
    <w:rsid w:val="00532A39"/>
    <w:rsid w:val="0053311A"/>
    <w:rsid w:val="00533585"/>
    <w:rsid w:val="005340FE"/>
    <w:rsid w:val="00534644"/>
    <w:rsid w:val="00534A43"/>
    <w:rsid w:val="00534E09"/>
    <w:rsid w:val="0053504B"/>
    <w:rsid w:val="00535A1B"/>
    <w:rsid w:val="00536CC1"/>
    <w:rsid w:val="00536F42"/>
    <w:rsid w:val="00536FED"/>
    <w:rsid w:val="00537182"/>
    <w:rsid w:val="00537241"/>
    <w:rsid w:val="00537554"/>
    <w:rsid w:val="00537A26"/>
    <w:rsid w:val="00537DFC"/>
    <w:rsid w:val="00540240"/>
    <w:rsid w:val="00541EDD"/>
    <w:rsid w:val="00542440"/>
    <w:rsid w:val="00542743"/>
    <w:rsid w:val="00542839"/>
    <w:rsid w:val="00542C2D"/>
    <w:rsid w:val="0054302C"/>
    <w:rsid w:val="00544C31"/>
    <w:rsid w:val="00544EB2"/>
    <w:rsid w:val="0054506E"/>
    <w:rsid w:val="005456B4"/>
    <w:rsid w:val="0054621C"/>
    <w:rsid w:val="00546449"/>
    <w:rsid w:val="005468F6"/>
    <w:rsid w:val="00547263"/>
    <w:rsid w:val="005478BD"/>
    <w:rsid w:val="005479E3"/>
    <w:rsid w:val="00550475"/>
    <w:rsid w:val="0055146E"/>
    <w:rsid w:val="00551985"/>
    <w:rsid w:val="0055243E"/>
    <w:rsid w:val="005525B3"/>
    <w:rsid w:val="005528D6"/>
    <w:rsid w:val="00552BD3"/>
    <w:rsid w:val="005532A0"/>
    <w:rsid w:val="00553B4C"/>
    <w:rsid w:val="0055453F"/>
    <w:rsid w:val="00554A73"/>
    <w:rsid w:val="00555109"/>
    <w:rsid w:val="00556B35"/>
    <w:rsid w:val="00556F3E"/>
    <w:rsid w:val="0055741A"/>
    <w:rsid w:val="00557600"/>
    <w:rsid w:val="00557661"/>
    <w:rsid w:val="00560826"/>
    <w:rsid w:val="00560DF2"/>
    <w:rsid w:val="005611B7"/>
    <w:rsid w:val="005618D4"/>
    <w:rsid w:val="00562041"/>
    <w:rsid w:val="00562205"/>
    <w:rsid w:val="00562397"/>
    <w:rsid w:val="005625F7"/>
    <w:rsid w:val="00563ADD"/>
    <w:rsid w:val="00564CA1"/>
    <w:rsid w:val="00564EE4"/>
    <w:rsid w:val="00565A63"/>
    <w:rsid w:val="00565DF0"/>
    <w:rsid w:val="0056675C"/>
    <w:rsid w:val="0056696F"/>
    <w:rsid w:val="00566AEF"/>
    <w:rsid w:val="00566EEC"/>
    <w:rsid w:val="00567142"/>
    <w:rsid w:val="005701C6"/>
    <w:rsid w:val="005709D6"/>
    <w:rsid w:val="005711EF"/>
    <w:rsid w:val="005711FA"/>
    <w:rsid w:val="00571E32"/>
    <w:rsid w:val="00571E95"/>
    <w:rsid w:val="00572269"/>
    <w:rsid w:val="0057244A"/>
    <w:rsid w:val="00572E74"/>
    <w:rsid w:val="00572F26"/>
    <w:rsid w:val="0057306D"/>
    <w:rsid w:val="00573714"/>
    <w:rsid w:val="0057389E"/>
    <w:rsid w:val="005739B3"/>
    <w:rsid w:val="0057455C"/>
    <w:rsid w:val="005750C5"/>
    <w:rsid w:val="00575153"/>
    <w:rsid w:val="005752DE"/>
    <w:rsid w:val="00575562"/>
    <w:rsid w:val="00575D8D"/>
    <w:rsid w:val="0057612F"/>
    <w:rsid w:val="0057651B"/>
    <w:rsid w:val="00576972"/>
    <w:rsid w:val="005779BE"/>
    <w:rsid w:val="0058056C"/>
    <w:rsid w:val="0058149A"/>
    <w:rsid w:val="00581838"/>
    <w:rsid w:val="00582F6A"/>
    <w:rsid w:val="0058326B"/>
    <w:rsid w:val="00583699"/>
    <w:rsid w:val="00584240"/>
    <w:rsid w:val="005849D8"/>
    <w:rsid w:val="00585CDD"/>
    <w:rsid w:val="00585E34"/>
    <w:rsid w:val="00585EF4"/>
    <w:rsid w:val="00586D95"/>
    <w:rsid w:val="00587058"/>
    <w:rsid w:val="00587B76"/>
    <w:rsid w:val="00590BCC"/>
    <w:rsid w:val="00591313"/>
    <w:rsid w:val="00591957"/>
    <w:rsid w:val="00592202"/>
    <w:rsid w:val="00592566"/>
    <w:rsid w:val="005929E0"/>
    <w:rsid w:val="00592AFD"/>
    <w:rsid w:val="00592BEC"/>
    <w:rsid w:val="00592DB9"/>
    <w:rsid w:val="00593290"/>
    <w:rsid w:val="00593A3A"/>
    <w:rsid w:val="0059476B"/>
    <w:rsid w:val="00594CAF"/>
    <w:rsid w:val="0059686E"/>
    <w:rsid w:val="005975C9"/>
    <w:rsid w:val="00597BF9"/>
    <w:rsid w:val="005A0072"/>
    <w:rsid w:val="005A0D59"/>
    <w:rsid w:val="005A1623"/>
    <w:rsid w:val="005A1D40"/>
    <w:rsid w:val="005A245E"/>
    <w:rsid w:val="005A24A3"/>
    <w:rsid w:val="005A2615"/>
    <w:rsid w:val="005A309A"/>
    <w:rsid w:val="005A373D"/>
    <w:rsid w:val="005A389D"/>
    <w:rsid w:val="005A55B2"/>
    <w:rsid w:val="005A6521"/>
    <w:rsid w:val="005A7413"/>
    <w:rsid w:val="005A743E"/>
    <w:rsid w:val="005A79C0"/>
    <w:rsid w:val="005B0B58"/>
    <w:rsid w:val="005B240E"/>
    <w:rsid w:val="005B2556"/>
    <w:rsid w:val="005B30D1"/>
    <w:rsid w:val="005B3407"/>
    <w:rsid w:val="005B3562"/>
    <w:rsid w:val="005B3FF7"/>
    <w:rsid w:val="005B46A9"/>
    <w:rsid w:val="005B4B23"/>
    <w:rsid w:val="005B4E53"/>
    <w:rsid w:val="005B5857"/>
    <w:rsid w:val="005B6366"/>
    <w:rsid w:val="005B63E0"/>
    <w:rsid w:val="005B71EB"/>
    <w:rsid w:val="005C1B83"/>
    <w:rsid w:val="005C25FF"/>
    <w:rsid w:val="005C273F"/>
    <w:rsid w:val="005C29C8"/>
    <w:rsid w:val="005C2BC4"/>
    <w:rsid w:val="005C2D55"/>
    <w:rsid w:val="005C346B"/>
    <w:rsid w:val="005C3870"/>
    <w:rsid w:val="005C4A6E"/>
    <w:rsid w:val="005C68D7"/>
    <w:rsid w:val="005C7777"/>
    <w:rsid w:val="005C7FFC"/>
    <w:rsid w:val="005D0320"/>
    <w:rsid w:val="005D044D"/>
    <w:rsid w:val="005D07B8"/>
    <w:rsid w:val="005D0ABD"/>
    <w:rsid w:val="005D18AD"/>
    <w:rsid w:val="005D23D2"/>
    <w:rsid w:val="005D26B4"/>
    <w:rsid w:val="005D2C24"/>
    <w:rsid w:val="005D452C"/>
    <w:rsid w:val="005D5A32"/>
    <w:rsid w:val="005D6D34"/>
    <w:rsid w:val="005E00DF"/>
    <w:rsid w:val="005E0477"/>
    <w:rsid w:val="005E0B30"/>
    <w:rsid w:val="005E15C2"/>
    <w:rsid w:val="005E16D9"/>
    <w:rsid w:val="005E2430"/>
    <w:rsid w:val="005E29B6"/>
    <w:rsid w:val="005E37A8"/>
    <w:rsid w:val="005E432C"/>
    <w:rsid w:val="005E45F2"/>
    <w:rsid w:val="005E50AB"/>
    <w:rsid w:val="005E52F6"/>
    <w:rsid w:val="005E5547"/>
    <w:rsid w:val="005E56F9"/>
    <w:rsid w:val="005E5F4D"/>
    <w:rsid w:val="005E5FF8"/>
    <w:rsid w:val="005E65F2"/>
    <w:rsid w:val="005E6BA4"/>
    <w:rsid w:val="005E6CBC"/>
    <w:rsid w:val="005E72FF"/>
    <w:rsid w:val="005E73C0"/>
    <w:rsid w:val="005E79DD"/>
    <w:rsid w:val="005F02CC"/>
    <w:rsid w:val="005F1D90"/>
    <w:rsid w:val="005F2706"/>
    <w:rsid w:val="005F326F"/>
    <w:rsid w:val="005F36DC"/>
    <w:rsid w:val="005F38E4"/>
    <w:rsid w:val="005F4FDE"/>
    <w:rsid w:val="005F5A5F"/>
    <w:rsid w:val="005F6A8F"/>
    <w:rsid w:val="005F6BB7"/>
    <w:rsid w:val="005F72AB"/>
    <w:rsid w:val="005F74AD"/>
    <w:rsid w:val="005F7588"/>
    <w:rsid w:val="005F7CDC"/>
    <w:rsid w:val="005F7FC5"/>
    <w:rsid w:val="006006CF"/>
    <w:rsid w:val="00600AB8"/>
    <w:rsid w:val="006028C7"/>
    <w:rsid w:val="00603992"/>
    <w:rsid w:val="00603DB9"/>
    <w:rsid w:val="006048D9"/>
    <w:rsid w:val="00605285"/>
    <w:rsid w:val="0060592C"/>
    <w:rsid w:val="00606748"/>
    <w:rsid w:val="00606BC7"/>
    <w:rsid w:val="00606E49"/>
    <w:rsid w:val="00606FBA"/>
    <w:rsid w:val="00607331"/>
    <w:rsid w:val="00607669"/>
    <w:rsid w:val="006076F4"/>
    <w:rsid w:val="00607797"/>
    <w:rsid w:val="00607AFD"/>
    <w:rsid w:val="00610611"/>
    <w:rsid w:val="0061122E"/>
    <w:rsid w:val="00611E2C"/>
    <w:rsid w:val="0061260C"/>
    <w:rsid w:val="006128FA"/>
    <w:rsid w:val="00612F97"/>
    <w:rsid w:val="0061345D"/>
    <w:rsid w:val="00613799"/>
    <w:rsid w:val="0061549B"/>
    <w:rsid w:val="006164B9"/>
    <w:rsid w:val="00616802"/>
    <w:rsid w:val="006169B6"/>
    <w:rsid w:val="00616C52"/>
    <w:rsid w:val="00616C73"/>
    <w:rsid w:val="00617904"/>
    <w:rsid w:val="00617E12"/>
    <w:rsid w:val="0062022C"/>
    <w:rsid w:val="00620C25"/>
    <w:rsid w:val="00621477"/>
    <w:rsid w:val="00621ADA"/>
    <w:rsid w:val="00622753"/>
    <w:rsid w:val="006230C7"/>
    <w:rsid w:val="00623F7B"/>
    <w:rsid w:val="006244EC"/>
    <w:rsid w:val="00624584"/>
    <w:rsid w:val="00625384"/>
    <w:rsid w:val="006256BF"/>
    <w:rsid w:val="00630371"/>
    <w:rsid w:val="0063061F"/>
    <w:rsid w:val="006307AB"/>
    <w:rsid w:val="006313AE"/>
    <w:rsid w:val="0063158F"/>
    <w:rsid w:val="00631681"/>
    <w:rsid w:val="00631BB6"/>
    <w:rsid w:val="00631D6B"/>
    <w:rsid w:val="00632183"/>
    <w:rsid w:val="006330A1"/>
    <w:rsid w:val="0063456D"/>
    <w:rsid w:val="0063479F"/>
    <w:rsid w:val="00635178"/>
    <w:rsid w:val="00635248"/>
    <w:rsid w:val="006353F0"/>
    <w:rsid w:val="0063554D"/>
    <w:rsid w:val="006357B5"/>
    <w:rsid w:val="0063617D"/>
    <w:rsid w:val="006364A1"/>
    <w:rsid w:val="0063678E"/>
    <w:rsid w:val="006376D9"/>
    <w:rsid w:val="00637BFD"/>
    <w:rsid w:val="00640377"/>
    <w:rsid w:val="00640749"/>
    <w:rsid w:val="00641C4E"/>
    <w:rsid w:val="00641FB3"/>
    <w:rsid w:val="006426AF"/>
    <w:rsid w:val="0064306D"/>
    <w:rsid w:val="00643183"/>
    <w:rsid w:val="0064434C"/>
    <w:rsid w:val="006451E9"/>
    <w:rsid w:val="0064561B"/>
    <w:rsid w:val="00645742"/>
    <w:rsid w:val="006471CC"/>
    <w:rsid w:val="00647A29"/>
    <w:rsid w:val="00647D0A"/>
    <w:rsid w:val="0065079F"/>
    <w:rsid w:val="00651250"/>
    <w:rsid w:val="00652A28"/>
    <w:rsid w:val="0065379F"/>
    <w:rsid w:val="00653FC3"/>
    <w:rsid w:val="00653FFB"/>
    <w:rsid w:val="006548C1"/>
    <w:rsid w:val="00655AFE"/>
    <w:rsid w:val="00656188"/>
    <w:rsid w:val="0065715A"/>
    <w:rsid w:val="0066091F"/>
    <w:rsid w:val="006610F1"/>
    <w:rsid w:val="00661209"/>
    <w:rsid w:val="006615A9"/>
    <w:rsid w:val="00661C6B"/>
    <w:rsid w:val="0066225A"/>
    <w:rsid w:val="00662281"/>
    <w:rsid w:val="00662B14"/>
    <w:rsid w:val="00663065"/>
    <w:rsid w:val="00663405"/>
    <w:rsid w:val="00664899"/>
    <w:rsid w:val="006648E1"/>
    <w:rsid w:val="00664AAD"/>
    <w:rsid w:val="0066544D"/>
    <w:rsid w:val="006664BB"/>
    <w:rsid w:val="006665DB"/>
    <w:rsid w:val="006665E6"/>
    <w:rsid w:val="006668BD"/>
    <w:rsid w:val="00667270"/>
    <w:rsid w:val="00667AFF"/>
    <w:rsid w:val="00667C19"/>
    <w:rsid w:val="006700DB"/>
    <w:rsid w:val="00671004"/>
    <w:rsid w:val="00671036"/>
    <w:rsid w:val="0067196A"/>
    <w:rsid w:val="00671A94"/>
    <w:rsid w:val="00671CC5"/>
    <w:rsid w:val="00671F67"/>
    <w:rsid w:val="00672646"/>
    <w:rsid w:val="00672717"/>
    <w:rsid w:val="006736A6"/>
    <w:rsid w:val="006738F8"/>
    <w:rsid w:val="00674E42"/>
    <w:rsid w:val="00675A4F"/>
    <w:rsid w:val="00675B56"/>
    <w:rsid w:val="00676463"/>
    <w:rsid w:val="00676969"/>
    <w:rsid w:val="00677016"/>
    <w:rsid w:val="006778D5"/>
    <w:rsid w:val="00680BFB"/>
    <w:rsid w:val="006813F8"/>
    <w:rsid w:val="00681582"/>
    <w:rsid w:val="00681EFD"/>
    <w:rsid w:val="00682112"/>
    <w:rsid w:val="00682BA6"/>
    <w:rsid w:val="00682BDC"/>
    <w:rsid w:val="0068378E"/>
    <w:rsid w:val="00683825"/>
    <w:rsid w:val="00683998"/>
    <w:rsid w:val="00683D5A"/>
    <w:rsid w:val="00684888"/>
    <w:rsid w:val="00684F0F"/>
    <w:rsid w:val="00685732"/>
    <w:rsid w:val="00685AA7"/>
    <w:rsid w:val="00686957"/>
    <w:rsid w:val="00686C26"/>
    <w:rsid w:val="00687049"/>
    <w:rsid w:val="006872BA"/>
    <w:rsid w:val="00687906"/>
    <w:rsid w:val="00690795"/>
    <w:rsid w:val="00690895"/>
    <w:rsid w:val="00690FCE"/>
    <w:rsid w:val="00691289"/>
    <w:rsid w:val="00691648"/>
    <w:rsid w:val="006917D7"/>
    <w:rsid w:val="00691B88"/>
    <w:rsid w:val="00692BC2"/>
    <w:rsid w:val="006934E8"/>
    <w:rsid w:val="0069379A"/>
    <w:rsid w:val="0069434C"/>
    <w:rsid w:val="00694D6E"/>
    <w:rsid w:val="00694F44"/>
    <w:rsid w:val="0069581C"/>
    <w:rsid w:val="006961EA"/>
    <w:rsid w:val="00696753"/>
    <w:rsid w:val="00696DFE"/>
    <w:rsid w:val="00696F51"/>
    <w:rsid w:val="00697814"/>
    <w:rsid w:val="006979A5"/>
    <w:rsid w:val="006A06F7"/>
    <w:rsid w:val="006A0EC5"/>
    <w:rsid w:val="006A1399"/>
    <w:rsid w:val="006A1900"/>
    <w:rsid w:val="006A1D39"/>
    <w:rsid w:val="006A1D41"/>
    <w:rsid w:val="006A4B18"/>
    <w:rsid w:val="006A5017"/>
    <w:rsid w:val="006A5AA7"/>
    <w:rsid w:val="006A6417"/>
    <w:rsid w:val="006A68D9"/>
    <w:rsid w:val="006A6B99"/>
    <w:rsid w:val="006A6DDC"/>
    <w:rsid w:val="006A7E5F"/>
    <w:rsid w:val="006B0EB7"/>
    <w:rsid w:val="006B109F"/>
    <w:rsid w:val="006B12E5"/>
    <w:rsid w:val="006B253D"/>
    <w:rsid w:val="006B261B"/>
    <w:rsid w:val="006B2C90"/>
    <w:rsid w:val="006B350A"/>
    <w:rsid w:val="006B35E6"/>
    <w:rsid w:val="006B4242"/>
    <w:rsid w:val="006B465A"/>
    <w:rsid w:val="006B4B58"/>
    <w:rsid w:val="006B62B7"/>
    <w:rsid w:val="006B6DD0"/>
    <w:rsid w:val="006B7FC4"/>
    <w:rsid w:val="006C0399"/>
    <w:rsid w:val="006C1686"/>
    <w:rsid w:val="006C1CA9"/>
    <w:rsid w:val="006C2A8E"/>
    <w:rsid w:val="006C2E51"/>
    <w:rsid w:val="006C3255"/>
    <w:rsid w:val="006C366A"/>
    <w:rsid w:val="006C3DFB"/>
    <w:rsid w:val="006C3F26"/>
    <w:rsid w:val="006C4206"/>
    <w:rsid w:val="006C54EA"/>
    <w:rsid w:val="006C6378"/>
    <w:rsid w:val="006C6535"/>
    <w:rsid w:val="006D0D17"/>
    <w:rsid w:val="006D2401"/>
    <w:rsid w:val="006D2A5B"/>
    <w:rsid w:val="006D3C7D"/>
    <w:rsid w:val="006D3D82"/>
    <w:rsid w:val="006D4659"/>
    <w:rsid w:val="006D5D5F"/>
    <w:rsid w:val="006D68C7"/>
    <w:rsid w:val="006D68FB"/>
    <w:rsid w:val="006D6F88"/>
    <w:rsid w:val="006D7BFE"/>
    <w:rsid w:val="006D7D90"/>
    <w:rsid w:val="006E0C8C"/>
    <w:rsid w:val="006E2868"/>
    <w:rsid w:val="006E3182"/>
    <w:rsid w:val="006E4C60"/>
    <w:rsid w:val="006E52CE"/>
    <w:rsid w:val="006E5859"/>
    <w:rsid w:val="006E6B73"/>
    <w:rsid w:val="006E7051"/>
    <w:rsid w:val="006E710F"/>
    <w:rsid w:val="006E7769"/>
    <w:rsid w:val="006F10E3"/>
    <w:rsid w:val="006F306C"/>
    <w:rsid w:val="006F523B"/>
    <w:rsid w:val="006F55AB"/>
    <w:rsid w:val="006F60A8"/>
    <w:rsid w:val="006F63A5"/>
    <w:rsid w:val="006F6B4E"/>
    <w:rsid w:val="006F73DA"/>
    <w:rsid w:val="006F7496"/>
    <w:rsid w:val="006F7545"/>
    <w:rsid w:val="00700400"/>
    <w:rsid w:val="00701167"/>
    <w:rsid w:val="00701309"/>
    <w:rsid w:val="0070142B"/>
    <w:rsid w:val="007017CA"/>
    <w:rsid w:val="0070276E"/>
    <w:rsid w:val="00702F8F"/>
    <w:rsid w:val="007038F9"/>
    <w:rsid w:val="0070485E"/>
    <w:rsid w:val="007048A1"/>
    <w:rsid w:val="007049D1"/>
    <w:rsid w:val="00704B7C"/>
    <w:rsid w:val="0070592A"/>
    <w:rsid w:val="007068B3"/>
    <w:rsid w:val="007079FC"/>
    <w:rsid w:val="007107E2"/>
    <w:rsid w:val="00710E0D"/>
    <w:rsid w:val="007117F1"/>
    <w:rsid w:val="00711A36"/>
    <w:rsid w:val="00711AF5"/>
    <w:rsid w:val="00712513"/>
    <w:rsid w:val="00712BCC"/>
    <w:rsid w:val="00713891"/>
    <w:rsid w:val="00713B65"/>
    <w:rsid w:val="00714274"/>
    <w:rsid w:val="00714C26"/>
    <w:rsid w:val="0071529C"/>
    <w:rsid w:val="00716930"/>
    <w:rsid w:val="007170DA"/>
    <w:rsid w:val="007171BB"/>
    <w:rsid w:val="00717219"/>
    <w:rsid w:val="007172AD"/>
    <w:rsid w:val="007200B2"/>
    <w:rsid w:val="00720801"/>
    <w:rsid w:val="00721102"/>
    <w:rsid w:val="00721767"/>
    <w:rsid w:val="0072242E"/>
    <w:rsid w:val="00722B1B"/>
    <w:rsid w:val="007230BF"/>
    <w:rsid w:val="0072335D"/>
    <w:rsid w:val="0072371D"/>
    <w:rsid w:val="0072416F"/>
    <w:rsid w:val="00725972"/>
    <w:rsid w:val="007260CB"/>
    <w:rsid w:val="007267E1"/>
    <w:rsid w:val="00726D1D"/>
    <w:rsid w:val="007275B3"/>
    <w:rsid w:val="00727C94"/>
    <w:rsid w:val="00730672"/>
    <w:rsid w:val="007309B3"/>
    <w:rsid w:val="00730BEE"/>
    <w:rsid w:val="00730E97"/>
    <w:rsid w:val="00731B0A"/>
    <w:rsid w:val="00731EAE"/>
    <w:rsid w:val="0073278D"/>
    <w:rsid w:val="00732B62"/>
    <w:rsid w:val="00732FE4"/>
    <w:rsid w:val="00733073"/>
    <w:rsid w:val="00733B91"/>
    <w:rsid w:val="00733C18"/>
    <w:rsid w:val="00734C50"/>
    <w:rsid w:val="00735033"/>
    <w:rsid w:val="00735328"/>
    <w:rsid w:val="007353BB"/>
    <w:rsid w:val="007367C7"/>
    <w:rsid w:val="0073685B"/>
    <w:rsid w:val="0073687F"/>
    <w:rsid w:val="00736DA2"/>
    <w:rsid w:val="0074032E"/>
    <w:rsid w:val="007412CA"/>
    <w:rsid w:val="00741559"/>
    <w:rsid w:val="00741AAE"/>
    <w:rsid w:val="00741E92"/>
    <w:rsid w:val="007420D2"/>
    <w:rsid w:val="0074235D"/>
    <w:rsid w:val="0074350C"/>
    <w:rsid w:val="0074360F"/>
    <w:rsid w:val="00744562"/>
    <w:rsid w:val="007449BF"/>
    <w:rsid w:val="007459EF"/>
    <w:rsid w:val="00745DAD"/>
    <w:rsid w:val="00746333"/>
    <w:rsid w:val="007463A8"/>
    <w:rsid w:val="0074674F"/>
    <w:rsid w:val="00746BC0"/>
    <w:rsid w:val="00746D89"/>
    <w:rsid w:val="0075008A"/>
    <w:rsid w:val="007510B4"/>
    <w:rsid w:val="0075202D"/>
    <w:rsid w:val="00752142"/>
    <w:rsid w:val="007523F9"/>
    <w:rsid w:val="007526F8"/>
    <w:rsid w:val="00752CF9"/>
    <w:rsid w:val="00752F57"/>
    <w:rsid w:val="0075357E"/>
    <w:rsid w:val="007547FE"/>
    <w:rsid w:val="00754C2A"/>
    <w:rsid w:val="00755490"/>
    <w:rsid w:val="00755959"/>
    <w:rsid w:val="00755C38"/>
    <w:rsid w:val="00755DA7"/>
    <w:rsid w:val="00755EC6"/>
    <w:rsid w:val="007573E8"/>
    <w:rsid w:val="00760C4E"/>
    <w:rsid w:val="00760F9E"/>
    <w:rsid w:val="00761007"/>
    <w:rsid w:val="007627BE"/>
    <w:rsid w:val="00762D70"/>
    <w:rsid w:val="00762DBE"/>
    <w:rsid w:val="00763A10"/>
    <w:rsid w:val="00763DFF"/>
    <w:rsid w:val="00764910"/>
    <w:rsid w:val="00764F03"/>
    <w:rsid w:val="00765311"/>
    <w:rsid w:val="007657FB"/>
    <w:rsid w:val="00765B1A"/>
    <w:rsid w:val="00765FD3"/>
    <w:rsid w:val="00766D24"/>
    <w:rsid w:val="0077115D"/>
    <w:rsid w:val="007719DF"/>
    <w:rsid w:val="00772650"/>
    <w:rsid w:val="00773C95"/>
    <w:rsid w:val="00776481"/>
    <w:rsid w:val="00777024"/>
    <w:rsid w:val="00777335"/>
    <w:rsid w:val="007778FC"/>
    <w:rsid w:val="007805C9"/>
    <w:rsid w:val="007807A9"/>
    <w:rsid w:val="00780D05"/>
    <w:rsid w:val="00780FD8"/>
    <w:rsid w:val="00782597"/>
    <w:rsid w:val="00782D74"/>
    <w:rsid w:val="007843F2"/>
    <w:rsid w:val="00785A9F"/>
    <w:rsid w:val="00786E15"/>
    <w:rsid w:val="00787E07"/>
    <w:rsid w:val="00790AD6"/>
    <w:rsid w:val="007925DF"/>
    <w:rsid w:val="00793051"/>
    <w:rsid w:val="0079339A"/>
    <w:rsid w:val="0079359B"/>
    <w:rsid w:val="007947A5"/>
    <w:rsid w:val="007951C8"/>
    <w:rsid w:val="0079600B"/>
    <w:rsid w:val="00797309"/>
    <w:rsid w:val="007A01EC"/>
    <w:rsid w:val="007A05DB"/>
    <w:rsid w:val="007A08AA"/>
    <w:rsid w:val="007A0A12"/>
    <w:rsid w:val="007A0A84"/>
    <w:rsid w:val="007A132D"/>
    <w:rsid w:val="007A1345"/>
    <w:rsid w:val="007A209C"/>
    <w:rsid w:val="007A29A5"/>
    <w:rsid w:val="007A2CE3"/>
    <w:rsid w:val="007A2DDB"/>
    <w:rsid w:val="007A5649"/>
    <w:rsid w:val="007A580A"/>
    <w:rsid w:val="007A6939"/>
    <w:rsid w:val="007A70BA"/>
    <w:rsid w:val="007A75B0"/>
    <w:rsid w:val="007A7715"/>
    <w:rsid w:val="007B0D68"/>
    <w:rsid w:val="007B13D1"/>
    <w:rsid w:val="007B251D"/>
    <w:rsid w:val="007B2914"/>
    <w:rsid w:val="007B3333"/>
    <w:rsid w:val="007B4F58"/>
    <w:rsid w:val="007B528D"/>
    <w:rsid w:val="007B5B11"/>
    <w:rsid w:val="007B5B8B"/>
    <w:rsid w:val="007B63CA"/>
    <w:rsid w:val="007B651C"/>
    <w:rsid w:val="007B7179"/>
    <w:rsid w:val="007B77D1"/>
    <w:rsid w:val="007B7C89"/>
    <w:rsid w:val="007C07C7"/>
    <w:rsid w:val="007C0A81"/>
    <w:rsid w:val="007C15CC"/>
    <w:rsid w:val="007C1613"/>
    <w:rsid w:val="007C1CD9"/>
    <w:rsid w:val="007C28A3"/>
    <w:rsid w:val="007C32EF"/>
    <w:rsid w:val="007C361D"/>
    <w:rsid w:val="007C4B84"/>
    <w:rsid w:val="007C63EC"/>
    <w:rsid w:val="007C70FF"/>
    <w:rsid w:val="007C7224"/>
    <w:rsid w:val="007C75DF"/>
    <w:rsid w:val="007C762C"/>
    <w:rsid w:val="007C7C25"/>
    <w:rsid w:val="007C7D38"/>
    <w:rsid w:val="007D004F"/>
    <w:rsid w:val="007D04D2"/>
    <w:rsid w:val="007D0B38"/>
    <w:rsid w:val="007D152C"/>
    <w:rsid w:val="007D169B"/>
    <w:rsid w:val="007D1EBC"/>
    <w:rsid w:val="007D20BE"/>
    <w:rsid w:val="007D3718"/>
    <w:rsid w:val="007D375E"/>
    <w:rsid w:val="007D3D3C"/>
    <w:rsid w:val="007D50D5"/>
    <w:rsid w:val="007D5440"/>
    <w:rsid w:val="007D55ED"/>
    <w:rsid w:val="007D69EB"/>
    <w:rsid w:val="007D6ACD"/>
    <w:rsid w:val="007D6BD7"/>
    <w:rsid w:val="007D7B90"/>
    <w:rsid w:val="007E0FE2"/>
    <w:rsid w:val="007E128F"/>
    <w:rsid w:val="007E2CF4"/>
    <w:rsid w:val="007E47C3"/>
    <w:rsid w:val="007E4BD4"/>
    <w:rsid w:val="007E4C35"/>
    <w:rsid w:val="007E4C91"/>
    <w:rsid w:val="007E51A8"/>
    <w:rsid w:val="007E5257"/>
    <w:rsid w:val="007E5787"/>
    <w:rsid w:val="007E6290"/>
    <w:rsid w:val="007E66DD"/>
    <w:rsid w:val="007E6710"/>
    <w:rsid w:val="007E680F"/>
    <w:rsid w:val="007E7382"/>
    <w:rsid w:val="007E7C97"/>
    <w:rsid w:val="007F019E"/>
    <w:rsid w:val="007F0894"/>
    <w:rsid w:val="007F0A10"/>
    <w:rsid w:val="007F0EBF"/>
    <w:rsid w:val="007F1017"/>
    <w:rsid w:val="007F11D6"/>
    <w:rsid w:val="007F293C"/>
    <w:rsid w:val="007F3538"/>
    <w:rsid w:val="007F45EF"/>
    <w:rsid w:val="007F4811"/>
    <w:rsid w:val="007F4A3F"/>
    <w:rsid w:val="007F4A61"/>
    <w:rsid w:val="007F4F53"/>
    <w:rsid w:val="007F519F"/>
    <w:rsid w:val="007F5255"/>
    <w:rsid w:val="007F56CC"/>
    <w:rsid w:val="007F604D"/>
    <w:rsid w:val="007F61C2"/>
    <w:rsid w:val="007F6C67"/>
    <w:rsid w:val="007F7FD8"/>
    <w:rsid w:val="00803CE8"/>
    <w:rsid w:val="00804024"/>
    <w:rsid w:val="00804389"/>
    <w:rsid w:val="00804E78"/>
    <w:rsid w:val="00804FC4"/>
    <w:rsid w:val="00805142"/>
    <w:rsid w:val="0080589A"/>
    <w:rsid w:val="00805BF9"/>
    <w:rsid w:val="00805FCE"/>
    <w:rsid w:val="0080610F"/>
    <w:rsid w:val="00807A2D"/>
    <w:rsid w:val="00807A8B"/>
    <w:rsid w:val="00810117"/>
    <w:rsid w:val="00810158"/>
    <w:rsid w:val="00810460"/>
    <w:rsid w:val="00811383"/>
    <w:rsid w:val="008113F6"/>
    <w:rsid w:val="00811F9B"/>
    <w:rsid w:val="00812149"/>
    <w:rsid w:val="00812667"/>
    <w:rsid w:val="00812CAC"/>
    <w:rsid w:val="00815005"/>
    <w:rsid w:val="00816361"/>
    <w:rsid w:val="00816428"/>
    <w:rsid w:val="008166EF"/>
    <w:rsid w:val="008169CC"/>
    <w:rsid w:val="00816F12"/>
    <w:rsid w:val="00816FEF"/>
    <w:rsid w:val="0081715C"/>
    <w:rsid w:val="00817CC6"/>
    <w:rsid w:val="008207A4"/>
    <w:rsid w:val="00820A8C"/>
    <w:rsid w:val="008214E4"/>
    <w:rsid w:val="008215FB"/>
    <w:rsid w:val="00822598"/>
    <w:rsid w:val="00823174"/>
    <w:rsid w:val="00823DEC"/>
    <w:rsid w:val="00824712"/>
    <w:rsid w:val="00825751"/>
    <w:rsid w:val="008264EB"/>
    <w:rsid w:val="00826BAB"/>
    <w:rsid w:val="008270B5"/>
    <w:rsid w:val="00827613"/>
    <w:rsid w:val="00827B96"/>
    <w:rsid w:val="008305D0"/>
    <w:rsid w:val="00830A6F"/>
    <w:rsid w:val="00833382"/>
    <w:rsid w:val="008336BF"/>
    <w:rsid w:val="00833B05"/>
    <w:rsid w:val="00834480"/>
    <w:rsid w:val="008362A8"/>
    <w:rsid w:val="008362B4"/>
    <w:rsid w:val="0083657B"/>
    <w:rsid w:val="00837486"/>
    <w:rsid w:val="00840CA2"/>
    <w:rsid w:val="0084283F"/>
    <w:rsid w:val="0084374F"/>
    <w:rsid w:val="00844A22"/>
    <w:rsid w:val="00844DAA"/>
    <w:rsid w:val="00845899"/>
    <w:rsid w:val="00845A42"/>
    <w:rsid w:val="00845D17"/>
    <w:rsid w:val="008467BF"/>
    <w:rsid w:val="0084763D"/>
    <w:rsid w:val="00847703"/>
    <w:rsid w:val="00847DF5"/>
    <w:rsid w:val="0085034F"/>
    <w:rsid w:val="008507AE"/>
    <w:rsid w:val="00850B6C"/>
    <w:rsid w:val="008514A4"/>
    <w:rsid w:val="008517B1"/>
    <w:rsid w:val="00852095"/>
    <w:rsid w:val="008527E3"/>
    <w:rsid w:val="00852C77"/>
    <w:rsid w:val="0085309D"/>
    <w:rsid w:val="008530D0"/>
    <w:rsid w:val="008531B9"/>
    <w:rsid w:val="00853708"/>
    <w:rsid w:val="00854F40"/>
    <w:rsid w:val="00854FB1"/>
    <w:rsid w:val="00854FC3"/>
    <w:rsid w:val="00855CDD"/>
    <w:rsid w:val="00856165"/>
    <w:rsid w:val="00856897"/>
    <w:rsid w:val="00856A20"/>
    <w:rsid w:val="00856E9A"/>
    <w:rsid w:val="00857581"/>
    <w:rsid w:val="00857DE9"/>
    <w:rsid w:val="0086075D"/>
    <w:rsid w:val="00860DF5"/>
    <w:rsid w:val="00860ECE"/>
    <w:rsid w:val="00862502"/>
    <w:rsid w:val="00862812"/>
    <w:rsid w:val="00862CC1"/>
    <w:rsid w:val="00862FE7"/>
    <w:rsid w:val="0086480E"/>
    <w:rsid w:val="008660D4"/>
    <w:rsid w:val="008669F4"/>
    <w:rsid w:val="00867702"/>
    <w:rsid w:val="00867B91"/>
    <w:rsid w:val="00870989"/>
    <w:rsid w:val="008717EB"/>
    <w:rsid w:val="00871FA9"/>
    <w:rsid w:val="00871FC4"/>
    <w:rsid w:val="008728E9"/>
    <w:rsid w:val="00873596"/>
    <w:rsid w:val="0087572A"/>
    <w:rsid w:val="008759DC"/>
    <w:rsid w:val="008806D5"/>
    <w:rsid w:val="008808B5"/>
    <w:rsid w:val="00880EBE"/>
    <w:rsid w:val="008815E7"/>
    <w:rsid w:val="00881998"/>
    <w:rsid w:val="00881A34"/>
    <w:rsid w:val="00881E54"/>
    <w:rsid w:val="008827A4"/>
    <w:rsid w:val="00882874"/>
    <w:rsid w:val="00882E3C"/>
    <w:rsid w:val="00883787"/>
    <w:rsid w:val="00883A93"/>
    <w:rsid w:val="00883E32"/>
    <w:rsid w:val="00884BC8"/>
    <w:rsid w:val="008855E4"/>
    <w:rsid w:val="00886CD2"/>
    <w:rsid w:val="00887F40"/>
    <w:rsid w:val="00890ED6"/>
    <w:rsid w:val="0089132C"/>
    <w:rsid w:val="008918FD"/>
    <w:rsid w:val="00891E6F"/>
    <w:rsid w:val="00892334"/>
    <w:rsid w:val="0089275D"/>
    <w:rsid w:val="008928A6"/>
    <w:rsid w:val="00892A36"/>
    <w:rsid w:val="00893239"/>
    <w:rsid w:val="00894489"/>
    <w:rsid w:val="00895138"/>
    <w:rsid w:val="00895531"/>
    <w:rsid w:val="00895744"/>
    <w:rsid w:val="008963A5"/>
    <w:rsid w:val="00896D5D"/>
    <w:rsid w:val="00897AFA"/>
    <w:rsid w:val="008A0236"/>
    <w:rsid w:val="008A03B4"/>
    <w:rsid w:val="008A0BC4"/>
    <w:rsid w:val="008A0C3F"/>
    <w:rsid w:val="008A10B8"/>
    <w:rsid w:val="008A12A1"/>
    <w:rsid w:val="008A325F"/>
    <w:rsid w:val="008A3363"/>
    <w:rsid w:val="008A3371"/>
    <w:rsid w:val="008A3B99"/>
    <w:rsid w:val="008A3C3E"/>
    <w:rsid w:val="008A5C03"/>
    <w:rsid w:val="008A5EA4"/>
    <w:rsid w:val="008A653F"/>
    <w:rsid w:val="008A6A76"/>
    <w:rsid w:val="008A7177"/>
    <w:rsid w:val="008A79DE"/>
    <w:rsid w:val="008B12C6"/>
    <w:rsid w:val="008B1757"/>
    <w:rsid w:val="008B2568"/>
    <w:rsid w:val="008B2603"/>
    <w:rsid w:val="008B292F"/>
    <w:rsid w:val="008B4772"/>
    <w:rsid w:val="008B48FC"/>
    <w:rsid w:val="008B4E40"/>
    <w:rsid w:val="008B58A6"/>
    <w:rsid w:val="008B5E96"/>
    <w:rsid w:val="008B621B"/>
    <w:rsid w:val="008B68DE"/>
    <w:rsid w:val="008B6D91"/>
    <w:rsid w:val="008B7992"/>
    <w:rsid w:val="008B7D7E"/>
    <w:rsid w:val="008C106B"/>
    <w:rsid w:val="008C15F9"/>
    <w:rsid w:val="008C1604"/>
    <w:rsid w:val="008C2A67"/>
    <w:rsid w:val="008C2D6F"/>
    <w:rsid w:val="008C3C6D"/>
    <w:rsid w:val="008C42B0"/>
    <w:rsid w:val="008C44B2"/>
    <w:rsid w:val="008C4C5B"/>
    <w:rsid w:val="008C4DDC"/>
    <w:rsid w:val="008C5610"/>
    <w:rsid w:val="008C5739"/>
    <w:rsid w:val="008C58E8"/>
    <w:rsid w:val="008C660D"/>
    <w:rsid w:val="008C69EB"/>
    <w:rsid w:val="008C76DC"/>
    <w:rsid w:val="008C7ECB"/>
    <w:rsid w:val="008D08A4"/>
    <w:rsid w:val="008D1038"/>
    <w:rsid w:val="008D176A"/>
    <w:rsid w:val="008D356E"/>
    <w:rsid w:val="008D3B86"/>
    <w:rsid w:val="008D4755"/>
    <w:rsid w:val="008D4C3D"/>
    <w:rsid w:val="008D4C89"/>
    <w:rsid w:val="008D5B2F"/>
    <w:rsid w:val="008D65A4"/>
    <w:rsid w:val="008D743C"/>
    <w:rsid w:val="008E0D3C"/>
    <w:rsid w:val="008E1B9E"/>
    <w:rsid w:val="008E1C03"/>
    <w:rsid w:val="008E1EFD"/>
    <w:rsid w:val="008E2844"/>
    <w:rsid w:val="008E2E43"/>
    <w:rsid w:val="008E33EF"/>
    <w:rsid w:val="008E55AB"/>
    <w:rsid w:val="008E6F57"/>
    <w:rsid w:val="008E7C4C"/>
    <w:rsid w:val="008E7F28"/>
    <w:rsid w:val="008E7F75"/>
    <w:rsid w:val="008F0579"/>
    <w:rsid w:val="008F0F97"/>
    <w:rsid w:val="008F120A"/>
    <w:rsid w:val="008F27E0"/>
    <w:rsid w:val="008F354D"/>
    <w:rsid w:val="008F48EB"/>
    <w:rsid w:val="008F49C9"/>
    <w:rsid w:val="008F4EDD"/>
    <w:rsid w:val="008F4F0B"/>
    <w:rsid w:val="008F58DB"/>
    <w:rsid w:val="008F5B18"/>
    <w:rsid w:val="008F5EC0"/>
    <w:rsid w:val="008F5EC6"/>
    <w:rsid w:val="008F6849"/>
    <w:rsid w:val="008F6B6A"/>
    <w:rsid w:val="008F75E2"/>
    <w:rsid w:val="008F7730"/>
    <w:rsid w:val="008F7990"/>
    <w:rsid w:val="00901F7C"/>
    <w:rsid w:val="00902BAC"/>
    <w:rsid w:val="0090370A"/>
    <w:rsid w:val="00903C2A"/>
    <w:rsid w:val="009046C4"/>
    <w:rsid w:val="00904C1B"/>
    <w:rsid w:val="00904D45"/>
    <w:rsid w:val="009058E7"/>
    <w:rsid w:val="00905F26"/>
    <w:rsid w:val="009062A5"/>
    <w:rsid w:val="0090689B"/>
    <w:rsid w:val="00906AC2"/>
    <w:rsid w:val="00910FA7"/>
    <w:rsid w:val="009111D3"/>
    <w:rsid w:val="00911272"/>
    <w:rsid w:val="00912E34"/>
    <w:rsid w:val="00912E99"/>
    <w:rsid w:val="009135D6"/>
    <w:rsid w:val="0091457D"/>
    <w:rsid w:val="00914C77"/>
    <w:rsid w:val="00917E07"/>
    <w:rsid w:val="00920E2E"/>
    <w:rsid w:val="009217DD"/>
    <w:rsid w:val="00921A66"/>
    <w:rsid w:val="00921ACB"/>
    <w:rsid w:val="00922BFA"/>
    <w:rsid w:val="00923132"/>
    <w:rsid w:val="0092369B"/>
    <w:rsid w:val="00924C2F"/>
    <w:rsid w:val="00926D18"/>
    <w:rsid w:val="00926E95"/>
    <w:rsid w:val="009303F5"/>
    <w:rsid w:val="00930577"/>
    <w:rsid w:val="0093068E"/>
    <w:rsid w:val="00932980"/>
    <w:rsid w:val="00932DBD"/>
    <w:rsid w:val="00933209"/>
    <w:rsid w:val="00933406"/>
    <w:rsid w:val="009348BB"/>
    <w:rsid w:val="00934988"/>
    <w:rsid w:val="00934D6B"/>
    <w:rsid w:val="009356D8"/>
    <w:rsid w:val="00936F20"/>
    <w:rsid w:val="00937089"/>
    <w:rsid w:val="00937B71"/>
    <w:rsid w:val="00937E28"/>
    <w:rsid w:val="0094082C"/>
    <w:rsid w:val="00940979"/>
    <w:rsid w:val="00940A96"/>
    <w:rsid w:val="00940CEF"/>
    <w:rsid w:val="00940D6A"/>
    <w:rsid w:val="009418B0"/>
    <w:rsid w:val="00941C2A"/>
    <w:rsid w:val="00941F5E"/>
    <w:rsid w:val="00942499"/>
    <w:rsid w:val="00944CAB"/>
    <w:rsid w:val="00944F8A"/>
    <w:rsid w:val="0094549B"/>
    <w:rsid w:val="009459C7"/>
    <w:rsid w:val="00945B65"/>
    <w:rsid w:val="00946190"/>
    <w:rsid w:val="009462B1"/>
    <w:rsid w:val="009510A2"/>
    <w:rsid w:val="00951174"/>
    <w:rsid w:val="00953257"/>
    <w:rsid w:val="00953BA6"/>
    <w:rsid w:val="00953BAA"/>
    <w:rsid w:val="00953DCF"/>
    <w:rsid w:val="0095413C"/>
    <w:rsid w:val="0095474C"/>
    <w:rsid w:val="009558F3"/>
    <w:rsid w:val="00955CC1"/>
    <w:rsid w:val="00955E7C"/>
    <w:rsid w:val="009566BB"/>
    <w:rsid w:val="009566D7"/>
    <w:rsid w:val="009600AD"/>
    <w:rsid w:val="009601EA"/>
    <w:rsid w:val="009603BA"/>
    <w:rsid w:val="00962854"/>
    <w:rsid w:val="00962859"/>
    <w:rsid w:val="00962CB9"/>
    <w:rsid w:val="0096349F"/>
    <w:rsid w:val="00964312"/>
    <w:rsid w:val="00964361"/>
    <w:rsid w:val="009648BB"/>
    <w:rsid w:val="00964DBC"/>
    <w:rsid w:val="00964FCD"/>
    <w:rsid w:val="00965B8A"/>
    <w:rsid w:val="00967BD5"/>
    <w:rsid w:val="0097024E"/>
    <w:rsid w:val="0097071F"/>
    <w:rsid w:val="009709F9"/>
    <w:rsid w:val="00970E82"/>
    <w:rsid w:val="0097126E"/>
    <w:rsid w:val="009717AC"/>
    <w:rsid w:val="00971A91"/>
    <w:rsid w:val="00971C6A"/>
    <w:rsid w:val="009723B4"/>
    <w:rsid w:val="009725E1"/>
    <w:rsid w:val="009731DF"/>
    <w:rsid w:val="00973633"/>
    <w:rsid w:val="00973CF7"/>
    <w:rsid w:val="00975178"/>
    <w:rsid w:val="009751C1"/>
    <w:rsid w:val="00975B0D"/>
    <w:rsid w:val="00977E5E"/>
    <w:rsid w:val="0098068A"/>
    <w:rsid w:val="009811F1"/>
    <w:rsid w:val="00981D89"/>
    <w:rsid w:val="009833C3"/>
    <w:rsid w:val="00983E57"/>
    <w:rsid w:val="00984363"/>
    <w:rsid w:val="009847D9"/>
    <w:rsid w:val="00984CF3"/>
    <w:rsid w:val="00984FF5"/>
    <w:rsid w:val="00985454"/>
    <w:rsid w:val="009855FD"/>
    <w:rsid w:val="00985B90"/>
    <w:rsid w:val="00985DE2"/>
    <w:rsid w:val="00985FA8"/>
    <w:rsid w:val="0098675D"/>
    <w:rsid w:val="00987C1D"/>
    <w:rsid w:val="009910B3"/>
    <w:rsid w:val="009926E0"/>
    <w:rsid w:val="0099276C"/>
    <w:rsid w:val="00993556"/>
    <w:rsid w:val="009940E0"/>
    <w:rsid w:val="0099451E"/>
    <w:rsid w:val="00994AF5"/>
    <w:rsid w:val="00995821"/>
    <w:rsid w:val="00995924"/>
    <w:rsid w:val="00996B1A"/>
    <w:rsid w:val="00997B10"/>
    <w:rsid w:val="00997E84"/>
    <w:rsid w:val="00997FB1"/>
    <w:rsid w:val="009A1349"/>
    <w:rsid w:val="009A188C"/>
    <w:rsid w:val="009A280D"/>
    <w:rsid w:val="009A2CA2"/>
    <w:rsid w:val="009A2DCC"/>
    <w:rsid w:val="009A4AC8"/>
    <w:rsid w:val="009A4DDF"/>
    <w:rsid w:val="009A56C3"/>
    <w:rsid w:val="009A5810"/>
    <w:rsid w:val="009A5ABC"/>
    <w:rsid w:val="009A6884"/>
    <w:rsid w:val="009A7F10"/>
    <w:rsid w:val="009B0D35"/>
    <w:rsid w:val="009B1375"/>
    <w:rsid w:val="009B30DD"/>
    <w:rsid w:val="009B3E26"/>
    <w:rsid w:val="009C1FE6"/>
    <w:rsid w:val="009C30CF"/>
    <w:rsid w:val="009C3314"/>
    <w:rsid w:val="009C3706"/>
    <w:rsid w:val="009C3A3A"/>
    <w:rsid w:val="009C4A58"/>
    <w:rsid w:val="009C4A99"/>
    <w:rsid w:val="009C520A"/>
    <w:rsid w:val="009C5D86"/>
    <w:rsid w:val="009C5DE0"/>
    <w:rsid w:val="009C643D"/>
    <w:rsid w:val="009C6826"/>
    <w:rsid w:val="009C6CEA"/>
    <w:rsid w:val="009C7451"/>
    <w:rsid w:val="009C7511"/>
    <w:rsid w:val="009C7B85"/>
    <w:rsid w:val="009C7DD6"/>
    <w:rsid w:val="009D0254"/>
    <w:rsid w:val="009D0615"/>
    <w:rsid w:val="009D16F9"/>
    <w:rsid w:val="009D1A64"/>
    <w:rsid w:val="009D243E"/>
    <w:rsid w:val="009D2D36"/>
    <w:rsid w:val="009D3002"/>
    <w:rsid w:val="009D3819"/>
    <w:rsid w:val="009D4170"/>
    <w:rsid w:val="009D5844"/>
    <w:rsid w:val="009D5B91"/>
    <w:rsid w:val="009D792E"/>
    <w:rsid w:val="009E002C"/>
    <w:rsid w:val="009E08CE"/>
    <w:rsid w:val="009E0DFE"/>
    <w:rsid w:val="009E15B5"/>
    <w:rsid w:val="009E162A"/>
    <w:rsid w:val="009E1C1C"/>
    <w:rsid w:val="009E31F6"/>
    <w:rsid w:val="009E339E"/>
    <w:rsid w:val="009E4C07"/>
    <w:rsid w:val="009E4F93"/>
    <w:rsid w:val="009E5043"/>
    <w:rsid w:val="009E5A7B"/>
    <w:rsid w:val="009E6214"/>
    <w:rsid w:val="009E67F6"/>
    <w:rsid w:val="009E6AC1"/>
    <w:rsid w:val="009E6F39"/>
    <w:rsid w:val="009F113B"/>
    <w:rsid w:val="009F1A85"/>
    <w:rsid w:val="009F2935"/>
    <w:rsid w:val="009F2BF5"/>
    <w:rsid w:val="009F5878"/>
    <w:rsid w:val="009F5A68"/>
    <w:rsid w:val="009F7BCF"/>
    <w:rsid w:val="00A00285"/>
    <w:rsid w:val="00A01180"/>
    <w:rsid w:val="00A01184"/>
    <w:rsid w:val="00A02970"/>
    <w:rsid w:val="00A032A8"/>
    <w:rsid w:val="00A032C3"/>
    <w:rsid w:val="00A033C4"/>
    <w:rsid w:val="00A037C2"/>
    <w:rsid w:val="00A03D43"/>
    <w:rsid w:val="00A042E3"/>
    <w:rsid w:val="00A04380"/>
    <w:rsid w:val="00A04FB8"/>
    <w:rsid w:val="00A05443"/>
    <w:rsid w:val="00A05472"/>
    <w:rsid w:val="00A05C03"/>
    <w:rsid w:val="00A05C32"/>
    <w:rsid w:val="00A0653F"/>
    <w:rsid w:val="00A07BAD"/>
    <w:rsid w:val="00A07BCA"/>
    <w:rsid w:val="00A10117"/>
    <w:rsid w:val="00A107FF"/>
    <w:rsid w:val="00A11168"/>
    <w:rsid w:val="00A1137F"/>
    <w:rsid w:val="00A11B2B"/>
    <w:rsid w:val="00A11CD0"/>
    <w:rsid w:val="00A12BF1"/>
    <w:rsid w:val="00A1373A"/>
    <w:rsid w:val="00A13948"/>
    <w:rsid w:val="00A14041"/>
    <w:rsid w:val="00A1555B"/>
    <w:rsid w:val="00A155C5"/>
    <w:rsid w:val="00A15DC9"/>
    <w:rsid w:val="00A16867"/>
    <w:rsid w:val="00A16AD8"/>
    <w:rsid w:val="00A17FD4"/>
    <w:rsid w:val="00A210AC"/>
    <w:rsid w:val="00A21C95"/>
    <w:rsid w:val="00A21CF3"/>
    <w:rsid w:val="00A220FF"/>
    <w:rsid w:val="00A225DB"/>
    <w:rsid w:val="00A23DC5"/>
    <w:rsid w:val="00A23E0E"/>
    <w:rsid w:val="00A24813"/>
    <w:rsid w:val="00A24F2A"/>
    <w:rsid w:val="00A26204"/>
    <w:rsid w:val="00A2682E"/>
    <w:rsid w:val="00A27AEC"/>
    <w:rsid w:val="00A27B63"/>
    <w:rsid w:val="00A31360"/>
    <w:rsid w:val="00A320DB"/>
    <w:rsid w:val="00A32220"/>
    <w:rsid w:val="00A34557"/>
    <w:rsid w:val="00A34D6F"/>
    <w:rsid w:val="00A35D16"/>
    <w:rsid w:val="00A37639"/>
    <w:rsid w:val="00A3787E"/>
    <w:rsid w:val="00A37BCD"/>
    <w:rsid w:val="00A4025B"/>
    <w:rsid w:val="00A403AE"/>
    <w:rsid w:val="00A40495"/>
    <w:rsid w:val="00A40B21"/>
    <w:rsid w:val="00A41689"/>
    <w:rsid w:val="00A41C01"/>
    <w:rsid w:val="00A42592"/>
    <w:rsid w:val="00A42B03"/>
    <w:rsid w:val="00A4324D"/>
    <w:rsid w:val="00A43829"/>
    <w:rsid w:val="00A43C59"/>
    <w:rsid w:val="00A445C7"/>
    <w:rsid w:val="00A4516A"/>
    <w:rsid w:val="00A454BF"/>
    <w:rsid w:val="00A459E4"/>
    <w:rsid w:val="00A45B86"/>
    <w:rsid w:val="00A46734"/>
    <w:rsid w:val="00A47BF8"/>
    <w:rsid w:val="00A508B8"/>
    <w:rsid w:val="00A50937"/>
    <w:rsid w:val="00A50ECD"/>
    <w:rsid w:val="00A5165E"/>
    <w:rsid w:val="00A518F3"/>
    <w:rsid w:val="00A52092"/>
    <w:rsid w:val="00A52729"/>
    <w:rsid w:val="00A53675"/>
    <w:rsid w:val="00A5387F"/>
    <w:rsid w:val="00A55C70"/>
    <w:rsid w:val="00A55F7D"/>
    <w:rsid w:val="00A564D7"/>
    <w:rsid w:val="00A56B6A"/>
    <w:rsid w:val="00A57298"/>
    <w:rsid w:val="00A578DC"/>
    <w:rsid w:val="00A579AB"/>
    <w:rsid w:val="00A57C0C"/>
    <w:rsid w:val="00A57E8A"/>
    <w:rsid w:val="00A6008E"/>
    <w:rsid w:val="00A60504"/>
    <w:rsid w:val="00A60C34"/>
    <w:rsid w:val="00A61F4D"/>
    <w:rsid w:val="00A6369C"/>
    <w:rsid w:val="00A63708"/>
    <w:rsid w:val="00A640E2"/>
    <w:rsid w:val="00A64D65"/>
    <w:rsid w:val="00A6519F"/>
    <w:rsid w:val="00A65659"/>
    <w:rsid w:val="00A658AC"/>
    <w:rsid w:val="00A670BF"/>
    <w:rsid w:val="00A6725B"/>
    <w:rsid w:val="00A67A76"/>
    <w:rsid w:val="00A70605"/>
    <w:rsid w:val="00A714F2"/>
    <w:rsid w:val="00A71F4B"/>
    <w:rsid w:val="00A722DC"/>
    <w:rsid w:val="00A7258F"/>
    <w:rsid w:val="00A72DEC"/>
    <w:rsid w:val="00A73134"/>
    <w:rsid w:val="00A7344A"/>
    <w:rsid w:val="00A7420D"/>
    <w:rsid w:val="00A7436F"/>
    <w:rsid w:val="00A76001"/>
    <w:rsid w:val="00A76584"/>
    <w:rsid w:val="00A7663C"/>
    <w:rsid w:val="00A777B2"/>
    <w:rsid w:val="00A80605"/>
    <w:rsid w:val="00A8104F"/>
    <w:rsid w:val="00A819BF"/>
    <w:rsid w:val="00A825D4"/>
    <w:rsid w:val="00A828F6"/>
    <w:rsid w:val="00A82AF3"/>
    <w:rsid w:val="00A82B73"/>
    <w:rsid w:val="00A849D1"/>
    <w:rsid w:val="00A85615"/>
    <w:rsid w:val="00A86030"/>
    <w:rsid w:val="00A86473"/>
    <w:rsid w:val="00A86AC3"/>
    <w:rsid w:val="00A86E8B"/>
    <w:rsid w:val="00A87164"/>
    <w:rsid w:val="00A879D8"/>
    <w:rsid w:val="00A87FD2"/>
    <w:rsid w:val="00A90E97"/>
    <w:rsid w:val="00A91CF1"/>
    <w:rsid w:val="00A93072"/>
    <w:rsid w:val="00A938BD"/>
    <w:rsid w:val="00A93953"/>
    <w:rsid w:val="00A93F7F"/>
    <w:rsid w:val="00A959D8"/>
    <w:rsid w:val="00A95F78"/>
    <w:rsid w:val="00A96F27"/>
    <w:rsid w:val="00AA113D"/>
    <w:rsid w:val="00AA1857"/>
    <w:rsid w:val="00AA3AA4"/>
    <w:rsid w:val="00AA3BED"/>
    <w:rsid w:val="00AA4C97"/>
    <w:rsid w:val="00AA5085"/>
    <w:rsid w:val="00AA5863"/>
    <w:rsid w:val="00AA5DEF"/>
    <w:rsid w:val="00AA5FC7"/>
    <w:rsid w:val="00AA6BD5"/>
    <w:rsid w:val="00AA6BD8"/>
    <w:rsid w:val="00AA6C7D"/>
    <w:rsid w:val="00AA6DA3"/>
    <w:rsid w:val="00AA7386"/>
    <w:rsid w:val="00AA7EBB"/>
    <w:rsid w:val="00AA7FD6"/>
    <w:rsid w:val="00AB042A"/>
    <w:rsid w:val="00AB17A4"/>
    <w:rsid w:val="00AB19EF"/>
    <w:rsid w:val="00AB1AF4"/>
    <w:rsid w:val="00AB1B3E"/>
    <w:rsid w:val="00AB241C"/>
    <w:rsid w:val="00AB2AE2"/>
    <w:rsid w:val="00AB2C69"/>
    <w:rsid w:val="00AB2D34"/>
    <w:rsid w:val="00AB3430"/>
    <w:rsid w:val="00AB37B9"/>
    <w:rsid w:val="00AB4185"/>
    <w:rsid w:val="00AB46BF"/>
    <w:rsid w:val="00AB4976"/>
    <w:rsid w:val="00AB4AD1"/>
    <w:rsid w:val="00AB5358"/>
    <w:rsid w:val="00AB5E07"/>
    <w:rsid w:val="00AB6A5C"/>
    <w:rsid w:val="00AB6D9E"/>
    <w:rsid w:val="00AB71CF"/>
    <w:rsid w:val="00AB74FF"/>
    <w:rsid w:val="00AB7CFA"/>
    <w:rsid w:val="00AC034F"/>
    <w:rsid w:val="00AC0617"/>
    <w:rsid w:val="00AC2E2E"/>
    <w:rsid w:val="00AC3044"/>
    <w:rsid w:val="00AC4A43"/>
    <w:rsid w:val="00AC5252"/>
    <w:rsid w:val="00AC551C"/>
    <w:rsid w:val="00AC5B48"/>
    <w:rsid w:val="00AC64A1"/>
    <w:rsid w:val="00AC6A3C"/>
    <w:rsid w:val="00AC7339"/>
    <w:rsid w:val="00AD0170"/>
    <w:rsid w:val="00AD03DC"/>
    <w:rsid w:val="00AD0604"/>
    <w:rsid w:val="00AD0625"/>
    <w:rsid w:val="00AD0C93"/>
    <w:rsid w:val="00AD0D41"/>
    <w:rsid w:val="00AD1450"/>
    <w:rsid w:val="00AD1A1F"/>
    <w:rsid w:val="00AD6136"/>
    <w:rsid w:val="00AD6458"/>
    <w:rsid w:val="00AD6502"/>
    <w:rsid w:val="00AD65F1"/>
    <w:rsid w:val="00AD66E2"/>
    <w:rsid w:val="00AD7983"/>
    <w:rsid w:val="00AD7A7C"/>
    <w:rsid w:val="00AD7D9C"/>
    <w:rsid w:val="00AE0685"/>
    <w:rsid w:val="00AE0695"/>
    <w:rsid w:val="00AE14E7"/>
    <w:rsid w:val="00AE20A8"/>
    <w:rsid w:val="00AE33BD"/>
    <w:rsid w:val="00AE37AA"/>
    <w:rsid w:val="00AE3E7E"/>
    <w:rsid w:val="00AE41BD"/>
    <w:rsid w:val="00AE50B2"/>
    <w:rsid w:val="00AE535B"/>
    <w:rsid w:val="00AE74DD"/>
    <w:rsid w:val="00AE7A01"/>
    <w:rsid w:val="00AF0356"/>
    <w:rsid w:val="00AF0C5F"/>
    <w:rsid w:val="00AF0D05"/>
    <w:rsid w:val="00AF1315"/>
    <w:rsid w:val="00AF19BF"/>
    <w:rsid w:val="00AF2DC3"/>
    <w:rsid w:val="00AF4316"/>
    <w:rsid w:val="00AF505E"/>
    <w:rsid w:val="00AF5488"/>
    <w:rsid w:val="00AF5D5E"/>
    <w:rsid w:val="00AF6F1C"/>
    <w:rsid w:val="00AF73C7"/>
    <w:rsid w:val="00B000DF"/>
    <w:rsid w:val="00B00606"/>
    <w:rsid w:val="00B00838"/>
    <w:rsid w:val="00B009E4"/>
    <w:rsid w:val="00B00CFF"/>
    <w:rsid w:val="00B01223"/>
    <w:rsid w:val="00B014E8"/>
    <w:rsid w:val="00B0178B"/>
    <w:rsid w:val="00B02F33"/>
    <w:rsid w:val="00B033E5"/>
    <w:rsid w:val="00B03A63"/>
    <w:rsid w:val="00B03CF9"/>
    <w:rsid w:val="00B041AE"/>
    <w:rsid w:val="00B0478B"/>
    <w:rsid w:val="00B04DBE"/>
    <w:rsid w:val="00B0526E"/>
    <w:rsid w:val="00B05F7F"/>
    <w:rsid w:val="00B06150"/>
    <w:rsid w:val="00B06609"/>
    <w:rsid w:val="00B10310"/>
    <w:rsid w:val="00B10395"/>
    <w:rsid w:val="00B10403"/>
    <w:rsid w:val="00B10CC1"/>
    <w:rsid w:val="00B112FC"/>
    <w:rsid w:val="00B115E1"/>
    <w:rsid w:val="00B11BDB"/>
    <w:rsid w:val="00B11F1C"/>
    <w:rsid w:val="00B14031"/>
    <w:rsid w:val="00B17FC5"/>
    <w:rsid w:val="00B201A4"/>
    <w:rsid w:val="00B201D1"/>
    <w:rsid w:val="00B201FD"/>
    <w:rsid w:val="00B20E2F"/>
    <w:rsid w:val="00B213A6"/>
    <w:rsid w:val="00B224C6"/>
    <w:rsid w:val="00B22C96"/>
    <w:rsid w:val="00B22DA3"/>
    <w:rsid w:val="00B235B0"/>
    <w:rsid w:val="00B242A4"/>
    <w:rsid w:val="00B24DF6"/>
    <w:rsid w:val="00B25344"/>
    <w:rsid w:val="00B27101"/>
    <w:rsid w:val="00B27E1E"/>
    <w:rsid w:val="00B303D3"/>
    <w:rsid w:val="00B31877"/>
    <w:rsid w:val="00B33ECC"/>
    <w:rsid w:val="00B34065"/>
    <w:rsid w:val="00B34264"/>
    <w:rsid w:val="00B34D18"/>
    <w:rsid w:val="00B34FE2"/>
    <w:rsid w:val="00B35166"/>
    <w:rsid w:val="00B357D8"/>
    <w:rsid w:val="00B35C92"/>
    <w:rsid w:val="00B360F4"/>
    <w:rsid w:val="00B36711"/>
    <w:rsid w:val="00B36A00"/>
    <w:rsid w:val="00B376F9"/>
    <w:rsid w:val="00B37BFC"/>
    <w:rsid w:val="00B37C4A"/>
    <w:rsid w:val="00B37CF7"/>
    <w:rsid w:val="00B40358"/>
    <w:rsid w:val="00B41614"/>
    <w:rsid w:val="00B41F35"/>
    <w:rsid w:val="00B42667"/>
    <w:rsid w:val="00B42851"/>
    <w:rsid w:val="00B42875"/>
    <w:rsid w:val="00B42C86"/>
    <w:rsid w:val="00B42E3E"/>
    <w:rsid w:val="00B42F80"/>
    <w:rsid w:val="00B43529"/>
    <w:rsid w:val="00B435CB"/>
    <w:rsid w:val="00B44B02"/>
    <w:rsid w:val="00B45F47"/>
    <w:rsid w:val="00B46730"/>
    <w:rsid w:val="00B46E6A"/>
    <w:rsid w:val="00B505C8"/>
    <w:rsid w:val="00B50DB8"/>
    <w:rsid w:val="00B51245"/>
    <w:rsid w:val="00B51E8D"/>
    <w:rsid w:val="00B52F72"/>
    <w:rsid w:val="00B53654"/>
    <w:rsid w:val="00B53905"/>
    <w:rsid w:val="00B53BBD"/>
    <w:rsid w:val="00B547BE"/>
    <w:rsid w:val="00B54AD0"/>
    <w:rsid w:val="00B54B5B"/>
    <w:rsid w:val="00B54D2D"/>
    <w:rsid w:val="00B5562E"/>
    <w:rsid w:val="00B55A21"/>
    <w:rsid w:val="00B55D65"/>
    <w:rsid w:val="00B5645B"/>
    <w:rsid w:val="00B57000"/>
    <w:rsid w:val="00B57B7B"/>
    <w:rsid w:val="00B60074"/>
    <w:rsid w:val="00B60939"/>
    <w:rsid w:val="00B60AFD"/>
    <w:rsid w:val="00B61A62"/>
    <w:rsid w:val="00B62715"/>
    <w:rsid w:val="00B6360E"/>
    <w:rsid w:val="00B640A9"/>
    <w:rsid w:val="00B6496A"/>
    <w:rsid w:val="00B64AA1"/>
    <w:rsid w:val="00B65611"/>
    <w:rsid w:val="00B66AB2"/>
    <w:rsid w:val="00B6781B"/>
    <w:rsid w:val="00B70080"/>
    <w:rsid w:val="00B70956"/>
    <w:rsid w:val="00B70CD9"/>
    <w:rsid w:val="00B70E8E"/>
    <w:rsid w:val="00B71F0E"/>
    <w:rsid w:val="00B74AFD"/>
    <w:rsid w:val="00B75097"/>
    <w:rsid w:val="00B76696"/>
    <w:rsid w:val="00B768DE"/>
    <w:rsid w:val="00B76C92"/>
    <w:rsid w:val="00B76F30"/>
    <w:rsid w:val="00B80C8F"/>
    <w:rsid w:val="00B810F6"/>
    <w:rsid w:val="00B818A4"/>
    <w:rsid w:val="00B82253"/>
    <w:rsid w:val="00B8273C"/>
    <w:rsid w:val="00B82DF2"/>
    <w:rsid w:val="00B82E1C"/>
    <w:rsid w:val="00B83BAE"/>
    <w:rsid w:val="00B84117"/>
    <w:rsid w:val="00B858F0"/>
    <w:rsid w:val="00B85AA2"/>
    <w:rsid w:val="00B86268"/>
    <w:rsid w:val="00B8649C"/>
    <w:rsid w:val="00B8695D"/>
    <w:rsid w:val="00B876F3"/>
    <w:rsid w:val="00B87F0A"/>
    <w:rsid w:val="00B87FBC"/>
    <w:rsid w:val="00B9021A"/>
    <w:rsid w:val="00B906C5"/>
    <w:rsid w:val="00B91C73"/>
    <w:rsid w:val="00B91D6D"/>
    <w:rsid w:val="00B921F8"/>
    <w:rsid w:val="00B92D0B"/>
    <w:rsid w:val="00B93A5B"/>
    <w:rsid w:val="00B93BEC"/>
    <w:rsid w:val="00B9473F"/>
    <w:rsid w:val="00B94945"/>
    <w:rsid w:val="00B94DD6"/>
    <w:rsid w:val="00B954FA"/>
    <w:rsid w:val="00B9554F"/>
    <w:rsid w:val="00B95F1A"/>
    <w:rsid w:val="00B96039"/>
    <w:rsid w:val="00B9733A"/>
    <w:rsid w:val="00B9743D"/>
    <w:rsid w:val="00BA0386"/>
    <w:rsid w:val="00BA0394"/>
    <w:rsid w:val="00BA1064"/>
    <w:rsid w:val="00BA1316"/>
    <w:rsid w:val="00BA2A03"/>
    <w:rsid w:val="00BA2B7D"/>
    <w:rsid w:val="00BA322D"/>
    <w:rsid w:val="00BA4872"/>
    <w:rsid w:val="00BA4BFF"/>
    <w:rsid w:val="00BA5456"/>
    <w:rsid w:val="00BA5FE1"/>
    <w:rsid w:val="00BA6018"/>
    <w:rsid w:val="00BA63FA"/>
    <w:rsid w:val="00BA6484"/>
    <w:rsid w:val="00BA6828"/>
    <w:rsid w:val="00BA68FB"/>
    <w:rsid w:val="00BB00B3"/>
    <w:rsid w:val="00BB0B53"/>
    <w:rsid w:val="00BB0BDD"/>
    <w:rsid w:val="00BB14E0"/>
    <w:rsid w:val="00BB176C"/>
    <w:rsid w:val="00BB2A73"/>
    <w:rsid w:val="00BB2E40"/>
    <w:rsid w:val="00BB366E"/>
    <w:rsid w:val="00BB3A45"/>
    <w:rsid w:val="00BB448D"/>
    <w:rsid w:val="00BB4ACC"/>
    <w:rsid w:val="00BB4D90"/>
    <w:rsid w:val="00BB58C4"/>
    <w:rsid w:val="00BB5949"/>
    <w:rsid w:val="00BB5BF0"/>
    <w:rsid w:val="00BB63D2"/>
    <w:rsid w:val="00BB703E"/>
    <w:rsid w:val="00BB732D"/>
    <w:rsid w:val="00BB7405"/>
    <w:rsid w:val="00BC02C8"/>
    <w:rsid w:val="00BC0553"/>
    <w:rsid w:val="00BC0A35"/>
    <w:rsid w:val="00BC1927"/>
    <w:rsid w:val="00BC2441"/>
    <w:rsid w:val="00BC30C4"/>
    <w:rsid w:val="00BC327F"/>
    <w:rsid w:val="00BC3631"/>
    <w:rsid w:val="00BC3ACE"/>
    <w:rsid w:val="00BC40D1"/>
    <w:rsid w:val="00BC591F"/>
    <w:rsid w:val="00BC616D"/>
    <w:rsid w:val="00BC64DA"/>
    <w:rsid w:val="00BC668C"/>
    <w:rsid w:val="00BC6B0D"/>
    <w:rsid w:val="00BC7D6D"/>
    <w:rsid w:val="00BD1CA2"/>
    <w:rsid w:val="00BD1F05"/>
    <w:rsid w:val="00BD1F34"/>
    <w:rsid w:val="00BD1F8E"/>
    <w:rsid w:val="00BD2108"/>
    <w:rsid w:val="00BD3F8E"/>
    <w:rsid w:val="00BD4A22"/>
    <w:rsid w:val="00BD4B27"/>
    <w:rsid w:val="00BD526A"/>
    <w:rsid w:val="00BD54E5"/>
    <w:rsid w:val="00BD5DF7"/>
    <w:rsid w:val="00BD6578"/>
    <w:rsid w:val="00BD664F"/>
    <w:rsid w:val="00BD68A3"/>
    <w:rsid w:val="00BD68C5"/>
    <w:rsid w:val="00BD6938"/>
    <w:rsid w:val="00BD6CF3"/>
    <w:rsid w:val="00BD6F7B"/>
    <w:rsid w:val="00BD701C"/>
    <w:rsid w:val="00BD7557"/>
    <w:rsid w:val="00BD768D"/>
    <w:rsid w:val="00BD7C85"/>
    <w:rsid w:val="00BE0836"/>
    <w:rsid w:val="00BE0AFD"/>
    <w:rsid w:val="00BE0ECA"/>
    <w:rsid w:val="00BE0FB0"/>
    <w:rsid w:val="00BE2180"/>
    <w:rsid w:val="00BE21F2"/>
    <w:rsid w:val="00BE2D94"/>
    <w:rsid w:val="00BE4275"/>
    <w:rsid w:val="00BE4EE3"/>
    <w:rsid w:val="00BE539A"/>
    <w:rsid w:val="00BE5E56"/>
    <w:rsid w:val="00BE64E3"/>
    <w:rsid w:val="00BE6708"/>
    <w:rsid w:val="00BE690B"/>
    <w:rsid w:val="00BE69C2"/>
    <w:rsid w:val="00BE6F9D"/>
    <w:rsid w:val="00BE7199"/>
    <w:rsid w:val="00BF02F7"/>
    <w:rsid w:val="00BF06AE"/>
    <w:rsid w:val="00BF070F"/>
    <w:rsid w:val="00BF0805"/>
    <w:rsid w:val="00BF0F95"/>
    <w:rsid w:val="00BF1B82"/>
    <w:rsid w:val="00BF1C6F"/>
    <w:rsid w:val="00BF1E5E"/>
    <w:rsid w:val="00BF1EAD"/>
    <w:rsid w:val="00BF2433"/>
    <w:rsid w:val="00BF29D2"/>
    <w:rsid w:val="00BF3FF9"/>
    <w:rsid w:val="00BF4C4F"/>
    <w:rsid w:val="00BF61C9"/>
    <w:rsid w:val="00BF6C94"/>
    <w:rsid w:val="00BF6CC3"/>
    <w:rsid w:val="00BF79BE"/>
    <w:rsid w:val="00BF7D63"/>
    <w:rsid w:val="00C000E2"/>
    <w:rsid w:val="00C00424"/>
    <w:rsid w:val="00C032D2"/>
    <w:rsid w:val="00C0446A"/>
    <w:rsid w:val="00C049C0"/>
    <w:rsid w:val="00C04EB3"/>
    <w:rsid w:val="00C05B33"/>
    <w:rsid w:val="00C068FF"/>
    <w:rsid w:val="00C06B85"/>
    <w:rsid w:val="00C06DE4"/>
    <w:rsid w:val="00C07C10"/>
    <w:rsid w:val="00C10D27"/>
    <w:rsid w:val="00C1179F"/>
    <w:rsid w:val="00C126F0"/>
    <w:rsid w:val="00C12947"/>
    <w:rsid w:val="00C12C14"/>
    <w:rsid w:val="00C13289"/>
    <w:rsid w:val="00C13472"/>
    <w:rsid w:val="00C15F04"/>
    <w:rsid w:val="00C15F53"/>
    <w:rsid w:val="00C16F83"/>
    <w:rsid w:val="00C173EE"/>
    <w:rsid w:val="00C17430"/>
    <w:rsid w:val="00C179B3"/>
    <w:rsid w:val="00C17E3F"/>
    <w:rsid w:val="00C200AA"/>
    <w:rsid w:val="00C20841"/>
    <w:rsid w:val="00C20845"/>
    <w:rsid w:val="00C219C2"/>
    <w:rsid w:val="00C22493"/>
    <w:rsid w:val="00C22621"/>
    <w:rsid w:val="00C237ED"/>
    <w:rsid w:val="00C24632"/>
    <w:rsid w:val="00C25418"/>
    <w:rsid w:val="00C25890"/>
    <w:rsid w:val="00C25D9C"/>
    <w:rsid w:val="00C2778B"/>
    <w:rsid w:val="00C279A0"/>
    <w:rsid w:val="00C27B6E"/>
    <w:rsid w:val="00C3028F"/>
    <w:rsid w:val="00C31067"/>
    <w:rsid w:val="00C3140E"/>
    <w:rsid w:val="00C314A4"/>
    <w:rsid w:val="00C315E9"/>
    <w:rsid w:val="00C315FE"/>
    <w:rsid w:val="00C31649"/>
    <w:rsid w:val="00C323BE"/>
    <w:rsid w:val="00C32DBB"/>
    <w:rsid w:val="00C3434C"/>
    <w:rsid w:val="00C34352"/>
    <w:rsid w:val="00C36EBB"/>
    <w:rsid w:val="00C3763B"/>
    <w:rsid w:val="00C40385"/>
    <w:rsid w:val="00C40D7A"/>
    <w:rsid w:val="00C41663"/>
    <w:rsid w:val="00C41768"/>
    <w:rsid w:val="00C42140"/>
    <w:rsid w:val="00C42AEB"/>
    <w:rsid w:val="00C42FE5"/>
    <w:rsid w:val="00C43218"/>
    <w:rsid w:val="00C4410A"/>
    <w:rsid w:val="00C447F5"/>
    <w:rsid w:val="00C4568C"/>
    <w:rsid w:val="00C45778"/>
    <w:rsid w:val="00C45ED1"/>
    <w:rsid w:val="00C46958"/>
    <w:rsid w:val="00C46CA9"/>
    <w:rsid w:val="00C475AA"/>
    <w:rsid w:val="00C51AD5"/>
    <w:rsid w:val="00C5256E"/>
    <w:rsid w:val="00C53258"/>
    <w:rsid w:val="00C532E8"/>
    <w:rsid w:val="00C53A78"/>
    <w:rsid w:val="00C53C98"/>
    <w:rsid w:val="00C53CEC"/>
    <w:rsid w:val="00C53EE4"/>
    <w:rsid w:val="00C54DB3"/>
    <w:rsid w:val="00C56525"/>
    <w:rsid w:val="00C56FCF"/>
    <w:rsid w:val="00C57B6C"/>
    <w:rsid w:val="00C60166"/>
    <w:rsid w:val="00C601ED"/>
    <w:rsid w:val="00C60418"/>
    <w:rsid w:val="00C60B80"/>
    <w:rsid w:val="00C622AE"/>
    <w:rsid w:val="00C628A6"/>
    <w:rsid w:val="00C63C9A"/>
    <w:rsid w:val="00C64344"/>
    <w:rsid w:val="00C647EE"/>
    <w:rsid w:val="00C65108"/>
    <w:rsid w:val="00C65576"/>
    <w:rsid w:val="00C6577B"/>
    <w:rsid w:val="00C658A7"/>
    <w:rsid w:val="00C658CD"/>
    <w:rsid w:val="00C65928"/>
    <w:rsid w:val="00C66165"/>
    <w:rsid w:val="00C66E92"/>
    <w:rsid w:val="00C673EE"/>
    <w:rsid w:val="00C674B7"/>
    <w:rsid w:val="00C7060A"/>
    <w:rsid w:val="00C7139B"/>
    <w:rsid w:val="00C7151A"/>
    <w:rsid w:val="00C717E3"/>
    <w:rsid w:val="00C71B12"/>
    <w:rsid w:val="00C71F60"/>
    <w:rsid w:val="00C71F84"/>
    <w:rsid w:val="00C72241"/>
    <w:rsid w:val="00C72449"/>
    <w:rsid w:val="00C7420C"/>
    <w:rsid w:val="00C750C8"/>
    <w:rsid w:val="00C7560F"/>
    <w:rsid w:val="00C756DC"/>
    <w:rsid w:val="00C75A47"/>
    <w:rsid w:val="00C76E23"/>
    <w:rsid w:val="00C80A0E"/>
    <w:rsid w:val="00C8141E"/>
    <w:rsid w:val="00C815D6"/>
    <w:rsid w:val="00C82056"/>
    <w:rsid w:val="00C8213F"/>
    <w:rsid w:val="00C82D68"/>
    <w:rsid w:val="00C83016"/>
    <w:rsid w:val="00C85154"/>
    <w:rsid w:val="00C858C5"/>
    <w:rsid w:val="00C86674"/>
    <w:rsid w:val="00C86D48"/>
    <w:rsid w:val="00C87788"/>
    <w:rsid w:val="00C878D3"/>
    <w:rsid w:val="00C8797A"/>
    <w:rsid w:val="00C900B8"/>
    <w:rsid w:val="00C90C71"/>
    <w:rsid w:val="00C9189B"/>
    <w:rsid w:val="00C91A66"/>
    <w:rsid w:val="00C91FD1"/>
    <w:rsid w:val="00C925B6"/>
    <w:rsid w:val="00C92C0B"/>
    <w:rsid w:val="00C931CF"/>
    <w:rsid w:val="00C9350E"/>
    <w:rsid w:val="00C938CF"/>
    <w:rsid w:val="00C938D0"/>
    <w:rsid w:val="00C93B38"/>
    <w:rsid w:val="00C93FC3"/>
    <w:rsid w:val="00C94053"/>
    <w:rsid w:val="00C942AE"/>
    <w:rsid w:val="00C942F1"/>
    <w:rsid w:val="00C9538A"/>
    <w:rsid w:val="00C9624D"/>
    <w:rsid w:val="00C969DA"/>
    <w:rsid w:val="00C97803"/>
    <w:rsid w:val="00C97ADA"/>
    <w:rsid w:val="00CA1DA4"/>
    <w:rsid w:val="00CA2477"/>
    <w:rsid w:val="00CA2781"/>
    <w:rsid w:val="00CA2C77"/>
    <w:rsid w:val="00CA43AD"/>
    <w:rsid w:val="00CA444F"/>
    <w:rsid w:val="00CA5245"/>
    <w:rsid w:val="00CA531A"/>
    <w:rsid w:val="00CA5752"/>
    <w:rsid w:val="00CA5A34"/>
    <w:rsid w:val="00CA6390"/>
    <w:rsid w:val="00CA71F4"/>
    <w:rsid w:val="00CA7B09"/>
    <w:rsid w:val="00CA7EE7"/>
    <w:rsid w:val="00CB0EA7"/>
    <w:rsid w:val="00CB12A5"/>
    <w:rsid w:val="00CB1C96"/>
    <w:rsid w:val="00CB1CAC"/>
    <w:rsid w:val="00CB2309"/>
    <w:rsid w:val="00CB245D"/>
    <w:rsid w:val="00CB27B9"/>
    <w:rsid w:val="00CB2F2A"/>
    <w:rsid w:val="00CB46FC"/>
    <w:rsid w:val="00CB4781"/>
    <w:rsid w:val="00CB52AF"/>
    <w:rsid w:val="00CB5A4B"/>
    <w:rsid w:val="00CB5B1A"/>
    <w:rsid w:val="00CB6358"/>
    <w:rsid w:val="00CB6B22"/>
    <w:rsid w:val="00CB6B92"/>
    <w:rsid w:val="00CB740A"/>
    <w:rsid w:val="00CB760C"/>
    <w:rsid w:val="00CB7EAF"/>
    <w:rsid w:val="00CB7F5F"/>
    <w:rsid w:val="00CC04A4"/>
    <w:rsid w:val="00CC0769"/>
    <w:rsid w:val="00CC0AFD"/>
    <w:rsid w:val="00CC103A"/>
    <w:rsid w:val="00CC11AF"/>
    <w:rsid w:val="00CC12DA"/>
    <w:rsid w:val="00CC1B39"/>
    <w:rsid w:val="00CC25DE"/>
    <w:rsid w:val="00CC2F1C"/>
    <w:rsid w:val="00CC33D6"/>
    <w:rsid w:val="00CC35EA"/>
    <w:rsid w:val="00CC3848"/>
    <w:rsid w:val="00CC4C6E"/>
    <w:rsid w:val="00CC5732"/>
    <w:rsid w:val="00CC5D95"/>
    <w:rsid w:val="00CC6253"/>
    <w:rsid w:val="00CC688E"/>
    <w:rsid w:val="00CC79F1"/>
    <w:rsid w:val="00CD00AE"/>
    <w:rsid w:val="00CD0884"/>
    <w:rsid w:val="00CD0D83"/>
    <w:rsid w:val="00CD1B14"/>
    <w:rsid w:val="00CD2AC0"/>
    <w:rsid w:val="00CD3F77"/>
    <w:rsid w:val="00CD4AAB"/>
    <w:rsid w:val="00CD6ADC"/>
    <w:rsid w:val="00CD6CCA"/>
    <w:rsid w:val="00CD7193"/>
    <w:rsid w:val="00CD72CB"/>
    <w:rsid w:val="00CE0AC4"/>
    <w:rsid w:val="00CE33CB"/>
    <w:rsid w:val="00CE38C8"/>
    <w:rsid w:val="00CE5F64"/>
    <w:rsid w:val="00CE60D9"/>
    <w:rsid w:val="00CE6274"/>
    <w:rsid w:val="00CE656E"/>
    <w:rsid w:val="00CE667E"/>
    <w:rsid w:val="00CE6B47"/>
    <w:rsid w:val="00CE767E"/>
    <w:rsid w:val="00CE77B6"/>
    <w:rsid w:val="00CE7CE7"/>
    <w:rsid w:val="00CE7DF1"/>
    <w:rsid w:val="00CF0228"/>
    <w:rsid w:val="00CF02FE"/>
    <w:rsid w:val="00CF1683"/>
    <w:rsid w:val="00CF2B8D"/>
    <w:rsid w:val="00CF2DD7"/>
    <w:rsid w:val="00CF2EEF"/>
    <w:rsid w:val="00CF35F0"/>
    <w:rsid w:val="00CF39F6"/>
    <w:rsid w:val="00CF4021"/>
    <w:rsid w:val="00CF4390"/>
    <w:rsid w:val="00CF456B"/>
    <w:rsid w:val="00CF485B"/>
    <w:rsid w:val="00CF5A22"/>
    <w:rsid w:val="00CF5DC8"/>
    <w:rsid w:val="00CF6148"/>
    <w:rsid w:val="00CF6807"/>
    <w:rsid w:val="00CF7368"/>
    <w:rsid w:val="00CF78B2"/>
    <w:rsid w:val="00CF7ADD"/>
    <w:rsid w:val="00D001CB"/>
    <w:rsid w:val="00D013BD"/>
    <w:rsid w:val="00D01CAE"/>
    <w:rsid w:val="00D02252"/>
    <w:rsid w:val="00D0232A"/>
    <w:rsid w:val="00D0262E"/>
    <w:rsid w:val="00D03A80"/>
    <w:rsid w:val="00D03B90"/>
    <w:rsid w:val="00D03CD3"/>
    <w:rsid w:val="00D03E25"/>
    <w:rsid w:val="00D04A27"/>
    <w:rsid w:val="00D05689"/>
    <w:rsid w:val="00D05E3D"/>
    <w:rsid w:val="00D06139"/>
    <w:rsid w:val="00D0644F"/>
    <w:rsid w:val="00D07721"/>
    <w:rsid w:val="00D07D15"/>
    <w:rsid w:val="00D110BD"/>
    <w:rsid w:val="00D115DA"/>
    <w:rsid w:val="00D12742"/>
    <w:rsid w:val="00D12E1F"/>
    <w:rsid w:val="00D13675"/>
    <w:rsid w:val="00D138B3"/>
    <w:rsid w:val="00D14055"/>
    <w:rsid w:val="00D141E1"/>
    <w:rsid w:val="00D145E0"/>
    <w:rsid w:val="00D15314"/>
    <w:rsid w:val="00D153CD"/>
    <w:rsid w:val="00D15719"/>
    <w:rsid w:val="00D16C23"/>
    <w:rsid w:val="00D17353"/>
    <w:rsid w:val="00D17D6C"/>
    <w:rsid w:val="00D20810"/>
    <w:rsid w:val="00D20F32"/>
    <w:rsid w:val="00D2155B"/>
    <w:rsid w:val="00D21879"/>
    <w:rsid w:val="00D21D03"/>
    <w:rsid w:val="00D21E16"/>
    <w:rsid w:val="00D21E81"/>
    <w:rsid w:val="00D22423"/>
    <w:rsid w:val="00D23D11"/>
    <w:rsid w:val="00D244B6"/>
    <w:rsid w:val="00D245BC"/>
    <w:rsid w:val="00D253FD"/>
    <w:rsid w:val="00D2572A"/>
    <w:rsid w:val="00D26230"/>
    <w:rsid w:val="00D2754D"/>
    <w:rsid w:val="00D27B27"/>
    <w:rsid w:val="00D30624"/>
    <w:rsid w:val="00D31862"/>
    <w:rsid w:val="00D31D85"/>
    <w:rsid w:val="00D31F19"/>
    <w:rsid w:val="00D32590"/>
    <w:rsid w:val="00D33BE9"/>
    <w:rsid w:val="00D33F93"/>
    <w:rsid w:val="00D34D93"/>
    <w:rsid w:val="00D34FA3"/>
    <w:rsid w:val="00D3569A"/>
    <w:rsid w:val="00D357FF"/>
    <w:rsid w:val="00D35971"/>
    <w:rsid w:val="00D37027"/>
    <w:rsid w:val="00D40F72"/>
    <w:rsid w:val="00D4165F"/>
    <w:rsid w:val="00D41980"/>
    <w:rsid w:val="00D424C7"/>
    <w:rsid w:val="00D436B5"/>
    <w:rsid w:val="00D43B2A"/>
    <w:rsid w:val="00D43D83"/>
    <w:rsid w:val="00D444F4"/>
    <w:rsid w:val="00D4572F"/>
    <w:rsid w:val="00D4686C"/>
    <w:rsid w:val="00D46995"/>
    <w:rsid w:val="00D47575"/>
    <w:rsid w:val="00D47750"/>
    <w:rsid w:val="00D500FA"/>
    <w:rsid w:val="00D50511"/>
    <w:rsid w:val="00D50FA4"/>
    <w:rsid w:val="00D51DF9"/>
    <w:rsid w:val="00D521DE"/>
    <w:rsid w:val="00D5243B"/>
    <w:rsid w:val="00D5298B"/>
    <w:rsid w:val="00D533EC"/>
    <w:rsid w:val="00D53708"/>
    <w:rsid w:val="00D537F9"/>
    <w:rsid w:val="00D53D1B"/>
    <w:rsid w:val="00D565BC"/>
    <w:rsid w:val="00D56956"/>
    <w:rsid w:val="00D56A95"/>
    <w:rsid w:val="00D5712C"/>
    <w:rsid w:val="00D571EB"/>
    <w:rsid w:val="00D57219"/>
    <w:rsid w:val="00D57E97"/>
    <w:rsid w:val="00D6026B"/>
    <w:rsid w:val="00D605D0"/>
    <w:rsid w:val="00D60B44"/>
    <w:rsid w:val="00D61392"/>
    <w:rsid w:val="00D617C1"/>
    <w:rsid w:val="00D624A4"/>
    <w:rsid w:val="00D64797"/>
    <w:rsid w:val="00D64E13"/>
    <w:rsid w:val="00D66A8B"/>
    <w:rsid w:val="00D66F89"/>
    <w:rsid w:val="00D66FCA"/>
    <w:rsid w:val="00D67295"/>
    <w:rsid w:val="00D67B5B"/>
    <w:rsid w:val="00D70305"/>
    <w:rsid w:val="00D70F16"/>
    <w:rsid w:val="00D711DC"/>
    <w:rsid w:val="00D719D7"/>
    <w:rsid w:val="00D7245F"/>
    <w:rsid w:val="00D72F57"/>
    <w:rsid w:val="00D73105"/>
    <w:rsid w:val="00D75617"/>
    <w:rsid w:val="00D76577"/>
    <w:rsid w:val="00D76A44"/>
    <w:rsid w:val="00D77ECF"/>
    <w:rsid w:val="00D81338"/>
    <w:rsid w:val="00D815A8"/>
    <w:rsid w:val="00D815EF"/>
    <w:rsid w:val="00D81D40"/>
    <w:rsid w:val="00D81DCE"/>
    <w:rsid w:val="00D81F26"/>
    <w:rsid w:val="00D82345"/>
    <w:rsid w:val="00D825A8"/>
    <w:rsid w:val="00D826C6"/>
    <w:rsid w:val="00D82D10"/>
    <w:rsid w:val="00D8341E"/>
    <w:rsid w:val="00D8352A"/>
    <w:rsid w:val="00D84473"/>
    <w:rsid w:val="00D85051"/>
    <w:rsid w:val="00D853E9"/>
    <w:rsid w:val="00D86231"/>
    <w:rsid w:val="00D9055F"/>
    <w:rsid w:val="00D9056B"/>
    <w:rsid w:val="00D913E8"/>
    <w:rsid w:val="00D91517"/>
    <w:rsid w:val="00D91923"/>
    <w:rsid w:val="00D91E52"/>
    <w:rsid w:val="00D93753"/>
    <w:rsid w:val="00D940D7"/>
    <w:rsid w:val="00D950F6"/>
    <w:rsid w:val="00D95A0C"/>
    <w:rsid w:val="00D9660E"/>
    <w:rsid w:val="00D96764"/>
    <w:rsid w:val="00D9753A"/>
    <w:rsid w:val="00D97A6D"/>
    <w:rsid w:val="00DA0242"/>
    <w:rsid w:val="00DA0852"/>
    <w:rsid w:val="00DA104A"/>
    <w:rsid w:val="00DA10D4"/>
    <w:rsid w:val="00DA10FF"/>
    <w:rsid w:val="00DA118B"/>
    <w:rsid w:val="00DA1D72"/>
    <w:rsid w:val="00DA2B65"/>
    <w:rsid w:val="00DA2CB3"/>
    <w:rsid w:val="00DA2FD9"/>
    <w:rsid w:val="00DA3167"/>
    <w:rsid w:val="00DA46E3"/>
    <w:rsid w:val="00DA4DC3"/>
    <w:rsid w:val="00DA4FAD"/>
    <w:rsid w:val="00DA53FC"/>
    <w:rsid w:val="00DA59FF"/>
    <w:rsid w:val="00DA711C"/>
    <w:rsid w:val="00DA77A5"/>
    <w:rsid w:val="00DB034E"/>
    <w:rsid w:val="00DB1726"/>
    <w:rsid w:val="00DB1ADD"/>
    <w:rsid w:val="00DB25FC"/>
    <w:rsid w:val="00DB2DB4"/>
    <w:rsid w:val="00DB2EDA"/>
    <w:rsid w:val="00DB34AE"/>
    <w:rsid w:val="00DB3899"/>
    <w:rsid w:val="00DB39A6"/>
    <w:rsid w:val="00DB3DBF"/>
    <w:rsid w:val="00DB4077"/>
    <w:rsid w:val="00DB484F"/>
    <w:rsid w:val="00DB5D29"/>
    <w:rsid w:val="00DB6599"/>
    <w:rsid w:val="00DB6CC2"/>
    <w:rsid w:val="00DB711F"/>
    <w:rsid w:val="00DC03A3"/>
    <w:rsid w:val="00DC04F6"/>
    <w:rsid w:val="00DC05BD"/>
    <w:rsid w:val="00DC0690"/>
    <w:rsid w:val="00DC170D"/>
    <w:rsid w:val="00DC1D65"/>
    <w:rsid w:val="00DC35D4"/>
    <w:rsid w:val="00DC3A51"/>
    <w:rsid w:val="00DC3C57"/>
    <w:rsid w:val="00DC3C98"/>
    <w:rsid w:val="00DC4539"/>
    <w:rsid w:val="00DC4BCE"/>
    <w:rsid w:val="00DC5501"/>
    <w:rsid w:val="00DC5876"/>
    <w:rsid w:val="00DC607A"/>
    <w:rsid w:val="00DC6991"/>
    <w:rsid w:val="00DC7154"/>
    <w:rsid w:val="00DC7E8A"/>
    <w:rsid w:val="00DC7F5E"/>
    <w:rsid w:val="00DD0C15"/>
    <w:rsid w:val="00DD0F78"/>
    <w:rsid w:val="00DD1641"/>
    <w:rsid w:val="00DD2348"/>
    <w:rsid w:val="00DD234C"/>
    <w:rsid w:val="00DD273C"/>
    <w:rsid w:val="00DD3D82"/>
    <w:rsid w:val="00DD3F28"/>
    <w:rsid w:val="00DD4537"/>
    <w:rsid w:val="00DD4546"/>
    <w:rsid w:val="00DD460C"/>
    <w:rsid w:val="00DD4E15"/>
    <w:rsid w:val="00DD6D5E"/>
    <w:rsid w:val="00DD6D60"/>
    <w:rsid w:val="00DD78C9"/>
    <w:rsid w:val="00DE0529"/>
    <w:rsid w:val="00DE2304"/>
    <w:rsid w:val="00DE2553"/>
    <w:rsid w:val="00DE2792"/>
    <w:rsid w:val="00DE284B"/>
    <w:rsid w:val="00DE3138"/>
    <w:rsid w:val="00DE322E"/>
    <w:rsid w:val="00DE37F8"/>
    <w:rsid w:val="00DE3B60"/>
    <w:rsid w:val="00DE4FCB"/>
    <w:rsid w:val="00DE5D07"/>
    <w:rsid w:val="00DE673B"/>
    <w:rsid w:val="00DE683B"/>
    <w:rsid w:val="00DE72A7"/>
    <w:rsid w:val="00DE72D3"/>
    <w:rsid w:val="00DE7832"/>
    <w:rsid w:val="00DF03B9"/>
    <w:rsid w:val="00DF0F54"/>
    <w:rsid w:val="00DF1140"/>
    <w:rsid w:val="00DF18FC"/>
    <w:rsid w:val="00DF2EBA"/>
    <w:rsid w:val="00DF2F2B"/>
    <w:rsid w:val="00DF361A"/>
    <w:rsid w:val="00DF432C"/>
    <w:rsid w:val="00DF5D2B"/>
    <w:rsid w:val="00DF620D"/>
    <w:rsid w:val="00DF63ED"/>
    <w:rsid w:val="00DF6AF7"/>
    <w:rsid w:val="00E00DD0"/>
    <w:rsid w:val="00E00E8E"/>
    <w:rsid w:val="00E01647"/>
    <w:rsid w:val="00E0274D"/>
    <w:rsid w:val="00E03293"/>
    <w:rsid w:val="00E03F98"/>
    <w:rsid w:val="00E04832"/>
    <w:rsid w:val="00E05284"/>
    <w:rsid w:val="00E05291"/>
    <w:rsid w:val="00E05630"/>
    <w:rsid w:val="00E06ACB"/>
    <w:rsid w:val="00E06DBB"/>
    <w:rsid w:val="00E06E9D"/>
    <w:rsid w:val="00E0777B"/>
    <w:rsid w:val="00E10149"/>
    <w:rsid w:val="00E10BBE"/>
    <w:rsid w:val="00E10EC0"/>
    <w:rsid w:val="00E11340"/>
    <w:rsid w:val="00E11437"/>
    <w:rsid w:val="00E122A1"/>
    <w:rsid w:val="00E16044"/>
    <w:rsid w:val="00E1629E"/>
    <w:rsid w:val="00E16372"/>
    <w:rsid w:val="00E202CC"/>
    <w:rsid w:val="00E2061E"/>
    <w:rsid w:val="00E20A65"/>
    <w:rsid w:val="00E20E4D"/>
    <w:rsid w:val="00E20ED6"/>
    <w:rsid w:val="00E21251"/>
    <w:rsid w:val="00E21358"/>
    <w:rsid w:val="00E21633"/>
    <w:rsid w:val="00E21A2D"/>
    <w:rsid w:val="00E223AF"/>
    <w:rsid w:val="00E2249B"/>
    <w:rsid w:val="00E22A0D"/>
    <w:rsid w:val="00E244F6"/>
    <w:rsid w:val="00E258BE"/>
    <w:rsid w:val="00E26474"/>
    <w:rsid w:val="00E26568"/>
    <w:rsid w:val="00E2771E"/>
    <w:rsid w:val="00E30373"/>
    <w:rsid w:val="00E311EF"/>
    <w:rsid w:val="00E31CAB"/>
    <w:rsid w:val="00E31FC0"/>
    <w:rsid w:val="00E32180"/>
    <w:rsid w:val="00E32E31"/>
    <w:rsid w:val="00E330A9"/>
    <w:rsid w:val="00E3353F"/>
    <w:rsid w:val="00E34058"/>
    <w:rsid w:val="00E3422D"/>
    <w:rsid w:val="00E348A1"/>
    <w:rsid w:val="00E34948"/>
    <w:rsid w:val="00E3741C"/>
    <w:rsid w:val="00E37569"/>
    <w:rsid w:val="00E401B2"/>
    <w:rsid w:val="00E40F1E"/>
    <w:rsid w:val="00E41D97"/>
    <w:rsid w:val="00E41E30"/>
    <w:rsid w:val="00E41E31"/>
    <w:rsid w:val="00E426CE"/>
    <w:rsid w:val="00E42E5B"/>
    <w:rsid w:val="00E42F73"/>
    <w:rsid w:val="00E439CD"/>
    <w:rsid w:val="00E43D70"/>
    <w:rsid w:val="00E449B7"/>
    <w:rsid w:val="00E44C3B"/>
    <w:rsid w:val="00E45E61"/>
    <w:rsid w:val="00E466F3"/>
    <w:rsid w:val="00E47B2C"/>
    <w:rsid w:val="00E47E55"/>
    <w:rsid w:val="00E50260"/>
    <w:rsid w:val="00E5075C"/>
    <w:rsid w:val="00E50800"/>
    <w:rsid w:val="00E50E68"/>
    <w:rsid w:val="00E51560"/>
    <w:rsid w:val="00E51CB3"/>
    <w:rsid w:val="00E51FD5"/>
    <w:rsid w:val="00E5267D"/>
    <w:rsid w:val="00E53D4D"/>
    <w:rsid w:val="00E53FC8"/>
    <w:rsid w:val="00E54347"/>
    <w:rsid w:val="00E54A21"/>
    <w:rsid w:val="00E54BFE"/>
    <w:rsid w:val="00E55424"/>
    <w:rsid w:val="00E55915"/>
    <w:rsid w:val="00E55BB5"/>
    <w:rsid w:val="00E5641F"/>
    <w:rsid w:val="00E61189"/>
    <w:rsid w:val="00E617C0"/>
    <w:rsid w:val="00E620F9"/>
    <w:rsid w:val="00E62744"/>
    <w:rsid w:val="00E62E4A"/>
    <w:rsid w:val="00E636BA"/>
    <w:rsid w:val="00E63838"/>
    <w:rsid w:val="00E64AC6"/>
    <w:rsid w:val="00E65E79"/>
    <w:rsid w:val="00E66102"/>
    <w:rsid w:val="00E66572"/>
    <w:rsid w:val="00E66BA2"/>
    <w:rsid w:val="00E67416"/>
    <w:rsid w:val="00E70F36"/>
    <w:rsid w:val="00E71107"/>
    <w:rsid w:val="00E716C8"/>
    <w:rsid w:val="00E718B6"/>
    <w:rsid w:val="00E723BA"/>
    <w:rsid w:val="00E72710"/>
    <w:rsid w:val="00E72976"/>
    <w:rsid w:val="00E73581"/>
    <w:rsid w:val="00E73BC8"/>
    <w:rsid w:val="00E7453E"/>
    <w:rsid w:val="00E77549"/>
    <w:rsid w:val="00E800F9"/>
    <w:rsid w:val="00E82EBA"/>
    <w:rsid w:val="00E83053"/>
    <w:rsid w:val="00E833F7"/>
    <w:rsid w:val="00E8349D"/>
    <w:rsid w:val="00E83B82"/>
    <w:rsid w:val="00E83BDF"/>
    <w:rsid w:val="00E84D3C"/>
    <w:rsid w:val="00E86232"/>
    <w:rsid w:val="00E862FA"/>
    <w:rsid w:val="00E86D6F"/>
    <w:rsid w:val="00E870A4"/>
    <w:rsid w:val="00E871C2"/>
    <w:rsid w:val="00E87A1D"/>
    <w:rsid w:val="00E87F4A"/>
    <w:rsid w:val="00E90641"/>
    <w:rsid w:val="00E9094A"/>
    <w:rsid w:val="00E910AF"/>
    <w:rsid w:val="00E91D35"/>
    <w:rsid w:val="00E91EE0"/>
    <w:rsid w:val="00E926A5"/>
    <w:rsid w:val="00E92C64"/>
    <w:rsid w:val="00E92FE1"/>
    <w:rsid w:val="00E934FF"/>
    <w:rsid w:val="00E9362D"/>
    <w:rsid w:val="00E93807"/>
    <w:rsid w:val="00E93A6F"/>
    <w:rsid w:val="00E940C8"/>
    <w:rsid w:val="00E9460C"/>
    <w:rsid w:val="00E95434"/>
    <w:rsid w:val="00E9600F"/>
    <w:rsid w:val="00E963D3"/>
    <w:rsid w:val="00E966A8"/>
    <w:rsid w:val="00E966B8"/>
    <w:rsid w:val="00E96CFC"/>
    <w:rsid w:val="00E96D68"/>
    <w:rsid w:val="00E970D1"/>
    <w:rsid w:val="00E970D2"/>
    <w:rsid w:val="00E97493"/>
    <w:rsid w:val="00E97A0F"/>
    <w:rsid w:val="00E97DB8"/>
    <w:rsid w:val="00EA0A15"/>
    <w:rsid w:val="00EA17C3"/>
    <w:rsid w:val="00EA1D98"/>
    <w:rsid w:val="00EA239A"/>
    <w:rsid w:val="00EA2CAA"/>
    <w:rsid w:val="00EA3864"/>
    <w:rsid w:val="00EA56A9"/>
    <w:rsid w:val="00EA62B7"/>
    <w:rsid w:val="00EA7F1C"/>
    <w:rsid w:val="00EB15B6"/>
    <w:rsid w:val="00EB1AEB"/>
    <w:rsid w:val="00EB1E58"/>
    <w:rsid w:val="00EB3D06"/>
    <w:rsid w:val="00EB4916"/>
    <w:rsid w:val="00EB5829"/>
    <w:rsid w:val="00EB5AE0"/>
    <w:rsid w:val="00EB5DCF"/>
    <w:rsid w:val="00EB6229"/>
    <w:rsid w:val="00EB6676"/>
    <w:rsid w:val="00EB70C9"/>
    <w:rsid w:val="00EB7168"/>
    <w:rsid w:val="00EB7432"/>
    <w:rsid w:val="00EC0098"/>
    <w:rsid w:val="00EC00C9"/>
    <w:rsid w:val="00EC07CC"/>
    <w:rsid w:val="00EC0940"/>
    <w:rsid w:val="00EC0DD9"/>
    <w:rsid w:val="00EC229A"/>
    <w:rsid w:val="00EC2649"/>
    <w:rsid w:val="00EC31ED"/>
    <w:rsid w:val="00EC46C0"/>
    <w:rsid w:val="00EC5836"/>
    <w:rsid w:val="00EC688C"/>
    <w:rsid w:val="00EC69A1"/>
    <w:rsid w:val="00EC72C8"/>
    <w:rsid w:val="00ED0904"/>
    <w:rsid w:val="00ED0D22"/>
    <w:rsid w:val="00ED1360"/>
    <w:rsid w:val="00ED1928"/>
    <w:rsid w:val="00ED1976"/>
    <w:rsid w:val="00ED57EA"/>
    <w:rsid w:val="00ED59AC"/>
    <w:rsid w:val="00ED5BD4"/>
    <w:rsid w:val="00ED5FAF"/>
    <w:rsid w:val="00ED6A21"/>
    <w:rsid w:val="00ED6A42"/>
    <w:rsid w:val="00EE07D3"/>
    <w:rsid w:val="00EE0845"/>
    <w:rsid w:val="00EE1996"/>
    <w:rsid w:val="00EE1AAE"/>
    <w:rsid w:val="00EE1C01"/>
    <w:rsid w:val="00EE1ED7"/>
    <w:rsid w:val="00EE22AF"/>
    <w:rsid w:val="00EE2AC2"/>
    <w:rsid w:val="00EE3506"/>
    <w:rsid w:val="00EE4287"/>
    <w:rsid w:val="00EE4AE4"/>
    <w:rsid w:val="00EE4EB3"/>
    <w:rsid w:val="00EE6380"/>
    <w:rsid w:val="00EE6BBD"/>
    <w:rsid w:val="00EF0171"/>
    <w:rsid w:val="00EF022E"/>
    <w:rsid w:val="00EF083C"/>
    <w:rsid w:val="00EF0FEE"/>
    <w:rsid w:val="00EF1006"/>
    <w:rsid w:val="00EF1B25"/>
    <w:rsid w:val="00EF1DA0"/>
    <w:rsid w:val="00EF275D"/>
    <w:rsid w:val="00EF2AD1"/>
    <w:rsid w:val="00EF4332"/>
    <w:rsid w:val="00EF438D"/>
    <w:rsid w:val="00EF43A2"/>
    <w:rsid w:val="00EF4747"/>
    <w:rsid w:val="00EF4BF8"/>
    <w:rsid w:val="00EF58DD"/>
    <w:rsid w:val="00EF5946"/>
    <w:rsid w:val="00EF6AF0"/>
    <w:rsid w:val="00EF7C90"/>
    <w:rsid w:val="00F006EE"/>
    <w:rsid w:val="00F01ABE"/>
    <w:rsid w:val="00F02253"/>
    <w:rsid w:val="00F02ADB"/>
    <w:rsid w:val="00F03C2E"/>
    <w:rsid w:val="00F0497D"/>
    <w:rsid w:val="00F04A43"/>
    <w:rsid w:val="00F04A66"/>
    <w:rsid w:val="00F04B4B"/>
    <w:rsid w:val="00F04C9C"/>
    <w:rsid w:val="00F0516C"/>
    <w:rsid w:val="00F054C6"/>
    <w:rsid w:val="00F0591B"/>
    <w:rsid w:val="00F067A2"/>
    <w:rsid w:val="00F07B9E"/>
    <w:rsid w:val="00F102CC"/>
    <w:rsid w:val="00F10904"/>
    <w:rsid w:val="00F10CB3"/>
    <w:rsid w:val="00F10D80"/>
    <w:rsid w:val="00F1116F"/>
    <w:rsid w:val="00F11354"/>
    <w:rsid w:val="00F122FD"/>
    <w:rsid w:val="00F1263A"/>
    <w:rsid w:val="00F1293D"/>
    <w:rsid w:val="00F12B0A"/>
    <w:rsid w:val="00F12E9F"/>
    <w:rsid w:val="00F1442B"/>
    <w:rsid w:val="00F14569"/>
    <w:rsid w:val="00F146B0"/>
    <w:rsid w:val="00F14D69"/>
    <w:rsid w:val="00F15B77"/>
    <w:rsid w:val="00F16773"/>
    <w:rsid w:val="00F16A11"/>
    <w:rsid w:val="00F16B0A"/>
    <w:rsid w:val="00F2157D"/>
    <w:rsid w:val="00F2227A"/>
    <w:rsid w:val="00F22683"/>
    <w:rsid w:val="00F2369E"/>
    <w:rsid w:val="00F2405D"/>
    <w:rsid w:val="00F24837"/>
    <w:rsid w:val="00F24865"/>
    <w:rsid w:val="00F2575F"/>
    <w:rsid w:val="00F265E9"/>
    <w:rsid w:val="00F27565"/>
    <w:rsid w:val="00F310D4"/>
    <w:rsid w:val="00F317A7"/>
    <w:rsid w:val="00F31D5A"/>
    <w:rsid w:val="00F32453"/>
    <w:rsid w:val="00F3365C"/>
    <w:rsid w:val="00F33975"/>
    <w:rsid w:val="00F33B1F"/>
    <w:rsid w:val="00F33DE9"/>
    <w:rsid w:val="00F342BA"/>
    <w:rsid w:val="00F35725"/>
    <w:rsid w:val="00F357A1"/>
    <w:rsid w:val="00F35D58"/>
    <w:rsid w:val="00F35E6D"/>
    <w:rsid w:val="00F3619A"/>
    <w:rsid w:val="00F3628F"/>
    <w:rsid w:val="00F373E3"/>
    <w:rsid w:val="00F37E47"/>
    <w:rsid w:val="00F40AAA"/>
    <w:rsid w:val="00F40BA7"/>
    <w:rsid w:val="00F40F9D"/>
    <w:rsid w:val="00F4136D"/>
    <w:rsid w:val="00F4157E"/>
    <w:rsid w:val="00F41ACD"/>
    <w:rsid w:val="00F4265F"/>
    <w:rsid w:val="00F427E2"/>
    <w:rsid w:val="00F428C5"/>
    <w:rsid w:val="00F42DC8"/>
    <w:rsid w:val="00F43765"/>
    <w:rsid w:val="00F43B34"/>
    <w:rsid w:val="00F43EDC"/>
    <w:rsid w:val="00F449E3"/>
    <w:rsid w:val="00F45E8D"/>
    <w:rsid w:val="00F463F4"/>
    <w:rsid w:val="00F465FA"/>
    <w:rsid w:val="00F46628"/>
    <w:rsid w:val="00F46CB6"/>
    <w:rsid w:val="00F46DFA"/>
    <w:rsid w:val="00F4726F"/>
    <w:rsid w:val="00F4742B"/>
    <w:rsid w:val="00F4756D"/>
    <w:rsid w:val="00F4758A"/>
    <w:rsid w:val="00F47ACD"/>
    <w:rsid w:val="00F47DE8"/>
    <w:rsid w:val="00F504AD"/>
    <w:rsid w:val="00F51FE9"/>
    <w:rsid w:val="00F5215C"/>
    <w:rsid w:val="00F52229"/>
    <w:rsid w:val="00F5385D"/>
    <w:rsid w:val="00F53CD1"/>
    <w:rsid w:val="00F53EA8"/>
    <w:rsid w:val="00F542C1"/>
    <w:rsid w:val="00F54463"/>
    <w:rsid w:val="00F5520E"/>
    <w:rsid w:val="00F55E73"/>
    <w:rsid w:val="00F55EDA"/>
    <w:rsid w:val="00F56C80"/>
    <w:rsid w:val="00F577FC"/>
    <w:rsid w:val="00F60092"/>
    <w:rsid w:val="00F61202"/>
    <w:rsid w:val="00F61C18"/>
    <w:rsid w:val="00F6216C"/>
    <w:rsid w:val="00F6284E"/>
    <w:rsid w:val="00F633CE"/>
    <w:rsid w:val="00F63D4B"/>
    <w:rsid w:val="00F6403A"/>
    <w:rsid w:val="00F642A4"/>
    <w:rsid w:val="00F652F8"/>
    <w:rsid w:val="00F659E8"/>
    <w:rsid w:val="00F65F4B"/>
    <w:rsid w:val="00F6671C"/>
    <w:rsid w:val="00F6779C"/>
    <w:rsid w:val="00F67A69"/>
    <w:rsid w:val="00F67B0A"/>
    <w:rsid w:val="00F70BFF"/>
    <w:rsid w:val="00F70C9D"/>
    <w:rsid w:val="00F7114E"/>
    <w:rsid w:val="00F715CF"/>
    <w:rsid w:val="00F72664"/>
    <w:rsid w:val="00F72BBC"/>
    <w:rsid w:val="00F744FD"/>
    <w:rsid w:val="00F74996"/>
    <w:rsid w:val="00F74CD9"/>
    <w:rsid w:val="00F74F1E"/>
    <w:rsid w:val="00F7786B"/>
    <w:rsid w:val="00F80A7B"/>
    <w:rsid w:val="00F80E5D"/>
    <w:rsid w:val="00F81E78"/>
    <w:rsid w:val="00F82F1B"/>
    <w:rsid w:val="00F850CE"/>
    <w:rsid w:val="00F851CE"/>
    <w:rsid w:val="00F87BF0"/>
    <w:rsid w:val="00F905D8"/>
    <w:rsid w:val="00F90971"/>
    <w:rsid w:val="00F90E40"/>
    <w:rsid w:val="00F91219"/>
    <w:rsid w:val="00F922D0"/>
    <w:rsid w:val="00F92444"/>
    <w:rsid w:val="00F92DC0"/>
    <w:rsid w:val="00F9393E"/>
    <w:rsid w:val="00F9425F"/>
    <w:rsid w:val="00F965D0"/>
    <w:rsid w:val="00F96941"/>
    <w:rsid w:val="00F96FD0"/>
    <w:rsid w:val="00F97A78"/>
    <w:rsid w:val="00FA0B20"/>
    <w:rsid w:val="00FA17D9"/>
    <w:rsid w:val="00FA1827"/>
    <w:rsid w:val="00FA208D"/>
    <w:rsid w:val="00FA22AF"/>
    <w:rsid w:val="00FA22C8"/>
    <w:rsid w:val="00FA24E7"/>
    <w:rsid w:val="00FA2AFD"/>
    <w:rsid w:val="00FA2BA7"/>
    <w:rsid w:val="00FA3400"/>
    <w:rsid w:val="00FA3F7D"/>
    <w:rsid w:val="00FA3FA7"/>
    <w:rsid w:val="00FA4AC8"/>
    <w:rsid w:val="00FA5EE6"/>
    <w:rsid w:val="00FA6292"/>
    <w:rsid w:val="00FA7956"/>
    <w:rsid w:val="00FA7DF8"/>
    <w:rsid w:val="00FB0C7D"/>
    <w:rsid w:val="00FB0CD3"/>
    <w:rsid w:val="00FB1BC0"/>
    <w:rsid w:val="00FB22C6"/>
    <w:rsid w:val="00FB2F1A"/>
    <w:rsid w:val="00FB2FCB"/>
    <w:rsid w:val="00FB3362"/>
    <w:rsid w:val="00FB4341"/>
    <w:rsid w:val="00FB4F80"/>
    <w:rsid w:val="00FB50FC"/>
    <w:rsid w:val="00FB52E9"/>
    <w:rsid w:val="00FB786D"/>
    <w:rsid w:val="00FB7948"/>
    <w:rsid w:val="00FB7C55"/>
    <w:rsid w:val="00FC08B6"/>
    <w:rsid w:val="00FC1038"/>
    <w:rsid w:val="00FC1074"/>
    <w:rsid w:val="00FC131A"/>
    <w:rsid w:val="00FC1884"/>
    <w:rsid w:val="00FC1EBA"/>
    <w:rsid w:val="00FC1FEB"/>
    <w:rsid w:val="00FC20D1"/>
    <w:rsid w:val="00FC22FD"/>
    <w:rsid w:val="00FC2B60"/>
    <w:rsid w:val="00FC30F9"/>
    <w:rsid w:val="00FC371D"/>
    <w:rsid w:val="00FC3B91"/>
    <w:rsid w:val="00FC4487"/>
    <w:rsid w:val="00FC5247"/>
    <w:rsid w:val="00FC5B1C"/>
    <w:rsid w:val="00FC5F0B"/>
    <w:rsid w:val="00FD1324"/>
    <w:rsid w:val="00FD2100"/>
    <w:rsid w:val="00FD22EA"/>
    <w:rsid w:val="00FD2E04"/>
    <w:rsid w:val="00FD2E4E"/>
    <w:rsid w:val="00FD2F1F"/>
    <w:rsid w:val="00FD34FA"/>
    <w:rsid w:val="00FD3BAE"/>
    <w:rsid w:val="00FD40A4"/>
    <w:rsid w:val="00FD436C"/>
    <w:rsid w:val="00FD446D"/>
    <w:rsid w:val="00FD45EA"/>
    <w:rsid w:val="00FD4778"/>
    <w:rsid w:val="00FD4DE0"/>
    <w:rsid w:val="00FD4F2C"/>
    <w:rsid w:val="00FD6394"/>
    <w:rsid w:val="00FD7E58"/>
    <w:rsid w:val="00FE0E6C"/>
    <w:rsid w:val="00FE1713"/>
    <w:rsid w:val="00FE1CDC"/>
    <w:rsid w:val="00FE492D"/>
    <w:rsid w:val="00FE5410"/>
    <w:rsid w:val="00FE5A51"/>
    <w:rsid w:val="00FE70C3"/>
    <w:rsid w:val="00FF0C40"/>
    <w:rsid w:val="00FF0E51"/>
    <w:rsid w:val="00FF141E"/>
    <w:rsid w:val="00FF2AD9"/>
    <w:rsid w:val="00FF359F"/>
    <w:rsid w:val="00FF3DCF"/>
    <w:rsid w:val="00FF492C"/>
    <w:rsid w:val="00FF4A21"/>
    <w:rsid w:val="00FF5AA3"/>
    <w:rsid w:val="00FF5AD8"/>
    <w:rsid w:val="00FF5B2B"/>
    <w:rsid w:val="00FF5F84"/>
    <w:rsid w:val="00FF63F0"/>
    <w:rsid w:val="00FF6BD8"/>
    <w:rsid w:val="00FF76E4"/>
    <w:rsid w:val="00FF780B"/>
    <w:rsid w:val="00FF7DEA"/>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56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F57"/>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5A79C0"/>
    <w:pPr>
      <w:suppressLineNumbers/>
      <w:spacing w:after="120"/>
    </w:pPr>
    <w:rPr>
      <w:rFonts w:ascii="Arial Narrow" w:hAnsi="Arial Narrow"/>
      <w:sz w:val="16"/>
    </w:rPr>
  </w:style>
  <w:style w:type="character" w:customStyle="1" w:styleId="TableFooterChar">
    <w:name w:val="Table Footer Char"/>
    <w:link w:val="TableFooter"/>
    <w:rsid w:val="005A79C0"/>
    <w:rPr>
      <w:rFonts w:ascii="Arial Narrow" w:hAnsi="Arial Narrow" w:cs="Arial"/>
      <w:sz w:val="16"/>
      <w:szCs w:val="24"/>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Header Table,NICE instructions,Source table_,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table" w:customStyle="1" w:styleId="TableGridbeth1">
    <w:name w:val="Table Gridbeth1"/>
    <w:basedOn w:val="TableNormal"/>
    <w:next w:val="TableGrid"/>
    <w:uiPriority w:val="99"/>
    <w:rsid w:val="00165E9E"/>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table" w:customStyle="1" w:styleId="HTAsimpletable">
    <w:name w:val="HTA simple table"/>
    <w:basedOn w:val="TableNormal"/>
    <w:uiPriority w:val="99"/>
    <w:rsid w:val="00CC79F1"/>
    <w:rPr>
      <w:rFonts w:asciiTheme="minorHAnsi" w:eastAsiaTheme="minorHAnsi" w:hAnsiTheme="minorHAnsi" w:cstheme="minorBidi"/>
      <w:sz w:val="22"/>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sz w:val="18"/>
      </w:rPr>
    </w:tblStylePr>
    <w:tblStylePr w:type="band2Horz">
      <w:pPr>
        <w:wordWrap/>
        <w:spacing w:beforeLines="0" w:before="20" w:beforeAutospacing="0" w:afterLines="0" w:after="20" w:afterAutospacing="0" w:line="240" w:lineRule="auto"/>
      </w:pPr>
    </w:tblStylePr>
  </w:style>
  <w:style w:type="paragraph" w:customStyle="1" w:styleId="TableFigNotes18">
    <w:name w:val="TableFigNotes+18"/>
    <w:basedOn w:val="BodyText"/>
    <w:next w:val="BodyText"/>
    <w:link w:val="TableFigNotes18Char"/>
    <w:uiPriority w:val="4"/>
    <w:qFormat/>
    <w:rsid w:val="00CC79F1"/>
    <w:pPr>
      <w:keepLines/>
      <w:spacing w:after="360" w:line="276" w:lineRule="auto"/>
      <w:contextualSpacing/>
      <w:jc w:val="both"/>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CC79F1"/>
    <w:rPr>
      <w:rFonts w:asciiTheme="minorHAnsi" w:eastAsiaTheme="minorHAnsi" w:hAnsiTheme="minorHAnsi" w:cs="Tahoma"/>
      <w:color w:val="000000"/>
      <w:sz w:val="16"/>
      <w:szCs w:val="18"/>
    </w:rPr>
  </w:style>
  <w:style w:type="paragraph" w:customStyle="1" w:styleId="Tabletextindent">
    <w:name w:val="Table text indent"/>
    <w:basedOn w:val="Normal"/>
    <w:uiPriority w:val="4"/>
    <w:qFormat/>
    <w:rsid w:val="00CC79F1"/>
    <w:pPr>
      <w:tabs>
        <w:tab w:val="left" w:pos="416"/>
        <w:tab w:val="left" w:pos="582"/>
      </w:tabs>
      <w:spacing w:before="20" w:after="20"/>
      <w:ind w:left="170"/>
      <w:jc w:val="left"/>
    </w:pPr>
    <w:rPr>
      <w:rFonts w:cs="Times New Roman"/>
      <w:sz w:val="18"/>
      <w:szCs w:val="18"/>
      <w:lang w:eastAsia="en-GB"/>
    </w:rPr>
  </w:style>
  <w:style w:type="paragraph" w:customStyle="1" w:styleId="Tabletextleft">
    <w:name w:val="Table text left"/>
    <w:basedOn w:val="Normal"/>
    <w:link w:val="TabletextleftChar"/>
    <w:qFormat/>
    <w:rsid w:val="00CC79F1"/>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CC79F1"/>
    <w:rPr>
      <w:rFonts w:asciiTheme="minorHAnsi" w:hAnsiTheme="minorHAnsi"/>
      <w:sz w:val="18"/>
    </w:rPr>
  </w:style>
  <w:style w:type="paragraph" w:customStyle="1" w:styleId="Tabletextcent">
    <w:name w:val="Table text cent"/>
    <w:basedOn w:val="Tabletextleft"/>
    <w:qFormat/>
    <w:rsid w:val="00CC79F1"/>
    <w:pPr>
      <w:jc w:val="center"/>
    </w:pPr>
    <w:rPr>
      <w:lang w:val="de-DE"/>
    </w:rPr>
  </w:style>
  <w:style w:type="paragraph" w:customStyle="1" w:styleId="Tableheadingcent">
    <w:name w:val="Table heading cent"/>
    <w:basedOn w:val="Normal"/>
    <w:qFormat/>
    <w:rsid w:val="00CC79F1"/>
    <w:pPr>
      <w:spacing w:before="40" w:after="40"/>
      <w:jc w:val="center"/>
    </w:pPr>
    <w:rPr>
      <w:rFonts w:asciiTheme="minorHAnsi" w:eastAsiaTheme="minorHAnsi" w:hAnsiTheme="minorHAnsi" w:cs="Tahoma"/>
      <w:b/>
      <w:sz w:val="18"/>
      <w:szCs w:val="18"/>
      <w:lang w:val="de-DE" w:eastAsia="en-US"/>
    </w:rPr>
  </w:style>
  <w:style w:type="table" w:customStyle="1" w:styleId="TableGridbeth2">
    <w:name w:val="Table Gridbeth2"/>
    <w:basedOn w:val="TableNormal"/>
    <w:next w:val="TableGrid"/>
    <w:uiPriority w:val="99"/>
    <w:rsid w:val="00B10310"/>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table" w:customStyle="1" w:styleId="TableGridbeth3">
    <w:name w:val="Table Gridbeth3"/>
    <w:basedOn w:val="TableNormal"/>
    <w:next w:val="TableGrid"/>
    <w:uiPriority w:val="99"/>
    <w:rsid w:val="002C64C2"/>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paragraph" w:customStyle="1" w:styleId="TableHeadingleft">
    <w:name w:val="Table Heading left"/>
    <w:basedOn w:val="Normal"/>
    <w:next w:val="Tabletextleft"/>
    <w:qFormat/>
    <w:rsid w:val="003A10EC"/>
    <w:pPr>
      <w:spacing w:before="40" w:after="40"/>
      <w:jc w:val="left"/>
    </w:pPr>
    <w:rPr>
      <w:rFonts w:asciiTheme="minorHAnsi" w:eastAsiaTheme="minorHAnsi" w:hAnsiTheme="minorHAnsi" w:cs="Tahoma"/>
      <w:b/>
      <w:sz w:val="18"/>
      <w:szCs w:val="18"/>
      <w:lang w:val="de-DE" w:eastAsia="en-US"/>
    </w:rPr>
  </w:style>
  <w:style w:type="table" w:customStyle="1" w:styleId="TableGridbeth4">
    <w:name w:val="Table Gridbeth4"/>
    <w:basedOn w:val="TableNormal"/>
    <w:next w:val="TableGrid"/>
    <w:uiPriority w:val="99"/>
    <w:rsid w:val="00F122FD"/>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table" w:customStyle="1" w:styleId="TableGridbeth5">
    <w:name w:val="Table Gridbeth5"/>
    <w:basedOn w:val="TableNormal"/>
    <w:next w:val="TableGrid"/>
    <w:uiPriority w:val="99"/>
    <w:rsid w:val="009E5043"/>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character" w:styleId="FootnoteReference">
    <w:name w:val="footnote reference"/>
    <w:basedOn w:val="DefaultParagraphFont"/>
    <w:semiHidden/>
    <w:unhideWhenUsed/>
    <w:rsid w:val="00E93807"/>
    <w:rPr>
      <w:vertAlign w:val="superscript"/>
    </w:rPr>
  </w:style>
  <w:style w:type="table" w:customStyle="1" w:styleId="HTATableshaded">
    <w:name w:val="HTA Table shaded"/>
    <w:basedOn w:val="TableNormal"/>
    <w:rsid w:val="00E93807"/>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EndnoteText">
    <w:name w:val="endnote text"/>
    <w:basedOn w:val="Normal"/>
    <w:link w:val="EndnoteTextChar"/>
    <w:semiHidden/>
    <w:unhideWhenUsed/>
    <w:rsid w:val="00E93807"/>
    <w:rPr>
      <w:sz w:val="20"/>
      <w:szCs w:val="20"/>
    </w:rPr>
  </w:style>
  <w:style w:type="character" w:customStyle="1" w:styleId="EndnoteTextChar">
    <w:name w:val="Endnote Text Char"/>
    <w:basedOn w:val="DefaultParagraphFont"/>
    <w:link w:val="EndnoteText"/>
    <w:semiHidden/>
    <w:rsid w:val="00E93807"/>
    <w:rPr>
      <w:rFonts w:ascii="Calibri" w:hAnsi="Calibri" w:cs="Arial"/>
    </w:rPr>
  </w:style>
  <w:style w:type="character" w:styleId="EndnoteReference">
    <w:name w:val="endnote reference"/>
    <w:basedOn w:val="DefaultParagraphFont"/>
    <w:semiHidden/>
    <w:unhideWhenUsed/>
    <w:rsid w:val="00E93807"/>
    <w:rPr>
      <w:vertAlign w:val="superscript"/>
    </w:rPr>
  </w:style>
  <w:style w:type="paragraph" w:styleId="FootnoteText">
    <w:name w:val="footnote text"/>
    <w:basedOn w:val="Normal"/>
    <w:link w:val="FootnoteTextChar"/>
    <w:semiHidden/>
    <w:unhideWhenUsed/>
    <w:rsid w:val="00E93807"/>
    <w:rPr>
      <w:sz w:val="20"/>
      <w:szCs w:val="20"/>
    </w:rPr>
  </w:style>
  <w:style w:type="character" w:customStyle="1" w:styleId="FootnoteTextChar">
    <w:name w:val="Footnote Text Char"/>
    <w:basedOn w:val="DefaultParagraphFont"/>
    <w:link w:val="FootnoteText"/>
    <w:semiHidden/>
    <w:rsid w:val="00E93807"/>
    <w:rPr>
      <w:rFonts w:ascii="Calibri" w:hAnsi="Calibri" w:cs="Arial"/>
    </w:rPr>
  </w:style>
  <w:style w:type="character" w:customStyle="1" w:styleId="UnresolvedMention1">
    <w:name w:val="Unresolved Mention1"/>
    <w:basedOn w:val="DefaultParagraphFont"/>
    <w:uiPriority w:val="99"/>
    <w:semiHidden/>
    <w:unhideWhenUsed/>
    <w:rsid w:val="00E93807"/>
    <w:rPr>
      <w:color w:val="605E5C"/>
      <w:shd w:val="clear" w:color="auto" w:fill="E1DFDD"/>
    </w:rPr>
  </w:style>
  <w:style w:type="paragraph" w:customStyle="1" w:styleId="TableFigNotes0">
    <w:name w:val="TableFigNotes+0"/>
    <w:basedOn w:val="Normal"/>
    <w:link w:val="TableFigNotes0Char"/>
    <w:uiPriority w:val="4"/>
    <w:rsid w:val="00E93807"/>
    <w:pPr>
      <w:keepNext/>
      <w:keepLines/>
      <w:jc w:val="left"/>
    </w:pPr>
    <w:rPr>
      <w:rFonts w:cs="Tahoma"/>
      <w:color w:val="000000"/>
      <w:sz w:val="16"/>
      <w:szCs w:val="18"/>
      <w:lang w:val="en-US"/>
    </w:rPr>
  </w:style>
  <w:style w:type="character" w:customStyle="1" w:styleId="TableFigNotes0Char">
    <w:name w:val="TableFigNotes+0 Char"/>
    <w:basedOn w:val="DefaultParagraphFont"/>
    <w:link w:val="TableFigNotes0"/>
    <w:uiPriority w:val="4"/>
    <w:rsid w:val="00E93807"/>
    <w:rPr>
      <w:rFonts w:ascii="Calibri" w:hAnsi="Calibri" w:cs="Tahoma"/>
      <w:color w:val="000000"/>
      <w:sz w:val="16"/>
      <w:szCs w:val="18"/>
      <w:lang w:val="en-US"/>
    </w:rPr>
  </w:style>
  <w:style w:type="table" w:customStyle="1" w:styleId="TableHTAsimple">
    <w:name w:val="Table HTA simple"/>
    <w:basedOn w:val="TableNormal"/>
    <w:uiPriority w:val="99"/>
    <w:rsid w:val="00E93807"/>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Text1">
    <w:name w:val="TableText"/>
    <w:basedOn w:val="Normal"/>
    <w:link w:val="TableTextChar1"/>
    <w:uiPriority w:val="1"/>
    <w:qFormat/>
    <w:rsid w:val="00E93807"/>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1"/>
    <w:rsid w:val="00E93807"/>
    <w:rPr>
      <w:rFonts w:ascii="Calibri" w:hAnsi="Calibri" w:cs="Calibri"/>
      <w:bCs/>
      <w:lang w:eastAsia="zh-CN"/>
    </w:rPr>
  </w:style>
  <w:style w:type="paragraph" w:customStyle="1" w:styleId="Paragraph">
    <w:name w:val="Paragraph"/>
    <w:basedOn w:val="Normal"/>
    <w:uiPriority w:val="4"/>
    <w:qFormat/>
    <w:rsid w:val="00E93807"/>
    <w:pPr>
      <w:numPr>
        <w:numId w:val="5"/>
      </w:numPr>
      <w:tabs>
        <w:tab w:val="num" w:pos="360"/>
        <w:tab w:val="left" w:pos="567"/>
      </w:tabs>
      <w:spacing w:after="240" w:line="276" w:lineRule="auto"/>
      <w:ind w:left="0" w:firstLine="0"/>
      <w:jc w:val="left"/>
    </w:pPr>
    <w:rPr>
      <w:rFonts w:ascii="Arial" w:hAnsi="Arial" w:cs="Times New Roman"/>
      <w:sz w:val="22"/>
      <w:lang w:val="en-GB" w:eastAsia="en-GB"/>
    </w:rPr>
  </w:style>
  <w:style w:type="character" w:customStyle="1" w:styleId="TableFigure">
    <w:name w:val="TableFigure"/>
    <w:basedOn w:val="DefaultParagraphFont"/>
    <w:uiPriority w:val="1"/>
    <w:qFormat/>
    <w:rsid w:val="00E93807"/>
    <w:rPr>
      <w:rFonts w:ascii="Arial Narrow" w:hAnsi="Arial Narrow"/>
      <w:b/>
      <w:color w:val="000000" w:themeColor="text1"/>
      <w:sz w:val="20"/>
      <w:szCs w:val="20"/>
      <w:u w:val="none"/>
      <w:lang w:eastAsia="en-US"/>
    </w:rPr>
  </w:style>
  <w:style w:type="table" w:customStyle="1" w:styleId="TableHTAsimple1">
    <w:name w:val="Table HTA simple1"/>
    <w:basedOn w:val="TableNormal"/>
    <w:uiPriority w:val="99"/>
    <w:rsid w:val="00E93807"/>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table" w:customStyle="1" w:styleId="TableHTAsimple2">
    <w:name w:val="Table HTA simple2"/>
    <w:basedOn w:val="TableNormal"/>
    <w:uiPriority w:val="99"/>
    <w:rsid w:val="00E93807"/>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textbold">
    <w:name w:val="Table text bold"/>
    <w:basedOn w:val="Tabletextleft"/>
    <w:qFormat/>
    <w:rsid w:val="00E93807"/>
    <w:pPr>
      <w:ind w:left="57" w:right="57"/>
    </w:pPr>
    <w:rPr>
      <w:rFonts w:eastAsia="Arial"/>
      <w:b/>
      <w:lang w:val="de-DE"/>
    </w:rPr>
  </w:style>
  <w:style w:type="table" w:customStyle="1" w:styleId="TableHTAsimple3">
    <w:name w:val="Table HTA simple3"/>
    <w:basedOn w:val="TableNormal"/>
    <w:uiPriority w:val="99"/>
    <w:rsid w:val="00E93807"/>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bulletlist">
    <w:name w:val="Table bullet list"/>
    <w:basedOn w:val="Tabletextleft"/>
    <w:qFormat/>
    <w:rsid w:val="00E93807"/>
    <w:pPr>
      <w:widowControl w:val="0"/>
      <w:numPr>
        <w:numId w:val="6"/>
      </w:numPr>
      <w:tabs>
        <w:tab w:val="left" w:pos="464"/>
      </w:tabs>
      <w:spacing w:before="34" w:after="0"/>
    </w:pPr>
    <w:rPr>
      <w:rFonts w:eastAsia="Calibri"/>
      <w:szCs w:val="18"/>
      <w:lang w:val="en-US"/>
    </w:rPr>
  </w:style>
  <w:style w:type="table" w:customStyle="1" w:styleId="TableGridbeth6">
    <w:name w:val="Table Gridbeth6"/>
    <w:basedOn w:val="TableNormal"/>
    <w:next w:val="TableGrid"/>
    <w:uiPriority w:val="99"/>
    <w:rsid w:val="00DD234C"/>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table" w:customStyle="1" w:styleId="TableHTAsimple4">
    <w:name w:val="Table HTA simple4"/>
    <w:basedOn w:val="TableNormal"/>
    <w:uiPriority w:val="99"/>
    <w:rsid w:val="00857581"/>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table" w:customStyle="1" w:styleId="TableGridbeth7">
    <w:name w:val="Table Gridbeth7"/>
    <w:basedOn w:val="TableNormal"/>
    <w:next w:val="TableGrid"/>
    <w:uiPriority w:val="99"/>
    <w:rsid w:val="00726D1D"/>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paragraph" w:customStyle="1" w:styleId="PBACTableSource">
    <w:name w:val="PBAC Table Source"/>
    <w:basedOn w:val="TableFooter"/>
    <w:autoRedefine/>
    <w:qFormat/>
    <w:rsid w:val="00136562"/>
    <w:pPr>
      <w:spacing w:after="0"/>
    </w:pPr>
    <w:rPr>
      <w:rFonts w:eastAsiaTheme="minorHAnsi" w:cs="Tahoma"/>
      <w:iCs/>
      <w:color w:val="000000"/>
      <w:sz w:val="18"/>
      <w:szCs w:val="18"/>
      <w:lang w:eastAsia="en-GB"/>
    </w:rPr>
  </w:style>
  <w:style w:type="paragraph" w:customStyle="1" w:styleId="TableHeading0">
    <w:name w:val="Table Heading"/>
    <w:basedOn w:val="Normal"/>
    <w:qFormat/>
    <w:rsid w:val="006B12E5"/>
    <w:pPr>
      <w:keepNext/>
      <w:spacing w:after="60"/>
      <w:jc w:val="left"/>
    </w:pPr>
    <w:rPr>
      <w:rFonts w:ascii="Arial Narrow" w:eastAsiaTheme="minorHAnsi" w:hAnsi="Arial Narrow" w:cstheme="minorBidi"/>
      <w:b/>
      <w:sz w:val="20"/>
      <w:szCs w:val="22"/>
      <w:lang w:eastAsia="en-US"/>
    </w:rPr>
  </w:style>
  <w:style w:type="paragraph" w:customStyle="1" w:styleId="NICEnormal">
    <w:name w:val="NICE normal"/>
    <w:link w:val="NICEnormalChar"/>
    <w:qFormat/>
    <w:rsid w:val="006B12E5"/>
    <w:pPr>
      <w:spacing w:before="240" w:line="360" w:lineRule="auto"/>
      <w:jc w:val="both"/>
    </w:pPr>
    <w:rPr>
      <w:rFonts w:ascii="Arial" w:hAnsi="Arial"/>
      <w:sz w:val="22"/>
      <w:szCs w:val="24"/>
      <w:lang w:val="en-GB" w:eastAsia="en-US"/>
    </w:rPr>
  </w:style>
  <w:style w:type="character" w:customStyle="1" w:styleId="NICEnormalChar">
    <w:name w:val="NICE normal Char"/>
    <w:link w:val="NICEnormal"/>
    <w:rsid w:val="006B12E5"/>
    <w:rPr>
      <w:rFonts w:ascii="Arial" w:hAnsi="Arial"/>
      <w:sz w:val="22"/>
      <w:szCs w:val="24"/>
      <w:lang w:val="en-GB" w:eastAsia="en-US"/>
    </w:rPr>
  </w:style>
  <w:style w:type="character" w:customStyle="1" w:styleId="Heading3Char">
    <w:name w:val="Heading 3 Char"/>
    <w:basedOn w:val="DefaultParagraphFont"/>
    <w:link w:val="Heading3"/>
    <w:rsid w:val="005468F6"/>
    <w:rPr>
      <w:rFonts w:ascii="Calibri" w:hAnsi="Calibri" w:cs="Arial"/>
      <w:sz w:val="24"/>
      <w:szCs w:val="24"/>
      <w:u w:val="single"/>
    </w:rPr>
  </w:style>
  <w:style w:type="paragraph" w:customStyle="1" w:styleId="Default">
    <w:name w:val="Default"/>
    <w:rsid w:val="00D50FA4"/>
    <w:pPr>
      <w:autoSpaceDE w:val="0"/>
      <w:autoSpaceDN w:val="0"/>
      <w:adjustRightInd w:val="0"/>
    </w:pPr>
    <w:rPr>
      <w:rFonts w:ascii="Calibri" w:eastAsia="Batang" w:hAnsi="Calibri" w:cs="Calibri"/>
      <w:color w:val="000000"/>
      <w:sz w:val="24"/>
      <w:szCs w:val="24"/>
      <w:lang w:val="en-US" w:eastAsia="en-US"/>
    </w:rPr>
  </w:style>
  <w:style w:type="paragraph" w:customStyle="1" w:styleId="3Bodytext">
    <w:name w:val="3. Body text"/>
    <w:basedOn w:val="ListParagraph"/>
    <w:link w:val="3BodytextChar"/>
    <w:qFormat/>
    <w:rsid w:val="00A879D8"/>
    <w:pPr>
      <w:numPr>
        <w:numId w:val="0"/>
      </w:numPr>
      <w:ind w:left="720" w:hanging="720"/>
      <w:jc w:val="left"/>
    </w:pPr>
    <w:rPr>
      <w:rFonts w:eastAsiaTheme="minorHAnsi" w:cstheme="minorBidi"/>
      <w:snapToGrid/>
      <w:szCs w:val="22"/>
    </w:rPr>
  </w:style>
  <w:style w:type="character" w:customStyle="1" w:styleId="3BodytextChar">
    <w:name w:val="3. Body text Char"/>
    <w:basedOn w:val="DefaultParagraphFont"/>
    <w:link w:val="3Bodytext"/>
    <w:rsid w:val="00A879D8"/>
    <w:rPr>
      <w:rFonts w:asciiTheme="minorHAnsi" w:eastAsiaTheme="minorHAnsi" w:hAnsiTheme="minorHAnsi" w:cstheme="minorBidi"/>
      <w:sz w:val="24"/>
      <w:szCs w:val="22"/>
    </w:rPr>
  </w:style>
  <w:style w:type="numbering" w:customStyle="1" w:styleId="PBAC">
    <w:name w:val="PBAC"/>
    <w:uiPriority w:val="99"/>
    <w:rsid w:val="00C42140"/>
    <w:pPr>
      <w:numPr>
        <w:numId w:val="11"/>
      </w:numPr>
    </w:pPr>
  </w:style>
  <w:style w:type="paragraph" w:customStyle="1" w:styleId="xmsonormal">
    <w:name w:val="x_msonormal"/>
    <w:basedOn w:val="Normal"/>
    <w:rsid w:val="00536FED"/>
    <w:pPr>
      <w:jc w:val="left"/>
    </w:pPr>
    <w:rPr>
      <w:rFonts w:cs="Calibri"/>
      <w:sz w:val="20"/>
      <w:szCs w:val="20"/>
    </w:rPr>
  </w:style>
  <w:style w:type="paragraph" w:customStyle="1" w:styleId="xtablefigureheading">
    <w:name w:val="x_tablefigureheading"/>
    <w:basedOn w:val="Normal"/>
    <w:rsid w:val="00536FED"/>
    <w:pPr>
      <w:keepNext/>
      <w:jc w:val="left"/>
    </w:pPr>
    <w:rPr>
      <w:rFonts w:ascii="Arial Narrow" w:hAnsi="Arial Narrow" w:cs="Times New Roman"/>
      <w:b/>
      <w:bCs/>
      <w:sz w:val="20"/>
      <w:szCs w:val="20"/>
    </w:rPr>
  </w:style>
  <w:style w:type="paragraph" w:customStyle="1" w:styleId="xpbactablesource">
    <w:name w:val="x_pbactablesource"/>
    <w:basedOn w:val="Normal"/>
    <w:rsid w:val="00536FED"/>
    <w:rPr>
      <w:rFonts w:ascii="Arial Narrow" w:hAnsi="Arial Narrow" w:cs="Times New Roman"/>
      <w:color w:val="000000"/>
      <w:sz w:val="18"/>
      <w:szCs w:val="18"/>
    </w:rPr>
  </w:style>
  <w:style w:type="paragraph" w:customStyle="1" w:styleId="xxpbactablesource">
    <w:name w:val="x_xpbactablesource"/>
    <w:basedOn w:val="Normal"/>
    <w:rsid w:val="0043522C"/>
    <w:rPr>
      <w:rFonts w:ascii="Arial Narrow" w:hAnsi="Arial Narrow" w:cs="Times New Roman"/>
      <w:color w:val="000000"/>
      <w:sz w:val="18"/>
      <w:szCs w:val="18"/>
    </w:rPr>
  </w:style>
  <w:style w:type="paragraph" w:customStyle="1" w:styleId="3-SubsectionHeading">
    <w:name w:val="3-Subsection Heading"/>
    <w:basedOn w:val="Heading2"/>
    <w:next w:val="Normal"/>
    <w:link w:val="3-SubsectionHeadingChar"/>
    <w:qFormat/>
    <w:rsid w:val="003F4E2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F4E26"/>
    <w:rPr>
      <w:rFonts w:asciiTheme="minorHAnsi" w:eastAsiaTheme="majorEastAsia" w:hAnsiTheme="minorHAnsi" w:cstheme="majorBidi"/>
      <w:b/>
      <w:i/>
      <w:snapToGrid/>
      <w:spacing w:val="5"/>
      <w:kern w:val="28"/>
      <w:sz w:val="28"/>
      <w:szCs w:val="36"/>
      <w:lang w:eastAsia="en-US"/>
    </w:rPr>
  </w:style>
  <w:style w:type="paragraph" w:customStyle="1" w:styleId="ExecSumBodyText">
    <w:name w:val="Exec Sum Body Text"/>
    <w:basedOn w:val="Normal"/>
    <w:link w:val="ExecSumBodyTextChar"/>
    <w:uiPriority w:val="99"/>
    <w:qFormat/>
    <w:rsid w:val="00934D6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934D6B"/>
    <w:rPr>
      <w:rFonts w:asciiTheme="minorHAnsi" w:hAnsiTheme="minorHAnsi" w:cs="Arial"/>
      <w:snapToGrid w:val="0"/>
      <w:sz w:val="24"/>
      <w:szCs w:val="24"/>
    </w:rPr>
  </w:style>
  <w:style w:type="character" w:styleId="Strong">
    <w:name w:val="Strong"/>
    <w:basedOn w:val="DefaultParagraphFont"/>
    <w:uiPriority w:val="22"/>
    <w:qFormat/>
    <w:rsid w:val="00BF7D6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2667">
      <w:bodyDiv w:val="1"/>
      <w:marLeft w:val="0"/>
      <w:marRight w:val="0"/>
      <w:marTop w:val="0"/>
      <w:marBottom w:val="0"/>
      <w:divBdr>
        <w:top w:val="none" w:sz="0" w:space="0" w:color="auto"/>
        <w:left w:val="none" w:sz="0" w:space="0" w:color="auto"/>
        <w:bottom w:val="none" w:sz="0" w:space="0" w:color="auto"/>
        <w:right w:val="none" w:sz="0" w:space="0" w:color="auto"/>
      </w:divBdr>
    </w:div>
    <w:div w:id="66079593">
      <w:bodyDiv w:val="1"/>
      <w:marLeft w:val="0"/>
      <w:marRight w:val="0"/>
      <w:marTop w:val="0"/>
      <w:marBottom w:val="0"/>
      <w:divBdr>
        <w:top w:val="none" w:sz="0" w:space="0" w:color="auto"/>
        <w:left w:val="none" w:sz="0" w:space="0" w:color="auto"/>
        <w:bottom w:val="none" w:sz="0" w:space="0" w:color="auto"/>
        <w:right w:val="none" w:sz="0" w:space="0" w:color="auto"/>
      </w:divBdr>
    </w:div>
    <w:div w:id="76558851">
      <w:bodyDiv w:val="1"/>
      <w:marLeft w:val="0"/>
      <w:marRight w:val="0"/>
      <w:marTop w:val="0"/>
      <w:marBottom w:val="0"/>
      <w:divBdr>
        <w:top w:val="none" w:sz="0" w:space="0" w:color="auto"/>
        <w:left w:val="none" w:sz="0" w:space="0" w:color="auto"/>
        <w:bottom w:val="none" w:sz="0" w:space="0" w:color="auto"/>
        <w:right w:val="none" w:sz="0" w:space="0" w:color="auto"/>
      </w:divBdr>
    </w:div>
    <w:div w:id="8357130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3060069">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4471036">
      <w:bodyDiv w:val="1"/>
      <w:marLeft w:val="0"/>
      <w:marRight w:val="0"/>
      <w:marTop w:val="0"/>
      <w:marBottom w:val="0"/>
      <w:divBdr>
        <w:top w:val="none" w:sz="0" w:space="0" w:color="auto"/>
        <w:left w:val="none" w:sz="0" w:space="0" w:color="auto"/>
        <w:bottom w:val="none" w:sz="0" w:space="0" w:color="auto"/>
        <w:right w:val="none" w:sz="0" w:space="0" w:color="auto"/>
      </w:divBdr>
    </w:div>
    <w:div w:id="155193377">
      <w:bodyDiv w:val="1"/>
      <w:marLeft w:val="0"/>
      <w:marRight w:val="0"/>
      <w:marTop w:val="0"/>
      <w:marBottom w:val="0"/>
      <w:divBdr>
        <w:top w:val="none" w:sz="0" w:space="0" w:color="auto"/>
        <w:left w:val="none" w:sz="0" w:space="0" w:color="auto"/>
        <w:bottom w:val="none" w:sz="0" w:space="0" w:color="auto"/>
        <w:right w:val="none" w:sz="0" w:space="0" w:color="auto"/>
      </w:divBdr>
    </w:div>
    <w:div w:id="177350356">
      <w:bodyDiv w:val="1"/>
      <w:marLeft w:val="0"/>
      <w:marRight w:val="0"/>
      <w:marTop w:val="0"/>
      <w:marBottom w:val="0"/>
      <w:divBdr>
        <w:top w:val="none" w:sz="0" w:space="0" w:color="auto"/>
        <w:left w:val="none" w:sz="0" w:space="0" w:color="auto"/>
        <w:bottom w:val="none" w:sz="0" w:space="0" w:color="auto"/>
        <w:right w:val="none" w:sz="0" w:space="0" w:color="auto"/>
      </w:divBdr>
    </w:div>
    <w:div w:id="187063036">
      <w:bodyDiv w:val="1"/>
      <w:marLeft w:val="0"/>
      <w:marRight w:val="0"/>
      <w:marTop w:val="0"/>
      <w:marBottom w:val="0"/>
      <w:divBdr>
        <w:top w:val="none" w:sz="0" w:space="0" w:color="auto"/>
        <w:left w:val="none" w:sz="0" w:space="0" w:color="auto"/>
        <w:bottom w:val="none" w:sz="0" w:space="0" w:color="auto"/>
        <w:right w:val="none" w:sz="0" w:space="0" w:color="auto"/>
      </w:divBdr>
    </w:div>
    <w:div w:id="220409046">
      <w:bodyDiv w:val="1"/>
      <w:marLeft w:val="0"/>
      <w:marRight w:val="0"/>
      <w:marTop w:val="0"/>
      <w:marBottom w:val="0"/>
      <w:divBdr>
        <w:top w:val="none" w:sz="0" w:space="0" w:color="auto"/>
        <w:left w:val="none" w:sz="0" w:space="0" w:color="auto"/>
        <w:bottom w:val="none" w:sz="0" w:space="0" w:color="auto"/>
        <w:right w:val="none" w:sz="0" w:space="0" w:color="auto"/>
      </w:divBdr>
    </w:div>
    <w:div w:id="27364057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4431516">
      <w:bodyDiv w:val="1"/>
      <w:marLeft w:val="0"/>
      <w:marRight w:val="0"/>
      <w:marTop w:val="0"/>
      <w:marBottom w:val="0"/>
      <w:divBdr>
        <w:top w:val="none" w:sz="0" w:space="0" w:color="auto"/>
        <w:left w:val="none" w:sz="0" w:space="0" w:color="auto"/>
        <w:bottom w:val="none" w:sz="0" w:space="0" w:color="auto"/>
        <w:right w:val="none" w:sz="0" w:space="0" w:color="auto"/>
      </w:divBdr>
    </w:div>
    <w:div w:id="327248989">
      <w:bodyDiv w:val="1"/>
      <w:marLeft w:val="0"/>
      <w:marRight w:val="0"/>
      <w:marTop w:val="0"/>
      <w:marBottom w:val="0"/>
      <w:divBdr>
        <w:top w:val="none" w:sz="0" w:space="0" w:color="auto"/>
        <w:left w:val="none" w:sz="0" w:space="0" w:color="auto"/>
        <w:bottom w:val="none" w:sz="0" w:space="0" w:color="auto"/>
        <w:right w:val="none" w:sz="0" w:space="0" w:color="auto"/>
      </w:divBdr>
    </w:div>
    <w:div w:id="369963786">
      <w:bodyDiv w:val="1"/>
      <w:marLeft w:val="0"/>
      <w:marRight w:val="0"/>
      <w:marTop w:val="0"/>
      <w:marBottom w:val="0"/>
      <w:divBdr>
        <w:top w:val="none" w:sz="0" w:space="0" w:color="auto"/>
        <w:left w:val="none" w:sz="0" w:space="0" w:color="auto"/>
        <w:bottom w:val="none" w:sz="0" w:space="0" w:color="auto"/>
        <w:right w:val="none" w:sz="0" w:space="0" w:color="auto"/>
      </w:divBdr>
    </w:div>
    <w:div w:id="384331505">
      <w:bodyDiv w:val="1"/>
      <w:marLeft w:val="0"/>
      <w:marRight w:val="0"/>
      <w:marTop w:val="0"/>
      <w:marBottom w:val="0"/>
      <w:divBdr>
        <w:top w:val="none" w:sz="0" w:space="0" w:color="auto"/>
        <w:left w:val="none" w:sz="0" w:space="0" w:color="auto"/>
        <w:bottom w:val="none" w:sz="0" w:space="0" w:color="auto"/>
        <w:right w:val="none" w:sz="0" w:space="0" w:color="auto"/>
      </w:divBdr>
    </w:div>
    <w:div w:id="388961370">
      <w:bodyDiv w:val="1"/>
      <w:marLeft w:val="0"/>
      <w:marRight w:val="0"/>
      <w:marTop w:val="0"/>
      <w:marBottom w:val="0"/>
      <w:divBdr>
        <w:top w:val="none" w:sz="0" w:space="0" w:color="auto"/>
        <w:left w:val="none" w:sz="0" w:space="0" w:color="auto"/>
        <w:bottom w:val="none" w:sz="0" w:space="0" w:color="auto"/>
        <w:right w:val="none" w:sz="0" w:space="0" w:color="auto"/>
      </w:divBdr>
    </w:div>
    <w:div w:id="407314963">
      <w:bodyDiv w:val="1"/>
      <w:marLeft w:val="0"/>
      <w:marRight w:val="0"/>
      <w:marTop w:val="0"/>
      <w:marBottom w:val="0"/>
      <w:divBdr>
        <w:top w:val="none" w:sz="0" w:space="0" w:color="auto"/>
        <w:left w:val="none" w:sz="0" w:space="0" w:color="auto"/>
        <w:bottom w:val="none" w:sz="0" w:space="0" w:color="auto"/>
        <w:right w:val="none" w:sz="0" w:space="0" w:color="auto"/>
      </w:divBdr>
    </w:div>
    <w:div w:id="529493115">
      <w:bodyDiv w:val="1"/>
      <w:marLeft w:val="0"/>
      <w:marRight w:val="0"/>
      <w:marTop w:val="0"/>
      <w:marBottom w:val="0"/>
      <w:divBdr>
        <w:top w:val="none" w:sz="0" w:space="0" w:color="auto"/>
        <w:left w:val="none" w:sz="0" w:space="0" w:color="auto"/>
        <w:bottom w:val="none" w:sz="0" w:space="0" w:color="auto"/>
        <w:right w:val="none" w:sz="0" w:space="0" w:color="auto"/>
      </w:divBdr>
    </w:div>
    <w:div w:id="572619494">
      <w:bodyDiv w:val="1"/>
      <w:marLeft w:val="0"/>
      <w:marRight w:val="0"/>
      <w:marTop w:val="0"/>
      <w:marBottom w:val="0"/>
      <w:divBdr>
        <w:top w:val="none" w:sz="0" w:space="0" w:color="auto"/>
        <w:left w:val="none" w:sz="0" w:space="0" w:color="auto"/>
        <w:bottom w:val="none" w:sz="0" w:space="0" w:color="auto"/>
        <w:right w:val="none" w:sz="0" w:space="0" w:color="auto"/>
      </w:divBdr>
    </w:div>
    <w:div w:id="607473402">
      <w:bodyDiv w:val="1"/>
      <w:marLeft w:val="0"/>
      <w:marRight w:val="0"/>
      <w:marTop w:val="0"/>
      <w:marBottom w:val="0"/>
      <w:divBdr>
        <w:top w:val="none" w:sz="0" w:space="0" w:color="auto"/>
        <w:left w:val="none" w:sz="0" w:space="0" w:color="auto"/>
        <w:bottom w:val="none" w:sz="0" w:space="0" w:color="auto"/>
        <w:right w:val="none" w:sz="0" w:space="0" w:color="auto"/>
      </w:divBdr>
    </w:div>
    <w:div w:id="648677009">
      <w:bodyDiv w:val="1"/>
      <w:marLeft w:val="0"/>
      <w:marRight w:val="0"/>
      <w:marTop w:val="0"/>
      <w:marBottom w:val="0"/>
      <w:divBdr>
        <w:top w:val="none" w:sz="0" w:space="0" w:color="auto"/>
        <w:left w:val="none" w:sz="0" w:space="0" w:color="auto"/>
        <w:bottom w:val="none" w:sz="0" w:space="0" w:color="auto"/>
        <w:right w:val="none" w:sz="0" w:space="0" w:color="auto"/>
      </w:divBdr>
    </w:div>
    <w:div w:id="649797815">
      <w:bodyDiv w:val="1"/>
      <w:marLeft w:val="0"/>
      <w:marRight w:val="0"/>
      <w:marTop w:val="0"/>
      <w:marBottom w:val="0"/>
      <w:divBdr>
        <w:top w:val="none" w:sz="0" w:space="0" w:color="auto"/>
        <w:left w:val="none" w:sz="0" w:space="0" w:color="auto"/>
        <w:bottom w:val="none" w:sz="0" w:space="0" w:color="auto"/>
        <w:right w:val="none" w:sz="0" w:space="0" w:color="auto"/>
      </w:divBdr>
    </w:div>
    <w:div w:id="654839211">
      <w:bodyDiv w:val="1"/>
      <w:marLeft w:val="0"/>
      <w:marRight w:val="0"/>
      <w:marTop w:val="0"/>
      <w:marBottom w:val="0"/>
      <w:divBdr>
        <w:top w:val="none" w:sz="0" w:space="0" w:color="auto"/>
        <w:left w:val="none" w:sz="0" w:space="0" w:color="auto"/>
        <w:bottom w:val="none" w:sz="0" w:space="0" w:color="auto"/>
        <w:right w:val="none" w:sz="0" w:space="0" w:color="auto"/>
      </w:divBdr>
    </w:div>
    <w:div w:id="720246714">
      <w:bodyDiv w:val="1"/>
      <w:marLeft w:val="0"/>
      <w:marRight w:val="0"/>
      <w:marTop w:val="0"/>
      <w:marBottom w:val="0"/>
      <w:divBdr>
        <w:top w:val="none" w:sz="0" w:space="0" w:color="auto"/>
        <w:left w:val="none" w:sz="0" w:space="0" w:color="auto"/>
        <w:bottom w:val="none" w:sz="0" w:space="0" w:color="auto"/>
        <w:right w:val="none" w:sz="0" w:space="0" w:color="auto"/>
      </w:divBdr>
    </w:div>
    <w:div w:id="723136691">
      <w:bodyDiv w:val="1"/>
      <w:marLeft w:val="0"/>
      <w:marRight w:val="0"/>
      <w:marTop w:val="0"/>
      <w:marBottom w:val="0"/>
      <w:divBdr>
        <w:top w:val="none" w:sz="0" w:space="0" w:color="auto"/>
        <w:left w:val="none" w:sz="0" w:space="0" w:color="auto"/>
        <w:bottom w:val="none" w:sz="0" w:space="0" w:color="auto"/>
        <w:right w:val="none" w:sz="0" w:space="0" w:color="auto"/>
      </w:divBdr>
    </w:div>
    <w:div w:id="765424608">
      <w:bodyDiv w:val="1"/>
      <w:marLeft w:val="0"/>
      <w:marRight w:val="0"/>
      <w:marTop w:val="0"/>
      <w:marBottom w:val="0"/>
      <w:divBdr>
        <w:top w:val="none" w:sz="0" w:space="0" w:color="auto"/>
        <w:left w:val="none" w:sz="0" w:space="0" w:color="auto"/>
        <w:bottom w:val="none" w:sz="0" w:space="0" w:color="auto"/>
        <w:right w:val="none" w:sz="0" w:space="0" w:color="auto"/>
      </w:divBdr>
    </w:div>
    <w:div w:id="784009501">
      <w:bodyDiv w:val="1"/>
      <w:marLeft w:val="0"/>
      <w:marRight w:val="0"/>
      <w:marTop w:val="0"/>
      <w:marBottom w:val="0"/>
      <w:divBdr>
        <w:top w:val="none" w:sz="0" w:space="0" w:color="auto"/>
        <w:left w:val="none" w:sz="0" w:space="0" w:color="auto"/>
        <w:bottom w:val="none" w:sz="0" w:space="0" w:color="auto"/>
        <w:right w:val="none" w:sz="0" w:space="0" w:color="auto"/>
      </w:divBdr>
    </w:div>
    <w:div w:id="786892658">
      <w:bodyDiv w:val="1"/>
      <w:marLeft w:val="0"/>
      <w:marRight w:val="0"/>
      <w:marTop w:val="0"/>
      <w:marBottom w:val="0"/>
      <w:divBdr>
        <w:top w:val="none" w:sz="0" w:space="0" w:color="auto"/>
        <w:left w:val="none" w:sz="0" w:space="0" w:color="auto"/>
        <w:bottom w:val="none" w:sz="0" w:space="0" w:color="auto"/>
        <w:right w:val="none" w:sz="0" w:space="0" w:color="auto"/>
      </w:divBdr>
    </w:div>
    <w:div w:id="804615150">
      <w:bodyDiv w:val="1"/>
      <w:marLeft w:val="0"/>
      <w:marRight w:val="0"/>
      <w:marTop w:val="0"/>
      <w:marBottom w:val="0"/>
      <w:divBdr>
        <w:top w:val="none" w:sz="0" w:space="0" w:color="auto"/>
        <w:left w:val="none" w:sz="0" w:space="0" w:color="auto"/>
        <w:bottom w:val="none" w:sz="0" w:space="0" w:color="auto"/>
        <w:right w:val="none" w:sz="0" w:space="0" w:color="auto"/>
      </w:divBdr>
    </w:div>
    <w:div w:id="841626735">
      <w:bodyDiv w:val="1"/>
      <w:marLeft w:val="0"/>
      <w:marRight w:val="0"/>
      <w:marTop w:val="0"/>
      <w:marBottom w:val="0"/>
      <w:divBdr>
        <w:top w:val="none" w:sz="0" w:space="0" w:color="auto"/>
        <w:left w:val="none" w:sz="0" w:space="0" w:color="auto"/>
        <w:bottom w:val="none" w:sz="0" w:space="0" w:color="auto"/>
        <w:right w:val="none" w:sz="0" w:space="0" w:color="auto"/>
      </w:divBdr>
    </w:div>
    <w:div w:id="847674735">
      <w:bodyDiv w:val="1"/>
      <w:marLeft w:val="0"/>
      <w:marRight w:val="0"/>
      <w:marTop w:val="0"/>
      <w:marBottom w:val="0"/>
      <w:divBdr>
        <w:top w:val="none" w:sz="0" w:space="0" w:color="auto"/>
        <w:left w:val="none" w:sz="0" w:space="0" w:color="auto"/>
        <w:bottom w:val="none" w:sz="0" w:space="0" w:color="auto"/>
        <w:right w:val="none" w:sz="0" w:space="0" w:color="auto"/>
      </w:divBdr>
    </w:div>
    <w:div w:id="864058299">
      <w:bodyDiv w:val="1"/>
      <w:marLeft w:val="0"/>
      <w:marRight w:val="0"/>
      <w:marTop w:val="0"/>
      <w:marBottom w:val="0"/>
      <w:divBdr>
        <w:top w:val="none" w:sz="0" w:space="0" w:color="auto"/>
        <w:left w:val="none" w:sz="0" w:space="0" w:color="auto"/>
        <w:bottom w:val="none" w:sz="0" w:space="0" w:color="auto"/>
        <w:right w:val="none" w:sz="0" w:space="0" w:color="auto"/>
      </w:divBdr>
    </w:div>
    <w:div w:id="942422222">
      <w:bodyDiv w:val="1"/>
      <w:marLeft w:val="0"/>
      <w:marRight w:val="0"/>
      <w:marTop w:val="0"/>
      <w:marBottom w:val="0"/>
      <w:divBdr>
        <w:top w:val="none" w:sz="0" w:space="0" w:color="auto"/>
        <w:left w:val="none" w:sz="0" w:space="0" w:color="auto"/>
        <w:bottom w:val="none" w:sz="0" w:space="0" w:color="auto"/>
        <w:right w:val="none" w:sz="0" w:space="0" w:color="auto"/>
      </w:divBdr>
    </w:div>
    <w:div w:id="961228933">
      <w:bodyDiv w:val="1"/>
      <w:marLeft w:val="0"/>
      <w:marRight w:val="0"/>
      <w:marTop w:val="0"/>
      <w:marBottom w:val="0"/>
      <w:divBdr>
        <w:top w:val="none" w:sz="0" w:space="0" w:color="auto"/>
        <w:left w:val="none" w:sz="0" w:space="0" w:color="auto"/>
        <w:bottom w:val="none" w:sz="0" w:space="0" w:color="auto"/>
        <w:right w:val="none" w:sz="0" w:space="0" w:color="auto"/>
      </w:divBdr>
    </w:div>
    <w:div w:id="973483935">
      <w:bodyDiv w:val="1"/>
      <w:marLeft w:val="0"/>
      <w:marRight w:val="0"/>
      <w:marTop w:val="0"/>
      <w:marBottom w:val="0"/>
      <w:divBdr>
        <w:top w:val="none" w:sz="0" w:space="0" w:color="auto"/>
        <w:left w:val="none" w:sz="0" w:space="0" w:color="auto"/>
        <w:bottom w:val="none" w:sz="0" w:space="0" w:color="auto"/>
        <w:right w:val="none" w:sz="0" w:space="0" w:color="auto"/>
      </w:divBdr>
    </w:div>
    <w:div w:id="975255780">
      <w:bodyDiv w:val="1"/>
      <w:marLeft w:val="0"/>
      <w:marRight w:val="0"/>
      <w:marTop w:val="0"/>
      <w:marBottom w:val="0"/>
      <w:divBdr>
        <w:top w:val="none" w:sz="0" w:space="0" w:color="auto"/>
        <w:left w:val="none" w:sz="0" w:space="0" w:color="auto"/>
        <w:bottom w:val="none" w:sz="0" w:space="0" w:color="auto"/>
        <w:right w:val="none" w:sz="0" w:space="0" w:color="auto"/>
      </w:divBdr>
    </w:div>
    <w:div w:id="983005538">
      <w:bodyDiv w:val="1"/>
      <w:marLeft w:val="0"/>
      <w:marRight w:val="0"/>
      <w:marTop w:val="0"/>
      <w:marBottom w:val="0"/>
      <w:divBdr>
        <w:top w:val="none" w:sz="0" w:space="0" w:color="auto"/>
        <w:left w:val="none" w:sz="0" w:space="0" w:color="auto"/>
        <w:bottom w:val="none" w:sz="0" w:space="0" w:color="auto"/>
        <w:right w:val="none" w:sz="0" w:space="0" w:color="auto"/>
      </w:divBdr>
    </w:div>
    <w:div w:id="991176979">
      <w:bodyDiv w:val="1"/>
      <w:marLeft w:val="0"/>
      <w:marRight w:val="0"/>
      <w:marTop w:val="0"/>
      <w:marBottom w:val="0"/>
      <w:divBdr>
        <w:top w:val="none" w:sz="0" w:space="0" w:color="auto"/>
        <w:left w:val="none" w:sz="0" w:space="0" w:color="auto"/>
        <w:bottom w:val="none" w:sz="0" w:space="0" w:color="auto"/>
        <w:right w:val="none" w:sz="0" w:space="0" w:color="auto"/>
      </w:divBdr>
    </w:div>
    <w:div w:id="1042677764">
      <w:bodyDiv w:val="1"/>
      <w:marLeft w:val="0"/>
      <w:marRight w:val="0"/>
      <w:marTop w:val="0"/>
      <w:marBottom w:val="0"/>
      <w:divBdr>
        <w:top w:val="none" w:sz="0" w:space="0" w:color="auto"/>
        <w:left w:val="none" w:sz="0" w:space="0" w:color="auto"/>
        <w:bottom w:val="none" w:sz="0" w:space="0" w:color="auto"/>
        <w:right w:val="none" w:sz="0" w:space="0" w:color="auto"/>
      </w:divBdr>
    </w:div>
    <w:div w:id="1085031705">
      <w:bodyDiv w:val="1"/>
      <w:marLeft w:val="0"/>
      <w:marRight w:val="0"/>
      <w:marTop w:val="0"/>
      <w:marBottom w:val="0"/>
      <w:divBdr>
        <w:top w:val="none" w:sz="0" w:space="0" w:color="auto"/>
        <w:left w:val="none" w:sz="0" w:space="0" w:color="auto"/>
        <w:bottom w:val="none" w:sz="0" w:space="0" w:color="auto"/>
        <w:right w:val="none" w:sz="0" w:space="0" w:color="auto"/>
      </w:divBdr>
    </w:div>
    <w:div w:id="1110513427">
      <w:bodyDiv w:val="1"/>
      <w:marLeft w:val="0"/>
      <w:marRight w:val="0"/>
      <w:marTop w:val="0"/>
      <w:marBottom w:val="0"/>
      <w:divBdr>
        <w:top w:val="none" w:sz="0" w:space="0" w:color="auto"/>
        <w:left w:val="none" w:sz="0" w:space="0" w:color="auto"/>
        <w:bottom w:val="none" w:sz="0" w:space="0" w:color="auto"/>
        <w:right w:val="none" w:sz="0" w:space="0" w:color="auto"/>
      </w:divBdr>
    </w:div>
    <w:div w:id="11590783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892">
      <w:bodyDiv w:val="1"/>
      <w:marLeft w:val="0"/>
      <w:marRight w:val="0"/>
      <w:marTop w:val="0"/>
      <w:marBottom w:val="0"/>
      <w:divBdr>
        <w:top w:val="none" w:sz="0" w:space="0" w:color="auto"/>
        <w:left w:val="none" w:sz="0" w:space="0" w:color="auto"/>
        <w:bottom w:val="none" w:sz="0" w:space="0" w:color="auto"/>
        <w:right w:val="none" w:sz="0" w:space="0" w:color="auto"/>
      </w:divBdr>
    </w:div>
    <w:div w:id="1287659734">
      <w:bodyDiv w:val="1"/>
      <w:marLeft w:val="0"/>
      <w:marRight w:val="0"/>
      <w:marTop w:val="0"/>
      <w:marBottom w:val="0"/>
      <w:divBdr>
        <w:top w:val="none" w:sz="0" w:space="0" w:color="auto"/>
        <w:left w:val="none" w:sz="0" w:space="0" w:color="auto"/>
        <w:bottom w:val="none" w:sz="0" w:space="0" w:color="auto"/>
        <w:right w:val="none" w:sz="0" w:space="0" w:color="auto"/>
      </w:divBdr>
    </w:div>
    <w:div w:id="1354920520">
      <w:bodyDiv w:val="1"/>
      <w:marLeft w:val="0"/>
      <w:marRight w:val="0"/>
      <w:marTop w:val="0"/>
      <w:marBottom w:val="0"/>
      <w:divBdr>
        <w:top w:val="none" w:sz="0" w:space="0" w:color="auto"/>
        <w:left w:val="none" w:sz="0" w:space="0" w:color="auto"/>
        <w:bottom w:val="none" w:sz="0" w:space="0" w:color="auto"/>
        <w:right w:val="none" w:sz="0" w:space="0" w:color="auto"/>
      </w:divBdr>
    </w:div>
    <w:div w:id="1374303641">
      <w:bodyDiv w:val="1"/>
      <w:marLeft w:val="0"/>
      <w:marRight w:val="0"/>
      <w:marTop w:val="0"/>
      <w:marBottom w:val="0"/>
      <w:divBdr>
        <w:top w:val="none" w:sz="0" w:space="0" w:color="auto"/>
        <w:left w:val="none" w:sz="0" w:space="0" w:color="auto"/>
        <w:bottom w:val="none" w:sz="0" w:space="0" w:color="auto"/>
        <w:right w:val="none" w:sz="0" w:space="0" w:color="auto"/>
      </w:divBdr>
    </w:div>
    <w:div w:id="1398355867">
      <w:bodyDiv w:val="1"/>
      <w:marLeft w:val="0"/>
      <w:marRight w:val="0"/>
      <w:marTop w:val="0"/>
      <w:marBottom w:val="0"/>
      <w:divBdr>
        <w:top w:val="none" w:sz="0" w:space="0" w:color="auto"/>
        <w:left w:val="none" w:sz="0" w:space="0" w:color="auto"/>
        <w:bottom w:val="none" w:sz="0" w:space="0" w:color="auto"/>
        <w:right w:val="none" w:sz="0" w:space="0" w:color="auto"/>
      </w:divBdr>
    </w:div>
    <w:div w:id="1413353933">
      <w:bodyDiv w:val="1"/>
      <w:marLeft w:val="0"/>
      <w:marRight w:val="0"/>
      <w:marTop w:val="0"/>
      <w:marBottom w:val="0"/>
      <w:divBdr>
        <w:top w:val="none" w:sz="0" w:space="0" w:color="auto"/>
        <w:left w:val="none" w:sz="0" w:space="0" w:color="auto"/>
        <w:bottom w:val="none" w:sz="0" w:space="0" w:color="auto"/>
        <w:right w:val="none" w:sz="0" w:space="0" w:color="auto"/>
      </w:divBdr>
    </w:div>
    <w:div w:id="1432890590">
      <w:bodyDiv w:val="1"/>
      <w:marLeft w:val="0"/>
      <w:marRight w:val="0"/>
      <w:marTop w:val="0"/>
      <w:marBottom w:val="0"/>
      <w:divBdr>
        <w:top w:val="none" w:sz="0" w:space="0" w:color="auto"/>
        <w:left w:val="none" w:sz="0" w:space="0" w:color="auto"/>
        <w:bottom w:val="none" w:sz="0" w:space="0" w:color="auto"/>
        <w:right w:val="none" w:sz="0" w:space="0" w:color="auto"/>
      </w:divBdr>
    </w:div>
    <w:div w:id="1455832223">
      <w:bodyDiv w:val="1"/>
      <w:marLeft w:val="0"/>
      <w:marRight w:val="0"/>
      <w:marTop w:val="0"/>
      <w:marBottom w:val="0"/>
      <w:divBdr>
        <w:top w:val="none" w:sz="0" w:space="0" w:color="auto"/>
        <w:left w:val="none" w:sz="0" w:space="0" w:color="auto"/>
        <w:bottom w:val="none" w:sz="0" w:space="0" w:color="auto"/>
        <w:right w:val="none" w:sz="0" w:space="0" w:color="auto"/>
      </w:divBdr>
    </w:div>
    <w:div w:id="1471249012">
      <w:bodyDiv w:val="1"/>
      <w:marLeft w:val="0"/>
      <w:marRight w:val="0"/>
      <w:marTop w:val="0"/>
      <w:marBottom w:val="0"/>
      <w:divBdr>
        <w:top w:val="none" w:sz="0" w:space="0" w:color="auto"/>
        <w:left w:val="none" w:sz="0" w:space="0" w:color="auto"/>
        <w:bottom w:val="none" w:sz="0" w:space="0" w:color="auto"/>
        <w:right w:val="none" w:sz="0" w:space="0" w:color="auto"/>
      </w:divBdr>
    </w:div>
    <w:div w:id="1504584148">
      <w:bodyDiv w:val="1"/>
      <w:marLeft w:val="0"/>
      <w:marRight w:val="0"/>
      <w:marTop w:val="0"/>
      <w:marBottom w:val="0"/>
      <w:divBdr>
        <w:top w:val="none" w:sz="0" w:space="0" w:color="auto"/>
        <w:left w:val="none" w:sz="0" w:space="0" w:color="auto"/>
        <w:bottom w:val="none" w:sz="0" w:space="0" w:color="auto"/>
        <w:right w:val="none" w:sz="0" w:space="0" w:color="auto"/>
      </w:divBdr>
    </w:div>
    <w:div w:id="1528131710">
      <w:bodyDiv w:val="1"/>
      <w:marLeft w:val="0"/>
      <w:marRight w:val="0"/>
      <w:marTop w:val="0"/>
      <w:marBottom w:val="0"/>
      <w:divBdr>
        <w:top w:val="none" w:sz="0" w:space="0" w:color="auto"/>
        <w:left w:val="none" w:sz="0" w:space="0" w:color="auto"/>
        <w:bottom w:val="none" w:sz="0" w:space="0" w:color="auto"/>
        <w:right w:val="none" w:sz="0" w:space="0" w:color="auto"/>
      </w:divBdr>
    </w:div>
    <w:div w:id="1537279766">
      <w:bodyDiv w:val="1"/>
      <w:marLeft w:val="0"/>
      <w:marRight w:val="0"/>
      <w:marTop w:val="0"/>
      <w:marBottom w:val="0"/>
      <w:divBdr>
        <w:top w:val="none" w:sz="0" w:space="0" w:color="auto"/>
        <w:left w:val="none" w:sz="0" w:space="0" w:color="auto"/>
        <w:bottom w:val="none" w:sz="0" w:space="0" w:color="auto"/>
        <w:right w:val="none" w:sz="0" w:space="0" w:color="auto"/>
      </w:divBdr>
    </w:div>
    <w:div w:id="1544902616">
      <w:bodyDiv w:val="1"/>
      <w:marLeft w:val="0"/>
      <w:marRight w:val="0"/>
      <w:marTop w:val="0"/>
      <w:marBottom w:val="0"/>
      <w:divBdr>
        <w:top w:val="none" w:sz="0" w:space="0" w:color="auto"/>
        <w:left w:val="none" w:sz="0" w:space="0" w:color="auto"/>
        <w:bottom w:val="none" w:sz="0" w:space="0" w:color="auto"/>
        <w:right w:val="none" w:sz="0" w:space="0" w:color="auto"/>
      </w:divBdr>
    </w:div>
    <w:div w:id="1546912386">
      <w:bodyDiv w:val="1"/>
      <w:marLeft w:val="0"/>
      <w:marRight w:val="0"/>
      <w:marTop w:val="0"/>
      <w:marBottom w:val="0"/>
      <w:divBdr>
        <w:top w:val="none" w:sz="0" w:space="0" w:color="auto"/>
        <w:left w:val="none" w:sz="0" w:space="0" w:color="auto"/>
        <w:bottom w:val="none" w:sz="0" w:space="0" w:color="auto"/>
        <w:right w:val="none" w:sz="0" w:space="0" w:color="auto"/>
      </w:divBdr>
    </w:div>
    <w:div w:id="1562861994">
      <w:bodyDiv w:val="1"/>
      <w:marLeft w:val="0"/>
      <w:marRight w:val="0"/>
      <w:marTop w:val="0"/>
      <w:marBottom w:val="0"/>
      <w:divBdr>
        <w:top w:val="none" w:sz="0" w:space="0" w:color="auto"/>
        <w:left w:val="none" w:sz="0" w:space="0" w:color="auto"/>
        <w:bottom w:val="none" w:sz="0" w:space="0" w:color="auto"/>
        <w:right w:val="none" w:sz="0" w:space="0" w:color="auto"/>
      </w:divBdr>
    </w:div>
    <w:div w:id="1659193778">
      <w:bodyDiv w:val="1"/>
      <w:marLeft w:val="0"/>
      <w:marRight w:val="0"/>
      <w:marTop w:val="0"/>
      <w:marBottom w:val="0"/>
      <w:divBdr>
        <w:top w:val="none" w:sz="0" w:space="0" w:color="auto"/>
        <w:left w:val="none" w:sz="0" w:space="0" w:color="auto"/>
        <w:bottom w:val="none" w:sz="0" w:space="0" w:color="auto"/>
        <w:right w:val="none" w:sz="0" w:space="0" w:color="auto"/>
      </w:divBdr>
    </w:div>
    <w:div w:id="1662732681">
      <w:bodyDiv w:val="1"/>
      <w:marLeft w:val="0"/>
      <w:marRight w:val="0"/>
      <w:marTop w:val="0"/>
      <w:marBottom w:val="0"/>
      <w:divBdr>
        <w:top w:val="none" w:sz="0" w:space="0" w:color="auto"/>
        <w:left w:val="none" w:sz="0" w:space="0" w:color="auto"/>
        <w:bottom w:val="none" w:sz="0" w:space="0" w:color="auto"/>
        <w:right w:val="none" w:sz="0" w:space="0" w:color="auto"/>
      </w:divBdr>
    </w:div>
    <w:div w:id="1683241437">
      <w:bodyDiv w:val="1"/>
      <w:marLeft w:val="0"/>
      <w:marRight w:val="0"/>
      <w:marTop w:val="0"/>
      <w:marBottom w:val="0"/>
      <w:divBdr>
        <w:top w:val="none" w:sz="0" w:space="0" w:color="auto"/>
        <w:left w:val="none" w:sz="0" w:space="0" w:color="auto"/>
        <w:bottom w:val="none" w:sz="0" w:space="0" w:color="auto"/>
        <w:right w:val="none" w:sz="0" w:space="0" w:color="auto"/>
      </w:divBdr>
    </w:div>
    <w:div w:id="1688680924">
      <w:bodyDiv w:val="1"/>
      <w:marLeft w:val="0"/>
      <w:marRight w:val="0"/>
      <w:marTop w:val="0"/>
      <w:marBottom w:val="0"/>
      <w:divBdr>
        <w:top w:val="none" w:sz="0" w:space="0" w:color="auto"/>
        <w:left w:val="none" w:sz="0" w:space="0" w:color="auto"/>
        <w:bottom w:val="none" w:sz="0" w:space="0" w:color="auto"/>
        <w:right w:val="none" w:sz="0" w:space="0" w:color="auto"/>
      </w:divBdr>
    </w:div>
    <w:div w:id="1750807223">
      <w:bodyDiv w:val="1"/>
      <w:marLeft w:val="0"/>
      <w:marRight w:val="0"/>
      <w:marTop w:val="0"/>
      <w:marBottom w:val="0"/>
      <w:divBdr>
        <w:top w:val="none" w:sz="0" w:space="0" w:color="auto"/>
        <w:left w:val="none" w:sz="0" w:space="0" w:color="auto"/>
        <w:bottom w:val="none" w:sz="0" w:space="0" w:color="auto"/>
        <w:right w:val="none" w:sz="0" w:space="0" w:color="auto"/>
      </w:divBdr>
    </w:div>
    <w:div w:id="1759477050">
      <w:bodyDiv w:val="1"/>
      <w:marLeft w:val="0"/>
      <w:marRight w:val="0"/>
      <w:marTop w:val="0"/>
      <w:marBottom w:val="0"/>
      <w:divBdr>
        <w:top w:val="none" w:sz="0" w:space="0" w:color="auto"/>
        <w:left w:val="none" w:sz="0" w:space="0" w:color="auto"/>
        <w:bottom w:val="none" w:sz="0" w:space="0" w:color="auto"/>
        <w:right w:val="none" w:sz="0" w:space="0" w:color="auto"/>
      </w:divBdr>
    </w:div>
    <w:div w:id="1779063920">
      <w:bodyDiv w:val="1"/>
      <w:marLeft w:val="0"/>
      <w:marRight w:val="0"/>
      <w:marTop w:val="0"/>
      <w:marBottom w:val="0"/>
      <w:divBdr>
        <w:top w:val="none" w:sz="0" w:space="0" w:color="auto"/>
        <w:left w:val="none" w:sz="0" w:space="0" w:color="auto"/>
        <w:bottom w:val="none" w:sz="0" w:space="0" w:color="auto"/>
        <w:right w:val="none" w:sz="0" w:space="0" w:color="auto"/>
      </w:divBdr>
    </w:div>
    <w:div w:id="1831018314">
      <w:bodyDiv w:val="1"/>
      <w:marLeft w:val="0"/>
      <w:marRight w:val="0"/>
      <w:marTop w:val="0"/>
      <w:marBottom w:val="0"/>
      <w:divBdr>
        <w:top w:val="none" w:sz="0" w:space="0" w:color="auto"/>
        <w:left w:val="none" w:sz="0" w:space="0" w:color="auto"/>
        <w:bottom w:val="none" w:sz="0" w:space="0" w:color="auto"/>
        <w:right w:val="none" w:sz="0" w:space="0" w:color="auto"/>
      </w:divBdr>
    </w:div>
    <w:div w:id="1893538690">
      <w:bodyDiv w:val="1"/>
      <w:marLeft w:val="0"/>
      <w:marRight w:val="0"/>
      <w:marTop w:val="0"/>
      <w:marBottom w:val="0"/>
      <w:divBdr>
        <w:top w:val="none" w:sz="0" w:space="0" w:color="auto"/>
        <w:left w:val="none" w:sz="0" w:space="0" w:color="auto"/>
        <w:bottom w:val="none" w:sz="0" w:space="0" w:color="auto"/>
        <w:right w:val="none" w:sz="0" w:space="0" w:color="auto"/>
      </w:divBdr>
    </w:div>
    <w:div w:id="190814971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0550183">
      <w:bodyDiv w:val="1"/>
      <w:marLeft w:val="0"/>
      <w:marRight w:val="0"/>
      <w:marTop w:val="0"/>
      <w:marBottom w:val="0"/>
      <w:divBdr>
        <w:top w:val="none" w:sz="0" w:space="0" w:color="auto"/>
        <w:left w:val="none" w:sz="0" w:space="0" w:color="auto"/>
        <w:bottom w:val="none" w:sz="0" w:space="0" w:color="auto"/>
        <w:right w:val="none" w:sz="0" w:space="0" w:color="auto"/>
      </w:divBdr>
    </w:div>
    <w:div w:id="1988389630">
      <w:bodyDiv w:val="1"/>
      <w:marLeft w:val="0"/>
      <w:marRight w:val="0"/>
      <w:marTop w:val="0"/>
      <w:marBottom w:val="0"/>
      <w:divBdr>
        <w:top w:val="none" w:sz="0" w:space="0" w:color="auto"/>
        <w:left w:val="none" w:sz="0" w:space="0" w:color="auto"/>
        <w:bottom w:val="none" w:sz="0" w:space="0" w:color="auto"/>
        <w:right w:val="none" w:sz="0" w:space="0" w:color="auto"/>
      </w:divBdr>
    </w:div>
    <w:div w:id="2006393941">
      <w:bodyDiv w:val="1"/>
      <w:marLeft w:val="0"/>
      <w:marRight w:val="0"/>
      <w:marTop w:val="0"/>
      <w:marBottom w:val="0"/>
      <w:divBdr>
        <w:top w:val="none" w:sz="0" w:space="0" w:color="auto"/>
        <w:left w:val="none" w:sz="0" w:space="0" w:color="auto"/>
        <w:bottom w:val="none" w:sz="0" w:space="0" w:color="auto"/>
        <w:right w:val="none" w:sz="0" w:space="0" w:color="auto"/>
      </w:divBdr>
    </w:div>
    <w:div w:id="2055882276">
      <w:bodyDiv w:val="1"/>
      <w:marLeft w:val="0"/>
      <w:marRight w:val="0"/>
      <w:marTop w:val="0"/>
      <w:marBottom w:val="0"/>
      <w:divBdr>
        <w:top w:val="none" w:sz="0" w:space="0" w:color="auto"/>
        <w:left w:val="none" w:sz="0" w:space="0" w:color="auto"/>
        <w:bottom w:val="none" w:sz="0" w:space="0" w:color="auto"/>
        <w:right w:val="none" w:sz="0" w:space="0" w:color="auto"/>
      </w:divBdr>
    </w:div>
    <w:div w:id="2082678460">
      <w:bodyDiv w:val="1"/>
      <w:marLeft w:val="0"/>
      <w:marRight w:val="0"/>
      <w:marTop w:val="0"/>
      <w:marBottom w:val="0"/>
      <w:divBdr>
        <w:top w:val="none" w:sz="0" w:space="0" w:color="auto"/>
        <w:left w:val="none" w:sz="0" w:space="0" w:color="auto"/>
        <w:bottom w:val="none" w:sz="0" w:space="0" w:color="auto"/>
        <w:right w:val="none" w:sz="0" w:space="0" w:color="auto"/>
      </w:divBdr>
    </w:div>
    <w:div w:id="2093695199">
      <w:bodyDiv w:val="1"/>
      <w:marLeft w:val="0"/>
      <w:marRight w:val="0"/>
      <w:marTop w:val="0"/>
      <w:marBottom w:val="0"/>
      <w:divBdr>
        <w:top w:val="none" w:sz="0" w:space="0" w:color="auto"/>
        <w:left w:val="none" w:sz="0" w:space="0" w:color="auto"/>
        <w:bottom w:val="none" w:sz="0" w:space="0" w:color="auto"/>
        <w:right w:val="none" w:sz="0" w:space="0" w:color="auto"/>
      </w:divBdr>
    </w:div>
    <w:div w:id="21271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9931-4AE1-4EFB-83D4-8D18967E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16220</Words>
  <Characters>84588</Characters>
  <Application>Microsoft Office Word</Application>
  <DocSecurity>0</DocSecurity>
  <Lines>704</Lines>
  <Paragraphs>201</Paragraphs>
  <ScaleCrop>false</ScaleCrop>
  <Company/>
  <LinksUpToDate>false</LinksUpToDate>
  <CharactersWithSpaces>100607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2022-06-26T02:40:00Z</dcterms:created>
  <dcterms:modified xsi:type="dcterms:W3CDTF">2022-06-26T02:40:00Z</dcterms:modified>
</cp:coreProperties>
</file>